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84"/>
          <w:szCs w:val="84"/>
        </w:rPr>
      </w:pPr>
    </w:p>
    <w:p>
      <w:pPr>
        <w:jc w:val="center"/>
        <w:rPr>
          <w:rFonts w:ascii="宋体" w:hAnsi="宋体"/>
          <w:b/>
          <w:sz w:val="48"/>
          <w:szCs w:val="48"/>
        </w:rPr>
      </w:pPr>
      <w:r>
        <w:rPr>
          <w:rFonts w:hint="eastAsia" w:ascii="宋体" w:hAnsi="宋体"/>
          <w:b/>
          <w:sz w:val="48"/>
          <w:szCs w:val="48"/>
        </w:rPr>
        <w:t>乌鲁木齐市雪莲小学多媒体黑板项目</w:t>
      </w:r>
    </w:p>
    <w:p>
      <w:pPr>
        <w:jc w:val="center"/>
        <w:rPr>
          <w:rFonts w:ascii="宋体" w:hAnsi="宋体"/>
          <w:b/>
          <w:sz w:val="48"/>
          <w:szCs w:val="48"/>
        </w:rPr>
      </w:pPr>
      <w:r>
        <w:rPr>
          <w:rFonts w:hint="eastAsia" w:ascii="宋体" w:hAnsi="宋体"/>
          <w:b/>
          <w:sz w:val="48"/>
          <w:szCs w:val="48"/>
        </w:rPr>
        <w:t>竞争性磋商文件</w:t>
      </w:r>
    </w:p>
    <w:p>
      <w:pPr>
        <w:pStyle w:val="2"/>
      </w:pPr>
    </w:p>
    <w:p>
      <w:pPr>
        <w:pStyle w:val="2"/>
      </w:pPr>
    </w:p>
    <w:p>
      <w:pPr>
        <w:autoSpaceDE w:val="0"/>
        <w:autoSpaceDN w:val="0"/>
        <w:adjustRightInd w:val="0"/>
        <w:spacing w:line="600" w:lineRule="auto"/>
        <w:rPr>
          <w:rFonts w:ascii="宋体" w:hAnsi="宋体"/>
          <w:bCs/>
          <w:kern w:val="0"/>
          <w:sz w:val="28"/>
          <w:szCs w:val="28"/>
        </w:rPr>
      </w:pPr>
      <w:r>
        <w:rPr>
          <w:rFonts w:hint="eastAsia" w:ascii="宋体" w:hAnsi="宋体"/>
          <w:kern w:val="0"/>
          <w:sz w:val="28"/>
          <w:szCs w:val="28"/>
        </w:rPr>
        <w:t>采 购 人</w:t>
      </w:r>
      <w:r>
        <w:rPr>
          <w:rFonts w:hint="eastAsia" w:ascii="宋体" w:hAnsi="宋体"/>
          <w:bCs/>
          <w:kern w:val="0"/>
          <w:sz w:val="28"/>
          <w:szCs w:val="28"/>
        </w:rPr>
        <w:t>（盖章）</w:t>
      </w:r>
      <w:r>
        <w:rPr>
          <w:rFonts w:hint="eastAsia" w:ascii="宋体" w:hAnsi="宋体"/>
          <w:kern w:val="0"/>
          <w:sz w:val="28"/>
          <w:szCs w:val="28"/>
        </w:rPr>
        <w:t>：</w:t>
      </w:r>
      <w:r>
        <w:rPr>
          <w:rFonts w:hint="eastAsia" w:ascii="宋体" w:hAnsi="宋体"/>
          <w:bCs/>
          <w:kern w:val="0"/>
          <w:sz w:val="28"/>
          <w:szCs w:val="28"/>
        </w:rPr>
        <w:t>乌鲁木齐市雪莲小学</w:t>
      </w:r>
    </w:p>
    <w:p>
      <w:pPr>
        <w:autoSpaceDE w:val="0"/>
        <w:autoSpaceDN w:val="0"/>
        <w:adjustRightInd w:val="0"/>
        <w:spacing w:line="600" w:lineRule="auto"/>
        <w:rPr>
          <w:rFonts w:ascii="宋体" w:hAnsi="宋体"/>
          <w:bCs/>
          <w:kern w:val="0"/>
          <w:sz w:val="28"/>
          <w:szCs w:val="28"/>
        </w:rPr>
      </w:pPr>
      <w:r>
        <w:rPr>
          <w:rFonts w:hint="eastAsia" w:ascii="宋体" w:hAnsi="宋体"/>
          <w:bCs/>
          <w:kern w:val="0"/>
          <w:sz w:val="28"/>
          <w:szCs w:val="28"/>
        </w:rPr>
        <w:t>法定代表人（盖章）：</w:t>
      </w:r>
      <w:r>
        <w:rPr>
          <w:rFonts w:ascii="宋体" w:hAnsi="宋体"/>
          <w:bCs/>
          <w:kern w:val="0"/>
          <w:sz w:val="28"/>
          <w:szCs w:val="28"/>
        </w:rPr>
        <w:t xml:space="preserve"> </w:t>
      </w:r>
    </w:p>
    <w:p>
      <w:pPr>
        <w:autoSpaceDE w:val="0"/>
        <w:autoSpaceDN w:val="0"/>
        <w:adjustRightInd w:val="0"/>
        <w:spacing w:line="600" w:lineRule="auto"/>
        <w:rPr>
          <w:rFonts w:ascii="宋体" w:hAnsi="宋体"/>
          <w:kern w:val="0"/>
          <w:sz w:val="28"/>
          <w:szCs w:val="28"/>
        </w:rPr>
      </w:pPr>
      <w:r>
        <w:rPr>
          <w:rFonts w:hint="eastAsia" w:ascii="宋体" w:hAnsi="宋体"/>
          <w:kern w:val="0"/>
          <w:sz w:val="28"/>
          <w:szCs w:val="28"/>
        </w:rPr>
        <w:t xml:space="preserve">项目联系人：雷礼军          </w:t>
      </w:r>
    </w:p>
    <w:p>
      <w:pPr>
        <w:autoSpaceDE w:val="0"/>
        <w:autoSpaceDN w:val="0"/>
        <w:adjustRightInd w:val="0"/>
        <w:spacing w:line="600" w:lineRule="auto"/>
        <w:rPr>
          <w:rFonts w:ascii="宋体" w:hAnsi="宋体"/>
          <w:kern w:val="0"/>
          <w:sz w:val="28"/>
          <w:szCs w:val="28"/>
        </w:rPr>
      </w:pPr>
      <w:r>
        <w:rPr>
          <w:rFonts w:hint="eastAsia" w:ascii="宋体" w:hAnsi="宋体"/>
          <w:spacing w:val="24"/>
          <w:kern w:val="0"/>
          <w:sz w:val="28"/>
          <w:szCs w:val="28"/>
        </w:rPr>
        <w:t>联系电</w:t>
      </w:r>
      <w:r>
        <w:rPr>
          <w:rFonts w:hint="eastAsia" w:ascii="宋体" w:hAnsi="宋体"/>
          <w:spacing w:val="1"/>
          <w:kern w:val="0"/>
          <w:sz w:val="28"/>
          <w:szCs w:val="28"/>
        </w:rPr>
        <w:t>话</w:t>
      </w:r>
      <w:r>
        <w:rPr>
          <w:rFonts w:hint="eastAsia" w:ascii="宋体" w:hAnsi="宋体"/>
          <w:kern w:val="0"/>
          <w:sz w:val="28"/>
          <w:szCs w:val="28"/>
        </w:rPr>
        <w:t>：</w:t>
      </w:r>
      <w:r>
        <w:rPr>
          <w:rFonts w:ascii="宋体" w:hAnsi="宋体"/>
          <w:kern w:val="0"/>
          <w:sz w:val="28"/>
          <w:szCs w:val="28"/>
        </w:rPr>
        <w:t>18599430214</w:t>
      </w:r>
      <w:r>
        <w:rPr>
          <w:rFonts w:hint="eastAsia" w:ascii="宋体" w:hAnsi="宋体"/>
          <w:kern w:val="0"/>
          <w:sz w:val="28"/>
          <w:szCs w:val="28"/>
        </w:rPr>
        <w:t>　</w:t>
      </w:r>
    </w:p>
    <w:p>
      <w:pPr>
        <w:autoSpaceDE w:val="0"/>
        <w:autoSpaceDN w:val="0"/>
        <w:adjustRightInd w:val="0"/>
        <w:spacing w:line="600" w:lineRule="auto"/>
        <w:rPr>
          <w:rFonts w:ascii="宋体" w:hAnsi="宋体"/>
          <w:kern w:val="0"/>
          <w:sz w:val="28"/>
          <w:szCs w:val="28"/>
          <w:u w:val="single"/>
        </w:rPr>
      </w:pPr>
      <w:r>
        <w:rPr>
          <w:rFonts w:hint="eastAsia" w:ascii="宋体" w:hAnsi="宋体"/>
          <w:kern w:val="0"/>
          <w:sz w:val="28"/>
          <w:szCs w:val="28"/>
        </w:rPr>
        <w:t>详细地址：乌鲁木齐市</w:t>
      </w:r>
    </w:p>
    <w:p>
      <w:pPr>
        <w:spacing w:line="600" w:lineRule="auto"/>
        <w:ind w:firstLine="453" w:firstLineChars="162"/>
        <w:rPr>
          <w:rFonts w:ascii="宋体" w:hAnsi="宋体"/>
          <w:bCs/>
          <w:sz w:val="28"/>
          <w:szCs w:val="28"/>
        </w:rPr>
      </w:pPr>
    </w:p>
    <w:p>
      <w:pPr>
        <w:spacing w:line="600" w:lineRule="auto"/>
        <w:ind w:firstLine="453" w:firstLineChars="162"/>
        <w:rPr>
          <w:rFonts w:ascii="宋体" w:hAnsi="宋体"/>
          <w:bCs/>
          <w:sz w:val="28"/>
          <w:szCs w:val="28"/>
        </w:rPr>
      </w:pPr>
      <w:r>
        <w:rPr>
          <w:rFonts w:ascii="宋体" w:hAnsi="宋体"/>
          <w:bCs/>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5534025" cy="0"/>
                <wp:effectExtent l="12700" t="7620" r="28575" b="304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wps:spPr>
                      <wps:bodyPr/>
                    </wps:wsp>
                  </a:graphicData>
                </a:graphic>
              </wp:anchor>
            </w:drawing>
          </mc:Choice>
          <mc:Fallback>
            <w:pict>
              <v:line id="Line 3" o:spid="_x0000_s1026" o:spt="20" style="position:absolute;left:0pt;margin-left:9pt;margin-top:9.6pt;height:0pt;width:435.75pt;z-index:251659264;mso-width-relative:page;mso-height-relative:page;" filled="f" stroked="t" coordsize="21600,21600" o:gfxdata="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M4UpHUAAAACAEAAA8AAAAAAAAAAQAgAAAA&#10;IgAAAGRycy9kb3ducmV2LnhtbFBLAQIUABQAAAAIAIdO4kAm8SMf1gEAALoDAAAOAAAAAAAAAAEA&#10;IAAAACMBAABkcnMvZTJvRG9jLnhtbFBLBQYAAAAABgAGAFkBAABrBQAAAAA=&#10;">
                <v:fill on="f" focussize="0,0"/>
                <v:stroke weight="1.25pt" color="#000000" joinstyle="round" dashstyle="1 1"/>
                <v:imagedata o:title=""/>
                <o:lock v:ext="edit" aspectratio="f"/>
              </v:line>
            </w:pict>
          </mc:Fallback>
        </mc:AlternateContent>
      </w:r>
    </w:p>
    <w:p>
      <w:pPr>
        <w:autoSpaceDE w:val="0"/>
        <w:autoSpaceDN w:val="0"/>
        <w:adjustRightInd w:val="0"/>
        <w:spacing w:line="600" w:lineRule="auto"/>
        <w:rPr>
          <w:rFonts w:ascii="宋体" w:hAnsi="宋体"/>
          <w:kern w:val="0"/>
          <w:sz w:val="28"/>
          <w:szCs w:val="28"/>
        </w:rPr>
      </w:pPr>
      <w:r>
        <w:rPr>
          <w:rFonts w:hint="eastAsia" w:ascii="宋体" w:hAnsi="宋体"/>
          <w:kern w:val="0"/>
          <w:sz w:val="28"/>
          <w:szCs w:val="28"/>
        </w:rPr>
        <w:t>招标代理机构（盖章）：新疆惠帝工程管理有限责任公司</w:t>
      </w:r>
    </w:p>
    <w:p>
      <w:pPr>
        <w:autoSpaceDE w:val="0"/>
        <w:autoSpaceDN w:val="0"/>
        <w:adjustRightInd w:val="0"/>
        <w:spacing w:line="600" w:lineRule="auto"/>
        <w:rPr>
          <w:rFonts w:ascii="宋体" w:hAnsi="宋体"/>
          <w:bCs/>
          <w:kern w:val="0"/>
          <w:sz w:val="28"/>
          <w:szCs w:val="28"/>
        </w:rPr>
      </w:pPr>
      <w:r>
        <w:rPr>
          <w:rFonts w:hint="eastAsia" w:ascii="宋体" w:hAnsi="宋体"/>
          <w:bCs/>
          <w:kern w:val="0"/>
          <w:sz w:val="28"/>
          <w:szCs w:val="28"/>
        </w:rPr>
        <w:t>法定代表人（盖章）：</w:t>
      </w:r>
    </w:p>
    <w:p>
      <w:pPr>
        <w:autoSpaceDE w:val="0"/>
        <w:autoSpaceDN w:val="0"/>
        <w:adjustRightInd w:val="0"/>
        <w:spacing w:line="600" w:lineRule="auto"/>
        <w:rPr>
          <w:rFonts w:ascii="宋体" w:hAnsi="宋体"/>
          <w:kern w:val="0"/>
          <w:sz w:val="28"/>
          <w:szCs w:val="28"/>
          <w:u w:val="single"/>
        </w:rPr>
      </w:pPr>
      <w:r>
        <w:rPr>
          <w:rFonts w:hint="eastAsia" w:ascii="宋体" w:hAnsi="宋体"/>
          <w:kern w:val="0"/>
          <w:sz w:val="28"/>
          <w:szCs w:val="28"/>
        </w:rPr>
        <w:t>联 系 人：马轩宇、刘媛</w:t>
      </w:r>
    </w:p>
    <w:p>
      <w:pPr>
        <w:autoSpaceDE w:val="0"/>
        <w:autoSpaceDN w:val="0"/>
        <w:adjustRightInd w:val="0"/>
        <w:spacing w:line="600" w:lineRule="auto"/>
        <w:rPr>
          <w:rFonts w:ascii="宋体" w:hAnsi="宋体"/>
          <w:kern w:val="0"/>
          <w:sz w:val="28"/>
          <w:szCs w:val="28"/>
        </w:rPr>
      </w:pPr>
      <w:r>
        <w:rPr>
          <w:rFonts w:hint="eastAsia" w:ascii="宋体" w:hAnsi="宋体"/>
          <w:kern w:val="0"/>
          <w:sz w:val="28"/>
          <w:szCs w:val="28"/>
        </w:rPr>
        <w:t>联系电话：</w:t>
      </w:r>
      <w:r>
        <w:rPr>
          <w:rFonts w:ascii="宋体" w:hAnsi="宋体"/>
          <w:kern w:val="0"/>
          <w:sz w:val="28"/>
          <w:szCs w:val="28"/>
        </w:rPr>
        <w:t>0991-4655959</w:t>
      </w:r>
      <w:r>
        <w:rPr>
          <w:rFonts w:hint="eastAsia" w:ascii="宋体" w:hAnsi="宋体"/>
          <w:kern w:val="0"/>
          <w:sz w:val="28"/>
          <w:szCs w:val="28"/>
        </w:rPr>
        <w:t xml:space="preserve"> 、13671117866</w:t>
      </w:r>
    </w:p>
    <w:p>
      <w:pPr>
        <w:rPr>
          <w:rFonts w:ascii="宋体" w:hAnsi="宋体"/>
          <w:b/>
          <w:sz w:val="48"/>
        </w:rPr>
      </w:pPr>
      <w:r>
        <w:rPr>
          <w:rFonts w:hint="eastAsia" w:ascii="宋体" w:hAnsi="宋体"/>
          <w:kern w:val="0"/>
          <w:sz w:val="28"/>
          <w:szCs w:val="28"/>
        </w:rPr>
        <w:t xml:space="preserve">联系地址：乌鲁木齐市水磨沟区龙盛街898号万科中央公园S2-14楼  </w:t>
      </w:r>
    </w:p>
    <w:p>
      <w:pPr>
        <w:pStyle w:val="3"/>
        <w:keepNext w:val="0"/>
        <w:snapToGrid w:val="0"/>
        <w:spacing w:line="360" w:lineRule="auto"/>
        <w:jc w:val="center"/>
        <w:rPr>
          <w:rFonts w:ascii="宋体" w:hAnsi="宋体" w:eastAsia="宋体"/>
          <w:b/>
          <w:sz w:val="44"/>
        </w:rPr>
      </w:pPr>
      <w:bookmarkStart w:id="0" w:name="_Toc523163504"/>
    </w:p>
    <w:p>
      <w:pPr>
        <w:pStyle w:val="3"/>
        <w:keepNext w:val="0"/>
        <w:snapToGrid w:val="0"/>
        <w:spacing w:line="360" w:lineRule="auto"/>
        <w:jc w:val="center"/>
        <w:rPr>
          <w:rFonts w:ascii="宋体" w:hAnsi="宋体" w:eastAsia="宋体"/>
          <w:b/>
          <w:sz w:val="44"/>
        </w:rPr>
      </w:pPr>
    </w:p>
    <w:p>
      <w:pPr>
        <w:pStyle w:val="3"/>
        <w:keepNext w:val="0"/>
        <w:snapToGrid w:val="0"/>
        <w:spacing w:line="360" w:lineRule="auto"/>
        <w:jc w:val="center"/>
        <w:rPr>
          <w:rFonts w:ascii="宋体" w:hAnsi="宋体" w:eastAsia="宋体"/>
          <w:b/>
          <w:sz w:val="44"/>
        </w:rPr>
      </w:pPr>
    </w:p>
    <w:p>
      <w:pPr>
        <w:pStyle w:val="3"/>
        <w:keepNext w:val="0"/>
        <w:snapToGrid w:val="0"/>
        <w:spacing w:line="360" w:lineRule="auto"/>
        <w:jc w:val="center"/>
        <w:rPr>
          <w:rFonts w:ascii="宋体" w:hAnsi="宋体"/>
          <w:b/>
          <w:sz w:val="44"/>
        </w:rPr>
      </w:pPr>
      <w:r>
        <w:rPr>
          <w:rFonts w:ascii="宋体" w:hAnsi="宋体" w:eastAsia="宋体"/>
          <w:b/>
          <w:sz w:val="44"/>
        </w:rPr>
        <w:br w:type="page"/>
      </w:r>
      <w:bookmarkEnd w:id="0"/>
      <w:bookmarkStart w:id="1" w:name="_Toc50913176"/>
    </w:p>
    <w:p>
      <w:pPr>
        <w:pStyle w:val="3"/>
        <w:keepNext w:val="0"/>
        <w:snapToGrid w:val="0"/>
        <w:spacing w:line="292" w:lineRule="auto"/>
        <w:jc w:val="center"/>
        <w:rPr>
          <w:rFonts w:ascii="宋体" w:hAnsi="宋体" w:eastAsia="宋体"/>
          <w:b/>
          <w:sz w:val="44"/>
        </w:rPr>
      </w:pPr>
      <w:r>
        <w:rPr>
          <w:rFonts w:hint="eastAsia" w:ascii="宋体" w:hAnsi="宋体" w:eastAsia="宋体"/>
          <w:b/>
          <w:sz w:val="44"/>
        </w:rPr>
        <w:t>第一章  磋商</w:t>
      </w:r>
      <w:bookmarkStart w:id="2" w:name="_Hlt26954812"/>
      <w:bookmarkEnd w:id="2"/>
      <w:bookmarkStart w:id="3" w:name="_Hlt24878930"/>
      <w:bookmarkEnd w:id="3"/>
      <w:bookmarkStart w:id="4" w:name="_Hlt26954814"/>
      <w:bookmarkEnd w:id="4"/>
      <w:bookmarkStart w:id="5" w:name="_Hlt26670333"/>
      <w:bookmarkEnd w:id="5"/>
      <w:bookmarkStart w:id="6" w:name="_Hlt26668849"/>
      <w:bookmarkEnd w:id="6"/>
      <w:bookmarkStart w:id="7" w:name="_Hlt26670335"/>
      <w:bookmarkEnd w:id="7"/>
      <w:bookmarkStart w:id="8" w:name="_Hlt26668844"/>
      <w:bookmarkEnd w:id="8"/>
      <w:bookmarkStart w:id="9" w:name="_Toc14577340"/>
      <w:bookmarkStart w:id="10" w:name="_Toc49090495"/>
      <w:bookmarkStart w:id="11" w:name="_Toc513029202"/>
      <w:r>
        <w:rPr>
          <w:rFonts w:hint="eastAsia" w:ascii="宋体" w:hAnsi="宋体" w:eastAsia="宋体"/>
          <w:b/>
          <w:sz w:val="44"/>
        </w:rPr>
        <w:t>公告</w:t>
      </w:r>
      <w:bookmarkEnd w:id="1"/>
    </w:p>
    <w:p>
      <w:pPr>
        <w:pStyle w:val="140"/>
        <w:spacing w:line="360" w:lineRule="auto"/>
        <w:ind w:left="720" w:firstLine="0" w:firstLineChars="0"/>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乌鲁木齐市雪莲小学多媒体黑板项目</w:t>
      </w:r>
    </w:p>
    <w:p>
      <w:pPr>
        <w:pStyle w:val="140"/>
        <w:spacing w:line="360" w:lineRule="auto"/>
        <w:ind w:left="720" w:firstLine="0" w:firstLineChars="0"/>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竞争性磋商公告</w:t>
      </w:r>
    </w:p>
    <w:p>
      <w:pPr>
        <w:pStyle w:val="140"/>
        <w:spacing w:line="360" w:lineRule="auto"/>
        <w:ind w:left="720" w:firstLine="0" w:firstLineChars="0"/>
        <w:jc w:val="cente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（招标编号HD20221221）</w:t>
      </w:r>
    </w:p>
    <w:p>
      <w:pPr>
        <w:spacing w:line="360" w:lineRule="auto"/>
        <w:ind w:firstLine="241" w:firstLineChars="100"/>
        <w:jc w:val="left"/>
        <w:rPr>
          <w:rFonts w:asciiTheme="minorEastAsia" w:hAnsiTheme="minorEastAsia" w:eastAsiaTheme="minorEastAsia"/>
          <w:b/>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kern w:val="0"/>
          <w:sz w:val="24"/>
          <w14:textFill>
            <w14:solidFill>
              <w14:schemeClr w14:val="tx1"/>
            </w14:solidFill>
          </w14:textFill>
        </w:rPr>
        <w:t>一、招标条件</w:t>
      </w:r>
    </w:p>
    <w:p>
      <w:pPr>
        <w:spacing w:line="360" w:lineRule="auto"/>
        <w:ind w:firstLine="720" w:firstLineChars="300"/>
        <w:jc w:val="left"/>
        <w:rPr>
          <w:rFonts w:asciiTheme="minorEastAsia" w:hAnsiTheme="minorEastAsia" w:eastAsiaTheme="minorEastAsia"/>
          <w:kern w:val="0"/>
          <w:sz w:val="24"/>
        </w:rPr>
      </w:pPr>
      <w:r>
        <w:rPr>
          <w:rFonts w:hint="eastAsia" w:asciiTheme="minorEastAsia" w:hAnsiTheme="minorEastAsia" w:eastAsiaTheme="minorEastAsia"/>
          <w:kern w:val="0"/>
          <w:sz w:val="24"/>
        </w:rPr>
        <w:t>乌鲁木齐市雪莲小学多媒体黑板项目已审批，项目资金来源为财政资金，招标人为乌鲁木齐市雪莲小学。本项目已具备招标条件，采购方式为竞争性磋商。</w:t>
      </w:r>
    </w:p>
    <w:p>
      <w:pPr>
        <w:spacing w:line="360" w:lineRule="auto"/>
        <w:ind w:firstLine="241" w:firstLineChars="1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二、项目概况和招标范围</w:t>
      </w:r>
    </w:p>
    <w:p>
      <w:pPr>
        <w:spacing w:line="360" w:lineRule="auto"/>
        <w:ind w:firstLine="240" w:firstLineChars="100"/>
        <w:jc w:val="left"/>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范围：多媒体黑板、</w:t>
      </w:r>
      <w:r>
        <w:rPr>
          <w:rFonts w:hint="eastAsia" w:asciiTheme="minorEastAsia" w:hAnsiTheme="minorEastAsia" w:eastAsiaTheme="minorEastAsia"/>
          <w:kern w:val="0"/>
          <w:sz w:val="24"/>
        </w:rPr>
        <w:t>安装、培训等</w:t>
      </w:r>
      <w:r>
        <w:rPr>
          <w:rFonts w:hint="eastAsia" w:asciiTheme="minorEastAsia" w:hAnsiTheme="minorEastAsia" w:eastAsiaTheme="minorEastAsia"/>
          <w:color w:val="000000" w:themeColor="text1"/>
          <w:kern w:val="0"/>
          <w:sz w:val="24"/>
          <w14:textFill>
            <w14:solidFill>
              <w14:schemeClr w14:val="tx1"/>
            </w14:solidFill>
          </w14:textFill>
        </w:rPr>
        <w:t>；</w:t>
      </w:r>
    </w:p>
    <w:p>
      <w:pPr>
        <w:spacing w:line="360" w:lineRule="auto"/>
        <w:ind w:firstLine="241" w:firstLineChars="1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三、投标人资格要求</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1、供应商须符合《中华人民共和国政府采购法》第二十二条规定；</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spacing w:line="360" w:lineRule="auto"/>
        <w:ind w:firstLine="240" w:firstLineChars="100"/>
        <w:jc w:val="left"/>
        <w:rPr>
          <w:rFonts w:asciiTheme="minorEastAsia" w:hAnsiTheme="minorEastAsia" w:eastAsiaTheme="minorEastAsia"/>
          <w:bCs/>
          <w:kern w:val="0"/>
          <w:sz w:val="24"/>
        </w:rPr>
      </w:pPr>
      <w:r>
        <w:rPr>
          <w:rFonts w:hint="eastAsia" w:asciiTheme="minorEastAsia" w:hAnsiTheme="minorEastAsia" w:eastAsiaTheme="minorEastAsia"/>
          <w:bCs/>
          <w:kern w:val="0"/>
          <w:sz w:val="24"/>
        </w:rPr>
        <w:t>9、本项目不接受联合体投标；</w:t>
      </w:r>
    </w:p>
    <w:p>
      <w:pPr>
        <w:pStyle w:val="2"/>
      </w:pP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10、供应商须提供法人授权委托书及有效身份证明原件或法人身份证明及有效身份证明原件；</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注：获取采购文件时须提供2-10项原件及复印件1份（复印件加盖公章）招标文件费：200元（一经售出，概不退还）。</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特别提示：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60" w:lineRule="auto"/>
        <w:ind w:firstLine="241" w:firstLineChars="100"/>
        <w:jc w:val="left"/>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四、招标文件的获取</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获取时间：2022年12月</w:t>
      </w:r>
      <w:r>
        <w:rPr>
          <w:rFonts w:hint="eastAsia" w:asciiTheme="minorEastAsia" w:hAnsiTheme="minorEastAsia" w:eastAsiaTheme="minorEastAsia"/>
          <w:color w:val="FF0000"/>
          <w:kern w:val="0"/>
          <w:sz w:val="24"/>
          <w:lang w:val="en-US" w:eastAsia="zh-CN"/>
        </w:rPr>
        <w:t>20</w:t>
      </w:r>
      <w:r>
        <w:rPr>
          <w:rFonts w:hint="eastAsia" w:asciiTheme="minorEastAsia" w:hAnsiTheme="minorEastAsia" w:eastAsiaTheme="minorEastAsia"/>
          <w:color w:val="FF0000"/>
          <w:kern w:val="0"/>
          <w:sz w:val="24"/>
        </w:rPr>
        <w:t>日至202</w:t>
      </w:r>
      <w:r>
        <w:rPr>
          <w:rFonts w:hint="eastAsia" w:asciiTheme="minorEastAsia" w:hAnsiTheme="minorEastAsia" w:eastAsiaTheme="minorEastAsia"/>
          <w:color w:val="FF0000"/>
          <w:kern w:val="0"/>
          <w:sz w:val="24"/>
          <w:lang w:val="en-US" w:eastAsia="zh-CN"/>
        </w:rPr>
        <w:t>2</w:t>
      </w:r>
      <w:r>
        <w:rPr>
          <w:rFonts w:hint="eastAsia" w:asciiTheme="minorEastAsia" w:hAnsiTheme="minorEastAsia" w:eastAsiaTheme="minorEastAsia"/>
          <w:color w:val="FF0000"/>
          <w:kern w:val="0"/>
          <w:sz w:val="24"/>
        </w:rPr>
        <w:t>年12月2</w:t>
      </w:r>
      <w:r>
        <w:rPr>
          <w:rFonts w:hint="eastAsia" w:asciiTheme="minorEastAsia" w:hAnsiTheme="minorEastAsia" w:eastAsiaTheme="minorEastAsia"/>
          <w:color w:val="FF0000"/>
          <w:kern w:val="0"/>
          <w:sz w:val="24"/>
          <w:lang w:val="en-US" w:eastAsia="zh-CN"/>
        </w:rPr>
        <w:t>7</w:t>
      </w:r>
      <w:bookmarkStart w:id="258" w:name="_GoBack"/>
      <w:bookmarkEnd w:id="258"/>
      <w:r>
        <w:rPr>
          <w:rFonts w:hint="eastAsia" w:asciiTheme="minorEastAsia" w:hAnsiTheme="minorEastAsia" w:eastAsiaTheme="minorEastAsia"/>
          <w:color w:val="FF0000"/>
          <w:kern w:val="0"/>
          <w:sz w:val="24"/>
        </w:rPr>
        <w:t>日（上午10：30至13：30，下午15：30至18：30北京时间）</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获取方式：将投标供应商的资格要求中1-8条资料加盖公章的复印件一份在新疆惠帝工程管理有限责任公司乌鲁木齐市龙盛街</w:t>
      </w:r>
      <w:r>
        <w:rPr>
          <w:rFonts w:asciiTheme="minorEastAsia" w:hAnsiTheme="minorEastAsia" w:eastAsiaTheme="minorEastAsia"/>
          <w:color w:val="FF0000"/>
          <w:kern w:val="0"/>
          <w:sz w:val="24"/>
        </w:rPr>
        <w:t>898</w:t>
      </w:r>
      <w:r>
        <w:rPr>
          <w:rFonts w:hint="eastAsia" w:asciiTheme="minorEastAsia" w:hAnsiTheme="minorEastAsia" w:eastAsiaTheme="minorEastAsia"/>
          <w:color w:val="FF0000"/>
          <w:kern w:val="0"/>
          <w:sz w:val="24"/>
        </w:rPr>
        <w:t>号万科中央公园</w:t>
      </w:r>
      <w:r>
        <w:rPr>
          <w:rFonts w:asciiTheme="minorEastAsia" w:hAnsiTheme="minorEastAsia" w:eastAsiaTheme="minorEastAsia"/>
          <w:color w:val="FF0000"/>
          <w:kern w:val="0"/>
          <w:sz w:val="24"/>
        </w:rPr>
        <w:t>S2</w:t>
      </w:r>
      <w:r>
        <w:rPr>
          <w:rFonts w:hint="eastAsia" w:asciiTheme="minorEastAsia" w:hAnsiTheme="minorEastAsia" w:eastAsiaTheme="minorEastAsia"/>
          <w:color w:val="FF0000"/>
          <w:kern w:val="0"/>
          <w:sz w:val="24"/>
        </w:rPr>
        <w:t>十四楼）领取，并且1-7条资料原件备查；</w:t>
      </w:r>
    </w:p>
    <w:p>
      <w:pPr>
        <w:spacing w:line="360" w:lineRule="auto"/>
        <w:ind w:firstLine="241" w:firstLineChars="100"/>
        <w:jc w:val="left"/>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五、投标文件的递交</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递交截止时间：2022年12月30日11时00分</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递交方式：新疆惠帝工程管理有限责任公司会议室（乌鲁木齐市龙盛街</w:t>
      </w:r>
      <w:r>
        <w:rPr>
          <w:rFonts w:asciiTheme="minorEastAsia" w:hAnsiTheme="minorEastAsia" w:eastAsiaTheme="minorEastAsia"/>
          <w:color w:val="FF0000"/>
          <w:kern w:val="0"/>
          <w:sz w:val="24"/>
        </w:rPr>
        <w:t>898</w:t>
      </w:r>
      <w:r>
        <w:rPr>
          <w:rFonts w:hint="eastAsia" w:asciiTheme="minorEastAsia" w:hAnsiTheme="minorEastAsia" w:eastAsiaTheme="minorEastAsia"/>
          <w:color w:val="FF0000"/>
          <w:kern w:val="0"/>
          <w:sz w:val="24"/>
        </w:rPr>
        <w:t>号万科中央公园</w:t>
      </w:r>
      <w:r>
        <w:rPr>
          <w:rFonts w:asciiTheme="minorEastAsia" w:hAnsiTheme="minorEastAsia" w:eastAsiaTheme="minorEastAsia"/>
          <w:color w:val="FF0000"/>
          <w:kern w:val="0"/>
          <w:sz w:val="24"/>
        </w:rPr>
        <w:t>S2</w:t>
      </w:r>
      <w:r>
        <w:rPr>
          <w:rFonts w:hint="eastAsia" w:asciiTheme="minorEastAsia" w:hAnsiTheme="minorEastAsia" w:eastAsiaTheme="minorEastAsia"/>
          <w:color w:val="FF0000"/>
          <w:kern w:val="0"/>
          <w:sz w:val="24"/>
        </w:rPr>
        <w:t>十四楼）</w:t>
      </w:r>
    </w:p>
    <w:p>
      <w:pPr>
        <w:spacing w:line="360" w:lineRule="auto"/>
        <w:ind w:firstLine="241" w:firstLineChars="100"/>
        <w:jc w:val="left"/>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六、开标时间及地点</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开标时间：2022年12月30日11时00分</w:t>
      </w:r>
    </w:p>
    <w:p>
      <w:pPr>
        <w:spacing w:line="360" w:lineRule="auto"/>
        <w:ind w:firstLine="240" w:firstLineChars="100"/>
        <w:jc w:val="left"/>
        <w:rPr>
          <w:rFonts w:asciiTheme="minorEastAsia" w:hAnsiTheme="minorEastAsia" w:eastAsiaTheme="minorEastAsia"/>
          <w:color w:val="FF0000"/>
          <w:kern w:val="0"/>
          <w:sz w:val="24"/>
        </w:rPr>
      </w:pPr>
      <w:r>
        <w:rPr>
          <w:rFonts w:hint="eastAsia" w:asciiTheme="minorEastAsia" w:hAnsiTheme="minorEastAsia" w:eastAsiaTheme="minorEastAsia"/>
          <w:color w:val="FF0000"/>
          <w:kern w:val="0"/>
          <w:sz w:val="24"/>
        </w:rPr>
        <w:t>开标地点：新疆惠帝工程管理有限责任公司会议室（乌鲁木齐市龙盛街</w:t>
      </w:r>
      <w:r>
        <w:rPr>
          <w:rFonts w:asciiTheme="minorEastAsia" w:hAnsiTheme="minorEastAsia" w:eastAsiaTheme="minorEastAsia"/>
          <w:color w:val="FF0000"/>
          <w:kern w:val="0"/>
          <w:sz w:val="24"/>
        </w:rPr>
        <w:t>898</w:t>
      </w:r>
      <w:r>
        <w:rPr>
          <w:rFonts w:hint="eastAsia" w:asciiTheme="minorEastAsia" w:hAnsiTheme="minorEastAsia" w:eastAsiaTheme="minorEastAsia"/>
          <w:color w:val="FF0000"/>
          <w:kern w:val="0"/>
          <w:sz w:val="24"/>
        </w:rPr>
        <w:t>号万科中央公园</w:t>
      </w:r>
      <w:r>
        <w:rPr>
          <w:rFonts w:asciiTheme="minorEastAsia" w:hAnsiTheme="minorEastAsia" w:eastAsiaTheme="minorEastAsia"/>
          <w:color w:val="FF0000"/>
          <w:kern w:val="0"/>
          <w:sz w:val="24"/>
        </w:rPr>
        <w:t>S2</w:t>
      </w:r>
      <w:r>
        <w:rPr>
          <w:rFonts w:hint="eastAsia" w:asciiTheme="minorEastAsia" w:hAnsiTheme="minorEastAsia" w:eastAsiaTheme="minorEastAsia"/>
          <w:color w:val="FF0000"/>
          <w:kern w:val="0"/>
          <w:sz w:val="24"/>
        </w:rPr>
        <w:t>十四楼）</w:t>
      </w:r>
    </w:p>
    <w:p>
      <w:pPr>
        <w:spacing w:line="360" w:lineRule="auto"/>
        <w:jc w:val="left"/>
        <w:rPr>
          <w:rFonts w:asciiTheme="minorEastAsia" w:hAnsiTheme="minorEastAsia" w:eastAsiaTheme="minorEastAsia"/>
          <w:b/>
          <w:kern w:val="0"/>
          <w:sz w:val="24"/>
        </w:rPr>
      </w:pPr>
    </w:p>
    <w:p>
      <w:pPr>
        <w:spacing w:line="360" w:lineRule="auto"/>
        <w:ind w:firstLine="241" w:firstLineChars="1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七、联系方式</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招标人：乌鲁木齐市雪莲小学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地  址: 乌鲁木齐市</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联系人：雷礼军             联系电话：</w:t>
      </w:r>
      <w:r>
        <w:rPr>
          <w:rFonts w:asciiTheme="minorEastAsia" w:hAnsiTheme="minorEastAsia" w:eastAsiaTheme="minorEastAsia"/>
          <w:kern w:val="0"/>
          <w:sz w:val="24"/>
        </w:rPr>
        <w:t>18599430214</w:t>
      </w:r>
      <w:r>
        <w:rPr>
          <w:rFonts w:hint="eastAsia" w:asciiTheme="minorEastAsia" w:hAnsiTheme="minorEastAsia" w:eastAsiaTheme="minorEastAsia"/>
          <w:kern w:val="0"/>
          <w:sz w:val="24"/>
        </w:rPr>
        <w:t>　</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招标代理机构：新疆惠帝工程管理有限责任公司</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地    址: 乌鲁木齐市龙盛街</w:t>
      </w:r>
      <w:r>
        <w:rPr>
          <w:rFonts w:asciiTheme="minorEastAsia" w:hAnsiTheme="minorEastAsia" w:eastAsiaTheme="minorEastAsia"/>
          <w:kern w:val="0"/>
          <w:sz w:val="24"/>
        </w:rPr>
        <w:t>898</w:t>
      </w:r>
      <w:r>
        <w:rPr>
          <w:rFonts w:hint="eastAsia" w:asciiTheme="minorEastAsia" w:hAnsiTheme="minorEastAsia" w:eastAsiaTheme="minorEastAsia"/>
          <w:kern w:val="0"/>
          <w:sz w:val="24"/>
        </w:rPr>
        <w:t>号万科中央公园</w:t>
      </w:r>
      <w:r>
        <w:rPr>
          <w:rFonts w:asciiTheme="minorEastAsia" w:hAnsiTheme="minorEastAsia" w:eastAsiaTheme="minorEastAsia"/>
          <w:kern w:val="0"/>
          <w:sz w:val="24"/>
        </w:rPr>
        <w:t>S2</w:t>
      </w:r>
      <w:r>
        <w:rPr>
          <w:rFonts w:hint="eastAsia" w:asciiTheme="minorEastAsia" w:hAnsiTheme="minorEastAsia" w:eastAsiaTheme="minorEastAsia"/>
          <w:kern w:val="0"/>
          <w:sz w:val="24"/>
        </w:rPr>
        <w:t>十四楼</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联</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系</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人：马轩宇、刘媛</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联系电话：</w:t>
      </w:r>
      <w:r>
        <w:rPr>
          <w:rFonts w:asciiTheme="minorEastAsia" w:hAnsiTheme="minorEastAsia" w:eastAsiaTheme="minorEastAsia"/>
          <w:kern w:val="0"/>
          <w:sz w:val="24"/>
        </w:rPr>
        <w:t>0991-4</w:t>
      </w:r>
      <w:r>
        <w:rPr>
          <w:rFonts w:hint="eastAsia" w:asciiTheme="minorEastAsia" w:hAnsiTheme="minorEastAsia" w:eastAsiaTheme="minorEastAsia"/>
          <w:kern w:val="0"/>
          <w:sz w:val="24"/>
        </w:rPr>
        <w:t>655959 、13671117866</w:t>
      </w:r>
    </w:p>
    <w:p>
      <w:pPr>
        <w:spacing w:line="360" w:lineRule="auto"/>
        <w:rPr>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both"/>
      </w:pPr>
    </w:p>
    <w:p>
      <w:pPr>
        <w:pStyle w:val="3"/>
        <w:keepNext w:val="0"/>
        <w:snapToGrid w:val="0"/>
        <w:spacing w:line="360" w:lineRule="auto"/>
        <w:jc w:val="center"/>
        <w:rPr>
          <w:rFonts w:ascii="宋体" w:hAnsi="宋体" w:eastAsia="宋体"/>
          <w:b/>
          <w:sz w:val="48"/>
        </w:rPr>
      </w:pPr>
      <w:bookmarkStart w:id="12" w:name="_Toc50913177"/>
      <w:r>
        <w:rPr>
          <w:rFonts w:hint="eastAsia" w:ascii="宋体" w:hAnsi="宋体" w:eastAsia="宋体"/>
          <w:b/>
          <w:sz w:val="44"/>
        </w:rPr>
        <w:t>第二章 供应商须知</w:t>
      </w:r>
      <w:bookmarkEnd w:id="9"/>
      <w:bookmarkEnd w:id="10"/>
      <w:bookmarkEnd w:id="11"/>
      <w:bookmarkEnd w:id="12"/>
    </w:p>
    <w:p>
      <w:pPr>
        <w:pStyle w:val="4"/>
        <w:keepNext w:val="0"/>
        <w:keepLines w:val="0"/>
        <w:snapToGrid w:val="0"/>
        <w:spacing w:before="0" w:after="0" w:line="360" w:lineRule="auto"/>
        <w:rPr>
          <w:rFonts w:ascii="宋体" w:hAnsi="宋体" w:eastAsia="宋体"/>
          <w:sz w:val="28"/>
        </w:rPr>
      </w:pPr>
      <w:bookmarkStart w:id="13" w:name="_Hlt26668853"/>
      <w:bookmarkEnd w:id="13"/>
      <w:bookmarkStart w:id="14" w:name="_Hlt26954816"/>
      <w:bookmarkEnd w:id="14"/>
      <w:bookmarkStart w:id="15" w:name="_Toc14577341"/>
      <w:bookmarkStart w:id="16" w:name="_Toc49090496"/>
      <w:bookmarkStart w:id="17" w:name="_Toc513029203"/>
      <w:bookmarkStart w:id="18" w:name="_Toc50913178"/>
      <w:r>
        <w:rPr>
          <w:rFonts w:hint="eastAsia" w:ascii="宋体" w:hAnsi="宋体" w:eastAsia="宋体"/>
          <w:sz w:val="28"/>
        </w:rPr>
        <w:t>一、总则</w:t>
      </w:r>
      <w:bookmarkEnd w:id="15"/>
      <w:bookmarkEnd w:id="16"/>
      <w:bookmarkEnd w:id="17"/>
      <w:bookmarkEnd w:id="18"/>
      <w:bookmarkStart w:id="19" w:name="_Hlt26670338"/>
      <w:bookmarkEnd w:id="19"/>
      <w:bookmarkStart w:id="20" w:name="_Hlt26668857"/>
      <w:bookmarkEnd w:id="20"/>
      <w:bookmarkStart w:id="21" w:name="_Hlt26954818"/>
      <w:bookmarkEnd w:id="21"/>
      <w:bookmarkStart w:id="22" w:name="_Toc458694821"/>
    </w:p>
    <w:p>
      <w:pPr>
        <w:pStyle w:val="6"/>
        <w:snapToGrid w:val="0"/>
        <w:spacing w:before="0" w:after="0" w:line="360" w:lineRule="auto"/>
        <w:rPr>
          <w:rFonts w:ascii="宋体" w:hAnsi="宋体"/>
          <w:sz w:val="28"/>
        </w:rPr>
      </w:pPr>
      <w:bookmarkStart w:id="23" w:name="_Toc50913179"/>
      <w:r>
        <w:rPr>
          <w:rFonts w:hint="eastAsia" w:ascii="宋体" w:hAnsi="宋体"/>
          <w:sz w:val="28"/>
        </w:rPr>
        <w:t>1</w:t>
      </w:r>
      <w:bookmarkEnd w:id="22"/>
      <w:r>
        <w:rPr>
          <w:rFonts w:hint="eastAsia" w:ascii="宋体" w:hAnsi="宋体"/>
          <w:sz w:val="28"/>
        </w:rPr>
        <w:t>.</w:t>
      </w:r>
      <w:bookmarkStart w:id="24" w:name="_Toc513029204"/>
      <w:bookmarkStart w:id="25" w:name="_Toc49090497"/>
      <w:bookmarkStart w:id="26" w:name="_Toc14577342"/>
      <w:r>
        <w:rPr>
          <w:rFonts w:hint="eastAsia" w:ascii="宋体" w:hAnsi="宋体"/>
          <w:sz w:val="28"/>
        </w:rPr>
        <w:t xml:space="preserve"> 采购方式</w:t>
      </w:r>
      <w:bookmarkEnd w:id="23"/>
      <w:bookmarkEnd w:id="24"/>
      <w:bookmarkEnd w:id="25"/>
      <w:bookmarkEnd w:id="26"/>
    </w:p>
    <w:p>
      <w:pPr>
        <w:adjustRightInd w:val="0"/>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1.1本次采购采取竞争性磋商方式；</w:t>
      </w:r>
    </w:p>
    <w:p>
      <w:pPr>
        <w:pStyle w:val="6"/>
        <w:snapToGrid w:val="0"/>
        <w:spacing w:before="0" w:after="0" w:line="360" w:lineRule="auto"/>
        <w:rPr>
          <w:rFonts w:ascii="宋体" w:hAnsi="宋体"/>
          <w:b w:val="0"/>
          <w:bCs/>
          <w:spacing w:val="-8"/>
          <w:kern w:val="10"/>
          <w:position w:val="-14"/>
          <w:sz w:val="24"/>
          <w:szCs w:val="24"/>
        </w:rPr>
      </w:pPr>
      <w:bookmarkStart w:id="27" w:name="_Toc50913180"/>
      <w:bookmarkStart w:id="28" w:name="_Toc49090498"/>
      <w:bookmarkStart w:id="29" w:name="_Toc14577343"/>
      <w:bookmarkStart w:id="30" w:name="_Toc513029205"/>
      <w:r>
        <w:rPr>
          <w:rFonts w:hint="eastAsia" w:ascii="宋体" w:hAnsi="宋体"/>
          <w:sz w:val="28"/>
        </w:rPr>
        <w:t>2. 定义</w:t>
      </w:r>
      <w:bookmarkEnd w:id="27"/>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2.1 “采购人”指乌鲁木齐市雪莲小学；</w:t>
      </w:r>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2.2 “潜在供应商”指资质符合要求且购买磋商文件的供应商；</w:t>
      </w:r>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2.3 “供应商”指按本文件规定购买磋商文件并参加磋商的供应商；</w:t>
      </w:r>
    </w:p>
    <w:p>
      <w:pPr>
        <w:tabs>
          <w:tab w:val="left" w:pos="5295"/>
        </w:tabs>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2.4 “磋商组织人”新疆惠帝工程管理有限责任公司；</w:t>
      </w:r>
    </w:p>
    <w:p>
      <w:pPr>
        <w:tabs>
          <w:tab w:val="left" w:pos="5295"/>
        </w:tabs>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2.5  磋商文件中条款均系实质性要求条款，不允许偏离。</w:t>
      </w:r>
      <w:r>
        <w:rPr>
          <w:rFonts w:hint="eastAsia" w:ascii="宋体" w:hAnsi="宋体"/>
          <w:bCs/>
          <w:spacing w:val="-8"/>
          <w:kern w:val="10"/>
          <w:position w:val="-14"/>
          <w:sz w:val="24"/>
        </w:rPr>
        <w:tab/>
      </w:r>
    </w:p>
    <w:p>
      <w:pPr>
        <w:pStyle w:val="6"/>
        <w:snapToGrid w:val="0"/>
        <w:spacing w:before="0" w:after="0" w:line="360" w:lineRule="auto"/>
        <w:rPr>
          <w:rFonts w:ascii="宋体" w:hAnsi="宋体"/>
          <w:sz w:val="28"/>
        </w:rPr>
      </w:pPr>
      <w:bookmarkStart w:id="31" w:name="_Toc50913181"/>
      <w:r>
        <w:rPr>
          <w:rFonts w:hint="eastAsia" w:ascii="宋体" w:hAnsi="宋体"/>
          <w:sz w:val="28"/>
        </w:rPr>
        <w:t>3. 合格的</w:t>
      </w:r>
      <w:bookmarkEnd w:id="28"/>
      <w:bookmarkEnd w:id="29"/>
      <w:bookmarkEnd w:id="30"/>
      <w:r>
        <w:rPr>
          <w:rFonts w:hint="eastAsia" w:ascii="宋体" w:hAnsi="宋体"/>
          <w:sz w:val="28"/>
        </w:rPr>
        <w:t>供应商</w:t>
      </w:r>
      <w:bookmarkEnd w:id="31"/>
    </w:p>
    <w:p>
      <w:pPr>
        <w:spacing w:line="360" w:lineRule="auto"/>
        <w:ind w:firstLine="240" w:firstLineChars="100"/>
        <w:jc w:val="left"/>
        <w:rPr>
          <w:rFonts w:ascii="宋体" w:hAnsi="宋体"/>
          <w:bCs/>
          <w:spacing w:val="-8"/>
          <w:kern w:val="10"/>
          <w:position w:val="-14"/>
          <w:sz w:val="24"/>
        </w:rPr>
      </w:pPr>
      <w:r>
        <w:rPr>
          <w:rFonts w:hint="eastAsia" w:asciiTheme="minorEastAsia" w:hAnsiTheme="minorEastAsia" w:eastAsiaTheme="minorEastAsia"/>
          <w:kern w:val="0"/>
          <w:sz w:val="24"/>
        </w:rPr>
        <w:t>3.1.1</w:t>
      </w:r>
      <w:r>
        <w:rPr>
          <w:rFonts w:ascii="宋体" w:hAnsi="宋体"/>
          <w:bCs/>
          <w:spacing w:val="-8"/>
          <w:kern w:val="10"/>
          <w:position w:val="-14"/>
          <w:sz w:val="24"/>
        </w:rPr>
        <w:t xml:space="preserve"> </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（1）供应商须符合《中华人民共和国政府采购法》第二十二条规定；</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pStyle w:val="2"/>
        <w:ind w:firstLine="240" w:firstLineChars="100"/>
        <w:jc w:val="both"/>
        <w:rPr>
          <w:rFonts w:asciiTheme="minorEastAsia" w:hAnsiTheme="minorEastAsia" w:eastAsiaTheme="minorEastAsia"/>
          <w:kern w:val="0"/>
          <w:sz w:val="24"/>
        </w:rPr>
      </w:pPr>
      <w:r>
        <w:rPr>
          <w:rFonts w:hint="eastAsia" w:asciiTheme="minorEastAsia" w:hAnsiTheme="minorEastAsia" w:eastAsiaTheme="minorEastAsia"/>
          <w:kern w:val="0"/>
          <w:sz w:val="24"/>
        </w:rPr>
        <w:t>（9）本项目不接受联合体投标。</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特别提示：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napToGrid w:val="0"/>
        <w:spacing w:line="360" w:lineRule="auto"/>
        <w:rPr>
          <w:rFonts w:ascii="宋体" w:hAnsi="宋体"/>
          <w:bCs/>
          <w:spacing w:val="-8"/>
          <w:kern w:val="10"/>
          <w:position w:val="-14"/>
          <w:sz w:val="24"/>
        </w:rPr>
      </w:pPr>
      <w:r>
        <w:rPr>
          <w:rFonts w:hint="eastAsia" w:ascii="宋体" w:hAnsi="宋体"/>
          <w:bCs/>
          <w:spacing w:val="-8"/>
          <w:kern w:val="10"/>
          <w:position w:val="-14"/>
          <w:sz w:val="24"/>
        </w:rPr>
        <w:t>3.2 限制条款</w:t>
      </w:r>
    </w:p>
    <w:p>
      <w:pPr>
        <w:adjustRightInd w:val="0"/>
        <w:snapToGrid w:val="0"/>
        <w:spacing w:line="360" w:lineRule="auto"/>
        <w:jc w:val="left"/>
        <w:rPr>
          <w:rFonts w:ascii="宋体" w:hAnsi="宋体"/>
          <w:bCs/>
          <w:spacing w:val="-8"/>
          <w:kern w:val="10"/>
          <w:position w:val="-14"/>
          <w:sz w:val="24"/>
        </w:rPr>
      </w:pPr>
      <w:r>
        <w:rPr>
          <w:rFonts w:hint="eastAsia" w:ascii="宋体" w:hAnsi="宋体"/>
          <w:bCs/>
          <w:spacing w:val="-8"/>
          <w:kern w:val="10"/>
          <w:position w:val="-14"/>
          <w:sz w:val="24"/>
        </w:rPr>
        <w:t>3.2.1 单位负责人为同一人或者存在直接控股、管理关系的不同供应商，不得参加同一合同项下的政府采购活动。</w:t>
      </w:r>
    </w:p>
    <w:p>
      <w:pPr>
        <w:adjustRightInd w:val="0"/>
        <w:snapToGrid w:val="0"/>
        <w:spacing w:line="360" w:lineRule="auto"/>
        <w:jc w:val="left"/>
        <w:rPr>
          <w:rFonts w:ascii="宋体" w:hAnsi="宋体"/>
          <w:bCs/>
          <w:spacing w:val="-8"/>
          <w:kern w:val="10"/>
          <w:position w:val="-14"/>
          <w:sz w:val="24"/>
        </w:rPr>
      </w:pPr>
      <w:r>
        <w:rPr>
          <w:rFonts w:hint="eastAsia" w:ascii="宋体" w:hAnsi="宋体"/>
          <w:bCs/>
          <w:spacing w:val="-8"/>
          <w:kern w:val="10"/>
          <w:position w:val="-14"/>
          <w:sz w:val="24"/>
        </w:rPr>
        <w:t>3.2.2供应商应当从采购代理机构合法获得采购项目的磋商文件。</w:t>
      </w:r>
    </w:p>
    <w:p>
      <w:pPr>
        <w:adjustRightInd w:val="0"/>
        <w:snapToGrid w:val="0"/>
        <w:spacing w:line="360" w:lineRule="auto"/>
        <w:jc w:val="left"/>
        <w:rPr>
          <w:rFonts w:ascii="宋体" w:hAnsi="宋体"/>
          <w:bCs/>
          <w:spacing w:val="-8"/>
          <w:kern w:val="10"/>
          <w:position w:val="-14"/>
          <w:sz w:val="24"/>
        </w:rPr>
      </w:pPr>
      <w:r>
        <w:rPr>
          <w:rFonts w:hint="eastAsia" w:ascii="宋体" w:hAnsi="宋体"/>
          <w:bCs/>
          <w:spacing w:val="-8"/>
          <w:kern w:val="10"/>
          <w:position w:val="-14"/>
          <w:sz w:val="24"/>
        </w:rPr>
        <w:t>3.2.3 本项目不接受联合体投标。</w:t>
      </w:r>
    </w:p>
    <w:p>
      <w:pPr>
        <w:snapToGrid w:val="0"/>
        <w:spacing w:line="360" w:lineRule="auto"/>
        <w:rPr>
          <w:rFonts w:ascii="宋体" w:hAnsi="宋体"/>
          <w:bCs/>
          <w:sz w:val="24"/>
        </w:rPr>
      </w:pPr>
      <w:r>
        <w:rPr>
          <w:rFonts w:hint="eastAsia" w:ascii="宋体" w:hAnsi="宋体"/>
          <w:bCs/>
          <w:sz w:val="24"/>
        </w:rPr>
        <w:t xml:space="preserve">3.3承认并承诺履行本招标文件的各项要约或条件； </w:t>
      </w:r>
    </w:p>
    <w:p>
      <w:pPr>
        <w:snapToGrid w:val="0"/>
        <w:spacing w:line="360" w:lineRule="auto"/>
        <w:rPr>
          <w:rFonts w:ascii="宋体" w:hAnsi="宋体"/>
          <w:sz w:val="24"/>
        </w:rPr>
      </w:pPr>
      <w:r>
        <w:rPr>
          <w:rFonts w:hint="eastAsia" w:ascii="宋体" w:hAnsi="宋体"/>
          <w:bCs/>
          <w:sz w:val="24"/>
        </w:rPr>
        <w:t>3.4供应商</w:t>
      </w:r>
      <w:r>
        <w:rPr>
          <w:rFonts w:hint="eastAsia" w:ascii="宋体" w:hAnsi="宋体"/>
          <w:sz w:val="24"/>
        </w:rPr>
        <w:t>应遵守国家相关法律、法规和政策等。</w:t>
      </w:r>
    </w:p>
    <w:p>
      <w:pPr>
        <w:adjustRightInd w:val="0"/>
        <w:snapToGrid w:val="0"/>
        <w:spacing w:line="360" w:lineRule="auto"/>
        <w:jc w:val="left"/>
        <w:rPr>
          <w:rFonts w:ascii="宋体" w:hAnsi="宋体"/>
          <w:b/>
          <w:color w:val="FF0000"/>
          <w:spacing w:val="-8"/>
          <w:kern w:val="10"/>
          <w:position w:val="-14"/>
          <w:sz w:val="24"/>
        </w:rPr>
      </w:pPr>
      <w:r>
        <w:rPr>
          <w:rFonts w:hint="eastAsia" w:ascii="宋体" w:hAnsi="宋体"/>
          <w:b/>
          <w:color w:val="FF0000"/>
          <w:spacing w:val="-8"/>
          <w:kern w:val="10"/>
          <w:position w:val="-14"/>
          <w:sz w:val="24"/>
        </w:rPr>
        <w:t>3</w:t>
      </w:r>
      <w:r>
        <w:rPr>
          <w:rFonts w:ascii="宋体" w:hAnsi="宋体"/>
          <w:b/>
          <w:color w:val="FF0000"/>
          <w:spacing w:val="-8"/>
          <w:kern w:val="10"/>
          <w:position w:val="-14"/>
          <w:sz w:val="24"/>
        </w:rPr>
        <w:t>.5</w:t>
      </w:r>
      <w:r>
        <w:rPr>
          <w:rFonts w:hint="eastAsia" w:ascii="宋体" w:hAnsi="宋体"/>
          <w:b/>
          <w:color w:val="FF0000"/>
          <w:spacing w:val="-8"/>
          <w:kern w:val="10"/>
          <w:position w:val="-14"/>
          <w:sz w:val="24"/>
        </w:rPr>
        <w:t>交货期限：合同签订后7日历日。质保期：安装并验收合格后3年</w:t>
      </w:r>
    </w:p>
    <w:p>
      <w:pPr>
        <w:adjustRightInd w:val="0"/>
        <w:snapToGrid w:val="0"/>
        <w:spacing w:line="360" w:lineRule="auto"/>
        <w:jc w:val="left"/>
        <w:rPr>
          <w:rFonts w:ascii="宋体" w:hAnsi="宋体"/>
          <w:b/>
          <w:spacing w:val="-8"/>
          <w:kern w:val="10"/>
          <w:position w:val="-14"/>
          <w:sz w:val="24"/>
        </w:rPr>
      </w:pPr>
      <w:r>
        <w:rPr>
          <w:rFonts w:hint="eastAsia" w:ascii="宋体" w:hAnsi="宋体"/>
          <w:b/>
          <w:spacing w:val="-8"/>
          <w:kern w:val="10"/>
          <w:position w:val="-14"/>
          <w:sz w:val="24"/>
        </w:rPr>
        <w:t>3</w:t>
      </w:r>
      <w:r>
        <w:rPr>
          <w:rFonts w:ascii="宋体" w:hAnsi="宋体"/>
          <w:b/>
          <w:spacing w:val="-8"/>
          <w:kern w:val="10"/>
          <w:position w:val="-14"/>
          <w:sz w:val="24"/>
        </w:rPr>
        <w:t>.6</w:t>
      </w:r>
      <w:r>
        <w:rPr>
          <w:rFonts w:hint="eastAsia" w:ascii="宋体" w:hAnsi="宋体"/>
          <w:b/>
          <w:spacing w:val="-8"/>
          <w:kern w:val="10"/>
          <w:position w:val="-14"/>
          <w:sz w:val="24"/>
        </w:rPr>
        <w:t>本项目招标控制价：</w:t>
      </w:r>
      <w:r>
        <w:rPr>
          <w:rFonts w:hint="eastAsia" w:ascii="宋体" w:hAnsi="宋体"/>
          <w:b/>
          <w:color w:val="FF0000"/>
          <w:spacing w:val="-8"/>
          <w:kern w:val="10"/>
          <w:position w:val="-14"/>
          <w:sz w:val="24"/>
        </w:rPr>
        <w:t>21.8万元。</w:t>
      </w:r>
    </w:p>
    <w:p>
      <w:pPr>
        <w:adjustRightInd w:val="0"/>
        <w:snapToGrid w:val="0"/>
        <w:spacing w:line="360" w:lineRule="auto"/>
        <w:jc w:val="left"/>
        <w:rPr>
          <w:rFonts w:ascii="宋体" w:hAnsi="宋体"/>
          <w:color w:val="FF0000"/>
          <w:spacing w:val="-8"/>
          <w:kern w:val="10"/>
          <w:position w:val="-14"/>
          <w:sz w:val="24"/>
        </w:rPr>
      </w:pPr>
      <w:r>
        <w:rPr>
          <w:rFonts w:hint="eastAsia" w:ascii="宋体" w:hAnsi="宋体"/>
          <w:color w:val="FF0000"/>
          <w:spacing w:val="-8"/>
          <w:kern w:val="10"/>
          <w:position w:val="-14"/>
          <w:sz w:val="24"/>
        </w:rPr>
        <w:t>3</w:t>
      </w:r>
      <w:r>
        <w:rPr>
          <w:rFonts w:ascii="宋体" w:hAnsi="宋体"/>
          <w:color w:val="FF0000"/>
          <w:spacing w:val="-8"/>
          <w:kern w:val="10"/>
          <w:position w:val="-14"/>
          <w:sz w:val="24"/>
        </w:rPr>
        <w:t>.</w:t>
      </w:r>
      <w:r>
        <w:rPr>
          <w:rFonts w:hint="eastAsia" w:ascii="宋体" w:hAnsi="宋体"/>
          <w:color w:val="FF0000"/>
          <w:spacing w:val="-8"/>
          <w:kern w:val="10"/>
          <w:position w:val="-14"/>
          <w:sz w:val="24"/>
        </w:rPr>
        <w:t>7开标时间：20221年12月 30日11:00（北京时间）。</w:t>
      </w:r>
    </w:p>
    <w:p>
      <w:pPr>
        <w:adjustRightInd w:val="0"/>
        <w:snapToGrid w:val="0"/>
        <w:spacing w:line="360" w:lineRule="auto"/>
        <w:jc w:val="left"/>
        <w:rPr>
          <w:rFonts w:ascii="宋体" w:hAnsi="宋体"/>
          <w:spacing w:val="-8"/>
          <w:kern w:val="10"/>
          <w:position w:val="-14"/>
          <w:sz w:val="24"/>
        </w:rPr>
      </w:pPr>
      <w:r>
        <w:rPr>
          <w:rFonts w:hint="eastAsia" w:ascii="宋体" w:hAnsi="宋体"/>
          <w:spacing w:val="-8"/>
          <w:kern w:val="10"/>
          <w:position w:val="-14"/>
          <w:sz w:val="24"/>
        </w:rPr>
        <w:t>开标地点：乌鲁木齐市水磨沟区龙盛街898号万科中央公园S2栋14楼会议室。</w:t>
      </w:r>
    </w:p>
    <w:p>
      <w:pPr>
        <w:adjustRightInd w:val="0"/>
        <w:snapToGrid w:val="0"/>
        <w:spacing w:line="360" w:lineRule="auto"/>
        <w:jc w:val="left"/>
        <w:rPr>
          <w:rFonts w:ascii="宋体" w:hAnsi="宋体"/>
          <w:color w:val="FF0000"/>
          <w:spacing w:val="-8"/>
          <w:kern w:val="10"/>
          <w:position w:val="-14"/>
          <w:sz w:val="24"/>
        </w:rPr>
      </w:pPr>
      <w:r>
        <w:rPr>
          <w:rFonts w:hint="eastAsia" w:ascii="宋体" w:hAnsi="宋体"/>
          <w:color w:val="FF0000"/>
          <w:spacing w:val="-8"/>
          <w:kern w:val="10"/>
          <w:position w:val="-14"/>
          <w:sz w:val="24"/>
        </w:rPr>
        <w:t>采购人、监督人查验：开标时需随身携带供应商须知合格的供应商3.1.1中1-8项资料原件</w:t>
      </w:r>
      <w:r>
        <w:rPr>
          <w:rFonts w:ascii="宋体" w:hAnsi="宋体"/>
          <w:color w:val="FF0000"/>
          <w:spacing w:val="-8"/>
          <w:kern w:val="10"/>
          <w:position w:val="-14"/>
          <w:sz w:val="24"/>
        </w:rPr>
        <w:t xml:space="preserve"> </w:t>
      </w:r>
      <w:r>
        <w:rPr>
          <w:rFonts w:hint="eastAsia" w:ascii="宋体" w:hAnsi="宋体"/>
          <w:color w:val="FF0000"/>
          <w:spacing w:val="-8"/>
          <w:kern w:val="10"/>
          <w:position w:val="-14"/>
          <w:sz w:val="24"/>
        </w:rPr>
        <w:t>，未提供或提供不全视为投标无效。</w:t>
      </w:r>
    </w:p>
    <w:p>
      <w:pPr>
        <w:pStyle w:val="6"/>
        <w:snapToGrid w:val="0"/>
        <w:spacing w:before="0" w:after="0" w:line="360" w:lineRule="auto"/>
        <w:rPr>
          <w:rFonts w:ascii="宋体" w:hAnsi="宋体"/>
          <w:bCs/>
          <w:sz w:val="28"/>
        </w:rPr>
      </w:pPr>
      <w:bookmarkStart w:id="32" w:name="_Toc50913182"/>
      <w:r>
        <w:rPr>
          <w:rFonts w:hint="eastAsia" w:ascii="宋体" w:hAnsi="宋体"/>
          <w:bCs/>
          <w:sz w:val="28"/>
        </w:rPr>
        <w:t>4．合格的货物</w:t>
      </w:r>
      <w:bookmarkEnd w:id="32"/>
    </w:p>
    <w:p>
      <w:pPr>
        <w:adjustRightInd w:val="0"/>
        <w:snapToGrid w:val="0"/>
        <w:spacing w:line="360" w:lineRule="auto"/>
        <w:jc w:val="left"/>
        <w:rPr>
          <w:rFonts w:ascii="宋体" w:hAnsi="宋体"/>
          <w:color w:val="000000"/>
          <w:sz w:val="24"/>
        </w:rPr>
      </w:pPr>
      <w:bookmarkStart w:id="33" w:name="_Hlt26668963"/>
      <w:bookmarkEnd w:id="33"/>
      <w:bookmarkStart w:id="34" w:name="_Hlt26670340"/>
      <w:bookmarkEnd w:id="34"/>
      <w:bookmarkStart w:id="35" w:name="_Hlt26954822"/>
      <w:bookmarkEnd w:id="35"/>
      <w:bookmarkStart w:id="36" w:name="_Toc49090499"/>
      <w:bookmarkStart w:id="37" w:name="_Toc14577345"/>
      <w:bookmarkStart w:id="38" w:name="_Toc513029207"/>
      <w:bookmarkStart w:id="39" w:name="_Toc462564067"/>
      <w:r>
        <w:rPr>
          <w:rFonts w:ascii="宋体" w:hAnsi="宋体"/>
          <w:color w:val="000000"/>
          <w:sz w:val="24"/>
        </w:rPr>
        <w:t>4</w:t>
      </w:r>
      <w:r>
        <w:rPr>
          <w:rFonts w:hint="eastAsia" w:ascii="宋体" w:hAnsi="宋体"/>
          <w:color w:val="000000"/>
          <w:sz w:val="24"/>
        </w:rPr>
        <w:t>.1</w:t>
      </w:r>
      <w:r>
        <w:rPr>
          <w:rFonts w:ascii="宋体" w:hAnsi="宋体"/>
          <w:color w:val="000000"/>
          <w:sz w:val="24"/>
        </w:rPr>
        <w:t xml:space="preserve">供应商对所提供的货物应当享有合法的所有权，没有侵犯任何第三方的知识产权、技术秘密等权利，而且不存在任何抵押、留置、查封等产权瑕疵。 </w:t>
      </w:r>
    </w:p>
    <w:p>
      <w:pPr>
        <w:adjustRightInd w:val="0"/>
        <w:snapToGrid w:val="0"/>
        <w:spacing w:line="360" w:lineRule="auto"/>
        <w:jc w:val="left"/>
        <w:rPr>
          <w:rFonts w:ascii="宋体" w:hAnsi="宋体"/>
          <w:color w:val="000000"/>
          <w:sz w:val="24"/>
        </w:rPr>
      </w:pPr>
      <w:r>
        <w:rPr>
          <w:rFonts w:ascii="宋体" w:hAnsi="宋体"/>
          <w:color w:val="000000"/>
          <w:sz w:val="24"/>
        </w:rPr>
        <w:t>4</w:t>
      </w:r>
      <w:r>
        <w:rPr>
          <w:rFonts w:hint="eastAsia" w:ascii="宋体" w:hAnsi="宋体"/>
          <w:color w:val="000000"/>
          <w:sz w:val="24"/>
        </w:rPr>
        <w:t>.2供应商提供的货物应当是全新的、未使用过的，货物和相关服务应当符合招标文件的要求，并且其质量完全符合国家标准、行业标准或地方标准，均有标准的以高（严格）者为准。没有国家标准、行业标准和企业标准的，按照通常标准或者符合采购目的的特定标准确定。</w:t>
      </w:r>
    </w:p>
    <w:p>
      <w:pPr>
        <w:pStyle w:val="6"/>
        <w:snapToGrid w:val="0"/>
        <w:spacing w:before="0" w:after="0" w:line="360" w:lineRule="auto"/>
        <w:rPr>
          <w:rFonts w:ascii="宋体" w:hAnsi="宋体"/>
          <w:bCs/>
          <w:sz w:val="28"/>
        </w:rPr>
      </w:pPr>
      <w:bookmarkStart w:id="40" w:name="_Toc50913183"/>
      <w:r>
        <w:rPr>
          <w:rFonts w:hint="eastAsia" w:ascii="宋体" w:hAnsi="宋体"/>
          <w:bCs/>
          <w:sz w:val="28"/>
        </w:rPr>
        <w:t>5．磋商费用</w:t>
      </w:r>
      <w:bookmarkEnd w:id="36"/>
      <w:bookmarkEnd w:id="37"/>
      <w:bookmarkEnd w:id="38"/>
      <w:bookmarkEnd w:id="39"/>
      <w:bookmarkEnd w:id="40"/>
    </w:p>
    <w:p>
      <w:pPr>
        <w:snapToGrid w:val="0"/>
        <w:spacing w:line="360" w:lineRule="auto"/>
        <w:rPr>
          <w:rFonts w:ascii="宋体" w:hAnsi="宋体"/>
          <w:sz w:val="24"/>
        </w:rPr>
      </w:pPr>
      <w:r>
        <w:rPr>
          <w:rFonts w:hint="eastAsia" w:ascii="宋体" w:hAnsi="宋体"/>
          <w:sz w:val="24"/>
        </w:rPr>
        <w:t>供应商应自行承担所有与参加磋商有关的费用；无论磋商结果如何，磋商组织人和采购人在任何情况下均无义务和责任承担这些费用。</w:t>
      </w:r>
      <w:bookmarkStart w:id="41" w:name="_Hlt26954824"/>
      <w:bookmarkEnd w:id="41"/>
      <w:bookmarkStart w:id="42" w:name="_Toc49090500"/>
      <w:bookmarkStart w:id="43" w:name="_Toc513029209"/>
      <w:bookmarkStart w:id="44" w:name="_Toc14577347"/>
    </w:p>
    <w:p>
      <w:pPr>
        <w:pStyle w:val="6"/>
        <w:snapToGrid w:val="0"/>
        <w:spacing w:before="0" w:after="0" w:line="360" w:lineRule="auto"/>
        <w:rPr>
          <w:rFonts w:ascii="宋体" w:hAnsi="宋体"/>
          <w:bCs/>
          <w:sz w:val="28"/>
        </w:rPr>
      </w:pPr>
      <w:bookmarkStart w:id="45" w:name="_Toc495922606"/>
      <w:bookmarkStart w:id="46" w:name="_Toc50913184"/>
      <w:r>
        <w:rPr>
          <w:rFonts w:ascii="宋体" w:hAnsi="宋体"/>
          <w:bCs/>
          <w:sz w:val="28"/>
        </w:rPr>
        <w:t>6．</w:t>
      </w:r>
      <w:r>
        <w:rPr>
          <w:rFonts w:hint="eastAsia" w:ascii="宋体" w:hAnsi="宋体"/>
          <w:bCs/>
          <w:sz w:val="28"/>
        </w:rPr>
        <w:t>信息发布</w:t>
      </w:r>
      <w:bookmarkEnd w:id="45"/>
      <w:bookmarkEnd w:id="46"/>
    </w:p>
    <w:p>
      <w:pPr>
        <w:adjustRightInd w:val="0"/>
        <w:snapToGrid w:val="0"/>
        <w:spacing w:line="360" w:lineRule="auto"/>
        <w:jc w:val="left"/>
        <w:rPr>
          <w:rFonts w:ascii="宋体" w:hAnsi="宋体"/>
          <w:color w:val="000000"/>
          <w:sz w:val="24"/>
        </w:rPr>
      </w:pPr>
      <w:r>
        <w:rPr>
          <w:rFonts w:hint="eastAsia" w:ascii="宋体" w:hAnsi="宋体"/>
          <w:color w:val="000000"/>
          <w:sz w:val="24"/>
        </w:rPr>
        <w:t>本采购项目需要公开的有关信息，包括磋商公告、磋商文件澄清或更正公告、成交公告以及延长磋商时间等与磋商有关的通知，磋商组织人均将乌鲁木齐市政府采购网通知。供应商在参与本采购项目磋商期间，请及时关注以上媒体上的相关信息，供应商因没有及时关注而未能如期获取相关信息，及因此所产生的一切后果和责任，由供应商自行承担，磋商组织人在任何情况下均不对此承担任何责任。</w:t>
      </w:r>
    </w:p>
    <w:p>
      <w:pPr>
        <w:pStyle w:val="6"/>
        <w:snapToGrid w:val="0"/>
        <w:spacing w:before="0" w:after="0" w:line="360" w:lineRule="auto"/>
        <w:rPr>
          <w:rFonts w:ascii="宋体" w:hAnsi="宋体"/>
          <w:bCs/>
          <w:sz w:val="28"/>
        </w:rPr>
      </w:pPr>
      <w:bookmarkStart w:id="47" w:name="_Toc50913185"/>
      <w:bookmarkStart w:id="48" w:name="_Toc495922607"/>
      <w:r>
        <w:rPr>
          <w:rFonts w:ascii="宋体" w:hAnsi="宋体"/>
          <w:bCs/>
          <w:sz w:val="28"/>
        </w:rPr>
        <w:t>7．询问与质疑</w:t>
      </w:r>
      <w:bookmarkEnd w:id="47"/>
      <w:bookmarkEnd w:id="48"/>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 xml:space="preserve">.1 </w:t>
      </w:r>
      <w:r>
        <w:rPr>
          <w:rFonts w:ascii="宋体" w:hAnsi="宋体"/>
          <w:color w:val="000000"/>
          <w:sz w:val="24"/>
        </w:rPr>
        <w:t>供应商对招标活动事项有疑问的，可以向磋商组织人提出询问。询问可以采取电话、电子邮件、当面或书面等形式。对供应商的询问，磋商组织人将依法及时作出答复，但答复的内容不涉及商业秘密或者依法应当保密的内容。</w:t>
      </w:r>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供应商认为磋商文件、磋商过程或成交结果使自己的合法权益受到损害的，可以在知道或者应知其权益受到损害之日起七个工作日内，以书面形式向磋商组织人提出质疑。其中，对磋商文件的质疑，应当在其收到或下载磋商文件之日起七个工作日内且磋商响应文件递交截止之日前提出；对磋商过程的质疑，应当在各招标程序环节结束之日起七个工作日内提出；对成交结果的质疑，应当在成交公告期限届满之日起七个工作日内提出。</w:t>
      </w:r>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 xml:space="preserve">.3 </w:t>
      </w:r>
      <w:r>
        <w:rPr>
          <w:rFonts w:ascii="宋体" w:hAnsi="宋体"/>
          <w:color w:val="000000"/>
          <w:sz w:val="24"/>
        </w:rPr>
        <w:t>质疑书应明确阐述</w:t>
      </w:r>
      <w:r>
        <w:rPr>
          <w:rFonts w:hint="eastAsia" w:ascii="宋体" w:hAnsi="宋体"/>
          <w:color w:val="000000"/>
          <w:sz w:val="24"/>
        </w:rPr>
        <w:t>磋商</w:t>
      </w:r>
      <w:r>
        <w:rPr>
          <w:rFonts w:ascii="宋体" w:hAnsi="宋体"/>
          <w:color w:val="000000"/>
          <w:sz w:val="24"/>
        </w:rPr>
        <w:t>文件、</w:t>
      </w:r>
      <w:r>
        <w:rPr>
          <w:rFonts w:hint="eastAsia" w:ascii="宋体" w:hAnsi="宋体"/>
          <w:color w:val="000000"/>
          <w:sz w:val="24"/>
        </w:rPr>
        <w:t>磋商</w:t>
      </w:r>
      <w:r>
        <w:rPr>
          <w:rFonts w:ascii="宋体" w:hAnsi="宋体"/>
          <w:color w:val="000000"/>
          <w:sz w:val="24"/>
        </w:rPr>
        <w:t>过程或</w:t>
      </w:r>
      <w:r>
        <w:rPr>
          <w:rFonts w:hint="eastAsia" w:ascii="宋体" w:hAnsi="宋体"/>
          <w:color w:val="000000"/>
          <w:sz w:val="24"/>
        </w:rPr>
        <w:t>磋商</w:t>
      </w:r>
      <w:r>
        <w:rPr>
          <w:rFonts w:ascii="宋体" w:hAnsi="宋体"/>
          <w:color w:val="000000"/>
          <w:sz w:val="24"/>
        </w:rPr>
        <w:t>结果中使自己合法权益受到损害的实质性内容，提供相关事实、依据和证据及其来源或线索，以便于有关单位调查、答复和处理。</w:t>
      </w:r>
    </w:p>
    <w:p>
      <w:pPr>
        <w:adjustRightInd w:val="0"/>
        <w:snapToGrid w:val="0"/>
        <w:spacing w:line="360" w:lineRule="auto"/>
        <w:jc w:val="left"/>
        <w:rPr>
          <w:rFonts w:ascii="宋体" w:hAnsi="宋体"/>
          <w:color w:val="000000"/>
          <w:sz w:val="24"/>
        </w:rPr>
      </w:pPr>
      <w:r>
        <w:rPr>
          <w:rFonts w:ascii="宋体" w:hAnsi="宋体"/>
          <w:color w:val="000000"/>
          <w:sz w:val="24"/>
        </w:rPr>
        <w:t>7.4磋商组织人将在收到供应商的书面质疑后七个工作日内作出答复，并以书面形式通知提出质疑的供应商和其他有关供应商，但答复的内容不涉及商业秘密或者依法应当保密的内容。</w:t>
      </w:r>
    </w:p>
    <w:p>
      <w:pPr>
        <w:adjustRightInd w:val="0"/>
        <w:snapToGrid w:val="0"/>
        <w:spacing w:line="360" w:lineRule="auto"/>
        <w:jc w:val="left"/>
        <w:rPr>
          <w:rFonts w:ascii="宋体" w:hAnsi="宋体"/>
          <w:color w:val="000000"/>
          <w:sz w:val="24"/>
        </w:rPr>
      </w:pPr>
      <w:r>
        <w:rPr>
          <w:rFonts w:ascii="宋体" w:hAnsi="宋体"/>
          <w:color w:val="000000"/>
          <w:sz w:val="24"/>
        </w:rPr>
        <w:t>7</w:t>
      </w:r>
      <w:r>
        <w:rPr>
          <w:rFonts w:hint="eastAsia" w:ascii="宋体" w:hAnsi="宋体"/>
          <w:color w:val="000000"/>
          <w:sz w:val="24"/>
        </w:rPr>
        <w:t>.</w:t>
      </w:r>
      <w:r>
        <w:rPr>
          <w:rFonts w:ascii="宋体" w:hAnsi="宋体"/>
          <w:color w:val="000000"/>
          <w:sz w:val="24"/>
        </w:rPr>
        <w:t>5对供应商询问或质疑的答复将导致</w:t>
      </w:r>
      <w:r>
        <w:rPr>
          <w:rFonts w:hint="eastAsia" w:ascii="宋体" w:hAnsi="宋体"/>
          <w:color w:val="000000"/>
          <w:sz w:val="24"/>
        </w:rPr>
        <w:t>磋商</w:t>
      </w:r>
      <w:r>
        <w:rPr>
          <w:rFonts w:ascii="宋体" w:hAnsi="宋体"/>
          <w:color w:val="000000"/>
          <w:sz w:val="24"/>
        </w:rPr>
        <w:t>文件变更或者影响</w:t>
      </w:r>
      <w:r>
        <w:rPr>
          <w:rFonts w:hint="eastAsia" w:ascii="宋体" w:hAnsi="宋体"/>
          <w:color w:val="000000"/>
          <w:sz w:val="24"/>
        </w:rPr>
        <w:t>磋商</w:t>
      </w:r>
      <w:r>
        <w:rPr>
          <w:rFonts w:ascii="宋体" w:hAnsi="宋体"/>
          <w:color w:val="000000"/>
          <w:sz w:val="24"/>
        </w:rPr>
        <w:t>继续进行的，磋商组织人将通知提出询问或质疑的供应商，并在原</w:t>
      </w:r>
      <w:r>
        <w:rPr>
          <w:rFonts w:hint="eastAsia" w:ascii="宋体" w:hAnsi="宋体"/>
          <w:color w:val="000000"/>
          <w:sz w:val="24"/>
        </w:rPr>
        <w:t>磋商</w:t>
      </w:r>
      <w:r>
        <w:rPr>
          <w:rFonts w:ascii="宋体" w:hAnsi="宋体"/>
          <w:color w:val="000000"/>
          <w:sz w:val="24"/>
        </w:rPr>
        <w:t>公告发布媒体上发布变更公告。</w:t>
      </w:r>
    </w:p>
    <w:p>
      <w:pPr>
        <w:adjustRightInd w:val="0"/>
        <w:snapToGrid w:val="0"/>
        <w:spacing w:line="360" w:lineRule="auto"/>
        <w:jc w:val="left"/>
        <w:rPr>
          <w:rFonts w:ascii="宋体" w:hAnsi="宋体"/>
          <w:color w:val="000000"/>
          <w:sz w:val="24"/>
        </w:rPr>
      </w:pPr>
      <w:r>
        <w:rPr>
          <w:rFonts w:ascii="宋体" w:hAnsi="宋体"/>
          <w:color w:val="000000"/>
          <w:sz w:val="24"/>
        </w:rPr>
        <w:t xml:space="preserve">7.6 </w:t>
      </w:r>
      <w:r>
        <w:rPr>
          <w:rFonts w:hint="eastAsia" w:ascii="宋体" w:hAnsi="宋体"/>
          <w:color w:val="000000"/>
          <w:sz w:val="24"/>
        </w:rPr>
        <w:t>质疑书应当由质疑供应商法定代表人签字或盖章并加盖公章。质疑供应商委托代理人办理质疑事务的，应当向</w:t>
      </w:r>
      <w:r>
        <w:rPr>
          <w:rFonts w:ascii="宋体" w:hAnsi="宋体"/>
          <w:color w:val="000000"/>
          <w:sz w:val="24"/>
        </w:rPr>
        <w:t>磋商组织人</w:t>
      </w:r>
      <w:r>
        <w:rPr>
          <w:rFonts w:hint="eastAsia" w:ascii="宋体" w:hAnsi="宋体"/>
          <w:color w:val="000000"/>
          <w:sz w:val="24"/>
        </w:rPr>
        <w:t>提交法定代表人授权委托书及代理人合法、有效的工作和身份证明。质疑书的递交可以采取邮寄、快递或当面递交形式。采取传真形式的，应当在传真发出之日起两个工作日内，将质疑书原件以邮寄、快递或当面递交的方式送达</w:t>
      </w:r>
      <w:r>
        <w:rPr>
          <w:rFonts w:ascii="宋体" w:hAnsi="宋体"/>
          <w:color w:val="000000"/>
          <w:sz w:val="24"/>
        </w:rPr>
        <w:t>磋商组织人</w:t>
      </w:r>
      <w:r>
        <w:rPr>
          <w:rFonts w:hint="eastAsia" w:ascii="宋体" w:hAnsi="宋体"/>
          <w:color w:val="000000"/>
          <w:sz w:val="24"/>
        </w:rPr>
        <w:t>。</w:t>
      </w:r>
    </w:p>
    <w:p>
      <w:pPr>
        <w:pStyle w:val="6"/>
        <w:snapToGrid w:val="0"/>
        <w:spacing w:before="0" w:after="0" w:line="360" w:lineRule="auto"/>
        <w:rPr>
          <w:rFonts w:ascii="宋体" w:hAnsi="宋体"/>
          <w:bCs/>
          <w:sz w:val="28"/>
        </w:rPr>
      </w:pPr>
      <w:bookmarkStart w:id="49" w:name="_Toc50913186"/>
      <w:bookmarkStart w:id="50" w:name="_Toc495922608"/>
      <w:r>
        <w:rPr>
          <w:rFonts w:ascii="宋体" w:hAnsi="宋体"/>
          <w:bCs/>
          <w:sz w:val="28"/>
        </w:rPr>
        <w:t>8．</w:t>
      </w:r>
      <w:r>
        <w:rPr>
          <w:rFonts w:hint="eastAsia" w:ascii="宋体" w:hAnsi="宋体"/>
          <w:bCs/>
          <w:sz w:val="28"/>
        </w:rPr>
        <w:t>公平竞争和诚实信用</w:t>
      </w:r>
      <w:bookmarkEnd w:id="49"/>
      <w:bookmarkEnd w:id="50"/>
    </w:p>
    <w:p>
      <w:pPr>
        <w:adjustRightInd w:val="0"/>
        <w:snapToGrid w:val="0"/>
        <w:spacing w:line="360" w:lineRule="auto"/>
        <w:jc w:val="left"/>
        <w:rPr>
          <w:rFonts w:ascii="宋体" w:hAnsi="宋体"/>
          <w:color w:val="000000"/>
          <w:sz w:val="24"/>
        </w:rPr>
      </w:pPr>
      <w:r>
        <w:rPr>
          <w:rFonts w:hint="eastAsia" w:ascii="宋体" w:hAnsi="宋体"/>
          <w:color w:val="000000"/>
          <w:sz w:val="24"/>
        </w:rPr>
        <w:t xml:space="preserve">8.1 </w:t>
      </w:r>
      <w:r>
        <w:rPr>
          <w:rFonts w:ascii="宋体" w:hAnsi="宋体"/>
          <w:color w:val="000000"/>
          <w:sz w:val="24"/>
        </w:rPr>
        <w:t>供应商在本</w:t>
      </w:r>
      <w:r>
        <w:rPr>
          <w:rFonts w:hint="eastAsia" w:ascii="宋体" w:hAnsi="宋体"/>
          <w:color w:val="000000"/>
          <w:sz w:val="24"/>
        </w:rPr>
        <w:t>磋商</w:t>
      </w:r>
      <w:r>
        <w:rPr>
          <w:rFonts w:ascii="宋体" w:hAnsi="宋体"/>
          <w:color w:val="000000"/>
          <w:sz w:val="24"/>
        </w:rPr>
        <w:t>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供应商之间串通投标等。</w:t>
      </w:r>
    </w:p>
    <w:p>
      <w:pPr>
        <w:adjustRightInd w:val="0"/>
        <w:snapToGrid w:val="0"/>
        <w:spacing w:line="360" w:lineRule="auto"/>
        <w:jc w:val="left"/>
        <w:rPr>
          <w:rFonts w:ascii="宋体" w:hAnsi="宋体"/>
          <w:color w:val="000000"/>
          <w:sz w:val="24"/>
        </w:rPr>
      </w:pPr>
      <w:r>
        <w:rPr>
          <w:rFonts w:hint="eastAsia" w:ascii="宋体" w:hAnsi="宋体"/>
          <w:color w:val="000000"/>
          <w:sz w:val="24"/>
        </w:rPr>
        <w:t>8.</w:t>
      </w:r>
      <w:r>
        <w:rPr>
          <w:rFonts w:ascii="宋体" w:hAnsi="宋体"/>
          <w:color w:val="000000"/>
          <w:sz w:val="24"/>
        </w:rPr>
        <w:t xml:space="preserve">2  </w:t>
      </w:r>
      <w:r>
        <w:rPr>
          <w:rFonts w:hint="eastAsia" w:ascii="宋体" w:hAnsi="宋体"/>
          <w:color w:val="000000"/>
          <w:sz w:val="24"/>
        </w:rPr>
        <w:t>如果有证据表明供应商在本招标项目的竞争中存在腐败、欺诈或其他严重违背公平竞争和诚实信用原则、扰乱政府采购正常秩序的行为，磋商组织人将拒绝其投标，并将报告政府采购监管部门查处；成交后发现的，成交人须参照《中华人民共和国消费者权益保护法》第</w:t>
      </w:r>
      <w:r>
        <w:rPr>
          <w:rFonts w:ascii="宋体" w:hAnsi="宋体"/>
          <w:color w:val="000000"/>
          <w:sz w:val="24"/>
        </w:rPr>
        <w:t>55条之条文描述方式双倍赔偿采购人，且民事赔偿并不免除违法供应商的行政与刑事责任。</w:t>
      </w:r>
    </w:p>
    <w:p>
      <w:pPr>
        <w:snapToGrid w:val="0"/>
        <w:spacing w:line="360" w:lineRule="auto"/>
        <w:outlineLvl w:val="1"/>
        <w:rPr>
          <w:rFonts w:ascii="宋体" w:hAnsi="宋体"/>
          <w:b/>
          <w:sz w:val="28"/>
        </w:rPr>
      </w:pPr>
      <w:bookmarkStart w:id="51" w:name="_Toc50913187"/>
    </w:p>
    <w:p>
      <w:pPr>
        <w:snapToGrid w:val="0"/>
        <w:spacing w:line="360" w:lineRule="auto"/>
        <w:jc w:val="center"/>
        <w:outlineLvl w:val="1"/>
        <w:rPr>
          <w:rFonts w:ascii="宋体" w:hAnsi="宋体"/>
          <w:b/>
          <w:sz w:val="28"/>
        </w:rPr>
      </w:pPr>
      <w:r>
        <w:rPr>
          <w:rFonts w:hint="eastAsia" w:ascii="宋体" w:hAnsi="宋体"/>
          <w:b/>
          <w:sz w:val="28"/>
        </w:rPr>
        <w:t>二、</w:t>
      </w:r>
      <w:bookmarkEnd w:id="42"/>
      <w:bookmarkEnd w:id="43"/>
      <w:bookmarkEnd w:id="44"/>
      <w:r>
        <w:rPr>
          <w:rFonts w:hint="eastAsia" w:ascii="宋体" w:hAnsi="宋体"/>
          <w:b/>
          <w:sz w:val="28"/>
        </w:rPr>
        <w:t>磋商文件</w:t>
      </w:r>
      <w:bookmarkEnd w:id="51"/>
    </w:p>
    <w:p>
      <w:pPr>
        <w:pStyle w:val="6"/>
        <w:snapToGrid w:val="0"/>
        <w:spacing w:before="0" w:after="0" w:line="360" w:lineRule="auto"/>
        <w:rPr>
          <w:rFonts w:ascii="宋体" w:hAnsi="宋体"/>
        </w:rPr>
      </w:pPr>
      <w:bookmarkStart w:id="52" w:name="_Hlt26670343"/>
      <w:bookmarkEnd w:id="52"/>
      <w:bookmarkStart w:id="53" w:name="_Hlt26954826"/>
      <w:bookmarkEnd w:id="53"/>
      <w:bookmarkStart w:id="54" w:name="_Toc49090501"/>
      <w:bookmarkStart w:id="55" w:name="_Toc14577348"/>
      <w:bookmarkStart w:id="56" w:name="_Toc50913188"/>
      <w:bookmarkStart w:id="57" w:name="_Toc513029210"/>
      <w:r>
        <w:rPr>
          <w:rFonts w:hint="eastAsia" w:ascii="宋体" w:hAnsi="宋体"/>
          <w:sz w:val="28"/>
        </w:rPr>
        <w:t>9．磋商文件构成</w:t>
      </w:r>
      <w:bookmarkEnd w:id="54"/>
      <w:bookmarkEnd w:id="55"/>
      <w:bookmarkEnd w:id="56"/>
      <w:bookmarkEnd w:id="57"/>
    </w:p>
    <w:p>
      <w:pPr>
        <w:snapToGrid w:val="0"/>
        <w:spacing w:line="360" w:lineRule="auto"/>
        <w:rPr>
          <w:rFonts w:ascii="宋体" w:hAnsi="宋体"/>
          <w:sz w:val="24"/>
        </w:rPr>
      </w:pPr>
      <w:r>
        <w:rPr>
          <w:rFonts w:hint="eastAsia" w:ascii="宋体" w:hAnsi="宋体"/>
          <w:bCs/>
          <w:sz w:val="24"/>
        </w:rPr>
        <w:t>9.1</w:t>
      </w:r>
      <w:r>
        <w:rPr>
          <w:rFonts w:hint="eastAsia" w:ascii="宋体" w:hAnsi="宋体"/>
          <w:sz w:val="24"/>
        </w:rPr>
        <w:t>磋商文件由以下部分组成：</w:t>
      </w:r>
    </w:p>
    <w:p>
      <w:pPr>
        <w:tabs>
          <w:tab w:val="left" w:pos="6"/>
        </w:tabs>
        <w:snapToGrid w:val="0"/>
        <w:spacing w:line="360" w:lineRule="auto"/>
        <w:ind w:firstLine="527"/>
        <w:jc w:val="left"/>
        <w:rPr>
          <w:rFonts w:ascii="宋体" w:hAnsi="宋体"/>
          <w:sz w:val="24"/>
        </w:rPr>
      </w:pPr>
      <w:r>
        <w:rPr>
          <w:rFonts w:hint="eastAsia" w:ascii="宋体" w:hAnsi="宋体"/>
          <w:sz w:val="24"/>
        </w:rPr>
        <w:t>第一章  磋商邀请书</w:t>
      </w:r>
    </w:p>
    <w:p>
      <w:pPr>
        <w:tabs>
          <w:tab w:val="left" w:pos="6"/>
        </w:tabs>
        <w:snapToGrid w:val="0"/>
        <w:spacing w:line="360" w:lineRule="auto"/>
        <w:ind w:firstLine="527"/>
        <w:jc w:val="left"/>
        <w:rPr>
          <w:rFonts w:ascii="宋体" w:hAnsi="宋体"/>
          <w:sz w:val="24"/>
        </w:rPr>
      </w:pPr>
      <w:r>
        <w:rPr>
          <w:rFonts w:hint="eastAsia" w:ascii="宋体" w:hAnsi="宋体"/>
          <w:sz w:val="24"/>
        </w:rPr>
        <w:t>第二章  供应商须知</w:t>
      </w:r>
    </w:p>
    <w:p>
      <w:pPr>
        <w:tabs>
          <w:tab w:val="left" w:pos="995"/>
        </w:tabs>
        <w:snapToGrid w:val="0"/>
        <w:spacing w:line="360" w:lineRule="auto"/>
        <w:ind w:firstLine="527"/>
        <w:jc w:val="left"/>
        <w:rPr>
          <w:rFonts w:ascii="宋体" w:hAnsi="宋体"/>
          <w:sz w:val="24"/>
        </w:rPr>
      </w:pPr>
      <w:r>
        <w:rPr>
          <w:rFonts w:hint="eastAsia" w:ascii="宋体" w:hAnsi="宋体"/>
          <w:sz w:val="24"/>
        </w:rPr>
        <w:t>第三章  评标办法</w:t>
      </w:r>
    </w:p>
    <w:p>
      <w:pPr>
        <w:tabs>
          <w:tab w:val="left" w:pos="6"/>
        </w:tabs>
        <w:snapToGrid w:val="0"/>
        <w:spacing w:line="360" w:lineRule="auto"/>
        <w:ind w:firstLine="527"/>
        <w:jc w:val="left"/>
        <w:rPr>
          <w:rFonts w:ascii="宋体" w:hAnsi="宋体"/>
          <w:sz w:val="24"/>
        </w:rPr>
      </w:pPr>
      <w:r>
        <w:rPr>
          <w:rFonts w:hint="eastAsia" w:ascii="宋体" w:hAnsi="宋体"/>
          <w:sz w:val="24"/>
        </w:rPr>
        <w:t>第四章  货物需求</w:t>
      </w:r>
    </w:p>
    <w:p>
      <w:pPr>
        <w:tabs>
          <w:tab w:val="left" w:pos="6"/>
        </w:tabs>
        <w:snapToGrid w:val="0"/>
        <w:spacing w:line="360" w:lineRule="auto"/>
        <w:ind w:firstLine="527"/>
        <w:jc w:val="left"/>
        <w:rPr>
          <w:rFonts w:ascii="宋体" w:hAnsi="宋体"/>
          <w:sz w:val="24"/>
        </w:rPr>
      </w:pPr>
      <w:r>
        <w:rPr>
          <w:rFonts w:hint="eastAsia" w:ascii="宋体" w:hAnsi="宋体"/>
          <w:sz w:val="24"/>
        </w:rPr>
        <w:t>第五章  合同文本</w:t>
      </w:r>
    </w:p>
    <w:p>
      <w:pPr>
        <w:tabs>
          <w:tab w:val="left" w:pos="6"/>
        </w:tabs>
        <w:snapToGrid w:val="0"/>
        <w:spacing w:line="360" w:lineRule="auto"/>
        <w:ind w:firstLine="527"/>
        <w:jc w:val="left"/>
        <w:rPr>
          <w:rFonts w:ascii="宋体" w:hAnsi="宋体"/>
          <w:sz w:val="24"/>
        </w:rPr>
      </w:pPr>
      <w:r>
        <w:rPr>
          <w:rFonts w:hint="eastAsia" w:ascii="宋体" w:hAnsi="宋体"/>
          <w:sz w:val="24"/>
        </w:rPr>
        <w:t>第六章  磋商响应文件（格式）</w:t>
      </w:r>
    </w:p>
    <w:p>
      <w:pPr>
        <w:tabs>
          <w:tab w:val="left" w:pos="6"/>
        </w:tabs>
        <w:snapToGrid w:val="0"/>
        <w:spacing w:line="360" w:lineRule="auto"/>
        <w:ind w:firstLine="527"/>
        <w:jc w:val="left"/>
        <w:rPr>
          <w:rFonts w:ascii="宋体" w:hAnsi="宋体"/>
          <w:sz w:val="24"/>
        </w:rPr>
      </w:pPr>
      <w:r>
        <w:rPr>
          <w:rFonts w:hint="eastAsia" w:ascii="宋体" w:hAnsi="宋体"/>
          <w:sz w:val="24"/>
        </w:rPr>
        <w:t>第七章  相关附件</w:t>
      </w:r>
    </w:p>
    <w:p>
      <w:pPr>
        <w:adjustRightInd w:val="0"/>
        <w:snapToGrid w:val="0"/>
        <w:spacing w:line="360" w:lineRule="auto"/>
        <w:rPr>
          <w:rFonts w:ascii="宋体" w:hAnsi="宋体"/>
          <w:color w:val="000000"/>
          <w:sz w:val="24"/>
        </w:rPr>
      </w:pPr>
      <w:r>
        <w:rPr>
          <w:rFonts w:hint="eastAsia" w:ascii="宋体" w:hAnsi="宋体"/>
          <w:color w:val="000000"/>
          <w:sz w:val="24"/>
        </w:rPr>
        <w:t>9.2供应商应仔细阅读磋商文件的所有内容，并按照磋商文件的要求提交磋商响应文件。如果供应商没有按照磋商文件要求提交全部资料，或者磋商响应文件没有对磋商文件在各方面作出实质性响应，则磋商响应有可能被拒绝，其风险由供应商自行承担。</w:t>
      </w:r>
    </w:p>
    <w:p>
      <w:pPr>
        <w:adjustRightInd w:val="0"/>
        <w:snapToGrid w:val="0"/>
        <w:spacing w:line="360" w:lineRule="auto"/>
        <w:rPr>
          <w:rFonts w:ascii="宋体" w:hAnsi="宋体"/>
          <w:color w:val="000000"/>
          <w:sz w:val="24"/>
        </w:rPr>
      </w:pPr>
      <w:r>
        <w:rPr>
          <w:rFonts w:hint="eastAsia" w:ascii="宋体" w:hAnsi="宋体"/>
          <w:color w:val="000000"/>
          <w:sz w:val="24"/>
        </w:rPr>
        <w:t>9.3</w:t>
      </w:r>
      <w:r>
        <w:rPr>
          <w:rFonts w:ascii="宋体" w:hAnsi="宋体"/>
          <w:color w:val="000000"/>
          <w:sz w:val="24"/>
        </w:rPr>
        <w:t>供应商应认真了解本次招标的具体工作要求、工作范围以及职责，了解一切可能影响</w:t>
      </w:r>
      <w:r>
        <w:rPr>
          <w:rFonts w:hint="eastAsia" w:ascii="宋体" w:hAnsi="宋体"/>
          <w:color w:val="000000"/>
          <w:sz w:val="24"/>
        </w:rPr>
        <w:t>磋商</w:t>
      </w:r>
      <w:r>
        <w:rPr>
          <w:rFonts w:ascii="宋体" w:hAnsi="宋体"/>
          <w:color w:val="000000"/>
          <w:sz w:val="24"/>
        </w:rPr>
        <w:t>报价的资料。一经成交，不得以不完全了解项目要求、项目情况等为借口而提出额外补偿等要求，否则，由此引起的一切后果由成交人负责。</w:t>
      </w:r>
    </w:p>
    <w:p>
      <w:pPr>
        <w:pStyle w:val="6"/>
        <w:snapToGrid w:val="0"/>
        <w:spacing w:before="0" w:after="0" w:line="360" w:lineRule="auto"/>
        <w:rPr>
          <w:rFonts w:ascii="宋体" w:hAnsi="宋体"/>
          <w:sz w:val="28"/>
        </w:rPr>
      </w:pPr>
      <w:bookmarkStart w:id="58" w:name="_Toc50913189"/>
      <w:bookmarkStart w:id="59" w:name="_Toc496084504"/>
      <w:r>
        <w:rPr>
          <w:rFonts w:ascii="宋体" w:hAnsi="宋体"/>
          <w:sz w:val="28"/>
        </w:rPr>
        <w:t>1</w:t>
      </w:r>
      <w:r>
        <w:rPr>
          <w:rFonts w:hint="eastAsia" w:ascii="宋体" w:hAnsi="宋体"/>
          <w:sz w:val="28"/>
        </w:rPr>
        <w:t>0. 磋商文件的质疑（询问）澄清和修改</w:t>
      </w:r>
      <w:bookmarkEnd w:id="58"/>
      <w:bookmarkEnd w:id="59"/>
    </w:p>
    <w:p>
      <w:pPr>
        <w:adjustRightInd w:val="0"/>
        <w:snapToGrid w:val="0"/>
        <w:spacing w:line="360" w:lineRule="auto"/>
        <w:rPr>
          <w:rFonts w:ascii="宋体" w:hAnsi="宋体"/>
          <w:color w:val="000000"/>
          <w:sz w:val="24"/>
        </w:rPr>
      </w:pPr>
      <w:r>
        <w:rPr>
          <w:rFonts w:hint="eastAsia" w:ascii="宋体" w:hAnsi="宋体"/>
          <w:color w:val="000000"/>
          <w:sz w:val="24"/>
        </w:rPr>
        <w:t>10.1任何要求对磋商文件进行质疑的潜在供应商，均应在开标截止之日前三个日历日内，按采购公告中的通讯地址，以书面形式（包括质疑函原件及其他书面证明材料等,</w:t>
      </w:r>
      <w:r>
        <w:rPr>
          <w:rFonts w:ascii="宋体" w:hAnsi="宋体"/>
          <w:color w:val="000000"/>
          <w:sz w:val="24"/>
        </w:rPr>
        <w:t>必须加盖供应商单位公章</w:t>
      </w:r>
      <w:r>
        <w:rPr>
          <w:rFonts w:hint="eastAsia" w:ascii="宋体" w:hAnsi="宋体"/>
          <w:color w:val="000000"/>
          <w:sz w:val="24"/>
        </w:rPr>
        <w:t>）</w:t>
      </w:r>
      <w:r>
        <w:rPr>
          <w:rFonts w:ascii="宋体" w:hAnsi="宋体"/>
          <w:color w:val="000000"/>
          <w:sz w:val="24"/>
        </w:rPr>
        <w:t>通知磋商组织人。</w:t>
      </w:r>
    </w:p>
    <w:p>
      <w:pPr>
        <w:widowControl/>
        <w:tabs>
          <w:tab w:val="left" w:pos="720"/>
        </w:tabs>
        <w:adjustRightInd w:val="0"/>
        <w:snapToGrid w:val="0"/>
        <w:spacing w:line="360" w:lineRule="auto"/>
        <w:rPr>
          <w:rFonts w:ascii="宋体" w:hAnsi="宋体"/>
          <w:color w:val="000000"/>
          <w:sz w:val="24"/>
        </w:rPr>
      </w:pPr>
      <w:r>
        <w:rPr>
          <w:rFonts w:hint="eastAsia" w:ascii="宋体" w:hAnsi="宋体"/>
          <w:color w:val="000000"/>
          <w:sz w:val="24"/>
        </w:rPr>
        <w:t>10.2采购人或磋商组织人在开标截止之日前两个日历日内对收到的澄清要求都将予以答复（或召开澄清会），答复包括所有问题，但不包括问题的来源。潜在供应商在收到上述答复后，应立即向磋商组织人回函确认。该答复作为磋商文件的一部分，对供应商具有约束力。</w:t>
      </w:r>
    </w:p>
    <w:p>
      <w:pPr>
        <w:widowControl/>
        <w:tabs>
          <w:tab w:val="left" w:pos="720"/>
        </w:tabs>
        <w:adjustRightInd w:val="0"/>
        <w:snapToGrid w:val="0"/>
        <w:spacing w:line="360" w:lineRule="auto"/>
        <w:rPr>
          <w:rFonts w:ascii="宋体" w:hAnsi="宋体"/>
          <w:color w:val="000000"/>
          <w:sz w:val="24"/>
        </w:rPr>
      </w:pPr>
      <w:r>
        <w:rPr>
          <w:rFonts w:hint="eastAsia" w:ascii="宋体" w:hAnsi="宋体"/>
          <w:color w:val="000000"/>
          <w:sz w:val="24"/>
        </w:rPr>
        <w:t>10.3质疑（询问）函应当包括但不只限于以下主要内容：被质疑采购项目名称、项目编号、包号及采购内容、信息公告发布时间、质疑事项及事实依据、认为自己合法权益受到损害或可能受到损害的相关证明材料、法律依据（具体条款）、质疑人全称、法定代表人（负责人、自然人）签字、盖章、有效联系方式（包括手机、传真号码等）以及被质疑人名称、提出质疑的日期。质疑函一式两份。</w:t>
      </w:r>
    </w:p>
    <w:p>
      <w:pPr>
        <w:adjustRightInd w:val="0"/>
        <w:snapToGrid w:val="0"/>
        <w:spacing w:line="360" w:lineRule="auto"/>
        <w:rPr>
          <w:rFonts w:ascii="宋体" w:hAnsi="宋体"/>
          <w:color w:val="000000"/>
          <w:sz w:val="24"/>
        </w:rPr>
      </w:pPr>
      <w:r>
        <w:rPr>
          <w:rFonts w:ascii="宋体" w:hAnsi="宋体"/>
          <w:color w:val="000000"/>
          <w:sz w:val="24"/>
        </w:rPr>
        <w:t>1</w:t>
      </w:r>
      <w:r>
        <w:rPr>
          <w:rFonts w:hint="eastAsia" w:ascii="宋体" w:hAnsi="宋体"/>
          <w:color w:val="000000"/>
          <w:sz w:val="24"/>
        </w:rPr>
        <w:t>0.4</w:t>
      </w:r>
      <w:r>
        <w:rPr>
          <w:rFonts w:ascii="宋体" w:hAnsi="宋体"/>
          <w:color w:val="000000"/>
          <w:sz w:val="24"/>
        </w:rPr>
        <w:t>对在投标截止期</w:t>
      </w:r>
      <w:r>
        <w:rPr>
          <w:rFonts w:hint="eastAsia" w:ascii="宋体" w:hAnsi="宋体"/>
          <w:color w:val="000000"/>
          <w:sz w:val="24"/>
        </w:rPr>
        <w:t>3</w:t>
      </w:r>
      <w:r>
        <w:rPr>
          <w:rFonts w:ascii="宋体" w:hAnsi="宋体"/>
          <w:color w:val="000000"/>
          <w:sz w:val="24"/>
        </w:rPr>
        <w:t>天以前收到的澄清要求，磋商组织人需要对磋商文件进行澄清、答复的；或者在投标截止前的任何时候，磋商组织人需要对磋商文件进行补充或修改的，</w:t>
      </w:r>
      <w:r>
        <w:rPr>
          <w:rFonts w:hint="eastAsia" w:ascii="宋体" w:hAnsi="宋体"/>
          <w:color w:val="000000"/>
          <w:sz w:val="24"/>
        </w:rPr>
        <w:t>都将予以答复（或召开澄清会）</w:t>
      </w:r>
      <w:r>
        <w:rPr>
          <w:rFonts w:ascii="宋体" w:hAnsi="宋体"/>
          <w:color w:val="000000"/>
          <w:sz w:val="24"/>
        </w:rPr>
        <w:t>。如果澄清或修改的内容可能影响磋商响应文件编制的，且澄清或修改公告发布时间距投标截止时间不足</w:t>
      </w:r>
      <w:r>
        <w:rPr>
          <w:rFonts w:hint="eastAsia" w:ascii="宋体" w:hAnsi="宋体"/>
          <w:color w:val="000000"/>
          <w:sz w:val="24"/>
        </w:rPr>
        <w:t>3</w:t>
      </w:r>
      <w:r>
        <w:rPr>
          <w:rFonts w:ascii="宋体" w:hAnsi="宋体"/>
          <w:color w:val="000000"/>
          <w:sz w:val="24"/>
        </w:rPr>
        <w:t>天的，则相应延长投标截止时间。延长后的具体投标截止时间以最后发布的澄清或修改公告中的规定为准。</w:t>
      </w:r>
    </w:p>
    <w:p>
      <w:pPr>
        <w:adjustRightInd w:val="0"/>
        <w:snapToGrid w:val="0"/>
        <w:spacing w:line="360" w:lineRule="auto"/>
        <w:rPr>
          <w:rFonts w:ascii="宋体" w:hAnsi="宋体"/>
          <w:color w:val="000000"/>
          <w:sz w:val="24"/>
        </w:rPr>
      </w:pPr>
      <w:r>
        <w:rPr>
          <w:rFonts w:ascii="宋体" w:hAnsi="宋体"/>
          <w:color w:val="000000"/>
          <w:sz w:val="24"/>
        </w:rPr>
        <w:t>1</w:t>
      </w:r>
      <w:r>
        <w:rPr>
          <w:rFonts w:hint="eastAsia" w:ascii="宋体" w:hAnsi="宋体"/>
          <w:color w:val="000000"/>
          <w:sz w:val="24"/>
        </w:rPr>
        <w:t>0.5</w:t>
      </w:r>
      <w:r>
        <w:rPr>
          <w:rFonts w:ascii="宋体" w:hAnsi="宋体"/>
          <w:color w:val="000000"/>
          <w:sz w:val="24"/>
        </w:rPr>
        <w:t>澄清或</w:t>
      </w:r>
      <w:r>
        <w:rPr>
          <w:rFonts w:hint="eastAsia" w:ascii="宋体" w:hAnsi="宋体"/>
          <w:color w:val="000000"/>
          <w:sz w:val="24"/>
        </w:rPr>
        <w:t>更正</w:t>
      </w:r>
      <w:r>
        <w:rPr>
          <w:rFonts w:ascii="宋体" w:hAnsi="宋体"/>
          <w:color w:val="000000"/>
          <w:sz w:val="24"/>
        </w:rPr>
        <w:t>公告的内容为磋商文件的组成部分。当磋商文件与澄清或</w:t>
      </w:r>
      <w:r>
        <w:rPr>
          <w:rFonts w:hint="eastAsia" w:ascii="宋体" w:hAnsi="宋体"/>
          <w:color w:val="000000"/>
          <w:sz w:val="24"/>
        </w:rPr>
        <w:t>更正</w:t>
      </w:r>
      <w:r>
        <w:rPr>
          <w:rFonts w:ascii="宋体" w:hAnsi="宋体"/>
          <w:color w:val="000000"/>
          <w:sz w:val="24"/>
        </w:rPr>
        <w:t>公告就同一内容的表述不一致时，以最后发出的文件内容为准。</w:t>
      </w:r>
    </w:p>
    <w:p>
      <w:pPr>
        <w:adjustRightInd w:val="0"/>
        <w:snapToGrid w:val="0"/>
        <w:spacing w:line="360" w:lineRule="auto"/>
        <w:rPr>
          <w:rFonts w:ascii="宋体" w:hAnsi="宋体"/>
          <w:color w:val="000000"/>
          <w:sz w:val="24"/>
        </w:rPr>
      </w:pPr>
      <w:r>
        <w:rPr>
          <w:rFonts w:hint="eastAsia" w:ascii="宋体" w:hAnsi="宋体"/>
          <w:color w:val="000000"/>
          <w:sz w:val="24"/>
        </w:rPr>
        <w:t>10.6</w:t>
      </w:r>
      <w:r>
        <w:rPr>
          <w:rFonts w:ascii="宋体" w:hAnsi="宋体"/>
          <w:color w:val="000000"/>
          <w:sz w:val="24"/>
        </w:rPr>
        <w:t>磋商文件的澄清、答复、</w:t>
      </w:r>
      <w:r>
        <w:rPr>
          <w:rFonts w:hint="eastAsia" w:ascii="宋体" w:hAnsi="宋体"/>
          <w:color w:val="000000"/>
          <w:sz w:val="24"/>
        </w:rPr>
        <w:t>更正</w:t>
      </w:r>
      <w:r>
        <w:rPr>
          <w:rFonts w:ascii="宋体" w:hAnsi="宋体"/>
          <w:color w:val="000000"/>
          <w:sz w:val="24"/>
        </w:rPr>
        <w:t>或补充都应由</w:t>
      </w:r>
      <w:r>
        <w:rPr>
          <w:rFonts w:hint="eastAsia" w:ascii="宋体" w:hAnsi="宋体"/>
          <w:color w:val="000000"/>
          <w:sz w:val="24"/>
        </w:rPr>
        <w:t>磋商组织人</w:t>
      </w:r>
      <w:r>
        <w:rPr>
          <w:rFonts w:ascii="宋体" w:hAnsi="宋体"/>
          <w:color w:val="000000"/>
          <w:sz w:val="24"/>
        </w:rPr>
        <w:t>以澄清或</w:t>
      </w:r>
      <w:r>
        <w:rPr>
          <w:rFonts w:hint="eastAsia" w:ascii="宋体" w:hAnsi="宋体"/>
          <w:color w:val="000000"/>
          <w:sz w:val="24"/>
        </w:rPr>
        <w:t>更正</w:t>
      </w:r>
      <w:r>
        <w:rPr>
          <w:rFonts w:ascii="宋体" w:hAnsi="宋体"/>
          <w:color w:val="000000"/>
          <w:sz w:val="24"/>
        </w:rPr>
        <w:t>公告形式发布和通知，除此以外的其他任何澄清、</w:t>
      </w:r>
      <w:r>
        <w:rPr>
          <w:rFonts w:hint="eastAsia" w:ascii="宋体" w:hAnsi="宋体"/>
          <w:color w:val="000000"/>
          <w:sz w:val="24"/>
        </w:rPr>
        <w:t>更正</w:t>
      </w:r>
      <w:r>
        <w:rPr>
          <w:rFonts w:ascii="宋体" w:hAnsi="宋体"/>
          <w:color w:val="000000"/>
          <w:sz w:val="24"/>
        </w:rPr>
        <w:t>方式及澄清、</w:t>
      </w:r>
      <w:r>
        <w:rPr>
          <w:rFonts w:hint="eastAsia" w:ascii="宋体" w:hAnsi="宋体"/>
          <w:color w:val="000000"/>
          <w:sz w:val="24"/>
        </w:rPr>
        <w:t>更正</w:t>
      </w:r>
      <w:r>
        <w:rPr>
          <w:rFonts w:ascii="宋体" w:hAnsi="宋体"/>
          <w:color w:val="000000"/>
          <w:sz w:val="24"/>
        </w:rPr>
        <w:t>内容均属无效，不得作为</w:t>
      </w:r>
      <w:r>
        <w:rPr>
          <w:rFonts w:hint="eastAsia" w:ascii="宋体" w:hAnsi="宋体"/>
          <w:color w:val="000000"/>
          <w:sz w:val="24"/>
        </w:rPr>
        <w:t>磋商</w:t>
      </w:r>
      <w:r>
        <w:rPr>
          <w:rFonts w:ascii="宋体" w:hAnsi="宋体"/>
          <w:color w:val="000000"/>
          <w:sz w:val="24"/>
        </w:rPr>
        <w:t>的依据，否则，由此导致的风险由供应商自行承担，磋商组织人不承担任何责任。</w:t>
      </w:r>
    </w:p>
    <w:p>
      <w:pPr>
        <w:snapToGrid w:val="0"/>
        <w:spacing w:line="360" w:lineRule="auto"/>
        <w:rPr>
          <w:rFonts w:ascii="宋体" w:hAnsi="宋体"/>
          <w:sz w:val="24"/>
        </w:rPr>
      </w:pPr>
      <w:r>
        <w:rPr>
          <w:rFonts w:ascii="宋体" w:hAnsi="宋体"/>
          <w:color w:val="000000"/>
          <w:sz w:val="24"/>
        </w:rPr>
        <w:t>1</w:t>
      </w:r>
      <w:r>
        <w:rPr>
          <w:rFonts w:hint="eastAsia" w:ascii="宋体" w:hAnsi="宋体"/>
          <w:color w:val="000000"/>
          <w:sz w:val="24"/>
        </w:rPr>
        <w:t>0.7</w:t>
      </w:r>
      <w:r>
        <w:rPr>
          <w:rFonts w:ascii="宋体" w:hAnsi="宋体"/>
          <w:color w:val="000000"/>
          <w:sz w:val="24"/>
        </w:rPr>
        <w:t>磋商组织人召开答疑会的，所有供应商应根据磋商文件或者磋商组织人通知的要求参加答疑会。供应商如不参加，其风险由供应商自行承担，磋商组织人不承担任何责任。</w:t>
      </w:r>
    </w:p>
    <w:p>
      <w:pPr>
        <w:snapToGrid w:val="0"/>
        <w:spacing w:line="360" w:lineRule="auto"/>
        <w:jc w:val="center"/>
        <w:outlineLvl w:val="1"/>
        <w:rPr>
          <w:rFonts w:ascii="宋体" w:hAnsi="宋体"/>
          <w:sz w:val="28"/>
          <w:szCs w:val="28"/>
        </w:rPr>
      </w:pPr>
      <w:bookmarkStart w:id="60" w:name="_Hlt26670354"/>
      <w:bookmarkEnd w:id="60"/>
      <w:bookmarkStart w:id="61" w:name="_Hlt26954828"/>
      <w:bookmarkEnd w:id="61"/>
      <w:bookmarkStart w:id="62" w:name="_Hlt26954832"/>
      <w:bookmarkEnd w:id="62"/>
      <w:bookmarkStart w:id="63" w:name="_Hlt26670345"/>
      <w:bookmarkEnd w:id="63"/>
      <w:bookmarkStart w:id="64" w:name="_Toc513029213"/>
      <w:bookmarkStart w:id="65" w:name="_Toc14577351"/>
      <w:bookmarkStart w:id="66" w:name="_Toc462564072"/>
      <w:bookmarkStart w:id="67" w:name="_Toc49090504"/>
      <w:bookmarkStart w:id="68" w:name="_Toc50913190"/>
    </w:p>
    <w:p>
      <w:pPr>
        <w:snapToGrid w:val="0"/>
        <w:spacing w:line="360" w:lineRule="auto"/>
        <w:jc w:val="center"/>
        <w:outlineLvl w:val="1"/>
        <w:rPr>
          <w:rFonts w:ascii="宋体" w:hAnsi="宋体"/>
          <w:sz w:val="28"/>
          <w:szCs w:val="28"/>
        </w:rPr>
      </w:pPr>
      <w:r>
        <w:rPr>
          <w:rFonts w:hint="eastAsia" w:ascii="宋体" w:hAnsi="宋体"/>
          <w:sz w:val="28"/>
          <w:szCs w:val="28"/>
        </w:rPr>
        <w:t>三、磋商响应文件的编制</w:t>
      </w:r>
      <w:bookmarkEnd w:id="64"/>
      <w:bookmarkEnd w:id="65"/>
      <w:bookmarkEnd w:id="66"/>
      <w:bookmarkEnd w:id="67"/>
      <w:bookmarkEnd w:id="68"/>
    </w:p>
    <w:p>
      <w:pPr>
        <w:pStyle w:val="6"/>
        <w:snapToGrid w:val="0"/>
        <w:spacing w:before="0" w:after="0" w:line="360" w:lineRule="auto"/>
        <w:rPr>
          <w:rFonts w:ascii="宋体" w:hAnsi="宋体"/>
          <w:sz w:val="28"/>
        </w:rPr>
      </w:pPr>
      <w:bookmarkStart w:id="69" w:name="_Hlt26670357"/>
      <w:bookmarkEnd w:id="69"/>
      <w:bookmarkStart w:id="70" w:name="_Hlt26954834"/>
      <w:bookmarkEnd w:id="70"/>
      <w:bookmarkStart w:id="71" w:name="_Hlt26954836"/>
      <w:bookmarkEnd w:id="71"/>
      <w:bookmarkStart w:id="72" w:name="_Toc496084506"/>
      <w:bookmarkStart w:id="73" w:name="_Toc50913191"/>
      <w:bookmarkStart w:id="74" w:name="_Toc513029215"/>
      <w:bookmarkStart w:id="75" w:name="_Toc14577353"/>
      <w:bookmarkStart w:id="76" w:name="_Toc462564074"/>
      <w:bookmarkStart w:id="77" w:name="_Toc49090506"/>
      <w:r>
        <w:rPr>
          <w:rFonts w:ascii="宋体" w:hAnsi="宋体"/>
          <w:sz w:val="28"/>
        </w:rPr>
        <w:t>1</w:t>
      </w:r>
      <w:r>
        <w:rPr>
          <w:rFonts w:hint="eastAsia" w:ascii="宋体" w:hAnsi="宋体"/>
          <w:sz w:val="28"/>
        </w:rPr>
        <w:t>1</w:t>
      </w:r>
      <w:r>
        <w:rPr>
          <w:rFonts w:ascii="宋体" w:hAnsi="宋体"/>
          <w:sz w:val="28"/>
        </w:rPr>
        <w:t>．</w:t>
      </w:r>
      <w:r>
        <w:rPr>
          <w:rFonts w:hint="eastAsia" w:ascii="宋体" w:hAnsi="宋体"/>
          <w:sz w:val="28"/>
        </w:rPr>
        <w:t>磋商的语言及计量单位</w:t>
      </w:r>
      <w:bookmarkEnd w:id="72"/>
      <w:bookmarkEnd w:id="73"/>
    </w:p>
    <w:p>
      <w:pPr>
        <w:widowControl/>
        <w:tabs>
          <w:tab w:val="left" w:pos="0"/>
        </w:tabs>
        <w:adjustRightInd w:val="0"/>
        <w:snapToGrid w:val="0"/>
        <w:spacing w:line="360" w:lineRule="auto"/>
        <w:jc w:val="left"/>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1  </w:t>
      </w:r>
      <w:r>
        <w:rPr>
          <w:rFonts w:hint="eastAsia" w:ascii="宋体" w:hAnsi="宋体"/>
          <w:sz w:val="24"/>
        </w:rPr>
        <w:t>供应商提交的响应文件以及供应商与磋商组织人就有关磋商事宜的所有来往书面文件均应使用中文。除签名、盖章、专用名称等特殊情形外，以中文以外的文字表述的响应文件视同未提供。</w:t>
      </w:r>
    </w:p>
    <w:p>
      <w:pPr>
        <w:widowControl/>
        <w:tabs>
          <w:tab w:val="left" w:pos="0"/>
        </w:tabs>
        <w:adjustRightInd w:val="0"/>
        <w:snapToGrid w:val="0"/>
        <w:spacing w:line="360" w:lineRule="auto"/>
        <w:jc w:val="left"/>
        <w:rPr>
          <w:rFonts w:ascii="宋体" w:hAnsi="宋体"/>
          <w:sz w:val="24"/>
        </w:rPr>
      </w:pPr>
      <w:r>
        <w:rPr>
          <w:rFonts w:hint="eastAsia" w:ascii="宋体" w:hAnsi="宋体"/>
          <w:sz w:val="24"/>
        </w:rPr>
        <w:t>11.</w:t>
      </w:r>
      <w:r>
        <w:rPr>
          <w:rFonts w:ascii="宋体" w:hAnsi="宋体"/>
          <w:sz w:val="24"/>
        </w:rPr>
        <w:t xml:space="preserve">2  </w:t>
      </w:r>
      <w:r>
        <w:rPr>
          <w:rFonts w:hint="eastAsia" w:ascii="宋体" w:hAnsi="宋体"/>
          <w:sz w:val="24"/>
        </w:rPr>
        <w:t>磋商计量单位，磋商文件已有明确规定的，使用磋商文件规定的计量单位；磋商文件没有规定的，一律采用中华人民共和国法定计量单位（货币单位：人民币元）。</w:t>
      </w:r>
    </w:p>
    <w:p>
      <w:pPr>
        <w:pStyle w:val="6"/>
        <w:snapToGrid w:val="0"/>
        <w:spacing w:before="0" w:after="0" w:line="360" w:lineRule="auto"/>
        <w:rPr>
          <w:rFonts w:ascii="宋体" w:hAnsi="宋体"/>
        </w:rPr>
      </w:pPr>
      <w:bookmarkStart w:id="78" w:name="_Toc50913192"/>
      <w:r>
        <w:rPr>
          <w:rFonts w:hint="eastAsia" w:ascii="宋体" w:hAnsi="宋体"/>
          <w:sz w:val="28"/>
        </w:rPr>
        <w:t>12. 磋商有效期</w:t>
      </w:r>
      <w:bookmarkEnd w:id="78"/>
    </w:p>
    <w:p>
      <w:pPr>
        <w:snapToGrid w:val="0"/>
        <w:spacing w:line="360" w:lineRule="auto"/>
        <w:rPr>
          <w:rFonts w:ascii="宋体" w:hAnsi="宋体"/>
          <w:sz w:val="24"/>
        </w:rPr>
      </w:pPr>
      <w:r>
        <w:rPr>
          <w:rFonts w:hint="eastAsia" w:ascii="宋体" w:hAnsi="宋体"/>
          <w:sz w:val="24"/>
        </w:rPr>
        <w:t>12.1 磋商有效期为磋商组织人规定的磋商之日起至公布成交人之日止。成交人的磋商有效期延长至合同履行期满。</w:t>
      </w:r>
    </w:p>
    <w:p>
      <w:pPr>
        <w:snapToGrid w:val="0"/>
        <w:spacing w:line="360" w:lineRule="auto"/>
        <w:rPr>
          <w:rFonts w:ascii="宋体" w:hAnsi="宋体"/>
          <w:sz w:val="24"/>
        </w:rPr>
      </w:pPr>
      <w:r>
        <w:rPr>
          <w:rFonts w:hint="eastAsia" w:ascii="宋体" w:hAnsi="宋体"/>
          <w:sz w:val="24"/>
        </w:rPr>
        <w:t>12.2 在特殊情况下，磋商组织人于原磋商有效期满之前，可向供应商提出延长磋商有效期的要求。这种要求与答复均应采用书面形式或电子邮件。供应商可以拒绝磋商组织人的这一要求而放弃磋商，磋商保证金将不被没收。同意延长磋商有效期的供应商既不能要求也不允许修改其磋商响应文件，有关磋商保证金的规定在延长期内继续有效。</w:t>
      </w:r>
    </w:p>
    <w:p>
      <w:pPr>
        <w:pStyle w:val="6"/>
        <w:snapToGrid w:val="0"/>
        <w:spacing w:before="0" w:after="0" w:line="360" w:lineRule="auto"/>
        <w:rPr>
          <w:rFonts w:ascii="宋体" w:hAnsi="宋体"/>
        </w:rPr>
      </w:pPr>
      <w:bookmarkStart w:id="79" w:name="_Toc50913193"/>
      <w:r>
        <w:rPr>
          <w:rFonts w:hint="eastAsia" w:ascii="宋体" w:hAnsi="宋体"/>
          <w:sz w:val="28"/>
        </w:rPr>
        <w:t>13．磋商响应文件构成</w:t>
      </w:r>
      <w:bookmarkEnd w:id="74"/>
      <w:bookmarkEnd w:id="75"/>
      <w:bookmarkEnd w:id="76"/>
      <w:bookmarkEnd w:id="77"/>
      <w:bookmarkEnd w:id="79"/>
    </w:p>
    <w:p>
      <w:pPr>
        <w:adjustRightInd w:val="0"/>
        <w:snapToGrid w:val="0"/>
        <w:spacing w:line="360" w:lineRule="auto"/>
        <w:jc w:val="left"/>
        <w:rPr>
          <w:rFonts w:ascii="宋体" w:hAnsi="宋体"/>
          <w:sz w:val="24"/>
        </w:rPr>
      </w:pPr>
      <w:bookmarkStart w:id="80" w:name="_Toc462564075"/>
      <w:r>
        <w:rPr>
          <w:rFonts w:hint="eastAsia" w:ascii="宋体" w:hAnsi="宋体"/>
          <w:sz w:val="24"/>
        </w:rPr>
        <w:t xml:space="preserve">13.1 </w:t>
      </w:r>
      <w:r>
        <w:rPr>
          <w:rFonts w:ascii="宋体" w:hAnsi="宋体"/>
          <w:sz w:val="24"/>
        </w:rPr>
        <w:t>投标文件由</w:t>
      </w:r>
      <w:r>
        <w:rPr>
          <w:rFonts w:hint="eastAsia" w:ascii="宋体" w:hAnsi="宋体"/>
          <w:sz w:val="24"/>
        </w:rPr>
        <w:t>资格证明</w:t>
      </w:r>
      <w:r>
        <w:rPr>
          <w:rFonts w:ascii="宋体" w:hAnsi="宋体"/>
          <w:sz w:val="24"/>
        </w:rPr>
        <w:t>文件</w:t>
      </w:r>
      <w:r>
        <w:rPr>
          <w:rFonts w:hint="eastAsia" w:ascii="宋体" w:hAnsi="宋体"/>
          <w:sz w:val="24"/>
        </w:rPr>
        <w:t>、符合性证明文件和商务技术文件三部分构成。</w:t>
      </w:r>
    </w:p>
    <w:p>
      <w:pPr>
        <w:widowControl/>
        <w:tabs>
          <w:tab w:val="left" w:pos="0"/>
        </w:tabs>
        <w:adjustRightInd w:val="0"/>
        <w:snapToGrid w:val="0"/>
        <w:spacing w:line="360" w:lineRule="auto"/>
        <w:jc w:val="left"/>
        <w:rPr>
          <w:rFonts w:ascii="宋体" w:hAnsi="宋体"/>
          <w:sz w:val="24"/>
        </w:rPr>
      </w:pPr>
      <w:r>
        <w:rPr>
          <w:rFonts w:hint="eastAsia" w:ascii="宋体" w:hAnsi="宋体"/>
          <w:sz w:val="24"/>
        </w:rPr>
        <w:t>13.2投标文件主要内容</w:t>
      </w:r>
    </w:p>
    <w:p>
      <w:pPr>
        <w:widowControl/>
        <w:tabs>
          <w:tab w:val="left" w:pos="0"/>
        </w:tabs>
        <w:adjustRightInd w:val="0"/>
        <w:snapToGrid w:val="0"/>
        <w:spacing w:line="360" w:lineRule="auto"/>
        <w:rPr>
          <w:rFonts w:ascii="宋体" w:hAnsi="宋体"/>
          <w:sz w:val="24"/>
        </w:rPr>
      </w:pPr>
      <w:r>
        <w:rPr>
          <w:rFonts w:hint="eastAsia" w:ascii="宋体" w:hAnsi="宋体"/>
          <w:sz w:val="24"/>
        </w:rPr>
        <w:t>（一）资格证明文件</w:t>
      </w:r>
    </w:p>
    <w:p>
      <w:pPr>
        <w:widowControl/>
        <w:tabs>
          <w:tab w:val="left" w:pos="0"/>
        </w:tabs>
        <w:adjustRightInd w:val="0"/>
        <w:snapToGrid w:val="0"/>
        <w:spacing w:line="360" w:lineRule="auto"/>
        <w:rPr>
          <w:rFonts w:ascii="宋体" w:hAnsi="宋体"/>
          <w:sz w:val="24"/>
        </w:rPr>
      </w:pPr>
      <w:r>
        <w:rPr>
          <w:rFonts w:hint="eastAsia" w:ascii="宋体" w:hAnsi="宋体"/>
          <w:sz w:val="24"/>
        </w:rPr>
        <w:t>1．无违法记录声明函；</w:t>
      </w:r>
    </w:p>
    <w:p>
      <w:pPr>
        <w:widowControl/>
        <w:tabs>
          <w:tab w:val="left" w:pos="0"/>
        </w:tabs>
        <w:adjustRightInd w:val="0"/>
        <w:snapToGrid w:val="0"/>
        <w:spacing w:line="360" w:lineRule="auto"/>
        <w:rPr>
          <w:rFonts w:ascii="宋体" w:hAnsi="宋体"/>
          <w:sz w:val="24"/>
        </w:rPr>
      </w:pPr>
      <w:r>
        <w:rPr>
          <w:rFonts w:hint="eastAsia" w:ascii="宋体" w:hAnsi="宋体"/>
          <w:sz w:val="24"/>
        </w:rPr>
        <w:t>2．其它资格证明文件</w:t>
      </w:r>
    </w:p>
    <w:p>
      <w:pPr>
        <w:widowControl/>
        <w:tabs>
          <w:tab w:val="left" w:pos="0"/>
        </w:tabs>
        <w:adjustRightInd w:val="0"/>
        <w:snapToGrid w:val="0"/>
        <w:spacing w:line="360" w:lineRule="auto"/>
        <w:rPr>
          <w:rFonts w:ascii="宋体" w:hAnsi="宋体"/>
          <w:sz w:val="24"/>
        </w:rPr>
      </w:pPr>
      <w:r>
        <w:rPr>
          <w:rFonts w:hint="eastAsia" w:ascii="宋体" w:hAnsi="宋体"/>
          <w:sz w:val="24"/>
        </w:rPr>
        <w:t>（二）符合性证明文件</w:t>
      </w:r>
    </w:p>
    <w:p>
      <w:pPr>
        <w:widowControl/>
        <w:tabs>
          <w:tab w:val="left" w:pos="0"/>
        </w:tabs>
        <w:adjustRightInd w:val="0"/>
        <w:snapToGrid w:val="0"/>
        <w:spacing w:line="360" w:lineRule="auto"/>
        <w:rPr>
          <w:rFonts w:ascii="宋体" w:hAnsi="宋体"/>
          <w:sz w:val="24"/>
        </w:rPr>
      </w:pPr>
      <w:r>
        <w:rPr>
          <w:rFonts w:hint="eastAsia" w:ascii="宋体" w:hAnsi="宋体"/>
          <w:sz w:val="24"/>
        </w:rPr>
        <w:t>1．投标函</w:t>
      </w:r>
    </w:p>
    <w:p>
      <w:pPr>
        <w:widowControl/>
        <w:tabs>
          <w:tab w:val="left" w:pos="0"/>
        </w:tabs>
        <w:adjustRightInd w:val="0"/>
        <w:snapToGrid w:val="0"/>
        <w:spacing w:line="360" w:lineRule="auto"/>
        <w:rPr>
          <w:rFonts w:ascii="宋体" w:hAnsi="宋体"/>
          <w:sz w:val="24"/>
        </w:rPr>
      </w:pPr>
      <w:r>
        <w:rPr>
          <w:rFonts w:hint="eastAsia" w:ascii="宋体" w:hAnsi="宋体"/>
          <w:sz w:val="24"/>
        </w:rPr>
        <w:t>2．法定代表人资格证明书;</w:t>
      </w:r>
    </w:p>
    <w:p>
      <w:pPr>
        <w:widowControl/>
        <w:tabs>
          <w:tab w:val="left" w:pos="0"/>
        </w:tabs>
        <w:adjustRightInd w:val="0"/>
        <w:snapToGrid w:val="0"/>
        <w:spacing w:line="360" w:lineRule="auto"/>
        <w:rPr>
          <w:rFonts w:ascii="宋体" w:hAnsi="宋体"/>
          <w:sz w:val="24"/>
        </w:rPr>
      </w:pPr>
      <w:r>
        <w:rPr>
          <w:rFonts w:hint="eastAsia" w:ascii="宋体" w:hAnsi="宋体"/>
          <w:sz w:val="24"/>
        </w:rPr>
        <w:t>3．法人授权委托书;</w:t>
      </w:r>
    </w:p>
    <w:p>
      <w:pPr>
        <w:widowControl/>
        <w:tabs>
          <w:tab w:val="left" w:pos="0"/>
        </w:tabs>
        <w:adjustRightInd w:val="0"/>
        <w:snapToGrid w:val="0"/>
        <w:spacing w:line="360" w:lineRule="auto"/>
        <w:rPr>
          <w:rFonts w:ascii="宋体" w:hAnsi="宋体"/>
          <w:sz w:val="24"/>
        </w:rPr>
      </w:pPr>
      <w:r>
        <w:rPr>
          <w:rFonts w:hint="eastAsia" w:ascii="宋体" w:hAnsi="宋体"/>
          <w:sz w:val="24"/>
        </w:rPr>
        <w:t>4．其它符合性证明文件</w:t>
      </w:r>
    </w:p>
    <w:p>
      <w:pPr>
        <w:widowControl/>
        <w:tabs>
          <w:tab w:val="left" w:pos="0"/>
        </w:tabs>
        <w:adjustRightInd w:val="0"/>
        <w:snapToGrid w:val="0"/>
        <w:spacing w:line="360" w:lineRule="auto"/>
        <w:ind w:firstLine="120" w:firstLineChars="50"/>
        <w:rPr>
          <w:rFonts w:ascii="宋体" w:hAnsi="宋体"/>
          <w:sz w:val="24"/>
        </w:rPr>
      </w:pPr>
      <w:r>
        <w:rPr>
          <w:rFonts w:hint="eastAsia" w:ascii="宋体" w:hAnsi="宋体"/>
          <w:sz w:val="24"/>
        </w:rPr>
        <w:t>（三）商务技术文件</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投标报价部分</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1.磋商报价一览表</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2.分项报价表</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3.中小</w:t>
      </w:r>
      <w:r>
        <w:rPr>
          <w:rFonts w:ascii="宋体" w:hAnsi="宋体"/>
          <w:sz w:val="24"/>
        </w:rPr>
        <w:t>微</w:t>
      </w:r>
      <w:r>
        <w:rPr>
          <w:rFonts w:hint="eastAsia" w:ascii="宋体" w:hAnsi="宋体"/>
          <w:sz w:val="24"/>
        </w:rPr>
        <w:t>企业</w:t>
      </w:r>
      <w:r>
        <w:rPr>
          <w:rFonts w:ascii="宋体" w:hAnsi="宋体"/>
          <w:sz w:val="24"/>
        </w:rPr>
        <w:t>证明</w:t>
      </w:r>
    </w:p>
    <w:p>
      <w:pPr>
        <w:widowControl/>
        <w:tabs>
          <w:tab w:val="left" w:pos="0"/>
        </w:tabs>
        <w:adjustRightInd w:val="0"/>
        <w:snapToGrid w:val="0"/>
        <w:spacing w:line="360" w:lineRule="auto"/>
        <w:ind w:firstLine="240" w:firstLineChars="100"/>
        <w:rPr>
          <w:rFonts w:ascii="宋体" w:hAnsi="宋体"/>
          <w:sz w:val="24"/>
        </w:rPr>
      </w:pPr>
      <w:r>
        <w:rPr>
          <w:rFonts w:hint="eastAsia" w:ascii="宋体" w:hAnsi="宋体"/>
          <w:sz w:val="24"/>
        </w:rPr>
        <w:t>4.其它商务要求资料。</w:t>
      </w:r>
    </w:p>
    <w:p>
      <w:pPr>
        <w:pStyle w:val="140"/>
        <w:widowControl/>
        <w:numPr>
          <w:ilvl w:val="0"/>
          <w:numId w:val="1"/>
        </w:numPr>
        <w:tabs>
          <w:tab w:val="left" w:pos="0"/>
        </w:tabs>
        <w:adjustRightInd w:val="0"/>
        <w:snapToGrid w:val="0"/>
        <w:spacing w:line="360" w:lineRule="auto"/>
        <w:ind w:firstLineChars="0"/>
        <w:rPr>
          <w:rFonts w:ascii="宋体" w:hAnsi="宋体"/>
          <w:sz w:val="24"/>
        </w:rPr>
      </w:pPr>
      <w:r>
        <w:rPr>
          <w:rFonts w:hint="eastAsia" w:ascii="宋体" w:hAnsi="宋体"/>
          <w:sz w:val="24"/>
        </w:rPr>
        <w:t>服务方案</w:t>
      </w:r>
    </w:p>
    <w:p>
      <w:pPr>
        <w:pStyle w:val="19"/>
        <w:widowControl/>
        <w:tabs>
          <w:tab w:val="left" w:pos="1304"/>
        </w:tabs>
        <w:adjustRightInd w:val="0"/>
        <w:snapToGrid w:val="0"/>
        <w:spacing w:line="360" w:lineRule="auto"/>
        <w:ind w:firstLine="240" w:firstLineChars="100"/>
        <w:jc w:val="left"/>
        <w:rPr>
          <w:rFonts w:hAnsi="宋体"/>
          <w:bCs/>
          <w:sz w:val="24"/>
          <w:szCs w:val="24"/>
        </w:rPr>
      </w:pPr>
      <w:r>
        <w:rPr>
          <w:rFonts w:hint="eastAsia" w:hAnsi="宋体"/>
          <w:bCs/>
          <w:sz w:val="24"/>
          <w:szCs w:val="24"/>
        </w:rPr>
        <w:t>1.服务内容；</w:t>
      </w:r>
    </w:p>
    <w:p>
      <w:pPr>
        <w:pStyle w:val="19"/>
        <w:widowControl/>
        <w:tabs>
          <w:tab w:val="left" w:pos="1304"/>
        </w:tabs>
        <w:adjustRightInd w:val="0"/>
        <w:snapToGrid w:val="0"/>
        <w:spacing w:line="360" w:lineRule="auto"/>
        <w:ind w:firstLine="240" w:firstLineChars="100"/>
        <w:jc w:val="left"/>
        <w:rPr>
          <w:rFonts w:hAnsi="宋体"/>
          <w:bCs/>
          <w:sz w:val="24"/>
          <w:szCs w:val="24"/>
        </w:rPr>
      </w:pPr>
      <w:r>
        <w:rPr>
          <w:rFonts w:hint="eastAsia" w:hAnsi="宋体"/>
          <w:bCs/>
          <w:sz w:val="24"/>
          <w:szCs w:val="24"/>
        </w:rPr>
        <w:t>2.服务方案</w:t>
      </w:r>
    </w:p>
    <w:p>
      <w:pPr>
        <w:pStyle w:val="19"/>
        <w:widowControl/>
        <w:tabs>
          <w:tab w:val="left" w:pos="1304"/>
        </w:tabs>
        <w:adjustRightInd w:val="0"/>
        <w:snapToGrid w:val="0"/>
        <w:spacing w:line="360" w:lineRule="auto"/>
        <w:ind w:firstLine="240" w:firstLineChars="100"/>
        <w:jc w:val="left"/>
        <w:rPr>
          <w:rFonts w:hAnsi="宋体"/>
          <w:bCs/>
          <w:sz w:val="24"/>
          <w:szCs w:val="24"/>
        </w:rPr>
      </w:pPr>
      <w:r>
        <w:rPr>
          <w:rFonts w:hint="eastAsia" w:hAnsi="宋体"/>
          <w:bCs/>
          <w:sz w:val="24"/>
          <w:szCs w:val="24"/>
        </w:rPr>
        <w:t>3.优惠条件及承诺；</w:t>
      </w:r>
    </w:p>
    <w:p>
      <w:pPr>
        <w:pStyle w:val="19"/>
        <w:widowControl/>
        <w:adjustRightInd w:val="0"/>
        <w:snapToGrid w:val="0"/>
        <w:spacing w:line="360" w:lineRule="auto"/>
        <w:ind w:firstLine="240" w:firstLineChars="100"/>
        <w:jc w:val="left"/>
        <w:rPr>
          <w:rFonts w:hAnsi="宋体"/>
          <w:bCs/>
          <w:sz w:val="24"/>
          <w:szCs w:val="24"/>
        </w:rPr>
      </w:pPr>
      <w:r>
        <w:rPr>
          <w:rFonts w:hint="eastAsia" w:hAnsi="宋体"/>
          <w:bCs/>
          <w:sz w:val="24"/>
          <w:szCs w:val="24"/>
        </w:rPr>
        <w:t>4.其他说明。</w:t>
      </w:r>
    </w:p>
    <w:p>
      <w:pPr>
        <w:pStyle w:val="6"/>
        <w:snapToGrid w:val="0"/>
        <w:spacing w:before="0" w:after="0" w:line="360" w:lineRule="auto"/>
        <w:rPr>
          <w:rFonts w:ascii="宋体" w:hAnsi="宋体"/>
          <w:sz w:val="28"/>
        </w:rPr>
      </w:pPr>
      <w:bookmarkStart w:id="81" w:name="_Toc50913194"/>
      <w:bookmarkStart w:id="82" w:name="_Toc496089627"/>
      <w:r>
        <w:rPr>
          <w:rFonts w:ascii="宋体" w:hAnsi="宋体"/>
          <w:sz w:val="28"/>
        </w:rPr>
        <w:t>1</w:t>
      </w:r>
      <w:r>
        <w:rPr>
          <w:rFonts w:hint="eastAsia" w:ascii="宋体" w:hAnsi="宋体"/>
          <w:sz w:val="28"/>
        </w:rPr>
        <w:t>4．磋商响应函</w:t>
      </w:r>
      <w:bookmarkEnd w:id="81"/>
      <w:bookmarkEnd w:id="82"/>
    </w:p>
    <w:p>
      <w:pPr>
        <w:pStyle w:val="113"/>
        <w:snapToGrid w:val="0"/>
        <w:spacing w:line="360" w:lineRule="auto"/>
        <w:ind w:left="0" w:firstLine="0"/>
        <w:jc w:val="left"/>
        <w:rPr>
          <w:rFonts w:hAnsi="宋体"/>
          <w:sz w:val="24"/>
        </w:rPr>
      </w:pPr>
      <w:r>
        <w:rPr>
          <w:rFonts w:hAnsi="宋体"/>
          <w:sz w:val="24"/>
        </w:rPr>
        <w:t>1</w:t>
      </w:r>
      <w:r>
        <w:rPr>
          <w:rFonts w:hint="eastAsia" w:hAnsi="宋体"/>
          <w:sz w:val="24"/>
        </w:rPr>
        <w:t>4.</w:t>
      </w:r>
      <w:r>
        <w:rPr>
          <w:rFonts w:hAnsi="宋体"/>
          <w:sz w:val="24"/>
        </w:rPr>
        <w:t xml:space="preserve">1  </w:t>
      </w:r>
      <w:r>
        <w:rPr>
          <w:rFonts w:hint="eastAsia" w:hAnsi="宋体"/>
          <w:sz w:val="24"/>
        </w:rPr>
        <w:t>供应商应按照磋商文件中提供的格式完整地填写《磋商响应函》。</w:t>
      </w:r>
    </w:p>
    <w:p>
      <w:pPr>
        <w:pStyle w:val="113"/>
        <w:snapToGrid w:val="0"/>
        <w:spacing w:line="360" w:lineRule="auto"/>
        <w:ind w:left="0" w:firstLine="0"/>
        <w:jc w:val="left"/>
        <w:rPr>
          <w:rFonts w:hAnsi="宋体"/>
          <w:sz w:val="24"/>
        </w:rPr>
      </w:pPr>
      <w:r>
        <w:rPr>
          <w:rFonts w:hAnsi="宋体"/>
          <w:sz w:val="24"/>
        </w:rPr>
        <w:t>1</w:t>
      </w:r>
      <w:r>
        <w:rPr>
          <w:rFonts w:hint="eastAsia" w:hAnsi="宋体"/>
          <w:sz w:val="24"/>
        </w:rPr>
        <w:t>4.</w:t>
      </w:r>
      <w:r>
        <w:rPr>
          <w:rFonts w:hAnsi="宋体"/>
          <w:sz w:val="24"/>
        </w:rPr>
        <w:t xml:space="preserve">2  </w:t>
      </w:r>
      <w:r>
        <w:rPr>
          <w:rFonts w:hint="eastAsia" w:hAnsi="宋体"/>
          <w:sz w:val="24"/>
        </w:rPr>
        <w:t>供应商磋商响应文件中的未提供《磋商响应函》或不按照磋商文件中格式填写，为无效响应。</w:t>
      </w:r>
    </w:p>
    <w:p>
      <w:pPr>
        <w:pStyle w:val="6"/>
        <w:snapToGrid w:val="0"/>
        <w:spacing w:before="0" w:after="0" w:line="360" w:lineRule="auto"/>
        <w:rPr>
          <w:rFonts w:ascii="宋体" w:hAnsi="宋体"/>
          <w:sz w:val="28"/>
        </w:rPr>
      </w:pPr>
      <w:bookmarkStart w:id="83" w:name="_Toc50913195"/>
      <w:bookmarkStart w:id="84" w:name="_Toc496089628"/>
      <w:r>
        <w:rPr>
          <w:rFonts w:hint="eastAsia" w:ascii="宋体" w:hAnsi="宋体"/>
          <w:sz w:val="28"/>
        </w:rPr>
        <w:t>15．磋商报价</w:t>
      </w:r>
      <w:bookmarkEnd w:id="83"/>
      <w:bookmarkEnd w:id="84"/>
    </w:p>
    <w:p>
      <w:pPr>
        <w:pStyle w:val="113"/>
        <w:snapToGrid w:val="0"/>
        <w:spacing w:line="360" w:lineRule="auto"/>
        <w:ind w:left="0" w:firstLine="0"/>
        <w:jc w:val="left"/>
        <w:rPr>
          <w:rFonts w:hAnsi="宋体"/>
          <w:sz w:val="24"/>
        </w:rPr>
      </w:pPr>
      <w:r>
        <w:rPr>
          <w:rFonts w:hint="eastAsia" w:hAnsi="宋体"/>
          <w:sz w:val="24"/>
        </w:rPr>
        <w:t>15.</w:t>
      </w:r>
      <w:r>
        <w:rPr>
          <w:rFonts w:hAnsi="宋体"/>
          <w:sz w:val="24"/>
        </w:rPr>
        <w:t xml:space="preserve">1 </w:t>
      </w:r>
      <w:bookmarkStart w:id="85" w:name="OLE_LINK24"/>
      <w:bookmarkStart w:id="86" w:name="OLE_LINK26"/>
      <w:r>
        <w:rPr>
          <w:rFonts w:hAnsi="宋体"/>
          <w:sz w:val="24"/>
        </w:rPr>
        <w:t xml:space="preserve"> 磋商报价应包括货款、标准附件、备品备件、包装、运输、装卸等一切税金和费用。</w:t>
      </w:r>
    </w:p>
    <w:p>
      <w:pPr>
        <w:pStyle w:val="113"/>
        <w:snapToGrid w:val="0"/>
        <w:spacing w:line="360" w:lineRule="auto"/>
        <w:ind w:left="0" w:firstLine="0"/>
        <w:jc w:val="left"/>
        <w:rPr>
          <w:rFonts w:hAnsi="宋体"/>
          <w:sz w:val="24"/>
        </w:rPr>
      </w:pPr>
      <w:r>
        <w:rPr>
          <w:rFonts w:hint="eastAsia" w:hAnsi="宋体"/>
          <w:sz w:val="24"/>
        </w:rPr>
        <w:t>15.</w:t>
      </w:r>
      <w:r>
        <w:rPr>
          <w:rFonts w:hAnsi="宋体"/>
          <w:sz w:val="24"/>
        </w:rPr>
        <w:t xml:space="preserve">2  </w:t>
      </w:r>
      <w:r>
        <w:rPr>
          <w:rFonts w:hint="eastAsia" w:hAnsi="宋体"/>
          <w:sz w:val="24"/>
        </w:rPr>
        <w:t>除第四章《货物需求》中说明并允许外，磋商的每一个货物、服务的单项报价以及采购项目的磋商总价均只允许有一个报价，任何有选择的报价，磋商组织人对于其响应均将予以拒绝。</w:t>
      </w:r>
    </w:p>
    <w:p>
      <w:pPr>
        <w:pStyle w:val="113"/>
        <w:snapToGrid w:val="0"/>
        <w:spacing w:line="360" w:lineRule="auto"/>
        <w:ind w:left="0" w:firstLine="0"/>
        <w:jc w:val="left"/>
        <w:rPr>
          <w:rFonts w:hAnsi="宋体"/>
          <w:sz w:val="24"/>
        </w:rPr>
      </w:pPr>
      <w:r>
        <w:rPr>
          <w:rFonts w:hint="eastAsia" w:hAnsi="宋体"/>
          <w:sz w:val="24"/>
        </w:rPr>
        <w:t>15.3供应商应按照磋商文件第六章提供的格式完整地填写各类报价分类明细表。</w:t>
      </w:r>
    </w:p>
    <w:bookmarkEnd w:id="85"/>
    <w:bookmarkEnd w:id="86"/>
    <w:p>
      <w:pPr>
        <w:rPr>
          <w:rFonts w:ascii="宋体" w:hAnsi="宋体"/>
          <w:sz w:val="24"/>
        </w:rPr>
      </w:pPr>
      <w:r>
        <w:rPr>
          <w:rFonts w:hint="eastAsia" w:ascii="宋体" w:hAnsi="宋体"/>
          <w:sz w:val="24"/>
        </w:rPr>
        <w:t>15.4响应应以人民币报价。</w:t>
      </w:r>
    </w:p>
    <w:bookmarkEnd w:id="80"/>
    <w:p>
      <w:pPr>
        <w:keepLines/>
        <w:snapToGrid w:val="0"/>
        <w:spacing w:line="360" w:lineRule="auto"/>
        <w:outlineLvl w:val="2"/>
        <w:rPr>
          <w:rFonts w:ascii="宋体" w:hAnsi="宋体"/>
          <w:b/>
          <w:bCs/>
        </w:rPr>
      </w:pPr>
      <w:bookmarkStart w:id="87" w:name="_Toc50913196"/>
      <w:bookmarkStart w:id="88" w:name="_Toc14577359"/>
      <w:bookmarkStart w:id="89" w:name="_Toc513029221"/>
      <w:bookmarkStart w:id="90" w:name="_Toc49090510"/>
      <w:r>
        <w:rPr>
          <w:rFonts w:hint="eastAsia" w:ascii="宋体" w:hAnsi="宋体"/>
          <w:sz w:val="28"/>
        </w:rPr>
        <w:t>16．</w:t>
      </w:r>
      <w:r>
        <w:rPr>
          <w:rFonts w:hint="eastAsia" w:ascii="宋体" w:hAnsi="宋体"/>
          <w:b/>
          <w:bCs/>
          <w:sz w:val="28"/>
        </w:rPr>
        <w:t>磋商保证金</w:t>
      </w:r>
      <w:bookmarkEnd w:id="87"/>
      <w:bookmarkEnd w:id="88"/>
      <w:bookmarkEnd w:id="89"/>
      <w:bookmarkEnd w:id="90"/>
    </w:p>
    <w:p>
      <w:pPr>
        <w:pStyle w:val="113"/>
        <w:snapToGrid w:val="0"/>
        <w:spacing w:line="360" w:lineRule="auto"/>
        <w:ind w:left="0" w:firstLine="0"/>
        <w:jc w:val="left"/>
        <w:rPr>
          <w:rFonts w:hAnsi="宋体"/>
          <w:sz w:val="24"/>
        </w:rPr>
      </w:pPr>
      <w:r>
        <w:rPr>
          <w:rFonts w:hint="eastAsia" w:hAnsi="宋体"/>
          <w:sz w:val="24"/>
        </w:rPr>
        <w:t>16.1磋商保证金：2100元(贰仟壹佰元整)</w:t>
      </w:r>
    </w:p>
    <w:p>
      <w:pPr>
        <w:pStyle w:val="113"/>
        <w:snapToGrid w:val="0"/>
        <w:spacing w:line="360" w:lineRule="auto"/>
        <w:ind w:left="0" w:firstLine="0"/>
        <w:jc w:val="left"/>
        <w:rPr>
          <w:rFonts w:hAnsi="宋体"/>
          <w:sz w:val="24"/>
        </w:rPr>
      </w:pPr>
      <w:r>
        <w:rPr>
          <w:rFonts w:hint="eastAsia" w:hAnsi="宋体"/>
          <w:sz w:val="24"/>
        </w:rPr>
        <w:t>账户名：新疆惠帝工程管理有限责任公司</w:t>
      </w:r>
    </w:p>
    <w:p>
      <w:pPr>
        <w:snapToGrid w:val="0"/>
        <w:spacing w:line="360" w:lineRule="auto"/>
        <w:rPr>
          <w:rFonts w:ascii="宋体" w:hAnsi="宋体"/>
          <w:color w:val="000000"/>
          <w:sz w:val="24"/>
        </w:rPr>
      </w:pPr>
      <w:r>
        <w:rPr>
          <w:rFonts w:hint="eastAsia" w:ascii="宋体" w:hAnsi="宋体"/>
          <w:color w:val="000000"/>
          <w:sz w:val="24"/>
        </w:rPr>
        <w:t>开户银行：中国银行股份有限公司乌鲁木齐市龙盛街支行</w:t>
      </w:r>
    </w:p>
    <w:p>
      <w:pPr>
        <w:snapToGrid w:val="0"/>
        <w:spacing w:line="360" w:lineRule="auto"/>
        <w:rPr>
          <w:rFonts w:ascii="宋体" w:hAnsi="宋体"/>
          <w:color w:val="000000"/>
          <w:sz w:val="24"/>
        </w:rPr>
      </w:pPr>
      <w:r>
        <w:rPr>
          <w:rFonts w:hint="eastAsia" w:ascii="宋体" w:hAnsi="宋体"/>
          <w:color w:val="000000"/>
          <w:sz w:val="24"/>
        </w:rPr>
        <w:t>行号：</w:t>
      </w:r>
      <w:r>
        <w:rPr>
          <w:rFonts w:ascii="宋体" w:hAnsi="宋体"/>
          <w:color w:val="000000"/>
          <w:sz w:val="24"/>
        </w:rPr>
        <w:t>104881004170</w:t>
      </w:r>
    </w:p>
    <w:p>
      <w:pPr>
        <w:snapToGrid w:val="0"/>
        <w:spacing w:line="360" w:lineRule="auto"/>
        <w:rPr>
          <w:rFonts w:ascii="宋体" w:hAnsi="宋体"/>
          <w:color w:val="000000"/>
          <w:sz w:val="24"/>
        </w:rPr>
      </w:pPr>
      <w:r>
        <w:rPr>
          <w:rFonts w:hint="eastAsia" w:ascii="宋体" w:hAnsi="宋体"/>
          <w:color w:val="000000"/>
          <w:sz w:val="24"/>
        </w:rPr>
        <w:t>账号：</w:t>
      </w:r>
      <w:r>
        <w:rPr>
          <w:rFonts w:ascii="宋体" w:hAnsi="宋体"/>
          <w:color w:val="000000"/>
          <w:sz w:val="24"/>
        </w:rPr>
        <w:t>107682053547</w:t>
      </w:r>
    </w:p>
    <w:p>
      <w:pPr>
        <w:snapToGrid w:val="0"/>
        <w:spacing w:line="360" w:lineRule="auto"/>
        <w:rPr>
          <w:rFonts w:ascii="宋体" w:hAnsi="宋体"/>
          <w:color w:val="000000"/>
          <w:sz w:val="24"/>
        </w:rPr>
      </w:pPr>
      <w:r>
        <w:rPr>
          <w:rFonts w:hint="eastAsia" w:ascii="宋体" w:hAnsi="宋体"/>
          <w:color w:val="000000"/>
          <w:sz w:val="24"/>
        </w:rPr>
        <w:t>联系电话：0991-4160566</w:t>
      </w:r>
    </w:p>
    <w:p>
      <w:pPr>
        <w:snapToGrid w:val="0"/>
        <w:spacing w:line="360" w:lineRule="auto"/>
        <w:rPr>
          <w:rFonts w:ascii="宋体" w:hAnsi="宋体"/>
          <w:color w:val="000000"/>
          <w:sz w:val="24"/>
        </w:rPr>
      </w:pPr>
      <w:r>
        <w:rPr>
          <w:rFonts w:hint="eastAsia" w:hAnsi="宋体"/>
          <w:sz w:val="24"/>
        </w:rPr>
        <w:t>磋商</w:t>
      </w:r>
      <w:r>
        <w:rPr>
          <w:rFonts w:hint="eastAsia" w:ascii="宋体" w:hAnsi="宋体"/>
          <w:color w:val="000000"/>
          <w:sz w:val="24"/>
        </w:rPr>
        <w:t>保证金的缴纳形式：银行电汇自投标人基本账户转出。</w:t>
      </w:r>
    </w:p>
    <w:p>
      <w:pPr>
        <w:snapToGrid w:val="0"/>
        <w:spacing w:line="360" w:lineRule="auto"/>
        <w:rPr>
          <w:rFonts w:ascii="宋体" w:hAnsi="宋体"/>
          <w:sz w:val="24"/>
        </w:rPr>
      </w:pPr>
      <w:r>
        <w:rPr>
          <w:rFonts w:hint="eastAsia" w:hAnsi="宋体"/>
          <w:sz w:val="24"/>
        </w:rPr>
        <w:t>磋商</w:t>
      </w:r>
      <w:r>
        <w:rPr>
          <w:rFonts w:hint="eastAsia" w:ascii="宋体" w:hAnsi="宋体"/>
          <w:color w:val="000000"/>
          <w:sz w:val="24"/>
        </w:rPr>
        <w:t>保证金于开标截止时间前</w:t>
      </w:r>
      <w:r>
        <w:rPr>
          <w:rFonts w:hint="eastAsia" w:ascii="宋体" w:hAnsi="宋体"/>
          <w:color w:val="FF0000"/>
          <w:sz w:val="24"/>
        </w:rPr>
        <w:t>（即2022年12月30日11：00前）</w:t>
      </w:r>
      <w:r>
        <w:rPr>
          <w:rFonts w:hint="eastAsia" w:ascii="宋体" w:hAnsi="宋体"/>
          <w:color w:val="000000"/>
          <w:sz w:val="24"/>
        </w:rPr>
        <w:t>从其基本账户转账或者电汇提交到达指定账户，未按时提交投标保证金的以投标人自动放弃投标处理，投标人提交投标保证金应充分考虑资金在途时间。各投标单位缴纳投标保证金时须在附加信息及用途栏内注明“XXX项目</w:t>
      </w:r>
      <w:r>
        <w:rPr>
          <w:rFonts w:hint="eastAsia" w:hAnsi="宋体"/>
          <w:sz w:val="24"/>
        </w:rPr>
        <w:t>磋商</w:t>
      </w:r>
      <w:r>
        <w:rPr>
          <w:rFonts w:hint="eastAsia" w:ascii="宋体" w:hAnsi="宋体"/>
          <w:color w:val="000000"/>
          <w:sz w:val="24"/>
        </w:rPr>
        <w:t>保证金（以</w:t>
      </w:r>
      <w:r>
        <w:rPr>
          <w:rFonts w:hint="eastAsia" w:hAnsi="宋体"/>
          <w:sz w:val="24"/>
        </w:rPr>
        <w:t>磋商</w:t>
      </w:r>
      <w:r>
        <w:rPr>
          <w:rFonts w:hint="eastAsia" w:ascii="宋体" w:hAnsi="宋体"/>
          <w:color w:val="000000"/>
          <w:sz w:val="24"/>
        </w:rPr>
        <w:t>保证金接收方银行到账信息为准）。</w:t>
      </w:r>
    </w:p>
    <w:p>
      <w:pPr>
        <w:snapToGrid w:val="0"/>
        <w:spacing w:line="360" w:lineRule="auto"/>
        <w:rPr>
          <w:rFonts w:ascii="宋体" w:hAnsi="宋体"/>
          <w:sz w:val="24"/>
        </w:rPr>
      </w:pPr>
      <w:r>
        <w:rPr>
          <w:rFonts w:hint="eastAsia" w:ascii="宋体" w:hAnsi="宋体"/>
          <w:sz w:val="24"/>
        </w:rPr>
        <w:t>16.2 对于未按要求提交磋商保证金的，磋商响应文件不予受理。</w:t>
      </w:r>
    </w:p>
    <w:p>
      <w:pPr>
        <w:snapToGrid w:val="0"/>
        <w:spacing w:line="360" w:lineRule="auto"/>
        <w:rPr>
          <w:rFonts w:ascii="宋体" w:hAnsi="宋体"/>
          <w:sz w:val="24"/>
        </w:rPr>
      </w:pPr>
      <w:r>
        <w:rPr>
          <w:rFonts w:hint="eastAsia" w:ascii="宋体" w:hAnsi="宋体"/>
          <w:sz w:val="24"/>
        </w:rPr>
        <w:t>16.3未成交供应商的磋商保证金，将在确定成交人之日起五个工作日内凭供应商提交的帐户信息函无息退还。</w:t>
      </w:r>
    </w:p>
    <w:p>
      <w:pPr>
        <w:snapToGrid w:val="0"/>
        <w:spacing w:line="360" w:lineRule="auto"/>
        <w:rPr>
          <w:rFonts w:ascii="宋体" w:hAnsi="宋体"/>
          <w:sz w:val="24"/>
        </w:rPr>
      </w:pPr>
      <w:r>
        <w:rPr>
          <w:rFonts w:hint="eastAsia" w:ascii="宋体" w:hAnsi="宋体"/>
          <w:sz w:val="24"/>
        </w:rPr>
        <w:t>16.4成交人的磋商保证金，在其按规定签订合同后，凭供应商的财务收据无息退还。</w:t>
      </w:r>
    </w:p>
    <w:p>
      <w:pPr>
        <w:snapToGrid w:val="0"/>
        <w:spacing w:line="360" w:lineRule="auto"/>
        <w:rPr>
          <w:rFonts w:ascii="宋体" w:hAnsi="宋体"/>
          <w:sz w:val="24"/>
        </w:rPr>
      </w:pPr>
      <w:r>
        <w:rPr>
          <w:rFonts w:hint="eastAsia" w:ascii="宋体" w:hAnsi="宋体"/>
          <w:sz w:val="24"/>
        </w:rPr>
        <w:t>16.5下列任何情况发生时，磋商保证金不予退还：</w:t>
      </w:r>
    </w:p>
    <w:p>
      <w:pPr>
        <w:tabs>
          <w:tab w:val="left" w:pos="995"/>
        </w:tabs>
        <w:snapToGrid w:val="0"/>
        <w:spacing w:line="360" w:lineRule="auto"/>
        <w:ind w:left="995" w:leftChars="188" w:hanging="600" w:hangingChars="250"/>
        <w:rPr>
          <w:rFonts w:ascii="宋体" w:hAnsi="宋体"/>
          <w:sz w:val="24"/>
        </w:rPr>
      </w:pPr>
      <w:r>
        <w:rPr>
          <w:rFonts w:hint="eastAsia" w:ascii="宋体" w:hAnsi="宋体"/>
          <w:sz w:val="24"/>
        </w:rPr>
        <w:t>供应商在磋商有效期内撤回其响应；</w:t>
      </w:r>
    </w:p>
    <w:p>
      <w:pPr>
        <w:tabs>
          <w:tab w:val="left" w:pos="995"/>
        </w:tabs>
        <w:snapToGrid w:val="0"/>
        <w:spacing w:line="360" w:lineRule="auto"/>
        <w:ind w:left="995" w:leftChars="188" w:hanging="600" w:hangingChars="250"/>
        <w:rPr>
          <w:rFonts w:ascii="宋体" w:hAnsi="宋体"/>
          <w:sz w:val="24"/>
        </w:rPr>
      </w:pPr>
      <w:r>
        <w:rPr>
          <w:rFonts w:hint="eastAsia" w:ascii="宋体" w:hAnsi="宋体"/>
          <w:sz w:val="24"/>
        </w:rPr>
        <w:t>供应商提供的有关资料被确认是不真实的；</w:t>
      </w:r>
    </w:p>
    <w:p>
      <w:pPr>
        <w:tabs>
          <w:tab w:val="left" w:pos="0"/>
          <w:tab w:val="left" w:pos="995"/>
        </w:tabs>
        <w:snapToGrid w:val="0"/>
        <w:spacing w:line="360" w:lineRule="auto"/>
        <w:ind w:left="995" w:leftChars="188" w:hanging="600" w:hangingChars="250"/>
        <w:rPr>
          <w:rFonts w:ascii="宋体" w:hAnsi="宋体"/>
          <w:sz w:val="24"/>
        </w:rPr>
      </w:pPr>
      <w:r>
        <w:rPr>
          <w:rFonts w:hint="eastAsia" w:ascii="宋体" w:hAnsi="宋体"/>
          <w:sz w:val="24"/>
        </w:rPr>
        <w:t>未经磋商组织人同意将成交项目分包或转包他人；</w:t>
      </w:r>
    </w:p>
    <w:p>
      <w:pPr>
        <w:tabs>
          <w:tab w:val="left" w:pos="0"/>
          <w:tab w:val="left" w:pos="995"/>
        </w:tabs>
        <w:snapToGrid w:val="0"/>
        <w:spacing w:line="360" w:lineRule="auto"/>
        <w:ind w:left="995" w:leftChars="188" w:hanging="600" w:hangingChars="250"/>
        <w:rPr>
          <w:rFonts w:ascii="宋体" w:hAnsi="宋体"/>
          <w:sz w:val="24"/>
        </w:rPr>
      </w:pPr>
      <w:r>
        <w:rPr>
          <w:rFonts w:hint="eastAsia" w:ascii="宋体" w:hAnsi="宋体"/>
          <w:sz w:val="24"/>
        </w:rPr>
        <w:t>成交人在规定期限内未能按规定签订合同。</w:t>
      </w:r>
    </w:p>
    <w:p>
      <w:pPr>
        <w:pStyle w:val="6"/>
        <w:snapToGrid w:val="0"/>
        <w:spacing w:before="0" w:after="0" w:line="360" w:lineRule="auto"/>
        <w:rPr>
          <w:rFonts w:ascii="宋体" w:hAnsi="宋体"/>
          <w:sz w:val="28"/>
        </w:rPr>
      </w:pPr>
      <w:bookmarkStart w:id="91" w:name="_Hlt26954850"/>
      <w:bookmarkEnd w:id="91"/>
      <w:bookmarkStart w:id="92" w:name="_Hlt26954739"/>
      <w:bookmarkEnd w:id="92"/>
      <w:bookmarkStart w:id="93" w:name="_Hlt26954734"/>
      <w:bookmarkEnd w:id="93"/>
      <w:bookmarkStart w:id="94" w:name="_Hlt26954852"/>
      <w:bookmarkEnd w:id="94"/>
      <w:bookmarkStart w:id="95" w:name="_Hlt26670489"/>
      <w:bookmarkEnd w:id="95"/>
      <w:bookmarkStart w:id="96" w:name="_Toc496089630"/>
      <w:bookmarkStart w:id="97" w:name="_Toc50913197"/>
      <w:r>
        <w:rPr>
          <w:rFonts w:hint="eastAsia" w:ascii="宋体" w:hAnsi="宋体"/>
          <w:sz w:val="28"/>
        </w:rPr>
        <w:t>17．磋商响应文件编制和签署</w:t>
      </w:r>
      <w:bookmarkEnd w:id="96"/>
      <w:bookmarkEnd w:id="97"/>
    </w:p>
    <w:p>
      <w:pPr>
        <w:snapToGrid w:val="0"/>
        <w:spacing w:line="360" w:lineRule="auto"/>
        <w:rPr>
          <w:rFonts w:ascii="宋体" w:hAnsi="宋体"/>
          <w:sz w:val="24"/>
        </w:rPr>
      </w:pPr>
      <w:r>
        <w:rPr>
          <w:rFonts w:hint="eastAsia" w:ascii="宋体" w:hAnsi="宋体"/>
          <w:sz w:val="24"/>
        </w:rPr>
        <w:t>17.1磋商响应文件正本壹份，副本叁份；</w:t>
      </w:r>
    </w:p>
    <w:p>
      <w:pPr>
        <w:snapToGrid w:val="0"/>
        <w:spacing w:line="360" w:lineRule="auto"/>
        <w:rPr>
          <w:rFonts w:ascii="宋体" w:hAnsi="宋体"/>
          <w:color w:val="000000"/>
          <w:sz w:val="24"/>
        </w:rPr>
      </w:pPr>
      <w:r>
        <w:rPr>
          <w:rFonts w:hint="eastAsia" w:ascii="宋体" w:hAnsi="宋体"/>
          <w:sz w:val="24"/>
        </w:rPr>
        <w:sym w:font="Wingdings" w:char="F0AB"/>
      </w:r>
      <w:r>
        <w:rPr>
          <w:rFonts w:hint="eastAsia" w:ascii="宋体" w:hAnsi="宋体"/>
          <w:color w:val="000000"/>
          <w:sz w:val="24"/>
        </w:rPr>
        <w:t xml:space="preserve">17.2 </w:t>
      </w:r>
      <w:r>
        <w:rPr>
          <w:rFonts w:ascii="宋体" w:hAnsi="宋体"/>
          <w:color w:val="000000"/>
          <w:sz w:val="24"/>
        </w:rPr>
        <w:t>供应商应按照磋商文件要求的格式</w:t>
      </w:r>
      <w:r>
        <w:rPr>
          <w:rFonts w:hint="eastAsia" w:ascii="宋体" w:hAnsi="宋体"/>
          <w:color w:val="000000"/>
          <w:sz w:val="24"/>
        </w:rPr>
        <w:t>完整</w:t>
      </w:r>
      <w:r>
        <w:rPr>
          <w:rFonts w:ascii="宋体" w:hAnsi="宋体"/>
          <w:color w:val="000000"/>
          <w:sz w:val="24"/>
        </w:rPr>
        <w:t>填写相关内容</w:t>
      </w:r>
      <w:r>
        <w:rPr>
          <w:rFonts w:hint="eastAsia" w:ascii="宋体" w:hAnsi="宋体"/>
          <w:color w:val="000000"/>
          <w:sz w:val="24"/>
        </w:rPr>
        <w:t>;</w:t>
      </w:r>
    </w:p>
    <w:p>
      <w:pPr>
        <w:snapToGrid w:val="0"/>
        <w:spacing w:line="360" w:lineRule="auto"/>
        <w:rPr>
          <w:rFonts w:ascii="宋体" w:hAnsi="宋体"/>
          <w:kern w:val="0"/>
          <w:sz w:val="24"/>
          <w:szCs w:val="20"/>
        </w:rPr>
      </w:pPr>
      <w:r>
        <w:rPr>
          <w:rFonts w:hint="eastAsia" w:ascii="宋体" w:hAnsi="宋体"/>
          <w:sz w:val="24"/>
        </w:rPr>
        <w:sym w:font="Wingdings" w:char="F0AB"/>
      </w:r>
      <w:r>
        <w:rPr>
          <w:rFonts w:hint="eastAsia" w:ascii="宋体" w:hAnsi="宋体"/>
          <w:kern w:val="0"/>
          <w:sz w:val="24"/>
          <w:szCs w:val="20"/>
        </w:rPr>
        <w:t>17.3 供应商应将响应文件按顺序统一装订成册，编制目录和页码并胶装;</w:t>
      </w:r>
    </w:p>
    <w:p>
      <w:pPr>
        <w:snapToGrid w:val="0"/>
        <w:spacing w:line="360" w:lineRule="auto"/>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4资格证明文件与商务技术文件应当在封面清楚地标明“正本”或“副本”字样。一旦正本和副本不符，以正本为准</w:t>
      </w:r>
    </w:p>
    <w:p>
      <w:pPr>
        <w:snapToGrid w:val="0"/>
        <w:spacing w:line="360" w:lineRule="auto"/>
        <w:rPr>
          <w:rFonts w:ascii="宋体" w:hAnsi="宋体"/>
          <w:sz w:val="24"/>
        </w:rPr>
      </w:pPr>
      <w:r>
        <w:rPr>
          <w:rFonts w:hint="eastAsia" w:ascii="宋体" w:hAnsi="宋体"/>
          <w:sz w:val="24"/>
        </w:rPr>
        <w:sym w:font="Wingdings" w:char="F0AB"/>
      </w:r>
      <w:r>
        <w:rPr>
          <w:rFonts w:hint="eastAsia" w:ascii="宋体" w:hAnsi="宋体"/>
          <w:sz w:val="24"/>
        </w:rPr>
        <w:t>17.5响应文件中凡磋商文件要求签署、盖章之处，均应由供应商的法定代表人或法定代表人正式授权的代表签署和加盖公章。供应商应写明全称。如果是由法定代表人授权代理人签署响应文件，则应当按</w:t>
      </w:r>
      <w:bookmarkStart w:id="98" w:name="OLE_LINK35"/>
      <w:bookmarkStart w:id="99" w:name="OLE_LINK34"/>
      <w:r>
        <w:rPr>
          <w:rFonts w:hint="eastAsia" w:ascii="宋体" w:hAnsi="宋体"/>
          <w:sz w:val="24"/>
        </w:rPr>
        <w:t>磋商文件提供的</w:t>
      </w:r>
      <w:bookmarkEnd w:id="98"/>
      <w:bookmarkEnd w:id="99"/>
      <w:r>
        <w:rPr>
          <w:rFonts w:hint="eastAsia" w:ascii="宋体" w:hAnsi="宋体"/>
          <w:sz w:val="24"/>
        </w:rPr>
        <w:t>格式出具《法定代表人授权委托书》</w:t>
      </w:r>
      <w:bookmarkStart w:id="100" w:name="OLE_LINK40"/>
      <w:bookmarkStart w:id="101" w:name="OLE_LINK41"/>
      <w:r>
        <w:rPr>
          <w:rFonts w:hint="eastAsia" w:ascii="宋体" w:hAnsi="宋体"/>
          <w:sz w:val="24"/>
        </w:rPr>
        <w:t>（如供应商自拟授权书格式，则其授权书内容应当实质性符合磋商文件提供的《法定代表人授权委托书》格式之内容）</w:t>
      </w:r>
      <w:bookmarkEnd w:id="100"/>
      <w:bookmarkEnd w:id="101"/>
      <w:r>
        <w:rPr>
          <w:rFonts w:hint="eastAsia" w:ascii="宋体" w:hAnsi="宋体"/>
          <w:sz w:val="24"/>
        </w:rPr>
        <w:t>并将其附在响应文件中。响应文件若有修改错漏之处，须加盖供应商公章或者由法定代表人或法定代表人授权代理人签字或盖章。</w:t>
      </w:r>
    </w:p>
    <w:p>
      <w:pPr>
        <w:snapToGrid w:val="0"/>
        <w:spacing w:line="360" w:lineRule="auto"/>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6 因正本与副本内容不一致或未按磋商文件要求编制而导致的响应文件被误读或废标等不利后果由供应商承担。</w:t>
      </w:r>
    </w:p>
    <w:p>
      <w:pPr>
        <w:snapToGrid w:val="0"/>
        <w:spacing w:line="360" w:lineRule="auto"/>
        <w:rPr>
          <w:rFonts w:ascii="宋体" w:hAnsi="宋体"/>
          <w:sz w:val="24"/>
        </w:rPr>
      </w:pPr>
      <w:r>
        <w:rPr>
          <w:rFonts w:hint="eastAsia" w:ascii="宋体" w:hAnsi="宋体"/>
          <w:sz w:val="24"/>
        </w:rPr>
        <w:t>17.7磋商小组</w:t>
      </w:r>
      <w:r>
        <w:rPr>
          <w:rFonts w:ascii="宋体" w:hAnsi="宋体"/>
          <w:sz w:val="24"/>
        </w:rPr>
        <w:t>主要是依据响应文件中技术、质量以及售后服务等指标来进行评定。因此，</w:t>
      </w:r>
      <w:r>
        <w:rPr>
          <w:rFonts w:hint="eastAsia" w:ascii="宋体" w:hAnsi="宋体"/>
          <w:sz w:val="24"/>
        </w:rPr>
        <w:t>响应文件应根据磋商文件的要求进行制作，内容简洁明了，编排合理有序，与磋商文件内容无关或不符合磋商文件要求的资料不要编入响应文件。</w:t>
      </w:r>
    </w:p>
    <w:p>
      <w:pPr>
        <w:snapToGrid w:val="0"/>
        <w:spacing w:line="360" w:lineRule="auto"/>
        <w:rPr>
          <w:rFonts w:ascii="宋体" w:hAnsi="宋体"/>
          <w:sz w:val="24"/>
        </w:rPr>
      </w:pPr>
      <w:r>
        <w:rPr>
          <w:rFonts w:hint="eastAsia" w:ascii="宋体" w:hAnsi="宋体"/>
          <w:sz w:val="24"/>
        </w:rPr>
        <w:t>17</w:t>
      </w:r>
      <w:r>
        <w:rPr>
          <w:rFonts w:ascii="宋体" w:hAnsi="宋体"/>
          <w:sz w:val="24"/>
        </w:rPr>
        <w:t>.</w:t>
      </w:r>
      <w:r>
        <w:rPr>
          <w:rFonts w:hint="eastAsia" w:ascii="宋体" w:hAnsi="宋体"/>
          <w:sz w:val="24"/>
        </w:rPr>
        <w:t>8</w:t>
      </w:r>
      <w:r>
        <w:rPr>
          <w:rFonts w:ascii="宋体" w:hAnsi="宋体"/>
          <w:sz w:val="24"/>
        </w:rPr>
        <w:t>响应文件应按照规定格式要求规范填写，扫描文件应清晰简洁。</w:t>
      </w:r>
      <w:r>
        <w:rPr>
          <w:rFonts w:hint="eastAsia" w:ascii="宋体" w:hAnsi="宋体"/>
          <w:sz w:val="24"/>
        </w:rPr>
        <w:t>响应文件因字迹潦草或表达不清所引起的后果由供应商自负。</w:t>
      </w:r>
      <w:bookmarkStart w:id="102" w:name="_Hlt26954854"/>
      <w:bookmarkEnd w:id="102"/>
      <w:bookmarkStart w:id="103" w:name="_Hlt26954749"/>
      <w:bookmarkEnd w:id="103"/>
      <w:bookmarkStart w:id="104" w:name="_Hlt26670493"/>
      <w:bookmarkEnd w:id="104"/>
      <w:bookmarkStart w:id="105" w:name="_Toc49090513"/>
      <w:bookmarkStart w:id="106" w:name="_Toc14577362"/>
      <w:bookmarkStart w:id="107" w:name="_Toc513029224"/>
    </w:p>
    <w:p>
      <w:pPr>
        <w:pStyle w:val="4"/>
        <w:keepNext w:val="0"/>
        <w:keepLines w:val="0"/>
        <w:snapToGrid w:val="0"/>
        <w:spacing w:before="0" w:after="0" w:line="360" w:lineRule="auto"/>
        <w:rPr>
          <w:rFonts w:ascii="宋体" w:hAnsi="宋体" w:eastAsia="宋体"/>
        </w:rPr>
      </w:pPr>
      <w:bookmarkStart w:id="108" w:name="_Toc50913198"/>
      <w:r>
        <w:rPr>
          <w:rFonts w:hint="eastAsia" w:ascii="宋体" w:hAnsi="宋体" w:eastAsia="宋体"/>
          <w:sz w:val="28"/>
        </w:rPr>
        <w:t>四、磋商响应文件的递交</w:t>
      </w:r>
      <w:bookmarkEnd w:id="105"/>
      <w:bookmarkEnd w:id="106"/>
      <w:bookmarkEnd w:id="107"/>
      <w:bookmarkEnd w:id="108"/>
    </w:p>
    <w:p>
      <w:pPr>
        <w:pStyle w:val="6"/>
        <w:keepNext w:val="0"/>
        <w:snapToGrid w:val="0"/>
        <w:spacing w:before="0" w:after="0" w:line="360" w:lineRule="auto"/>
        <w:rPr>
          <w:rFonts w:ascii="宋体" w:hAnsi="宋体"/>
        </w:rPr>
      </w:pPr>
      <w:bookmarkStart w:id="109" w:name="_Hlt26954856"/>
      <w:bookmarkEnd w:id="109"/>
      <w:bookmarkStart w:id="110" w:name="_Toc496089633"/>
      <w:bookmarkStart w:id="111" w:name="_Toc50913199"/>
      <w:bookmarkStart w:id="112" w:name="_Toc14577363"/>
      <w:bookmarkStart w:id="113" w:name="_Toc49090514"/>
      <w:bookmarkStart w:id="114" w:name="_Toc513029225"/>
      <w:bookmarkStart w:id="115" w:name="_Toc462564084"/>
      <w:r>
        <w:rPr>
          <w:rFonts w:hint="eastAsia" w:ascii="宋体" w:hAnsi="宋体"/>
          <w:sz w:val="28"/>
        </w:rPr>
        <w:t>18．磋商响应文件的密封和标记</w:t>
      </w:r>
      <w:bookmarkEnd w:id="110"/>
      <w:bookmarkEnd w:id="111"/>
    </w:p>
    <w:p>
      <w:pPr>
        <w:widowControl/>
        <w:tabs>
          <w:tab w:val="left" w:pos="753"/>
        </w:tabs>
        <w:adjustRightInd w:val="0"/>
        <w:snapToGrid w:val="0"/>
        <w:spacing w:line="360" w:lineRule="auto"/>
        <w:rPr>
          <w:rFonts w:ascii="宋体" w:hAnsi="宋体"/>
          <w:sz w:val="24"/>
        </w:rPr>
      </w:pPr>
      <w:r>
        <w:rPr>
          <w:rFonts w:hint="eastAsia" w:ascii="宋体" w:hAnsi="宋体"/>
          <w:sz w:val="24"/>
        </w:rPr>
        <w:t>18.1供应商应将磋商响应文件的正本和副本用单独的信封密封，且在信封上标明“正本”和、“副本”的字样。</w:t>
      </w:r>
    </w:p>
    <w:p>
      <w:pPr>
        <w:snapToGrid w:val="0"/>
        <w:spacing w:line="360" w:lineRule="auto"/>
        <w:rPr>
          <w:rFonts w:ascii="宋体" w:hAnsi="宋体"/>
          <w:sz w:val="24"/>
        </w:rPr>
      </w:pPr>
      <w:r>
        <w:rPr>
          <w:rFonts w:hint="eastAsia" w:ascii="宋体" w:hAnsi="宋体"/>
          <w:sz w:val="24"/>
        </w:rPr>
        <w:t>18.2信封表面应：</w:t>
      </w:r>
    </w:p>
    <w:p>
      <w:pPr>
        <w:snapToGrid w:val="0"/>
        <w:spacing w:line="360" w:lineRule="auto"/>
        <w:rPr>
          <w:rFonts w:ascii="宋体" w:hAnsi="宋体"/>
          <w:sz w:val="24"/>
        </w:rPr>
      </w:pPr>
      <w:r>
        <w:rPr>
          <w:rFonts w:hint="eastAsia" w:ascii="宋体" w:hAnsi="宋体"/>
          <w:sz w:val="24"/>
        </w:rPr>
        <w:t>（1）注明招标项目名称、包号、磋商响应文件的字样;</w:t>
      </w:r>
    </w:p>
    <w:p>
      <w:pPr>
        <w:snapToGrid w:val="0"/>
        <w:spacing w:line="360" w:lineRule="auto"/>
        <w:rPr>
          <w:rFonts w:ascii="宋体" w:hAnsi="宋体"/>
          <w:sz w:val="28"/>
        </w:rPr>
      </w:pPr>
      <w:r>
        <w:rPr>
          <w:rFonts w:hint="eastAsia" w:ascii="宋体" w:hAnsi="宋体"/>
          <w:sz w:val="24"/>
        </w:rPr>
        <w:t>（2）注明供应商的名称和地址并盖章。</w:t>
      </w:r>
    </w:p>
    <w:p>
      <w:pPr>
        <w:snapToGrid w:val="0"/>
        <w:spacing w:line="360" w:lineRule="auto"/>
        <w:rPr>
          <w:rFonts w:ascii="宋体" w:hAnsi="宋体"/>
          <w:sz w:val="24"/>
        </w:rPr>
      </w:pPr>
      <w:r>
        <w:rPr>
          <w:rFonts w:hint="eastAsia" w:ascii="宋体" w:hAnsi="宋体"/>
          <w:sz w:val="24"/>
        </w:rPr>
        <w:t>18.3如果信封未按要求密封和加写标记，招标人对误投或过早启封概不负责；对由此造成提前开封的响应文件，磋商组织人将予以拒绝，并退回潜在供应商。</w:t>
      </w:r>
    </w:p>
    <w:p>
      <w:pPr>
        <w:snapToGrid w:val="0"/>
        <w:spacing w:line="360" w:lineRule="auto"/>
        <w:rPr>
          <w:rFonts w:ascii="宋体" w:hAnsi="宋体"/>
          <w:sz w:val="32"/>
        </w:rPr>
      </w:pPr>
      <w:r>
        <w:rPr>
          <w:rFonts w:hint="eastAsia" w:ascii="宋体" w:hAnsi="宋体"/>
          <w:sz w:val="24"/>
        </w:rPr>
        <w:t>18.4磋商组织人对响应文件在邮递过程中的遗失或损坏不负责任。</w:t>
      </w:r>
    </w:p>
    <w:p>
      <w:pPr>
        <w:pStyle w:val="6"/>
        <w:keepNext w:val="0"/>
        <w:snapToGrid w:val="0"/>
        <w:spacing w:before="0" w:after="0" w:line="360" w:lineRule="auto"/>
        <w:rPr>
          <w:rFonts w:ascii="宋体" w:hAnsi="宋体"/>
          <w:sz w:val="28"/>
        </w:rPr>
      </w:pPr>
      <w:bookmarkStart w:id="116" w:name="_Toc496089634"/>
      <w:bookmarkStart w:id="117" w:name="_Toc50913200"/>
      <w:r>
        <w:rPr>
          <w:rFonts w:hint="eastAsia" w:ascii="宋体" w:hAnsi="宋体"/>
          <w:sz w:val="28"/>
        </w:rPr>
        <w:t>19</w:t>
      </w:r>
      <w:r>
        <w:rPr>
          <w:rFonts w:ascii="宋体" w:hAnsi="宋体"/>
          <w:sz w:val="28"/>
        </w:rPr>
        <w:t xml:space="preserve">． </w:t>
      </w:r>
      <w:r>
        <w:rPr>
          <w:rFonts w:hint="eastAsia" w:ascii="宋体" w:hAnsi="宋体"/>
          <w:sz w:val="28"/>
        </w:rPr>
        <w:t>响应文件的递交</w:t>
      </w:r>
      <w:bookmarkEnd w:id="116"/>
      <w:bookmarkEnd w:id="117"/>
    </w:p>
    <w:p>
      <w:pPr>
        <w:adjustRightInd w:val="0"/>
        <w:snapToGrid w:val="0"/>
        <w:spacing w:line="360" w:lineRule="auto"/>
        <w:rPr>
          <w:rFonts w:ascii="宋体" w:hAnsi="宋体"/>
          <w:sz w:val="24"/>
        </w:rPr>
      </w:pPr>
      <w:r>
        <w:rPr>
          <w:rFonts w:hint="eastAsia" w:ascii="宋体" w:hAnsi="宋体"/>
          <w:sz w:val="24"/>
        </w:rPr>
        <w:t>19.</w:t>
      </w:r>
      <w:r>
        <w:rPr>
          <w:rFonts w:ascii="宋体" w:hAnsi="宋体"/>
          <w:sz w:val="24"/>
        </w:rPr>
        <w:t xml:space="preserve">1 </w:t>
      </w:r>
      <w:r>
        <w:rPr>
          <w:rFonts w:hint="eastAsia" w:ascii="宋体" w:hAnsi="宋体"/>
          <w:sz w:val="24"/>
        </w:rPr>
        <w:t>供应商应按照磋商文件规定，按照要求填写所有响应内容。</w:t>
      </w:r>
    </w:p>
    <w:p>
      <w:pPr>
        <w:pStyle w:val="19"/>
        <w:adjustRightInd w:val="0"/>
        <w:snapToGrid w:val="0"/>
        <w:spacing w:line="360" w:lineRule="auto"/>
        <w:rPr>
          <w:rFonts w:hAnsi="宋体"/>
          <w:sz w:val="24"/>
          <w:szCs w:val="24"/>
        </w:rPr>
      </w:pPr>
      <w:r>
        <w:rPr>
          <w:rFonts w:hint="eastAsia" w:hAnsi="宋体"/>
          <w:sz w:val="24"/>
          <w:szCs w:val="24"/>
        </w:rPr>
        <w:t>19.</w:t>
      </w:r>
      <w:r>
        <w:rPr>
          <w:rFonts w:hAnsi="宋体"/>
          <w:sz w:val="24"/>
          <w:szCs w:val="24"/>
        </w:rPr>
        <w:t>2</w:t>
      </w:r>
      <w:r>
        <w:rPr>
          <w:rFonts w:hint="eastAsia" w:hAnsi="宋体"/>
          <w:sz w:val="24"/>
          <w:szCs w:val="24"/>
        </w:rPr>
        <w:t xml:space="preserve"> 响应文件中含有公章，防伪标志和彩色底纹类文件（如《投标函》、营业执照、身份证、认证证书等）应清晰显示。如因上传、扫描、格式等原因导致评审时受到影响，由供应商承担相应责任。</w:t>
      </w:r>
    </w:p>
    <w:p>
      <w:pPr>
        <w:adjustRightInd w:val="0"/>
        <w:snapToGrid w:val="0"/>
        <w:spacing w:line="360" w:lineRule="auto"/>
        <w:rPr>
          <w:rFonts w:ascii="宋体" w:hAnsi="宋体"/>
          <w:sz w:val="24"/>
        </w:rPr>
      </w:pPr>
      <w:r>
        <w:rPr>
          <w:rFonts w:hint="eastAsia" w:ascii="宋体" w:hAnsi="宋体"/>
          <w:sz w:val="24"/>
        </w:rPr>
        <w:t>磋商组织人认为必要时，可以要求供应商提供文件原件进行核对，供应商必须按时提供，否则供应商须接受可能对其不利的评标结果，并且磋商组织人将对该供应商进行调查，发现有弄虚作假或欺诈行为的按有关规定进行处理。</w:t>
      </w:r>
    </w:p>
    <w:p>
      <w:pPr>
        <w:pStyle w:val="6"/>
        <w:keepNext w:val="0"/>
        <w:snapToGrid w:val="0"/>
        <w:spacing w:before="0" w:after="0" w:line="360" w:lineRule="auto"/>
        <w:rPr>
          <w:rFonts w:ascii="宋体" w:hAnsi="宋体"/>
          <w:sz w:val="28"/>
        </w:rPr>
      </w:pPr>
      <w:bookmarkStart w:id="118" w:name="_Toc50913201"/>
      <w:bookmarkStart w:id="119" w:name="_Toc496089635"/>
      <w:r>
        <w:rPr>
          <w:rFonts w:hint="eastAsia" w:ascii="宋体" w:hAnsi="宋体"/>
          <w:sz w:val="28"/>
        </w:rPr>
        <w:t>20</w:t>
      </w:r>
      <w:r>
        <w:rPr>
          <w:rFonts w:ascii="宋体" w:hAnsi="宋体"/>
          <w:sz w:val="28"/>
        </w:rPr>
        <w:t>．</w:t>
      </w:r>
      <w:r>
        <w:rPr>
          <w:rFonts w:hint="eastAsia" w:ascii="宋体" w:hAnsi="宋体"/>
          <w:sz w:val="28"/>
        </w:rPr>
        <w:t>磋商</w:t>
      </w:r>
      <w:r>
        <w:rPr>
          <w:rFonts w:ascii="宋体" w:hAnsi="宋体"/>
          <w:sz w:val="28"/>
        </w:rPr>
        <w:t>截止时间</w:t>
      </w:r>
      <w:r>
        <w:rPr>
          <w:rFonts w:hint="eastAsia" w:ascii="宋体" w:hAnsi="宋体"/>
          <w:sz w:val="28"/>
        </w:rPr>
        <w:t>与迟交的响应文件</w:t>
      </w:r>
      <w:bookmarkEnd w:id="118"/>
      <w:bookmarkEnd w:id="119"/>
    </w:p>
    <w:p>
      <w:pPr>
        <w:snapToGrid w:val="0"/>
        <w:spacing w:line="360" w:lineRule="auto"/>
        <w:rPr>
          <w:rFonts w:ascii="宋体" w:hAnsi="宋体"/>
          <w:sz w:val="24"/>
        </w:rPr>
      </w:pPr>
      <w:r>
        <w:rPr>
          <w:rFonts w:hint="eastAsia" w:ascii="宋体" w:hAnsi="宋体"/>
          <w:sz w:val="24"/>
        </w:rPr>
        <w:t>20.1磋商组织人收到响应文件的时间不得迟于磋商邀请书中规定的时间。</w:t>
      </w:r>
    </w:p>
    <w:p>
      <w:pPr>
        <w:snapToGrid w:val="0"/>
        <w:spacing w:line="360" w:lineRule="auto"/>
        <w:rPr>
          <w:rFonts w:ascii="宋体" w:hAnsi="宋体"/>
          <w:sz w:val="24"/>
        </w:rPr>
      </w:pPr>
      <w:r>
        <w:rPr>
          <w:rFonts w:hint="eastAsia" w:ascii="宋体" w:hAnsi="宋体"/>
          <w:sz w:val="24"/>
        </w:rPr>
        <w:t>20.2磋商组织人可通过修改磋商文件自行决定酌情延长磋商截止日期，在此情况下，供应商人的所有权利和义务以及响应文件递交的截止日期均应以延长后新的截止日期为准。</w:t>
      </w:r>
    </w:p>
    <w:p>
      <w:pPr>
        <w:snapToGrid w:val="0"/>
        <w:spacing w:line="360" w:lineRule="auto"/>
        <w:rPr>
          <w:rFonts w:ascii="宋体" w:hAnsi="宋体"/>
          <w:sz w:val="24"/>
        </w:rPr>
      </w:pPr>
      <w:r>
        <w:rPr>
          <w:rFonts w:hint="eastAsia" w:ascii="宋体" w:hAnsi="宋体"/>
          <w:sz w:val="24"/>
        </w:rPr>
        <w:t>20.3磋商组织人将拒绝并原封退回在其规定的截止时间后递交的任何响应文件。</w:t>
      </w:r>
    </w:p>
    <w:p>
      <w:pPr>
        <w:pStyle w:val="6"/>
        <w:keepNext w:val="0"/>
        <w:snapToGrid w:val="0"/>
        <w:spacing w:before="0" w:after="0" w:line="360" w:lineRule="auto"/>
        <w:rPr>
          <w:rFonts w:ascii="宋体" w:hAnsi="宋体"/>
          <w:sz w:val="28"/>
        </w:rPr>
      </w:pPr>
      <w:bookmarkStart w:id="120" w:name="_Toc496089636"/>
      <w:bookmarkStart w:id="121" w:name="_Toc50913202"/>
      <w:r>
        <w:rPr>
          <w:rFonts w:ascii="宋体" w:hAnsi="宋体"/>
          <w:sz w:val="28"/>
        </w:rPr>
        <w:t>21． 响应文件的修改和撤回</w:t>
      </w:r>
      <w:bookmarkEnd w:id="120"/>
      <w:bookmarkEnd w:id="121"/>
    </w:p>
    <w:p>
      <w:pPr>
        <w:snapToGrid w:val="0"/>
        <w:spacing w:line="360" w:lineRule="auto"/>
        <w:jc w:val="left"/>
        <w:rPr>
          <w:rFonts w:ascii="宋体" w:hAnsi="宋体"/>
          <w:sz w:val="24"/>
        </w:rPr>
      </w:pPr>
      <w:r>
        <w:rPr>
          <w:rFonts w:hint="eastAsia" w:ascii="宋体" w:hAnsi="宋体"/>
          <w:sz w:val="24"/>
        </w:rPr>
        <w:t>21.1供应商在递交响应文件后，可以修改其响应文件，但这种修改，必须在规定的磋商文件递交截止日期前，以书面形式送达磋商组织人。</w:t>
      </w:r>
    </w:p>
    <w:p>
      <w:pPr>
        <w:snapToGrid w:val="0"/>
        <w:spacing w:line="360" w:lineRule="auto"/>
        <w:rPr>
          <w:rFonts w:ascii="宋体" w:hAnsi="宋体"/>
          <w:sz w:val="24"/>
        </w:rPr>
      </w:pPr>
      <w:r>
        <w:rPr>
          <w:rFonts w:hint="eastAsia" w:ascii="宋体" w:hAnsi="宋体"/>
          <w:sz w:val="24"/>
        </w:rPr>
        <w:t>21.2供应商的修改通知书，应按第18条的规定进行密封、标记和发送，并应在封套上加注“修改</w:t>
      </w:r>
      <w:r>
        <w:rPr>
          <w:rFonts w:ascii="宋体" w:hAnsi="宋体"/>
          <w:sz w:val="24"/>
        </w:rPr>
        <w:t>”</w:t>
      </w:r>
      <w:r>
        <w:rPr>
          <w:rFonts w:hint="eastAsia" w:ascii="宋体" w:hAnsi="宋体"/>
          <w:sz w:val="24"/>
        </w:rPr>
        <w:t>字样。</w:t>
      </w:r>
    </w:p>
    <w:p>
      <w:pPr>
        <w:snapToGrid w:val="0"/>
        <w:spacing w:line="360" w:lineRule="auto"/>
        <w:rPr>
          <w:rFonts w:ascii="宋体" w:hAnsi="宋体"/>
          <w:sz w:val="24"/>
        </w:rPr>
      </w:pPr>
      <w:r>
        <w:rPr>
          <w:rFonts w:hint="eastAsia" w:ascii="宋体" w:hAnsi="宋体"/>
          <w:sz w:val="24"/>
        </w:rPr>
        <w:t>21.3 在磋商文件递交截止期之后，供应商不得对其响应文件作任何实质性修改。</w:t>
      </w:r>
    </w:p>
    <w:p>
      <w:pPr>
        <w:snapToGrid w:val="0"/>
        <w:spacing w:line="360" w:lineRule="auto"/>
        <w:rPr>
          <w:rFonts w:ascii="宋体" w:hAnsi="宋体"/>
          <w:sz w:val="24"/>
        </w:rPr>
      </w:pPr>
      <w:r>
        <w:rPr>
          <w:rFonts w:hint="eastAsia" w:ascii="宋体" w:hAnsi="宋体"/>
          <w:sz w:val="24"/>
        </w:rPr>
        <w:t>21.4 供应商要求撤回其磋商文件的，应向磋商组织人递交撤文申请书，并经磋商组织人同意方可成立。</w:t>
      </w:r>
    </w:p>
    <w:p>
      <w:pPr>
        <w:snapToGrid w:val="0"/>
        <w:spacing w:line="360" w:lineRule="auto"/>
        <w:rPr>
          <w:rFonts w:ascii="宋体" w:hAnsi="宋体"/>
          <w:sz w:val="24"/>
        </w:rPr>
      </w:pPr>
      <w:r>
        <w:rPr>
          <w:rFonts w:hint="eastAsia" w:ascii="宋体" w:hAnsi="宋体"/>
          <w:sz w:val="24"/>
        </w:rPr>
        <w:t>21.5在磋商文件递交截止期至磋商组织人在磋商文件中规定的磋商有效期满之间的这段时间内，供应商不得撤回其响应，否则其磋商保证金不予退还。</w:t>
      </w:r>
    </w:p>
    <w:bookmarkEnd w:id="112"/>
    <w:bookmarkEnd w:id="113"/>
    <w:bookmarkEnd w:id="114"/>
    <w:bookmarkEnd w:id="115"/>
    <w:p>
      <w:pPr>
        <w:pStyle w:val="4"/>
        <w:keepNext w:val="0"/>
        <w:keepLines w:val="0"/>
        <w:snapToGrid w:val="0"/>
        <w:spacing w:before="0" w:after="0" w:line="360" w:lineRule="auto"/>
        <w:rPr>
          <w:rFonts w:ascii="宋体" w:hAnsi="宋体" w:eastAsia="宋体"/>
        </w:rPr>
      </w:pPr>
      <w:bookmarkStart w:id="122" w:name="_Hlt26954864"/>
      <w:bookmarkEnd w:id="122"/>
      <w:bookmarkStart w:id="123" w:name="_Hlt26670523"/>
      <w:bookmarkEnd w:id="123"/>
      <w:bookmarkStart w:id="124" w:name="_Toc14577367"/>
      <w:bookmarkStart w:id="125" w:name="_Toc513029229"/>
      <w:bookmarkStart w:id="126" w:name="_Toc49090518"/>
      <w:bookmarkStart w:id="127" w:name="_Toc50913203"/>
      <w:r>
        <w:rPr>
          <w:rFonts w:hint="eastAsia" w:ascii="宋体" w:hAnsi="宋体" w:eastAsia="宋体"/>
          <w:sz w:val="28"/>
        </w:rPr>
        <w:t>五、</w:t>
      </w:r>
      <w:bookmarkEnd w:id="124"/>
      <w:bookmarkEnd w:id="125"/>
      <w:bookmarkEnd w:id="126"/>
      <w:r>
        <w:rPr>
          <w:rFonts w:hint="eastAsia" w:ascii="宋体" w:hAnsi="宋体" w:eastAsia="宋体"/>
          <w:sz w:val="28"/>
        </w:rPr>
        <w:t>磋商</w:t>
      </w:r>
      <w:bookmarkEnd w:id="127"/>
    </w:p>
    <w:p>
      <w:pPr>
        <w:pStyle w:val="6"/>
        <w:keepNext w:val="0"/>
        <w:snapToGrid w:val="0"/>
        <w:spacing w:before="0" w:after="0" w:line="360" w:lineRule="auto"/>
        <w:rPr>
          <w:rFonts w:ascii="宋体" w:hAnsi="宋体"/>
          <w:sz w:val="28"/>
        </w:rPr>
      </w:pPr>
      <w:bookmarkStart w:id="128" w:name="_Hlt26954866"/>
      <w:bookmarkEnd w:id="128"/>
      <w:bookmarkStart w:id="129" w:name="_Hlt26954756"/>
      <w:bookmarkEnd w:id="129"/>
      <w:bookmarkStart w:id="130" w:name="_Toc49090519"/>
      <w:bookmarkStart w:id="131" w:name="_Toc14577368"/>
      <w:bookmarkStart w:id="132" w:name="_Toc513029230"/>
      <w:bookmarkStart w:id="133" w:name="_Toc50913204"/>
      <w:r>
        <w:rPr>
          <w:rFonts w:hint="eastAsia" w:ascii="宋体" w:hAnsi="宋体"/>
          <w:sz w:val="28"/>
        </w:rPr>
        <w:t>22．</w:t>
      </w:r>
      <w:bookmarkEnd w:id="130"/>
      <w:bookmarkEnd w:id="131"/>
      <w:bookmarkEnd w:id="132"/>
      <w:r>
        <w:rPr>
          <w:rFonts w:hint="eastAsia" w:ascii="宋体" w:hAnsi="宋体"/>
          <w:sz w:val="28"/>
        </w:rPr>
        <w:t>磋商</w:t>
      </w:r>
      <w:bookmarkEnd w:id="133"/>
    </w:p>
    <w:p>
      <w:pPr>
        <w:snapToGrid w:val="0"/>
        <w:spacing w:line="360" w:lineRule="auto"/>
        <w:rPr>
          <w:rFonts w:ascii="宋体" w:hAnsi="宋体"/>
          <w:sz w:val="24"/>
        </w:rPr>
      </w:pPr>
      <w:r>
        <w:rPr>
          <w:rFonts w:hint="eastAsia" w:ascii="宋体" w:hAnsi="宋体"/>
          <w:sz w:val="24"/>
        </w:rPr>
        <w:t>22.1磋商组织人将按规定的时间和地点组织磋商会议。供应商应委派代表准时参加，参加磋商的代表需签名以证明其出席。</w:t>
      </w:r>
    </w:p>
    <w:p>
      <w:pPr>
        <w:snapToGrid w:val="0"/>
        <w:spacing w:line="360" w:lineRule="auto"/>
        <w:rPr>
          <w:rFonts w:ascii="宋体" w:hAnsi="宋体"/>
          <w:sz w:val="24"/>
        </w:rPr>
      </w:pPr>
      <w:r>
        <w:rPr>
          <w:rFonts w:hint="eastAsia" w:ascii="宋体" w:hAnsi="宋体"/>
          <w:sz w:val="24"/>
        </w:rPr>
        <w:t>22.2磋商开始前将当众检验磋商响应文件的密封情况。</w:t>
      </w:r>
    </w:p>
    <w:p>
      <w:pPr>
        <w:snapToGrid w:val="0"/>
        <w:spacing w:line="360" w:lineRule="auto"/>
        <w:rPr>
          <w:rFonts w:ascii="宋体" w:hAnsi="宋体"/>
          <w:sz w:val="24"/>
        </w:rPr>
      </w:pPr>
      <w:r>
        <w:rPr>
          <w:rFonts w:hint="eastAsia" w:ascii="宋体" w:hAnsi="宋体"/>
          <w:sz w:val="24"/>
        </w:rPr>
        <w:t>22.3供应商响应不足3家的，应当终止磋商活动。</w:t>
      </w:r>
    </w:p>
    <w:p>
      <w:pPr>
        <w:pStyle w:val="6"/>
        <w:keepNext w:val="0"/>
        <w:snapToGrid w:val="0"/>
        <w:spacing w:before="0" w:after="0" w:line="360" w:lineRule="auto"/>
        <w:rPr>
          <w:rFonts w:ascii="宋体" w:hAnsi="宋体"/>
          <w:b w:val="0"/>
          <w:bCs/>
          <w:sz w:val="28"/>
        </w:rPr>
      </w:pPr>
      <w:bookmarkStart w:id="134" w:name="_Toc50913205"/>
      <w:r>
        <w:rPr>
          <w:rFonts w:hint="eastAsia" w:ascii="宋体" w:hAnsi="宋体"/>
          <w:sz w:val="28"/>
        </w:rPr>
        <w:t>23．磋商程序</w:t>
      </w:r>
      <w:bookmarkEnd w:id="134"/>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1．介绍参会人员情况；</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2．审查磋商响应文件密封情况；</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3．磋商小组对响应文件进行资格性和符合性审查；</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4．依据签到顺序，与供应商分别进行磋商；</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5．确认技术、服务要求以及合同草案条款的实质性变动情况；</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6. 供应商提交最后报价；</w:t>
      </w:r>
    </w:p>
    <w:p>
      <w:pPr>
        <w:tabs>
          <w:tab w:val="left" w:pos="360"/>
        </w:tabs>
        <w:snapToGrid w:val="0"/>
        <w:spacing w:line="360" w:lineRule="auto"/>
        <w:ind w:left="359" w:leftChars="1" w:hanging="357" w:hangingChars="149"/>
        <w:rPr>
          <w:rFonts w:ascii="宋体" w:hAnsi="宋体"/>
          <w:sz w:val="24"/>
        </w:rPr>
      </w:pPr>
      <w:r>
        <w:rPr>
          <w:rFonts w:hint="eastAsia" w:ascii="宋体" w:hAnsi="宋体"/>
          <w:sz w:val="24"/>
        </w:rPr>
        <w:t>7．进行综合评分，并确定成交人。</w:t>
      </w:r>
    </w:p>
    <w:p>
      <w:pPr>
        <w:pStyle w:val="6"/>
        <w:snapToGrid w:val="0"/>
        <w:spacing w:before="0" w:after="0" w:line="360" w:lineRule="auto"/>
        <w:rPr>
          <w:rFonts w:ascii="宋体" w:hAnsi="宋体"/>
        </w:rPr>
      </w:pPr>
      <w:bookmarkStart w:id="135" w:name="_Toc50913206"/>
      <w:r>
        <w:rPr>
          <w:rFonts w:hint="eastAsia" w:ascii="宋体" w:hAnsi="宋体"/>
          <w:sz w:val="28"/>
        </w:rPr>
        <w:t>24．磋商小组的组成</w:t>
      </w:r>
      <w:bookmarkEnd w:id="135"/>
    </w:p>
    <w:p>
      <w:pPr>
        <w:adjustRightInd w:val="0"/>
        <w:snapToGrid w:val="0"/>
        <w:spacing w:line="360" w:lineRule="auto"/>
        <w:rPr>
          <w:rFonts w:ascii="宋体" w:hAnsi="宋体"/>
          <w:color w:val="000000"/>
          <w:sz w:val="24"/>
        </w:rPr>
      </w:pPr>
      <w:bookmarkStart w:id="136" w:name="_Hlt26670526"/>
      <w:bookmarkEnd w:id="136"/>
      <w:bookmarkStart w:id="137" w:name="_Hlt26954868"/>
      <w:bookmarkEnd w:id="137"/>
      <w:bookmarkStart w:id="138" w:name="_Toc513029233"/>
      <w:bookmarkStart w:id="139" w:name="_Toc14577371"/>
      <w:bookmarkStart w:id="140" w:name="_Toc49090522"/>
      <w:r>
        <w:rPr>
          <w:rFonts w:ascii="宋体" w:hAnsi="宋体"/>
          <w:color w:val="000000"/>
          <w:sz w:val="24"/>
        </w:rPr>
        <w:t>24</w:t>
      </w:r>
      <w:r>
        <w:rPr>
          <w:rFonts w:hint="eastAsia" w:ascii="宋体" w:hAnsi="宋体"/>
          <w:color w:val="000000"/>
          <w:sz w:val="24"/>
        </w:rPr>
        <w:t>.</w:t>
      </w:r>
      <w:r>
        <w:rPr>
          <w:rFonts w:ascii="宋体" w:hAnsi="宋体"/>
          <w:color w:val="000000"/>
          <w:sz w:val="24"/>
        </w:rPr>
        <w:t xml:space="preserve">1 </w:t>
      </w:r>
      <w:r>
        <w:rPr>
          <w:rFonts w:hint="eastAsia" w:ascii="宋体" w:hAnsi="宋体"/>
          <w:color w:val="000000"/>
          <w:sz w:val="24"/>
        </w:rPr>
        <w:t>磋商组织人将依法组建磋商小组，磋商小组由3人及以上组成，2名评审专家和1名采购人代表组成，其中专家的人数不少于磋商小组成员总数的三分之二。</w:t>
      </w:r>
    </w:p>
    <w:p>
      <w:pPr>
        <w:adjustRightInd w:val="0"/>
        <w:snapToGrid w:val="0"/>
        <w:spacing w:line="360" w:lineRule="auto"/>
        <w:rPr>
          <w:rFonts w:ascii="宋体" w:hAnsi="宋体"/>
          <w:color w:val="000000"/>
          <w:sz w:val="24"/>
        </w:rPr>
      </w:pPr>
      <w:r>
        <w:rPr>
          <w:rFonts w:ascii="宋体" w:hAnsi="宋体"/>
          <w:color w:val="000000"/>
          <w:sz w:val="24"/>
        </w:rPr>
        <w:t>24</w:t>
      </w:r>
      <w:r>
        <w:rPr>
          <w:rFonts w:hint="eastAsia" w:ascii="宋体" w:hAnsi="宋体"/>
          <w:color w:val="000000"/>
          <w:sz w:val="24"/>
        </w:rPr>
        <w:t>.</w:t>
      </w:r>
      <w:r>
        <w:rPr>
          <w:rFonts w:ascii="宋体" w:hAnsi="宋体"/>
          <w:color w:val="000000"/>
          <w:sz w:val="24"/>
        </w:rPr>
        <w:t xml:space="preserve">2 </w:t>
      </w:r>
      <w:r>
        <w:rPr>
          <w:rFonts w:hint="eastAsia" w:ascii="宋体" w:hAnsi="宋体"/>
          <w:color w:val="000000"/>
          <w:sz w:val="24"/>
        </w:rPr>
        <w:t>磋商小组负责对响应进行评审和比较，并向磋商组织人推荐成交人。</w:t>
      </w:r>
    </w:p>
    <w:p>
      <w:pPr>
        <w:pStyle w:val="6"/>
        <w:snapToGrid w:val="0"/>
        <w:spacing w:before="0" w:after="0" w:line="360" w:lineRule="auto"/>
        <w:rPr>
          <w:rFonts w:ascii="宋体" w:hAnsi="宋体"/>
          <w:sz w:val="28"/>
        </w:rPr>
      </w:pPr>
      <w:bookmarkStart w:id="141" w:name="_Toc50913207"/>
      <w:r>
        <w:rPr>
          <w:rFonts w:hint="eastAsia" w:ascii="宋体" w:hAnsi="宋体"/>
          <w:sz w:val="28"/>
        </w:rPr>
        <w:t>25．资格性审查</w:t>
      </w:r>
      <w:bookmarkEnd w:id="141"/>
    </w:p>
    <w:p>
      <w:pPr>
        <w:adjustRightInd w:val="0"/>
        <w:snapToGrid w:val="0"/>
        <w:spacing w:line="360" w:lineRule="auto"/>
        <w:rPr>
          <w:rFonts w:ascii="宋体" w:hAnsi="宋体"/>
          <w:color w:val="000000"/>
          <w:sz w:val="24"/>
        </w:rPr>
      </w:pPr>
      <w:r>
        <w:rPr>
          <w:rFonts w:ascii="宋体" w:hAnsi="宋体"/>
          <w:color w:val="000000"/>
          <w:sz w:val="24"/>
        </w:rPr>
        <w:t>25.1</w:t>
      </w:r>
      <w:r>
        <w:rPr>
          <w:rFonts w:hint="eastAsia" w:ascii="宋体" w:hAnsi="宋体"/>
          <w:color w:val="000000"/>
          <w:sz w:val="24"/>
        </w:rPr>
        <w:t>磋商会议开始后，采购人及监督人将依法对供应商的资格证明文件进行审查，审查供应商资格是否符合要求。合格供应商不足</w:t>
      </w:r>
      <w:r>
        <w:rPr>
          <w:rFonts w:ascii="宋体" w:hAnsi="宋体"/>
          <w:color w:val="000000"/>
          <w:sz w:val="24"/>
        </w:rPr>
        <w:t>3家的，</w:t>
      </w:r>
      <w:r>
        <w:rPr>
          <w:rFonts w:hint="eastAsia" w:ascii="宋体" w:hAnsi="宋体"/>
          <w:color w:val="000000"/>
          <w:sz w:val="24"/>
        </w:rPr>
        <w:t>应当终止磋商</w:t>
      </w:r>
      <w:r>
        <w:rPr>
          <w:rFonts w:ascii="宋体" w:hAnsi="宋体"/>
          <w:color w:val="000000"/>
          <w:sz w:val="24"/>
        </w:rPr>
        <w:t>。</w:t>
      </w:r>
    </w:p>
    <w:p>
      <w:pPr>
        <w:snapToGrid w:val="0"/>
        <w:spacing w:line="360" w:lineRule="auto"/>
        <w:rPr>
          <w:rFonts w:ascii="宋体" w:hAnsi="宋体"/>
          <w:color w:val="000000"/>
          <w:sz w:val="24"/>
        </w:rPr>
      </w:pPr>
      <w:r>
        <w:rPr>
          <w:rFonts w:ascii="宋体" w:hAnsi="宋体"/>
          <w:color w:val="000000"/>
          <w:sz w:val="24"/>
        </w:rPr>
        <w:t>25.2</w:t>
      </w:r>
      <w:r>
        <w:rPr>
          <w:rFonts w:hint="eastAsia" w:ascii="宋体" w:hAnsi="宋体"/>
          <w:sz w:val="24"/>
        </w:rPr>
        <w:t>资格性审查是指对磋商响应文件中资质证明、磋商保证金等按磋商文件要求进行逐一审查，经审查不符合磋商文件要求的，不得进入符合性审查阶段。</w:t>
      </w:r>
      <w:r>
        <w:rPr>
          <w:rFonts w:hint="eastAsia" w:ascii="宋体" w:hAnsi="宋体"/>
          <w:b/>
          <w:color w:val="000000"/>
          <w:sz w:val="24"/>
        </w:rPr>
        <w:t>。</w:t>
      </w:r>
    </w:p>
    <w:bookmarkEnd w:id="138"/>
    <w:bookmarkEnd w:id="139"/>
    <w:bookmarkEnd w:id="140"/>
    <w:p>
      <w:pPr>
        <w:pStyle w:val="6"/>
        <w:snapToGrid w:val="0"/>
        <w:spacing w:before="0" w:after="0" w:line="360" w:lineRule="auto"/>
        <w:rPr>
          <w:rFonts w:ascii="宋体" w:hAnsi="宋体"/>
          <w:sz w:val="28"/>
        </w:rPr>
      </w:pPr>
      <w:bookmarkStart w:id="142" w:name="_Toc50913208"/>
      <w:r>
        <w:rPr>
          <w:rFonts w:hint="eastAsia" w:ascii="宋体" w:hAnsi="宋体"/>
          <w:sz w:val="28"/>
        </w:rPr>
        <w:t>26．符合性审查</w:t>
      </w:r>
      <w:bookmarkEnd w:id="142"/>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 xml:space="preserve">1 </w:t>
      </w:r>
      <w:r>
        <w:rPr>
          <w:rFonts w:hint="eastAsia" w:ascii="宋体" w:hAnsi="宋体"/>
          <w:color w:val="000000"/>
          <w:sz w:val="24"/>
        </w:rPr>
        <w:t>资格性审查通过后，磋商小组对资格审查通过的响应文件进行初步审查，检查响应文件内容是否完整、编排是否有序、有无计算上的错误、文件签署是否规范等。</w:t>
      </w:r>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 xml:space="preserve">2 </w:t>
      </w:r>
      <w:r>
        <w:rPr>
          <w:rFonts w:hint="eastAsia" w:ascii="宋体" w:hAnsi="宋体"/>
          <w:color w:val="000000"/>
          <w:sz w:val="24"/>
        </w:rPr>
        <w:t>在详细评审之前，磋商小组要对每份响应文件是否实质性响应了磋商文件的要求进行符合性审查。实质性响应是指响应文件与磋商文件要求的条款、规格相符，没有重大偏离或保留情形。磋商小组只根据响应文件本身的内容来判定响应文件的响应性，而不寻求外部的证据。</w:t>
      </w:r>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 xml:space="preserve">3 </w:t>
      </w:r>
      <w:r>
        <w:rPr>
          <w:rFonts w:hint="eastAsia" w:ascii="宋体" w:hAnsi="宋体"/>
          <w:color w:val="000000"/>
          <w:sz w:val="24"/>
        </w:rPr>
        <w:t>符合性审查没有通过或没有实质性响应招标文件要求的响应文件不参加最后报价和进一步的评审，供应商不得通过修正或撤销不符合要求的偏离或保留从而使其成为实质上响应。</w:t>
      </w:r>
    </w:p>
    <w:p>
      <w:pPr>
        <w:adjustRightInd w:val="0"/>
        <w:snapToGrid w:val="0"/>
        <w:spacing w:line="360" w:lineRule="auto"/>
        <w:rPr>
          <w:rFonts w:ascii="宋体" w:hAnsi="宋体"/>
          <w:color w:val="000000"/>
          <w:sz w:val="24"/>
        </w:rPr>
      </w:pPr>
      <w:r>
        <w:rPr>
          <w:rFonts w:hint="eastAsia" w:ascii="宋体" w:hAnsi="宋体"/>
          <w:color w:val="000000"/>
          <w:sz w:val="24"/>
        </w:rPr>
        <w:t>26.</w:t>
      </w:r>
      <w:r>
        <w:rPr>
          <w:rFonts w:ascii="宋体" w:hAnsi="宋体"/>
          <w:color w:val="000000"/>
          <w:sz w:val="24"/>
        </w:rPr>
        <w:t>4</w:t>
      </w:r>
      <w:r>
        <w:rPr>
          <w:rFonts w:hint="eastAsia" w:ascii="宋体" w:hAnsi="宋体"/>
          <w:color w:val="000000"/>
          <w:sz w:val="24"/>
        </w:rPr>
        <w:t>磋商过程中磋商小组</w:t>
      </w:r>
      <w:r>
        <w:rPr>
          <w:rFonts w:ascii="宋体" w:hAnsi="宋体"/>
          <w:color w:val="000000"/>
          <w:sz w:val="24"/>
        </w:rPr>
        <w:t>拒绝供应商主动提交的任何澄清与补正。</w:t>
      </w:r>
    </w:p>
    <w:p>
      <w:pPr>
        <w:snapToGrid w:val="0"/>
        <w:spacing w:line="360" w:lineRule="auto"/>
        <w:rPr>
          <w:rFonts w:ascii="宋体" w:hAnsi="宋体"/>
          <w:sz w:val="24"/>
        </w:rPr>
      </w:pPr>
      <w:r>
        <w:rPr>
          <w:rFonts w:hint="eastAsia" w:ascii="宋体" w:hAnsi="宋体"/>
          <w:color w:val="000000"/>
          <w:sz w:val="24"/>
        </w:rPr>
        <w:t>26.</w:t>
      </w:r>
      <w:r>
        <w:rPr>
          <w:rFonts w:ascii="宋体" w:hAnsi="宋体"/>
          <w:color w:val="000000"/>
          <w:sz w:val="24"/>
        </w:rPr>
        <w:t>5</w:t>
      </w:r>
      <w:r>
        <w:rPr>
          <w:rFonts w:hint="eastAsia" w:ascii="宋体" w:hAnsi="宋体"/>
          <w:color w:val="000000"/>
          <w:sz w:val="24"/>
        </w:rPr>
        <w:t>磋商组织人</w:t>
      </w:r>
      <w:r>
        <w:rPr>
          <w:rFonts w:ascii="宋体" w:hAnsi="宋体"/>
          <w:color w:val="000000"/>
          <w:sz w:val="24"/>
        </w:rPr>
        <w:t>可以接受响应文件中不构成实质性偏差的小的不正规、不一致或不规范的内容。</w:t>
      </w:r>
    </w:p>
    <w:p>
      <w:pPr>
        <w:pStyle w:val="6"/>
        <w:keepNext w:val="0"/>
        <w:snapToGrid w:val="0"/>
        <w:spacing w:before="0" w:after="0" w:line="360" w:lineRule="auto"/>
        <w:rPr>
          <w:rFonts w:ascii="宋体" w:hAnsi="宋体"/>
          <w:b w:val="0"/>
          <w:color w:val="000000"/>
          <w:sz w:val="24"/>
        </w:rPr>
      </w:pPr>
      <w:bookmarkStart w:id="143" w:name="_Toc50913209"/>
      <w:bookmarkStart w:id="144" w:name="_Toc496089644"/>
      <w:r>
        <w:rPr>
          <w:rFonts w:hint="eastAsia" w:ascii="宋体" w:hAnsi="宋体"/>
          <w:sz w:val="28"/>
        </w:rPr>
        <w:t>27．响应文件错误的修正</w:t>
      </w:r>
      <w:bookmarkEnd w:id="143"/>
      <w:bookmarkEnd w:id="144"/>
    </w:p>
    <w:p>
      <w:pPr>
        <w:adjustRightInd w:val="0"/>
        <w:snapToGrid w:val="0"/>
        <w:spacing w:line="360" w:lineRule="auto"/>
        <w:rPr>
          <w:rFonts w:ascii="宋体" w:hAnsi="宋体"/>
          <w:color w:val="000000"/>
          <w:sz w:val="24"/>
        </w:rPr>
      </w:pPr>
      <w:r>
        <w:rPr>
          <w:rFonts w:hint="eastAsia" w:ascii="宋体" w:hAnsi="宋体"/>
          <w:color w:val="000000"/>
          <w:sz w:val="24"/>
        </w:rPr>
        <w:t>27.</w:t>
      </w:r>
      <w:r>
        <w:rPr>
          <w:rFonts w:ascii="宋体" w:hAnsi="宋体"/>
          <w:color w:val="000000"/>
          <w:sz w:val="24"/>
        </w:rPr>
        <w:t xml:space="preserve">1 </w:t>
      </w:r>
      <w:r>
        <w:rPr>
          <w:rFonts w:hint="eastAsia" w:ascii="宋体" w:hAnsi="宋体"/>
          <w:color w:val="000000"/>
          <w:sz w:val="24"/>
        </w:rPr>
        <w:t>响应文件中如果有下列计算上或表达上的错误或矛盾，将按以下原则或方法进行修正：</w:t>
      </w:r>
    </w:p>
    <w:p>
      <w:pPr>
        <w:adjustRightInd w:val="0"/>
        <w:snapToGrid w:val="0"/>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磋商</w:t>
      </w:r>
      <w:r>
        <w:rPr>
          <w:rFonts w:ascii="宋体" w:hAnsi="宋体"/>
          <w:color w:val="000000"/>
          <w:sz w:val="24"/>
        </w:rPr>
        <w:t>文件的大写金额和小写金额不一致的，以大写金额为准；</w:t>
      </w:r>
    </w:p>
    <w:p>
      <w:pPr>
        <w:adjustRightInd w:val="0"/>
        <w:snapToGrid w:val="0"/>
        <w:spacing w:line="360" w:lineRule="auto"/>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单价金额小数点或者百分比有明显错位的，以磋商报价一览表的总价为准，并修改单价；</w:t>
      </w:r>
    </w:p>
    <w:p>
      <w:pPr>
        <w:adjustRightInd w:val="0"/>
        <w:snapToGrid w:val="0"/>
        <w:spacing w:line="360" w:lineRule="auto"/>
        <w:rPr>
          <w:rFonts w:ascii="宋体" w:hAnsi="宋体"/>
          <w:color w:val="000000"/>
          <w:sz w:val="24"/>
        </w:rPr>
      </w:pPr>
      <w:r>
        <w:rPr>
          <w:rFonts w:hint="eastAsia" w:ascii="宋体" w:hAnsi="宋体"/>
          <w:color w:val="000000"/>
          <w:sz w:val="24"/>
        </w:rPr>
        <w:t>（3）</w:t>
      </w:r>
      <w:r>
        <w:rPr>
          <w:rFonts w:ascii="宋体" w:hAnsi="宋体"/>
          <w:color w:val="000000"/>
          <w:sz w:val="24"/>
        </w:rPr>
        <w:t>总价</w:t>
      </w:r>
      <w:r>
        <w:rPr>
          <w:rFonts w:hint="eastAsia" w:ascii="宋体" w:hAnsi="宋体"/>
          <w:color w:val="000000"/>
          <w:sz w:val="24"/>
        </w:rPr>
        <w:t>金额与按单价汇总金额不一致</w:t>
      </w:r>
      <w:r>
        <w:rPr>
          <w:rFonts w:ascii="宋体" w:hAnsi="宋体"/>
          <w:color w:val="000000"/>
          <w:sz w:val="24"/>
        </w:rPr>
        <w:t>的，以单价</w:t>
      </w:r>
      <w:r>
        <w:rPr>
          <w:rFonts w:hint="eastAsia" w:ascii="宋体" w:hAnsi="宋体"/>
          <w:color w:val="000000"/>
          <w:sz w:val="24"/>
        </w:rPr>
        <w:t>金额</w:t>
      </w:r>
      <w:r>
        <w:rPr>
          <w:rFonts w:ascii="宋体" w:hAnsi="宋体"/>
          <w:color w:val="000000"/>
          <w:sz w:val="24"/>
        </w:rPr>
        <w:t>计算结果为准；</w:t>
      </w:r>
    </w:p>
    <w:p>
      <w:pPr>
        <w:adjustRightInd w:val="0"/>
        <w:snapToGrid w:val="0"/>
        <w:spacing w:line="360" w:lineRule="auto"/>
        <w:rPr>
          <w:rFonts w:ascii="宋体" w:hAnsi="宋体"/>
          <w:color w:val="000000"/>
          <w:sz w:val="24"/>
        </w:rPr>
      </w:pPr>
      <w:r>
        <w:rPr>
          <w:rFonts w:hint="eastAsia" w:ascii="宋体" w:hAnsi="宋体"/>
          <w:color w:val="000000"/>
          <w:sz w:val="24"/>
        </w:rPr>
        <w:t>（4</w:t>
      </w:r>
      <w:r>
        <w:rPr>
          <w:rFonts w:ascii="宋体" w:hAnsi="宋体"/>
          <w:color w:val="000000"/>
          <w:sz w:val="24"/>
        </w:rPr>
        <w:t>）对</w:t>
      </w:r>
      <w:r>
        <w:rPr>
          <w:rFonts w:hint="eastAsia" w:ascii="宋体" w:hAnsi="宋体"/>
          <w:color w:val="000000"/>
          <w:sz w:val="24"/>
        </w:rPr>
        <w:t>响应</w:t>
      </w:r>
      <w:r>
        <w:rPr>
          <w:rFonts w:ascii="宋体" w:hAnsi="宋体"/>
          <w:color w:val="000000"/>
          <w:sz w:val="24"/>
        </w:rPr>
        <w:t>文件中不同文字文本的解释发生异议的，以中文文本为准。</w:t>
      </w:r>
    </w:p>
    <w:p>
      <w:pPr>
        <w:adjustRightInd w:val="0"/>
        <w:snapToGrid w:val="0"/>
        <w:spacing w:line="360" w:lineRule="auto"/>
        <w:rPr>
          <w:rFonts w:ascii="宋体" w:hAnsi="宋体"/>
          <w:color w:val="000000"/>
          <w:sz w:val="24"/>
        </w:rPr>
      </w:pPr>
      <w:r>
        <w:rPr>
          <w:rFonts w:hint="eastAsia" w:ascii="宋体" w:hAnsi="宋体"/>
          <w:bCs/>
          <w:kern w:val="0"/>
          <w:sz w:val="24"/>
        </w:rPr>
        <w:t>响应文件中如果同时出现上述两种或两种以上错误或矛盾的，则根据以上排序，按照序号在先的方法进行修正。</w:t>
      </w:r>
    </w:p>
    <w:p>
      <w:pPr>
        <w:adjustRightInd w:val="0"/>
        <w:snapToGrid w:val="0"/>
        <w:spacing w:line="360" w:lineRule="auto"/>
        <w:rPr>
          <w:rFonts w:ascii="宋体" w:hAnsi="宋体"/>
          <w:color w:val="000000"/>
          <w:sz w:val="24"/>
        </w:rPr>
      </w:pPr>
      <w:r>
        <w:rPr>
          <w:rFonts w:hint="eastAsia" w:ascii="宋体" w:hAnsi="宋体"/>
          <w:color w:val="000000"/>
          <w:sz w:val="24"/>
        </w:rPr>
        <w:t>27.</w:t>
      </w:r>
      <w:r>
        <w:rPr>
          <w:rFonts w:ascii="宋体" w:hAnsi="宋体"/>
          <w:color w:val="000000"/>
          <w:sz w:val="24"/>
        </w:rPr>
        <w:t xml:space="preserve">2 </w:t>
      </w:r>
      <w:r>
        <w:rPr>
          <w:rFonts w:hint="eastAsia" w:ascii="宋体" w:hAnsi="宋体"/>
          <w:color w:val="000000"/>
          <w:sz w:val="24"/>
        </w:rPr>
        <w:t>响应文件中如果有其他错误或矛盾，将按不利于出错供应商的原则进行处理，即对于错误或矛盾的内容，磋商时按照对出错供应商不利的情形进行评分；如出错供应商成交，签订合同时按照对出错供应商不利、对采购人有利的条件签约。</w:t>
      </w:r>
    </w:p>
    <w:p>
      <w:pPr>
        <w:snapToGrid w:val="0"/>
        <w:spacing w:line="360" w:lineRule="auto"/>
        <w:rPr>
          <w:rFonts w:ascii="宋体" w:hAnsi="宋体"/>
          <w:sz w:val="32"/>
        </w:rPr>
      </w:pPr>
      <w:r>
        <w:rPr>
          <w:rFonts w:hint="eastAsia" w:ascii="宋体" w:hAnsi="宋体"/>
          <w:color w:val="000000"/>
          <w:sz w:val="24"/>
        </w:rPr>
        <w:t>27.</w:t>
      </w:r>
      <w:r>
        <w:rPr>
          <w:rFonts w:ascii="宋体" w:hAnsi="宋体"/>
          <w:color w:val="000000"/>
          <w:sz w:val="24"/>
        </w:rPr>
        <w:t xml:space="preserve">3 </w:t>
      </w:r>
      <w:r>
        <w:rPr>
          <w:rFonts w:hint="eastAsia" w:ascii="宋体" w:hAnsi="宋体"/>
          <w:color w:val="000000"/>
          <w:sz w:val="24"/>
        </w:rPr>
        <w:t>上述修正或处理结果对供应商具有约束作用。</w:t>
      </w:r>
    </w:p>
    <w:p>
      <w:pPr>
        <w:pStyle w:val="6"/>
        <w:keepNext w:val="0"/>
        <w:snapToGrid w:val="0"/>
        <w:spacing w:before="0" w:after="0" w:line="360" w:lineRule="auto"/>
        <w:rPr>
          <w:rFonts w:ascii="宋体" w:hAnsi="宋体"/>
          <w:sz w:val="28"/>
        </w:rPr>
      </w:pPr>
      <w:bookmarkStart w:id="145" w:name="_Hlt26954870"/>
      <w:bookmarkEnd w:id="145"/>
      <w:bookmarkStart w:id="146" w:name="_Hlt26954760"/>
      <w:bookmarkEnd w:id="146"/>
      <w:bookmarkStart w:id="147" w:name="_Toc496089645"/>
      <w:bookmarkStart w:id="148" w:name="_Toc50913210"/>
      <w:r>
        <w:rPr>
          <w:rFonts w:hint="eastAsia" w:ascii="宋体" w:hAnsi="宋体"/>
          <w:sz w:val="28"/>
        </w:rPr>
        <w:t>28．响应文件的澄清</w:t>
      </w:r>
      <w:bookmarkEnd w:id="147"/>
      <w:bookmarkEnd w:id="148"/>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1 </w:t>
      </w:r>
      <w:r>
        <w:rPr>
          <w:rFonts w:hint="eastAsia" w:ascii="宋体" w:hAnsi="宋体"/>
          <w:color w:val="000000"/>
          <w:sz w:val="24"/>
        </w:rPr>
        <w:t>为有助于对响应文件审查、评价和比较，磋商小组可分别要求供应商对其响应文件中含义不明确、同类问题表述不一致等有关问题进行澄清。供应商应按照磋商组织人通知的时间和地点委派授权代表向磋商小组作出说明或答复。</w:t>
      </w:r>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2 </w:t>
      </w:r>
      <w:r>
        <w:rPr>
          <w:rFonts w:hint="eastAsia" w:ascii="宋体" w:hAnsi="宋体"/>
          <w:color w:val="000000"/>
          <w:sz w:val="24"/>
        </w:rPr>
        <w:t>供应商对澄清问题的说明或答复，应以书面形式提交给磋商小组，并应由供应商授权代表签字或盖章和加盖供应商公章。</w:t>
      </w:r>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3  </w:t>
      </w:r>
      <w:r>
        <w:rPr>
          <w:rFonts w:hint="eastAsia" w:ascii="宋体" w:hAnsi="宋体"/>
          <w:color w:val="000000"/>
          <w:sz w:val="24"/>
        </w:rPr>
        <w:t>供应商的澄清文件是其响应文件的组成部分。</w:t>
      </w:r>
    </w:p>
    <w:p>
      <w:pPr>
        <w:adjustRightInd w:val="0"/>
        <w:snapToGrid w:val="0"/>
        <w:spacing w:line="360" w:lineRule="auto"/>
        <w:rPr>
          <w:rFonts w:ascii="宋体" w:hAnsi="宋体"/>
          <w:color w:val="000000"/>
          <w:sz w:val="24"/>
        </w:rPr>
      </w:pPr>
      <w:r>
        <w:rPr>
          <w:rFonts w:hint="eastAsia" w:ascii="宋体" w:hAnsi="宋体"/>
          <w:color w:val="000000"/>
          <w:sz w:val="24"/>
        </w:rPr>
        <w:t>28.</w:t>
      </w:r>
      <w:r>
        <w:rPr>
          <w:rFonts w:ascii="宋体" w:hAnsi="宋体"/>
          <w:color w:val="000000"/>
          <w:sz w:val="24"/>
        </w:rPr>
        <w:t xml:space="preserve">4  </w:t>
      </w:r>
      <w:r>
        <w:rPr>
          <w:rFonts w:hint="eastAsia" w:ascii="宋体" w:hAnsi="宋体"/>
          <w:color w:val="000000"/>
          <w:sz w:val="24"/>
        </w:rPr>
        <w:t>供应商人的澄清不得改变其文件的实质性内容，不得通过澄清而使进行澄清的供应商在磋商中更加有利。</w:t>
      </w:r>
    </w:p>
    <w:p>
      <w:pPr>
        <w:pStyle w:val="6"/>
        <w:keepNext w:val="0"/>
        <w:snapToGrid w:val="0"/>
        <w:spacing w:before="0" w:after="0" w:line="360" w:lineRule="auto"/>
        <w:rPr>
          <w:rFonts w:ascii="宋体" w:hAnsi="宋体"/>
          <w:sz w:val="28"/>
        </w:rPr>
      </w:pPr>
      <w:bookmarkStart w:id="149" w:name="_Toc50913211"/>
      <w:bookmarkStart w:id="150" w:name="_Toc496089646"/>
      <w:r>
        <w:rPr>
          <w:rFonts w:hint="eastAsia" w:ascii="宋体" w:hAnsi="宋体"/>
          <w:sz w:val="28"/>
        </w:rPr>
        <w:t>29．响应文件的评价与比较</w:t>
      </w:r>
      <w:bookmarkEnd w:id="149"/>
      <w:bookmarkEnd w:id="150"/>
    </w:p>
    <w:p>
      <w:pPr>
        <w:adjustRightInd w:val="0"/>
        <w:snapToGrid w:val="0"/>
        <w:spacing w:line="360" w:lineRule="auto"/>
        <w:rPr>
          <w:rFonts w:ascii="宋体" w:hAnsi="宋体"/>
          <w:color w:val="000000"/>
          <w:sz w:val="24"/>
        </w:rPr>
      </w:pPr>
      <w:r>
        <w:rPr>
          <w:rFonts w:hint="eastAsia" w:ascii="宋体" w:hAnsi="宋体"/>
          <w:color w:val="000000"/>
          <w:sz w:val="24"/>
        </w:rPr>
        <w:t>29.</w:t>
      </w:r>
      <w:r>
        <w:rPr>
          <w:rFonts w:ascii="宋体" w:hAnsi="宋体"/>
          <w:color w:val="000000"/>
          <w:sz w:val="24"/>
        </w:rPr>
        <w:t>1　</w:t>
      </w:r>
      <w:r>
        <w:rPr>
          <w:rFonts w:hint="eastAsia" w:ascii="宋体" w:hAnsi="宋体"/>
          <w:color w:val="000000"/>
          <w:sz w:val="24"/>
        </w:rPr>
        <w:t>磋商小组</w:t>
      </w:r>
      <w:r>
        <w:rPr>
          <w:rFonts w:ascii="宋体" w:hAnsi="宋体"/>
          <w:color w:val="000000"/>
          <w:sz w:val="24"/>
        </w:rPr>
        <w:t>只对</w:t>
      </w:r>
      <w:r>
        <w:rPr>
          <w:rFonts w:hint="eastAsia" w:ascii="宋体" w:hAnsi="宋体"/>
          <w:color w:val="000000"/>
          <w:sz w:val="24"/>
        </w:rPr>
        <w:t>通过符合性审查通过或</w:t>
      </w:r>
      <w:r>
        <w:rPr>
          <w:rFonts w:ascii="宋体" w:hAnsi="宋体"/>
          <w:color w:val="000000"/>
          <w:sz w:val="24"/>
        </w:rPr>
        <w:t>被确定为实质上响应</w:t>
      </w:r>
      <w:r>
        <w:rPr>
          <w:rFonts w:hint="eastAsia" w:ascii="宋体" w:hAnsi="宋体"/>
          <w:color w:val="000000"/>
          <w:sz w:val="24"/>
        </w:rPr>
        <w:t>磋商</w:t>
      </w:r>
      <w:r>
        <w:rPr>
          <w:rFonts w:ascii="宋体" w:hAnsi="宋体"/>
          <w:color w:val="000000"/>
          <w:sz w:val="24"/>
        </w:rPr>
        <w:t>文件要求的</w:t>
      </w:r>
      <w:r>
        <w:rPr>
          <w:rFonts w:hint="eastAsia" w:ascii="宋体" w:hAnsi="宋体"/>
          <w:color w:val="000000"/>
          <w:sz w:val="24"/>
        </w:rPr>
        <w:t>响应</w:t>
      </w:r>
      <w:r>
        <w:rPr>
          <w:rFonts w:ascii="宋体" w:hAnsi="宋体"/>
          <w:color w:val="000000"/>
          <w:sz w:val="24"/>
        </w:rPr>
        <w:t>文件进行评价和比较。</w:t>
      </w:r>
    </w:p>
    <w:p>
      <w:pPr>
        <w:snapToGrid w:val="0"/>
        <w:spacing w:line="360" w:lineRule="auto"/>
        <w:rPr>
          <w:rFonts w:ascii="宋体" w:hAnsi="宋体"/>
          <w:color w:val="000000"/>
          <w:sz w:val="24"/>
        </w:rPr>
      </w:pPr>
      <w:r>
        <w:rPr>
          <w:rFonts w:hint="eastAsia" w:ascii="宋体" w:hAnsi="宋体"/>
          <w:color w:val="000000"/>
          <w:sz w:val="24"/>
        </w:rPr>
        <w:t>29.</w:t>
      </w:r>
      <w:r>
        <w:rPr>
          <w:rFonts w:ascii="宋体" w:hAnsi="宋体"/>
          <w:color w:val="000000"/>
          <w:sz w:val="24"/>
        </w:rPr>
        <w:t>2　</w:t>
      </w:r>
      <w:r>
        <w:rPr>
          <w:rFonts w:hint="eastAsia" w:ascii="宋体" w:hAnsi="宋体"/>
          <w:color w:val="000000"/>
          <w:sz w:val="24"/>
        </w:rPr>
        <w:t>磋商小组</w:t>
      </w:r>
      <w:r>
        <w:rPr>
          <w:rFonts w:ascii="宋体" w:hAnsi="宋体"/>
          <w:color w:val="000000"/>
          <w:sz w:val="24"/>
        </w:rPr>
        <w:t>根据</w:t>
      </w:r>
      <w:r>
        <w:rPr>
          <w:rFonts w:hint="eastAsia" w:ascii="宋体" w:hAnsi="宋体"/>
          <w:color w:val="000000"/>
          <w:sz w:val="24"/>
        </w:rPr>
        <w:t>第三章</w:t>
      </w:r>
      <w:r>
        <w:rPr>
          <w:rFonts w:ascii="宋体" w:hAnsi="宋体"/>
          <w:color w:val="000000"/>
          <w:sz w:val="24"/>
        </w:rPr>
        <w:t>《评标方法》中规定的方法进行评</w:t>
      </w:r>
      <w:r>
        <w:rPr>
          <w:rFonts w:hint="eastAsia" w:ascii="宋体" w:hAnsi="宋体"/>
          <w:color w:val="000000"/>
          <w:sz w:val="24"/>
        </w:rPr>
        <w:t>审</w:t>
      </w:r>
      <w:r>
        <w:rPr>
          <w:rFonts w:ascii="宋体" w:hAnsi="宋体"/>
          <w:color w:val="000000"/>
          <w:sz w:val="24"/>
        </w:rPr>
        <w:t>，并向</w:t>
      </w:r>
      <w:r>
        <w:rPr>
          <w:rFonts w:hint="eastAsia" w:ascii="宋体" w:hAnsi="宋体"/>
          <w:color w:val="000000"/>
          <w:sz w:val="24"/>
        </w:rPr>
        <w:t>磋商组织</w:t>
      </w:r>
      <w:r>
        <w:rPr>
          <w:rFonts w:ascii="宋体" w:hAnsi="宋体"/>
          <w:color w:val="000000"/>
          <w:sz w:val="24"/>
        </w:rPr>
        <w:t>人提交书面评</w:t>
      </w:r>
      <w:r>
        <w:rPr>
          <w:rFonts w:hint="eastAsia" w:ascii="宋体" w:hAnsi="宋体"/>
          <w:color w:val="000000"/>
          <w:sz w:val="24"/>
        </w:rPr>
        <w:t>审</w:t>
      </w:r>
      <w:r>
        <w:rPr>
          <w:rFonts w:ascii="宋体" w:hAnsi="宋体"/>
          <w:color w:val="000000"/>
          <w:sz w:val="24"/>
        </w:rPr>
        <w:t>报告和推荐</w:t>
      </w:r>
      <w:r>
        <w:rPr>
          <w:rFonts w:hint="eastAsia" w:ascii="宋体" w:hAnsi="宋体"/>
          <w:color w:val="000000"/>
          <w:sz w:val="24"/>
        </w:rPr>
        <w:t>成交</w:t>
      </w:r>
      <w:r>
        <w:rPr>
          <w:rFonts w:ascii="宋体" w:hAnsi="宋体"/>
          <w:color w:val="000000"/>
          <w:sz w:val="24"/>
        </w:rPr>
        <w:t>人。</w:t>
      </w:r>
    </w:p>
    <w:p>
      <w:pPr>
        <w:pStyle w:val="6"/>
        <w:keepNext w:val="0"/>
        <w:snapToGrid w:val="0"/>
        <w:spacing w:before="0" w:after="0" w:line="360" w:lineRule="auto"/>
        <w:rPr>
          <w:rFonts w:ascii="宋体" w:hAnsi="宋体"/>
          <w:sz w:val="28"/>
        </w:rPr>
      </w:pPr>
      <w:bookmarkStart w:id="151" w:name="_Toc496089647"/>
      <w:bookmarkStart w:id="152" w:name="_Toc50913212"/>
      <w:r>
        <w:rPr>
          <w:rFonts w:ascii="宋体" w:hAnsi="宋体"/>
          <w:sz w:val="28"/>
        </w:rPr>
        <w:t>30</w:t>
      </w:r>
      <w:r>
        <w:rPr>
          <w:rFonts w:hint="eastAsia" w:ascii="宋体" w:hAnsi="宋体"/>
          <w:sz w:val="28"/>
        </w:rPr>
        <w:t>．磋商的有关要求</w:t>
      </w:r>
      <w:bookmarkEnd w:id="151"/>
      <w:bookmarkEnd w:id="152"/>
    </w:p>
    <w:p>
      <w:pPr>
        <w:adjustRightInd w:val="0"/>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磋商小组</w:t>
      </w:r>
      <w:r>
        <w:rPr>
          <w:rFonts w:ascii="宋体" w:hAnsi="宋体"/>
          <w:color w:val="000000"/>
          <w:sz w:val="24"/>
        </w:rPr>
        <w:t>应当公平、公正、客观，不带任何倾向性，</w:t>
      </w:r>
      <w:r>
        <w:rPr>
          <w:rFonts w:hint="eastAsia" w:ascii="宋体" w:hAnsi="宋体"/>
          <w:color w:val="000000"/>
          <w:sz w:val="24"/>
        </w:rPr>
        <w:t>磋商小组</w:t>
      </w:r>
      <w:r>
        <w:rPr>
          <w:rFonts w:ascii="宋体" w:hAnsi="宋体"/>
          <w:color w:val="000000"/>
          <w:sz w:val="24"/>
        </w:rPr>
        <w:t>成员及参与</w:t>
      </w:r>
      <w:r>
        <w:rPr>
          <w:rFonts w:hint="eastAsia" w:ascii="宋体" w:hAnsi="宋体"/>
          <w:color w:val="000000"/>
          <w:sz w:val="24"/>
        </w:rPr>
        <w:t>磋商</w:t>
      </w:r>
      <w:r>
        <w:rPr>
          <w:rFonts w:ascii="宋体" w:hAnsi="宋体"/>
          <w:color w:val="000000"/>
          <w:sz w:val="24"/>
        </w:rPr>
        <w:t>的有关工作人员不得私下与</w:t>
      </w:r>
      <w:r>
        <w:rPr>
          <w:rFonts w:hint="eastAsia" w:ascii="宋体" w:hAnsi="宋体"/>
          <w:color w:val="000000"/>
          <w:sz w:val="24"/>
        </w:rPr>
        <w:t>供应商</w:t>
      </w:r>
      <w:r>
        <w:rPr>
          <w:rFonts w:ascii="宋体" w:hAnsi="宋体"/>
          <w:color w:val="000000"/>
          <w:sz w:val="24"/>
        </w:rPr>
        <w:t>接触。</w:t>
      </w:r>
    </w:p>
    <w:p>
      <w:pPr>
        <w:adjustRightInd w:val="0"/>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磋商</w:t>
      </w:r>
      <w:r>
        <w:rPr>
          <w:rFonts w:ascii="宋体" w:hAnsi="宋体"/>
          <w:color w:val="000000"/>
          <w:sz w:val="24"/>
        </w:rPr>
        <w:t>过程严格保密。凡是属于审查、澄清、评价和比较有关的资料以及</w:t>
      </w:r>
      <w:r>
        <w:rPr>
          <w:rFonts w:hint="eastAsia" w:ascii="宋体" w:hAnsi="宋体"/>
          <w:color w:val="000000"/>
          <w:sz w:val="24"/>
        </w:rPr>
        <w:t>评审</w:t>
      </w:r>
      <w:r>
        <w:rPr>
          <w:rFonts w:ascii="宋体" w:hAnsi="宋体"/>
          <w:color w:val="000000"/>
          <w:sz w:val="24"/>
        </w:rPr>
        <w:t>建议等，所有知情人均不得向</w:t>
      </w:r>
      <w:r>
        <w:rPr>
          <w:rFonts w:hint="eastAsia" w:ascii="宋体" w:hAnsi="宋体"/>
          <w:color w:val="000000"/>
          <w:sz w:val="24"/>
        </w:rPr>
        <w:t>供应商</w:t>
      </w:r>
      <w:r>
        <w:rPr>
          <w:rFonts w:ascii="宋体" w:hAnsi="宋体"/>
          <w:color w:val="000000"/>
          <w:sz w:val="24"/>
        </w:rPr>
        <w:t>或其他无关的人员透露。</w:t>
      </w:r>
    </w:p>
    <w:p>
      <w:pPr>
        <w:adjustRightInd w:val="0"/>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3任何单位和个人都不得干扰、影响</w:t>
      </w:r>
      <w:r>
        <w:rPr>
          <w:rFonts w:hint="eastAsia" w:ascii="宋体" w:hAnsi="宋体"/>
          <w:color w:val="000000"/>
          <w:sz w:val="24"/>
        </w:rPr>
        <w:t>磋商</w:t>
      </w:r>
      <w:r>
        <w:rPr>
          <w:rFonts w:ascii="宋体" w:hAnsi="宋体"/>
          <w:color w:val="000000"/>
          <w:sz w:val="24"/>
        </w:rPr>
        <w:t>活动的正常进行。</w:t>
      </w:r>
      <w:r>
        <w:rPr>
          <w:rFonts w:hint="eastAsia" w:ascii="宋体" w:hAnsi="宋体"/>
          <w:color w:val="000000"/>
          <w:sz w:val="24"/>
        </w:rPr>
        <w:t>供应商</w:t>
      </w:r>
      <w:r>
        <w:rPr>
          <w:rFonts w:ascii="宋体" w:hAnsi="宋体"/>
          <w:color w:val="000000"/>
          <w:sz w:val="24"/>
        </w:rPr>
        <w:t>在</w:t>
      </w:r>
      <w:r>
        <w:rPr>
          <w:rFonts w:hint="eastAsia" w:ascii="宋体" w:hAnsi="宋体"/>
          <w:color w:val="000000"/>
          <w:sz w:val="24"/>
        </w:rPr>
        <w:t>磋商</w:t>
      </w:r>
      <w:r>
        <w:rPr>
          <w:rFonts w:ascii="宋体" w:hAnsi="宋体"/>
          <w:color w:val="000000"/>
          <w:sz w:val="24"/>
        </w:rPr>
        <w:t>过程中所进行的试图影响</w:t>
      </w:r>
      <w:r>
        <w:rPr>
          <w:rFonts w:hint="eastAsia" w:ascii="宋体" w:hAnsi="宋体"/>
          <w:color w:val="000000"/>
          <w:sz w:val="24"/>
        </w:rPr>
        <w:t>磋商</w:t>
      </w:r>
      <w:r>
        <w:rPr>
          <w:rFonts w:ascii="宋体" w:hAnsi="宋体"/>
          <w:color w:val="000000"/>
          <w:sz w:val="24"/>
        </w:rPr>
        <w:t>结果的一切不符合法律或</w:t>
      </w:r>
      <w:r>
        <w:rPr>
          <w:rFonts w:hint="eastAsia" w:ascii="宋体" w:hAnsi="宋体"/>
          <w:color w:val="000000"/>
          <w:sz w:val="24"/>
        </w:rPr>
        <w:t>磋商</w:t>
      </w:r>
      <w:r>
        <w:rPr>
          <w:rFonts w:ascii="宋体" w:hAnsi="宋体"/>
          <w:color w:val="000000"/>
          <w:sz w:val="24"/>
        </w:rPr>
        <w:t>规定的活动，都可能导致其</w:t>
      </w:r>
      <w:r>
        <w:rPr>
          <w:rFonts w:hint="eastAsia" w:ascii="宋体" w:hAnsi="宋体"/>
          <w:color w:val="000000"/>
          <w:sz w:val="24"/>
        </w:rPr>
        <w:t>响应</w:t>
      </w:r>
      <w:r>
        <w:rPr>
          <w:rFonts w:ascii="宋体" w:hAnsi="宋体"/>
          <w:color w:val="000000"/>
          <w:sz w:val="24"/>
        </w:rPr>
        <w:t>被拒绝。</w:t>
      </w:r>
    </w:p>
    <w:p>
      <w:pPr>
        <w:snapToGrid w:val="0"/>
        <w:spacing w:line="360" w:lineRule="auto"/>
        <w:rPr>
          <w:rFonts w:ascii="宋体" w:hAnsi="宋体"/>
          <w:color w:val="000000"/>
          <w:sz w:val="24"/>
        </w:rPr>
      </w:pPr>
      <w:r>
        <w:rPr>
          <w:rFonts w:ascii="宋体" w:hAnsi="宋体"/>
          <w:color w:val="000000"/>
          <w:sz w:val="24"/>
        </w:rPr>
        <w:t>30</w:t>
      </w:r>
      <w:r>
        <w:rPr>
          <w:rFonts w:hint="eastAsia" w:ascii="宋体" w:hAnsi="宋体"/>
          <w:color w:val="000000"/>
          <w:sz w:val="24"/>
        </w:rPr>
        <w:t>.</w:t>
      </w:r>
      <w:r>
        <w:rPr>
          <w:rFonts w:ascii="宋体" w:hAnsi="宋体"/>
          <w:color w:val="000000"/>
          <w:sz w:val="24"/>
        </w:rPr>
        <w:t>4</w:t>
      </w:r>
      <w:r>
        <w:rPr>
          <w:rFonts w:hint="eastAsia" w:ascii="宋体" w:hAnsi="宋体"/>
          <w:color w:val="000000"/>
          <w:sz w:val="24"/>
        </w:rPr>
        <w:t>磋商组织人</w:t>
      </w:r>
      <w:r>
        <w:rPr>
          <w:rFonts w:ascii="宋体" w:hAnsi="宋体"/>
          <w:color w:val="000000"/>
          <w:sz w:val="24"/>
        </w:rPr>
        <w:t>和</w:t>
      </w:r>
      <w:r>
        <w:rPr>
          <w:rFonts w:hint="eastAsia" w:ascii="宋体" w:hAnsi="宋体"/>
          <w:color w:val="000000"/>
          <w:sz w:val="24"/>
        </w:rPr>
        <w:t>磋商小组</w:t>
      </w:r>
      <w:r>
        <w:rPr>
          <w:rFonts w:ascii="宋体" w:hAnsi="宋体"/>
          <w:color w:val="000000"/>
          <w:sz w:val="24"/>
        </w:rPr>
        <w:t>均无义务向</w:t>
      </w:r>
      <w:r>
        <w:rPr>
          <w:rFonts w:hint="eastAsia" w:ascii="宋体" w:hAnsi="宋体"/>
          <w:color w:val="000000"/>
          <w:sz w:val="24"/>
        </w:rPr>
        <w:t>供应商</w:t>
      </w:r>
      <w:r>
        <w:rPr>
          <w:rFonts w:ascii="宋体" w:hAnsi="宋体"/>
          <w:color w:val="000000"/>
          <w:sz w:val="24"/>
        </w:rPr>
        <w:t>做出有关</w:t>
      </w:r>
      <w:r>
        <w:rPr>
          <w:rFonts w:hint="eastAsia" w:ascii="宋体" w:hAnsi="宋体"/>
          <w:color w:val="000000"/>
          <w:sz w:val="24"/>
        </w:rPr>
        <w:t>磋商</w:t>
      </w:r>
      <w:r>
        <w:rPr>
          <w:rFonts w:ascii="宋体" w:hAnsi="宋体"/>
          <w:color w:val="000000"/>
          <w:sz w:val="24"/>
        </w:rPr>
        <w:t>的任何解释。</w:t>
      </w:r>
    </w:p>
    <w:p>
      <w:pPr>
        <w:pStyle w:val="6"/>
        <w:keepNext w:val="0"/>
        <w:snapToGrid w:val="0"/>
        <w:spacing w:before="0" w:after="0" w:line="360" w:lineRule="auto"/>
        <w:rPr>
          <w:rFonts w:ascii="宋体" w:hAnsi="宋体"/>
          <w:sz w:val="28"/>
        </w:rPr>
      </w:pPr>
      <w:bookmarkStart w:id="153" w:name="_Toc50913213"/>
      <w:r>
        <w:rPr>
          <w:rFonts w:hint="eastAsia" w:ascii="宋体" w:hAnsi="宋体"/>
          <w:sz w:val="28"/>
        </w:rPr>
        <w:t>31询问、质疑、投诉</w:t>
      </w:r>
      <w:bookmarkEnd w:id="153"/>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31.1询问</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（1）供应商对政府采购活动事项有疑问的，可以向</w:t>
      </w:r>
      <w:r>
        <w:rPr>
          <w:rFonts w:hint="eastAsia" w:ascii="宋体" w:hAnsi="宋体" w:cs="宋体"/>
          <w:color w:val="000000"/>
          <w:sz w:val="24"/>
          <w:lang w:eastAsia="zh-TW"/>
        </w:rPr>
        <w:t>采购人或者采购代理机构</w:t>
      </w:r>
      <w:r>
        <w:rPr>
          <w:rFonts w:hint="eastAsia" w:ascii="宋体" w:hAnsi="宋体" w:cs="黑体"/>
          <w:bCs/>
          <w:color w:val="000000"/>
          <w:sz w:val="24"/>
        </w:rPr>
        <w:t>提出询问，询问可以口头方式提出，也可以书面形式提出。</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2）如采用书面形式提出询问，供应商为自然人的，询问函应当由本人签字；供应商为法人或者其他组织的，应当由法定代表人、主要负责人或授权代表签字或者盖章，并加盖供应商公章。询问供应商若委托代理人提出询问的，询问函应按要求列明“授权代表”的有关内容，并提交由供应商签署的授权委托书及代理人身份证复印件，并加盖供应商公章。授权委托书应载明代理人的姓名或者名称、代理事项、具体权限、期限和相关事项。</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宋体"/>
          <w:color w:val="000000"/>
          <w:sz w:val="24"/>
        </w:rPr>
        <w:t>（3）</w:t>
      </w:r>
      <w:r>
        <w:rPr>
          <w:rFonts w:hint="eastAsia" w:ascii="宋体" w:hAnsi="宋体" w:cs="宋体"/>
          <w:color w:val="000000"/>
          <w:sz w:val="24"/>
          <w:lang w:eastAsia="zh-TW"/>
        </w:rPr>
        <w:t>采购人或者采购代理机构</w:t>
      </w:r>
      <w:r>
        <w:rPr>
          <w:rFonts w:hint="eastAsia" w:ascii="宋体" w:hAnsi="宋体" w:cs="黑体"/>
          <w:bCs/>
          <w:color w:val="000000"/>
          <w:sz w:val="24"/>
        </w:rPr>
        <w:t>在三个工作日内对供应商依法提出的询问作出答复。</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31.2质疑</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（1）提出质疑的供应商（以下简称质疑供应商）应当是参与所质疑项目采购活动的供应商。</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31.3质疑期限：</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（1）供应商认为</w:t>
      </w:r>
      <w:r>
        <w:rPr>
          <w:rFonts w:hint="eastAsia" w:ascii="宋体" w:hAnsi="宋体" w:cs="黑体"/>
          <w:bCs/>
          <w:color w:val="000000"/>
          <w:sz w:val="24"/>
          <w:u w:val="double"/>
        </w:rPr>
        <w:t>招标文件的内容</w:t>
      </w:r>
      <w:r>
        <w:rPr>
          <w:rFonts w:hint="eastAsia" w:ascii="宋体" w:hAnsi="宋体" w:cs="黑体"/>
          <w:bCs/>
          <w:color w:val="000000"/>
          <w:sz w:val="24"/>
        </w:rPr>
        <w:t>损害其权益的，应当在购买招标文件之日或者招标文件公告期届满之日起七个工作日内。（注：供应商购买招标文件之日早于招标文件公告期限届满之日的，则以供应商购买招标文件之日为质疑时效期间的起算日期；否则，以招标文件公告期限届满之日为质疑时效期间的起算日期）</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（2）供应商认为</w:t>
      </w:r>
      <w:r>
        <w:rPr>
          <w:rFonts w:hint="eastAsia" w:ascii="宋体" w:hAnsi="宋体" w:cs="黑体"/>
          <w:bCs/>
          <w:color w:val="000000"/>
          <w:sz w:val="24"/>
          <w:u w:val="double"/>
        </w:rPr>
        <w:t>采购过程</w:t>
      </w:r>
      <w:r>
        <w:rPr>
          <w:rFonts w:hint="eastAsia" w:ascii="宋体" w:hAnsi="宋体" w:cs="黑体"/>
          <w:bCs/>
          <w:color w:val="000000"/>
          <w:sz w:val="24"/>
        </w:rPr>
        <w:t>损害其权益的，应在各采购程序环节结束之日起七个工作日内。</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（3）供应商认为</w:t>
      </w:r>
      <w:r>
        <w:rPr>
          <w:rFonts w:hint="eastAsia" w:ascii="宋体" w:hAnsi="宋体" w:cs="黑体"/>
          <w:bCs/>
          <w:color w:val="000000"/>
          <w:sz w:val="24"/>
          <w:u w:val="double"/>
        </w:rPr>
        <w:t>中标或者成交结果</w:t>
      </w:r>
      <w:r>
        <w:rPr>
          <w:rFonts w:hint="eastAsia" w:ascii="宋体" w:hAnsi="宋体" w:cs="黑体"/>
          <w:bCs/>
          <w:color w:val="000000"/>
          <w:sz w:val="24"/>
        </w:rPr>
        <w:t>损害其权益的，应在中标或者成交结果公告期限届满之日起七个工作日内。</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31.4提交要求：</w:t>
      </w:r>
      <w:r>
        <w:rPr>
          <w:rFonts w:ascii="宋体" w:hAnsi="宋体"/>
          <w:color w:val="000000"/>
          <w:sz w:val="24"/>
        </w:rPr>
        <w:br w:type="textWrapping"/>
      </w:r>
      <w:r>
        <w:rPr>
          <w:rFonts w:hint="eastAsia" w:ascii="宋体" w:hAnsi="宋体"/>
          <w:color w:val="000000"/>
          <w:sz w:val="24"/>
        </w:rPr>
        <w:t>（1）以书面形式（指加盖供应商公章的原件）向采购人或者采购代理机构一次性提出针对同一采购程序环节的质疑。</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质疑函应当包括下列内容：</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供应商的姓名或者名称、地址、邮编、联系人及联系电话；</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质疑项目的名称和项目编号，若对项目的某一分包进行质疑，应列明具体的包组号；</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具体、明确的质疑事项和与质疑事项相关的请求；</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事实依据；</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必要的法律依据；</w:t>
      </w:r>
    </w:p>
    <w:p>
      <w:pPr>
        <w:pStyle w:val="101"/>
        <w:numPr>
          <w:ilvl w:val="0"/>
          <w:numId w:val="2"/>
        </w:numPr>
        <w:tabs>
          <w:tab w:val="left" w:pos="425"/>
          <w:tab w:val="left" w:pos="851"/>
        </w:tabs>
        <w:autoSpaceDE w:val="0"/>
        <w:autoSpaceDN w:val="0"/>
        <w:adjustRightInd w:val="0"/>
        <w:snapToGrid w:val="0"/>
        <w:spacing w:line="360" w:lineRule="auto"/>
        <w:ind w:firstLineChars="0"/>
        <w:rPr>
          <w:rFonts w:ascii="宋体" w:hAnsi="宋体" w:cs="黑体"/>
          <w:bCs/>
          <w:color w:val="000000"/>
          <w:sz w:val="24"/>
          <w:szCs w:val="24"/>
        </w:rPr>
      </w:pPr>
      <w:r>
        <w:rPr>
          <w:rFonts w:hint="eastAsia" w:ascii="宋体" w:hAnsi="宋体" w:cs="黑体"/>
          <w:bCs/>
          <w:color w:val="000000"/>
          <w:sz w:val="24"/>
          <w:szCs w:val="24"/>
        </w:rPr>
        <w:t>提出质疑的日期。</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供应商为法人或者其他组织的，应当由法定代表人、主要负责人或授权代表签字或者盖章，并加盖供应商公章。质疑供应商若委托代理人进行质疑的，质疑函应按要求列明“授权代表”的有关内容，并提交由供应商签署的授权委托书及代理人身份证复印件，并加盖供应商公章。授权委托书应载明代理人的姓名或者名称、代理事项、具体权限、期限和相关事项。</w:t>
      </w:r>
    </w:p>
    <w:p>
      <w:pPr>
        <w:tabs>
          <w:tab w:val="left" w:pos="851"/>
        </w:tabs>
        <w:autoSpaceDE w:val="0"/>
        <w:autoSpaceDN w:val="0"/>
        <w:adjustRightInd w:val="0"/>
        <w:snapToGrid w:val="0"/>
        <w:spacing w:line="360" w:lineRule="auto"/>
        <w:rPr>
          <w:rFonts w:ascii="宋体" w:hAnsi="宋体" w:cs="黑体"/>
          <w:bCs/>
          <w:color w:val="000000"/>
          <w:sz w:val="24"/>
        </w:rPr>
      </w:pPr>
      <w:r>
        <w:rPr>
          <w:rFonts w:hint="eastAsia" w:ascii="宋体" w:hAnsi="宋体" w:cs="黑体"/>
          <w:bCs/>
          <w:color w:val="000000"/>
          <w:sz w:val="24"/>
        </w:rPr>
        <w:t>以联合体形式参加政府采购活动的，其质疑应当由组成联合体的所有供应商共同提出。</w:t>
      </w:r>
    </w:p>
    <w:p>
      <w:pPr>
        <w:tabs>
          <w:tab w:val="left" w:pos="851"/>
        </w:tabs>
        <w:autoSpaceDE w:val="0"/>
        <w:autoSpaceDN w:val="0"/>
        <w:adjustRightInd w:val="0"/>
        <w:snapToGrid w:val="0"/>
        <w:spacing w:line="360" w:lineRule="auto"/>
        <w:rPr>
          <w:rFonts w:hAnsi="宋体"/>
          <w:snapToGrid w:val="0"/>
          <w:color w:val="000000"/>
          <w:sz w:val="24"/>
        </w:rPr>
      </w:pPr>
      <w:r>
        <w:rPr>
          <w:rFonts w:hint="eastAsia" w:hAnsi="宋体"/>
          <w:color w:val="000000"/>
          <w:sz w:val="24"/>
        </w:rPr>
        <w:t>供应商捏造事实、提供虚假材料或者以非法手段取得证明材料不能作为质疑的证明材料</w:t>
      </w:r>
      <w:r>
        <w:rPr>
          <w:rFonts w:hint="eastAsia" w:hAnsi="宋体"/>
          <w:snapToGrid w:val="0"/>
          <w:color w:val="000000"/>
          <w:sz w:val="24"/>
        </w:rPr>
        <w:t>。</w:t>
      </w:r>
    </w:p>
    <w:p>
      <w:pPr>
        <w:tabs>
          <w:tab w:val="left" w:pos="435"/>
          <w:tab w:val="left" w:pos="1134"/>
        </w:tabs>
        <w:autoSpaceDE w:val="0"/>
        <w:autoSpaceDN w:val="0"/>
        <w:adjustRightInd w:val="0"/>
        <w:snapToGrid w:val="0"/>
        <w:spacing w:line="360" w:lineRule="auto"/>
        <w:rPr>
          <w:rFonts w:ascii="宋体" w:hAnsi="宋体" w:cs="黑体"/>
          <w:bCs/>
          <w:color w:val="000000"/>
          <w:sz w:val="24"/>
        </w:rPr>
      </w:pPr>
      <w:r>
        <w:rPr>
          <w:rFonts w:hint="eastAsia" w:ascii="宋体" w:hAnsi="宋体"/>
          <w:color w:val="000000"/>
          <w:sz w:val="24"/>
        </w:rPr>
        <w:tab/>
      </w:r>
      <w:r>
        <w:rPr>
          <w:rFonts w:hint="eastAsia" w:ascii="宋体" w:hAnsi="宋体" w:cs="宋体"/>
          <w:color w:val="000000"/>
          <w:sz w:val="24"/>
          <w:lang w:eastAsia="zh-TW"/>
        </w:rPr>
        <w:t>采购人或者采购代理机构</w:t>
      </w:r>
      <w:r>
        <w:rPr>
          <w:rFonts w:hint="eastAsia" w:ascii="宋体" w:hAnsi="宋体"/>
          <w:color w:val="000000"/>
          <w:sz w:val="24"/>
        </w:rPr>
        <w:t>在收到质疑函后7个工作日内作出答复，并以书面形式通知质疑供应商和其他有关供应商，但答复内容不涉及商业秘密。</w:t>
      </w:r>
    </w:p>
    <w:p>
      <w:pPr>
        <w:tabs>
          <w:tab w:val="left" w:pos="567"/>
        </w:tabs>
        <w:autoSpaceDE w:val="0"/>
        <w:autoSpaceDN w:val="0"/>
        <w:adjustRightInd w:val="0"/>
        <w:snapToGrid w:val="0"/>
        <w:spacing w:line="360" w:lineRule="auto"/>
        <w:ind w:firstLine="480" w:firstLineChars="200"/>
        <w:rPr>
          <w:rFonts w:ascii="宋体" w:hAnsi="宋体"/>
          <w:b/>
          <w:bCs/>
          <w:color w:val="000000"/>
          <w:sz w:val="24"/>
        </w:rPr>
      </w:pPr>
      <w:r>
        <w:rPr>
          <w:rFonts w:hint="eastAsia" w:ascii="宋体" w:hAnsi="宋体"/>
          <w:color w:val="000000"/>
          <w:sz w:val="24"/>
        </w:rPr>
        <w:t>询问、质疑的期间开始之日，不计算在期间内。期间届满的最后一日是节假日的，以节假日后的第一日为期间届满的日期。期间不包括在途时间，询问和质疑文书在期满前交邮的，不算过期。</w:t>
      </w:r>
    </w:p>
    <w:p>
      <w:pPr>
        <w:tabs>
          <w:tab w:val="left" w:pos="567"/>
        </w:tabs>
        <w:autoSpaceDE w:val="0"/>
        <w:autoSpaceDN w:val="0"/>
        <w:adjustRightInd w:val="0"/>
        <w:snapToGrid w:val="0"/>
        <w:spacing w:line="360" w:lineRule="auto"/>
        <w:ind w:firstLine="480" w:firstLineChars="200"/>
        <w:rPr>
          <w:rFonts w:ascii="宋体" w:hAnsi="宋体" w:cs="黑体"/>
          <w:b/>
          <w:bCs/>
          <w:color w:val="000000"/>
          <w:sz w:val="24"/>
        </w:rPr>
      </w:pPr>
      <w:r>
        <w:rPr>
          <w:rFonts w:hint="eastAsia" w:ascii="宋体" w:hAnsi="宋体"/>
          <w:color w:val="000000"/>
          <w:sz w:val="24"/>
        </w:rPr>
        <w:t>对于捏造事实、滥用维权扰乱采购秩序的恶意质疑者或举证不全查无实据被驳回次数在一年内达三次以上，将纳入不良行为记录名单并承担相应的法律责任。</w:t>
      </w:r>
    </w:p>
    <w:p>
      <w:pPr>
        <w:tabs>
          <w:tab w:val="left" w:pos="567"/>
        </w:tabs>
        <w:autoSpaceDE w:val="0"/>
        <w:autoSpaceDN w:val="0"/>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采购代理机构接收质疑函的联系部门、联系电话和通讯地址等信息详见第二章投标资料表。</w:t>
      </w:r>
    </w:p>
    <w:p>
      <w:pPr>
        <w:tabs>
          <w:tab w:val="left" w:pos="567"/>
        </w:tabs>
        <w:autoSpaceDE w:val="0"/>
        <w:autoSpaceDN w:val="0"/>
        <w:adjustRightInd w:val="0"/>
        <w:snapToGrid w:val="0"/>
        <w:spacing w:line="360" w:lineRule="auto"/>
        <w:rPr>
          <w:rFonts w:ascii="宋体" w:hAnsi="宋体" w:cs="黑体"/>
          <w:bCs/>
          <w:color w:val="000000"/>
          <w:sz w:val="24"/>
        </w:rPr>
      </w:pPr>
      <w:r>
        <w:rPr>
          <w:rFonts w:hint="eastAsia" w:ascii="宋体" w:hAnsi="宋体"/>
          <w:color w:val="000000"/>
          <w:sz w:val="24"/>
        </w:rPr>
        <w:t>31.5投诉</w:t>
      </w:r>
    </w:p>
    <w:p>
      <w:pPr>
        <w:tabs>
          <w:tab w:val="left" w:pos="567"/>
        </w:tabs>
        <w:autoSpaceDE w:val="0"/>
        <w:autoSpaceDN w:val="0"/>
        <w:adjustRightInd w:val="0"/>
        <w:snapToGrid w:val="0"/>
        <w:spacing w:line="360" w:lineRule="auto"/>
        <w:ind w:firstLine="480" w:firstLineChars="200"/>
        <w:rPr>
          <w:rFonts w:ascii="宋体" w:hAnsi="宋体" w:cs="黑体"/>
          <w:b/>
          <w:bCs/>
          <w:color w:val="000000"/>
          <w:sz w:val="24"/>
        </w:rPr>
      </w:pPr>
      <w:r>
        <w:rPr>
          <w:rFonts w:hint="eastAsia" w:ascii="宋体" w:hAnsi="宋体"/>
          <w:color w:val="000000"/>
          <w:sz w:val="24"/>
        </w:rPr>
        <w:t>质疑供应商对</w:t>
      </w:r>
      <w:r>
        <w:rPr>
          <w:rFonts w:hint="eastAsia" w:ascii="宋体" w:hAnsi="宋体" w:cs="宋体"/>
          <w:color w:val="000000"/>
          <w:sz w:val="24"/>
          <w:lang w:eastAsia="zh-TW"/>
        </w:rPr>
        <w:t>采购人</w:t>
      </w:r>
      <w:r>
        <w:rPr>
          <w:rFonts w:hint="eastAsia" w:ascii="宋体" w:hAnsi="宋体" w:cs="宋体"/>
          <w:color w:val="000000"/>
          <w:sz w:val="24"/>
        </w:rPr>
        <w:t>、</w:t>
      </w:r>
      <w:r>
        <w:rPr>
          <w:rFonts w:hint="eastAsia" w:ascii="宋体" w:hAnsi="宋体" w:cs="宋体"/>
          <w:color w:val="000000"/>
          <w:sz w:val="24"/>
          <w:lang w:eastAsia="zh-TW"/>
        </w:rPr>
        <w:t>采购代理机构</w:t>
      </w:r>
      <w:r>
        <w:rPr>
          <w:rFonts w:hint="eastAsia" w:ascii="宋体" w:hAnsi="宋体"/>
          <w:color w:val="000000"/>
          <w:sz w:val="24"/>
        </w:rPr>
        <w:t>的质疑答复不满意，或</w:t>
      </w:r>
      <w:r>
        <w:rPr>
          <w:rFonts w:hint="eastAsia" w:ascii="宋体" w:hAnsi="宋体" w:cs="宋体"/>
          <w:color w:val="000000"/>
          <w:sz w:val="24"/>
          <w:lang w:eastAsia="zh-TW"/>
        </w:rPr>
        <w:t>采购人或者采购代理机构</w:t>
      </w:r>
      <w:r>
        <w:rPr>
          <w:rFonts w:hint="eastAsia" w:ascii="宋体" w:hAnsi="宋体"/>
          <w:color w:val="000000"/>
          <w:sz w:val="24"/>
        </w:rPr>
        <w:t>未在规定期限内作出答复的，可以在答复期满后十五个工作日内向招标文件规定的政府采购监督管理部门提起投诉。</w:t>
      </w:r>
      <w:bookmarkStart w:id="154" w:name="_Toc496089648"/>
      <w:bookmarkStart w:id="155" w:name="_Toc49090520"/>
      <w:bookmarkStart w:id="156" w:name="_Toc14577369"/>
      <w:bookmarkStart w:id="157" w:name="_Toc513029231"/>
      <w:bookmarkStart w:id="158" w:name="_Toc49090531"/>
      <w:bookmarkStart w:id="159" w:name="_Toc14577380"/>
      <w:bookmarkStart w:id="160" w:name="_Toc479757207"/>
      <w:bookmarkStart w:id="161" w:name="_Toc513029242"/>
    </w:p>
    <w:p>
      <w:pPr>
        <w:pStyle w:val="4"/>
        <w:keepNext w:val="0"/>
        <w:keepLines w:val="0"/>
        <w:snapToGrid w:val="0"/>
        <w:spacing w:before="0" w:after="0" w:line="360" w:lineRule="auto"/>
        <w:rPr>
          <w:rFonts w:ascii="宋体" w:hAnsi="宋体" w:eastAsia="宋体"/>
          <w:sz w:val="28"/>
        </w:rPr>
      </w:pPr>
      <w:bookmarkStart w:id="162" w:name="_Toc50913214"/>
      <w:r>
        <w:rPr>
          <w:rFonts w:hint="eastAsia" w:ascii="宋体" w:hAnsi="宋体" w:eastAsia="宋体"/>
          <w:sz w:val="28"/>
        </w:rPr>
        <w:t>六、</w:t>
      </w:r>
      <w:bookmarkEnd w:id="154"/>
      <w:r>
        <w:rPr>
          <w:rFonts w:hint="eastAsia" w:ascii="宋体" w:hAnsi="宋体" w:eastAsia="宋体"/>
          <w:sz w:val="28"/>
        </w:rPr>
        <w:t>磋商结果</w:t>
      </w:r>
      <w:bookmarkEnd w:id="162"/>
    </w:p>
    <w:p>
      <w:pPr>
        <w:pStyle w:val="6"/>
        <w:keepNext w:val="0"/>
        <w:snapToGrid w:val="0"/>
        <w:spacing w:before="0" w:after="0" w:line="360" w:lineRule="auto"/>
        <w:rPr>
          <w:rFonts w:ascii="宋体" w:hAnsi="宋体"/>
          <w:sz w:val="28"/>
        </w:rPr>
      </w:pPr>
      <w:bookmarkStart w:id="163" w:name="_Toc496089649"/>
      <w:bookmarkStart w:id="164" w:name="_Toc50913215"/>
      <w:r>
        <w:rPr>
          <w:rFonts w:ascii="宋体" w:hAnsi="宋体"/>
          <w:sz w:val="28"/>
        </w:rPr>
        <w:t>3</w:t>
      </w:r>
      <w:r>
        <w:rPr>
          <w:rFonts w:hint="eastAsia" w:ascii="宋体" w:hAnsi="宋体"/>
          <w:sz w:val="28"/>
        </w:rPr>
        <w:t>2．确认成交人</w:t>
      </w:r>
      <w:bookmarkEnd w:id="163"/>
      <w:bookmarkEnd w:id="164"/>
    </w:p>
    <w:p>
      <w:pPr>
        <w:adjustRightInd w:val="0"/>
        <w:snapToGrid w:val="0"/>
        <w:spacing w:line="360" w:lineRule="auto"/>
        <w:jc w:val="left"/>
        <w:rPr>
          <w:rFonts w:ascii="宋体" w:hAnsi="宋体"/>
          <w:color w:val="000000"/>
          <w:sz w:val="24"/>
        </w:rPr>
      </w:pPr>
      <w:r>
        <w:rPr>
          <w:rFonts w:hint="eastAsia" w:ascii="宋体" w:hAnsi="宋体"/>
          <w:color w:val="000000"/>
          <w:sz w:val="24"/>
        </w:rPr>
        <w:t>除了《供应商须知》第</w:t>
      </w:r>
      <w:r>
        <w:rPr>
          <w:rFonts w:ascii="宋体" w:hAnsi="宋体"/>
          <w:color w:val="000000"/>
          <w:sz w:val="24"/>
        </w:rPr>
        <w:t>3</w:t>
      </w:r>
      <w:r>
        <w:rPr>
          <w:rFonts w:hint="eastAsia" w:ascii="宋体" w:hAnsi="宋体"/>
          <w:color w:val="000000"/>
          <w:sz w:val="24"/>
        </w:rPr>
        <w:t>4</w:t>
      </w:r>
      <w:r>
        <w:rPr>
          <w:rFonts w:ascii="宋体" w:hAnsi="宋体"/>
          <w:color w:val="000000"/>
          <w:sz w:val="24"/>
        </w:rPr>
        <w:t>条</w:t>
      </w:r>
      <w:r>
        <w:rPr>
          <w:rFonts w:hint="eastAsia" w:ascii="宋体" w:hAnsi="宋体"/>
          <w:color w:val="000000"/>
          <w:sz w:val="24"/>
        </w:rPr>
        <w:t>规定的磋商终止情况之外，</w:t>
      </w:r>
      <w:r>
        <w:rPr>
          <w:rFonts w:hint="eastAsia" w:ascii="宋体" w:hAnsi="宋体"/>
          <w:sz w:val="24"/>
        </w:rPr>
        <w:t>磋商小组将按综合得分由高到低确定成交人。得分相同的，按最后报价由低到高顺序排列，得分且投标报价相同的，按技术指标优劣顺序排列。</w:t>
      </w:r>
    </w:p>
    <w:p>
      <w:pPr>
        <w:pStyle w:val="6"/>
        <w:keepNext w:val="0"/>
        <w:snapToGrid w:val="0"/>
        <w:spacing w:before="0" w:after="0" w:line="360" w:lineRule="auto"/>
        <w:rPr>
          <w:rFonts w:ascii="宋体" w:hAnsi="宋体"/>
          <w:sz w:val="28"/>
        </w:rPr>
      </w:pPr>
      <w:bookmarkStart w:id="165" w:name="_Toc496089650"/>
      <w:bookmarkStart w:id="166" w:name="_Toc50913216"/>
      <w:r>
        <w:rPr>
          <w:rFonts w:ascii="宋体" w:hAnsi="宋体"/>
          <w:sz w:val="28"/>
        </w:rPr>
        <w:t>3</w:t>
      </w:r>
      <w:r>
        <w:rPr>
          <w:rFonts w:hint="eastAsia" w:ascii="宋体" w:hAnsi="宋体"/>
          <w:sz w:val="28"/>
        </w:rPr>
        <w:t>3．成交公告及成交通知</w:t>
      </w:r>
      <w:bookmarkEnd w:id="165"/>
      <w:bookmarkEnd w:id="166"/>
    </w:p>
    <w:p>
      <w:pPr>
        <w:adjustRightInd w:val="0"/>
        <w:snapToGrid w:val="0"/>
        <w:spacing w:line="360" w:lineRule="auto"/>
        <w:jc w:val="left"/>
        <w:rPr>
          <w:rFonts w:ascii="宋体" w:hAnsi="宋体"/>
          <w:color w:val="000000"/>
          <w:sz w:val="24"/>
        </w:rPr>
      </w:pPr>
      <w:r>
        <w:rPr>
          <w:rFonts w:ascii="宋体" w:hAnsi="宋体"/>
          <w:color w:val="000000"/>
          <w:sz w:val="24"/>
        </w:rPr>
        <w:t>3</w:t>
      </w:r>
      <w:r>
        <w:rPr>
          <w:rFonts w:hint="eastAsia" w:ascii="宋体" w:hAnsi="宋体"/>
          <w:color w:val="000000"/>
          <w:sz w:val="24"/>
        </w:rPr>
        <w:t>3.</w:t>
      </w:r>
      <w:r>
        <w:rPr>
          <w:rFonts w:ascii="宋体" w:hAnsi="宋体"/>
          <w:color w:val="000000"/>
          <w:sz w:val="24"/>
        </w:rPr>
        <w:t xml:space="preserve">1 </w:t>
      </w:r>
      <w:r>
        <w:rPr>
          <w:rFonts w:hint="eastAsia" w:ascii="宋体" w:hAnsi="宋体"/>
          <w:color w:val="000000"/>
          <w:sz w:val="24"/>
        </w:rPr>
        <w:t>磋商组织人将在两个工作日内在</w:t>
      </w:r>
      <w:r>
        <w:rPr>
          <w:rFonts w:ascii="宋体" w:hAnsi="宋体"/>
          <w:color w:val="000000"/>
          <w:sz w:val="24"/>
        </w:rPr>
        <w:t>指定媒体</w:t>
      </w:r>
      <w:r>
        <w:rPr>
          <w:rFonts w:hint="eastAsia" w:ascii="宋体" w:hAnsi="宋体"/>
          <w:color w:val="000000"/>
          <w:sz w:val="24"/>
        </w:rPr>
        <w:t>发布成交公告，公告期限为一个工作日。</w:t>
      </w:r>
    </w:p>
    <w:p>
      <w:pPr>
        <w:adjustRightInd w:val="0"/>
        <w:snapToGrid w:val="0"/>
        <w:spacing w:line="360" w:lineRule="auto"/>
        <w:jc w:val="left"/>
        <w:rPr>
          <w:rFonts w:ascii="宋体" w:hAnsi="宋体"/>
          <w:color w:val="000000"/>
          <w:sz w:val="24"/>
        </w:rPr>
      </w:pPr>
      <w:r>
        <w:rPr>
          <w:rFonts w:ascii="宋体" w:hAnsi="宋体"/>
          <w:color w:val="000000"/>
          <w:sz w:val="24"/>
        </w:rPr>
        <w:t>3</w:t>
      </w:r>
      <w:r>
        <w:rPr>
          <w:rFonts w:hint="eastAsia" w:ascii="宋体" w:hAnsi="宋体"/>
          <w:color w:val="000000"/>
          <w:sz w:val="24"/>
        </w:rPr>
        <w:t>3.</w:t>
      </w:r>
      <w:r>
        <w:rPr>
          <w:rFonts w:ascii="宋体" w:hAnsi="宋体"/>
          <w:color w:val="000000"/>
          <w:sz w:val="24"/>
        </w:rPr>
        <w:t>2</w:t>
      </w:r>
      <w:r>
        <w:rPr>
          <w:rFonts w:hint="eastAsia" w:ascii="宋体" w:hAnsi="宋体"/>
          <w:color w:val="000000"/>
          <w:sz w:val="24"/>
        </w:rPr>
        <w:t>成交</w:t>
      </w:r>
      <w:r>
        <w:rPr>
          <w:rFonts w:ascii="宋体" w:hAnsi="宋体"/>
          <w:color w:val="000000"/>
          <w:sz w:val="24"/>
        </w:rPr>
        <w:t>公告发布后，</w:t>
      </w:r>
      <w:r>
        <w:rPr>
          <w:rFonts w:hint="eastAsia" w:ascii="宋体" w:hAnsi="宋体"/>
          <w:color w:val="000000"/>
          <w:sz w:val="24"/>
        </w:rPr>
        <w:t>磋商组织人</w:t>
      </w:r>
      <w:r>
        <w:rPr>
          <w:rFonts w:ascii="宋体" w:hAnsi="宋体"/>
          <w:color w:val="000000"/>
          <w:sz w:val="24"/>
        </w:rPr>
        <w:t>将及时向</w:t>
      </w:r>
      <w:r>
        <w:rPr>
          <w:rFonts w:hint="eastAsia" w:ascii="宋体" w:hAnsi="宋体"/>
          <w:color w:val="000000"/>
          <w:sz w:val="24"/>
        </w:rPr>
        <w:t>成交供应商</w:t>
      </w:r>
      <w:r>
        <w:rPr>
          <w:rFonts w:ascii="宋体" w:hAnsi="宋体"/>
          <w:color w:val="000000"/>
          <w:sz w:val="24"/>
        </w:rPr>
        <w:t>发出《</w:t>
      </w:r>
      <w:r>
        <w:rPr>
          <w:rFonts w:hint="eastAsia" w:ascii="宋体" w:hAnsi="宋体"/>
          <w:color w:val="000000"/>
          <w:sz w:val="24"/>
        </w:rPr>
        <w:t>成交</w:t>
      </w:r>
      <w:r>
        <w:rPr>
          <w:rFonts w:ascii="宋体" w:hAnsi="宋体"/>
          <w:color w:val="000000"/>
          <w:sz w:val="24"/>
        </w:rPr>
        <w:t>通知书》通知</w:t>
      </w:r>
      <w:r>
        <w:rPr>
          <w:rFonts w:hint="eastAsia" w:ascii="宋体" w:hAnsi="宋体"/>
          <w:color w:val="000000"/>
          <w:sz w:val="24"/>
        </w:rPr>
        <w:t>成交</w:t>
      </w:r>
      <w:r>
        <w:rPr>
          <w:rFonts w:ascii="宋体" w:hAnsi="宋体"/>
          <w:color w:val="000000"/>
          <w:sz w:val="24"/>
        </w:rPr>
        <w:t>。《</w:t>
      </w:r>
      <w:r>
        <w:rPr>
          <w:rFonts w:hint="eastAsia" w:ascii="宋体" w:hAnsi="宋体"/>
          <w:color w:val="000000"/>
          <w:sz w:val="24"/>
        </w:rPr>
        <w:t>成交</w:t>
      </w:r>
      <w:r>
        <w:rPr>
          <w:rFonts w:ascii="宋体" w:hAnsi="宋体"/>
          <w:color w:val="000000"/>
          <w:sz w:val="24"/>
        </w:rPr>
        <w:t>通知书》对</w:t>
      </w:r>
      <w:r>
        <w:rPr>
          <w:rFonts w:hint="eastAsia" w:ascii="宋体" w:hAnsi="宋体"/>
          <w:color w:val="000000"/>
          <w:sz w:val="24"/>
        </w:rPr>
        <w:t>磋商组织</w:t>
      </w:r>
      <w:r>
        <w:rPr>
          <w:rFonts w:ascii="宋体" w:hAnsi="宋体"/>
          <w:color w:val="000000"/>
          <w:sz w:val="24"/>
        </w:rPr>
        <w:t>人和</w:t>
      </w:r>
      <w:r>
        <w:rPr>
          <w:rFonts w:hint="eastAsia" w:ascii="宋体" w:hAnsi="宋体"/>
          <w:color w:val="000000"/>
          <w:sz w:val="24"/>
        </w:rPr>
        <w:t>供应商</w:t>
      </w:r>
      <w:r>
        <w:rPr>
          <w:rFonts w:ascii="宋体" w:hAnsi="宋体"/>
          <w:color w:val="000000"/>
          <w:sz w:val="24"/>
        </w:rPr>
        <w:t>均具有法律约束力。</w:t>
      </w:r>
    </w:p>
    <w:p>
      <w:pPr>
        <w:adjustRightInd w:val="0"/>
        <w:snapToGrid w:val="0"/>
        <w:spacing w:line="360" w:lineRule="auto"/>
        <w:jc w:val="left"/>
        <w:rPr>
          <w:rFonts w:ascii="宋体" w:hAnsi="宋体"/>
          <w:color w:val="000000"/>
          <w:sz w:val="24"/>
        </w:rPr>
      </w:pPr>
      <w:r>
        <w:rPr>
          <w:rFonts w:ascii="宋体" w:hAnsi="宋体"/>
          <w:color w:val="000000"/>
          <w:sz w:val="24"/>
        </w:rPr>
        <w:t>3</w:t>
      </w:r>
      <w:r>
        <w:rPr>
          <w:rFonts w:hint="eastAsia" w:ascii="宋体" w:hAnsi="宋体"/>
          <w:color w:val="000000"/>
          <w:sz w:val="24"/>
        </w:rPr>
        <w:t>3.</w:t>
      </w:r>
      <w:r>
        <w:rPr>
          <w:rFonts w:ascii="宋体" w:hAnsi="宋体"/>
          <w:color w:val="000000"/>
          <w:sz w:val="24"/>
        </w:rPr>
        <w:t xml:space="preserve">3 </w:t>
      </w:r>
      <w:r>
        <w:rPr>
          <w:rFonts w:hint="eastAsia" w:ascii="宋体" w:hAnsi="宋体"/>
          <w:bCs/>
          <w:color w:val="000000"/>
          <w:kern w:val="0"/>
          <w:sz w:val="24"/>
        </w:rPr>
        <w:t>成交公告同时也是对其他</w:t>
      </w:r>
      <w:r>
        <w:rPr>
          <w:rFonts w:hint="eastAsia" w:ascii="宋体" w:hAnsi="宋体"/>
          <w:color w:val="000000"/>
          <w:sz w:val="24"/>
        </w:rPr>
        <w:t>未成交供应商的未成交通知。</w:t>
      </w:r>
    </w:p>
    <w:p>
      <w:pPr>
        <w:pStyle w:val="6"/>
        <w:keepNext w:val="0"/>
        <w:snapToGrid w:val="0"/>
        <w:spacing w:before="0" w:after="0" w:line="360" w:lineRule="auto"/>
        <w:rPr>
          <w:rFonts w:ascii="宋体" w:hAnsi="宋体"/>
          <w:sz w:val="28"/>
        </w:rPr>
      </w:pPr>
      <w:bookmarkStart w:id="167" w:name="_Toc496089651"/>
      <w:bookmarkStart w:id="168" w:name="_Toc50913217"/>
      <w:r>
        <w:rPr>
          <w:rFonts w:ascii="宋体" w:hAnsi="宋体"/>
          <w:sz w:val="28"/>
        </w:rPr>
        <w:t>3</w:t>
      </w:r>
      <w:r>
        <w:rPr>
          <w:rFonts w:hint="eastAsia" w:ascii="宋体" w:hAnsi="宋体"/>
          <w:sz w:val="28"/>
        </w:rPr>
        <w:t>4．投标文件的处理</w:t>
      </w:r>
      <w:bookmarkEnd w:id="167"/>
      <w:bookmarkEnd w:id="168"/>
    </w:p>
    <w:p>
      <w:pPr>
        <w:adjustRightInd w:val="0"/>
        <w:snapToGrid w:val="0"/>
        <w:spacing w:line="360" w:lineRule="auto"/>
        <w:jc w:val="left"/>
        <w:rPr>
          <w:rFonts w:ascii="宋体" w:hAnsi="宋体"/>
          <w:color w:val="000000"/>
          <w:sz w:val="24"/>
        </w:rPr>
      </w:pPr>
      <w:r>
        <w:rPr>
          <w:rFonts w:hint="eastAsia" w:ascii="宋体" w:hAnsi="宋体"/>
          <w:color w:val="000000"/>
          <w:sz w:val="24"/>
        </w:rPr>
        <w:t>所有在磋商会议上被接受的响应文件都将作为档案保存</w:t>
      </w:r>
      <w:r>
        <w:rPr>
          <w:rFonts w:ascii="宋体" w:hAnsi="宋体"/>
          <w:color w:val="000000"/>
          <w:sz w:val="24"/>
        </w:rPr>
        <w:t>,不论</w:t>
      </w:r>
      <w:r>
        <w:rPr>
          <w:rFonts w:hint="eastAsia" w:ascii="宋体" w:hAnsi="宋体"/>
          <w:color w:val="000000"/>
          <w:sz w:val="24"/>
        </w:rPr>
        <w:t>成交</w:t>
      </w:r>
      <w:r>
        <w:rPr>
          <w:rFonts w:ascii="宋体" w:hAnsi="宋体"/>
          <w:color w:val="000000"/>
          <w:sz w:val="24"/>
        </w:rPr>
        <w:t>与否，</w:t>
      </w:r>
      <w:r>
        <w:rPr>
          <w:rFonts w:hint="eastAsia" w:ascii="宋体" w:hAnsi="宋体"/>
          <w:color w:val="000000"/>
          <w:sz w:val="24"/>
        </w:rPr>
        <w:t>磋商组织</w:t>
      </w:r>
      <w:r>
        <w:rPr>
          <w:rFonts w:ascii="宋体" w:hAnsi="宋体"/>
          <w:color w:val="000000"/>
          <w:sz w:val="24"/>
        </w:rPr>
        <w:t>人均不退回</w:t>
      </w:r>
      <w:r>
        <w:rPr>
          <w:rFonts w:hint="eastAsia" w:ascii="宋体" w:hAnsi="宋体"/>
          <w:color w:val="000000"/>
          <w:sz w:val="24"/>
        </w:rPr>
        <w:t>响应</w:t>
      </w:r>
      <w:r>
        <w:rPr>
          <w:rFonts w:ascii="宋体" w:hAnsi="宋体"/>
          <w:color w:val="000000"/>
          <w:sz w:val="24"/>
        </w:rPr>
        <w:t>文件。</w:t>
      </w:r>
    </w:p>
    <w:p>
      <w:pPr>
        <w:pStyle w:val="6"/>
        <w:keepNext w:val="0"/>
        <w:snapToGrid w:val="0"/>
        <w:spacing w:before="0" w:after="0" w:line="360" w:lineRule="auto"/>
        <w:rPr>
          <w:rFonts w:ascii="宋体" w:hAnsi="宋体"/>
          <w:sz w:val="28"/>
        </w:rPr>
      </w:pPr>
      <w:bookmarkStart w:id="169" w:name="_Toc496089652"/>
      <w:bookmarkStart w:id="170" w:name="_Toc50913218"/>
      <w:r>
        <w:rPr>
          <w:rFonts w:ascii="宋体" w:hAnsi="宋体"/>
          <w:sz w:val="28"/>
        </w:rPr>
        <w:t>3</w:t>
      </w:r>
      <w:r>
        <w:rPr>
          <w:rFonts w:hint="eastAsia" w:ascii="宋体" w:hAnsi="宋体"/>
          <w:sz w:val="28"/>
        </w:rPr>
        <w:t>5．</w:t>
      </w:r>
      <w:bookmarkEnd w:id="169"/>
      <w:r>
        <w:rPr>
          <w:rFonts w:hint="eastAsia" w:ascii="宋体" w:hAnsi="宋体"/>
          <w:sz w:val="28"/>
        </w:rPr>
        <w:t>磋商终止</w:t>
      </w:r>
      <w:bookmarkEnd w:id="170"/>
    </w:p>
    <w:p>
      <w:pPr>
        <w:snapToGrid w:val="0"/>
        <w:spacing w:line="360" w:lineRule="auto"/>
        <w:jc w:val="left"/>
        <w:rPr>
          <w:rFonts w:ascii="宋体" w:hAnsi="宋体"/>
          <w:color w:val="000000"/>
          <w:sz w:val="24"/>
        </w:rPr>
      </w:pPr>
      <w:r>
        <w:rPr>
          <w:rFonts w:hint="eastAsia" w:ascii="宋体" w:hAnsi="宋体"/>
          <w:color w:val="000000"/>
          <w:sz w:val="24"/>
        </w:rPr>
        <w:t>在磋商文件递交日期截止后，参加磋商的供应商不足三家；或者在磋商时，发现符合专业条件的供应商或对磋商文件做出实质响应的供应商不足三家；磋商小组确定为磋商终止的，磋商组织人将通过相关媒体发布终止公告。</w:t>
      </w:r>
      <w:bookmarkEnd w:id="155"/>
      <w:bookmarkEnd w:id="156"/>
      <w:bookmarkEnd w:id="157"/>
      <w:bookmarkStart w:id="171" w:name="_Hlt26670534"/>
      <w:bookmarkEnd w:id="171"/>
      <w:bookmarkStart w:id="172" w:name="_Hlt26954768"/>
      <w:bookmarkEnd w:id="172"/>
      <w:bookmarkStart w:id="173" w:name="_Hlt26954876"/>
      <w:bookmarkEnd w:id="173"/>
      <w:bookmarkStart w:id="174" w:name="_Toc513029235"/>
      <w:bookmarkStart w:id="175" w:name="_Toc14577373"/>
      <w:bookmarkStart w:id="176" w:name="_Toc49090524"/>
    </w:p>
    <w:p>
      <w:pPr>
        <w:pStyle w:val="4"/>
        <w:keepNext w:val="0"/>
        <w:keepLines w:val="0"/>
        <w:snapToGrid w:val="0"/>
        <w:spacing w:before="0" w:after="0" w:line="360" w:lineRule="auto"/>
        <w:rPr>
          <w:rFonts w:ascii="宋体" w:hAnsi="宋体" w:eastAsia="宋体"/>
          <w:sz w:val="28"/>
          <w:szCs w:val="28"/>
        </w:rPr>
      </w:pPr>
      <w:bookmarkStart w:id="177" w:name="_Toc50913219"/>
      <w:r>
        <w:rPr>
          <w:rFonts w:hint="eastAsia" w:ascii="宋体" w:hAnsi="宋体" w:eastAsia="宋体"/>
          <w:sz w:val="28"/>
          <w:szCs w:val="28"/>
        </w:rPr>
        <w:t>六、授予合同</w:t>
      </w:r>
      <w:bookmarkEnd w:id="174"/>
      <w:bookmarkEnd w:id="175"/>
      <w:bookmarkEnd w:id="176"/>
      <w:bookmarkEnd w:id="177"/>
      <w:bookmarkStart w:id="178" w:name="_Hlt26954878"/>
      <w:bookmarkEnd w:id="178"/>
      <w:bookmarkStart w:id="179" w:name="_Hlt26954770"/>
      <w:bookmarkEnd w:id="179"/>
      <w:bookmarkStart w:id="180" w:name="_Hlt26670537"/>
      <w:bookmarkEnd w:id="180"/>
      <w:bookmarkStart w:id="181" w:name="_Hlt26954772"/>
      <w:bookmarkEnd w:id="181"/>
      <w:bookmarkStart w:id="182" w:name="_Hlt26954880"/>
      <w:bookmarkEnd w:id="182"/>
    </w:p>
    <w:p>
      <w:pPr>
        <w:pStyle w:val="6"/>
        <w:keepNext w:val="0"/>
        <w:snapToGrid w:val="0"/>
        <w:spacing w:before="0" w:after="0" w:line="360" w:lineRule="auto"/>
        <w:rPr>
          <w:rFonts w:ascii="宋体" w:hAnsi="宋体"/>
          <w:sz w:val="28"/>
        </w:rPr>
      </w:pPr>
      <w:bookmarkStart w:id="183" w:name="_Hlt26954884"/>
      <w:bookmarkEnd w:id="183"/>
      <w:bookmarkStart w:id="184" w:name="_Hlt26954792"/>
      <w:bookmarkEnd w:id="184"/>
      <w:bookmarkStart w:id="185" w:name="_Hlt26954794"/>
      <w:bookmarkEnd w:id="185"/>
      <w:bookmarkStart w:id="186" w:name="_Hlt26954886"/>
      <w:bookmarkEnd w:id="186"/>
      <w:bookmarkStart w:id="187" w:name="_Toc496089654"/>
      <w:bookmarkStart w:id="188" w:name="_Toc50913220"/>
      <w:r>
        <w:rPr>
          <w:rFonts w:hint="eastAsia" w:ascii="宋体" w:hAnsi="宋体"/>
          <w:sz w:val="28"/>
        </w:rPr>
        <w:t>36．合同授予</w:t>
      </w:r>
      <w:bookmarkEnd w:id="187"/>
      <w:bookmarkEnd w:id="188"/>
    </w:p>
    <w:p>
      <w:pPr>
        <w:adjustRightInd w:val="0"/>
        <w:snapToGrid w:val="0"/>
        <w:spacing w:line="360" w:lineRule="auto"/>
        <w:jc w:val="left"/>
        <w:rPr>
          <w:rFonts w:ascii="宋体" w:hAnsi="宋体"/>
          <w:color w:val="000000"/>
          <w:sz w:val="24"/>
        </w:rPr>
      </w:pPr>
      <w:r>
        <w:rPr>
          <w:rFonts w:hint="eastAsia" w:ascii="宋体" w:hAnsi="宋体"/>
          <w:color w:val="000000"/>
          <w:sz w:val="24"/>
        </w:rPr>
        <w:t>除了成交人无法履行合同义务之外，磋商组织人将把合同授予根据《供应商须知》第</w:t>
      </w:r>
      <w:r>
        <w:rPr>
          <w:rFonts w:ascii="宋体" w:hAnsi="宋体"/>
          <w:color w:val="000000"/>
          <w:sz w:val="24"/>
        </w:rPr>
        <w:t>3</w:t>
      </w:r>
      <w:r>
        <w:rPr>
          <w:rFonts w:hint="eastAsia" w:ascii="宋体" w:hAnsi="宋体"/>
          <w:color w:val="000000"/>
          <w:sz w:val="24"/>
        </w:rPr>
        <w:t>1</w:t>
      </w:r>
      <w:r>
        <w:rPr>
          <w:rFonts w:ascii="宋体" w:hAnsi="宋体"/>
          <w:color w:val="000000"/>
          <w:sz w:val="24"/>
        </w:rPr>
        <w:t>条规定所确定的</w:t>
      </w:r>
      <w:r>
        <w:rPr>
          <w:rFonts w:hint="eastAsia" w:ascii="宋体" w:hAnsi="宋体"/>
          <w:color w:val="000000"/>
          <w:sz w:val="24"/>
        </w:rPr>
        <w:t>成交</w:t>
      </w:r>
      <w:r>
        <w:rPr>
          <w:rFonts w:ascii="宋体" w:hAnsi="宋体"/>
          <w:color w:val="000000"/>
          <w:sz w:val="24"/>
        </w:rPr>
        <w:t>人。</w:t>
      </w:r>
    </w:p>
    <w:p>
      <w:pPr>
        <w:pStyle w:val="6"/>
        <w:keepNext w:val="0"/>
        <w:snapToGrid w:val="0"/>
        <w:spacing w:before="0" w:after="0" w:line="360" w:lineRule="auto"/>
        <w:rPr>
          <w:rFonts w:ascii="宋体" w:hAnsi="宋体"/>
          <w:b w:val="0"/>
          <w:color w:val="000000"/>
          <w:sz w:val="24"/>
        </w:rPr>
      </w:pPr>
      <w:bookmarkStart w:id="189" w:name="_Toc496089655"/>
      <w:bookmarkStart w:id="190" w:name="_Toc50913221"/>
      <w:r>
        <w:rPr>
          <w:rFonts w:hint="eastAsia" w:ascii="宋体" w:hAnsi="宋体"/>
          <w:sz w:val="28"/>
        </w:rPr>
        <w:t>37．签订合同</w:t>
      </w:r>
      <w:bookmarkEnd w:id="189"/>
      <w:bookmarkEnd w:id="190"/>
    </w:p>
    <w:p>
      <w:pPr>
        <w:snapToGrid w:val="0"/>
        <w:spacing w:line="360" w:lineRule="auto"/>
        <w:rPr>
          <w:rFonts w:ascii="宋体" w:hAnsi="宋体"/>
          <w:sz w:val="24"/>
        </w:rPr>
      </w:pPr>
      <w:r>
        <w:rPr>
          <w:rFonts w:hint="eastAsia" w:ascii="宋体" w:hAnsi="宋体"/>
          <w:color w:val="000000"/>
          <w:sz w:val="24"/>
        </w:rPr>
        <w:t>成交人与采购人应当在《成交通知书》发出之日起</w:t>
      </w:r>
      <w:r>
        <w:rPr>
          <w:rFonts w:ascii="宋体" w:hAnsi="宋体"/>
          <w:color w:val="000000"/>
          <w:sz w:val="24"/>
        </w:rPr>
        <w:t>30日内签订政府采购合同。</w:t>
      </w:r>
    </w:p>
    <w:p>
      <w:pPr>
        <w:rPr>
          <w:rFonts w:ascii="宋体" w:hAnsi="宋体"/>
          <w:b/>
          <w:sz w:val="48"/>
        </w:rPr>
      </w:pPr>
      <w:bookmarkStart w:id="191" w:name="_8_到货要求"/>
      <w:bookmarkEnd w:id="191"/>
      <w:bookmarkStart w:id="192" w:name="_第四章__投标书"/>
      <w:bookmarkEnd w:id="192"/>
      <w:bookmarkStart w:id="193" w:name="_Hlt26553610"/>
      <w:bookmarkEnd w:id="193"/>
    </w:p>
    <w:p>
      <w:pPr>
        <w:rPr>
          <w:rFonts w:ascii="宋体" w:hAnsi="宋体"/>
          <w:b/>
          <w:sz w:val="48"/>
        </w:rPr>
      </w:pPr>
    </w:p>
    <w:p>
      <w:pPr>
        <w:pStyle w:val="3"/>
        <w:keepNext w:val="0"/>
        <w:snapToGrid w:val="0"/>
        <w:spacing w:line="360" w:lineRule="auto"/>
        <w:rPr>
          <w:rFonts w:ascii="宋体" w:hAnsi="宋体" w:eastAsia="宋体"/>
          <w:b/>
          <w:sz w:val="44"/>
        </w:rPr>
      </w:pPr>
    </w:p>
    <w:p>
      <w:pPr>
        <w:widowControl/>
        <w:jc w:val="center"/>
        <w:rPr>
          <w:rFonts w:ascii="宋体" w:hAnsi="宋体"/>
          <w:b/>
          <w:sz w:val="44"/>
        </w:rPr>
      </w:pPr>
      <w:bookmarkStart w:id="194" w:name="_Toc50913222"/>
      <w:r>
        <w:rPr>
          <w:rFonts w:ascii="宋体" w:hAnsi="宋体"/>
          <w:b/>
          <w:sz w:val="44"/>
        </w:rPr>
        <w:br w:type="page"/>
      </w:r>
      <w:r>
        <w:rPr>
          <w:rFonts w:hint="eastAsia" w:ascii="宋体" w:hAnsi="宋体"/>
          <w:b/>
          <w:sz w:val="44"/>
        </w:rPr>
        <w:t>第三章 评审办法</w:t>
      </w:r>
      <w:bookmarkEnd w:id="194"/>
    </w:p>
    <w:p>
      <w:pPr>
        <w:pStyle w:val="2"/>
      </w:pPr>
    </w:p>
    <w:p>
      <w:pPr>
        <w:pStyle w:val="4"/>
        <w:keepNext w:val="0"/>
        <w:keepLines w:val="0"/>
        <w:snapToGrid w:val="0"/>
        <w:spacing w:before="0" w:after="0" w:line="360" w:lineRule="auto"/>
        <w:rPr>
          <w:rFonts w:ascii="宋体" w:hAnsi="宋体" w:eastAsia="宋体"/>
          <w:sz w:val="28"/>
        </w:rPr>
      </w:pPr>
      <w:bookmarkStart w:id="195" w:name="_Toc496089657"/>
      <w:bookmarkStart w:id="196" w:name="_Toc50913223"/>
      <w:r>
        <w:rPr>
          <w:rFonts w:hint="eastAsia" w:ascii="宋体" w:hAnsi="宋体" w:eastAsia="宋体"/>
          <w:sz w:val="28"/>
        </w:rPr>
        <w:t>一. 评审项目及评审主体</w:t>
      </w:r>
      <w:bookmarkEnd w:id="195"/>
      <w:bookmarkEnd w:id="196"/>
    </w:p>
    <w:p>
      <w:pPr>
        <w:pStyle w:val="6"/>
        <w:snapToGrid w:val="0"/>
        <w:spacing w:before="0" w:after="0" w:line="360" w:lineRule="auto"/>
        <w:rPr>
          <w:rFonts w:ascii="宋体" w:hAnsi="宋体"/>
          <w:sz w:val="28"/>
        </w:rPr>
      </w:pPr>
      <w:bookmarkStart w:id="197" w:name="_Toc496089658"/>
      <w:bookmarkStart w:id="198" w:name="_Toc50913224"/>
      <w:r>
        <w:rPr>
          <w:rFonts w:hint="eastAsia" w:ascii="宋体" w:hAnsi="宋体"/>
          <w:sz w:val="28"/>
        </w:rPr>
        <w:t>1.评审项目</w:t>
      </w:r>
      <w:bookmarkEnd w:id="197"/>
      <w:bookmarkEnd w:id="198"/>
    </w:p>
    <w:p>
      <w:pPr>
        <w:snapToGrid w:val="0"/>
        <w:spacing w:line="360" w:lineRule="auto"/>
        <w:jc w:val="left"/>
        <w:rPr>
          <w:rFonts w:ascii="宋体" w:hAnsi="宋体"/>
          <w:sz w:val="24"/>
        </w:rPr>
      </w:pPr>
      <w:r>
        <w:rPr>
          <w:rFonts w:hint="eastAsia" w:ascii="宋体" w:hAnsi="宋体"/>
          <w:sz w:val="24"/>
        </w:rPr>
        <w:t>评审分为资格性审查、符合性审查和详细评审。</w:t>
      </w:r>
    </w:p>
    <w:p>
      <w:pPr>
        <w:pStyle w:val="6"/>
        <w:snapToGrid w:val="0"/>
        <w:spacing w:before="0" w:after="0" w:line="360" w:lineRule="auto"/>
        <w:rPr>
          <w:rFonts w:ascii="宋体" w:hAnsi="宋体"/>
          <w:sz w:val="28"/>
        </w:rPr>
      </w:pPr>
      <w:bookmarkStart w:id="199" w:name="_Toc50913225"/>
      <w:bookmarkStart w:id="200" w:name="_Toc496089659"/>
      <w:r>
        <w:rPr>
          <w:rFonts w:hint="eastAsia" w:ascii="宋体" w:hAnsi="宋体"/>
          <w:sz w:val="28"/>
        </w:rPr>
        <w:t>2.资格性审查</w:t>
      </w:r>
      <w:bookmarkEnd w:id="199"/>
      <w:bookmarkEnd w:id="200"/>
    </w:p>
    <w:p>
      <w:pPr>
        <w:snapToGrid w:val="0"/>
        <w:spacing w:line="360" w:lineRule="auto"/>
        <w:jc w:val="left"/>
        <w:rPr>
          <w:rFonts w:ascii="宋体" w:hAnsi="宋体"/>
          <w:sz w:val="24"/>
        </w:rPr>
      </w:pPr>
      <w:r>
        <w:rPr>
          <w:rFonts w:hint="eastAsia" w:ascii="宋体" w:hAnsi="宋体"/>
          <w:sz w:val="24"/>
        </w:rPr>
        <w:t>2.1评审内容：资格性审查是指对供应商资格证明、投标保证金等按磋商文件要求进行逐一评审。经评审不符合磋商文件要求的，不得进入符合性审查阶段。</w:t>
      </w:r>
    </w:p>
    <w:p>
      <w:pPr>
        <w:pStyle w:val="6"/>
        <w:snapToGrid w:val="0"/>
        <w:spacing w:before="0" w:after="0" w:line="360" w:lineRule="auto"/>
        <w:rPr>
          <w:rFonts w:ascii="宋体" w:hAnsi="宋体"/>
          <w:sz w:val="28"/>
        </w:rPr>
      </w:pPr>
      <w:bookmarkStart w:id="201" w:name="_Toc496089660"/>
      <w:bookmarkStart w:id="202" w:name="_Toc50913226"/>
      <w:r>
        <w:rPr>
          <w:rFonts w:hint="eastAsia" w:ascii="宋体" w:hAnsi="宋体"/>
          <w:sz w:val="28"/>
        </w:rPr>
        <w:t>3. 符合性审查</w:t>
      </w:r>
      <w:bookmarkEnd w:id="201"/>
      <w:bookmarkEnd w:id="202"/>
    </w:p>
    <w:p>
      <w:pPr>
        <w:snapToGrid w:val="0"/>
        <w:spacing w:line="360" w:lineRule="auto"/>
        <w:jc w:val="left"/>
        <w:rPr>
          <w:rFonts w:ascii="宋体" w:hAnsi="宋体"/>
          <w:sz w:val="24"/>
        </w:rPr>
      </w:pPr>
      <w:r>
        <w:rPr>
          <w:rFonts w:hint="eastAsia" w:ascii="宋体" w:hAnsi="宋体"/>
          <w:sz w:val="24"/>
        </w:rPr>
        <w:t>3.1符合性审查是对投标文件的有效性、完整性和对响应文件的响应程度进行相应审查。</w:t>
      </w:r>
    </w:p>
    <w:p>
      <w:pPr>
        <w:snapToGrid w:val="0"/>
        <w:spacing w:line="360" w:lineRule="auto"/>
        <w:jc w:val="left"/>
        <w:rPr>
          <w:rFonts w:ascii="宋体" w:hAnsi="宋体"/>
          <w:sz w:val="24"/>
        </w:rPr>
      </w:pPr>
      <w:r>
        <w:rPr>
          <w:rFonts w:hint="eastAsia" w:ascii="宋体" w:hAnsi="宋体"/>
          <w:sz w:val="24"/>
        </w:rPr>
        <w:t>3.3符合性审查由本项目组建的磋商小组独立完成。</w:t>
      </w:r>
    </w:p>
    <w:p>
      <w:pPr>
        <w:pStyle w:val="6"/>
        <w:snapToGrid w:val="0"/>
        <w:spacing w:before="0" w:after="0" w:line="360" w:lineRule="auto"/>
        <w:rPr>
          <w:rFonts w:ascii="宋体" w:hAnsi="宋体"/>
          <w:sz w:val="28"/>
        </w:rPr>
      </w:pPr>
      <w:bookmarkStart w:id="203" w:name="_Toc50913227"/>
      <w:bookmarkStart w:id="204" w:name="_Toc496089661"/>
      <w:r>
        <w:rPr>
          <w:rFonts w:hint="eastAsia" w:ascii="宋体" w:hAnsi="宋体"/>
          <w:sz w:val="28"/>
        </w:rPr>
        <w:t>4. 详细评审</w:t>
      </w:r>
      <w:bookmarkEnd w:id="203"/>
      <w:bookmarkEnd w:id="204"/>
    </w:p>
    <w:p>
      <w:pPr>
        <w:snapToGrid w:val="0"/>
        <w:spacing w:line="360" w:lineRule="auto"/>
        <w:jc w:val="left"/>
        <w:rPr>
          <w:rFonts w:ascii="宋体" w:hAnsi="宋体"/>
          <w:sz w:val="24"/>
        </w:rPr>
      </w:pPr>
      <w:r>
        <w:rPr>
          <w:rFonts w:hint="eastAsia" w:ascii="宋体" w:hAnsi="宋体"/>
          <w:sz w:val="24"/>
        </w:rPr>
        <w:t>4.1详细评审是依据综合评分法相关规定，对最后报价、商务部分、技术部分、服务承诺等评分因素进行综合评价，最后汇总分值进行的评审。</w:t>
      </w:r>
    </w:p>
    <w:p>
      <w:pPr>
        <w:snapToGrid w:val="0"/>
        <w:spacing w:line="360" w:lineRule="auto"/>
        <w:jc w:val="left"/>
        <w:rPr>
          <w:rFonts w:ascii="宋体" w:hAnsi="宋体"/>
          <w:sz w:val="24"/>
        </w:rPr>
      </w:pPr>
      <w:r>
        <w:rPr>
          <w:rFonts w:hint="eastAsia" w:ascii="宋体" w:hAnsi="宋体"/>
          <w:sz w:val="24"/>
        </w:rPr>
        <w:t>4.2详细审查由本项目组建的磋商小组会独立完成。</w:t>
      </w:r>
    </w:p>
    <w:p>
      <w:pPr>
        <w:pStyle w:val="4"/>
        <w:keepNext w:val="0"/>
        <w:keepLines w:val="0"/>
        <w:snapToGrid w:val="0"/>
        <w:spacing w:before="0" w:after="0" w:line="360" w:lineRule="auto"/>
        <w:rPr>
          <w:rFonts w:ascii="宋体" w:hAnsi="宋体" w:eastAsia="宋体"/>
          <w:sz w:val="28"/>
        </w:rPr>
      </w:pPr>
      <w:bookmarkStart w:id="205" w:name="_Toc496089662"/>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5"/>
      </w:pPr>
    </w:p>
    <w:p>
      <w:pPr>
        <w:pStyle w:val="5"/>
      </w:pPr>
    </w:p>
    <w:p>
      <w:pPr>
        <w:pStyle w:val="5"/>
      </w:pPr>
    </w:p>
    <w:p>
      <w:pPr>
        <w:pStyle w:val="5"/>
      </w:pPr>
    </w:p>
    <w:p>
      <w:pPr>
        <w:pStyle w:val="4"/>
        <w:keepNext w:val="0"/>
        <w:keepLines w:val="0"/>
        <w:snapToGrid w:val="0"/>
        <w:spacing w:before="0" w:after="0" w:line="360" w:lineRule="auto"/>
        <w:jc w:val="both"/>
        <w:rPr>
          <w:rFonts w:ascii="宋体" w:hAnsi="宋体" w:eastAsia="宋体"/>
          <w:sz w:val="28"/>
        </w:rPr>
      </w:pPr>
    </w:p>
    <w:p>
      <w:pPr>
        <w:pStyle w:val="4"/>
        <w:keepNext w:val="0"/>
        <w:keepLines w:val="0"/>
        <w:snapToGrid w:val="0"/>
        <w:spacing w:before="0" w:after="0" w:line="360" w:lineRule="auto"/>
        <w:rPr>
          <w:rFonts w:ascii="宋体" w:hAnsi="宋体" w:eastAsia="宋体"/>
          <w:sz w:val="28"/>
        </w:rPr>
      </w:pPr>
      <w:bookmarkStart w:id="206" w:name="_Toc50913228"/>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p>
    <w:p>
      <w:pPr>
        <w:pStyle w:val="4"/>
        <w:keepNext w:val="0"/>
        <w:keepLines w:val="0"/>
        <w:snapToGrid w:val="0"/>
        <w:spacing w:before="0" w:after="0" w:line="360" w:lineRule="auto"/>
        <w:rPr>
          <w:rFonts w:ascii="宋体" w:hAnsi="宋体" w:eastAsia="宋体"/>
          <w:sz w:val="28"/>
        </w:rPr>
      </w:pPr>
      <w:r>
        <w:rPr>
          <w:rFonts w:hint="eastAsia" w:ascii="宋体" w:hAnsi="宋体" w:eastAsia="宋体"/>
          <w:sz w:val="28"/>
        </w:rPr>
        <w:t>二.评审内容及标准</w:t>
      </w:r>
      <w:bookmarkEnd w:id="205"/>
      <w:bookmarkEnd w:id="206"/>
      <w:bookmarkStart w:id="207" w:name="_Toc496089663"/>
    </w:p>
    <w:p>
      <w:pPr>
        <w:pStyle w:val="4"/>
        <w:keepNext w:val="0"/>
        <w:keepLines w:val="0"/>
        <w:snapToGrid w:val="0"/>
        <w:spacing w:before="0" w:after="0" w:line="360" w:lineRule="auto"/>
        <w:jc w:val="both"/>
        <w:rPr>
          <w:rFonts w:ascii="宋体" w:hAnsi="宋体"/>
          <w:sz w:val="28"/>
        </w:rPr>
      </w:pPr>
      <w:bookmarkStart w:id="208" w:name="_Toc50913229"/>
      <w:r>
        <w:rPr>
          <w:rFonts w:hint="eastAsia" w:ascii="宋体" w:hAnsi="宋体"/>
          <w:sz w:val="28"/>
        </w:rPr>
        <w:t>5. 资格性审查</w:t>
      </w:r>
      <w:bookmarkEnd w:id="207"/>
      <w:bookmarkEnd w:id="208"/>
      <w:bookmarkStart w:id="209" w:name="_Toc496089664"/>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（1）、供应商须符合《中华人民共和国政府采购法》第二十二条规定；</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（9）、供应商须提供法人授权委托书及有效身份证明原件或法人身份证明及有效身份证明原件；</w:t>
      </w:r>
    </w:p>
    <w:p>
      <w:pPr>
        <w:spacing w:line="36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（10）、本项目不接受联合体投标。</w:t>
      </w:r>
    </w:p>
    <w:p>
      <w:pPr>
        <w:pStyle w:val="5"/>
      </w:pPr>
    </w:p>
    <w:p>
      <w:pPr>
        <w:pStyle w:val="5"/>
        <w:ind w:left="202" w:leftChars="96" w:firstLine="0"/>
        <w:rPr>
          <w:b/>
          <w:sz w:val="40"/>
          <w:szCs w:val="28"/>
        </w:rPr>
      </w:pPr>
      <w:r>
        <w:rPr>
          <w:rFonts w:hint="eastAsia"/>
          <w:b/>
          <w:sz w:val="40"/>
          <w:szCs w:val="28"/>
        </w:rPr>
        <w:t>开标时，请各投标人随身携带以上有效证件原件以备查验，否则其磋商文件将被拒绝评审。</w:t>
      </w:r>
      <w:bookmarkStart w:id="210" w:name="_Toc50913237"/>
    </w:p>
    <w:p>
      <w:pPr>
        <w:pStyle w:val="5"/>
        <w:ind w:left="202" w:leftChars="96" w:firstLine="0"/>
        <w:rPr>
          <w:b/>
          <w:sz w:val="40"/>
          <w:szCs w:val="28"/>
        </w:rPr>
      </w:pPr>
    </w:p>
    <w:p>
      <w:pPr>
        <w:pStyle w:val="6"/>
        <w:snapToGrid w:val="0"/>
        <w:spacing w:before="0" w:after="0" w:line="360" w:lineRule="auto"/>
        <w:rPr>
          <w:rFonts w:ascii="宋体" w:hAnsi="宋体"/>
          <w:sz w:val="28"/>
        </w:rPr>
      </w:pPr>
      <w:r>
        <w:rPr>
          <w:rFonts w:hint="eastAsia" w:ascii="宋体" w:hAnsi="宋体"/>
          <w:sz w:val="28"/>
        </w:rPr>
        <w:t>6.符合性审查</w:t>
      </w:r>
      <w:bookmarkEnd w:id="209"/>
      <w:bookmarkEnd w:id="210"/>
    </w:p>
    <w:tbl>
      <w:tblPr>
        <w:tblStyle w:val="3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374"/>
        <w:gridCol w:w="2469"/>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序号</w:t>
            </w:r>
          </w:p>
        </w:tc>
        <w:tc>
          <w:tcPr>
            <w:tcW w:w="3374" w:type="dxa"/>
            <w:vAlign w:val="center"/>
          </w:tcPr>
          <w:p>
            <w:pPr>
              <w:spacing w:line="360" w:lineRule="auto"/>
              <w:rPr>
                <w:rFonts w:ascii="宋体" w:hAnsi="宋体"/>
                <w:sz w:val="24"/>
              </w:rPr>
            </w:pPr>
            <w:r>
              <w:rPr>
                <w:rFonts w:hint="eastAsia" w:ascii="宋体" w:hAnsi="宋体"/>
                <w:sz w:val="24"/>
              </w:rPr>
              <w:t>评审</w:t>
            </w:r>
            <w:r>
              <w:rPr>
                <w:rFonts w:ascii="宋体" w:hAnsi="宋体"/>
                <w:sz w:val="24"/>
              </w:rPr>
              <w:t>因素</w:t>
            </w:r>
          </w:p>
        </w:tc>
        <w:tc>
          <w:tcPr>
            <w:tcW w:w="2469" w:type="dxa"/>
            <w:vAlign w:val="center"/>
          </w:tcPr>
          <w:p>
            <w:pPr>
              <w:spacing w:line="360" w:lineRule="auto"/>
              <w:rPr>
                <w:rFonts w:ascii="宋体" w:hAnsi="宋体"/>
                <w:sz w:val="24"/>
              </w:rPr>
            </w:pPr>
            <w:r>
              <w:rPr>
                <w:rFonts w:hint="eastAsia" w:ascii="宋体" w:hAnsi="宋体"/>
                <w:sz w:val="24"/>
              </w:rPr>
              <w:t>评审</w:t>
            </w:r>
            <w:r>
              <w:rPr>
                <w:rFonts w:ascii="宋体" w:hAnsi="宋体"/>
                <w:sz w:val="24"/>
              </w:rPr>
              <w:t>标准</w:t>
            </w:r>
          </w:p>
        </w:tc>
        <w:tc>
          <w:tcPr>
            <w:tcW w:w="2941" w:type="dxa"/>
            <w:vAlign w:val="center"/>
          </w:tcPr>
          <w:p>
            <w:pPr>
              <w:spacing w:line="360" w:lineRule="auto"/>
              <w:rPr>
                <w:rFonts w:ascii="宋体" w:hAnsi="宋体"/>
                <w:sz w:val="24"/>
              </w:rPr>
            </w:pPr>
            <w:r>
              <w:rPr>
                <w:rFonts w:hint="eastAsia" w:ascii="宋体" w:hAnsi="宋体"/>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1</w:t>
            </w:r>
          </w:p>
        </w:tc>
        <w:tc>
          <w:tcPr>
            <w:tcW w:w="3374" w:type="dxa"/>
            <w:vAlign w:val="center"/>
          </w:tcPr>
          <w:p>
            <w:pPr>
              <w:spacing w:line="360" w:lineRule="auto"/>
              <w:rPr>
                <w:rFonts w:ascii="宋体" w:hAnsi="宋体"/>
                <w:sz w:val="24"/>
              </w:rPr>
            </w:pPr>
            <w:r>
              <w:rPr>
                <w:rFonts w:hint="eastAsia" w:ascii="宋体" w:hAnsi="宋体"/>
                <w:sz w:val="24"/>
              </w:rPr>
              <w:t>投标书</w:t>
            </w:r>
          </w:p>
        </w:tc>
        <w:tc>
          <w:tcPr>
            <w:tcW w:w="2469" w:type="dxa"/>
            <w:vAlign w:val="center"/>
          </w:tcPr>
          <w:p>
            <w:pPr>
              <w:spacing w:line="360" w:lineRule="auto"/>
              <w:rPr>
                <w:rFonts w:ascii="宋体" w:hAnsi="宋体"/>
                <w:sz w:val="24"/>
              </w:rPr>
            </w:pPr>
            <w:r>
              <w:rPr>
                <w:rFonts w:ascii="宋体" w:hAnsi="宋体"/>
                <w:sz w:val="24"/>
              </w:rPr>
              <w:t>有效</w:t>
            </w:r>
          </w:p>
        </w:tc>
        <w:tc>
          <w:tcPr>
            <w:tcW w:w="2941" w:type="dxa"/>
            <w:vAlign w:val="center"/>
          </w:tcPr>
          <w:p>
            <w:pPr>
              <w:spacing w:line="360" w:lineRule="auto"/>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2</w:t>
            </w:r>
          </w:p>
        </w:tc>
        <w:tc>
          <w:tcPr>
            <w:tcW w:w="3374" w:type="dxa"/>
            <w:vAlign w:val="center"/>
          </w:tcPr>
          <w:p>
            <w:pPr>
              <w:spacing w:line="360" w:lineRule="auto"/>
              <w:rPr>
                <w:rFonts w:ascii="宋体" w:hAnsi="宋体"/>
                <w:sz w:val="24"/>
              </w:rPr>
            </w:pPr>
            <w:r>
              <w:rPr>
                <w:rFonts w:hint="eastAsia" w:ascii="宋体" w:hAnsi="宋体"/>
                <w:sz w:val="24"/>
              </w:rPr>
              <w:t>法定代表人资格</w:t>
            </w:r>
          </w:p>
        </w:tc>
        <w:tc>
          <w:tcPr>
            <w:tcW w:w="2469" w:type="dxa"/>
            <w:vAlign w:val="center"/>
          </w:tcPr>
          <w:p>
            <w:pPr>
              <w:spacing w:line="360" w:lineRule="auto"/>
              <w:rPr>
                <w:rFonts w:ascii="宋体" w:hAnsi="宋体"/>
                <w:sz w:val="24"/>
              </w:rPr>
            </w:pPr>
            <w:r>
              <w:rPr>
                <w:rFonts w:ascii="宋体" w:hAnsi="宋体"/>
                <w:sz w:val="24"/>
              </w:rPr>
              <w:t>有效</w:t>
            </w:r>
          </w:p>
        </w:tc>
        <w:tc>
          <w:tcPr>
            <w:tcW w:w="2941" w:type="dxa"/>
            <w:vAlign w:val="center"/>
          </w:tcPr>
          <w:p>
            <w:pPr>
              <w:spacing w:line="360" w:lineRule="auto"/>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3</w:t>
            </w:r>
          </w:p>
        </w:tc>
        <w:tc>
          <w:tcPr>
            <w:tcW w:w="3374" w:type="dxa"/>
            <w:vAlign w:val="center"/>
          </w:tcPr>
          <w:p>
            <w:pPr>
              <w:spacing w:line="360" w:lineRule="auto"/>
              <w:rPr>
                <w:rFonts w:ascii="宋体" w:hAnsi="宋体"/>
                <w:sz w:val="24"/>
              </w:rPr>
            </w:pPr>
            <w:r>
              <w:rPr>
                <w:rFonts w:hint="eastAsia" w:ascii="宋体" w:hAnsi="宋体"/>
                <w:sz w:val="24"/>
              </w:rPr>
              <w:t>授权代理人资格</w:t>
            </w:r>
          </w:p>
        </w:tc>
        <w:tc>
          <w:tcPr>
            <w:tcW w:w="2469" w:type="dxa"/>
            <w:vAlign w:val="center"/>
          </w:tcPr>
          <w:p>
            <w:pPr>
              <w:rPr>
                <w:rFonts w:ascii="宋体" w:hAnsi="宋体"/>
                <w:sz w:val="24"/>
              </w:rPr>
            </w:pPr>
            <w:r>
              <w:rPr>
                <w:rFonts w:ascii="宋体" w:hAnsi="宋体"/>
                <w:sz w:val="24"/>
              </w:rPr>
              <w:t>有效</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4</w:t>
            </w:r>
          </w:p>
        </w:tc>
        <w:tc>
          <w:tcPr>
            <w:tcW w:w="3374" w:type="dxa"/>
            <w:vAlign w:val="center"/>
          </w:tcPr>
          <w:p>
            <w:pPr>
              <w:snapToGrid w:val="0"/>
              <w:rPr>
                <w:rFonts w:ascii="宋体" w:hAnsi="宋体"/>
                <w:sz w:val="24"/>
              </w:rPr>
            </w:pPr>
            <w:r>
              <w:rPr>
                <w:rFonts w:hint="eastAsia" w:ascii="宋体" w:hAnsi="宋体"/>
                <w:sz w:val="24"/>
              </w:rPr>
              <w:t>报价低于预算</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5</w:t>
            </w:r>
          </w:p>
        </w:tc>
        <w:tc>
          <w:tcPr>
            <w:tcW w:w="3374" w:type="dxa"/>
            <w:vAlign w:val="center"/>
          </w:tcPr>
          <w:p>
            <w:pPr>
              <w:snapToGrid w:val="0"/>
              <w:rPr>
                <w:rFonts w:ascii="宋体" w:hAnsi="宋体"/>
                <w:sz w:val="24"/>
              </w:rPr>
            </w:pPr>
            <w:r>
              <w:rPr>
                <w:rFonts w:hint="eastAsia" w:ascii="宋体" w:hAnsi="宋体"/>
                <w:sz w:val="24"/>
              </w:rPr>
              <w:t>按招标文件要求编制、装订</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spacing w:line="360" w:lineRule="auto"/>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6</w:t>
            </w:r>
          </w:p>
        </w:tc>
        <w:tc>
          <w:tcPr>
            <w:tcW w:w="3374" w:type="dxa"/>
            <w:vAlign w:val="center"/>
          </w:tcPr>
          <w:p>
            <w:pPr>
              <w:snapToGrid w:val="0"/>
              <w:rPr>
                <w:rFonts w:ascii="宋体" w:hAnsi="宋体"/>
                <w:sz w:val="24"/>
              </w:rPr>
            </w:pPr>
            <w:r>
              <w:rPr>
                <w:rFonts w:hint="eastAsia" w:ascii="宋体" w:hAnsi="宋体"/>
                <w:sz w:val="24"/>
              </w:rPr>
              <w:t>按招标文件要求签署、盖章</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7</w:t>
            </w:r>
          </w:p>
        </w:tc>
        <w:tc>
          <w:tcPr>
            <w:tcW w:w="3374" w:type="dxa"/>
            <w:vAlign w:val="center"/>
          </w:tcPr>
          <w:p>
            <w:pPr>
              <w:snapToGrid w:val="0"/>
              <w:rPr>
                <w:rFonts w:ascii="宋体" w:hAnsi="宋体"/>
                <w:sz w:val="24"/>
              </w:rPr>
            </w:pPr>
            <w:r>
              <w:rPr>
                <w:rFonts w:hint="eastAsia" w:ascii="宋体" w:hAnsi="宋体"/>
                <w:sz w:val="24"/>
              </w:rPr>
              <w:t>按招标文件完整填写相关内容</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spacing w:line="360" w:lineRule="auto"/>
              <w:rPr>
                <w:rFonts w:ascii="宋体" w:hAnsi="宋体"/>
                <w:sz w:val="24"/>
              </w:rPr>
            </w:pPr>
            <w:r>
              <w:rPr>
                <w:rFonts w:hint="eastAsia" w:ascii="宋体" w:hAnsi="宋体"/>
                <w:sz w:val="24"/>
              </w:rPr>
              <w:t>8</w:t>
            </w:r>
          </w:p>
        </w:tc>
        <w:tc>
          <w:tcPr>
            <w:tcW w:w="3374" w:type="dxa"/>
            <w:vAlign w:val="center"/>
          </w:tcPr>
          <w:p>
            <w:pPr>
              <w:snapToGrid w:val="0"/>
              <w:rPr>
                <w:rFonts w:ascii="宋体" w:hAnsi="宋体"/>
                <w:sz w:val="24"/>
              </w:rPr>
            </w:pPr>
            <w:r>
              <w:rPr>
                <w:rFonts w:hint="eastAsia" w:ascii="宋体" w:hAnsi="宋体"/>
                <w:kern w:val="0"/>
                <w:sz w:val="24"/>
              </w:rPr>
              <w:t>投标文件的有效性、完整性是否响应招标文件要求，是否对招标文件的实质性要求作出响应。</w:t>
            </w:r>
          </w:p>
        </w:tc>
        <w:tc>
          <w:tcPr>
            <w:tcW w:w="2469" w:type="dxa"/>
            <w:vAlign w:val="center"/>
          </w:tcPr>
          <w:p>
            <w:pPr>
              <w:rPr>
                <w:rFonts w:ascii="宋体" w:hAnsi="宋体"/>
                <w:sz w:val="24"/>
              </w:rPr>
            </w:pPr>
            <w:r>
              <w:rPr>
                <w:rFonts w:hint="eastAsia" w:ascii="宋体" w:hAnsi="宋体"/>
                <w:sz w:val="24"/>
              </w:rPr>
              <w:t>满足要求</w:t>
            </w:r>
          </w:p>
        </w:tc>
        <w:tc>
          <w:tcPr>
            <w:tcW w:w="2941" w:type="dxa"/>
            <w:vAlign w:val="center"/>
          </w:tcPr>
          <w:p>
            <w:pPr>
              <w:rPr>
                <w:rFonts w:ascii="宋体" w:hAnsi="宋体"/>
                <w:sz w:val="24"/>
              </w:rPr>
            </w:pPr>
            <w:r>
              <w:rPr>
                <w:rFonts w:hint="eastAsia" w:ascii="宋体" w:hAnsi="宋体"/>
                <w:sz w:val="24"/>
              </w:rPr>
              <w:t>合格与否</w:t>
            </w:r>
          </w:p>
        </w:tc>
      </w:tr>
    </w:tbl>
    <w:p>
      <w:pPr>
        <w:pStyle w:val="6"/>
        <w:snapToGrid w:val="0"/>
        <w:spacing w:before="0" w:after="0" w:line="360" w:lineRule="auto"/>
        <w:rPr>
          <w:rFonts w:ascii="宋体" w:hAnsi="宋体"/>
          <w:sz w:val="28"/>
        </w:rPr>
      </w:pPr>
      <w:bookmarkStart w:id="211" w:name="_Toc496089665"/>
      <w:bookmarkStart w:id="212" w:name="_Toc50913238"/>
      <w:r>
        <w:rPr>
          <w:rFonts w:hint="eastAsia" w:ascii="宋体" w:hAnsi="宋体"/>
          <w:sz w:val="28"/>
        </w:rPr>
        <w:t>7. 详细评审</w:t>
      </w:r>
      <w:bookmarkEnd w:id="211"/>
      <w:bookmarkEnd w:id="212"/>
    </w:p>
    <w:p>
      <w:pPr>
        <w:snapToGrid w:val="0"/>
        <w:spacing w:line="360" w:lineRule="auto"/>
        <w:rPr>
          <w:rFonts w:ascii="宋体" w:hAnsi="宋体"/>
          <w:sz w:val="24"/>
        </w:rPr>
      </w:pPr>
      <w:r>
        <w:rPr>
          <w:rFonts w:hint="eastAsia" w:ascii="宋体" w:hAnsi="宋体"/>
          <w:sz w:val="24"/>
        </w:rPr>
        <w:t>7.1 采用综合评分法。</w:t>
      </w:r>
    </w:p>
    <w:p>
      <w:pPr>
        <w:snapToGrid w:val="0"/>
        <w:spacing w:line="360" w:lineRule="auto"/>
        <w:rPr>
          <w:rFonts w:ascii="宋体" w:hAnsi="宋体"/>
          <w:sz w:val="24"/>
        </w:rPr>
      </w:pPr>
      <w:r>
        <w:rPr>
          <w:rFonts w:hint="eastAsia" w:ascii="宋体" w:hAnsi="宋体"/>
          <w:sz w:val="24"/>
        </w:rPr>
        <w:t>7.2 评标因素</w:t>
      </w:r>
    </w:p>
    <w:p>
      <w:pPr>
        <w:snapToGrid w:val="0"/>
        <w:spacing w:line="360" w:lineRule="auto"/>
        <w:rPr>
          <w:rFonts w:ascii="宋体" w:hAnsi="宋体"/>
          <w:sz w:val="24"/>
        </w:rPr>
      </w:pPr>
      <w:r>
        <w:rPr>
          <w:rFonts w:hint="eastAsia" w:ascii="宋体" w:hAnsi="宋体"/>
          <w:sz w:val="24"/>
        </w:rPr>
        <w:t>（1）投标报价、（2）商务、技术部分</w:t>
      </w:r>
    </w:p>
    <w:p>
      <w:pPr>
        <w:tabs>
          <w:tab w:val="left" w:pos="180"/>
        </w:tabs>
        <w:snapToGrid w:val="0"/>
        <w:spacing w:line="360" w:lineRule="auto"/>
        <w:rPr>
          <w:rFonts w:ascii="宋体" w:hAnsi="宋体"/>
          <w:sz w:val="24"/>
        </w:rPr>
      </w:pPr>
      <w:r>
        <w:rPr>
          <w:rFonts w:hint="eastAsia" w:ascii="宋体" w:hAnsi="宋体"/>
          <w:sz w:val="24"/>
        </w:rPr>
        <w:t>7.3评分标准</w:t>
      </w:r>
    </w:p>
    <w:p>
      <w:pPr>
        <w:snapToGrid w:val="0"/>
        <w:spacing w:line="360" w:lineRule="auto"/>
        <w:rPr>
          <w:rFonts w:ascii="宋体" w:hAnsi="宋体"/>
          <w:sz w:val="24"/>
        </w:rPr>
      </w:pPr>
      <w:r>
        <w:rPr>
          <w:rFonts w:hint="eastAsia" w:ascii="宋体" w:hAnsi="宋体"/>
          <w:sz w:val="24"/>
        </w:rPr>
        <w:t>7.3.1磋商报价30分</w:t>
      </w:r>
    </w:p>
    <w:p>
      <w:pPr>
        <w:widowControl/>
        <w:snapToGrid w:val="0"/>
        <w:spacing w:line="360" w:lineRule="auto"/>
        <w:jc w:val="left"/>
        <w:rPr>
          <w:rFonts w:ascii="宋体" w:hAnsi="宋体"/>
          <w:sz w:val="24"/>
        </w:rPr>
      </w:pPr>
      <w:r>
        <w:rPr>
          <w:rFonts w:hint="eastAsia" w:ascii="宋体" w:hAnsi="宋体"/>
          <w:sz w:val="24"/>
        </w:rPr>
        <w:t xml:space="preserve">投标报价得分的计算： </w:t>
      </w:r>
    </w:p>
    <w:p>
      <w:pPr>
        <w:widowControl/>
        <w:snapToGrid w:val="0"/>
        <w:spacing w:line="360" w:lineRule="auto"/>
        <w:jc w:val="left"/>
        <w:rPr>
          <w:rFonts w:ascii="宋体" w:hAnsi="宋体"/>
          <w:sz w:val="24"/>
        </w:rPr>
      </w:pPr>
      <w:r>
        <w:rPr>
          <w:rFonts w:hint="eastAsia" w:ascii="宋体" w:hAnsi="宋体"/>
          <w:sz w:val="24"/>
        </w:rPr>
        <w:t>1、投标报价的确定：</w:t>
      </w:r>
    </w:p>
    <w:p>
      <w:pPr>
        <w:widowControl/>
        <w:snapToGrid w:val="0"/>
        <w:spacing w:line="360" w:lineRule="auto"/>
        <w:jc w:val="left"/>
        <w:rPr>
          <w:rFonts w:ascii="宋体" w:hAnsi="宋体"/>
          <w:sz w:val="24"/>
        </w:rPr>
      </w:pPr>
      <w:r>
        <w:rPr>
          <w:rFonts w:hint="eastAsia" w:ascii="宋体" w:hAnsi="宋体"/>
          <w:sz w:val="24"/>
        </w:rPr>
        <w:t>投标报价＝经评审后的投标报价</w:t>
      </w:r>
    </w:p>
    <w:p>
      <w:pPr>
        <w:widowControl/>
        <w:snapToGrid w:val="0"/>
        <w:spacing w:line="360" w:lineRule="auto"/>
        <w:jc w:val="left"/>
        <w:rPr>
          <w:rFonts w:ascii="宋体" w:hAnsi="宋体"/>
          <w:sz w:val="24"/>
        </w:rPr>
      </w:pPr>
      <w:r>
        <w:rPr>
          <w:rFonts w:hint="eastAsia" w:ascii="宋体" w:hAnsi="宋体"/>
          <w:sz w:val="24"/>
        </w:rPr>
        <w:t>2、评标基准价的确定：</w:t>
      </w:r>
    </w:p>
    <w:p>
      <w:pPr>
        <w:rPr>
          <w:rFonts w:ascii="宋体" w:hAnsi="宋体"/>
          <w:sz w:val="24"/>
        </w:rPr>
      </w:pPr>
      <w:r>
        <w:rPr>
          <w:rFonts w:hint="eastAsia" w:ascii="宋体" w:hAnsi="宋体"/>
          <w:sz w:val="24"/>
        </w:rPr>
        <w:t>满足磋商文件要求且最后报价最低的投标企业的价格为磋商基准价，其价格分为满分。其他投标企业的价格分统一按照下列公式计算：</w:t>
      </w:r>
    </w:p>
    <w:p>
      <w:pPr>
        <w:rPr>
          <w:rFonts w:ascii="宋体" w:hAnsi="宋体"/>
          <w:sz w:val="24"/>
        </w:rPr>
      </w:pPr>
      <w:r>
        <w:rPr>
          <w:rFonts w:hint="eastAsia" w:ascii="宋体" w:hAnsi="宋体"/>
          <w:sz w:val="24"/>
        </w:rPr>
        <w:t>磋商报价得分=（磋商基准价/最后磋商报价）×30（保留两位小数）</w:t>
      </w:r>
    </w:p>
    <w:p>
      <w:r>
        <w:rPr>
          <w:rFonts w:hint="eastAsia" w:ascii="宋体" w:hAnsi="宋体"/>
          <w:bCs/>
          <w:color w:val="000000"/>
          <w:sz w:val="24"/>
        </w:rPr>
        <w:t>（</w:t>
      </w:r>
      <w:r>
        <w:rPr>
          <w:rFonts w:hint="eastAsia" w:ascii="宋体" w:hAnsi="宋体"/>
          <w:sz w:val="24"/>
        </w:rPr>
        <w:t>2）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pPr>
        <w:rPr>
          <w:rFonts w:ascii="宋体" w:hAnsi="宋体"/>
          <w:sz w:val="24"/>
        </w:rPr>
      </w:pPr>
      <w:bookmarkStart w:id="213" w:name="_Toc496089666"/>
    </w:p>
    <w:p>
      <w:pPr>
        <w:pStyle w:val="2"/>
      </w:pPr>
      <w:r>
        <w:br w:type="page"/>
      </w:r>
    </w:p>
    <w:p>
      <w:pPr>
        <w:spacing w:line="360" w:lineRule="auto"/>
        <w:jc w:val="center"/>
        <w:rPr>
          <w:rFonts w:ascii="宋体" w:hAnsi="宋体" w:cs="仿宋"/>
          <w:b/>
          <w:kern w:val="30"/>
          <w:sz w:val="28"/>
          <w:szCs w:val="32"/>
        </w:rPr>
      </w:pPr>
      <w:r>
        <w:rPr>
          <w:rFonts w:hint="eastAsia" w:ascii="宋体" w:hAnsi="宋体" w:cs="仿宋"/>
          <w:b/>
          <w:kern w:val="30"/>
          <w:sz w:val="28"/>
          <w:szCs w:val="32"/>
        </w:rPr>
        <w:t>商务、技术、经济评分表</w:t>
      </w:r>
    </w:p>
    <w:p>
      <w:pPr>
        <w:jc w:val="left"/>
        <w:rPr>
          <w:rFonts w:ascii="宋体" w:hAnsi="宋体" w:cs="仿宋"/>
          <w:kern w:val="30"/>
          <w:sz w:val="22"/>
        </w:rPr>
      </w:pPr>
      <w:r>
        <w:rPr>
          <w:rFonts w:hint="eastAsia" w:ascii="宋体" w:hAnsi="宋体" w:cs="仿宋"/>
          <w:kern w:val="30"/>
          <w:sz w:val="22"/>
        </w:rPr>
        <w:t xml:space="preserve">经济部分（占总分的30%） </w:t>
      </w:r>
    </w:p>
    <w:tbl>
      <w:tblPr>
        <w:tblStyle w:val="39"/>
        <w:tblW w:w="100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48"/>
        <w:gridCol w:w="948"/>
        <w:gridCol w:w="63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blHeader/>
          <w:jc w:val="center"/>
        </w:trPr>
        <w:tc>
          <w:tcPr>
            <w:tcW w:w="274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评审项目</w:t>
            </w:r>
          </w:p>
        </w:tc>
        <w:tc>
          <w:tcPr>
            <w:tcW w:w="94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分值</w:t>
            </w:r>
          </w:p>
        </w:tc>
        <w:tc>
          <w:tcPr>
            <w:tcW w:w="637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274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投标报价</w:t>
            </w:r>
          </w:p>
        </w:tc>
        <w:tc>
          <w:tcPr>
            <w:tcW w:w="94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30分</w:t>
            </w:r>
          </w:p>
        </w:tc>
        <w:tc>
          <w:tcPr>
            <w:tcW w:w="637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综合评分法中的经济分统一采用低价优先法计算，即满足招标文件要求且投标价格最低的投标报价为评标基准价，其价格分为满分。其他投标人的价格分统一按照下列公式计算：投标报价得分=（投标基准价/投标报价）×30（保留两位小数）。</w:t>
            </w:r>
          </w:p>
        </w:tc>
      </w:tr>
    </w:tbl>
    <w:p>
      <w:pPr>
        <w:jc w:val="left"/>
        <w:rPr>
          <w:rFonts w:ascii="宋体" w:hAnsi="宋体" w:cs="仿宋"/>
          <w:kern w:val="30"/>
          <w:sz w:val="22"/>
        </w:rPr>
      </w:pPr>
      <w:r>
        <w:rPr>
          <w:rFonts w:hint="eastAsia" w:ascii="宋体" w:hAnsi="宋体" w:cs="仿宋"/>
          <w:kern w:val="30"/>
          <w:sz w:val="22"/>
        </w:rPr>
        <w:t>商务、技术部分（占总分的70%）</w:t>
      </w:r>
    </w:p>
    <w:tbl>
      <w:tblPr>
        <w:tblStyle w:val="39"/>
        <w:tblW w:w="10207" w:type="dxa"/>
        <w:tblInd w:w="0" w:type="dxa"/>
        <w:tblLayout w:type="fixed"/>
        <w:tblCellMar>
          <w:top w:w="0" w:type="dxa"/>
          <w:left w:w="108" w:type="dxa"/>
          <w:bottom w:w="0" w:type="dxa"/>
          <w:right w:w="108" w:type="dxa"/>
        </w:tblCellMar>
      </w:tblPr>
      <w:tblGrid>
        <w:gridCol w:w="1702"/>
        <w:gridCol w:w="709"/>
        <w:gridCol w:w="6379"/>
        <w:gridCol w:w="708"/>
        <w:gridCol w:w="709"/>
      </w:tblGrid>
      <w:tr>
        <w:tblPrEx>
          <w:tblCellMar>
            <w:top w:w="0" w:type="dxa"/>
            <w:left w:w="108" w:type="dxa"/>
            <w:bottom w:w="0" w:type="dxa"/>
            <w:right w:w="108" w:type="dxa"/>
          </w:tblCellMar>
        </w:tblPrEx>
        <w:trPr>
          <w:trHeight w:val="374" w:hRule="atLeast"/>
        </w:trPr>
        <w:tc>
          <w:tcPr>
            <w:tcW w:w="170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评审项目</w:t>
            </w:r>
          </w:p>
        </w:tc>
        <w:tc>
          <w:tcPr>
            <w:tcW w:w="709" w:type="dxa"/>
            <w:tcBorders>
              <w:top w:val="single" w:color="auto" w:sz="4" w:space="0"/>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分值</w:t>
            </w:r>
          </w:p>
        </w:tc>
        <w:tc>
          <w:tcPr>
            <w:tcW w:w="6379" w:type="dxa"/>
            <w:tcBorders>
              <w:top w:val="single" w:color="auto" w:sz="4" w:space="0"/>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评分标准</w:t>
            </w:r>
          </w:p>
        </w:tc>
        <w:tc>
          <w:tcPr>
            <w:tcW w:w="708" w:type="dxa"/>
            <w:tcBorders>
              <w:top w:val="single" w:color="auto" w:sz="4" w:space="0"/>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r>
              <w:rPr>
                <w:rFonts w:hint="eastAsia" w:ascii="宋体" w:hAnsi="宋体" w:cs="仿宋"/>
                <w:kern w:val="30"/>
                <w:sz w:val="22"/>
              </w:rPr>
              <w:t>得分</w:t>
            </w:r>
          </w:p>
        </w:tc>
        <w:tc>
          <w:tcPr>
            <w:tcW w:w="709" w:type="dxa"/>
            <w:tcBorders>
              <w:top w:val="single" w:color="auto" w:sz="4" w:space="0"/>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425" w:hRule="atLeast"/>
        </w:trPr>
        <w:tc>
          <w:tcPr>
            <w:tcW w:w="1702" w:type="dxa"/>
            <w:tcBorders>
              <w:top w:val="nil"/>
              <w:left w:val="single" w:color="auto" w:sz="4" w:space="0"/>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企业认证</w:t>
            </w:r>
          </w:p>
        </w:tc>
        <w:tc>
          <w:tcPr>
            <w:tcW w:w="709" w:type="dxa"/>
            <w:tcBorders>
              <w:top w:val="nil"/>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9</w:t>
            </w:r>
          </w:p>
        </w:tc>
        <w:tc>
          <w:tcPr>
            <w:tcW w:w="6379" w:type="dxa"/>
            <w:tcBorders>
              <w:top w:val="nil"/>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投标企业具有自治区信息化系统集成国家乙级以上资质得3分</w:t>
            </w:r>
          </w:p>
          <w:p>
            <w:pPr>
              <w:jc w:val="left"/>
              <w:rPr>
                <w:rFonts w:ascii="宋体" w:hAnsi="宋体" w:cs="仿宋"/>
                <w:kern w:val="30"/>
                <w:sz w:val="22"/>
              </w:rPr>
            </w:pPr>
            <w:r>
              <w:rPr>
                <w:rFonts w:hint="eastAsia" w:ascii="宋体" w:hAnsi="宋体" w:cs="仿宋"/>
                <w:kern w:val="30"/>
                <w:sz w:val="22"/>
              </w:rPr>
              <w:t>投标企业具有ISO9001质量管理体系认证证书，得3分；</w:t>
            </w:r>
          </w:p>
          <w:p>
            <w:pPr>
              <w:jc w:val="left"/>
              <w:rPr>
                <w:rFonts w:ascii="宋体" w:hAnsi="宋体" w:cs="仿宋"/>
                <w:kern w:val="30"/>
                <w:sz w:val="22"/>
              </w:rPr>
            </w:pPr>
            <w:r>
              <w:rPr>
                <w:rFonts w:hint="eastAsia" w:ascii="宋体" w:hAnsi="宋体" w:cs="仿宋"/>
                <w:kern w:val="30"/>
                <w:sz w:val="22"/>
              </w:rPr>
              <w:t>投标企业具有ISO14001环境管理体系认证证书，得3分；</w:t>
            </w:r>
          </w:p>
          <w:p>
            <w:pPr>
              <w:jc w:val="left"/>
              <w:rPr>
                <w:rFonts w:ascii="宋体" w:hAnsi="宋体" w:cs="仿宋"/>
                <w:kern w:val="30"/>
                <w:sz w:val="22"/>
              </w:rPr>
            </w:pPr>
            <w:r>
              <w:rPr>
                <w:rFonts w:hint="eastAsia" w:ascii="宋体" w:hAnsi="宋体" w:cs="仿宋"/>
                <w:kern w:val="30"/>
                <w:sz w:val="22"/>
              </w:rPr>
              <w:t>提供证书原件，没有原件不得分。</w:t>
            </w:r>
          </w:p>
        </w:tc>
        <w:tc>
          <w:tcPr>
            <w:tcW w:w="708" w:type="dxa"/>
            <w:tcBorders>
              <w:top w:val="nil"/>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c>
          <w:tcPr>
            <w:tcW w:w="709" w:type="dxa"/>
            <w:tcBorders>
              <w:top w:val="nil"/>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1122" w:hRule="atLeast"/>
        </w:trPr>
        <w:tc>
          <w:tcPr>
            <w:tcW w:w="1702" w:type="dxa"/>
            <w:tcBorders>
              <w:top w:val="nil"/>
              <w:left w:val="single" w:color="auto" w:sz="4" w:space="0"/>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近三年同类项目销售业绩</w:t>
            </w:r>
          </w:p>
        </w:tc>
        <w:tc>
          <w:tcPr>
            <w:tcW w:w="709" w:type="dxa"/>
            <w:tcBorders>
              <w:top w:val="nil"/>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10</w:t>
            </w:r>
          </w:p>
        </w:tc>
        <w:tc>
          <w:tcPr>
            <w:tcW w:w="6379" w:type="dxa"/>
            <w:tcBorders>
              <w:top w:val="nil"/>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投标企业有类似项目业绩，业绩不得低于此次项目预算，每一个此类项目得2分，满分10分。以供应商业绩为准，厂家业绩不计。</w:t>
            </w:r>
          </w:p>
          <w:p>
            <w:pPr>
              <w:jc w:val="left"/>
              <w:rPr>
                <w:rFonts w:ascii="宋体" w:hAnsi="宋体" w:cs="仿宋"/>
                <w:kern w:val="30"/>
                <w:sz w:val="22"/>
              </w:rPr>
            </w:pPr>
            <w:r>
              <w:rPr>
                <w:rFonts w:hint="eastAsia" w:ascii="宋体" w:hAnsi="宋体" w:cs="仿宋"/>
                <w:kern w:val="30"/>
                <w:sz w:val="22"/>
              </w:rPr>
              <w:t>提供合同或中标（成交）通知书原件，没有原件不得分。</w:t>
            </w:r>
          </w:p>
        </w:tc>
        <w:tc>
          <w:tcPr>
            <w:tcW w:w="708" w:type="dxa"/>
            <w:tcBorders>
              <w:top w:val="nil"/>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c>
          <w:tcPr>
            <w:tcW w:w="709" w:type="dxa"/>
            <w:tcBorders>
              <w:top w:val="nil"/>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862" w:hRule="atLeast"/>
        </w:trPr>
        <w:tc>
          <w:tcPr>
            <w:tcW w:w="1702" w:type="dxa"/>
            <w:tcBorders>
              <w:top w:val="nil"/>
              <w:left w:val="single" w:color="auto" w:sz="4" w:space="0"/>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设备参数</w:t>
            </w:r>
          </w:p>
        </w:tc>
        <w:tc>
          <w:tcPr>
            <w:tcW w:w="709" w:type="dxa"/>
            <w:tcBorders>
              <w:top w:val="nil"/>
              <w:left w:val="single" w:color="auto" w:sz="4" w:space="0"/>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20</w:t>
            </w:r>
          </w:p>
        </w:tc>
        <w:tc>
          <w:tcPr>
            <w:tcW w:w="6379" w:type="dxa"/>
            <w:tcBorders>
              <w:top w:val="nil"/>
              <w:left w:val="nil"/>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 xml:space="preserve">满足招标货物的性能及技术指标要求， </w:t>
            </w:r>
          </w:p>
          <w:p>
            <w:pPr>
              <w:jc w:val="left"/>
              <w:rPr>
                <w:rFonts w:ascii="宋体" w:hAnsi="宋体" w:cs="仿宋"/>
                <w:kern w:val="30"/>
                <w:sz w:val="22"/>
              </w:rPr>
            </w:pPr>
            <w:r>
              <w:rPr>
                <w:rFonts w:hint="eastAsia" w:ascii="宋体" w:hAnsi="宋体" w:cs="仿宋"/>
                <w:kern w:val="30"/>
                <w:sz w:val="22"/>
              </w:rPr>
              <w:t>1.达到技术指标无偏离或正偏离得20分</w:t>
            </w:r>
          </w:p>
          <w:p>
            <w:pPr>
              <w:jc w:val="left"/>
              <w:rPr>
                <w:rFonts w:ascii="宋体" w:hAnsi="宋体" w:cs="仿宋"/>
                <w:kern w:val="30"/>
                <w:sz w:val="22"/>
              </w:rPr>
            </w:pPr>
            <w:r>
              <w:rPr>
                <w:rFonts w:hint="eastAsia" w:ascii="宋体" w:hAnsi="宋体" w:cs="仿宋"/>
                <w:kern w:val="30"/>
                <w:sz w:val="22"/>
              </w:rPr>
              <w:t>2.每有一项达不到要求-2分，最低得0分</w:t>
            </w:r>
          </w:p>
        </w:tc>
        <w:tc>
          <w:tcPr>
            <w:tcW w:w="708" w:type="dxa"/>
            <w:tcBorders>
              <w:top w:val="nil"/>
              <w:left w:val="nil"/>
              <w:right w:val="single" w:color="auto" w:sz="4" w:space="0"/>
            </w:tcBorders>
            <w:vAlign w:val="center"/>
          </w:tcPr>
          <w:p>
            <w:pPr>
              <w:widowControl/>
              <w:jc w:val="left"/>
              <w:rPr>
                <w:rFonts w:ascii="方正仿宋_GBK" w:hAnsi="宋体" w:eastAsia="方正仿宋_GBK" w:cs="仿宋"/>
                <w:color w:val="000000" w:themeColor="text1"/>
                <w:sz w:val="28"/>
                <w:szCs w:val="28"/>
                <w14:textFill>
                  <w14:solidFill>
                    <w14:schemeClr w14:val="tx1"/>
                  </w14:solidFill>
                </w14:textFill>
              </w:rPr>
            </w:pPr>
          </w:p>
          <w:p>
            <w:pPr>
              <w:widowControl/>
              <w:jc w:val="left"/>
              <w:rPr>
                <w:rFonts w:ascii="方正仿宋_GBK" w:hAnsi="宋体" w:eastAsia="方正仿宋_GBK" w:cs="仿宋"/>
                <w:color w:val="000000" w:themeColor="text1"/>
                <w:sz w:val="28"/>
                <w:szCs w:val="28"/>
                <w14:textFill>
                  <w14:solidFill>
                    <w14:schemeClr w14:val="tx1"/>
                  </w14:solidFill>
                </w14:textFill>
              </w:rPr>
            </w:pPr>
          </w:p>
          <w:p>
            <w:pPr>
              <w:jc w:val="left"/>
              <w:rPr>
                <w:rFonts w:ascii="方正仿宋_GBK" w:hAnsi="宋体" w:eastAsia="方正仿宋_GBK" w:cs="仿宋"/>
                <w:color w:val="000000" w:themeColor="text1"/>
                <w:sz w:val="28"/>
                <w:szCs w:val="28"/>
                <w14:textFill>
                  <w14:solidFill>
                    <w14:schemeClr w14:val="tx1"/>
                  </w14:solidFill>
                </w14:textFill>
              </w:rPr>
            </w:pPr>
          </w:p>
        </w:tc>
        <w:tc>
          <w:tcPr>
            <w:tcW w:w="709" w:type="dxa"/>
            <w:tcBorders>
              <w:top w:val="nil"/>
              <w:left w:val="nil"/>
              <w:right w:val="single" w:color="auto" w:sz="4" w:space="0"/>
            </w:tcBorders>
            <w:vAlign w:val="center"/>
          </w:tcPr>
          <w:p>
            <w:pPr>
              <w:widowControl/>
              <w:jc w:val="left"/>
              <w:rPr>
                <w:rFonts w:ascii="方正仿宋_GBK" w:hAnsi="宋体" w:eastAsia="方正仿宋_GBK" w:cs="仿宋"/>
                <w:color w:val="000000" w:themeColor="text1"/>
                <w:sz w:val="28"/>
                <w:szCs w:val="28"/>
                <w14:textFill>
                  <w14:solidFill>
                    <w14:schemeClr w14:val="tx1"/>
                  </w14:solidFill>
                </w14:textFill>
              </w:rPr>
            </w:pPr>
          </w:p>
          <w:p>
            <w:pPr>
              <w:widowControl/>
              <w:jc w:val="left"/>
              <w:rPr>
                <w:rFonts w:ascii="方正仿宋_GBK" w:hAnsi="宋体" w:eastAsia="方正仿宋_GBK" w:cs="仿宋"/>
                <w:color w:val="000000" w:themeColor="text1"/>
                <w:sz w:val="28"/>
                <w:szCs w:val="28"/>
                <w14:textFill>
                  <w14:solidFill>
                    <w14:schemeClr w14:val="tx1"/>
                  </w14:solidFill>
                </w14:textFill>
              </w:rPr>
            </w:pPr>
          </w:p>
          <w:p>
            <w:pPr>
              <w:jc w:val="left"/>
              <w:rPr>
                <w:rFonts w:ascii="方正仿宋_GBK" w:hAnsi="宋体" w:eastAsia="方正仿宋_GBK"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545" w:hRule="atLeast"/>
        </w:trPr>
        <w:tc>
          <w:tcPr>
            <w:tcW w:w="170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实施方案</w:t>
            </w:r>
          </w:p>
        </w:tc>
        <w:tc>
          <w:tcPr>
            <w:tcW w:w="709" w:type="dxa"/>
            <w:tcBorders>
              <w:top w:val="single" w:color="auto" w:sz="4" w:space="0"/>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3</w:t>
            </w:r>
          </w:p>
        </w:tc>
        <w:tc>
          <w:tcPr>
            <w:tcW w:w="6379" w:type="dxa"/>
            <w:tcBorders>
              <w:top w:val="single" w:color="auto" w:sz="4" w:space="0"/>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提供设备安装进度计划、现场人员计划，质量安全保证措施等方案；提供可行性、操作性强的计划和方案。3分</w:t>
            </w:r>
          </w:p>
        </w:tc>
        <w:tc>
          <w:tcPr>
            <w:tcW w:w="708" w:type="dxa"/>
            <w:tcBorders>
              <w:top w:val="single" w:color="auto" w:sz="4" w:space="0"/>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545" w:hRule="atLeast"/>
        </w:trPr>
        <w:tc>
          <w:tcPr>
            <w:tcW w:w="170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产品实力</w:t>
            </w:r>
          </w:p>
        </w:tc>
        <w:tc>
          <w:tcPr>
            <w:tcW w:w="709" w:type="dxa"/>
            <w:tcBorders>
              <w:top w:val="single" w:color="auto" w:sz="4" w:space="0"/>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10</w:t>
            </w:r>
          </w:p>
        </w:tc>
        <w:tc>
          <w:tcPr>
            <w:tcW w:w="6379" w:type="dxa"/>
            <w:tcBorders>
              <w:top w:val="single" w:color="auto" w:sz="4" w:space="0"/>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1.由评标小组专家对各投标公司提供的设备主材品牌进行横向对比，根据相关品牌的质量、信誉度、售后服务等进行综合评分。（相关主材须注明品牌及具体规格、型号 5分</w:t>
            </w:r>
          </w:p>
          <w:p>
            <w:pPr>
              <w:jc w:val="left"/>
              <w:rPr>
                <w:rFonts w:ascii="宋体" w:hAnsi="宋体" w:cs="仿宋"/>
                <w:kern w:val="30"/>
                <w:sz w:val="22"/>
              </w:rPr>
            </w:pPr>
            <w:r>
              <w:rPr>
                <w:rFonts w:hint="eastAsia" w:ascii="宋体" w:hAnsi="宋体" w:cs="仿宋"/>
                <w:kern w:val="30"/>
                <w:sz w:val="22"/>
              </w:rPr>
              <w:t>2.根据投标产品的质量、稳定性、安全性、可扩展性、市场信誉情况、操作是否简便等的情况进行综合评定，最高5分；</w:t>
            </w:r>
          </w:p>
        </w:tc>
        <w:tc>
          <w:tcPr>
            <w:tcW w:w="708" w:type="dxa"/>
            <w:tcBorders>
              <w:top w:val="single" w:color="auto" w:sz="4" w:space="0"/>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545" w:hRule="atLeast"/>
        </w:trPr>
        <w:tc>
          <w:tcPr>
            <w:tcW w:w="1702" w:type="dxa"/>
            <w:tcBorders>
              <w:top w:val="nil"/>
              <w:left w:val="single" w:color="auto" w:sz="4" w:space="0"/>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售后服务计划及售后服务响应</w:t>
            </w:r>
          </w:p>
        </w:tc>
        <w:tc>
          <w:tcPr>
            <w:tcW w:w="709" w:type="dxa"/>
            <w:tcBorders>
              <w:top w:val="nil"/>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4</w:t>
            </w:r>
          </w:p>
        </w:tc>
        <w:tc>
          <w:tcPr>
            <w:tcW w:w="6379" w:type="dxa"/>
            <w:tcBorders>
              <w:top w:val="nil"/>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1、有本地售后服务网点得  2分</w:t>
            </w:r>
          </w:p>
          <w:p>
            <w:pPr>
              <w:jc w:val="left"/>
              <w:rPr>
                <w:rFonts w:ascii="宋体" w:hAnsi="宋体" w:cs="仿宋"/>
                <w:kern w:val="30"/>
                <w:sz w:val="22"/>
              </w:rPr>
            </w:pPr>
            <w:r>
              <w:rPr>
                <w:rFonts w:hint="eastAsia" w:ascii="宋体" w:hAnsi="宋体" w:cs="仿宋"/>
                <w:kern w:val="30"/>
                <w:sz w:val="22"/>
              </w:rPr>
              <w:t>2. 售后服务五年以上得1分；</w:t>
            </w:r>
          </w:p>
          <w:p>
            <w:pPr>
              <w:jc w:val="left"/>
              <w:rPr>
                <w:rFonts w:ascii="宋体" w:hAnsi="宋体" w:cs="仿宋"/>
                <w:kern w:val="30"/>
                <w:sz w:val="22"/>
              </w:rPr>
            </w:pPr>
            <w:r>
              <w:rPr>
                <w:rFonts w:hint="eastAsia" w:ascii="宋体" w:hAnsi="宋体" w:cs="仿宋"/>
                <w:kern w:val="30"/>
                <w:sz w:val="22"/>
              </w:rPr>
              <w:t>3.为保障本项目实施和后期持续稳定运行，有完整的售后服务计划，投标单位提出的合理化建议并提供本招标文件未要求的其他服务， 1分；</w:t>
            </w:r>
          </w:p>
        </w:tc>
        <w:tc>
          <w:tcPr>
            <w:tcW w:w="708" w:type="dxa"/>
            <w:tcBorders>
              <w:top w:val="nil"/>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c>
          <w:tcPr>
            <w:tcW w:w="709" w:type="dxa"/>
            <w:tcBorders>
              <w:top w:val="nil"/>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545" w:hRule="atLeast"/>
        </w:trPr>
        <w:tc>
          <w:tcPr>
            <w:tcW w:w="1702" w:type="dxa"/>
            <w:tcBorders>
              <w:top w:val="nil"/>
              <w:left w:val="single" w:color="auto" w:sz="4" w:space="0"/>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投标主要品牌资质证书（需提供复印件并加盖厂商公章）</w:t>
            </w:r>
          </w:p>
        </w:tc>
        <w:tc>
          <w:tcPr>
            <w:tcW w:w="709" w:type="dxa"/>
            <w:tcBorders>
              <w:top w:val="nil"/>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4</w:t>
            </w:r>
          </w:p>
        </w:tc>
        <w:tc>
          <w:tcPr>
            <w:tcW w:w="6379" w:type="dxa"/>
            <w:tcBorders>
              <w:top w:val="nil"/>
              <w:left w:val="nil"/>
              <w:bottom w:val="single" w:color="auto" w:sz="4" w:space="0"/>
              <w:right w:val="single" w:color="auto" w:sz="4" w:space="0"/>
            </w:tcBorders>
            <w:vAlign w:val="center"/>
          </w:tcPr>
          <w:p>
            <w:pPr>
              <w:rPr>
                <w:rFonts w:ascii="宋体" w:hAnsi="宋体" w:cs="仿宋"/>
                <w:kern w:val="30"/>
                <w:sz w:val="22"/>
              </w:rPr>
            </w:pPr>
            <w:r>
              <w:rPr>
                <w:rFonts w:hint="eastAsia" w:ascii="宋体" w:hAnsi="宋体" w:cs="仿宋"/>
                <w:kern w:val="30"/>
                <w:sz w:val="22"/>
              </w:rPr>
              <w:t>1.中国环保产品认证证书（CQC）等得1分</w:t>
            </w:r>
          </w:p>
          <w:p>
            <w:pPr>
              <w:rPr>
                <w:rFonts w:ascii="宋体" w:hAnsi="宋体" w:cs="仿宋"/>
                <w:kern w:val="30"/>
                <w:sz w:val="22"/>
              </w:rPr>
            </w:pPr>
            <w:r>
              <w:rPr>
                <w:rFonts w:hint="eastAsia" w:ascii="宋体" w:hAnsi="宋体" w:cs="仿宋"/>
                <w:kern w:val="30"/>
                <w:sz w:val="22"/>
              </w:rPr>
              <w:t>2.主要产品检测报告得1分</w:t>
            </w:r>
          </w:p>
          <w:p>
            <w:pPr>
              <w:rPr>
                <w:rFonts w:ascii="宋体" w:hAnsi="宋体" w:cs="仿宋"/>
                <w:kern w:val="30"/>
                <w:sz w:val="22"/>
              </w:rPr>
            </w:pPr>
            <w:r>
              <w:rPr>
                <w:rFonts w:hint="eastAsia" w:ascii="宋体" w:hAnsi="宋体" w:cs="仿宋"/>
                <w:kern w:val="30"/>
                <w:sz w:val="22"/>
              </w:rPr>
              <w:t>3. 提供ISO 14001 是环境管理体系认证书得1分</w:t>
            </w:r>
          </w:p>
          <w:p>
            <w:pPr>
              <w:rPr>
                <w:rFonts w:ascii="宋体" w:hAnsi="宋体" w:cs="仿宋"/>
                <w:kern w:val="30"/>
                <w:sz w:val="22"/>
              </w:rPr>
            </w:pPr>
            <w:r>
              <w:rPr>
                <w:rFonts w:hint="eastAsia" w:ascii="宋体" w:hAnsi="宋体" w:cs="仿宋"/>
                <w:kern w:val="30"/>
                <w:sz w:val="22"/>
              </w:rPr>
              <w:t>4.提供OHSAS18001职业健康安全管理体系证书得1分</w:t>
            </w:r>
          </w:p>
        </w:tc>
        <w:tc>
          <w:tcPr>
            <w:tcW w:w="708" w:type="dxa"/>
            <w:tcBorders>
              <w:top w:val="nil"/>
              <w:left w:val="nil"/>
              <w:bottom w:val="single" w:color="auto" w:sz="4" w:space="0"/>
              <w:right w:val="single" w:color="auto" w:sz="4" w:space="0"/>
            </w:tcBorders>
            <w:vAlign w:val="center"/>
          </w:tcPr>
          <w:p>
            <w:pPr>
              <w:jc w:val="center"/>
              <w:rPr>
                <w:rFonts w:ascii="方正仿宋_GBK" w:hAnsi="宋体" w:eastAsia="方正仿宋_GBK" w:cs="仿宋"/>
                <w:color w:val="000000" w:themeColor="text1"/>
                <w:sz w:val="28"/>
                <w:szCs w:val="28"/>
                <w14:textFill>
                  <w14:solidFill>
                    <w14:schemeClr w14:val="tx1"/>
                  </w14:solidFill>
                </w14:textFill>
              </w:rPr>
            </w:pPr>
          </w:p>
        </w:tc>
        <w:tc>
          <w:tcPr>
            <w:tcW w:w="709" w:type="dxa"/>
            <w:tcBorders>
              <w:top w:val="nil"/>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545" w:hRule="atLeast"/>
        </w:trPr>
        <w:tc>
          <w:tcPr>
            <w:tcW w:w="1702" w:type="dxa"/>
            <w:tcBorders>
              <w:top w:val="nil"/>
              <w:left w:val="single" w:color="auto" w:sz="4" w:space="0"/>
              <w:bottom w:val="nil"/>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标书质量</w:t>
            </w:r>
          </w:p>
        </w:tc>
        <w:tc>
          <w:tcPr>
            <w:tcW w:w="709" w:type="dxa"/>
            <w:tcBorders>
              <w:top w:val="nil"/>
              <w:left w:val="nil"/>
              <w:bottom w:val="nil"/>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3</w:t>
            </w:r>
          </w:p>
        </w:tc>
        <w:tc>
          <w:tcPr>
            <w:tcW w:w="6379" w:type="dxa"/>
            <w:tcBorders>
              <w:top w:val="nil"/>
              <w:left w:val="nil"/>
              <w:bottom w:val="nil"/>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投标人提供的投标文件中所有事项、格式、条款和规范等要求等情况由评委进行评议并在0-3分之间进行评分。</w:t>
            </w:r>
          </w:p>
        </w:tc>
        <w:tc>
          <w:tcPr>
            <w:tcW w:w="708" w:type="dxa"/>
            <w:tcBorders>
              <w:top w:val="nil"/>
              <w:left w:val="nil"/>
              <w:bottom w:val="nil"/>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c>
          <w:tcPr>
            <w:tcW w:w="709" w:type="dxa"/>
            <w:tcBorders>
              <w:top w:val="nil"/>
              <w:left w:val="nil"/>
              <w:bottom w:val="nil"/>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330" w:hRule="atLeast"/>
        </w:trPr>
        <w:tc>
          <w:tcPr>
            <w:tcW w:w="170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w:t>
            </w:r>
          </w:p>
        </w:tc>
        <w:tc>
          <w:tcPr>
            <w:tcW w:w="709" w:type="dxa"/>
            <w:tcBorders>
              <w:top w:val="single" w:color="auto" w:sz="4" w:space="0"/>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7</w:t>
            </w:r>
          </w:p>
        </w:tc>
        <w:tc>
          <w:tcPr>
            <w:tcW w:w="6379" w:type="dxa"/>
            <w:tcBorders>
              <w:top w:val="single" w:color="auto" w:sz="4" w:space="0"/>
              <w:left w:val="nil"/>
              <w:bottom w:val="single" w:color="auto" w:sz="4" w:space="0"/>
              <w:right w:val="single" w:color="auto" w:sz="4" w:space="0"/>
            </w:tcBorders>
            <w:vAlign w:val="center"/>
          </w:tcPr>
          <w:p>
            <w:pPr>
              <w:jc w:val="left"/>
              <w:rPr>
                <w:rFonts w:ascii="宋体" w:hAnsi="宋体" w:cs="仿宋"/>
                <w:kern w:val="30"/>
                <w:sz w:val="22"/>
              </w:rPr>
            </w:pPr>
            <w:r>
              <w:rPr>
                <w:rFonts w:hint="eastAsia" w:ascii="宋体" w:hAnsi="宋体" w:cs="仿宋"/>
                <w:kern w:val="30"/>
                <w:sz w:val="22"/>
              </w:rPr>
              <w:t>1、整机操作简单1分。</w:t>
            </w:r>
          </w:p>
          <w:p>
            <w:pPr>
              <w:jc w:val="left"/>
              <w:rPr>
                <w:rFonts w:ascii="宋体" w:hAnsi="宋体" w:cs="仿宋"/>
                <w:kern w:val="30"/>
                <w:sz w:val="22"/>
              </w:rPr>
            </w:pPr>
            <w:r>
              <w:rPr>
                <w:rFonts w:hint="eastAsia" w:ascii="宋体" w:hAnsi="宋体" w:cs="仿宋"/>
                <w:kern w:val="30"/>
                <w:sz w:val="22"/>
              </w:rPr>
              <w:t xml:space="preserve">2、智能安全密钥，支持即插即用功能，安全密钥拔出时，终端设备将一直保持锁定状态，无法操作（包括按键开关机）；安全密钥插入后，设备将无缝恢复成可正常操作的状态1分。   </w:t>
            </w:r>
          </w:p>
          <w:p>
            <w:pPr>
              <w:jc w:val="left"/>
              <w:rPr>
                <w:rFonts w:ascii="宋体" w:hAnsi="宋体" w:cs="仿宋"/>
                <w:kern w:val="30"/>
                <w:sz w:val="22"/>
              </w:rPr>
            </w:pPr>
            <w:r>
              <w:rPr>
                <w:rFonts w:hint="eastAsia" w:ascii="宋体" w:hAnsi="宋体" w:cs="仿宋"/>
                <w:kern w:val="30"/>
                <w:sz w:val="22"/>
              </w:rPr>
              <w:t>白板软件要求：</w:t>
            </w:r>
          </w:p>
          <w:p>
            <w:pPr>
              <w:jc w:val="left"/>
              <w:rPr>
                <w:rFonts w:ascii="宋体" w:hAnsi="宋体" w:cs="仿宋"/>
                <w:kern w:val="30"/>
                <w:sz w:val="22"/>
              </w:rPr>
            </w:pPr>
            <w:r>
              <w:rPr>
                <w:rFonts w:hint="eastAsia" w:ascii="宋体" w:hAnsi="宋体" w:cs="仿宋"/>
                <w:kern w:val="30"/>
                <w:sz w:val="22"/>
              </w:rPr>
              <w:t>3、支持老师个人账号注册登录使用，或可通过USB key进行身份快速识别登录1分。</w:t>
            </w:r>
          </w:p>
          <w:p>
            <w:pPr>
              <w:jc w:val="left"/>
              <w:rPr>
                <w:rFonts w:ascii="宋体" w:hAnsi="宋体" w:cs="仿宋"/>
                <w:kern w:val="30"/>
                <w:sz w:val="22"/>
              </w:rPr>
            </w:pPr>
            <w:r>
              <w:rPr>
                <w:rFonts w:hint="eastAsia" w:ascii="宋体" w:hAnsi="宋体" w:cs="仿宋"/>
                <w:kern w:val="30"/>
                <w:sz w:val="22"/>
              </w:rPr>
              <w:t>4、支持课件云存储，无需使用U盘等存储设备，老师只需联网登录即可获取云课件1分。</w:t>
            </w:r>
          </w:p>
          <w:p>
            <w:pPr>
              <w:jc w:val="left"/>
              <w:rPr>
                <w:rFonts w:ascii="宋体" w:hAnsi="宋体" w:cs="仿宋"/>
                <w:kern w:val="30"/>
                <w:sz w:val="22"/>
              </w:rPr>
            </w:pPr>
            <w:r>
              <w:rPr>
                <w:rFonts w:hint="eastAsia" w:ascii="宋体" w:hAnsi="宋体" w:cs="仿宋"/>
                <w:kern w:val="30"/>
                <w:sz w:val="22"/>
              </w:rPr>
              <w:t>5、快捷抠图：具有抠图或Caitu 功能，可借助专业图片处理软件对白板中导入的图片进行快捷抠图、去背景并可导出保存1分。</w:t>
            </w:r>
          </w:p>
          <w:p>
            <w:pPr>
              <w:jc w:val="left"/>
              <w:rPr>
                <w:rFonts w:ascii="宋体" w:hAnsi="宋体" w:cs="仿宋"/>
                <w:kern w:val="30"/>
                <w:sz w:val="22"/>
              </w:rPr>
            </w:pPr>
            <w:r>
              <w:rPr>
                <w:rFonts w:hint="eastAsia" w:ascii="宋体" w:hAnsi="宋体" w:cs="仿宋"/>
                <w:kern w:val="30"/>
                <w:sz w:val="22"/>
              </w:rPr>
              <w:t>6、支持学生基础信息管理、课堂表现评价、家校互联互通，支持PC客户端、PC网页端、安卓、苹果手机端。可对学生或小组进行行为评价1分</w:t>
            </w:r>
          </w:p>
          <w:p>
            <w:pPr>
              <w:jc w:val="left"/>
              <w:rPr>
                <w:rFonts w:ascii="宋体" w:hAnsi="宋体" w:cs="仿宋"/>
                <w:kern w:val="30"/>
                <w:sz w:val="22"/>
              </w:rPr>
            </w:pPr>
            <w:r>
              <w:rPr>
                <w:rFonts w:hint="eastAsia" w:ascii="宋体" w:hAnsi="宋体" w:cs="仿宋"/>
                <w:kern w:val="30"/>
                <w:sz w:val="22"/>
              </w:rPr>
              <w:t xml:space="preserve">7.一体机免费资源演示 1分  </w:t>
            </w:r>
          </w:p>
        </w:tc>
        <w:tc>
          <w:tcPr>
            <w:tcW w:w="708" w:type="dxa"/>
            <w:tcBorders>
              <w:top w:val="single" w:color="auto" w:sz="4" w:space="0"/>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jc w:val="left"/>
              <w:rPr>
                <w:rFonts w:ascii="方正仿宋_GBK" w:hAnsi="宋体" w:eastAsia="方正仿宋_GBK" w:cs="仿宋"/>
                <w:color w:val="000000" w:themeColor="text1"/>
                <w:sz w:val="28"/>
                <w:szCs w:val="28"/>
                <w14:textFill>
                  <w14:solidFill>
                    <w14:schemeClr w14:val="tx1"/>
                  </w14:solidFill>
                </w14:textFill>
              </w:rPr>
            </w:pPr>
          </w:p>
        </w:tc>
      </w:tr>
    </w:tbl>
    <w:p>
      <w:pPr>
        <w:pStyle w:val="2"/>
        <w:jc w:val="both"/>
      </w:pPr>
    </w:p>
    <w:p>
      <w:pPr>
        <w:pStyle w:val="2"/>
        <w:jc w:val="both"/>
        <w:rPr>
          <w:sz w:val="28"/>
          <w:szCs w:val="28"/>
        </w:rPr>
      </w:pPr>
      <w:r>
        <w:rPr>
          <w:rFonts w:hint="eastAsia" w:ascii="宋体" w:hAnsi="宋体"/>
          <w:b/>
          <w:sz w:val="28"/>
          <w:szCs w:val="28"/>
        </w:rPr>
        <w:t>注：</w:t>
      </w:r>
      <w:r>
        <w:rPr>
          <w:rFonts w:ascii="宋体" w:hAnsi="宋体"/>
          <w:b/>
          <w:sz w:val="28"/>
          <w:szCs w:val="28"/>
        </w:rPr>
        <w:t>以下需提供证明原件以供审核</w:t>
      </w:r>
    </w:p>
    <w:p>
      <w:pPr>
        <w:rPr>
          <w:rFonts w:ascii="宋体" w:hAnsi="宋体"/>
          <w:sz w:val="24"/>
        </w:rPr>
      </w:pPr>
      <w:r>
        <w:rPr>
          <w:rFonts w:hint="eastAsia" w:ascii="宋体" w:hAnsi="宋体"/>
          <w:sz w:val="24"/>
        </w:rPr>
        <w:t>1、根据《政府采购促进中小企业发展管理办法》（财库〔2020〕46号）和工信部联企业〔2011〕300号文件规定，对小型和微型企业产品的价格给予6%的扣除，用扣除后的价格参与评审；</w:t>
      </w:r>
    </w:p>
    <w:p>
      <w:pPr>
        <w:rPr>
          <w:rFonts w:ascii="宋体" w:hAnsi="宋体"/>
          <w:sz w:val="24"/>
        </w:rPr>
      </w:pPr>
      <w:r>
        <w:rPr>
          <w:rFonts w:hint="eastAsia" w:ascii="宋体" w:hAnsi="宋体"/>
          <w:sz w:val="24"/>
        </w:rPr>
        <w:t>大中型企业和和其他自然人、法人或者其他组织与小型、微型企业组成联合体共同参加非专门面向中小企业的政府采购活动的，小微企业的合同金额占联合体协议合同总金额 30%以上的，给予联合体3%的价格扣除，用扣除后的价格参与评审。</w:t>
      </w:r>
    </w:p>
    <w:p>
      <w:pPr>
        <w:rPr>
          <w:rFonts w:ascii="宋体" w:hAnsi="宋体"/>
          <w:sz w:val="24"/>
        </w:rPr>
      </w:pPr>
      <w:r>
        <w:rPr>
          <w:rFonts w:hint="eastAsia" w:ascii="宋体" w:hAnsi="宋体"/>
          <w:sz w:val="24"/>
        </w:rPr>
        <w:t>2、根据《财政部司法部关于政府采购支持监狱企业发展有关问题的通知》（财库［2014］68 号）的规定，对监狱企业产品的价格给予6%扣除，用扣除后的价格参与评审。参加政府采购活动的监狱企业必须提供由省级以上监狱管理局、戒毒管理局（含新疆生产建设兵团）出具的属于监狱企业的证明文件</w:t>
      </w:r>
    </w:p>
    <w:p>
      <w:pPr>
        <w:rPr>
          <w:rFonts w:ascii="宋体" w:hAnsi="宋体"/>
          <w:sz w:val="24"/>
        </w:rPr>
      </w:pPr>
      <w:r>
        <w:rPr>
          <w:rFonts w:hint="eastAsia" w:ascii="宋体" w:hAnsi="宋体"/>
          <w:sz w:val="24"/>
        </w:rPr>
        <w:t>3、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w:t>
      </w:r>
    </w:p>
    <w:p>
      <w:pPr>
        <w:pStyle w:val="2"/>
      </w:pPr>
    </w:p>
    <w:p>
      <w:pPr>
        <w:pStyle w:val="2"/>
      </w:pPr>
    </w:p>
    <w:p>
      <w:pPr>
        <w:pStyle w:val="4"/>
        <w:keepNext w:val="0"/>
        <w:keepLines w:val="0"/>
        <w:snapToGrid w:val="0"/>
        <w:spacing w:before="0" w:after="0" w:line="360" w:lineRule="auto"/>
        <w:rPr>
          <w:rFonts w:ascii="宋体" w:hAnsi="宋体" w:eastAsia="宋体"/>
          <w:sz w:val="28"/>
        </w:rPr>
      </w:pPr>
      <w:bookmarkStart w:id="214" w:name="_Toc50913239"/>
      <w:r>
        <w:rPr>
          <w:rFonts w:hint="eastAsia" w:ascii="宋体" w:hAnsi="宋体" w:eastAsia="宋体"/>
          <w:sz w:val="28"/>
        </w:rPr>
        <w:t>三、评审结果应用</w:t>
      </w:r>
      <w:bookmarkEnd w:id="213"/>
      <w:bookmarkEnd w:id="214"/>
    </w:p>
    <w:p>
      <w:pPr>
        <w:pStyle w:val="6"/>
        <w:snapToGrid w:val="0"/>
        <w:spacing w:before="0" w:after="0" w:line="360" w:lineRule="auto"/>
        <w:rPr>
          <w:rFonts w:ascii="宋体" w:hAnsi="宋体"/>
          <w:sz w:val="28"/>
        </w:rPr>
      </w:pPr>
      <w:bookmarkStart w:id="215" w:name="_Toc50913240"/>
      <w:bookmarkStart w:id="216" w:name="_Toc496089667"/>
      <w:r>
        <w:rPr>
          <w:rFonts w:hint="eastAsia" w:ascii="宋体" w:hAnsi="宋体"/>
          <w:sz w:val="28"/>
        </w:rPr>
        <w:t>8．评标结果</w:t>
      </w:r>
      <w:bookmarkEnd w:id="215"/>
      <w:bookmarkEnd w:id="216"/>
    </w:p>
    <w:p>
      <w:pPr>
        <w:snapToGrid w:val="0"/>
        <w:spacing w:line="360" w:lineRule="auto"/>
        <w:jc w:val="left"/>
        <w:rPr>
          <w:rFonts w:ascii="宋体" w:hAnsi="宋体"/>
          <w:sz w:val="24"/>
        </w:rPr>
      </w:pPr>
      <w:r>
        <w:rPr>
          <w:rFonts w:hint="eastAsia" w:ascii="宋体" w:hAnsi="宋体"/>
          <w:sz w:val="24"/>
        </w:rPr>
        <w:t>8.1评标结果按评审后得分由高到低顺序排列。得分相同的，按投标报价由低到高顺序排列。得分且投标报价相同的, 按技术指标优劣顺序排列。投标文件满足招标文件全部实质性要求，且按照评审因素的量化指标评审得分最高的供应商为中标人。</w:t>
      </w:r>
    </w:p>
    <w:p>
      <w:pPr>
        <w:snapToGrid w:val="0"/>
        <w:spacing w:line="360" w:lineRule="auto"/>
        <w:jc w:val="left"/>
        <w:rPr>
          <w:rFonts w:ascii="宋体" w:hAnsi="宋体"/>
          <w:sz w:val="24"/>
        </w:rPr>
      </w:pPr>
      <w:r>
        <w:rPr>
          <w:rFonts w:hint="eastAsia" w:ascii="宋体" w:hAnsi="宋体"/>
          <w:sz w:val="24"/>
        </w:rPr>
        <w:t>8.2依据采购人的委托，本项目由评标委员会直接确定中标人。</w:t>
      </w:r>
      <w:bookmarkStart w:id="217" w:name="_Toc50913241"/>
    </w:p>
    <w:p>
      <w:pPr>
        <w:pStyle w:val="2"/>
        <w:rPr>
          <w:rFonts w:asciiTheme="minorEastAsia" w:hAnsiTheme="minorEastAsia" w:eastAsiaTheme="minorEastAsia"/>
          <w:szCs w:val="44"/>
        </w:rPr>
        <w:sectPr>
          <w:pgSz w:w="11906" w:h="16838"/>
          <w:pgMar w:top="720" w:right="720" w:bottom="720" w:left="720" w:header="851" w:footer="992" w:gutter="0"/>
          <w:cols w:space="720" w:num="1"/>
          <w:docGrid w:type="lines" w:linePitch="326" w:charSpace="0"/>
        </w:sectPr>
      </w:pPr>
    </w:p>
    <w:p>
      <w:pPr>
        <w:pStyle w:val="2"/>
        <w:rPr>
          <w:rFonts w:asciiTheme="minorEastAsia" w:hAnsiTheme="minorEastAsia" w:eastAsiaTheme="minorEastAsia"/>
          <w:szCs w:val="44"/>
        </w:rPr>
      </w:pPr>
      <w:r>
        <w:rPr>
          <w:rFonts w:hint="eastAsia" w:asciiTheme="minorEastAsia" w:hAnsiTheme="minorEastAsia" w:eastAsiaTheme="minorEastAsia"/>
          <w:szCs w:val="44"/>
        </w:rPr>
        <w:t>第三章  服务要求</w:t>
      </w:r>
      <w:bookmarkEnd w:id="217"/>
      <w:bookmarkStart w:id="218" w:name="_1．项目建设目标"/>
      <w:bookmarkEnd w:id="218"/>
    </w:p>
    <w:p>
      <w:pPr>
        <w:ind w:firstLine="900" w:firstLineChars="300"/>
        <w:rPr>
          <w:rFonts w:ascii="宋体" w:hAnsi="宋体"/>
          <w:sz w:val="30"/>
          <w:szCs w:val="30"/>
        </w:rPr>
      </w:pPr>
      <w:r>
        <w:rPr>
          <w:rFonts w:hint="eastAsia" w:ascii="宋体" w:hAnsi="宋体"/>
          <w:sz w:val="30"/>
          <w:szCs w:val="30"/>
        </w:rPr>
        <w:t>一、</w:t>
      </w:r>
      <w:r>
        <w:rPr>
          <w:rFonts w:ascii="宋体" w:hAnsi="宋体"/>
          <w:sz w:val="30"/>
          <w:szCs w:val="30"/>
        </w:rPr>
        <w:t>设备</w:t>
      </w:r>
      <w:r>
        <w:rPr>
          <w:rFonts w:hint="eastAsia" w:ascii="宋体" w:hAnsi="宋体"/>
          <w:sz w:val="30"/>
          <w:szCs w:val="30"/>
        </w:rPr>
        <w:t>清单</w:t>
      </w:r>
    </w:p>
    <w:tbl>
      <w:tblPr>
        <w:tblStyle w:val="39"/>
        <w:tblpPr w:leftFromText="181" w:rightFromText="181" w:vertAnchor="text" w:horzAnchor="margin" w:tblpXSpec="center" w:tblpY="155"/>
        <w:tblOverlap w:val="never"/>
        <w:tblW w:w="42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7219"/>
        <w:gridCol w:w="1924"/>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6" w:type="pct"/>
            <w:vAlign w:val="center"/>
          </w:tcPr>
          <w:p>
            <w:pPr>
              <w:keepLines/>
              <w:spacing w:line="280" w:lineRule="exact"/>
              <w:jc w:val="center"/>
              <w:rPr>
                <w:rFonts w:ascii="宋体" w:hAnsi="宋体"/>
                <w:bCs/>
              </w:rPr>
            </w:pPr>
            <w:r>
              <w:rPr>
                <w:rFonts w:hint="eastAsia" w:ascii="宋体" w:hAnsi="宋体"/>
                <w:bCs/>
              </w:rPr>
              <w:t>序号</w:t>
            </w:r>
          </w:p>
        </w:tc>
        <w:tc>
          <w:tcPr>
            <w:tcW w:w="2690" w:type="pct"/>
            <w:vAlign w:val="center"/>
          </w:tcPr>
          <w:p>
            <w:pPr>
              <w:keepLines/>
              <w:spacing w:line="280" w:lineRule="exact"/>
              <w:jc w:val="center"/>
              <w:rPr>
                <w:rFonts w:ascii="宋体" w:hAnsi="宋体" w:cs="宋体"/>
                <w:bCs/>
                <w:color w:val="000000"/>
              </w:rPr>
            </w:pPr>
            <w:r>
              <w:rPr>
                <w:rFonts w:hint="eastAsia" w:ascii="宋体" w:hAnsi="宋体" w:cs="宋体"/>
                <w:bCs/>
                <w:color w:val="000000"/>
              </w:rPr>
              <w:t>产品名称</w:t>
            </w:r>
          </w:p>
        </w:tc>
        <w:tc>
          <w:tcPr>
            <w:tcW w:w="717" w:type="pct"/>
            <w:vAlign w:val="center"/>
          </w:tcPr>
          <w:p>
            <w:pPr>
              <w:keepLines/>
              <w:spacing w:line="280" w:lineRule="exact"/>
              <w:jc w:val="center"/>
              <w:rPr>
                <w:rFonts w:ascii="宋体" w:hAnsi="宋体" w:cs="宋体"/>
                <w:bCs/>
                <w:color w:val="000000"/>
              </w:rPr>
            </w:pPr>
            <w:r>
              <w:rPr>
                <w:rFonts w:hint="eastAsia" w:ascii="宋体" w:hAnsi="宋体" w:cs="宋体"/>
                <w:bCs/>
                <w:color w:val="000000"/>
              </w:rPr>
              <w:t>单位</w:t>
            </w:r>
          </w:p>
        </w:tc>
        <w:tc>
          <w:tcPr>
            <w:tcW w:w="807" w:type="pct"/>
            <w:vAlign w:val="center"/>
          </w:tcPr>
          <w:p>
            <w:pPr>
              <w:keepLines/>
              <w:spacing w:line="280" w:lineRule="exact"/>
              <w:jc w:val="center"/>
              <w:rPr>
                <w:rFonts w:ascii="宋体" w:hAnsi="宋体" w:cs="宋体"/>
                <w:bCs/>
                <w:color w:val="000000"/>
              </w:rPr>
            </w:pPr>
            <w:r>
              <w:rPr>
                <w:rFonts w:hint="eastAsia" w:ascii="宋体" w:hAnsi="宋体" w:cs="宋体"/>
                <w:bCs/>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86" w:type="pct"/>
            <w:vAlign w:val="center"/>
          </w:tcPr>
          <w:p>
            <w:pPr>
              <w:keepLines/>
              <w:spacing w:line="280" w:lineRule="exact"/>
              <w:jc w:val="center"/>
              <w:rPr>
                <w:rFonts w:ascii="宋体" w:hAnsi="宋体"/>
                <w:bCs/>
              </w:rPr>
            </w:pPr>
            <w:r>
              <w:rPr>
                <w:rFonts w:hint="eastAsia" w:ascii="宋体" w:hAnsi="宋体"/>
                <w:bCs/>
              </w:rPr>
              <w:t>1</w:t>
            </w:r>
          </w:p>
        </w:tc>
        <w:tc>
          <w:tcPr>
            <w:tcW w:w="2690" w:type="pct"/>
            <w:vAlign w:val="center"/>
          </w:tcPr>
          <w:p>
            <w:pPr>
              <w:keepLines/>
              <w:spacing w:line="280" w:lineRule="exact"/>
              <w:jc w:val="center"/>
              <w:rPr>
                <w:rFonts w:ascii="宋体" w:hAnsi="宋体"/>
              </w:rPr>
            </w:pPr>
            <w:r>
              <w:rPr>
                <w:rFonts w:hint="eastAsia" w:ascii="宋体" w:hAnsi="宋体"/>
              </w:rPr>
              <w:t>8</w:t>
            </w:r>
            <w:r>
              <w:rPr>
                <w:rFonts w:ascii="宋体" w:hAnsi="宋体"/>
              </w:rPr>
              <w:t>6</w:t>
            </w:r>
            <w:r>
              <w:rPr>
                <w:rFonts w:hint="eastAsia" w:ascii="宋体" w:hAnsi="宋体"/>
              </w:rPr>
              <w:t>寸 4k高清交互式液晶触控一体机</w:t>
            </w:r>
          </w:p>
        </w:tc>
        <w:tc>
          <w:tcPr>
            <w:tcW w:w="717" w:type="pct"/>
            <w:vAlign w:val="center"/>
          </w:tcPr>
          <w:p>
            <w:pPr>
              <w:keepLines/>
              <w:spacing w:line="280" w:lineRule="exact"/>
              <w:jc w:val="center"/>
              <w:rPr>
                <w:rFonts w:ascii="宋体" w:hAnsi="宋体" w:cs="宋体"/>
                <w:bCs/>
                <w:color w:val="000000"/>
              </w:rPr>
            </w:pPr>
            <w:r>
              <w:rPr>
                <w:rFonts w:hint="eastAsia" w:ascii="宋体" w:hAnsi="宋体" w:cs="宋体"/>
                <w:bCs/>
                <w:color w:val="000000"/>
              </w:rPr>
              <w:t>台</w:t>
            </w:r>
          </w:p>
        </w:tc>
        <w:tc>
          <w:tcPr>
            <w:tcW w:w="807" w:type="pct"/>
            <w:vAlign w:val="center"/>
          </w:tcPr>
          <w:p>
            <w:pPr>
              <w:keepLines/>
              <w:spacing w:line="280" w:lineRule="exact"/>
              <w:jc w:val="center"/>
              <w:rPr>
                <w:rFonts w:ascii="宋体" w:hAnsi="宋体" w:cs="宋体"/>
                <w:bCs/>
                <w:color w:val="000000"/>
              </w:rPr>
            </w:pPr>
            <w:r>
              <w:rPr>
                <w:rFonts w:ascii="宋体" w:hAnsi="宋体" w:cs="宋体"/>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86" w:type="pct"/>
            <w:vAlign w:val="center"/>
          </w:tcPr>
          <w:p>
            <w:pPr>
              <w:keepLines/>
              <w:spacing w:line="280" w:lineRule="exact"/>
              <w:jc w:val="center"/>
              <w:rPr>
                <w:rFonts w:ascii="宋体" w:hAnsi="宋体"/>
                <w:bCs/>
              </w:rPr>
            </w:pPr>
            <w:r>
              <w:rPr>
                <w:rFonts w:hint="eastAsia" w:ascii="宋体" w:hAnsi="宋体"/>
                <w:bCs/>
              </w:rPr>
              <w:t>2</w:t>
            </w:r>
          </w:p>
        </w:tc>
        <w:tc>
          <w:tcPr>
            <w:tcW w:w="2690" w:type="pct"/>
            <w:vAlign w:val="center"/>
          </w:tcPr>
          <w:p>
            <w:pPr>
              <w:keepLines/>
              <w:spacing w:line="280" w:lineRule="exact"/>
              <w:jc w:val="center"/>
              <w:rPr>
                <w:rFonts w:ascii="宋体" w:hAnsi="宋体"/>
              </w:rPr>
            </w:pPr>
            <w:r>
              <w:rPr>
                <w:rFonts w:hint="eastAsia" w:ascii="宋体" w:hAnsi="宋体"/>
              </w:rPr>
              <w:t>无线扩音</w:t>
            </w:r>
          </w:p>
        </w:tc>
        <w:tc>
          <w:tcPr>
            <w:tcW w:w="717" w:type="pct"/>
            <w:vAlign w:val="center"/>
          </w:tcPr>
          <w:p>
            <w:pPr>
              <w:keepLines/>
              <w:spacing w:line="280" w:lineRule="exact"/>
              <w:jc w:val="center"/>
              <w:rPr>
                <w:rFonts w:ascii="宋体" w:hAnsi="宋体" w:cs="宋体"/>
                <w:bCs/>
                <w:color w:val="000000"/>
              </w:rPr>
            </w:pPr>
            <w:r>
              <w:rPr>
                <w:rFonts w:hint="eastAsia" w:ascii="宋体" w:hAnsi="宋体" w:cs="宋体"/>
                <w:bCs/>
                <w:color w:val="000000"/>
              </w:rPr>
              <w:t>套</w:t>
            </w:r>
          </w:p>
        </w:tc>
        <w:tc>
          <w:tcPr>
            <w:tcW w:w="807" w:type="pct"/>
            <w:vAlign w:val="center"/>
          </w:tcPr>
          <w:p>
            <w:pPr>
              <w:keepLines/>
              <w:spacing w:line="280" w:lineRule="exact"/>
              <w:jc w:val="center"/>
              <w:rPr>
                <w:rFonts w:ascii="宋体" w:hAnsi="宋体" w:cs="宋体"/>
                <w:bCs/>
                <w:color w:val="000000"/>
              </w:rPr>
            </w:pPr>
            <w:r>
              <w:rPr>
                <w:rFonts w:ascii="宋体" w:hAnsi="宋体" w:cs="宋体"/>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6" w:type="pct"/>
            <w:vAlign w:val="center"/>
          </w:tcPr>
          <w:p>
            <w:pPr>
              <w:keepLines/>
              <w:spacing w:line="280" w:lineRule="exact"/>
              <w:jc w:val="center"/>
              <w:rPr>
                <w:rFonts w:ascii="宋体" w:hAnsi="宋体"/>
              </w:rPr>
            </w:pPr>
            <w:r>
              <w:rPr>
                <w:rFonts w:hint="eastAsia" w:ascii="宋体" w:hAnsi="宋体"/>
              </w:rPr>
              <w:t>3</w:t>
            </w:r>
          </w:p>
        </w:tc>
        <w:tc>
          <w:tcPr>
            <w:tcW w:w="2690" w:type="pct"/>
            <w:vAlign w:val="center"/>
          </w:tcPr>
          <w:p>
            <w:pPr>
              <w:jc w:val="center"/>
              <w:rPr>
                <w:rFonts w:ascii="宋体" w:hAnsi="宋体"/>
              </w:rPr>
            </w:pPr>
            <w:r>
              <w:rPr>
                <w:rFonts w:hint="eastAsia" w:ascii="宋体" w:hAnsi="宋体"/>
              </w:rPr>
              <w:t>壁挂式</w:t>
            </w:r>
            <w:r>
              <w:rPr>
                <w:rFonts w:ascii="宋体" w:hAnsi="宋体"/>
              </w:rPr>
              <w:t>展台</w:t>
            </w:r>
          </w:p>
        </w:tc>
        <w:tc>
          <w:tcPr>
            <w:tcW w:w="717" w:type="pct"/>
            <w:vAlign w:val="center"/>
          </w:tcPr>
          <w:p>
            <w:pPr>
              <w:keepLines/>
              <w:spacing w:line="280" w:lineRule="exact"/>
              <w:jc w:val="center"/>
              <w:rPr>
                <w:rFonts w:ascii="宋体" w:hAnsi="宋体"/>
              </w:rPr>
            </w:pPr>
            <w:r>
              <w:rPr>
                <w:rFonts w:hint="eastAsia" w:ascii="宋体" w:hAnsi="宋体"/>
              </w:rPr>
              <w:t>台</w:t>
            </w:r>
          </w:p>
        </w:tc>
        <w:tc>
          <w:tcPr>
            <w:tcW w:w="807" w:type="pct"/>
            <w:vAlign w:val="center"/>
          </w:tcPr>
          <w:p>
            <w:pPr>
              <w:keepLines/>
              <w:spacing w:line="280" w:lineRule="exact"/>
              <w:jc w:val="center"/>
              <w:rPr>
                <w:rFonts w:ascii="宋体" w:hAnsi="宋体"/>
              </w:rPr>
            </w:pPr>
            <w:r>
              <w:rPr>
                <w:rFonts w:ascii="宋体" w:hAnsi="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86" w:type="pct"/>
            <w:vAlign w:val="center"/>
          </w:tcPr>
          <w:p>
            <w:pPr>
              <w:keepLines/>
              <w:spacing w:line="280" w:lineRule="exact"/>
              <w:jc w:val="center"/>
              <w:rPr>
                <w:rFonts w:ascii="宋体" w:hAnsi="宋体"/>
              </w:rPr>
            </w:pPr>
            <w:r>
              <w:rPr>
                <w:rFonts w:hint="eastAsia" w:ascii="宋体" w:hAnsi="宋体"/>
              </w:rPr>
              <w:t>4</w:t>
            </w:r>
          </w:p>
        </w:tc>
        <w:tc>
          <w:tcPr>
            <w:tcW w:w="2690" w:type="pct"/>
            <w:vAlign w:val="center"/>
          </w:tcPr>
          <w:p>
            <w:pPr>
              <w:keepLines/>
              <w:spacing w:line="280" w:lineRule="exact"/>
              <w:jc w:val="center"/>
              <w:rPr>
                <w:rFonts w:ascii="宋体" w:hAnsi="宋体" w:cs="新宋体"/>
              </w:rPr>
            </w:pPr>
            <w:r>
              <w:rPr>
                <w:rFonts w:hint="eastAsia" w:ascii="宋体" w:hAnsi="宋体"/>
              </w:rPr>
              <w:t>组合式推拉黑板</w:t>
            </w:r>
          </w:p>
        </w:tc>
        <w:tc>
          <w:tcPr>
            <w:tcW w:w="717" w:type="pct"/>
            <w:vAlign w:val="center"/>
          </w:tcPr>
          <w:p>
            <w:pPr>
              <w:keepLines/>
              <w:spacing w:line="280" w:lineRule="exact"/>
              <w:jc w:val="center"/>
              <w:rPr>
                <w:rFonts w:ascii="宋体" w:hAnsi="宋体" w:cs="宋体"/>
                <w:color w:val="000000"/>
              </w:rPr>
            </w:pPr>
            <w:r>
              <w:rPr>
                <w:rFonts w:hint="eastAsia" w:ascii="宋体" w:hAnsi="宋体" w:cs="宋体"/>
                <w:color w:val="000000"/>
              </w:rPr>
              <w:t>套</w:t>
            </w:r>
          </w:p>
        </w:tc>
        <w:tc>
          <w:tcPr>
            <w:tcW w:w="807" w:type="pct"/>
            <w:vAlign w:val="center"/>
          </w:tcPr>
          <w:p>
            <w:pPr>
              <w:keepLines/>
              <w:spacing w:line="280" w:lineRule="exact"/>
              <w:jc w:val="center"/>
              <w:rPr>
                <w:rFonts w:ascii="宋体" w:hAnsi="宋体" w:cs="宋体"/>
                <w:color w:val="000000"/>
              </w:rPr>
            </w:pPr>
            <w:r>
              <w:rPr>
                <w:rFonts w:ascii="宋体" w:hAnsi="宋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86" w:type="pct"/>
            <w:vAlign w:val="center"/>
          </w:tcPr>
          <w:p>
            <w:pPr>
              <w:keepLines/>
              <w:spacing w:line="280" w:lineRule="exact"/>
              <w:jc w:val="center"/>
              <w:rPr>
                <w:rFonts w:ascii="宋体" w:hAnsi="宋体"/>
              </w:rPr>
            </w:pPr>
            <w:r>
              <w:rPr>
                <w:rFonts w:hint="eastAsia" w:ascii="宋体" w:hAnsi="宋体"/>
              </w:rPr>
              <w:t>5</w:t>
            </w:r>
          </w:p>
        </w:tc>
        <w:tc>
          <w:tcPr>
            <w:tcW w:w="2690" w:type="pct"/>
            <w:vAlign w:val="center"/>
          </w:tcPr>
          <w:p>
            <w:pPr>
              <w:keepLines/>
              <w:spacing w:line="280" w:lineRule="exact"/>
              <w:jc w:val="center"/>
              <w:rPr>
                <w:rFonts w:ascii="宋体" w:hAnsi="宋体"/>
              </w:rPr>
            </w:pPr>
            <w:r>
              <w:rPr>
                <w:rFonts w:hint="eastAsia" w:ascii="宋体" w:hAnsi="宋体"/>
              </w:rPr>
              <w:t>终端防护</w:t>
            </w:r>
          </w:p>
        </w:tc>
        <w:tc>
          <w:tcPr>
            <w:tcW w:w="717" w:type="pct"/>
            <w:vAlign w:val="center"/>
          </w:tcPr>
          <w:p>
            <w:pPr>
              <w:keepLines/>
              <w:spacing w:line="280" w:lineRule="exact"/>
              <w:jc w:val="center"/>
              <w:rPr>
                <w:rFonts w:ascii="宋体" w:hAnsi="宋体" w:cs="宋体"/>
                <w:bCs/>
                <w:color w:val="000000"/>
              </w:rPr>
            </w:pPr>
            <w:r>
              <w:rPr>
                <w:rFonts w:hint="eastAsia" w:ascii="宋体" w:hAnsi="宋体" w:cs="宋体"/>
                <w:bCs/>
                <w:color w:val="000000"/>
              </w:rPr>
              <w:t>套</w:t>
            </w:r>
          </w:p>
        </w:tc>
        <w:tc>
          <w:tcPr>
            <w:tcW w:w="807" w:type="pct"/>
            <w:vAlign w:val="center"/>
          </w:tcPr>
          <w:p>
            <w:pPr>
              <w:keepLines/>
              <w:spacing w:line="280" w:lineRule="exact"/>
              <w:jc w:val="center"/>
              <w:rPr>
                <w:rFonts w:ascii="宋体" w:hAnsi="宋体" w:cs="宋体"/>
                <w:bCs/>
                <w:color w:val="000000"/>
              </w:rPr>
            </w:pPr>
            <w:r>
              <w:rPr>
                <w:rFonts w:ascii="宋体" w:hAnsi="宋体" w:cs="宋体"/>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86" w:type="pct"/>
            <w:vAlign w:val="center"/>
          </w:tcPr>
          <w:p>
            <w:pPr>
              <w:keepLines/>
              <w:spacing w:line="280" w:lineRule="exact"/>
              <w:jc w:val="center"/>
              <w:rPr>
                <w:rFonts w:ascii="宋体" w:hAnsi="宋体"/>
              </w:rPr>
            </w:pPr>
            <w:r>
              <w:rPr>
                <w:rFonts w:ascii="宋体" w:hAnsi="宋体"/>
              </w:rPr>
              <w:t>6</w:t>
            </w:r>
          </w:p>
        </w:tc>
        <w:tc>
          <w:tcPr>
            <w:tcW w:w="2690" w:type="pct"/>
            <w:vAlign w:val="center"/>
          </w:tcPr>
          <w:p>
            <w:pPr>
              <w:keepLines/>
              <w:spacing w:line="280" w:lineRule="exact"/>
              <w:jc w:val="center"/>
              <w:rPr>
                <w:rFonts w:ascii="宋体" w:hAnsi="宋体" w:cs="新宋体"/>
              </w:rPr>
            </w:pPr>
            <w:r>
              <w:rPr>
                <w:rFonts w:hint="eastAsia" w:ascii="宋体" w:hAnsi="宋体" w:cs="新宋体"/>
              </w:rPr>
              <w:t>技术服务费、线材、辅材及其它</w:t>
            </w:r>
          </w:p>
        </w:tc>
        <w:tc>
          <w:tcPr>
            <w:tcW w:w="717" w:type="pct"/>
            <w:vAlign w:val="center"/>
          </w:tcPr>
          <w:p>
            <w:pPr>
              <w:keepLines/>
              <w:spacing w:line="280" w:lineRule="exact"/>
              <w:jc w:val="center"/>
              <w:rPr>
                <w:rFonts w:ascii="宋体" w:hAnsi="宋体" w:cs="宋体"/>
                <w:color w:val="000000"/>
              </w:rPr>
            </w:pPr>
            <w:r>
              <w:rPr>
                <w:rFonts w:hint="eastAsia" w:ascii="宋体" w:hAnsi="宋体" w:cs="宋体"/>
                <w:color w:val="000000"/>
              </w:rPr>
              <w:t>批</w:t>
            </w:r>
          </w:p>
        </w:tc>
        <w:tc>
          <w:tcPr>
            <w:tcW w:w="807" w:type="pct"/>
            <w:vAlign w:val="center"/>
          </w:tcPr>
          <w:p>
            <w:pPr>
              <w:keepLines/>
              <w:spacing w:line="280" w:lineRule="exact"/>
              <w:jc w:val="center"/>
              <w:rPr>
                <w:rFonts w:ascii="宋体" w:hAnsi="宋体" w:cs="宋体"/>
                <w:color w:val="000000"/>
              </w:rPr>
            </w:pPr>
            <w:r>
              <w:rPr>
                <w:rFonts w:hint="eastAsia" w:ascii="宋体" w:hAnsi="宋体" w:cs="宋体"/>
                <w:color w:val="000000"/>
              </w:rPr>
              <w:t>1</w:t>
            </w:r>
          </w:p>
        </w:tc>
      </w:tr>
    </w:tbl>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pStyle w:val="2"/>
        <w:jc w:val="both"/>
      </w:pPr>
    </w:p>
    <w:p>
      <w:pPr>
        <w:rPr>
          <w:rFonts w:ascii="宋体" w:hAnsi="宋体"/>
          <w:sz w:val="30"/>
          <w:szCs w:val="30"/>
        </w:rPr>
      </w:pPr>
      <w:r>
        <w:rPr>
          <w:rFonts w:hint="eastAsia" w:ascii="宋体" w:hAnsi="宋体"/>
          <w:sz w:val="30"/>
          <w:szCs w:val="30"/>
        </w:rPr>
        <w:t>二、</w:t>
      </w:r>
      <w:r>
        <w:rPr>
          <w:rFonts w:ascii="宋体" w:hAnsi="宋体"/>
          <w:sz w:val="30"/>
          <w:szCs w:val="30"/>
        </w:rPr>
        <w:t>设备</w:t>
      </w:r>
      <w:r>
        <w:rPr>
          <w:rFonts w:hint="eastAsia" w:ascii="宋体" w:hAnsi="宋体"/>
          <w:sz w:val="30"/>
          <w:szCs w:val="30"/>
        </w:rPr>
        <w:t>参数</w:t>
      </w:r>
    </w:p>
    <w:tbl>
      <w:tblPr>
        <w:tblStyle w:val="39"/>
        <w:tblpPr w:leftFromText="180" w:rightFromText="180" w:vertAnchor="page" w:horzAnchor="margin" w:tblpXSpec="center" w:tblpY="1966"/>
        <w:tblW w:w="13823" w:type="dxa"/>
        <w:tblInd w:w="0" w:type="dxa"/>
        <w:tblLayout w:type="autofit"/>
        <w:tblCellMar>
          <w:top w:w="0" w:type="dxa"/>
          <w:left w:w="108" w:type="dxa"/>
          <w:bottom w:w="0" w:type="dxa"/>
          <w:right w:w="108" w:type="dxa"/>
        </w:tblCellMar>
      </w:tblPr>
      <w:tblGrid>
        <w:gridCol w:w="727"/>
        <w:gridCol w:w="1566"/>
        <w:gridCol w:w="11530"/>
      </w:tblGrid>
      <w:tr>
        <w:tblPrEx>
          <w:tblCellMar>
            <w:top w:w="0" w:type="dxa"/>
            <w:left w:w="108" w:type="dxa"/>
            <w:bottom w:w="0" w:type="dxa"/>
            <w:right w:w="108" w:type="dxa"/>
          </w:tblCellMar>
        </w:tblPrEx>
        <w:trPr>
          <w:trHeight w:val="1031" w:hRule="atLeast"/>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Tahoma"/>
              </w:rPr>
            </w:pPr>
            <w:r>
              <w:rPr>
                <w:rFonts w:hint="eastAsia" w:ascii="宋体" w:hAnsi="宋体" w:cs="Tahoma"/>
              </w:rPr>
              <w:t>序号</w:t>
            </w:r>
          </w:p>
        </w:tc>
        <w:tc>
          <w:tcPr>
            <w:tcW w:w="156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Tahoma"/>
              </w:rPr>
            </w:pPr>
            <w:r>
              <w:rPr>
                <w:rFonts w:hint="eastAsia" w:ascii="宋体" w:hAnsi="宋体" w:cs="Tahoma"/>
              </w:rPr>
              <w:t>名称</w:t>
            </w:r>
          </w:p>
        </w:tc>
        <w:tc>
          <w:tcPr>
            <w:tcW w:w="1153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Tahoma"/>
              </w:rPr>
            </w:pPr>
            <w:r>
              <w:rPr>
                <w:rFonts w:hint="eastAsia" w:ascii="宋体" w:hAnsi="宋体" w:cs="Tahoma"/>
              </w:rPr>
              <w:t>规格参数</w:t>
            </w:r>
          </w:p>
        </w:tc>
      </w:tr>
      <w:tr>
        <w:tblPrEx>
          <w:tblCellMar>
            <w:top w:w="0" w:type="dxa"/>
            <w:left w:w="108" w:type="dxa"/>
            <w:bottom w:w="0" w:type="dxa"/>
            <w:right w:w="108" w:type="dxa"/>
          </w:tblCellMar>
        </w:tblPrEx>
        <w:trPr>
          <w:trHeight w:val="1831" w:hRule="atLeast"/>
        </w:trPr>
        <w:tc>
          <w:tcPr>
            <w:tcW w:w="727" w:type="dxa"/>
            <w:tcBorders>
              <w:top w:val="single" w:color="auto" w:sz="4" w:space="0"/>
              <w:left w:val="single" w:color="auto" w:sz="4" w:space="0"/>
              <w:bottom w:val="single" w:color="auto" w:sz="4" w:space="0"/>
              <w:right w:val="nil"/>
            </w:tcBorders>
            <w:shd w:val="clear" w:color="000000" w:fill="FFFFFF"/>
            <w:vAlign w:val="center"/>
          </w:tcPr>
          <w:p>
            <w:pPr>
              <w:jc w:val="center"/>
              <w:rPr>
                <w:rFonts w:ascii="宋体" w:hAnsi="宋体" w:cs="Tahoma"/>
              </w:rPr>
            </w:pPr>
            <w:r>
              <w:rPr>
                <w:rFonts w:hint="eastAsia" w:ascii="宋体" w:hAnsi="宋体" w:cs="Tahoma"/>
              </w:rPr>
              <w:t>1</w:t>
            </w:r>
          </w:p>
        </w:tc>
        <w:tc>
          <w:tcPr>
            <w:tcW w:w="15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Tahoma"/>
              </w:rPr>
            </w:pPr>
            <w:r>
              <w:rPr>
                <w:rFonts w:hint="eastAsia" w:ascii="宋体" w:hAnsi="宋体" w:cs="Tahoma"/>
              </w:rPr>
              <w:t>交互式触控一体机</w:t>
            </w:r>
          </w:p>
        </w:tc>
        <w:tc>
          <w:tcPr>
            <w:tcW w:w="11530" w:type="dxa"/>
            <w:tcBorders>
              <w:top w:val="single" w:color="auto" w:sz="4" w:space="0"/>
              <w:left w:val="nil"/>
              <w:bottom w:val="single" w:color="auto" w:sz="4" w:space="0"/>
              <w:right w:val="single" w:color="auto" w:sz="4" w:space="0"/>
            </w:tcBorders>
            <w:shd w:val="clear" w:color="000000" w:fill="FFFFFF"/>
            <w:vAlign w:val="center"/>
          </w:tcPr>
          <w:p>
            <w:pPr>
              <w:rPr>
                <w:rFonts w:ascii="宋体" w:hAnsi="宋体" w:cs="Tahoma"/>
              </w:rPr>
            </w:pPr>
            <w:r>
              <w:rPr>
                <w:rFonts w:hint="eastAsia" w:ascii="宋体" w:hAnsi="宋体" w:cs="Tahoma"/>
              </w:rPr>
              <w:t>★硬件要求：</w:t>
            </w:r>
            <w:r>
              <w:rPr>
                <w:rFonts w:hint="eastAsia" w:ascii="宋体" w:hAnsi="宋体" w:cs="Tahoma"/>
              </w:rPr>
              <w:br w:type="textWrapping"/>
            </w:r>
            <w:r>
              <w:rPr>
                <w:rFonts w:hint="eastAsia" w:ascii="宋体" w:hAnsi="宋体" w:cs="Tahoma"/>
              </w:rPr>
              <w:t xml:space="preserve">1. ★ 整机屏幕采用86英寸 LED 液晶屏，显示比例16:9，具备防眩光效果。采用LED A规屏、可视角度≥178°,分辨率≥3840(水平)×2160（垂直），4K显示性能满足FHD高清点对点要求。整机屏幕采用钢化玻璃，使用1.04kg钢球，在2m处自由落体撞击整机液晶显示屏幕的钢化玻璃，产品无损伤破裂，功能无异常。 </w:t>
            </w:r>
            <w:r>
              <w:rPr>
                <w:rFonts w:hint="eastAsia" w:ascii="宋体" w:hAnsi="宋体" w:cs="Tahoma"/>
              </w:rPr>
              <w:br w:type="textWrapping"/>
            </w:r>
            <w:r>
              <w:rPr>
                <w:rFonts w:hint="eastAsia" w:ascii="宋体" w:hAnsi="宋体" w:cs="Tahoma"/>
              </w:rPr>
              <w:t xml:space="preserve">2. ★触摸结构：即便屏幕上存在正常书本大小的区域被遮挡或某一条触摸边框完全失灵，仍可正常书写、操作。       </w:t>
            </w:r>
            <w:r>
              <w:rPr>
                <w:rFonts w:hint="eastAsia" w:ascii="宋体" w:hAnsi="宋体" w:cs="Tahoma"/>
              </w:rPr>
              <w:br w:type="textWrapping"/>
            </w:r>
            <w:r>
              <w:rPr>
                <w:rFonts w:hint="eastAsia" w:ascii="宋体" w:hAnsi="宋体" w:cs="Tahoma"/>
              </w:rPr>
              <w:t>3. ★ 整机经过产品可靠性检验，MTBF大于80000小时。</w:t>
            </w:r>
            <w:r>
              <w:rPr>
                <w:rFonts w:hint="eastAsia" w:ascii="宋体" w:hAnsi="宋体" w:cs="Tahoma"/>
              </w:rPr>
              <w:br w:type="textWrapping"/>
            </w:r>
            <w:r>
              <w:rPr>
                <w:rFonts w:hint="eastAsia" w:ascii="宋体" w:hAnsi="宋体" w:cs="Tahoma"/>
              </w:rPr>
              <w:t>4. ★触摸技术：采用红外触控技术，支持在Windows与安卓系统中进行十点触控及十点书写。</w:t>
            </w:r>
            <w:r>
              <w:rPr>
                <w:rFonts w:hint="eastAsia" w:ascii="宋体" w:hAnsi="宋体" w:cs="Tahoma"/>
              </w:rPr>
              <w:br w:type="textWrapping"/>
            </w:r>
            <w:r>
              <w:rPr>
                <w:rFonts w:hint="eastAsia" w:ascii="宋体" w:hAnsi="宋体" w:cs="Tahoma"/>
              </w:rPr>
              <w:t xml:space="preserve">5. ★ 输入端子:≥2路VGA；≥2路Audio/YH；≥1路AV；≥1路YPbPrQZ；≥3路HDMI；≥1路TV RF；≥2路Android USB；≥1路Line in；≥1路RS232接口；≥1路RJ45。 </w:t>
            </w:r>
            <w:r>
              <w:rPr>
                <w:rFonts w:hint="eastAsia" w:ascii="宋体" w:hAnsi="宋体" w:cs="Tahoma"/>
              </w:rPr>
              <w:br w:type="textWrapping"/>
            </w:r>
            <w:r>
              <w:rPr>
                <w:rFonts w:hint="eastAsia" w:ascii="宋体" w:hAnsi="宋体" w:cs="Tahoma"/>
              </w:rPr>
              <w:t>6. ★前置接口：整机具备至少3路前置双通道USB接口,同一个USB接口可支持同时在Windows及Android系统下被读取，无需区分。其中至少有1路为USB3.0。</w:t>
            </w:r>
            <w:r>
              <w:rPr>
                <w:rFonts w:hint="eastAsia" w:ascii="宋体" w:hAnsi="宋体" w:cs="Tahoma"/>
              </w:rPr>
              <w:br w:type="textWrapping"/>
            </w:r>
            <w:r>
              <w:rPr>
                <w:rFonts w:hint="eastAsia" w:ascii="宋体" w:hAnsi="宋体" w:cs="Tahoma"/>
              </w:rPr>
              <w:t>7. ★整机电视开关、电脑开关和节能待机键三合一，操作便捷。</w:t>
            </w:r>
            <w:r>
              <w:rPr>
                <w:rFonts w:hint="eastAsia" w:ascii="宋体" w:hAnsi="宋体" w:cs="Tahoma"/>
              </w:rPr>
              <w:br w:type="textWrapping"/>
            </w:r>
            <w:r>
              <w:rPr>
                <w:rFonts w:hint="eastAsia" w:ascii="宋体" w:hAnsi="宋体" w:cs="Tahoma"/>
              </w:rPr>
              <w:t>8. ★ 整机只需连接一根网线，即可实现Windows及Android系统同时联网。</w:t>
            </w:r>
            <w:r>
              <w:rPr>
                <w:rFonts w:hint="eastAsia" w:ascii="宋体" w:hAnsi="宋体" w:cs="Tahoma"/>
              </w:rPr>
              <w:br w:type="textWrapping"/>
            </w:r>
            <w:r>
              <w:rPr>
                <w:rFonts w:hint="eastAsia" w:ascii="宋体" w:hAnsi="宋体" w:cs="Tahoma"/>
              </w:rPr>
              <w:t>9. 黑板关闭自动节能：当整机安装到推拉黑板中时，关闭推拉黑板，整机将在短时间内自动进入黑屏节能模式需提供国家广播电视产品质量监督检验中心所出具的权威检验报告（加盖国家级检测机构测试专用章）。</w:t>
            </w:r>
            <w:r>
              <w:rPr>
                <w:rFonts w:hint="eastAsia" w:ascii="宋体" w:hAnsi="宋体" w:cs="Tahoma"/>
              </w:rPr>
              <w:br w:type="textWrapping"/>
            </w:r>
            <w:r>
              <w:rPr>
                <w:rFonts w:hint="eastAsia" w:ascii="宋体" w:hAnsi="宋体" w:cs="Tahoma"/>
              </w:rPr>
              <w:t>10. 支持智能U盘锁功能，整机可设置触摸及按键自动锁定，保证无关人士无法自由操作，需要使用时只需插入USB key即可解锁.</w:t>
            </w:r>
            <w:r>
              <w:rPr>
                <w:rFonts w:hint="eastAsia" w:ascii="宋体" w:hAnsi="宋体" w:cs="Tahoma"/>
              </w:rPr>
              <w:br w:type="textWrapping"/>
            </w:r>
            <w:r>
              <w:rPr>
                <w:rFonts w:hint="eastAsia" w:ascii="宋体" w:hAnsi="宋体" w:cs="Tahoma"/>
              </w:rPr>
              <w:t>11. ★无线智能遥控：具备电视遥控功能和电脑键盘常用的F1—F12功能键及Alt+F4、Alt+Tab、Space、Enter、windows等快捷按键，可实现一键开启交互白板软件、PPT上下翻页、一键锁定/解锁触摸及整机实体按键、一键冻结屏幕、一键查看整机温度、一键黑屏等功能。一键调整PPT画面比例：可通过机身前置按钮对PPT课件实现一键切换画面显示比例。</w:t>
            </w:r>
            <w:r>
              <w:rPr>
                <w:rFonts w:hint="eastAsia" w:ascii="宋体" w:hAnsi="宋体" w:cs="Tahoma"/>
              </w:rPr>
              <w:br w:type="textWrapping"/>
            </w:r>
            <w:r>
              <w:rPr>
                <w:rFonts w:hint="eastAsia" w:ascii="宋体" w:hAnsi="宋体" w:cs="Tahoma"/>
              </w:rPr>
              <w:t>12. ★整机处于任意通道下，在屏幕侧边可快速调出触摸便捷菜单，实现十笔批注、荧光笔书写、手势擦除、截图、快捷白板、任意通道放大、快捷小工具，方便老师组合使用。支持在任意通道下调取快捷白板、聚光灯、秒表、倒计时、倒计日等小工具。</w:t>
            </w:r>
            <w:r>
              <w:rPr>
                <w:rFonts w:hint="eastAsia" w:ascii="宋体" w:hAnsi="宋体" w:cs="Tahoma"/>
              </w:rPr>
              <w:br w:type="textWrapping"/>
            </w:r>
            <w:r>
              <w:rPr>
                <w:rFonts w:hint="eastAsia" w:ascii="宋体" w:hAnsi="宋体" w:cs="Tahoma"/>
              </w:rPr>
              <w:t>13. ★整机支持任意通道下通过手势识别调出板擦工具进行擦除，且能够根据手与屏幕的接触面积自动调整板擦工具的大小.</w:t>
            </w:r>
            <w:r>
              <w:rPr>
                <w:rFonts w:hint="eastAsia" w:ascii="宋体" w:hAnsi="宋体" w:cs="Tahoma"/>
              </w:rPr>
              <w:br w:type="textWrapping"/>
            </w:r>
            <w:r>
              <w:rPr>
                <w:rFonts w:hint="eastAsia" w:ascii="宋体" w:hAnsi="宋体" w:cs="Tahoma"/>
              </w:rPr>
              <w:t>14. ★触摸中控菜单上的通道信号源名称支持自定义，方便老师识别.</w:t>
            </w:r>
          </w:p>
          <w:p>
            <w:pPr>
              <w:rPr>
                <w:rFonts w:ascii="宋体" w:hAnsi="宋体" w:cs="Tahoma"/>
              </w:rPr>
            </w:pPr>
            <w:r>
              <w:rPr>
                <w:rFonts w:hint="eastAsia" w:ascii="宋体" w:hAnsi="宋体" w:cs="Tahoma"/>
              </w:rPr>
              <w:t>15. ★设备可通过遥控器一键锁定/解锁触摸、按键，也可通过前置组合按键的形式锁定/解锁触摸和按键，防止课间学生操作。</w:t>
            </w:r>
            <w:r>
              <w:rPr>
                <w:rFonts w:hint="eastAsia" w:ascii="宋体" w:hAnsi="宋体" w:cs="Tahoma"/>
              </w:rPr>
              <w:br w:type="textWrapping"/>
            </w:r>
            <w:r>
              <w:rPr>
                <w:rFonts w:hint="eastAsia" w:ascii="宋体" w:hAnsi="宋体" w:cs="Tahoma"/>
              </w:rPr>
              <w:t>16. 支持屏幕密码锁功能，可锁定屏幕、按键及遥控器，可自定义解锁密码。</w:t>
            </w:r>
            <w:r>
              <w:rPr>
                <w:rFonts w:hint="eastAsia" w:ascii="宋体" w:hAnsi="宋体" w:cs="Tahoma"/>
              </w:rPr>
              <w:br w:type="textWrapping"/>
            </w:r>
            <w:r>
              <w:rPr>
                <w:rFonts w:hint="eastAsia" w:ascii="宋体" w:hAnsi="宋体" w:cs="Tahoma"/>
              </w:rPr>
              <w:t>17. 在嵌入式安卓操作系统下，能对TV多媒体USB所读取到的课件文件进行自动归类，可快速分类查找office文档、音乐、视频、图片等文件，检索后可直接在界面中打开。嵌入式安卓操作系统支持超级计算器功能，可进行初级计算、方程（组）智能求解、自动求导求积分等操作；该计算器还可根据用户输入的函数，智能绘制函数图像，提升老师课堂效率</w:t>
            </w:r>
            <w:r>
              <w:rPr>
                <w:rFonts w:hint="eastAsia" w:ascii="宋体" w:hAnsi="宋体" w:cs="Tahoma"/>
              </w:rPr>
              <w:br w:type="textWrapping"/>
            </w:r>
            <w:r>
              <w:rPr>
                <w:rFonts w:hint="eastAsia" w:ascii="宋体" w:hAnsi="宋体" w:cs="Tahoma"/>
              </w:rPr>
              <w:t>18. 无需借助PC，整机可一键进行硬件自检，包括对触摸框、PC模块、光感系统等模块进行检测，并针对不同模块给出问题原因提示，支持直接扫描系统提供的二维码进行在线客服问题保修。</w:t>
            </w:r>
            <w:r>
              <w:rPr>
                <w:rFonts w:hint="eastAsia" w:ascii="宋体" w:hAnsi="宋体" w:cs="Tahoma"/>
              </w:rPr>
              <w:br w:type="textWrapping"/>
            </w:r>
            <w:r>
              <w:rPr>
                <w:rFonts w:hint="eastAsia" w:ascii="宋体" w:hAnsi="宋体" w:cs="Tahoma"/>
              </w:rPr>
              <w:t>19. ★ 电脑模块：采用模块化电脑方案，抽拉内置式，采用120pin或以上接口，实现无单独接线的插拔，低噪音热管传导散热设计。采用按压式开关（现场演示），无需工具即可快速拆卸电脑模块。采用双WiFi天线，增强无线网络信号。处理器：Intel Core i5，内存：8G ，硬盘：256G SSD；内置WiFi：IEEE 802.11n标准，内置网卡：10M/100M/1000M，具有独立非外扩展的电脑USB接口：电脑上至少6个USB接口，其中至少4个为USB3.0接口。具有独立非外扩展的视频输出接口：≥1路VGA ；≥1路HDMI ；≥1路DP/XD。具有标准PC防盗锁孔，确保电脑模块安全防盗。所投产品（电脑模块）符合中华人民共和国无线电管理规定和技术标准，可提供无线电发射设备型号核准证。</w:t>
            </w:r>
            <w:r>
              <w:rPr>
                <w:rFonts w:hint="eastAsia" w:ascii="宋体" w:hAnsi="宋体" w:cs="Tahoma"/>
              </w:rPr>
              <w:br w:type="textWrapping"/>
            </w:r>
            <w:r>
              <w:rPr>
                <w:rFonts w:hint="eastAsia" w:ascii="宋体" w:hAnsi="宋体" w:cs="Tahoma"/>
              </w:rPr>
              <w:t>20.★ 内置摄像头，可拍摄并识别课本上的二维码，便捷调取电子资源,内置拾音麦克风，一键录屏，课件、音频与老师人声同步录制,DBX音效，环绕立体音质，营造沉浸式学习体验</w:t>
            </w:r>
            <w:r>
              <w:rPr>
                <w:rFonts w:hint="eastAsia" w:ascii="宋体" w:hAnsi="宋体" w:cs="Tahoma"/>
              </w:rPr>
              <w:br w:type="textWrapping"/>
            </w:r>
            <w:r>
              <w:rPr>
                <w:rFonts w:hint="eastAsia" w:ascii="宋体" w:hAnsi="宋体" w:cs="Tahoma"/>
              </w:rPr>
              <w:t>无线同屏软件：</w:t>
            </w:r>
            <w:r>
              <w:rPr>
                <w:rFonts w:hint="eastAsia" w:ascii="宋体" w:hAnsi="宋体" w:cs="Tahoma"/>
              </w:rPr>
              <w:br w:type="textWrapping"/>
            </w:r>
            <w:r>
              <w:rPr>
                <w:rFonts w:hint="eastAsia" w:ascii="宋体" w:hAnsi="宋体" w:cs="Tahoma"/>
              </w:rPr>
              <w:t>21. ★支持Android 4.0及IOS 7.0以上版本系统。</w:t>
            </w:r>
            <w:r>
              <w:rPr>
                <w:rFonts w:hint="eastAsia" w:ascii="宋体" w:hAnsi="宋体" w:cs="Tahoma"/>
              </w:rPr>
              <w:br w:type="textWrapping"/>
            </w:r>
            <w:r>
              <w:rPr>
                <w:rFonts w:hint="eastAsia" w:ascii="宋体" w:hAnsi="宋体" w:cs="Tahoma"/>
              </w:rPr>
              <w:t>22. ★可与交互智能平板实现无线连接，可对连接的设备进行密码的权限管理。</w:t>
            </w:r>
            <w:r>
              <w:rPr>
                <w:rFonts w:hint="eastAsia" w:ascii="宋体" w:hAnsi="宋体" w:cs="Tahoma"/>
              </w:rPr>
              <w:br w:type="textWrapping"/>
            </w:r>
            <w:r>
              <w:rPr>
                <w:rFonts w:hint="eastAsia" w:ascii="宋体" w:hAnsi="宋体" w:cs="Tahoma"/>
              </w:rPr>
              <w:t>23. ★支持手机投屏，可通过该软件将手机屏幕画面实时投影到大屏上。</w:t>
            </w:r>
            <w:r>
              <w:rPr>
                <w:rFonts w:hint="eastAsia" w:ascii="宋体" w:hAnsi="宋体" w:cs="Tahoma"/>
              </w:rPr>
              <w:br w:type="textWrapping"/>
            </w:r>
            <w:r>
              <w:rPr>
                <w:rFonts w:hint="eastAsia" w:ascii="宋体" w:hAnsi="宋体" w:cs="Tahoma"/>
              </w:rPr>
              <w:t>24. ★具备客户端生成热点功能，在没有路由器的情况下，可通过客户端生成局域网热点供外部终端进行无线连接，并支持二维码扫描连接，无需手动设置。</w:t>
            </w:r>
            <w:r>
              <w:rPr>
                <w:rFonts w:hint="eastAsia" w:ascii="宋体" w:hAnsi="宋体" w:cs="Tahoma"/>
              </w:rPr>
              <w:br w:type="textWrapping"/>
            </w:r>
            <w:r>
              <w:rPr>
                <w:rFonts w:hint="eastAsia" w:ascii="宋体" w:hAnsi="宋体" w:cs="Tahoma"/>
              </w:rPr>
              <w:t>25. ★客户端热点具备智能开启功能，打开软件状态下，可自动判断当前网络条件，若无网络可自动开启热点。</w:t>
            </w:r>
            <w:r>
              <w:rPr>
                <w:rFonts w:hint="eastAsia" w:ascii="宋体" w:hAnsi="宋体" w:cs="Tahoma"/>
              </w:rPr>
              <w:br w:type="textWrapping"/>
            </w:r>
            <w:r>
              <w:rPr>
                <w:rFonts w:hint="eastAsia" w:ascii="宋体" w:hAnsi="宋体" w:cs="Tahoma"/>
              </w:rPr>
              <w:t>26. ★支持对移动终端设备进行接入锁定，防止学生随意接入影响老师使用。</w:t>
            </w:r>
            <w:r>
              <w:rPr>
                <w:rFonts w:hint="eastAsia" w:ascii="宋体" w:hAnsi="宋体" w:cs="Tahoma"/>
              </w:rPr>
              <w:br w:type="textWrapping"/>
            </w:r>
            <w:r>
              <w:rPr>
                <w:rFonts w:hint="eastAsia" w:ascii="宋体" w:hAnsi="宋体" w:cs="Tahoma"/>
              </w:rPr>
              <w:t>27. ★ 可实现交互智能平板与手持终端屏幕同步显示，支持多种手持终端的手势识别，包括单指点击、单指漫游、双指缩放，支持远程文本输入。</w:t>
            </w:r>
            <w:r>
              <w:rPr>
                <w:rFonts w:hint="eastAsia" w:ascii="宋体" w:hAnsi="宋体" w:cs="Tahoma"/>
              </w:rPr>
              <w:br w:type="textWrapping"/>
            </w:r>
            <w:r>
              <w:rPr>
                <w:rFonts w:hint="eastAsia" w:ascii="宋体" w:hAnsi="宋体" w:cs="Tahoma"/>
              </w:rPr>
              <w:t>28. ★ 大小屏同步显示时支持同步放大功能，可使用小屏远程同步放大大屏画面，突出重点和细节内容。</w:t>
            </w:r>
            <w:r>
              <w:rPr>
                <w:rFonts w:hint="eastAsia" w:ascii="宋体" w:hAnsi="宋体" w:cs="Tahoma"/>
              </w:rPr>
              <w:br w:type="textWrapping"/>
            </w:r>
            <w:r>
              <w:rPr>
                <w:rFonts w:hint="eastAsia" w:ascii="宋体" w:hAnsi="宋体" w:cs="Tahoma"/>
              </w:rPr>
              <w:t>29. ★支持Office、WPS及白板软件课件远程同步，可通过移动端对智能平板上的课件实现页面预览、远程翻页、双向批注、激光笔、聚光灯等功能，其中批注功能支持3种或以上颜色。</w:t>
            </w:r>
            <w:r>
              <w:rPr>
                <w:rFonts w:hint="eastAsia" w:ascii="宋体" w:hAnsi="宋体" w:cs="Tahoma"/>
              </w:rPr>
              <w:br w:type="textWrapping"/>
            </w:r>
            <w:r>
              <w:rPr>
                <w:rFonts w:hint="eastAsia" w:ascii="宋体" w:hAnsi="宋体" w:cs="Tahoma"/>
              </w:rPr>
              <w:t>30. ★支持模拟电脑触摸板功能，能够对智能平板进行远程控制，支持鼠标左键/右键、双指滚轮，并有常用快捷键按键集成，如一键关闭窗口、一键切换窗口、一键回到桌面、一键打开键盘等。同时，可通过对移动端实现激光笔、聚光灯、双向批注及撤销功能，其中批注功能支持3种或以上颜色。</w:t>
            </w:r>
            <w:r>
              <w:rPr>
                <w:rFonts w:hint="eastAsia" w:ascii="宋体" w:hAnsi="宋体" w:cs="Tahoma"/>
              </w:rPr>
              <w:br w:type="textWrapping"/>
            </w:r>
            <w:r>
              <w:rPr>
                <w:rFonts w:hint="eastAsia" w:ascii="宋体" w:hAnsi="宋体" w:cs="Tahoma"/>
              </w:rPr>
              <w:t xml:space="preserve">31. ★支持移动展台功能，可一键对试卷、课本等实物进行拍摄，将实物照片一键上传至智能平板中，并可通过移动端实现激光笔、聚光灯、双向批注及撤销功能，其中批注功能支持3种或以上颜色。同时，还能将实物照片一键在白板教学软件里打开，进行双向批注、缩放、旋转等操作。 </w:t>
            </w:r>
            <w:r>
              <w:rPr>
                <w:rFonts w:hint="eastAsia" w:ascii="宋体" w:hAnsi="宋体" w:cs="Tahoma"/>
              </w:rPr>
              <w:br w:type="textWrapping"/>
            </w:r>
            <w:r>
              <w:rPr>
                <w:rFonts w:hint="eastAsia" w:ascii="宋体" w:hAnsi="宋体" w:cs="Tahoma"/>
              </w:rPr>
              <w:t>32. ★图片拍摄支持普通、文档及彩图三种模式，采用文档或彩图模式拍摄时，软件可自动执行对应的优化处理，包括亮度对比度优化、色彩饱和度增强、图片边框动态识别、图片剪裁与拉伸等，提升所拍摄课本、试卷内容的展示效果。</w:t>
            </w:r>
            <w:r>
              <w:rPr>
                <w:rFonts w:hint="eastAsia" w:ascii="宋体" w:hAnsi="宋体" w:cs="Tahoma"/>
              </w:rPr>
              <w:br w:type="textWrapping"/>
            </w:r>
            <w:r>
              <w:rPr>
                <w:rFonts w:hint="eastAsia" w:ascii="宋体" w:hAnsi="宋体" w:cs="Tahoma"/>
              </w:rPr>
              <w:t>33. 支持多图对比展示功能，可将多位学生的作业、试卷或实验结果进行拍摄，并上传至智能平板的互动教学软件里进行对比展示，支持点评功能，可给每位同学的作品以不同的奖章。</w:t>
            </w:r>
            <w:r>
              <w:rPr>
                <w:rFonts w:hint="eastAsia" w:ascii="宋体" w:hAnsi="宋体" w:cs="Tahoma"/>
              </w:rPr>
              <w:br w:type="textWrapping"/>
            </w:r>
            <w:r>
              <w:rPr>
                <w:rFonts w:hint="eastAsia" w:ascii="宋体" w:hAnsi="宋体" w:cs="Tahoma"/>
              </w:rPr>
              <w:t>34. 具备本地文件智能管理功能，可对移动终端上的图片、视频自动分类，方便快速找到相应文件，并支持一键上传到交互智能平板中并打开。</w:t>
            </w:r>
            <w:r>
              <w:rPr>
                <w:rFonts w:hint="eastAsia" w:ascii="宋体" w:hAnsi="宋体" w:cs="Tahoma"/>
              </w:rPr>
              <w:br w:type="textWrapping"/>
            </w:r>
            <w:r>
              <w:rPr>
                <w:rFonts w:hint="eastAsia" w:ascii="宋体" w:hAnsi="宋体" w:cs="Tahoma"/>
              </w:rPr>
              <w:t>35. 支持操作指引教学，在老师第一次使用软件时，提供箭头指引，让老师逐步熟悉软件使用。</w:t>
            </w:r>
            <w:r>
              <w:rPr>
                <w:rFonts w:hint="eastAsia" w:ascii="宋体" w:hAnsi="宋体" w:cs="Tahoma"/>
              </w:rPr>
              <w:br w:type="textWrapping"/>
            </w:r>
            <w:r>
              <w:rPr>
                <w:rFonts w:hint="eastAsia" w:ascii="宋体" w:hAnsi="宋体" w:cs="Tahoma"/>
              </w:rPr>
              <w:t>36. ★以上所有功能操作需在同一软件平台上实现，且需保证移动授课软件与交互智能平板设备为同一品牌，以保证软件稳定性。（提供软件著作权证书及软件产品登记证书的复印件加盖软件开发商公章）</w:t>
            </w:r>
            <w:r>
              <w:rPr>
                <w:rFonts w:hint="eastAsia" w:ascii="宋体" w:hAnsi="宋体" w:cs="Tahoma"/>
              </w:rPr>
              <w:br w:type="textWrapping"/>
            </w:r>
            <w:r>
              <w:rPr>
                <w:rFonts w:hint="eastAsia" w:ascii="宋体" w:hAnsi="宋体" w:cs="Tahoma"/>
              </w:rPr>
              <w:t>软件功能</w:t>
            </w:r>
            <w:r>
              <w:rPr>
                <w:rFonts w:hint="eastAsia" w:ascii="宋体" w:hAnsi="宋体" w:cs="Tahoma"/>
              </w:rPr>
              <w:br w:type="textWrapping"/>
            </w:r>
            <w:r>
              <w:rPr>
                <w:rFonts w:hint="eastAsia" w:ascii="宋体" w:hAnsi="宋体" w:cs="Tahoma"/>
              </w:rPr>
              <w:t>平台支持：平台自带备授课一体化软件</w:t>
            </w:r>
            <w:r>
              <w:rPr>
                <w:rFonts w:hint="eastAsia" w:ascii="宋体" w:hAnsi="宋体" w:cs="Tahoma"/>
              </w:rPr>
              <w:br w:type="textWrapping"/>
            </w:r>
            <w:r>
              <w:rPr>
                <w:rFonts w:hint="eastAsia" w:ascii="宋体" w:hAnsi="宋体" w:cs="Tahoma"/>
              </w:rPr>
              <w:t>整体设计：</w:t>
            </w:r>
            <w:r>
              <w:rPr>
                <w:rFonts w:hint="eastAsia" w:ascii="宋体" w:hAnsi="宋体" w:cs="Tahoma"/>
              </w:rPr>
              <w:br w:type="textWrapping"/>
            </w:r>
            <w:r>
              <w:rPr>
                <w:rFonts w:hint="eastAsia" w:ascii="宋体" w:hAnsi="宋体" w:cs="Tahoma"/>
              </w:rPr>
              <w:t>1备授课一体化，具有备课模式及授课模式，且操作界面根据备课和授课使用场景不同而区别设计，符合用户使用需求。</w:t>
            </w:r>
            <w:r>
              <w:rPr>
                <w:rFonts w:hint="eastAsia" w:ascii="宋体" w:hAnsi="宋体" w:cs="Tahoma"/>
              </w:rPr>
              <w:br w:type="textWrapping"/>
            </w:r>
            <w:r>
              <w:rPr>
                <w:rFonts w:hint="eastAsia" w:ascii="宋体" w:hAnsi="宋体" w:cs="Tahoma"/>
              </w:rPr>
              <w:t>2★支持老师个人账号注册登录使用及通过USB key进行身份快速识别登录。</w:t>
            </w:r>
            <w:r>
              <w:rPr>
                <w:rFonts w:hint="eastAsia" w:ascii="宋体" w:hAnsi="宋体" w:cs="Tahoma"/>
              </w:rPr>
              <w:br w:type="textWrapping"/>
            </w:r>
            <w:r>
              <w:rPr>
                <w:rFonts w:hint="eastAsia" w:ascii="宋体" w:hAnsi="宋体" w:cs="Tahoma"/>
              </w:rPr>
              <w:t>3支持课件云存储，无需使用U盘等存储设备，老师只需联网登录即可获取云课件。</w:t>
            </w:r>
            <w:r>
              <w:rPr>
                <w:rFonts w:hint="eastAsia" w:ascii="宋体" w:hAnsi="宋体" w:cs="Tahoma"/>
              </w:rPr>
              <w:br w:type="textWrapping"/>
            </w:r>
            <w:r>
              <w:rPr>
                <w:rFonts w:hint="eastAsia" w:ascii="宋体" w:hAnsi="宋体" w:cs="Tahoma"/>
              </w:rPr>
              <w:t>4支持课件云同步，课件上的所有修改、操作均可实时同步至云端，无需单独保存上传，确保多终端调用同个课件均为最新版本。</w:t>
            </w:r>
            <w:r>
              <w:rPr>
                <w:rFonts w:hint="eastAsia" w:ascii="宋体" w:hAnsi="宋体" w:cs="Tahoma"/>
              </w:rPr>
              <w:br w:type="textWrapping"/>
            </w:r>
            <w:r>
              <w:rPr>
                <w:rFonts w:hint="eastAsia" w:ascii="宋体" w:hAnsi="宋体" w:cs="Tahoma"/>
              </w:rPr>
              <w:t>5支持意见反馈机制，老师可通过软件给原厂发送问题及反馈建议，支持文字及图片。</w:t>
            </w:r>
            <w:r>
              <w:rPr>
                <w:rFonts w:hint="eastAsia" w:ascii="宋体" w:hAnsi="宋体" w:cs="Tahoma"/>
              </w:rPr>
              <w:br w:type="textWrapping"/>
            </w:r>
            <w:r>
              <w:rPr>
                <w:rFonts w:hint="eastAsia" w:ascii="宋体" w:hAnsi="宋体" w:cs="Tahoma"/>
              </w:rPr>
              <w:t xml:space="preserve">6支持软件联网自动静默升级，无需用户手动更新。  </w:t>
            </w:r>
            <w:r>
              <w:rPr>
                <w:rFonts w:hint="eastAsia" w:ascii="宋体" w:hAnsi="宋体" w:cs="Tahoma"/>
              </w:rPr>
              <w:br w:type="textWrapping"/>
            </w:r>
            <w:r>
              <w:rPr>
                <w:rFonts w:hint="eastAsia" w:ascii="宋体" w:hAnsi="宋体" w:cs="Tahoma"/>
              </w:rPr>
              <w:t>7★为保证硬件与软件系统的兼容性，交互智能平板与备授课一体化软件需为同一制造商生产，具有同一品牌。</w:t>
            </w:r>
            <w:r>
              <w:rPr>
                <w:rFonts w:hint="eastAsia" w:ascii="宋体" w:hAnsi="宋体" w:cs="Tahoma"/>
              </w:rPr>
              <w:br w:type="textWrapping"/>
            </w:r>
            <w:r>
              <w:rPr>
                <w:rFonts w:hint="eastAsia" w:ascii="宋体" w:hAnsi="宋体" w:cs="Tahoma"/>
              </w:rPr>
              <w:t>备课模式：</w:t>
            </w:r>
            <w:r>
              <w:rPr>
                <w:rFonts w:hint="eastAsia" w:ascii="宋体" w:hAnsi="宋体" w:cs="Tahoma"/>
              </w:rPr>
              <w:br w:type="textWrapping"/>
            </w:r>
            <w:r>
              <w:rPr>
                <w:rFonts w:hint="eastAsia" w:ascii="宋体" w:hAnsi="宋体" w:cs="Tahoma"/>
              </w:rPr>
              <w:t>8课件背景：提供不少于12种以上背景模板供老师选择，支持自定义背景。</w:t>
            </w:r>
            <w:r>
              <w:rPr>
                <w:rFonts w:hint="eastAsia" w:ascii="宋体" w:hAnsi="宋体" w:cs="Tahoma"/>
              </w:rPr>
              <w:br w:type="textWrapping"/>
            </w:r>
            <w:r>
              <w:rPr>
                <w:rFonts w:hint="eastAsia" w:ascii="宋体" w:hAnsi="宋体" w:cs="Tahoma"/>
              </w:rPr>
              <w:t>9文本框：支持文本输入并可快速设置字体、大小、颜色、粗体、斜体、下划线、上角标、下角标、项目符号，方便指数、化学式等复杂文本的输入。可对文本的对齐、缩进、行高等进行设置。</w:t>
            </w:r>
            <w:r>
              <w:rPr>
                <w:rFonts w:hint="eastAsia" w:ascii="宋体" w:hAnsi="宋体" w:cs="Tahoma"/>
              </w:rPr>
              <w:br w:type="textWrapping"/>
            </w:r>
            <w:r>
              <w:rPr>
                <w:rFonts w:hint="eastAsia" w:ascii="宋体" w:hAnsi="宋体" w:cs="Tahoma"/>
              </w:rPr>
              <w:t>10多媒体导入：支持导入图片、音视频等多媒体文件供备课使用，兼容以下格式：rm\rmvb\wmv\avi\mp4\3gp\mkv\flv\mp3\wav\nzh\wma\dss\aac\bmp\jpg\jpeg\enb\xja\gif\flash</w:t>
            </w:r>
            <w:r>
              <w:rPr>
                <w:rFonts w:hint="eastAsia" w:ascii="宋体" w:hAnsi="宋体" w:cs="Tahoma"/>
              </w:rPr>
              <w:br w:type="textWrapping"/>
            </w:r>
            <w:r>
              <w:rPr>
                <w:rFonts w:hint="eastAsia" w:ascii="宋体" w:hAnsi="宋体" w:cs="Tahoma"/>
              </w:rPr>
              <w:t>11艺术字：提供不少于15种以上预设艺术字效果供选择，方便对文本进行美化。</w:t>
            </w:r>
            <w:r>
              <w:rPr>
                <w:rFonts w:hint="eastAsia" w:ascii="宋体" w:hAnsi="宋体" w:cs="Tahoma"/>
              </w:rPr>
              <w:br w:type="textWrapping"/>
            </w:r>
            <w:r>
              <w:rPr>
                <w:rFonts w:hint="eastAsia" w:ascii="宋体" w:hAnsi="宋体" w:cs="Tahoma"/>
              </w:rPr>
              <w:t>12基础图形：支持直线、箭头、正方形、圆角四边形、平行四边形、圆形、等腰三角形、直角三角形、菱形、梯形、五边形等基本图形绘制。</w:t>
            </w:r>
            <w:r>
              <w:rPr>
                <w:rFonts w:hint="eastAsia" w:ascii="宋体" w:hAnsi="宋体" w:cs="Tahoma"/>
              </w:rPr>
              <w:br w:type="textWrapping"/>
            </w:r>
            <w:r>
              <w:rPr>
                <w:rFonts w:hint="eastAsia" w:ascii="宋体" w:hAnsi="宋体" w:cs="Tahoma"/>
              </w:rPr>
              <w:t>13高级图形：支持对话框、五角星、大括号、旗子等特殊图形绘制，同时支持自定义绘制复杂的任意多边形及曲边图形。</w:t>
            </w:r>
            <w:r>
              <w:rPr>
                <w:rFonts w:hint="eastAsia" w:ascii="宋体" w:hAnsi="宋体" w:cs="Tahoma"/>
              </w:rPr>
              <w:br w:type="textWrapping"/>
            </w:r>
            <w:r>
              <w:rPr>
                <w:rFonts w:hint="eastAsia" w:ascii="宋体" w:hAnsi="宋体" w:cs="Tahoma"/>
              </w:rPr>
              <w:t>14图形编辑：支持对图形对象进行颜色、边框、阴影、倒影、透明度等属性设置。</w:t>
            </w:r>
            <w:r>
              <w:rPr>
                <w:rFonts w:hint="eastAsia" w:ascii="宋体" w:hAnsi="宋体" w:cs="Tahoma"/>
              </w:rPr>
              <w:br w:type="textWrapping"/>
            </w:r>
            <w:r>
              <w:rPr>
                <w:rFonts w:hint="eastAsia" w:ascii="宋体" w:hAnsi="宋体" w:cs="Tahoma"/>
              </w:rPr>
              <w:t>15触发动画：支持至少10种或以上触发动画设置，可单独设置该动画通过翻页或单击对象本身进行触发，部分动画可自定义展现时间和动作方向。</w:t>
            </w:r>
            <w:r>
              <w:rPr>
                <w:rFonts w:hint="eastAsia" w:ascii="宋体" w:hAnsi="宋体" w:cs="Tahoma"/>
              </w:rPr>
              <w:br w:type="textWrapping"/>
            </w:r>
            <w:r>
              <w:rPr>
                <w:rFonts w:hint="eastAsia" w:ascii="宋体" w:hAnsi="宋体" w:cs="Tahoma"/>
              </w:rPr>
              <w:t>16路径动画：支持任意对象自定义路径动画设置，可绘制任意的移动轨迹并让对象沿着轨迹路径进行移动，可单独设置该动画通过翻页或单击对象本身进行触发。</w:t>
            </w:r>
            <w:r>
              <w:rPr>
                <w:rFonts w:hint="eastAsia" w:ascii="宋体" w:hAnsi="宋体" w:cs="Tahoma"/>
              </w:rPr>
              <w:br w:type="textWrapping"/>
            </w:r>
            <w:r>
              <w:rPr>
                <w:rFonts w:hint="eastAsia" w:ascii="宋体" w:hAnsi="宋体" w:cs="Tahoma"/>
              </w:rPr>
              <w:t>17翻页动画：支持至少5种或以上课件页面翻页动画设置。</w:t>
            </w:r>
            <w:r>
              <w:rPr>
                <w:rFonts w:hint="eastAsia" w:ascii="宋体" w:hAnsi="宋体" w:cs="Tahoma"/>
              </w:rPr>
              <w:br w:type="textWrapping"/>
            </w:r>
            <w:r>
              <w:rPr>
                <w:rFonts w:hint="eastAsia" w:ascii="宋体" w:hAnsi="宋体" w:cs="Tahoma"/>
              </w:rPr>
              <w:t>18图片裁切：无需借助截图工具，可对导入的图片进行裁切，可调整裁切边框。</w:t>
            </w:r>
            <w:r>
              <w:rPr>
                <w:rFonts w:hint="eastAsia" w:ascii="宋体" w:hAnsi="宋体" w:cs="Tahoma"/>
              </w:rPr>
              <w:br w:type="textWrapping"/>
            </w:r>
            <w:r>
              <w:rPr>
                <w:rFonts w:hint="eastAsia" w:ascii="宋体" w:hAnsi="宋体" w:cs="Tahoma"/>
              </w:rPr>
              <w:t xml:space="preserve">19快捷抠图：无需借助专业图片处理软件，即可在白板软件中对导入的图片进行快捷抠图、去背景，处理后的图片主体边缘没有明显毛边，可导出保存成PNG格式。 </w:t>
            </w:r>
            <w:r>
              <w:rPr>
                <w:rFonts w:hint="eastAsia" w:ascii="宋体" w:hAnsi="宋体" w:cs="Tahoma"/>
              </w:rPr>
              <w:br w:type="textWrapping"/>
            </w:r>
            <w:r>
              <w:rPr>
                <w:rFonts w:hint="eastAsia" w:ascii="宋体" w:hAnsi="宋体" w:cs="Tahoma"/>
              </w:rPr>
              <w:t>20蒙层工具：一键对输入的文本、图片、形状设置蒙层进行隐藏，授课模式下可通过擦除蒙层展现图片，丰富课件互动展示效果。</w:t>
            </w:r>
            <w:r>
              <w:rPr>
                <w:rFonts w:hint="eastAsia" w:ascii="宋体" w:hAnsi="宋体" w:cs="Tahoma"/>
              </w:rPr>
              <w:br w:type="textWrapping"/>
            </w:r>
            <w:r>
              <w:rPr>
                <w:rFonts w:hint="eastAsia" w:ascii="宋体" w:hAnsi="宋体" w:cs="Tahoma"/>
              </w:rPr>
              <w:t>21多媒体打点：支持对音频、视频文件进行打点，可在音、视频进度条任意位置设置多处开始播放节点，免去复杂的音视频剪辑，方便老师快速定位关键教学内容。</w:t>
            </w:r>
            <w:r>
              <w:rPr>
                <w:rFonts w:hint="eastAsia" w:ascii="宋体" w:hAnsi="宋体" w:cs="Tahoma"/>
              </w:rPr>
              <w:br w:type="textWrapping"/>
            </w:r>
            <w:r>
              <w:rPr>
                <w:rFonts w:hint="eastAsia" w:ascii="宋体" w:hAnsi="宋体" w:cs="Tahoma"/>
              </w:rPr>
              <w:t>22音频播放：支持音频文件导入到白板软件中进行播放，并可设置多种播放方式，包括单次播放、循环播放、跨页面播放和自动播放等，适合不同教学场景。</w:t>
            </w:r>
            <w:r>
              <w:rPr>
                <w:rFonts w:hint="eastAsia" w:ascii="宋体" w:hAnsi="宋体" w:cs="Tahoma"/>
              </w:rPr>
              <w:br w:type="textWrapping"/>
            </w:r>
            <w:r>
              <w:rPr>
                <w:rFonts w:hint="eastAsia" w:ascii="宋体" w:hAnsi="宋体" w:cs="Tahoma"/>
              </w:rPr>
              <w:t>23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10种游戏模板，直接选择并输入相应内容即可轻松生成互动分类游戏，提升课堂趣味性。</w:t>
            </w:r>
            <w:r>
              <w:rPr>
                <w:rFonts w:hint="eastAsia" w:ascii="宋体" w:hAnsi="宋体" w:cs="Tahoma"/>
              </w:rPr>
              <w:br w:type="textWrapping"/>
            </w:r>
            <w:r>
              <w:rPr>
                <w:rFonts w:hint="eastAsia" w:ascii="宋体" w:hAnsi="宋体" w:cs="Tahoma"/>
              </w:rPr>
              <w:t>24智能选词填空：支持创建智能选词填空游戏，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cs="Tahoma"/>
              </w:rPr>
              <w:br w:type="textWrapping"/>
            </w:r>
            <w:r>
              <w:rPr>
                <w:rFonts w:hint="eastAsia" w:ascii="宋体" w:hAnsi="宋体" w:cs="Tahoma"/>
              </w:rPr>
              <w:t>25数学公式编辑器：支持复杂数学公式输入，提供不少于20个数学符号及模板，输出的公式内容支持不同颜色标记及二次编辑。</w:t>
            </w:r>
            <w:r>
              <w:rPr>
                <w:rFonts w:hint="eastAsia" w:ascii="宋体" w:hAnsi="宋体" w:cs="Tahoma"/>
              </w:rPr>
              <w:br w:type="textWrapping"/>
            </w:r>
            <w:r>
              <w:rPr>
                <w:rFonts w:hint="eastAsia" w:ascii="宋体" w:hAnsi="宋体" w:cs="Tahoma"/>
              </w:rPr>
              <w:t>26支持数学函数图像绘制，包含正比例函数、一次函数、二次函数、反比例函数等，可调节缩放坐标轴，函数图生成后可重新编辑。</w:t>
            </w:r>
            <w:r>
              <w:rPr>
                <w:rFonts w:hint="eastAsia" w:ascii="宋体" w:hAnsi="宋体" w:cs="Tahoma"/>
              </w:rPr>
              <w:br w:type="textWrapping"/>
            </w:r>
            <w:r>
              <w:rPr>
                <w:rFonts w:hint="eastAsia" w:ascii="宋体" w:hAnsi="宋体" w:cs="Tahoma"/>
              </w:rPr>
              <w:t>27几何工具：</w:t>
            </w:r>
            <w:r>
              <w:rPr>
                <w:rFonts w:hint="eastAsia" w:ascii="宋体" w:hAnsi="宋体" w:cs="Tahoma"/>
              </w:rPr>
              <w:br w:type="textWrapping"/>
            </w:r>
            <w:r>
              <w:rPr>
                <w:rFonts w:hint="eastAsia" w:ascii="宋体" w:hAnsi="宋体" w:cs="Tahoma"/>
              </w:rPr>
              <w:t>a) 支持输入任意长度线条，并可设置为线段、射线。</w:t>
            </w:r>
            <w:r>
              <w:rPr>
                <w:rFonts w:hint="eastAsia" w:ascii="宋体" w:hAnsi="宋体" w:cs="Tahoma"/>
              </w:rPr>
              <w:br w:type="textWrapping"/>
            </w:r>
            <w:r>
              <w:rPr>
                <w:rFonts w:hint="eastAsia" w:ascii="宋体" w:hAnsi="宋体" w:cs="Tahoma"/>
              </w:rPr>
              <w:t>b) 支持输入任意边数及角度的图形，可显示或隐藏角度大小，并可直接通过修改角度编辑图形。</w:t>
            </w:r>
            <w:r>
              <w:rPr>
                <w:rFonts w:hint="eastAsia" w:ascii="宋体" w:hAnsi="宋体" w:cs="Tahoma"/>
              </w:rPr>
              <w:br w:type="textWrapping"/>
            </w:r>
            <w:r>
              <w:rPr>
                <w:rFonts w:hint="eastAsia" w:ascii="宋体" w:hAnsi="宋体" w:cs="Tahoma"/>
              </w:rPr>
              <w:t>c) 支持输入任意角度的扇形及圆形，可显示角度大小。</w:t>
            </w:r>
            <w:r>
              <w:rPr>
                <w:rFonts w:hint="eastAsia" w:ascii="宋体" w:hAnsi="宋体" w:cs="Tahoma"/>
              </w:rPr>
              <w:br w:type="textWrapping"/>
            </w:r>
            <w:r>
              <w:rPr>
                <w:rFonts w:hint="eastAsia" w:ascii="宋体" w:hAnsi="宋体" w:cs="Tahoma"/>
              </w:rPr>
              <w:t>d) 支持添加辅助线，可快速添加垂直线、分线、切线等。</w:t>
            </w:r>
            <w:r>
              <w:rPr>
                <w:rFonts w:hint="eastAsia" w:ascii="宋体" w:hAnsi="宋体" w:cs="Tahoma"/>
              </w:rPr>
              <w:br w:type="textWrapping"/>
            </w:r>
            <w:r>
              <w:rPr>
                <w:rFonts w:hint="eastAsia" w:ascii="宋体" w:hAnsi="宋体" w:cs="Tahoma"/>
              </w:rPr>
              <w:t>28化学方程式编辑器：支持化学方程式快速编辑，当输入一个化学元素时，软件界面将自动显示出和该元素相关的多个常用化学反应方程式，老师可直接选择使用。插入后的化学方程式可重新编辑。</w:t>
            </w:r>
            <w:r>
              <w:rPr>
                <w:rFonts w:hint="eastAsia" w:ascii="宋体" w:hAnsi="宋体" w:cs="Tahoma"/>
              </w:rPr>
              <w:br w:type="textWrapping"/>
            </w:r>
            <w:r>
              <w:rPr>
                <w:rFonts w:hint="eastAsia" w:ascii="宋体" w:hAnsi="宋体" w:cs="Tahoma"/>
              </w:rPr>
              <w:t>29思维导图：提供思维导图编辑功能，可轻松增删或拖拽编辑内容节点，并支持在节点上插入图片、音频、视频、网页链接、课件页面链接。支持思维导图逐级、逐个节点展开，并可任意缩放，满足不同演示需求。</w:t>
            </w:r>
            <w:r>
              <w:rPr>
                <w:rFonts w:hint="eastAsia" w:ascii="宋体" w:hAnsi="宋体" w:cs="Tahoma"/>
              </w:rPr>
              <w:br w:type="textWrapping"/>
            </w:r>
            <w:r>
              <w:rPr>
                <w:rFonts w:hint="eastAsia" w:ascii="宋体" w:hAnsi="宋体" w:cs="Tahoma"/>
              </w:rPr>
              <w:t>30排版：支持对多对象的叠放层级、对齐方式进行设置，可将多对象进行组合、锁定。支持自动对齐线及等距线，方便排版。</w:t>
            </w:r>
            <w:r>
              <w:rPr>
                <w:rFonts w:hint="eastAsia" w:ascii="宋体" w:hAnsi="宋体" w:cs="Tahoma"/>
              </w:rPr>
              <w:br w:type="textWrapping"/>
            </w:r>
            <w:r>
              <w:rPr>
                <w:rFonts w:hint="eastAsia" w:ascii="宋体" w:hAnsi="宋体" w:cs="Tahoma"/>
              </w:rPr>
              <w:t>31四线三格：支持调出英语专用的四线三格，并配套人教版英语辅助教材配套的手写体设计。</w:t>
            </w:r>
            <w:r>
              <w:rPr>
                <w:rFonts w:hint="eastAsia" w:ascii="宋体" w:hAnsi="宋体" w:cs="Tahoma"/>
              </w:rPr>
              <w:br w:type="textWrapping"/>
            </w:r>
            <w:r>
              <w:rPr>
                <w:rFonts w:hint="eastAsia" w:ascii="宋体" w:hAnsi="宋体" w:cs="Tahoma"/>
              </w:rPr>
              <w:t>32工具自定义：支持自定义设置授课模式白板工具按钮，老师可自行选择符合自身教学需要的教学工具，且教学工具自定义结果可与课件内容云端同步保存。</w:t>
            </w:r>
            <w:r>
              <w:rPr>
                <w:rFonts w:hint="eastAsia" w:ascii="宋体" w:hAnsi="宋体" w:cs="Tahoma"/>
              </w:rPr>
              <w:br w:type="textWrapping"/>
            </w:r>
            <w:r>
              <w:rPr>
                <w:rFonts w:hint="eastAsia" w:ascii="宋体" w:hAnsi="宋体" w:cs="Tahoma"/>
              </w:rPr>
              <w:t>33学科工具：根据老师账号中设置的学科不同，相关联学科的教学工具会自动在备课模式工具栏中呈现，其他无关工具则隐藏到二级菜单中，供老师需要时再去选择。</w:t>
            </w:r>
            <w:r>
              <w:rPr>
                <w:rFonts w:hint="eastAsia" w:ascii="宋体" w:hAnsi="宋体" w:cs="Tahoma"/>
              </w:rPr>
              <w:br w:type="textWrapping"/>
            </w:r>
            <w:r>
              <w:rPr>
                <w:rFonts w:hint="eastAsia" w:ascii="宋体" w:hAnsi="宋体" w:cs="Tahoma"/>
              </w:rPr>
              <w:t>授课模式：</w:t>
            </w:r>
            <w:r>
              <w:rPr>
                <w:rFonts w:hint="eastAsia" w:ascii="宋体" w:hAnsi="宋体" w:cs="Tahoma"/>
              </w:rPr>
              <w:br w:type="textWrapping"/>
            </w:r>
            <w:r>
              <w:rPr>
                <w:rFonts w:hint="eastAsia" w:ascii="宋体" w:hAnsi="宋体" w:cs="Tahoma"/>
              </w:rPr>
              <w:t>34书写：支持多笔同时书写，可自由选择笔颜色及粗细，支持手势擦除。</w:t>
            </w:r>
            <w:r>
              <w:rPr>
                <w:rFonts w:hint="eastAsia" w:ascii="宋体" w:hAnsi="宋体" w:cs="Tahoma"/>
              </w:rPr>
              <w:br w:type="textWrapping"/>
            </w:r>
            <w:r>
              <w:rPr>
                <w:rFonts w:hint="eastAsia" w:ascii="宋体" w:hAnsi="宋体" w:cs="Tahoma"/>
              </w:rPr>
              <w:t>35支持课件页面预览、页面跳转及上下翻页。</w:t>
            </w:r>
            <w:r>
              <w:rPr>
                <w:rFonts w:hint="eastAsia" w:ascii="宋体" w:hAnsi="宋体" w:cs="Tahoma"/>
              </w:rPr>
              <w:br w:type="textWrapping"/>
            </w:r>
            <w:r>
              <w:rPr>
                <w:rFonts w:hint="eastAsia" w:ascii="宋体" w:hAnsi="宋体" w:cs="Tahoma"/>
              </w:rPr>
              <w:t>36放大镜：支持调用放大镜工具进行局部画面放大，可设置放大比例及聚光灯效果。</w:t>
            </w:r>
            <w:r>
              <w:rPr>
                <w:rFonts w:hint="eastAsia" w:ascii="宋体" w:hAnsi="宋体" w:cs="Tahoma"/>
              </w:rPr>
              <w:br w:type="textWrapping"/>
            </w:r>
            <w:r>
              <w:rPr>
                <w:rFonts w:hint="eastAsia" w:ascii="宋体" w:hAnsi="宋体" w:cs="Tahoma"/>
              </w:rPr>
              <w:t>37板中板：支持调用板中板辅助教学，可直接批注及加页，不影响课件主画面。</w:t>
            </w:r>
            <w:r>
              <w:rPr>
                <w:rFonts w:hint="eastAsia" w:ascii="宋体" w:hAnsi="宋体" w:cs="Tahoma"/>
              </w:rPr>
              <w:br w:type="textWrapping"/>
            </w:r>
            <w:r>
              <w:rPr>
                <w:rFonts w:hint="eastAsia" w:ascii="宋体" w:hAnsi="宋体" w:cs="Tahoma"/>
              </w:rPr>
              <w:t>38撤销重做：支持白板操作撤销和重做，防止误操作影响教学。</w:t>
            </w:r>
            <w:r>
              <w:rPr>
                <w:rFonts w:hint="eastAsia" w:ascii="宋体" w:hAnsi="宋体" w:cs="Tahoma"/>
              </w:rPr>
              <w:br w:type="textWrapping"/>
            </w:r>
            <w:r>
              <w:rPr>
                <w:rFonts w:hint="eastAsia" w:ascii="宋体" w:hAnsi="宋体" w:cs="Tahoma"/>
              </w:rPr>
              <w:t>39汉字工具：支持在田字格上书写汉字并自动识别为印刷体，可展示该汉字的读音、笔画顺序、笔画数量等。支持用户反馈汉字错误，保证字库正确性。</w:t>
            </w:r>
            <w:r>
              <w:rPr>
                <w:rFonts w:hint="eastAsia" w:ascii="宋体" w:hAnsi="宋体" w:cs="Tahoma"/>
              </w:rPr>
              <w:br w:type="textWrapping"/>
            </w:r>
            <w:r>
              <w:rPr>
                <w:rFonts w:hint="eastAsia" w:ascii="宋体" w:hAnsi="宋体" w:cs="Tahoma"/>
              </w:rPr>
              <w:t>40拼音工具：支持在拼音格中输入拼音字母，可展示该字母的标准四声读音以及笔画。</w:t>
            </w:r>
            <w:r>
              <w:rPr>
                <w:rFonts w:hint="eastAsia" w:ascii="宋体" w:hAnsi="宋体" w:cs="Tahoma"/>
              </w:rPr>
              <w:br w:type="textWrapping"/>
            </w:r>
            <w:r>
              <w:rPr>
                <w:rFonts w:hint="eastAsia" w:ascii="宋体" w:hAnsi="宋体" w:cs="Tahoma"/>
              </w:rPr>
              <w:t>41英汉字典：支持输入英文单词，生成包含释义和读音的单词卡，可插入多个单词卡。</w:t>
            </w:r>
            <w:r>
              <w:rPr>
                <w:rFonts w:hint="eastAsia" w:ascii="宋体" w:hAnsi="宋体" w:cs="Tahoma"/>
              </w:rPr>
              <w:br w:type="textWrapping"/>
            </w:r>
            <w:r>
              <w:rPr>
                <w:rFonts w:hint="eastAsia" w:ascii="宋体" w:hAnsi="宋体" w:cs="Tahoma"/>
              </w:rPr>
              <w:t>42美术画板：支持美术画板工具，提供铅笔、毛笔、油画笔，可实现模拟调色盘功能，老师可自由选择不同颜色进行混合调色，搭配出任意色彩。</w:t>
            </w:r>
            <w:r>
              <w:rPr>
                <w:rFonts w:hint="eastAsia" w:ascii="宋体" w:hAnsi="宋体" w:cs="Tahoma"/>
              </w:rPr>
              <w:br w:type="textWrapping"/>
            </w:r>
            <w:r>
              <w:rPr>
                <w:rFonts w:hint="eastAsia" w:ascii="宋体" w:hAnsi="宋体" w:cs="Tahoma"/>
              </w:rPr>
              <w:t>43 3D星球模型：提供3D立体星球模型，包括地球、太阳、火星、水星、木星、金星、土星、海王星、天王星，支持360°自由旋转、缩放展示。</w:t>
            </w:r>
            <w:r>
              <w:rPr>
                <w:rFonts w:hint="eastAsia" w:ascii="宋体" w:hAnsi="宋体" w:cs="Tahoma"/>
              </w:rPr>
              <w:br w:type="textWrapping"/>
            </w:r>
            <w:r>
              <w:rPr>
                <w:rFonts w:hint="eastAsia" w:ascii="宋体" w:hAnsi="宋体" w:cs="Tahoma"/>
              </w:rPr>
              <w:t>44地球教学工具：提供立体地球教学工具，清晰展现地球表面的六大板块、降水分布、气温分布、气候分布、人口分布、表层洋流、陆地自然带、海平面等压线等内容，且支持三维、二维切换展示，方便地理学科教学。</w:t>
            </w:r>
            <w:r>
              <w:rPr>
                <w:rFonts w:hint="eastAsia" w:ascii="宋体" w:hAnsi="宋体" w:cs="Tahoma"/>
              </w:rPr>
              <w:br w:type="textWrapping"/>
            </w:r>
            <w:r>
              <w:rPr>
                <w:rFonts w:hint="eastAsia" w:ascii="宋体" w:hAnsi="宋体" w:cs="Tahoma"/>
              </w:rPr>
              <w:t>45文件导入：支持授课时本地导入并打开图片、音频、视频等多媒体文件，如设备插入U盘，则系统会自动优先显示U盘中的内容供用户选择导入。</w:t>
            </w:r>
            <w:r>
              <w:rPr>
                <w:rFonts w:hint="eastAsia" w:ascii="宋体" w:hAnsi="宋体" w:cs="Tahoma"/>
              </w:rPr>
              <w:br w:type="textWrapping"/>
            </w:r>
            <w:r>
              <w:rPr>
                <w:rFonts w:hint="eastAsia" w:ascii="宋体" w:hAnsi="宋体" w:cs="Tahoma"/>
              </w:rPr>
              <w:t>46实验资源：提供不少于30个物理及化学三维实验视频，覆盖常用经典教学实验。</w:t>
            </w:r>
            <w:r>
              <w:rPr>
                <w:rFonts w:hint="eastAsia" w:ascii="宋体" w:hAnsi="宋体" w:cs="Tahoma"/>
              </w:rPr>
              <w:br w:type="textWrapping"/>
            </w:r>
            <w:r>
              <w:rPr>
                <w:rFonts w:hint="eastAsia" w:ascii="宋体" w:hAnsi="宋体" w:cs="Tahoma"/>
              </w:rPr>
              <w:t>47教学资源：</w:t>
            </w:r>
            <w:r>
              <w:rPr>
                <w:rFonts w:hint="eastAsia" w:ascii="宋体" w:hAnsi="宋体" w:cs="Tahoma"/>
              </w:rPr>
              <w:br w:type="textWrapping"/>
            </w:r>
            <w:r>
              <w:rPr>
                <w:rFonts w:hint="eastAsia" w:ascii="宋体" w:hAnsi="宋体" w:cs="Tahoma"/>
              </w:rPr>
              <w:br w:type="textWrapping"/>
            </w:r>
            <w:r>
              <w:rPr>
                <w:rFonts w:hint="eastAsia" w:ascii="宋体" w:hAnsi="宋体" w:cs="Tahoma"/>
              </w:rPr>
              <w:t>整体设计：</w:t>
            </w:r>
            <w:r>
              <w:rPr>
                <w:rFonts w:hint="eastAsia" w:ascii="宋体" w:hAnsi="宋体" w:cs="Tahoma"/>
              </w:rPr>
              <w:br w:type="textWrapping"/>
            </w:r>
            <w:r>
              <w:rPr>
                <w:rFonts w:hint="eastAsia" w:ascii="宋体" w:hAnsi="宋体" w:cs="Tahoma"/>
              </w:rPr>
              <w:t>1. 学生行为评价系统，集成四大功能模块：学校管理中心、教师管理中心、课堂表现评价、家校互联互通，功能及操作均在同一软件平台同一账号体系实现。</w:t>
            </w:r>
            <w:r>
              <w:rPr>
                <w:rFonts w:hint="eastAsia" w:ascii="宋体" w:hAnsi="宋体" w:cs="Tahoma"/>
              </w:rPr>
              <w:br w:type="textWrapping"/>
            </w:r>
            <w:r>
              <w:rPr>
                <w:rFonts w:hint="eastAsia" w:ascii="宋体" w:hAnsi="宋体" w:cs="Tahoma"/>
              </w:rPr>
              <w:t>2. 支持PC客户端、PC网页端、安卓手机端、苹果手机端登陆使用，且各个端的数据是互通的，方便老师随时随地对学生进行管理与评价。</w:t>
            </w:r>
            <w:r>
              <w:rPr>
                <w:rFonts w:hint="eastAsia" w:ascii="宋体" w:hAnsi="宋体" w:cs="Tahoma"/>
              </w:rPr>
              <w:br w:type="textWrapping"/>
            </w:r>
            <w:r>
              <w:rPr>
                <w:rFonts w:hint="eastAsia" w:ascii="宋体" w:hAnsi="宋体" w:cs="Tahoma"/>
              </w:rPr>
              <w:t>3. 支持多个老师管理同一个班级，从而满足一个班级有班主任和多个任课老师的实际情况。支持邀请家长入班，使家长可查看到自己的孩子在学校的各种表现。</w:t>
            </w:r>
            <w:r>
              <w:rPr>
                <w:rFonts w:hint="eastAsia" w:ascii="宋体" w:hAnsi="宋体" w:cs="Tahoma"/>
              </w:rPr>
              <w:br w:type="textWrapping"/>
            </w:r>
            <w:r>
              <w:rPr>
                <w:rFonts w:hint="eastAsia" w:ascii="宋体" w:hAnsi="宋体" w:cs="Tahoma"/>
              </w:rPr>
              <w:t>4. 为保证硬件与软件系统的兼容性，交互智能平板与学生行为评价系统需为同一制造商生产，具有同一品牌。</w:t>
            </w:r>
            <w:r>
              <w:rPr>
                <w:rFonts w:hint="eastAsia" w:ascii="宋体" w:hAnsi="宋体" w:cs="Tahoma"/>
              </w:rPr>
              <w:br w:type="textWrapping"/>
            </w:r>
            <w:r>
              <w:rPr>
                <w:rFonts w:hint="eastAsia" w:ascii="宋体" w:hAnsi="宋体" w:cs="Tahoma"/>
              </w:rPr>
              <w:t>学校管理中心</w:t>
            </w:r>
            <w:r>
              <w:rPr>
                <w:rFonts w:hint="eastAsia" w:ascii="宋体" w:hAnsi="宋体" w:cs="Tahoma"/>
              </w:rPr>
              <w:br w:type="textWrapping"/>
            </w:r>
            <w:r>
              <w:rPr>
                <w:rFonts w:hint="eastAsia" w:ascii="宋体" w:hAnsi="宋体" w:cs="Tahoma"/>
              </w:rPr>
              <w:t>5. 支持邀请教师入校、审核教师的入校申请、移除学校的教师，方便学校管理员管理学校的教师信息。</w:t>
            </w:r>
            <w:r>
              <w:rPr>
                <w:rFonts w:hint="eastAsia" w:ascii="宋体" w:hAnsi="宋体" w:cs="Tahoma"/>
              </w:rPr>
              <w:br w:type="textWrapping"/>
            </w:r>
            <w:r>
              <w:rPr>
                <w:rFonts w:hint="eastAsia" w:ascii="宋体" w:hAnsi="宋体" w:cs="Tahoma"/>
              </w:rPr>
              <w:t>6. 支持查看学校下的班级列表信息，包括班级名、班主任、学生数、家长数、表扬得分与待改进得分。可自由设置查看信息的时间区间，并可显示或隐藏某个班级，方便管理员进行汇总查看。</w:t>
            </w:r>
            <w:r>
              <w:rPr>
                <w:rFonts w:hint="eastAsia" w:ascii="宋体" w:hAnsi="宋体" w:cs="Tahoma"/>
              </w:rPr>
              <w:br w:type="textWrapping"/>
            </w:r>
            <w:r>
              <w:rPr>
                <w:rFonts w:hint="eastAsia" w:ascii="宋体" w:hAnsi="宋体" w:cs="Tahoma"/>
              </w:rPr>
              <w:t>7. 支持查看学校下某个班级的详细信息，包括该班级的表现情况、考勤记录，并支持导出数据，方便管理员进行分析查看。</w:t>
            </w:r>
            <w:r>
              <w:rPr>
                <w:rFonts w:hint="eastAsia" w:ascii="宋体" w:hAnsi="宋体" w:cs="Tahoma"/>
              </w:rPr>
              <w:br w:type="textWrapping"/>
            </w:r>
            <w:r>
              <w:rPr>
                <w:rFonts w:hint="eastAsia" w:ascii="宋体" w:hAnsi="宋体" w:cs="Tahoma"/>
              </w:rPr>
              <w:t>8. 支持发送全校通知，可将图片或文字信息发送给学校的教师和家长，支持选择部分班级发送，支持选择教师或家长发送。</w:t>
            </w:r>
            <w:r>
              <w:rPr>
                <w:rFonts w:hint="eastAsia" w:ascii="宋体" w:hAnsi="宋体" w:cs="Tahoma"/>
              </w:rPr>
              <w:br w:type="textWrapping"/>
            </w:r>
            <w:r>
              <w:rPr>
                <w:rFonts w:hint="eastAsia" w:ascii="宋体" w:hAnsi="宋体" w:cs="Tahoma"/>
              </w:rPr>
              <w:t>教师管理中心</w:t>
            </w:r>
            <w:r>
              <w:rPr>
                <w:rFonts w:hint="eastAsia" w:ascii="宋体" w:hAnsi="宋体" w:cs="Tahoma"/>
              </w:rPr>
              <w:br w:type="textWrapping"/>
            </w:r>
            <w:r>
              <w:rPr>
                <w:rFonts w:hint="eastAsia" w:ascii="宋体" w:hAnsi="宋体" w:cs="Tahoma"/>
              </w:rPr>
              <w:t>9. 支持教师设置个人帐号信息，包括头像、昵称、密码、所教年级、学科。</w:t>
            </w:r>
            <w:r>
              <w:rPr>
                <w:rFonts w:hint="eastAsia" w:ascii="宋体" w:hAnsi="宋体" w:cs="Tahoma"/>
              </w:rPr>
              <w:br w:type="textWrapping"/>
            </w:r>
            <w:r>
              <w:rPr>
                <w:rFonts w:hint="eastAsia" w:ascii="宋体" w:hAnsi="宋体" w:cs="Tahoma"/>
              </w:rPr>
              <w:t>10. 支持设置班级信息，包括学段、年级、班级名称。</w:t>
            </w:r>
            <w:r>
              <w:rPr>
                <w:rFonts w:hint="eastAsia" w:ascii="宋体" w:hAnsi="宋体" w:cs="Tahoma"/>
              </w:rPr>
              <w:br w:type="textWrapping"/>
            </w:r>
            <w:r>
              <w:rPr>
                <w:rFonts w:hint="eastAsia" w:ascii="宋体" w:hAnsi="宋体" w:cs="Tahoma"/>
              </w:rPr>
              <w:t>11. 支持设置学生信息，包括学生姓名、学生所属分组。</w:t>
            </w:r>
            <w:r>
              <w:rPr>
                <w:rFonts w:hint="eastAsia" w:ascii="宋体" w:hAnsi="宋体" w:cs="Tahoma"/>
              </w:rPr>
              <w:br w:type="textWrapping"/>
            </w:r>
            <w:r>
              <w:rPr>
                <w:rFonts w:hint="eastAsia" w:ascii="宋体" w:hAnsi="宋体" w:cs="Tahoma"/>
              </w:rPr>
              <w:t>12. 支持通过输入学校邀请码的方式申请加入学校。</w:t>
            </w:r>
            <w:r>
              <w:rPr>
                <w:rFonts w:hint="eastAsia" w:ascii="宋体" w:hAnsi="宋体" w:cs="Tahoma"/>
              </w:rPr>
              <w:br w:type="textWrapping"/>
            </w:r>
            <w:r>
              <w:rPr>
                <w:rFonts w:hint="eastAsia" w:ascii="宋体" w:hAnsi="宋体" w:cs="Tahoma"/>
              </w:rPr>
              <w:t>课堂表现评价</w:t>
            </w:r>
            <w:r>
              <w:rPr>
                <w:rFonts w:hint="eastAsia" w:ascii="宋体" w:hAnsi="宋体" w:cs="Tahoma"/>
              </w:rPr>
              <w:br w:type="textWrapping"/>
            </w:r>
            <w:r>
              <w:rPr>
                <w:rFonts w:hint="eastAsia" w:ascii="宋体" w:hAnsi="宋体" w:cs="Tahoma"/>
              </w:rPr>
              <w:t>13. 老师可通过移动端、PC端及网页端对学生、小组及班级进行行为评价打分。</w:t>
            </w:r>
            <w:r>
              <w:rPr>
                <w:rFonts w:hint="eastAsia" w:ascii="宋体" w:hAnsi="宋体" w:cs="Tahoma"/>
              </w:rPr>
              <w:br w:type="textWrapping"/>
            </w:r>
            <w:r>
              <w:rPr>
                <w:rFonts w:hint="eastAsia" w:ascii="宋体" w:hAnsi="宋体" w:cs="Tahoma"/>
              </w:rPr>
              <w:t>14. 支持查看所有班级、小组、学生的评价得分，界面及头像均采用卡通化方式，提供课堂趣味性。</w:t>
            </w:r>
            <w:r>
              <w:rPr>
                <w:rFonts w:hint="eastAsia" w:ascii="宋体" w:hAnsi="宋体" w:cs="Tahoma"/>
              </w:rPr>
              <w:br w:type="textWrapping"/>
            </w:r>
            <w:r>
              <w:rPr>
                <w:rFonts w:hint="eastAsia" w:ascii="宋体" w:hAnsi="宋体" w:cs="Tahoma"/>
              </w:rPr>
              <w:t>15. 软件预设的头像类型不少于12种，并支持老师自定义符合自身教学需求的学生头像。</w:t>
            </w:r>
            <w:r>
              <w:rPr>
                <w:rFonts w:hint="eastAsia" w:ascii="宋体" w:hAnsi="宋体" w:cs="Tahoma"/>
              </w:rPr>
              <w:br w:type="textWrapping"/>
            </w:r>
            <w:r>
              <w:rPr>
                <w:rFonts w:hint="eastAsia" w:ascii="宋体" w:hAnsi="宋体" w:cs="Tahoma"/>
              </w:rPr>
              <w:t>16. 软件预设的评价类型不少于9种，并支持老师自定义符合自身教学需求的评价类型，可设置对应的图标、名称和分数。</w:t>
            </w:r>
            <w:r>
              <w:rPr>
                <w:rFonts w:hint="eastAsia" w:ascii="宋体" w:hAnsi="宋体" w:cs="Tahoma"/>
              </w:rPr>
              <w:br w:type="textWrapping"/>
            </w:r>
            <w:r>
              <w:rPr>
                <w:rFonts w:hint="eastAsia" w:ascii="宋体" w:hAnsi="宋体" w:cs="Tahoma"/>
              </w:rPr>
              <w:t>17. 根据评价得分情况，对应小组或学生的头像会升级变化，以游戏化方式激励学生积极参与课堂互动。</w:t>
            </w:r>
            <w:r>
              <w:rPr>
                <w:rFonts w:hint="eastAsia" w:ascii="宋体" w:hAnsi="宋体" w:cs="Tahoma"/>
              </w:rPr>
              <w:br w:type="textWrapping"/>
            </w:r>
            <w:r>
              <w:rPr>
                <w:rFonts w:hint="eastAsia" w:ascii="宋体" w:hAnsi="宋体" w:cs="Tahoma"/>
              </w:rPr>
              <w:t>18. 为提高课堂趣味性，软件支持随机抽选学生进行评价。</w:t>
            </w:r>
            <w:r>
              <w:rPr>
                <w:rFonts w:hint="eastAsia" w:ascii="宋体" w:hAnsi="宋体" w:cs="Tahoma"/>
              </w:rPr>
              <w:br w:type="textWrapping"/>
            </w:r>
            <w:r>
              <w:rPr>
                <w:rFonts w:hint="eastAsia" w:ascii="宋体" w:hAnsi="宋体" w:cs="Tahoma"/>
              </w:rPr>
              <w:t>19. 为方便把控课堂活动时间，支持计时器功能，包括秒表和倒计时。</w:t>
            </w:r>
            <w:r>
              <w:rPr>
                <w:rFonts w:hint="eastAsia" w:ascii="宋体" w:hAnsi="宋体" w:cs="Tahoma"/>
              </w:rPr>
              <w:br w:type="textWrapping"/>
            </w:r>
            <w:r>
              <w:rPr>
                <w:rFonts w:hint="eastAsia" w:ascii="宋体" w:hAnsi="宋体" w:cs="Tahoma"/>
              </w:rPr>
              <w:t>20. 支持考勤功能，可将学生状态设定为出勤、迟到、缺勤、请假等。</w:t>
            </w:r>
            <w:r>
              <w:rPr>
                <w:rFonts w:hint="eastAsia" w:ascii="宋体" w:hAnsi="宋体" w:cs="Tahoma"/>
              </w:rPr>
              <w:br w:type="textWrapping"/>
            </w:r>
            <w:r>
              <w:rPr>
                <w:rFonts w:hint="eastAsia" w:ascii="宋体" w:hAnsi="宋体" w:cs="Tahoma"/>
              </w:rPr>
              <w:t>21. 支持课堂分数重置，从而开始新一轮的课堂评价。</w:t>
            </w:r>
            <w:r>
              <w:rPr>
                <w:rFonts w:hint="eastAsia" w:ascii="宋体" w:hAnsi="宋体" w:cs="Tahoma"/>
              </w:rPr>
              <w:br w:type="textWrapping"/>
            </w:r>
            <w:r>
              <w:rPr>
                <w:rFonts w:hint="eastAsia" w:ascii="宋体" w:hAnsi="宋体" w:cs="Tahoma"/>
              </w:rPr>
              <w:t>22. 支持桌面光荣榜功能，可显示班级得分前列的学生信息，可设置隐藏。</w:t>
            </w:r>
            <w:r>
              <w:rPr>
                <w:rFonts w:hint="eastAsia" w:ascii="宋体" w:hAnsi="宋体" w:cs="Tahoma"/>
              </w:rPr>
              <w:br w:type="textWrapping"/>
            </w:r>
            <w:r>
              <w:rPr>
                <w:rFonts w:hint="eastAsia" w:ascii="宋体" w:hAnsi="宋体" w:cs="Tahoma"/>
              </w:rPr>
              <w:t>23. 支持查看课堂表现评价统计报表，按饼状图形式展现学生课堂表现情况，支持查看班级或学生个人的评价情况，并可具体查看到每一条评价的原因、对象、分值，便于老师做统计分析。报表数据支持导出成excel文件。</w:t>
            </w:r>
            <w:r>
              <w:rPr>
                <w:rFonts w:hint="eastAsia" w:ascii="宋体" w:hAnsi="宋体" w:cs="Tahoma"/>
              </w:rPr>
              <w:br w:type="textWrapping"/>
            </w:r>
            <w:r>
              <w:rPr>
                <w:rFonts w:hint="eastAsia" w:ascii="宋体" w:hAnsi="宋体" w:cs="Tahoma"/>
              </w:rPr>
              <w:t>24. 支持查看课堂考勤统计报表，可具体看到某一天的课程有几人未出勤，以及每个人的考勤状态。</w:t>
            </w:r>
            <w:r>
              <w:rPr>
                <w:rFonts w:hint="eastAsia" w:ascii="宋体" w:hAnsi="宋体" w:cs="Tahoma"/>
              </w:rPr>
              <w:br w:type="textWrapping"/>
            </w:r>
            <w:r>
              <w:rPr>
                <w:rFonts w:hint="eastAsia" w:ascii="宋体" w:hAnsi="宋体" w:cs="Tahoma"/>
              </w:rPr>
              <w:t>家校互联互通</w:t>
            </w:r>
            <w:r>
              <w:rPr>
                <w:rFonts w:hint="eastAsia" w:ascii="宋体" w:hAnsi="宋体" w:cs="Tahoma"/>
              </w:rPr>
              <w:br w:type="textWrapping"/>
            </w:r>
            <w:r>
              <w:rPr>
                <w:rFonts w:hint="eastAsia" w:ascii="宋体" w:hAnsi="宋体" w:cs="Tahoma"/>
              </w:rPr>
              <w:t>25. 支持老师发送公告及作业给其他老师或家长，公告支持超过200字的文本输入。</w:t>
            </w:r>
            <w:r>
              <w:rPr>
                <w:rFonts w:hint="eastAsia" w:ascii="宋体" w:hAnsi="宋体" w:cs="Tahoma"/>
              </w:rPr>
              <w:br w:type="textWrapping"/>
            </w:r>
            <w:r>
              <w:rPr>
                <w:rFonts w:hint="eastAsia" w:ascii="宋体" w:hAnsi="宋体" w:cs="Tahoma"/>
              </w:rPr>
              <w:t>26. 支持老师发送作业给其他老师或家长，作业支持超过200字的文本输入。</w:t>
            </w:r>
            <w:r>
              <w:rPr>
                <w:rFonts w:hint="eastAsia" w:ascii="宋体" w:hAnsi="宋体" w:cs="Tahoma"/>
              </w:rPr>
              <w:br w:type="textWrapping"/>
            </w:r>
            <w:r>
              <w:rPr>
                <w:rFonts w:hint="eastAsia" w:ascii="宋体" w:hAnsi="宋体" w:cs="Tahoma"/>
              </w:rPr>
              <w:t>27. 支持老师发送学生在校表现，可编辑文本、图片，与家长及时交流。</w:t>
            </w:r>
            <w:r>
              <w:rPr>
                <w:rFonts w:hint="eastAsia" w:ascii="宋体" w:hAnsi="宋体" w:cs="Tahoma"/>
              </w:rPr>
              <w:br w:type="textWrapping"/>
            </w:r>
            <w:r>
              <w:rPr>
                <w:rFonts w:hint="eastAsia" w:ascii="宋体" w:hAnsi="宋体" w:cs="Tahoma"/>
              </w:rPr>
              <w:t>28. 支持成绩报告功能：</w:t>
            </w:r>
            <w:r>
              <w:rPr>
                <w:rFonts w:hint="eastAsia" w:ascii="宋体" w:hAnsi="宋体" w:cs="Tahoma"/>
              </w:rPr>
              <w:br w:type="textWrapping"/>
            </w:r>
            <w:r>
              <w:rPr>
                <w:rFonts w:hint="eastAsia" w:ascii="宋体" w:hAnsi="宋体" w:cs="Tahoma"/>
              </w:rPr>
              <w:t>a) 支持按EXCEL模板填写上传考试成绩，可自动生成班级成绩单，包括学生排名、学生姓名、学生总分，并可查看每个学生的每科得分情况以及平均分对比图。</w:t>
            </w:r>
            <w:r>
              <w:rPr>
                <w:rFonts w:hint="eastAsia" w:ascii="宋体" w:hAnsi="宋体" w:cs="Tahoma"/>
              </w:rPr>
              <w:br w:type="textWrapping"/>
            </w:r>
            <w:r>
              <w:rPr>
                <w:rFonts w:hint="eastAsia" w:ascii="宋体" w:hAnsi="宋体" w:cs="Tahoma"/>
              </w:rPr>
              <w:t>b) 支持自动生成班级成绩分析报表，包括每个学科以及总分的得分率、优秀率、及格率，并支持显示总分平均分得分率分布图。</w:t>
            </w:r>
            <w:r>
              <w:rPr>
                <w:rFonts w:hint="eastAsia" w:ascii="宋体" w:hAnsi="宋体" w:cs="Tahoma"/>
              </w:rPr>
              <w:br w:type="textWrapping"/>
            </w:r>
            <w:r>
              <w:rPr>
                <w:rFonts w:hint="eastAsia" w:ascii="宋体" w:hAnsi="宋体" w:cs="Tahoma"/>
              </w:rPr>
              <w:t>c) 支持将学生的成绩报告发送给对应的家长。</w:t>
            </w:r>
            <w:r>
              <w:rPr>
                <w:rFonts w:hint="eastAsia" w:ascii="宋体" w:hAnsi="宋体" w:cs="Tahoma"/>
              </w:rPr>
              <w:br w:type="textWrapping"/>
            </w:r>
            <w:r>
              <w:rPr>
                <w:rFonts w:hint="eastAsia" w:ascii="宋体" w:hAnsi="宋体" w:cs="Tahoma"/>
              </w:rPr>
              <w:t>29. 支持在线公开及匿名投票功能，可设定投票内容、投票类型、结束时间等，并可查看投票结果统计，方便老师收集家长意见。</w:t>
            </w:r>
            <w:r>
              <w:rPr>
                <w:rFonts w:hint="eastAsia" w:ascii="宋体" w:hAnsi="宋体" w:cs="Tahoma"/>
              </w:rPr>
              <w:br w:type="textWrapping"/>
            </w:r>
            <w:r>
              <w:rPr>
                <w:rFonts w:hint="eastAsia" w:ascii="宋体" w:hAnsi="宋体" w:cs="Tahoma"/>
              </w:rPr>
              <w:t>教学数据分析管理软件</w:t>
            </w:r>
            <w:r>
              <w:rPr>
                <w:rFonts w:hint="eastAsia" w:ascii="宋体" w:hAnsi="宋体" w:cs="Tahoma"/>
              </w:rPr>
              <w:br w:type="textWrapping"/>
            </w:r>
            <w:r>
              <w:rPr>
                <w:rFonts w:hint="eastAsia" w:ascii="宋体" w:hAnsi="宋体" w:cs="Tahoma"/>
              </w:rPr>
              <w:t>30. 后台采用B/S架构设计，支持学校管理者在Windows、Linux、Android、IOS等多种不同XG的操作系统上通过网页浏览器登陆进行操作，可统计全校老师软件活跃数据、学生点评及课件上传等数据。</w:t>
            </w:r>
            <w:r>
              <w:rPr>
                <w:rFonts w:hint="eastAsia" w:ascii="宋体" w:hAnsi="宋体" w:cs="Tahoma"/>
              </w:rPr>
              <w:br w:type="textWrapping"/>
            </w:r>
            <w:r>
              <w:rPr>
                <w:rFonts w:hint="eastAsia" w:ascii="宋体" w:hAnsi="宋体" w:cs="Tahoma"/>
              </w:rPr>
              <w:t>31. 学校管理者登录后即可在平台首页查看校园评课数据、学生点评数据、校本课件数量等统计数据，以及可以看到这些数据与全省均值的对比情况，方便管理者快速了解教师工作情况及校园整体信息化情况。</w:t>
            </w:r>
            <w:r>
              <w:rPr>
                <w:rFonts w:hint="eastAsia" w:ascii="宋体" w:hAnsi="宋体" w:cs="Tahoma"/>
              </w:rPr>
              <w:br w:type="textWrapping"/>
            </w:r>
            <w:r>
              <w:rPr>
                <w:rFonts w:hint="eastAsia" w:ascii="宋体" w:hAnsi="宋体" w:cs="Tahoma"/>
              </w:rPr>
              <w:t>32. 环比统计：各项数据支持一周、半月、全月环比展示，管理者可随时了解不同时间段内数据变化情况，方便了解教师教学状态变化情况。</w:t>
            </w:r>
            <w:r>
              <w:rPr>
                <w:rFonts w:hint="eastAsia" w:ascii="宋体" w:hAnsi="宋体" w:cs="Tahoma"/>
              </w:rPr>
              <w:br w:type="textWrapping"/>
            </w:r>
            <w:r>
              <w:rPr>
                <w:rFonts w:hint="eastAsia" w:ascii="宋体" w:hAnsi="宋体" w:cs="Tahoma"/>
              </w:rPr>
              <w:t>33. 数据排名：支持学校管理者查看不同时间段内数据排名，包括评课评分榜、课堂点评班级排名、校本课件上传排名，便于管理者激励全校教师。</w:t>
            </w:r>
            <w:r>
              <w:rPr>
                <w:rFonts w:hint="eastAsia" w:ascii="宋体" w:hAnsi="宋体" w:cs="Tahoma"/>
              </w:rPr>
              <w:br w:type="textWrapping"/>
            </w:r>
            <w:r>
              <w:rPr>
                <w:rFonts w:hint="eastAsia" w:ascii="宋体" w:hAnsi="宋体" w:cs="Tahoma"/>
              </w:rPr>
              <w:t>34. 听课评课：支持教师通过扫描课程二维码进行信息化听课评课。支持自定义评课表，评课分数实时汇总统计，并提供课程评分排名。</w:t>
            </w:r>
            <w:r>
              <w:rPr>
                <w:rFonts w:hint="eastAsia" w:ascii="宋体" w:hAnsi="宋体" w:cs="Tahoma"/>
              </w:rPr>
              <w:br w:type="textWrapping"/>
            </w:r>
            <w:r>
              <w:rPr>
                <w:rFonts w:hint="eastAsia" w:ascii="宋体" w:hAnsi="宋体" w:cs="Tahoma"/>
              </w:rPr>
              <w:t>35. 班级氛围：支持统计全校班级的课堂行为评价数据，并根据总分排名展示，方便管理者了解不同班级的课堂行为情况。</w:t>
            </w:r>
            <w:r>
              <w:rPr>
                <w:rFonts w:hint="eastAsia" w:ascii="宋体" w:hAnsi="宋体" w:cs="Tahoma"/>
              </w:rPr>
              <w:br w:type="textWrapping"/>
            </w:r>
            <w:r>
              <w:rPr>
                <w:rFonts w:hint="eastAsia" w:ascii="宋体" w:hAnsi="宋体" w:cs="Tahoma"/>
              </w:rPr>
              <w:t>36. 课件管理：管理者可统一管理教师上传至校本资源库的课件，支持查看更新时间、大小、下载次数等数据；具备审核功能，支持管理者删除已上传的课件。</w:t>
            </w:r>
            <w:r>
              <w:rPr>
                <w:rFonts w:hint="eastAsia" w:ascii="宋体" w:hAnsi="宋体" w:cs="Tahoma"/>
              </w:rPr>
              <w:br w:type="textWrapping"/>
            </w:r>
            <w:r>
              <w:rPr>
                <w:rFonts w:hint="eastAsia" w:ascii="宋体" w:hAnsi="宋体" w:cs="Tahoma"/>
              </w:rPr>
              <w:t>37. 软件激活率：支持管理者查看白板软件、行为评价系统等不同教学软件在全校的使用比例，同时支持查看每位老师已激活使用的教学软件，掌握全校信息化设备的使用情况。</w:t>
            </w:r>
            <w:r>
              <w:rPr>
                <w:rFonts w:hint="eastAsia" w:ascii="宋体" w:hAnsi="宋体" w:cs="Tahoma"/>
              </w:rPr>
              <w:br w:type="textWrapping"/>
            </w:r>
            <w:r>
              <w:rPr>
                <w:rFonts w:hint="eastAsia" w:ascii="宋体" w:hAnsi="宋体" w:cs="Tahoma"/>
              </w:rPr>
              <w:t>38. 班级管理：支持管理者查看校内每个班级的班主任、班级人数，以及每位学生的课堂行为点评，了解每位学生情况，便捷进行班级管理。</w:t>
            </w:r>
            <w:r>
              <w:rPr>
                <w:rFonts w:hint="eastAsia" w:ascii="宋体" w:hAnsi="宋体" w:cs="Tahoma"/>
              </w:rPr>
              <w:br w:type="textWrapping"/>
            </w:r>
            <w:r>
              <w:rPr>
                <w:rFonts w:hint="eastAsia" w:ascii="宋体" w:hAnsi="宋体" w:cs="Tahoma"/>
              </w:rPr>
              <w:t>培训要求：</w:t>
            </w:r>
            <w:r>
              <w:rPr>
                <w:rFonts w:hint="eastAsia" w:ascii="宋体" w:hAnsi="宋体" w:cs="Tahoma"/>
              </w:rPr>
              <w:br w:type="textWrapping"/>
            </w:r>
            <w:r>
              <w:rPr>
                <w:rFonts w:hint="eastAsia" w:ascii="宋体" w:hAnsi="宋体" w:cs="Tahoma"/>
              </w:rPr>
              <w:t>触摸交互一体机设备厂家负责搭建教师交流及学习平台，平台包括网页及微信公众平台，保证使用者能随时通过平台学习触摸交互一体机设备使用技巧，增强老师多媒体教学水平。根据小学、初中、高中的不同需求，平台需提供小学、初中、高中等不同板块供老师发布需求及分享授课经验使用。根据内容，平台需提供微课制作、白板软件的使用、公开课分享及观看、教学研讨及制作技巧指导，并设有求助区域，可供厂家培训师对求助问题进行解答。触摸交互一体机设备厂家需在每周某一时段进行在线微课培训，培训时间不少于20分钟，老师可通过手机、电脑、pad-NZH等观看微课培训。</w:t>
            </w:r>
          </w:p>
          <w:p>
            <w:pPr>
              <w:rPr>
                <w:rFonts w:ascii="宋体" w:hAnsi="宋体" w:cs="Tahoma"/>
              </w:rPr>
            </w:pPr>
            <w:r>
              <w:rPr>
                <w:rFonts w:hint="eastAsia" w:ascii="宋体" w:hAnsi="宋体" w:cs="Tahoma"/>
              </w:rPr>
              <w:t>软件资源：</w:t>
            </w:r>
          </w:p>
          <w:p>
            <w:pPr>
              <w:rPr>
                <w:rFonts w:ascii="宋体" w:hAnsi="宋体" w:cs="Tahoma"/>
              </w:rPr>
            </w:pPr>
            <w:r>
              <w:rPr>
                <w:rFonts w:hint="eastAsia" w:ascii="宋体" w:cs="宋体"/>
                <w:bCs/>
                <w:kern w:val="0"/>
                <w:szCs w:val="21"/>
                <w:lang w:bidi="ar"/>
              </w:rPr>
              <w:t>1. 系统资源严格依据《儿童学习与发展指南》与编制而成，资源内容涵盖健康、语言、社会、科学、艺术等五个领域。</w:t>
            </w:r>
            <w:r>
              <w:rPr>
                <w:rFonts w:hint="eastAsia" w:ascii="宋体" w:cs="宋体"/>
                <w:bCs/>
                <w:kern w:val="0"/>
                <w:szCs w:val="21"/>
                <w:lang w:bidi="ar"/>
              </w:rPr>
              <w:br w:type="textWrapping"/>
            </w:r>
            <w:r>
              <w:rPr>
                <w:rFonts w:hint="eastAsia" w:ascii="宋体" w:cs="宋体"/>
                <w:bCs/>
                <w:kern w:val="0"/>
                <w:szCs w:val="21"/>
                <w:lang w:bidi="ar"/>
              </w:rPr>
              <w:t xml:space="preserve">2. ★系统主要分为资源和应用两大特色教学功能： </w:t>
            </w:r>
            <w:r>
              <w:rPr>
                <w:rFonts w:hint="eastAsia" w:ascii="宋体" w:cs="宋体"/>
                <w:bCs/>
                <w:kern w:val="0"/>
                <w:szCs w:val="21"/>
                <w:lang w:bidi="ar"/>
              </w:rPr>
              <w:br w:type="textWrapping"/>
            </w:r>
            <w:r>
              <w:rPr>
                <w:rFonts w:hint="eastAsia" w:ascii="宋体" w:cs="宋体"/>
                <w:bCs/>
                <w:kern w:val="0"/>
                <w:szCs w:val="21"/>
                <w:lang w:bidi="ar"/>
              </w:rPr>
              <w:t>资源包括：儿童普通读物动画和视频列表（300个以上）和动画视频资源列表（2600个以上），须提供全部资源列表。</w:t>
            </w:r>
            <w:r>
              <w:rPr>
                <w:rFonts w:hint="eastAsia" w:ascii="宋体" w:cs="宋体"/>
                <w:bCs/>
                <w:kern w:val="0"/>
                <w:szCs w:val="21"/>
                <w:lang w:bidi="ar"/>
              </w:rPr>
              <w:br w:type="textWrapping"/>
            </w:r>
            <w:r>
              <w:rPr>
                <w:rFonts w:hint="eastAsia" w:ascii="宋体" w:cs="宋体"/>
                <w:bCs/>
                <w:kern w:val="0"/>
                <w:szCs w:val="21"/>
                <w:lang w:bidi="ar"/>
              </w:rPr>
              <w:t>应用包括：“主题课程、特色课堂、电子白板、工具”等。</w:t>
            </w:r>
            <w:r>
              <w:rPr>
                <w:rFonts w:hint="eastAsia" w:ascii="宋体" w:cs="宋体"/>
                <w:bCs/>
                <w:kern w:val="0"/>
                <w:szCs w:val="21"/>
                <w:lang w:bidi="ar"/>
              </w:rPr>
              <w:br w:type="textWrapping"/>
            </w:r>
            <w:r>
              <w:rPr>
                <w:rFonts w:hint="eastAsia" w:ascii="宋体" w:cs="宋体"/>
                <w:bCs/>
                <w:kern w:val="0"/>
                <w:szCs w:val="21"/>
                <w:lang w:bidi="ar"/>
              </w:rPr>
              <w:t>3. ★系统提供相对成体系的课程，不仅仅是课件，老师授课一键调用资源及其方便简单。</w:t>
            </w:r>
            <w:r>
              <w:rPr>
                <w:rFonts w:hint="eastAsia" w:ascii="宋体" w:cs="宋体"/>
                <w:bCs/>
                <w:kern w:val="0"/>
                <w:szCs w:val="21"/>
                <w:lang w:bidi="ar"/>
              </w:rPr>
              <w:br w:type="textWrapping"/>
            </w:r>
            <w:r>
              <w:rPr>
                <w:rFonts w:hint="eastAsia" w:ascii="宋体" w:cs="宋体"/>
                <w:bCs/>
                <w:kern w:val="0"/>
                <w:szCs w:val="21"/>
                <w:lang w:bidi="ar"/>
              </w:rPr>
              <w:t>4. ★系统提供的主题课程，可支持电子书、动漫课堂，并具有活动目标、活动建议、快乐课堂和主题拓展。</w:t>
            </w:r>
            <w:r>
              <w:rPr>
                <w:rFonts w:hint="eastAsia" w:ascii="宋体" w:cs="宋体"/>
                <w:bCs/>
                <w:kern w:val="0"/>
                <w:szCs w:val="21"/>
                <w:lang w:bidi="ar"/>
              </w:rPr>
              <w:br w:type="textWrapping"/>
            </w:r>
            <w:r>
              <w:rPr>
                <w:rFonts w:hint="eastAsia" w:ascii="宋体" w:cs="宋体"/>
                <w:bCs/>
                <w:kern w:val="0"/>
                <w:szCs w:val="21"/>
                <w:lang w:bidi="ar"/>
              </w:rPr>
              <w:t>5. ★系统提供的特色课堂，可支持电子书、动漫课堂，并具有活动目标、活动建议、表演、诵读和拓展。6. ★系统提供的电子白板支持白板软件教学，可调整笔的粗细和九种以上字体颜色自定义，且可保存、撤销白板教学内容和发布到班级。</w:t>
            </w:r>
            <w:r>
              <w:rPr>
                <w:rFonts w:hint="eastAsia" w:ascii="宋体" w:cs="宋体"/>
                <w:bCs/>
                <w:kern w:val="0"/>
                <w:szCs w:val="21"/>
                <w:lang w:bidi="ar"/>
              </w:rPr>
              <w:br w:type="textWrapping"/>
            </w:r>
            <w:r>
              <w:rPr>
                <w:rFonts w:hint="eastAsia" w:ascii="宋体" w:cs="宋体"/>
                <w:bCs/>
                <w:kern w:val="0"/>
                <w:szCs w:val="21"/>
                <w:lang w:bidi="ar"/>
              </w:rPr>
              <w:t>7. ★系统提供：主题绘本，礼仪与安全，国学经典，幼儿才艺，剑桥主题英语，剑桥互动英语，经典童话故事，行为习惯故事，汉字速学速记，多元主题活动，潜能互动课程，手指操，蒙氏快乐阅读13类五大领域教育资源。</w:t>
            </w:r>
            <w:r>
              <w:rPr>
                <w:rFonts w:hint="eastAsia" w:ascii="宋体" w:cs="宋体"/>
                <w:bCs/>
                <w:kern w:val="0"/>
                <w:szCs w:val="21"/>
                <w:lang w:bidi="ar"/>
              </w:rPr>
              <w:br w:type="textWrapping"/>
            </w:r>
            <w:r>
              <w:rPr>
                <w:rFonts w:hint="eastAsia" w:ascii="宋体" w:cs="宋体"/>
                <w:bCs/>
                <w:kern w:val="0"/>
                <w:szCs w:val="21"/>
                <w:lang w:bidi="ar"/>
              </w:rPr>
              <w:t>8. ★提供配套的纸质绘本和电子课件，可以满足不同幼儿园教学需求。</w:t>
            </w:r>
            <w:r>
              <w:rPr>
                <w:rFonts w:hint="eastAsia" w:ascii="宋体" w:cs="宋体"/>
                <w:bCs/>
                <w:kern w:val="0"/>
                <w:szCs w:val="21"/>
                <w:lang w:bidi="ar"/>
              </w:rPr>
              <w:br w:type="textWrapping"/>
            </w:r>
            <w:r>
              <w:rPr>
                <w:rFonts w:hint="eastAsia" w:ascii="宋体" w:cs="宋体"/>
                <w:bCs/>
                <w:kern w:val="0"/>
                <w:szCs w:val="21"/>
                <w:lang w:bidi="ar"/>
              </w:rPr>
              <w:t>9.★ 系统资源涉及到flash、swf、jpg、png、mp3、mp4共计6种媒体类型。幼教系统包含2900条以上1080P高清视频和高清动画资源，资源大小在45GB以上。</w:t>
            </w:r>
            <w:r>
              <w:rPr>
                <w:rFonts w:hint="eastAsia" w:ascii="宋体" w:cs="宋体"/>
                <w:bCs/>
                <w:kern w:val="0"/>
                <w:szCs w:val="21"/>
                <w:lang w:bidi="ar"/>
              </w:rPr>
              <w:br w:type="textWrapping"/>
            </w:r>
            <w:r>
              <w:rPr>
                <w:rFonts w:hint="eastAsia" w:ascii="宋体" w:cs="宋体"/>
                <w:bCs/>
                <w:kern w:val="0"/>
                <w:szCs w:val="21"/>
                <w:lang w:bidi="ar"/>
              </w:rPr>
              <w:t>10.★ 软件具有白板软件功能，可以进行书写、擦除、重点标注等，且在重要知识点配备教参指导功能，方便老师教学。</w:t>
            </w:r>
            <w:r>
              <w:rPr>
                <w:rFonts w:hint="eastAsia" w:ascii="宋体" w:cs="宋体"/>
                <w:bCs/>
                <w:kern w:val="0"/>
                <w:szCs w:val="21"/>
                <w:lang w:bidi="ar"/>
              </w:rPr>
              <w:br w:type="textWrapping"/>
            </w:r>
            <w:r>
              <w:rPr>
                <w:rFonts w:hint="eastAsia" w:ascii="宋体" w:cs="宋体"/>
                <w:bCs/>
                <w:kern w:val="0"/>
                <w:szCs w:val="21"/>
                <w:lang w:bidi="ar"/>
              </w:rPr>
              <w:t>11. ★软件应为单机安装版本，在无网情况下能正常使用。</w:t>
            </w:r>
            <w:r>
              <w:rPr>
                <w:rFonts w:hint="eastAsia" w:ascii="宋体" w:cs="宋体"/>
                <w:bCs/>
                <w:kern w:val="0"/>
                <w:szCs w:val="21"/>
                <w:lang w:bidi="ar"/>
              </w:rPr>
              <w:br w:type="textWrapping"/>
            </w:r>
            <w:r>
              <w:rPr>
                <w:rFonts w:hint="eastAsia" w:ascii="宋体" w:cs="宋体"/>
                <w:bCs/>
                <w:kern w:val="0"/>
                <w:szCs w:val="21"/>
                <w:lang w:bidi="ar"/>
              </w:rPr>
              <w:t>12. ★软件安装便捷，可以一键式安装，用户完全可以实现自行安装。</w:t>
            </w:r>
            <w:r>
              <w:rPr>
                <w:rFonts w:hint="eastAsia" w:ascii="宋体" w:hAnsi="宋体" w:cs="Tahoma"/>
              </w:rPr>
              <w:br w:type="textWrapping"/>
            </w:r>
            <w:r>
              <w:rPr>
                <w:rFonts w:hint="eastAsia" w:ascii="宋体" w:hAnsi="宋体" w:cs="Tahoma"/>
              </w:rPr>
              <w:t>资质要求：</w:t>
            </w:r>
            <w:r>
              <w:rPr>
                <w:rFonts w:hint="eastAsia" w:ascii="宋体" w:hAnsi="宋体" w:cs="Tahoma"/>
              </w:rPr>
              <w:br w:type="textWrapping"/>
            </w:r>
            <w:r>
              <w:rPr>
                <w:rFonts w:hint="eastAsia" w:ascii="宋体" w:hAnsi="宋体" w:cs="Tahoma"/>
              </w:rPr>
              <w:t>39. 投标产品须为原厂商制造，不接受OEM产品。电脑模块及一体机的国家强制3C认证应为同一制造商。</w:t>
            </w:r>
            <w:r>
              <w:rPr>
                <w:rFonts w:hint="eastAsia" w:ascii="宋体" w:hAnsi="宋体" w:cs="Tahoma"/>
              </w:rPr>
              <w:br w:type="textWrapping"/>
            </w:r>
            <w:r>
              <w:rPr>
                <w:rFonts w:hint="eastAsia" w:ascii="宋体" w:hAnsi="宋体" w:cs="Tahoma"/>
              </w:rPr>
              <w:t>40. 生产厂家需出具中国教育技术协会颁发的《多媒体教学环境工程建设规范》参与制定单位证书。</w:t>
            </w:r>
            <w:r>
              <w:rPr>
                <w:rFonts w:hint="eastAsia" w:ascii="宋体" w:hAnsi="宋体" w:cs="Tahoma"/>
              </w:rPr>
              <w:br w:type="textWrapping"/>
            </w:r>
            <w:r>
              <w:rPr>
                <w:rFonts w:hint="eastAsia" w:ascii="宋体" w:hAnsi="宋体" w:cs="Tahoma"/>
              </w:rPr>
              <w:t>41. 所投产品（电脑模块）符合中华人民共和国无线电管理规定和技术标准，可提供无线电发射设备型号核准证。</w:t>
            </w:r>
            <w:r>
              <w:rPr>
                <w:rFonts w:hint="eastAsia" w:ascii="宋体" w:hAnsi="宋体" w:cs="Tahoma"/>
              </w:rPr>
              <w:br w:type="textWrapping"/>
            </w:r>
            <w:r>
              <w:rPr>
                <w:rFonts w:hint="eastAsia" w:ascii="宋体" w:hAnsi="宋体" w:cs="Tahoma"/>
              </w:rPr>
              <w:t>42. 生产厂家需出具ISO9001认证、ISO14001认证、OHSAS18001认证、中国教育装备协会理事单位证书。</w:t>
            </w:r>
            <w:r>
              <w:rPr>
                <w:rFonts w:hint="eastAsia" w:ascii="宋体" w:hAnsi="宋体" w:cs="Tahoma"/>
              </w:rPr>
              <w:br w:type="textWrapping"/>
            </w:r>
            <w:r>
              <w:rPr>
                <w:rFonts w:hint="eastAsia" w:ascii="宋体" w:hAnsi="宋体" w:cs="Tahoma"/>
              </w:rPr>
              <w:t>43. 生产厂家需出具“中国环境标志产品认证证书（I型）”、国家强制性3C认证、节能认证证书、白板软件产品需提供软件登记证和软件著作权系列证书。。</w:t>
            </w:r>
            <w:r>
              <w:rPr>
                <w:rFonts w:hint="eastAsia" w:ascii="宋体" w:hAnsi="宋体" w:cs="Tahoma"/>
              </w:rPr>
              <w:br w:type="textWrapping"/>
            </w:r>
            <w:r>
              <w:rPr>
                <w:rFonts w:hint="eastAsia" w:ascii="宋体" w:hAnsi="宋体" w:cs="Tahoma"/>
              </w:rPr>
              <w:t>44. 产品入围最新一期环保、节能产品政府采购清单。</w:t>
            </w:r>
            <w:r>
              <w:rPr>
                <w:rFonts w:hint="eastAsia" w:ascii="宋体" w:hAnsi="宋体" w:cs="Tahoma"/>
              </w:rPr>
              <w:br w:type="textWrapping"/>
            </w:r>
            <w:r>
              <w:rPr>
                <w:rFonts w:hint="eastAsia" w:ascii="宋体" w:hAnsi="宋体" w:cs="Tahoma"/>
              </w:rPr>
              <w:t>45. 提供产品厂家针对此项目的授权书及三年质保承诺书原件。</w:t>
            </w:r>
            <w:r>
              <w:rPr>
                <w:rFonts w:hint="eastAsia" w:ascii="宋体" w:hAnsi="宋体" w:cs="Tahoma"/>
              </w:rPr>
              <w:br w:type="textWrapping"/>
            </w:r>
            <w:r>
              <w:rPr>
                <w:rFonts w:hint="eastAsia" w:ascii="宋体" w:hAnsi="宋体" w:cs="Tahoma"/>
              </w:rPr>
              <w:t>46. A规屏证明（液晶屏原厂证明）。</w:t>
            </w:r>
            <w:r>
              <w:rPr>
                <w:rFonts w:hint="eastAsia" w:ascii="宋体" w:hAnsi="宋体" w:cs="Tahoma"/>
              </w:rPr>
              <w:br w:type="textWrapping"/>
            </w:r>
            <w:r>
              <w:rPr>
                <w:rFonts w:hint="eastAsia" w:ascii="宋体" w:hAnsi="宋体" w:cs="Tahoma"/>
              </w:rPr>
              <w:t>47. 生产厂家需出具国家广播电视产品质量监督检验中心出具的可靠性检测报告，平均无故障率MTBF大于十万小时以上检测报告。</w:t>
            </w:r>
            <w:r>
              <w:rPr>
                <w:rFonts w:hint="eastAsia" w:ascii="宋体" w:hAnsi="宋体" w:cs="Tahoma"/>
              </w:rPr>
              <w:br w:type="textWrapping"/>
            </w:r>
            <w:r>
              <w:rPr>
                <w:rFonts w:hint="eastAsia" w:ascii="宋体" w:hAnsi="宋体" w:cs="Tahoma"/>
              </w:rPr>
              <w:t>48. 投标产品制造商应具备国际电工委员会电子元器件质量评定体系（IECQ）出具的QC080000危害物质过程管理体系。</w:t>
            </w:r>
          </w:p>
        </w:tc>
      </w:tr>
      <w:tr>
        <w:tblPrEx>
          <w:tblCellMar>
            <w:top w:w="0" w:type="dxa"/>
            <w:left w:w="108" w:type="dxa"/>
            <w:bottom w:w="0" w:type="dxa"/>
            <w:right w:w="108" w:type="dxa"/>
          </w:tblCellMar>
        </w:tblPrEx>
        <w:trPr>
          <w:trHeight w:val="1831" w:hRule="atLeast"/>
        </w:trPr>
        <w:tc>
          <w:tcPr>
            <w:tcW w:w="727" w:type="dxa"/>
            <w:tcBorders>
              <w:top w:val="single" w:color="auto" w:sz="4" w:space="0"/>
              <w:left w:val="single" w:color="auto" w:sz="4" w:space="0"/>
              <w:bottom w:val="single" w:color="auto" w:sz="4" w:space="0"/>
              <w:right w:val="nil"/>
            </w:tcBorders>
            <w:shd w:val="clear" w:color="000000" w:fill="FFFFFF"/>
            <w:vAlign w:val="center"/>
          </w:tcPr>
          <w:p>
            <w:pPr>
              <w:jc w:val="center"/>
              <w:rPr>
                <w:rFonts w:ascii="宋体" w:hAnsi="宋体" w:cs="Tahoma"/>
              </w:rPr>
            </w:pPr>
            <w:r>
              <w:rPr>
                <w:rFonts w:hint="eastAsia" w:ascii="宋体" w:hAnsi="宋体" w:cs="Tahoma"/>
              </w:rPr>
              <w:t>2</w:t>
            </w:r>
          </w:p>
        </w:tc>
        <w:tc>
          <w:tcPr>
            <w:tcW w:w="156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无线扩音</w:t>
            </w:r>
          </w:p>
        </w:tc>
        <w:tc>
          <w:tcPr>
            <w:tcW w:w="1153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主要技术参数：额定功率：50W；额定阻抗：4Ω；接收频率：2400~2483.5MHz；接收灵敏度：82dB；工作温度：-20~75度；频率响应：55Hz-18kHz；驱动器：采用6.5寸长冲程低音驱动器，一个高音；接口：1路广播输入（70V－110V输入），1路立体声RCA，2路话筒接口；灵敏度：85dB/1W/1M；信噪比：75dB；最大声压级：78dB；分频器：1.8KHz；箱体型式：倒相式；箱体及外饰： 高密度中纤板（黑色）箱体，钢网；安装：标配壁挂架；箱体尺寸（只）：220×200×350（单位：mm）；净重：8.3kg/对。</w:t>
            </w:r>
          </w:p>
        </w:tc>
      </w:tr>
      <w:tr>
        <w:tblPrEx>
          <w:tblCellMar>
            <w:top w:w="0" w:type="dxa"/>
            <w:left w:w="108" w:type="dxa"/>
            <w:bottom w:w="0" w:type="dxa"/>
            <w:right w:w="108" w:type="dxa"/>
          </w:tblCellMar>
        </w:tblPrEx>
        <w:trPr>
          <w:trHeight w:val="1831" w:hRule="atLeast"/>
        </w:trPr>
        <w:tc>
          <w:tcPr>
            <w:tcW w:w="727" w:type="dxa"/>
            <w:tcBorders>
              <w:top w:val="single" w:color="auto" w:sz="4" w:space="0"/>
              <w:left w:val="single" w:color="auto" w:sz="4" w:space="0"/>
              <w:bottom w:val="single" w:color="auto" w:sz="4" w:space="0"/>
              <w:right w:val="nil"/>
            </w:tcBorders>
            <w:shd w:val="clear" w:color="000000" w:fill="FFFFFF"/>
            <w:vAlign w:val="center"/>
          </w:tcPr>
          <w:p>
            <w:pPr>
              <w:jc w:val="center"/>
              <w:rPr>
                <w:rFonts w:ascii="宋体" w:hAnsi="宋体" w:cs="Tahoma"/>
              </w:rPr>
            </w:pPr>
            <w:r>
              <w:rPr>
                <w:rFonts w:hint="eastAsia" w:ascii="宋体" w:hAnsi="宋体" w:cs="Tahoma"/>
              </w:rPr>
              <w:t>3</w:t>
            </w:r>
          </w:p>
        </w:tc>
        <w:tc>
          <w:tcPr>
            <w:tcW w:w="15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Tahoma"/>
              </w:rPr>
            </w:pPr>
            <w:r>
              <w:rPr>
                <w:rFonts w:hint="eastAsia" w:ascii="宋体" w:hAnsi="宋体" w:cs="Tahoma"/>
              </w:rPr>
              <w:t>壁挂式视屏展台</w:t>
            </w:r>
          </w:p>
        </w:tc>
        <w:tc>
          <w:tcPr>
            <w:tcW w:w="11530" w:type="dxa"/>
            <w:tcBorders>
              <w:top w:val="single" w:color="auto" w:sz="4" w:space="0"/>
              <w:left w:val="nil"/>
              <w:bottom w:val="single" w:color="auto" w:sz="4" w:space="0"/>
              <w:right w:val="single" w:color="auto" w:sz="4" w:space="0"/>
            </w:tcBorders>
            <w:shd w:val="clear" w:color="000000" w:fill="FFFFFF"/>
            <w:vAlign w:val="center"/>
          </w:tcPr>
          <w:p>
            <w:pPr>
              <w:rPr>
                <w:rFonts w:ascii="宋体" w:hAnsi="宋体" w:cs="Tahoma"/>
              </w:rPr>
            </w:pPr>
            <w:r>
              <w:rPr>
                <w:rFonts w:hint="eastAsia" w:ascii="宋体" w:hAnsi="宋体" w:cs="Tahoma"/>
              </w:rPr>
              <w:t>1、 ★箱体采用钣金材质,面板采用两个金属气压杆支撑，内置机箱锁安全防盗，壁挂式安装。</w:t>
            </w:r>
            <w:r>
              <w:rPr>
                <w:rFonts w:hint="eastAsia" w:ascii="宋体" w:hAnsi="宋体" w:cs="Tahoma"/>
              </w:rPr>
              <w:br w:type="textWrapping"/>
            </w:r>
            <w:r>
              <w:rPr>
                <w:rFonts w:hint="eastAsia" w:ascii="宋体" w:hAnsi="宋体" w:cs="Tahoma"/>
              </w:rPr>
              <w:t>2、★ 展台采用 USB五伏电源直接供电，环保无辐射。</w:t>
            </w:r>
            <w:r>
              <w:rPr>
                <w:rFonts w:hint="eastAsia" w:ascii="宋体" w:hAnsi="宋体" w:cs="Tahoma"/>
              </w:rPr>
              <w:br w:type="textWrapping"/>
            </w:r>
            <w:r>
              <w:rPr>
                <w:rFonts w:hint="eastAsia" w:ascii="宋体" w:hAnsi="宋体" w:cs="Tahoma"/>
              </w:rPr>
              <w:t>3、★ 箱内USB连线采用隐藏式设计，箱内无可见连线且USB口下出，有效防止积尘，且方便布线和返修。</w:t>
            </w:r>
            <w:r>
              <w:rPr>
                <w:rFonts w:hint="eastAsia" w:ascii="宋体" w:hAnsi="宋体" w:cs="Tahoma"/>
              </w:rPr>
              <w:br w:type="textWrapping"/>
            </w:r>
            <w:r>
              <w:rPr>
                <w:rFonts w:hint="eastAsia" w:ascii="宋体" w:hAnsi="宋体" w:cs="Tahoma"/>
              </w:rPr>
              <w:t xml:space="preserve">4、 ★展台采用500万像素，A4拍摄幅面，500万动态视频预览达到10帧/秒，1080P动态视频预览达到15帧/秒。 </w:t>
            </w:r>
            <w:r>
              <w:rPr>
                <w:rFonts w:hint="eastAsia" w:ascii="宋体" w:hAnsi="宋体" w:cs="Tahoma"/>
              </w:rPr>
              <w:br w:type="textWrapping"/>
            </w:r>
            <w:r>
              <w:rPr>
                <w:rFonts w:hint="eastAsia" w:ascii="宋体" w:hAnsi="宋体" w:cs="Tahoma"/>
              </w:rPr>
              <w:t>5、 ★输出格式：MJPG。</w:t>
            </w:r>
            <w:r>
              <w:rPr>
                <w:rFonts w:hint="eastAsia" w:ascii="宋体" w:hAnsi="宋体" w:cs="Tahoma"/>
              </w:rPr>
              <w:br w:type="textWrapping"/>
            </w:r>
            <w:r>
              <w:rPr>
                <w:rFonts w:hint="eastAsia" w:ascii="宋体" w:hAnsi="宋体" w:cs="Tahoma"/>
              </w:rPr>
              <w:t>6、 ★配备固定对焦摄像头，对焦距离可达10cm–44cm，方便老师展示平面或立体实物。</w:t>
            </w:r>
            <w:r>
              <w:rPr>
                <w:rFonts w:hint="eastAsia" w:ascii="宋体" w:hAnsi="宋体" w:cs="Tahoma"/>
              </w:rPr>
              <w:br w:type="textWrapping"/>
            </w:r>
            <w:r>
              <w:rPr>
                <w:rFonts w:hint="eastAsia" w:ascii="宋体" w:hAnsi="宋体" w:cs="Tahoma"/>
              </w:rPr>
              <w:t>7、 ★展台正上方具备LED补光灯，保证展示区域的亮度及展示效果。</w:t>
            </w:r>
            <w:r>
              <w:rPr>
                <w:rFonts w:hint="eastAsia" w:ascii="宋体" w:hAnsi="宋体" w:cs="Tahoma"/>
              </w:rPr>
              <w:br w:type="textWrapping"/>
            </w:r>
            <w:r>
              <w:rPr>
                <w:rFonts w:hint="eastAsia" w:ascii="宋体" w:hAnsi="宋体" w:cs="Tahoma"/>
              </w:rPr>
              <w:t>8、 ★补光灯开关采用触摸按键设计，同时也可通过智能平板中的软件直接控制，方便老师操作。</w:t>
            </w:r>
            <w:r>
              <w:rPr>
                <w:rFonts w:hint="eastAsia" w:ascii="宋体" w:hAnsi="宋体" w:cs="Tahoma"/>
              </w:rPr>
              <w:br w:type="textWrapping"/>
            </w:r>
            <w:r>
              <w:rPr>
                <w:rFonts w:hint="eastAsia" w:ascii="宋体" w:hAnsi="宋体" w:cs="Tahoma"/>
              </w:rPr>
              <w:t>9、 兼容双系统操作，Windows系统及Android系统均可使用展台功能，包括图片放大、缩小、旋转、批注等。</w:t>
            </w:r>
            <w:r>
              <w:rPr>
                <w:rFonts w:hint="eastAsia" w:ascii="宋体" w:hAnsi="宋体" w:cs="Tahoma"/>
              </w:rPr>
              <w:br w:type="textWrapping"/>
            </w:r>
            <w:r>
              <w:rPr>
                <w:rFonts w:hint="eastAsia" w:ascii="宋体" w:hAnsi="宋体" w:cs="Tahoma"/>
              </w:rPr>
              <w:t>为保证兼容性及稳定性，视频展台需与交互智能平板为同一品牌厂家，提供视频展台的3C证书复印件。</w:t>
            </w:r>
            <w:r>
              <w:rPr>
                <w:rFonts w:hint="eastAsia" w:ascii="宋体" w:hAnsi="宋体" w:cs="Tahoma"/>
              </w:rPr>
              <w:br w:type="textWrapping"/>
            </w:r>
            <w:r>
              <w:rPr>
                <w:rFonts w:hint="eastAsia" w:ascii="宋体" w:hAnsi="宋体" w:cs="Tahoma"/>
              </w:rPr>
              <w:t>10、★ 支持对展台画面进行放大、缩小、旋转、自适应、满屏、截图、锁定等 v操作。</w:t>
            </w:r>
            <w:r>
              <w:rPr>
                <w:rFonts w:hint="eastAsia" w:ascii="宋体" w:hAnsi="宋体" w:cs="Tahoma"/>
              </w:rPr>
              <w:br w:type="textWrapping"/>
            </w:r>
            <w:r>
              <w:rPr>
                <w:rFonts w:hint="eastAsia" w:ascii="宋体" w:hAnsi="宋体" w:cs="Tahoma"/>
              </w:rPr>
              <w:t>11、★ 支持展台画面实时批注，预设多种笔划粗细及颜色供选择，且支持对展台画面联同批注内容进行同步缩放、移动。</w:t>
            </w:r>
            <w:r>
              <w:rPr>
                <w:rFonts w:hint="eastAsia" w:ascii="宋体" w:hAnsi="宋体" w:cs="Tahoma"/>
              </w:rPr>
              <w:br w:type="textWrapping"/>
            </w:r>
            <w:r>
              <w:rPr>
                <w:rFonts w:hint="eastAsia" w:ascii="宋体" w:hAnsi="宋体" w:cs="Tahoma"/>
              </w:rPr>
              <w:t>12、★ 支持展台画面拍照截图并进行多图预览，可对任一图片进行全屏显示、删除等操作。</w:t>
            </w:r>
            <w:r>
              <w:rPr>
                <w:rFonts w:hint="eastAsia" w:ascii="宋体" w:hAnsi="宋体" w:cs="Tahoma"/>
              </w:rPr>
              <w:br w:type="textWrapping"/>
            </w:r>
            <w:r>
              <w:rPr>
                <w:rFonts w:hint="eastAsia" w:ascii="宋体" w:hAnsi="宋体" w:cs="Tahoma"/>
              </w:rPr>
              <w:t>13、★ 可选择图像、文本或动态等多种情景模式，适应不同展示内容。</w:t>
            </w:r>
          </w:p>
        </w:tc>
      </w:tr>
      <w:tr>
        <w:tblPrEx>
          <w:tblCellMar>
            <w:top w:w="0" w:type="dxa"/>
            <w:left w:w="108" w:type="dxa"/>
            <w:bottom w:w="0" w:type="dxa"/>
            <w:right w:w="108" w:type="dxa"/>
          </w:tblCellMar>
        </w:tblPrEx>
        <w:trPr>
          <w:trHeight w:val="1831" w:hRule="atLeast"/>
        </w:trPr>
        <w:tc>
          <w:tcPr>
            <w:tcW w:w="727" w:type="dxa"/>
            <w:tcBorders>
              <w:top w:val="single" w:color="auto" w:sz="4" w:space="0"/>
              <w:left w:val="single" w:color="auto" w:sz="4" w:space="0"/>
              <w:bottom w:val="single" w:color="auto" w:sz="4" w:space="0"/>
              <w:right w:val="nil"/>
            </w:tcBorders>
            <w:shd w:val="clear" w:color="000000" w:fill="FFFFFF"/>
            <w:vAlign w:val="center"/>
          </w:tcPr>
          <w:p>
            <w:pPr>
              <w:jc w:val="center"/>
              <w:rPr>
                <w:rFonts w:ascii="宋体" w:hAnsi="宋体" w:cs="Tahoma"/>
              </w:rPr>
            </w:pPr>
            <w:r>
              <w:rPr>
                <w:rFonts w:hint="eastAsia" w:ascii="宋体" w:hAnsi="宋体" w:cs="Tahoma"/>
              </w:rPr>
              <w:t>4</w:t>
            </w:r>
          </w:p>
        </w:tc>
        <w:tc>
          <w:tcPr>
            <w:tcW w:w="15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Tahoma"/>
              </w:rPr>
            </w:pPr>
            <w:r>
              <w:rPr>
                <w:rFonts w:hint="eastAsia" w:ascii="宋体" w:hAnsi="宋体" w:cs="Tahoma"/>
              </w:rPr>
              <w:t>组合式推拉黑板（墨绿）</w:t>
            </w:r>
          </w:p>
        </w:tc>
        <w:tc>
          <w:tcPr>
            <w:tcW w:w="11530" w:type="dxa"/>
            <w:tcBorders>
              <w:top w:val="single" w:color="auto" w:sz="4" w:space="0"/>
              <w:left w:val="nil"/>
              <w:bottom w:val="single" w:color="auto" w:sz="4" w:space="0"/>
              <w:right w:val="single" w:color="auto" w:sz="4" w:space="0"/>
            </w:tcBorders>
            <w:shd w:val="clear" w:color="000000" w:fill="FFFFFF"/>
            <w:vAlign w:val="center"/>
          </w:tcPr>
          <w:p>
            <w:pPr>
              <w:rPr>
                <w:rFonts w:ascii="宋体" w:hAnsi="宋体" w:cs="Tahoma"/>
              </w:rPr>
            </w:pPr>
            <w:r>
              <w:rPr>
                <w:rFonts w:hint="eastAsia" w:ascii="宋体" w:hAnsi="宋体" w:cs="Tahoma"/>
              </w:rPr>
              <w:t>一、 ★外形尺寸：4000mm*1200mm。</w:t>
            </w:r>
            <w:r>
              <w:rPr>
                <w:rFonts w:hint="eastAsia" w:ascii="宋体" w:hAnsi="宋体" w:cs="Tahoma"/>
              </w:rPr>
              <w:br w:type="textWrapping"/>
            </w:r>
            <w:r>
              <w:rPr>
                <w:rFonts w:hint="eastAsia" w:ascii="宋体" w:hAnsi="宋体" w:cs="Tahoma"/>
              </w:rPr>
              <w:t>二、 ★产品结构：内外双层结构，根据所配一体机适当调整。</w:t>
            </w:r>
            <w:r>
              <w:rPr>
                <w:rFonts w:hint="eastAsia" w:ascii="宋体" w:hAnsi="宋体" w:cs="Tahoma"/>
              </w:rPr>
              <w:br w:type="textWrapping"/>
            </w:r>
            <w:r>
              <w:rPr>
                <w:rFonts w:hint="eastAsia" w:ascii="宋体" w:hAnsi="宋体" w:cs="Tahoma"/>
              </w:rPr>
              <w:t>三、 ★边框：外框铝型材正面尺寸≥68mm，壁厚≥1.2mm,香槟色工业铝型材。耐腐蚀、耐磨性达到GB/T5237-2000标准。内框铝型材正面尺寸≥50mm,壁厚1.0mm，香槟色工业铝型材，耐腐蚀、耐磨性达到GB/T5237-2000标准 。</w:t>
            </w:r>
            <w:r>
              <w:rPr>
                <w:rFonts w:hint="eastAsia" w:ascii="宋体" w:hAnsi="宋体" w:cs="Tahoma"/>
              </w:rPr>
              <w:br w:type="textWrapping"/>
            </w:r>
            <w:r>
              <w:rPr>
                <w:rFonts w:hint="eastAsia" w:ascii="宋体" w:hAnsi="宋体" w:cs="Tahoma"/>
              </w:rPr>
              <w:t>四、 ★书写板面：采用厚度为0.30mm高档墨绿色金属烤漆书写板，表面细致光洁，书写流畅，抗撞击、磨损、刮擦、不褪色，使用寿命10年以上。</w:t>
            </w:r>
            <w:r>
              <w:rPr>
                <w:rFonts w:hint="eastAsia" w:ascii="宋体" w:hAnsi="宋体" w:cs="Tahoma"/>
              </w:rPr>
              <w:br w:type="textWrapping"/>
            </w:r>
            <w:r>
              <w:rPr>
                <w:rFonts w:hint="eastAsia" w:ascii="宋体" w:hAnsi="宋体" w:cs="Tahoma"/>
              </w:rPr>
              <w:t>五、 ★采用环保型双组份聚氨酯胶水，自动化流水线覆板作业，确保粘接牢固板面平整，甲醛释放量≤0.2mg/L，符合GB/T 28231-2011《书写板安全卫生要求》。</w:t>
            </w:r>
            <w:r>
              <w:rPr>
                <w:rFonts w:hint="eastAsia" w:ascii="宋体" w:hAnsi="宋体" w:cs="Tahoma"/>
              </w:rPr>
              <w:br w:type="textWrapping"/>
            </w:r>
            <w:r>
              <w:rPr>
                <w:rFonts w:hint="eastAsia" w:ascii="宋体" w:hAnsi="宋体" w:cs="Tahoma"/>
              </w:rPr>
              <w:t>六、 ★夹层：采用高密度聚苯乙烯板做夹层，厚度≥20mm，面层平整，无折痕，不变形，吸音强且环保，书写无噪音。</w:t>
            </w:r>
            <w:r>
              <w:rPr>
                <w:rFonts w:hint="eastAsia" w:ascii="宋体" w:hAnsi="宋体" w:cs="Tahoma"/>
              </w:rPr>
              <w:br w:type="textWrapping"/>
            </w:r>
            <w:r>
              <w:rPr>
                <w:rFonts w:hint="eastAsia" w:ascii="宋体" w:hAnsi="宋体" w:cs="Tahoma"/>
              </w:rPr>
              <w:t>七、 ★背板：采用高档优质镀锌板，厚度≥0.27mm，板面平整，镀层牢固、光滑而均匀。</w:t>
            </w:r>
            <w:r>
              <w:rPr>
                <w:rFonts w:hint="eastAsia" w:ascii="宋体" w:hAnsi="宋体" w:cs="Tahoma"/>
              </w:rPr>
              <w:br w:type="textWrapping"/>
            </w:r>
            <w:r>
              <w:rPr>
                <w:rFonts w:hint="eastAsia" w:ascii="宋体" w:hAnsi="宋体" w:cs="Tahoma"/>
              </w:rPr>
              <w:t>八、 ★外框四角与绿板四角采用ABS工程塑料，模具一次成型，抗冲击力强。</w:t>
            </w:r>
            <w:r>
              <w:rPr>
                <w:rFonts w:hint="eastAsia" w:ascii="宋体" w:hAnsi="宋体" w:cs="Tahoma"/>
              </w:rPr>
              <w:br w:type="textWrapping"/>
            </w:r>
            <w:r>
              <w:rPr>
                <w:rFonts w:hint="eastAsia" w:ascii="宋体" w:hAnsi="宋体" w:cs="Tahoma"/>
              </w:rPr>
              <w:t xml:space="preserve">九、 ★整套书写板的两端装置固定挡板，并设有滑动缓冲胶垫，缓解滑动发出的噪音以及强烈碰撞造成的损坏。配置带拉手的高档锌合金镶嵌式钩锁。 </w:t>
            </w:r>
            <w:r>
              <w:rPr>
                <w:rFonts w:hint="eastAsia" w:ascii="宋体" w:hAnsi="宋体" w:cs="Tahoma"/>
              </w:rPr>
              <w:br w:type="textWrapping"/>
            </w:r>
            <w:r>
              <w:rPr>
                <w:rFonts w:hint="eastAsia" w:ascii="宋体" w:hAnsi="宋体" w:cs="Tahoma"/>
              </w:rPr>
              <w:t>十、 滑轨与外框整体成型，具备独立、隐形的特点。滑轮采用隐形安装、传动，不露一根螺钉。滑轮后置，隔离滑轮与粉笔灰的接触面，杜绝长期使用后，因粉笔灰沉积导致书写板推拉困难，杜绝滑轮脱轨。</w:t>
            </w:r>
          </w:p>
        </w:tc>
      </w:tr>
      <w:tr>
        <w:tblPrEx>
          <w:tblCellMar>
            <w:top w:w="0" w:type="dxa"/>
            <w:left w:w="108" w:type="dxa"/>
            <w:bottom w:w="0" w:type="dxa"/>
            <w:right w:w="108" w:type="dxa"/>
          </w:tblCellMar>
        </w:tblPrEx>
        <w:trPr>
          <w:trHeight w:val="841" w:hRule="atLeast"/>
        </w:trPr>
        <w:tc>
          <w:tcPr>
            <w:tcW w:w="727" w:type="dxa"/>
            <w:tcBorders>
              <w:top w:val="single" w:color="auto" w:sz="4" w:space="0"/>
              <w:left w:val="single" w:color="auto" w:sz="4" w:space="0"/>
              <w:bottom w:val="single" w:color="auto" w:sz="4" w:space="0"/>
              <w:right w:val="nil"/>
            </w:tcBorders>
            <w:shd w:val="clear" w:color="000000" w:fill="FFFFFF"/>
            <w:vAlign w:val="center"/>
          </w:tcPr>
          <w:p>
            <w:pPr>
              <w:jc w:val="center"/>
              <w:rPr>
                <w:rFonts w:ascii="宋体" w:hAnsi="宋体" w:cs="Tahoma"/>
              </w:rPr>
            </w:pPr>
            <w:r>
              <w:rPr>
                <w:rFonts w:hint="eastAsia" w:ascii="宋体" w:hAnsi="宋体" w:cs="Tahoma"/>
              </w:rPr>
              <w:t>5</w:t>
            </w:r>
          </w:p>
        </w:tc>
        <w:tc>
          <w:tcPr>
            <w:tcW w:w="15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Tahoma"/>
              </w:rPr>
            </w:pPr>
            <w:r>
              <w:rPr>
                <w:rFonts w:hint="eastAsia" w:ascii="宋体" w:hAnsi="宋体" w:cs="Tahoma"/>
              </w:rPr>
              <w:t>终端防护</w:t>
            </w:r>
          </w:p>
        </w:tc>
        <w:tc>
          <w:tcPr>
            <w:tcW w:w="11530" w:type="dxa"/>
            <w:tcBorders>
              <w:top w:val="single" w:color="auto" w:sz="4" w:space="0"/>
              <w:left w:val="nil"/>
              <w:bottom w:val="single" w:color="auto" w:sz="4" w:space="0"/>
              <w:right w:val="single" w:color="auto" w:sz="4" w:space="0"/>
            </w:tcBorders>
            <w:shd w:val="clear" w:color="000000" w:fill="FFFFFF"/>
            <w:vAlign w:val="center"/>
          </w:tcPr>
          <w:p>
            <w:pPr>
              <w:pStyle w:val="140"/>
              <w:widowControl/>
              <w:adjustRightInd w:val="0"/>
              <w:snapToGrid w:val="0"/>
              <w:spacing w:line="400" w:lineRule="atLeast"/>
              <w:ind w:firstLine="0" w:firstLineChars="0"/>
              <w:jc w:val="left"/>
              <w:rPr>
                <w:rFonts w:ascii="宋体" w:hAnsi="宋体" w:cs="Tahoma"/>
                <w:sz w:val="24"/>
              </w:rPr>
            </w:pPr>
            <w:r>
              <w:rPr>
                <w:rFonts w:hint="eastAsia" w:ascii="宋体" w:hAnsi="宋体" w:cs="Tahoma"/>
                <w:sz w:val="24"/>
              </w:rPr>
              <w:t>平台的云查引擎。（提供产品界面截图）</w:t>
            </w:r>
          </w:p>
          <w:p>
            <w:pPr>
              <w:pStyle w:val="140"/>
              <w:widowControl/>
              <w:adjustRightInd w:val="0"/>
              <w:snapToGrid w:val="0"/>
              <w:spacing w:line="400" w:lineRule="atLeast"/>
              <w:ind w:firstLine="0" w:firstLineChars="0"/>
              <w:jc w:val="left"/>
              <w:rPr>
                <w:rFonts w:ascii="宋体" w:hAnsi="宋体" w:cs="Tahoma"/>
                <w:sz w:val="24"/>
              </w:rPr>
            </w:pPr>
            <w:r>
              <w:rPr>
                <w:rFonts w:hint="eastAsia" w:ascii="宋体" w:hAnsi="宋体" w:cs="Tahoma"/>
                <w:sz w:val="24"/>
              </w:rPr>
              <w:t>支持本地查杀缓存，具备二级缓存机制：终端侧使用全盘文件缓存，加速本地二次扫描速度，减少对本地虚拟化环境的资源消耗；管理平台侧使用全网文件缓存，加速云查杀速度，减少通过互联网进行云查杀的带宽消耗</w:t>
            </w:r>
          </w:p>
          <w:p>
            <w:pPr>
              <w:pStyle w:val="140"/>
              <w:widowControl/>
              <w:adjustRightInd w:val="0"/>
              <w:snapToGrid w:val="0"/>
              <w:spacing w:line="400" w:lineRule="atLeast"/>
              <w:ind w:firstLine="0" w:firstLineChars="0"/>
              <w:jc w:val="left"/>
              <w:rPr>
                <w:rFonts w:ascii="宋体" w:hAnsi="宋体" w:cs="Tahoma"/>
                <w:sz w:val="24"/>
              </w:rPr>
            </w:pPr>
            <w:r>
              <w:rPr>
                <w:rFonts w:hint="eastAsia" w:ascii="宋体" w:hAnsi="宋体" w:cs="Tahoma"/>
                <w:sz w:val="24"/>
              </w:rPr>
              <w:t>支持agent安装目录的文件保护，可以保护agent目录和文件实时监控驱动文件，可以保护agent的服务/进程/文件不被恶意删除，影响正常功能，导致用户的终端受到病毒入侵 ；</w:t>
            </w:r>
          </w:p>
          <w:p>
            <w:pPr>
              <w:pStyle w:val="140"/>
              <w:widowControl/>
              <w:adjustRightInd w:val="0"/>
              <w:snapToGrid w:val="0"/>
              <w:spacing w:line="400" w:lineRule="atLeast"/>
              <w:ind w:firstLine="0" w:firstLineChars="0"/>
              <w:jc w:val="left"/>
              <w:rPr>
                <w:rFonts w:ascii="宋体" w:hAnsi="宋体" w:cs="Tahoma"/>
                <w:sz w:val="24"/>
              </w:rPr>
            </w:pPr>
            <w:r>
              <w:rPr>
                <w:rFonts w:hint="eastAsia" w:ascii="宋体" w:hAnsi="宋体" w:cs="Tahoma"/>
                <w:sz w:val="24"/>
              </w:rPr>
              <w:t xml:space="preserve">支持禁止黑客工具启动，包含：冰刃、xuetr、ProcessHacker、PCHunter、火绒剑、Mimikatz的自启动，可以防止黑客攻击 </w:t>
            </w:r>
          </w:p>
          <w:p>
            <w:pPr>
              <w:pStyle w:val="140"/>
              <w:widowControl/>
              <w:adjustRightInd w:val="0"/>
              <w:snapToGrid w:val="0"/>
              <w:spacing w:line="400" w:lineRule="atLeast"/>
              <w:ind w:firstLine="0" w:firstLineChars="0"/>
              <w:jc w:val="left"/>
              <w:rPr>
                <w:rFonts w:ascii="宋体" w:hAnsi="宋体" w:cs="Tahoma"/>
                <w:sz w:val="24"/>
              </w:rPr>
            </w:pPr>
            <w:r>
              <w:rPr>
                <w:rFonts w:hint="eastAsia" w:ascii="宋体" w:hAnsi="宋体" w:cs="Tahoma"/>
                <w:sz w:val="24"/>
              </w:rPr>
              <w:t>支持对zip， rar， jar， cab， 7z等常见压缩文件的查杀，支持压缩文件查杀层级进行策略配置，最大可配置检查10层压缩文件；</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★支持全网风险展示，包括但不限于未处理的勒索病毒数量、暴力破解数量、WebShell后门数量、高危漏洞及其各自影响的终端数量（需提供产品截图证明并加盖厂家公章）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管理平台界面提供勒索病毒防护专区，提供针对勒索病毒的多维度防护机制；支持对勒索病毒的家族名、病毒名、加密文件后缀名的链接查询，或者通过直接上传加密文件的方式确定勒索病毒类型，如果能解密可以提供必要的解密工具（需提供产品截图证明 ）</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★提供挖矿病毒巡检工具，支持通过内存、进程和启动项来检索病毒相关信息（需提供产品截图证明并加盖厂家公章）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支持对风险终端进行终端隔离，避免感染终端对内网其他主机的病毒传播；</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支持对已隔离终端的恢复操作。</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终端配置管理</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★支持按照扫描网段、扫描方式、扫描协议、扫描端口对终端进行扫描，及时发现尚未纳入管控的终端（需提供产品截图证明并加盖厂家公章）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★支持对安装了指定版本操作系统、特定应用软件、开放了高危端口的风险主机进行统计，具备对风险主机进行漏洞扫描、安装高危软件的主机列表信息统计导出、高危端口一键封堵的能力 （需提供产品截图证明并加盖厂家公章）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★支持终端客户端软件的启用禁用，重启，支持在管理平台直接卸载客户端软件（需提供产品截图证明并加盖厂家公章）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★支持对在线终端下发实时通知消息（需提供产品截图证明并加盖厂家公章）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文件实时监控支持对来自Internet、E-mail或是光盘、移动存储、网络等各种入口渠道病毒进行实时检测；</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★可实时监控文件的状态，在文件读、写、执行或者进入主机时主动进行扫描，支持根据用户性能偏好设置高、中、低3种防护级别（需提供产品截图证明并加盖厂家公章）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WebShell检测</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WebShell文件的检查综合利用文件信誉库、静态分析、机器学习、运行行为分析对文件进行判断。</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支持配置WebShell检测开启或关闭；</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支持配置WebShell定时扫描任务，配置参数包括：扫描周期（每日、每周、每月）、扫描时间精确到分、发现威胁处置方式（自动隔离、仅上报不隔离）；</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★支持展示终端检测到的WebShell事件及事件详情，包括：恶意文件名称，事件等级，受感染的文件，发现时间，检测引擎，文件类型，文件名，文件Hash值，文件大小，文件创建时间，检测依据；</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暴力破解检测于Agent的RDP和SSH登录日志检测的暴力破解入侵检测；</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支持单个攻击源和分布式攻击源的暴力破解检测；</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支持开启暴力破解实时检测，自动封堵攻击源的IP地址，封停时间支持配置；（提供产品界面截图）</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★支持展示终端检测到的暴力破解事件及事件详情，包括：攻击源、攻击类型、检测引擎、最后攻击时间、攻击方法、攻击内容、攻击历史；</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（提供产品界面截图）</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支持对暴力破解事件攻击源IP加入黑名单，已加入黑名单的IP无法访问网内所有终端；</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基线合规检查支持对指定终端/终端组进行终端基线合规性检查，对不合规的检查项提供设置建议；</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针对Windows系统提供如下安全基线合规检查：身份鉴别、访问控制、安全审计、剩余信息保护、入侵防范、恶意代码防范；</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支持windows系统永恒之蓝漏洞（MS17-010）的检测；</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★针对Linux系统提供如下安全基线合规检查：身份鉴别、访问控制、安全审计、 SSH策略检测、入侵防范、恶意代码防范；（提供产品界面截图）</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支持可视化展示终端的基线合规检查结果。</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全网威胁定位★支持基于威胁情报的病毒特征值和域名全网终端搜索，可定位出全网终端该病毒的感染情况（需提供产品截图证明并加盖厂家公章）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★支持管理平台向终端下发脚本（.bat，.sh和.ps1）执行文件，方便管理人员对终端进行脚本下发 （需提供产品截图证明并加盖厂家公章）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微隔离提供对业务系统之间、业务系统内不同应用角色之间、业务系统内相同应用角色之间的访问控制策略配置；</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★支持基于IP、IP组、服务和角色四个维度进行配置项设置，并且支持对配置项的备份以及恢复操作（需提供产品截图证明并加盖厂家公章）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图形化显示业务系统、服务器及流量详情；服务器详情支持展示服务器的资源状态（CPU占有率、内存占有率和磁盘率）、流量分布Top5、该服务器开放的服务；流量线详情支持展示该流量线对应的微隔离策略；图形化显示服务器间流量关系，包括访问详情、流量趋势等。</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联动响应</w:t>
            </w:r>
            <w:r>
              <w:rPr>
                <w:rFonts w:hint="eastAsia" w:ascii="宋体" w:hAnsi="宋体" w:cs="Tahoma"/>
                <w:sz w:val="24"/>
              </w:rPr>
              <w:tab/>
            </w:r>
            <w:r>
              <w:rPr>
                <w:rFonts w:hint="eastAsia" w:ascii="宋体" w:hAnsi="宋体" w:cs="Tahoma"/>
                <w:sz w:val="24"/>
              </w:rPr>
              <w:t>★支持与学校现有的网络防火墙进行安全联动，管理员可以在网络防火墙管理界面下发快速查杀任务，并查看任务状态，结果并进行处置，支持在管理平台查询和统计联动信息 （需提供证明并加盖厂家公章）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★支持与学校现有上网行为管理设备进行联动，未安装终端安全客户端的终端无法上网，有效推广终端安全客户端的部署 （需提供证明并加盖厂家公章）</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★服务交付为确保提供本地化的服务，厂商必须在省内有分公司或者直属的服务办事机构，提供分公司营业执照或者商务局颁发的驻省内城市办事机构登记备案证书 。</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★厂商资质厂商软件研发实力需通过CMMI L5认证</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厂商应是国家互联网应急响应中心网络安全应急服务国家级支撑单位</w:t>
            </w:r>
          </w:p>
          <w:p>
            <w:pPr>
              <w:pStyle w:val="140"/>
              <w:widowControl/>
              <w:adjustRightInd w:val="0"/>
              <w:snapToGrid w:val="0"/>
              <w:spacing w:line="400" w:lineRule="atLeast"/>
              <w:ind w:firstLine="480"/>
              <w:jc w:val="left"/>
              <w:rPr>
                <w:rFonts w:ascii="宋体" w:hAnsi="宋体" w:cs="Tahoma"/>
                <w:sz w:val="24"/>
              </w:rPr>
            </w:pPr>
            <w:r>
              <w:rPr>
                <w:rFonts w:hint="eastAsia" w:ascii="宋体" w:hAnsi="宋体" w:cs="Tahoma"/>
                <w:sz w:val="24"/>
              </w:rPr>
              <w:t>★产品资质具备公安部颁发的销售许可证</w:t>
            </w:r>
          </w:p>
          <w:p>
            <w:pPr>
              <w:pStyle w:val="140"/>
              <w:widowControl/>
              <w:adjustRightInd w:val="0"/>
              <w:snapToGrid w:val="0"/>
              <w:spacing w:line="400" w:lineRule="atLeast"/>
              <w:ind w:firstLine="0" w:firstLineChars="0"/>
              <w:jc w:val="left"/>
              <w:rPr>
                <w:rFonts w:ascii="宋体" w:hAnsi="宋体" w:cs="Tahoma"/>
              </w:rPr>
            </w:pPr>
            <w:r>
              <w:rPr>
                <w:rFonts w:hint="eastAsia" w:ascii="宋体" w:hAnsi="宋体" w:cs="Tahoma"/>
                <w:sz w:val="24"/>
              </w:rPr>
              <w:t>具备版权局颁发的软件著作权证书</w:t>
            </w:r>
          </w:p>
        </w:tc>
      </w:tr>
      <w:tr>
        <w:tblPrEx>
          <w:tblCellMar>
            <w:top w:w="0" w:type="dxa"/>
            <w:left w:w="108" w:type="dxa"/>
            <w:bottom w:w="0" w:type="dxa"/>
            <w:right w:w="108" w:type="dxa"/>
          </w:tblCellMar>
        </w:tblPrEx>
        <w:trPr>
          <w:trHeight w:val="995" w:hRule="atLeast"/>
        </w:trPr>
        <w:tc>
          <w:tcPr>
            <w:tcW w:w="727" w:type="dxa"/>
            <w:tcBorders>
              <w:top w:val="nil"/>
              <w:left w:val="single" w:color="auto" w:sz="4" w:space="0"/>
              <w:bottom w:val="single" w:color="auto" w:sz="4" w:space="0"/>
              <w:right w:val="nil"/>
            </w:tcBorders>
            <w:shd w:val="clear" w:color="000000" w:fill="FFFFFF"/>
            <w:vAlign w:val="center"/>
          </w:tcPr>
          <w:p>
            <w:pPr>
              <w:jc w:val="center"/>
              <w:rPr>
                <w:rFonts w:ascii="宋体" w:hAnsi="宋体" w:cs="Tahoma"/>
              </w:rPr>
            </w:pPr>
            <w:r>
              <w:rPr>
                <w:rFonts w:ascii="宋体" w:hAnsi="宋体" w:cs="Tahoma"/>
              </w:rPr>
              <w:t>6</w:t>
            </w:r>
          </w:p>
        </w:tc>
        <w:tc>
          <w:tcPr>
            <w:tcW w:w="156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Tahoma"/>
              </w:rPr>
            </w:pPr>
            <w:r>
              <w:rPr>
                <w:rFonts w:hint="eastAsia" w:ascii="宋体" w:hAnsi="宋体" w:cs="Tahoma"/>
              </w:rPr>
              <w:t>施工、线材、辅材及其它</w:t>
            </w:r>
          </w:p>
        </w:tc>
        <w:tc>
          <w:tcPr>
            <w:tcW w:w="11530"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Tahoma"/>
              </w:rPr>
            </w:pPr>
            <w:r>
              <w:rPr>
                <w:rFonts w:hint="eastAsia" w:ascii="宋体" w:hAnsi="宋体" w:cs="Tahoma"/>
              </w:rPr>
              <w:t>多媒体设备的拆除、搬运安装，新设备的安装调测、线路的整改、线材，施工，运输等费用</w:t>
            </w:r>
          </w:p>
        </w:tc>
      </w:tr>
    </w:tbl>
    <w:p>
      <w:pPr>
        <w:rPr>
          <w:rFonts w:ascii="宋体" w:hAnsi="宋体"/>
        </w:rPr>
      </w:pPr>
    </w:p>
    <w:p>
      <w:pPr>
        <w:rPr>
          <w:rFonts w:ascii="宋体" w:hAnsi="宋体"/>
        </w:rPr>
      </w:pPr>
    </w:p>
    <w:p>
      <w:pPr>
        <w:rPr>
          <w:rFonts w:ascii="宋体" w:hAnsi="宋体"/>
        </w:rPr>
      </w:pPr>
    </w:p>
    <w:p>
      <w:pPr>
        <w:rPr>
          <w:rFonts w:ascii="宋体" w:hAnsi="宋体"/>
        </w:rPr>
      </w:pPr>
    </w:p>
    <w:p>
      <w:pPr>
        <w:pStyle w:val="2"/>
        <w:jc w:val="both"/>
      </w:pPr>
    </w:p>
    <w:p>
      <w:pPr>
        <w:pStyle w:val="2"/>
        <w:jc w:val="both"/>
      </w:pPr>
    </w:p>
    <w:p>
      <w:pPr>
        <w:rPr>
          <w:rFonts w:ascii="宋体" w:hAnsi="宋体"/>
        </w:rPr>
      </w:pPr>
      <w:r>
        <w:rPr>
          <w:rFonts w:hint="eastAsia" w:ascii="宋体" w:hAnsi="宋体"/>
        </w:rPr>
        <w:t>整体要求：</w:t>
      </w:r>
    </w:p>
    <w:p>
      <w:pPr>
        <w:rPr>
          <w:rFonts w:ascii="宋体" w:hAnsi="宋体"/>
        </w:rPr>
      </w:pPr>
      <w:r>
        <w:rPr>
          <w:rFonts w:hint="eastAsia" w:ascii="宋体" w:hAnsi="宋体"/>
        </w:rPr>
        <w:t>1、保障兼容性以及售后服务的持续稳定性，要求所投产品尽量为同一厂家提供；</w:t>
      </w:r>
    </w:p>
    <w:p>
      <w:pPr>
        <w:rPr>
          <w:rFonts w:ascii="宋体" w:hAnsi="宋体"/>
        </w:rPr>
      </w:pPr>
      <w:r>
        <w:rPr>
          <w:rFonts w:hint="eastAsia" w:ascii="宋体" w:hAnsi="宋体"/>
        </w:rPr>
        <w:t>2、提供详细设计方案；</w:t>
      </w:r>
    </w:p>
    <w:p>
      <w:pPr>
        <w:rPr>
          <w:rFonts w:ascii="宋体" w:hAnsi="宋体"/>
        </w:rPr>
      </w:pPr>
      <w:r>
        <w:rPr>
          <w:rFonts w:hint="eastAsia" w:ascii="宋体" w:hAnsi="宋体"/>
        </w:rPr>
        <w:t>3、本项目为交钥匙工程，所有设备除了特别标注扩展性的指标，都应是已经配置或者是可以使用的，不需要另行购买。</w:t>
      </w:r>
    </w:p>
    <w:p>
      <w:pPr>
        <w:rPr>
          <w:rFonts w:ascii="宋体" w:hAnsi="宋体"/>
        </w:rPr>
      </w:pPr>
      <w:r>
        <w:rPr>
          <w:rFonts w:hint="eastAsia" w:ascii="宋体" w:hAnsi="宋体"/>
        </w:rPr>
        <w:t>4、所有设备必须包含完成安装所需的一切配件、线缆等，不需要另行购买，如出现未考虑部分，我方将不予追加。</w:t>
      </w:r>
    </w:p>
    <w:p>
      <w:pPr>
        <w:pStyle w:val="2"/>
        <w:jc w:val="both"/>
        <w:sectPr>
          <w:pgSz w:w="16838" w:h="11906" w:orient="landscape"/>
          <w:pgMar w:top="720" w:right="720" w:bottom="720" w:left="720" w:header="851" w:footer="992" w:gutter="0"/>
          <w:cols w:space="720" w:num="1"/>
          <w:docGrid w:type="lines" w:linePitch="326" w:charSpace="0"/>
        </w:sectPr>
      </w:pPr>
    </w:p>
    <w:p>
      <w:pPr>
        <w:rPr>
          <w:rFonts w:ascii="宋体" w:hAnsi="宋体"/>
        </w:rPr>
      </w:pPr>
    </w:p>
    <w:p>
      <w:pPr>
        <w:pStyle w:val="3"/>
        <w:keepNext w:val="0"/>
        <w:snapToGrid w:val="0"/>
        <w:spacing w:after="286" w:afterLines="100" w:line="300" w:lineRule="auto"/>
        <w:rPr>
          <w:rFonts w:ascii="宋体" w:hAnsi="宋体" w:eastAsia="宋体"/>
          <w:b/>
          <w:sz w:val="48"/>
        </w:rPr>
      </w:pPr>
      <w:bookmarkStart w:id="219" w:name="_Toc50913251"/>
    </w:p>
    <w:p>
      <w:pPr>
        <w:pStyle w:val="3"/>
        <w:keepNext w:val="0"/>
        <w:snapToGrid w:val="0"/>
        <w:spacing w:after="286" w:afterLines="100" w:line="300" w:lineRule="auto"/>
        <w:jc w:val="center"/>
        <w:rPr>
          <w:rFonts w:ascii="宋体" w:hAnsi="宋体" w:eastAsia="宋体"/>
          <w:b/>
          <w:sz w:val="48"/>
        </w:rPr>
      </w:pPr>
      <w:r>
        <w:rPr>
          <w:rFonts w:hint="eastAsia" w:ascii="宋体" w:hAnsi="宋体" w:eastAsia="宋体"/>
          <w:b/>
          <w:sz w:val="48"/>
        </w:rPr>
        <w:t xml:space="preserve">第四章  </w:t>
      </w:r>
      <w:bookmarkStart w:id="220" w:name="_Hlt26670668"/>
      <w:bookmarkEnd w:id="220"/>
      <w:bookmarkStart w:id="221" w:name="_Hlt26954916"/>
      <w:bookmarkEnd w:id="221"/>
      <w:bookmarkStart w:id="222" w:name="_Toc14577382"/>
      <w:bookmarkStart w:id="223" w:name="_Toc49090533"/>
      <w:bookmarkStart w:id="224" w:name="_Toc513029244"/>
      <w:r>
        <w:rPr>
          <w:rFonts w:hint="eastAsia" w:ascii="宋体" w:hAnsi="宋体" w:eastAsia="宋体"/>
          <w:b/>
          <w:sz w:val="48"/>
        </w:rPr>
        <w:t>合同</w:t>
      </w:r>
      <w:bookmarkEnd w:id="219"/>
      <w:bookmarkEnd w:id="222"/>
      <w:bookmarkEnd w:id="223"/>
      <w:bookmarkEnd w:id="224"/>
    </w:p>
    <w:p>
      <w:pPr>
        <w:ind w:firstLine="210" w:firstLineChars="100"/>
        <w:jc w:val="center"/>
      </w:pPr>
      <w:r>
        <w:rPr>
          <w:rFonts w:hint="eastAsia"/>
        </w:rPr>
        <w:t>（以实际签订合同为准）</w:t>
      </w:r>
    </w:p>
    <w:p>
      <w:pPr>
        <w:spacing w:line="360" w:lineRule="auto"/>
        <w:ind w:left="620"/>
        <w:jc w:val="center"/>
        <w:outlineLvl w:val="0"/>
        <w:rPr>
          <w:rFonts w:ascii="宋体" w:hAnsi="宋体"/>
          <w:b/>
          <w:color w:val="000000"/>
          <w:sz w:val="28"/>
          <w:szCs w:val="28"/>
        </w:rPr>
      </w:pPr>
    </w:p>
    <w:p>
      <w:pPr>
        <w:widowControl/>
        <w:jc w:val="left"/>
        <w:rPr>
          <w:rFonts w:ascii="宋体" w:hAnsi="宋体"/>
          <w:b/>
          <w:sz w:val="24"/>
        </w:rPr>
      </w:pPr>
      <w:r>
        <w:rPr>
          <w:rFonts w:ascii="宋体" w:hAnsi="宋体"/>
          <w:b/>
          <w:sz w:val="24"/>
        </w:rPr>
        <w:br w:type="page"/>
      </w:r>
    </w:p>
    <w:p>
      <w:pPr>
        <w:pStyle w:val="3"/>
        <w:keepNext w:val="0"/>
        <w:snapToGrid w:val="0"/>
        <w:spacing w:line="360" w:lineRule="auto"/>
        <w:jc w:val="center"/>
        <w:rPr>
          <w:rFonts w:ascii="宋体" w:hAnsi="宋体" w:eastAsia="宋体"/>
          <w:b/>
          <w:bCs/>
          <w:sz w:val="44"/>
        </w:rPr>
      </w:pPr>
      <w:bookmarkStart w:id="225" w:name="_Toc50913254"/>
      <w:bookmarkStart w:id="226" w:name="_Toc496089681"/>
      <w:bookmarkStart w:id="227" w:name="_Toc139965361"/>
      <w:bookmarkStart w:id="228" w:name="_Toc50913253"/>
      <w:bookmarkStart w:id="229" w:name="_Toc398561188"/>
      <w:r>
        <w:rPr>
          <w:rFonts w:hint="eastAsia" w:ascii="宋体" w:hAnsi="宋体" w:eastAsia="宋体"/>
          <w:b/>
          <w:sz w:val="44"/>
          <w:szCs w:val="24"/>
        </w:rPr>
        <w:t>第五章 文书格式及要求（格式）</w:t>
      </w:r>
      <w:bookmarkEnd w:id="225"/>
      <w:bookmarkEnd w:id="226"/>
    </w:p>
    <w:p>
      <w:pPr>
        <w:pStyle w:val="4"/>
        <w:spacing w:before="0" w:after="0"/>
        <w:rPr>
          <w:rFonts w:ascii="宋体" w:hAnsi="宋体" w:cs="宋体"/>
          <w:sz w:val="24"/>
          <w:szCs w:val="24"/>
        </w:rPr>
      </w:pPr>
      <w:r>
        <w:rPr>
          <w:rFonts w:hint="eastAsia" w:ascii="宋体" w:hAnsi="宋体" w:cs="宋体"/>
          <w:sz w:val="24"/>
          <w:szCs w:val="24"/>
        </w:rPr>
        <w:t>谈 判 响 应 函</w:t>
      </w:r>
      <w:bookmarkEnd w:id="227"/>
      <w:bookmarkEnd w:id="228"/>
      <w:bookmarkEnd w:id="229"/>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致： </w:t>
      </w:r>
    </w:p>
    <w:p>
      <w:pPr>
        <w:spacing w:line="360" w:lineRule="auto"/>
        <w:ind w:firstLine="480" w:firstLineChars="200"/>
        <w:rPr>
          <w:rFonts w:ascii="宋体" w:hAnsi="宋体" w:cs="宋体"/>
          <w:sz w:val="24"/>
        </w:rPr>
      </w:pPr>
      <w:r>
        <w:rPr>
          <w:rFonts w:hint="eastAsia" w:ascii="宋体" w:hAnsi="宋体" w:cs="宋体"/>
          <w:sz w:val="24"/>
        </w:rPr>
        <w:t>根据已收到的采购编号为</w:t>
      </w:r>
      <w:r>
        <w:rPr>
          <w:rFonts w:hint="eastAsia" w:ascii="宋体" w:hAnsi="宋体" w:cs="宋体"/>
          <w:sz w:val="24"/>
          <w:u w:val="single"/>
        </w:rPr>
        <w:t xml:space="preserve">                 </w:t>
      </w:r>
      <w:r>
        <w:rPr>
          <w:rFonts w:hint="eastAsia" w:ascii="宋体" w:hAnsi="宋体" w:cs="宋体"/>
          <w:sz w:val="24"/>
        </w:rPr>
        <w:t xml:space="preserve"> 的</w:t>
      </w:r>
      <w:r>
        <w:rPr>
          <w:rFonts w:hint="eastAsia" w:ascii="宋体" w:hAnsi="宋体" w:cs="宋体"/>
          <w:bCs/>
          <w:sz w:val="24"/>
        </w:rPr>
        <w:t>XXXX所需XXXX项目</w:t>
      </w:r>
      <w:r>
        <w:rPr>
          <w:rFonts w:hint="eastAsia" w:ascii="宋体" w:hAnsi="宋体" w:cs="宋体"/>
          <w:sz w:val="24"/>
        </w:rPr>
        <w:t>谈判文件，我单位经认真研究上述谈判文件，决定参加本次谈判。我方提交谈判响应性文件并保证其真实性。我方愿承担该项目的实施和保修任务，履行采购文件中对成交单位的要求和应承担的责任和义务。同时我方郑重做出如下声明：</w:t>
      </w:r>
    </w:p>
    <w:p>
      <w:pPr>
        <w:spacing w:line="360" w:lineRule="auto"/>
        <w:ind w:firstLine="480" w:firstLineChars="200"/>
        <w:rPr>
          <w:rFonts w:ascii="宋体" w:hAnsi="宋体" w:cs="宋体"/>
          <w:sz w:val="24"/>
        </w:rPr>
      </w:pPr>
      <w:r>
        <w:rPr>
          <w:rFonts w:hint="eastAsia" w:ascii="宋体" w:hAnsi="宋体" w:cs="宋体"/>
          <w:sz w:val="24"/>
        </w:rPr>
        <w:t>1、我方完全接受谈判文件中的内容，并将按谈判文件的规定履行责任、义务。</w:t>
      </w:r>
    </w:p>
    <w:p>
      <w:pPr>
        <w:spacing w:line="360" w:lineRule="auto"/>
        <w:ind w:firstLine="480" w:firstLineChars="200"/>
        <w:rPr>
          <w:rFonts w:ascii="宋体" w:hAnsi="宋体" w:cs="宋体"/>
          <w:sz w:val="24"/>
        </w:rPr>
      </w:pPr>
      <w:r>
        <w:rPr>
          <w:rFonts w:hint="eastAsia" w:ascii="宋体" w:hAnsi="宋体" w:cs="宋体"/>
          <w:sz w:val="24"/>
        </w:rPr>
        <w:t>2、我方已详细审查全部谈判文件，包括修改文件、参考资料及有关附件，无其他不明事项。</w:t>
      </w:r>
    </w:p>
    <w:p>
      <w:pPr>
        <w:spacing w:line="360" w:lineRule="auto"/>
        <w:ind w:firstLine="480" w:firstLineChars="200"/>
        <w:rPr>
          <w:rFonts w:ascii="宋体" w:hAnsi="宋体" w:cs="宋体"/>
          <w:sz w:val="24"/>
        </w:rPr>
      </w:pPr>
      <w:r>
        <w:rPr>
          <w:rFonts w:hint="eastAsia" w:ascii="宋体" w:hAnsi="宋体" w:cs="宋体"/>
          <w:sz w:val="24"/>
        </w:rPr>
        <w:t>3、我方同意提供贵方可能要求的与谈判有关的任何证据或资料。</w:t>
      </w:r>
    </w:p>
    <w:p>
      <w:pPr>
        <w:spacing w:line="360" w:lineRule="auto"/>
        <w:ind w:firstLine="480" w:firstLineChars="200"/>
        <w:rPr>
          <w:rFonts w:ascii="宋体" w:hAnsi="宋体" w:cs="宋体"/>
          <w:sz w:val="24"/>
        </w:rPr>
      </w:pPr>
      <w:r>
        <w:rPr>
          <w:rFonts w:hint="eastAsia" w:ascii="宋体" w:hAnsi="宋体" w:cs="宋体"/>
          <w:sz w:val="24"/>
        </w:rPr>
        <w:t>4、如果我方成交，我方将按《成交通知书》要求签订、履行合同，承担责任、义务。</w:t>
      </w:r>
    </w:p>
    <w:p>
      <w:pPr>
        <w:spacing w:line="360" w:lineRule="auto"/>
        <w:ind w:firstLine="480" w:firstLineChars="200"/>
        <w:rPr>
          <w:rFonts w:ascii="宋体" w:hAnsi="宋体" w:cs="宋体"/>
          <w:sz w:val="24"/>
        </w:rPr>
      </w:pPr>
      <w:r>
        <w:rPr>
          <w:rFonts w:hint="eastAsia" w:ascii="宋体" w:hAnsi="宋体" w:cs="宋体"/>
          <w:sz w:val="24"/>
        </w:rPr>
        <w:t>5、我方同意所递交的谈判响应性文件在60天的谈判有效期内有效，在此期间我方将受此约束。</w:t>
      </w:r>
    </w:p>
    <w:p>
      <w:pPr>
        <w:spacing w:line="360" w:lineRule="auto"/>
        <w:ind w:firstLine="480" w:firstLineChars="200"/>
        <w:rPr>
          <w:rFonts w:ascii="宋体" w:hAnsi="宋体" w:cs="宋体"/>
          <w:sz w:val="24"/>
        </w:rPr>
      </w:pPr>
      <w:r>
        <w:rPr>
          <w:rFonts w:hint="eastAsia" w:ascii="宋体" w:hAnsi="宋体" w:cs="宋体"/>
          <w:sz w:val="24"/>
        </w:rPr>
        <w:t>6、与谈判有关的一切资金往来请使用以下帐户：</w:t>
      </w:r>
    </w:p>
    <w:p>
      <w:pPr>
        <w:spacing w:line="360" w:lineRule="auto"/>
        <w:ind w:firstLine="900" w:firstLineChars="375"/>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900" w:firstLineChars="375"/>
        <w:rPr>
          <w:rFonts w:ascii="宋体" w:hAnsi="宋体" w:cs="宋体"/>
          <w:sz w:val="24"/>
        </w:rPr>
      </w:pPr>
      <w:r>
        <w:rPr>
          <w:rFonts w:hint="eastAsia" w:ascii="宋体" w:hAnsi="宋体" w:cs="宋体"/>
          <w:sz w:val="24"/>
        </w:rPr>
        <w:t>户  名：</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账  号：</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8、与谈判有关的一切正式信函请使用以下地址：</w:t>
      </w:r>
    </w:p>
    <w:p>
      <w:pPr>
        <w:spacing w:line="360" w:lineRule="auto"/>
        <w:ind w:firstLine="900" w:firstLineChars="375"/>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邮      编：</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pPr>
        <w:spacing w:line="360" w:lineRule="auto"/>
        <w:ind w:firstLine="900" w:firstLineChars="375"/>
        <w:rPr>
          <w:rFonts w:ascii="宋体" w:hAnsi="宋体" w:cs="宋体"/>
          <w:sz w:val="24"/>
        </w:rPr>
      </w:pPr>
      <w:r>
        <w:rPr>
          <w:rFonts w:hint="eastAsia" w:ascii="宋体" w:hAnsi="宋体" w:cs="宋体"/>
          <w:sz w:val="24"/>
        </w:rPr>
        <w:t>传      真：</w:t>
      </w:r>
      <w:r>
        <w:rPr>
          <w:rFonts w:hint="eastAsia" w:ascii="宋体" w:hAnsi="宋体" w:cs="宋体"/>
          <w:sz w:val="24"/>
          <w:u w:val="single"/>
        </w:rPr>
        <w:t xml:space="preserve">                      </w:t>
      </w:r>
    </w:p>
    <w:p>
      <w:pPr>
        <w:spacing w:line="360" w:lineRule="auto"/>
        <w:ind w:firstLine="900" w:firstLineChars="375"/>
        <w:rPr>
          <w:rFonts w:ascii="宋体" w:hAnsi="宋体" w:cs="宋体"/>
          <w:sz w:val="24"/>
          <w:u w:val="single"/>
        </w:rPr>
      </w:pPr>
      <w:r>
        <w:rPr>
          <w:rFonts w:hint="eastAsia" w:ascii="宋体" w:hAnsi="宋体" w:cs="宋体"/>
          <w:sz w:val="24"/>
        </w:rPr>
        <w:t>单位公章：</w:t>
      </w:r>
      <w:r>
        <w:rPr>
          <w:rFonts w:hint="eastAsia" w:ascii="宋体" w:hAnsi="宋体" w:cs="宋体"/>
          <w:sz w:val="24"/>
          <w:u w:val="single"/>
        </w:rPr>
        <w:t xml:space="preserve">                        </w:t>
      </w:r>
    </w:p>
    <w:p>
      <w:pPr>
        <w:spacing w:line="360" w:lineRule="auto"/>
        <w:ind w:firstLine="900" w:firstLineChars="375"/>
        <w:rPr>
          <w:rFonts w:ascii="宋体" w:hAnsi="宋体" w:cs="宋体"/>
        </w:rPr>
      </w:pPr>
      <w:r>
        <w:rPr>
          <w:rFonts w:hint="eastAsia" w:ascii="宋体" w:hAnsi="宋体" w:cs="宋体"/>
          <w:sz w:val="24"/>
        </w:rPr>
        <w:t>法定代表人或授权代表人签字</w:t>
      </w:r>
      <w:r>
        <w:rPr>
          <w:rFonts w:hint="eastAsia" w:ascii="宋体" w:hAnsi="宋体"/>
          <w:color w:val="000000"/>
          <w:sz w:val="24"/>
        </w:rPr>
        <w:t>或盖章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rPr>
        <w:t xml:space="preserve">        </w:t>
      </w:r>
    </w:p>
    <w:p>
      <w:pPr>
        <w:pStyle w:val="21"/>
        <w:spacing w:line="360" w:lineRule="auto"/>
        <w:ind w:right="560" w:firstLine="5400" w:firstLineChars="2250"/>
        <w:rPr>
          <w:rFonts w:ascii="宋体" w:hAnsi="宋体" w:cs="宋体"/>
        </w:rPr>
      </w:pPr>
      <w:r>
        <w:rPr>
          <w:rFonts w:hint="eastAsia" w:ascii="宋体" w:hAnsi="宋体" w:cs="宋体"/>
        </w:rPr>
        <w:t>年    月   日</w:t>
      </w:r>
    </w:p>
    <w:p>
      <w:pPr>
        <w:jc w:val="center"/>
        <w:rPr>
          <w:rFonts w:ascii="宋体" w:hAnsi="宋体"/>
          <w:sz w:val="28"/>
          <w:szCs w:val="28"/>
        </w:rPr>
      </w:pPr>
      <w:r>
        <w:rPr>
          <w:rFonts w:ascii="宋体" w:hAnsi="宋体"/>
          <w:b/>
          <w:sz w:val="24"/>
        </w:rPr>
        <w:br w:type="page"/>
      </w:r>
      <w:bookmarkEnd w:id="158"/>
      <w:bookmarkEnd w:id="159"/>
      <w:bookmarkEnd w:id="160"/>
      <w:bookmarkEnd w:id="161"/>
      <w:bookmarkStart w:id="230" w:name="_Hlt26670664"/>
      <w:bookmarkEnd w:id="230"/>
      <w:bookmarkStart w:id="231" w:name="_Hlt26954918"/>
      <w:bookmarkEnd w:id="231"/>
      <w:bookmarkStart w:id="232" w:name="_Toc496089684"/>
      <w:bookmarkStart w:id="233" w:name="_Toc38623983"/>
      <w:bookmarkStart w:id="234" w:name="_Toc50913256"/>
      <w:r>
        <w:rPr>
          <w:rFonts w:hint="eastAsia" w:ascii="宋体" w:hAnsi="宋体"/>
          <w:bCs/>
          <w:sz w:val="28"/>
          <w:szCs w:val="28"/>
        </w:rPr>
        <w:t>无违法记录声明</w:t>
      </w:r>
      <w:bookmarkEnd w:id="232"/>
      <w:bookmarkEnd w:id="233"/>
      <w:bookmarkEnd w:id="234"/>
    </w:p>
    <w:p>
      <w:pPr>
        <w:pStyle w:val="5"/>
        <w:ind w:firstLine="0"/>
        <w:rPr>
          <w:rFonts w:ascii="宋体" w:hAnsi="宋体"/>
          <w:sz w:val="28"/>
          <w:szCs w:val="28"/>
        </w:rPr>
      </w:pPr>
    </w:p>
    <w:p>
      <w:pPr>
        <w:shd w:val="clear" w:color="auto" w:fill="FFFFFF"/>
        <w:snapToGrid w:val="0"/>
        <w:spacing w:line="360" w:lineRule="auto"/>
        <w:ind w:firstLine="420"/>
        <w:rPr>
          <w:rFonts w:ascii="宋体" w:hAnsi="宋体"/>
          <w:bCs/>
          <w:kern w:val="10"/>
          <w:sz w:val="28"/>
          <w:szCs w:val="28"/>
        </w:rPr>
      </w:pPr>
      <w:r>
        <w:rPr>
          <w:rFonts w:hint="eastAsia" w:ascii="宋体" w:hAnsi="宋体"/>
          <w:bCs/>
          <w:kern w:val="10"/>
          <w:sz w:val="28"/>
          <w:szCs w:val="28"/>
        </w:rPr>
        <w:t>我公司参</w:t>
      </w:r>
      <w:r>
        <w:rPr>
          <w:rFonts w:hint="eastAsia" w:ascii="宋体" w:hAnsi="宋体"/>
          <w:sz w:val="28"/>
          <w:szCs w:val="28"/>
        </w:rPr>
        <w:t>加 “乌鲁木齐市雪莲小学多媒体黑板项目”项目政府采购活动前三年内，在经营活动中没有重大违法</w:t>
      </w:r>
      <w:r>
        <w:rPr>
          <w:rFonts w:hint="eastAsia" w:ascii="宋体" w:hAnsi="宋体"/>
          <w:bCs/>
          <w:kern w:val="10"/>
          <w:sz w:val="28"/>
          <w:szCs w:val="28"/>
        </w:rPr>
        <w:t>记录,公司及其法定代表人无行贿犯罪记录。</w:t>
      </w:r>
    </w:p>
    <w:p>
      <w:pPr>
        <w:pStyle w:val="5"/>
        <w:snapToGrid w:val="0"/>
        <w:spacing w:line="360" w:lineRule="auto"/>
        <w:ind w:firstLine="560" w:firstLineChars="200"/>
        <w:rPr>
          <w:rFonts w:ascii="宋体" w:hAnsi="宋体"/>
          <w:sz w:val="28"/>
          <w:szCs w:val="28"/>
        </w:rPr>
      </w:pPr>
      <w:r>
        <w:rPr>
          <w:rFonts w:hint="eastAsia" w:ascii="宋体" w:hAnsi="宋体"/>
          <w:sz w:val="28"/>
          <w:szCs w:val="28"/>
        </w:rPr>
        <w:t>。</w:t>
      </w:r>
    </w:p>
    <w:p>
      <w:pPr>
        <w:pStyle w:val="5"/>
        <w:snapToGrid w:val="0"/>
        <w:spacing w:line="360" w:lineRule="auto"/>
        <w:ind w:firstLine="560" w:firstLineChars="200"/>
        <w:rPr>
          <w:rFonts w:ascii="宋体" w:hAnsi="宋体"/>
          <w:sz w:val="28"/>
          <w:szCs w:val="28"/>
        </w:rPr>
      </w:pPr>
      <w:r>
        <w:rPr>
          <w:rFonts w:hint="eastAsia" w:ascii="宋体" w:hAnsi="宋体"/>
          <w:sz w:val="28"/>
          <w:szCs w:val="28"/>
        </w:rPr>
        <w:t>特此声明！</w:t>
      </w:r>
    </w:p>
    <w:p>
      <w:pPr>
        <w:widowControl/>
        <w:tabs>
          <w:tab w:val="left" w:pos="0"/>
        </w:tabs>
        <w:adjustRightInd w:val="0"/>
        <w:snapToGrid w:val="0"/>
        <w:spacing w:line="360" w:lineRule="auto"/>
        <w:rPr>
          <w:rFonts w:ascii="宋体" w:hAnsi="宋体"/>
          <w:bCs/>
          <w:sz w:val="28"/>
          <w:szCs w:val="28"/>
        </w:rPr>
      </w:pPr>
    </w:p>
    <w:p>
      <w:pPr>
        <w:widowControl/>
        <w:snapToGrid w:val="0"/>
        <w:spacing w:line="360" w:lineRule="auto"/>
        <w:jc w:val="center"/>
        <w:rPr>
          <w:rFonts w:ascii="宋体" w:hAnsi="宋体"/>
          <w:sz w:val="28"/>
          <w:szCs w:val="28"/>
        </w:rPr>
      </w:pPr>
    </w:p>
    <w:p>
      <w:pPr>
        <w:widowControl/>
        <w:snapToGrid w:val="0"/>
        <w:spacing w:line="360" w:lineRule="auto"/>
        <w:jc w:val="center"/>
        <w:rPr>
          <w:rFonts w:ascii="宋体" w:hAnsi="宋体"/>
          <w:sz w:val="28"/>
          <w:szCs w:val="28"/>
        </w:rPr>
      </w:pPr>
    </w:p>
    <w:p>
      <w:pPr>
        <w:widowControl/>
        <w:snapToGrid w:val="0"/>
        <w:spacing w:line="360" w:lineRule="auto"/>
        <w:jc w:val="center"/>
        <w:rPr>
          <w:rFonts w:ascii="宋体" w:hAnsi="宋体"/>
          <w:sz w:val="28"/>
          <w:szCs w:val="28"/>
        </w:rPr>
      </w:pPr>
    </w:p>
    <w:p>
      <w:pPr>
        <w:widowControl/>
        <w:snapToGrid w:val="0"/>
        <w:spacing w:line="360" w:lineRule="auto"/>
        <w:rPr>
          <w:rFonts w:ascii="宋体" w:hAnsi="宋体"/>
          <w:sz w:val="28"/>
          <w:szCs w:val="28"/>
        </w:rPr>
      </w:pPr>
    </w:p>
    <w:p>
      <w:pPr>
        <w:snapToGrid w:val="0"/>
        <w:spacing w:line="360" w:lineRule="auto"/>
        <w:ind w:firstLine="4760" w:firstLineChars="1700"/>
        <w:rPr>
          <w:rFonts w:ascii="宋体" w:hAnsi="宋体"/>
          <w:sz w:val="28"/>
          <w:szCs w:val="28"/>
        </w:rPr>
      </w:pPr>
    </w:p>
    <w:p>
      <w:pPr>
        <w:snapToGrid w:val="0"/>
        <w:spacing w:line="360" w:lineRule="auto"/>
        <w:jc w:val="right"/>
        <w:rPr>
          <w:rFonts w:ascii="宋体" w:hAnsi="宋体"/>
          <w:sz w:val="28"/>
          <w:szCs w:val="28"/>
        </w:rPr>
      </w:pPr>
      <w:r>
        <w:rPr>
          <w:rFonts w:hint="eastAsia" w:ascii="宋体" w:hAnsi="宋体"/>
          <w:sz w:val="28"/>
          <w:szCs w:val="28"/>
        </w:rPr>
        <w:t>供应商法定代表人或授权代理人（</w:t>
      </w:r>
      <w:r>
        <w:rPr>
          <w:rFonts w:hint="eastAsia" w:ascii="宋体" w:hAnsi="宋体"/>
          <w:sz w:val="24"/>
        </w:rPr>
        <w:t>签字或盖章</w:t>
      </w:r>
      <w:r>
        <w:rPr>
          <w:rFonts w:hint="eastAsia" w:ascii="宋体" w:hAnsi="宋体"/>
          <w:sz w:val="28"/>
          <w:szCs w:val="28"/>
        </w:rPr>
        <w:t>） ：</w:t>
      </w:r>
    </w:p>
    <w:p>
      <w:pPr>
        <w:snapToGrid w:val="0"/>
        <w:spacing w:line="360" w:lineRule="auto"/>
        <w:ind w:right="560" w:firstLine="4900" w:firstLineChars="1750"/>
        <w:rPr>
          <w:rFonts w:ascii="宋体" w:hAnsi="宋体"/>
          <w:sz w:val="28"/>
          <w:szCs w:val="28"/>
        </w:rPr>
      </w:pPr>
    </w:p>
    <w:p>
      <w:pPr>
        <w:snapToGrid w:val="0"/>
        <w:spacing w:line="360" w:lineRule="auto"/>
        <w:ind w:right="560" w:firstLine="4900" w:firstLineChars="1750"/>
        <w:rPr>
          <w:rFonts w:ascii="宋体" w:hAnsi="宋体"/>
          <w:sz w:val="28"/>
          <w:szCs w:val="28"/>
        </w:rPr>
      </w:pPr>
      <w:r>
        <w:rPr>
          <w:rFonts w:hint="eastAsia" w:ascii="宋体" w:hAnsi="宋体"/>
          <w:sz w:val="28"/>
          <w:szCs w:val="28"/>
        </w:rPr>
        <w:t>（盖单位公章）</w:t>
      </w:r>
    </w:p>
    <w:p>
      <w:pPr>
        <w:snapToGrid w:val="0"/>
        <w:spacing w:line="360" w:lineRule="auto"/>
        <w:ind w:right="560" w:firstLine="4900" w:firstLineChars="1750"/>
        <w:rPr>
          <w:rFonts w:ascii="宋体" w:hAnsi="宋体"/>
          <w:sz w:val="28"/>
          <w:szCs w:val="28"/>
        </w:rPr>
      </w:pPr>
    </w:p>
    <w:p>
      <w:pPr>
        <w:snapToGrid w:val="0"/>
        <w:spacing w:line="360" w:lineRule="auto"/>
        <w:ind w:firstLine="4900" w:firstLineChars="1750"/>
        <w:rPr>
          <w:rFonts w:ascii="宋体" w:hAnsi="宋体"/>
          <w:sz w:val="28"/>
          <w:szCs w:val="28"/>
        </w:rPr>
      </w:pPr>
      <w:r>
        <w:rPr>
          <w:rFonts w:hint="eastAsia" w:ascii="宋体" w:hAnsi="宋体"/>
          <w:sz w:val="28"/>
          <w:szCs w:val="28"/>
        </w:rPr>
        <w:t>日  期：      年    月    日</w:t>
      </w:r>
    </w:p>
    <w:p>
      <w:pPr>
        <w:pStyle w:val="6"/>
        <w:keepNext w:val="0"/>
        <w:keepLines w:val="0"/>
        <w:snapToGrid w:val="0"/>
        <w:spacing w:before="0" w:after="0" w:line="360" w:lineRule="auto"/>
        <w:jc w:val="center"/>
        <w:rPr>
          <w:rFonts w:ascii="宋体" w:hAnsi="宋体"/>
          <w:sz w:val="28"/>
          <w:szCs w:val="28"/>
        </w:rPr>
      </w:pPr>
      <w:r>
        <w:rPr>
          <w:rFonts w:ascii="宋体" w:hAnsi="宋体"/>
          <w:sz w:val="28"/>
          <w:szCs w:val="28"/>
        </w:rPr>
        <w:br w:type="page"/>
      </w:r>
      <w:bookmarkStart w:id="235" w:name="_Toc496089685"/>
      <w:bookmarkStart w:id="236" w:name="_Toc50913257"/>
    </w:p>
    <w:p>
      <w:pPr>
        <w:pStyle w:val="6"/>
        <w:keepNext w:val="0"/>
        <w:keepLines w:val="0"/>
        <w:snapToGrid w:val="0"/>
        <w:spacing w:before="0" w:after="0" w:line="360" w:lineRule="auto"/>
        <w:jc w:val="center"/>
        <w:rPr>
          <w:rFonts w:ascii="宋体" w:hAnsi="宋体"/>
          <w:sz w:val="28"/>
          <w:szCs w:val="28"/>
        </w:rPr>
      </w:pPr>
    </w:p>
    <w:p>
      <w:pPr>
        <w:pStyle w:val="6"/>
        <w:keepNext w:val="0"/>
        <w:keepLines w:val="0"/>
        <w:snapToGrid w:val="0"/>
        <w:spacing w:before="0" w:after="0" w:line="360" w:lineRule="auto"/>
        <w:jc w:val="center"/>
        <w:rPr>
          <w:rFonts w:ascii="宋体" w:hAnsi="宋体"/>
          <w:szCs w:val="32"/>
        </w:rPr>
      </w:pPr>
      <w:r>
        <w:rPr>
          <w:rFonts w:hint="eastAsia" w:ascii="宋体" w:hAnsi="宋体"/>
          <w:bCs/>
          <w:sz w:val="30"/>
          <w:szCs w:val="30"/>
        </w:rPr>
        <w:t>其它资格证明文件</w:t>
      </w:r>
      <w:bookmarkEnd w:id="235"/>
      <w:bookmarkEnd w:id="236"/>
    </w:p>
    <w:p>
      <w:pPr>
        <w:spacing w:line="360" w:lineRule="auto"/>
        <w:ind w:firstLine="240" w:firstLineChars="100"/>
        <w:jc w:val="left"/>
        <w:rPr>
          <w:rFonts w:asciiTheme="minorEastAsia" w:hAnsiTheme="minorEastAsia" w:eastAsiaTheme="minorEastAsia"/>
          <w:kern w:val="0"/>
          <w:sz w:val="24"/>
        </w:rPr>
      </w:pPr>
      <w:bookmarkStart w:id="237" w:name="_Toc496089687"/>
      <w:bookmarkStart w:id="238" w:name="_Toc50913259"/>
      <w:r>
        <w:rPr>
          <w:rFonts w:hint="eastAsia" w:asciiTheme="minorEastAsia" w:hAnsiTheme="minorEastAsia" w:eastAsiaTheme="minorEastAsia"/>
          <w:kern w:val="0"/>
          <w:sz w:val="24"/>
        </w:rPr>
        <w:t>1、供应商须符合《中华人民共和国政府采购法》第二十二条规定；</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营业执照经营范围需包含本次项目采购内容）；</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3、具有良好的商业信誉和健全的财务会计制度（需提供2020年度或2021年度经会计师事务所出具的财务审计报告或其基本开户银行出具的资信证明，其他组织和自然人提供银行出具的资信证明）；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4、具有依法缴纳税收和社会保障资金的良好记录（需提供投标截止日前六个月内任一个月的企业纳税证明和社保缴费记录证明）；</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5、具有履行合同所必需的设备及专业技术能力和供应保障能力承诺书（需提供加盖公章的书面承诺）；</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6、参加政府采购活动前三年内，在经营活动中没有重大违法记录（提供参加本次政府采购活动前3年内在经营活动中没有重大违法记录的书面承诺书）；</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7、按照《财政部关于在政府采购活动中查询及使用信用记录有关问题的通知》（财库﹝2016﹞125号）的要求，根据评审时“信用中国”网站（www.creditchina.gov.cn）、中国政府采购网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,同时对不良信用信息查询记录截图存档；可根据实际需要引入其他信用信息；</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8、本项目为专门面向中小企业项目，需提供《中小企业声明函》。</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9、供应商须提供法人授权委托书及有效身份证明原件或法人身份证明及有效身份证明原件；</w:t>
      </w:r>
    </w:p>
    <w:p>
      <w:pPr>
        <w:spacing w:line="360" w:lineRule="auto"/>
        <w:ind w:firstLine="240" w:firstLineChars="100"/>
        <w:jc w:val="left"/>
        <w:rPr>
          <w:rFonts w:asciiTheme="minorEastAsia" w:hAnsiTheme="minorEastAsia" w:eastAsiaTheme="minorEastAsia"/>
          <w:kern w:val="0"/>
          <w:sz w:val="24"/>
        </w:rPr>
      </w:pPr>
      <w:r>
        <w:rPr>
          <w:rFonts w:hint="eastAsia" w:asciiTheme="minorEastAsia" w:hAnsiTheme="minorEastAsia" w:eastAsiaTheme="minorEastAsia"/>
          <w:kern w:val="0"/>
          <w:sz w:val="24"/>
        </w:rPr>
        <w:t>10、本项目不接受联合体投标。</w:t>
      </w: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r>
        <w:rPr>
          <w:rFonts w:hint="eastAsia" w:ascii="宋体" w:hAnsi="宋体"/>
        </w:rPr>
        <w:t>磋商响应函</w:t>
      </w:r>
      <w:r>
        <w:rPr>
          <w:rFonts w:hint="eastAsia" w:ascii="宋体" w:hAnsi="宋体"/>
          <w:szCs w:val="32"/>
        </w:rPr>
        <w:t>（格式）</w:t>
      </w:r>
      <w:bookmarkEnd w:id="237"/>
      <w:bookmarkEnd w:id="238"/>
    </w:p>
    <w:p>
      <w:pPr>
        <w:pStyle w:val="5"/>
        <w:rPr>
          <w:rFonts w:ascii="宋体" w:hAnsi="宋体"/>
        </w:rPr>
      </w:pPr>
    </w:p>
    <w:p>
      <w:pPr>
        <w:pStyle w:val="5"/>
        <w:rPr>
          <w:rFonts w:ascii="宋体" w:hAnsi="宋体"/>
        </w:rPr>
      </w:pPr>
    </w:p>
    <w:p>
      <w:pPr>
        <w:snapToGrid w:val="0"/>
        <w:spacing w:line="360" w:lineRule="auto"/>
        <w:rPr>
          <w:rFonts w:ascii="宋体" w:hAnsi="宋体"/>
          <w:sz w:val="24"/>
        </w:rPr>
      </w:pPr>
      <w:r>
        <w:rPr>
          <w:rFonts w:hint="eastAsia" w:ascii="宋体" w:hAnsi="宋体"/>
          <w:sz w:val="24"/>
        </w:rPr>
        <w:t>乌鲁木齐市雪莲小学：</w:t>
      </w:r>
    </w:p>
    <w:p>
      <w:pPr>
        <w:snapToGrid w:val="0"/>
        <w:spacing w:line="360" w:lineRule="auto"/>
        <w:ind w:firstLine="480" w:firstLineChars="200"/>
        <w:rPr>
          <w:rFonts w:ascii="宋体" w:hAnsi="宋体"/>
          <w:sz w:val="24"/>
        </w:rPr>
      </w:pPr>
      <w:r>
        <w:rPr>
          <w:rFonts w:hint="eastAsia" w:ascii="宋体" w:hAnsi="宋体"/>
          <w:sz w:val="24"/>
        </w:rPr>
        <w:t>根据贵方关于乌鲁木齐市雪莲小学多媒体黑板项目的磋商文件，我单位经认真研究，决定响应如下：</w:t>
      </w:r>
    </w:p>
    <w:p>
      <w:pPr>
        <w:pStyle w:val="5"/>
        <w:snapToGrid w:val="0"/>
        <w:spacing w:line="360" w:lineRule="auto"/>
        <w:ind w:firstLine="480" w:firstLineChars="200"/>
        <w:rPr>
          <w:rFonts w:ascii="宋体" w:hAnsi="宋体"/>
          <w:sz w:val="24"/>
        </w:rPr>
      </w:pPr>
      <w:r>
        <w:rPr>
          <w:rFonts w:hint="eastAsia" w:ascii="宋体" w:hAnsi="宋体"/>
          <w:sz w:val="24"/>
        </w:rPr>
        <w:t>1．我们愿按磋商文件的要求提交全部资料，并对资料的真实性负责。</w:t>
      </w:r>
    </w:p>
    <w:p>
      <w:pPr>
        <w:pStyle w:val="5"/>
        <w:snapToGrid w:val="0"/>
        <w:spacing w:line="360" w:lineRule="auto"/>
        <w:ind w:firstLine="480" w:firstLineChars="200"/>
        <w:rPr>
          <w:rFonts w:ascii="宋体" w:hAnsi="宋体"/>
          <w:sz w:val="24"/>
        </w:rPr>
      </w:pPr>
      <w:r>
        <w:rPr>
          <w:rFonts w:hint="eastAsia" w:ascii="宋体" w:hAnsi="宋体"/>
          <w:sz w:val="24"/>
        </w:rPr>
        <w:t>2．我方投标文件的有效期自开标之时至公布中标人之时止；如我方中标，有效期延长至合同终止之日止。</w:t>
      </w:r>
    </w:p>
    <w:p>
      <w:pPr>
        <w:pStyle w:val="5"/>
        <w:snapToGrid w:val="0"/>
        <w:spacing w:line="360" w:lineRule="auto"/>
        <w:ind w:firstLine="480" w:firstLineChars="200"/>
        <w:rPr>
          <w:rFonts w:ascii="宋体" w:hAnsi="宋体"/>
          <w:sz w:val="24"/>
        </w:rPr>
      </w:pPr>
      <w:r>
        <w:rPr>
          <w:rFonts w:hint="eastAsia" w:ascii="宋体" w:hAnsi="宋体"/>
          <w:sz w:val="24"/>
        </w:rPr>
        <w:t>3．如果在磋商后规定的磋商有效期内撤回响应或成交后拒绝签订合同，我们将同意贵方扣除我方磋商保证金。</w:t>
      </w:r>
    </w:p>
    <w:p>
      <w:pPr>
        <w:pStyle w:val="5"/>
        <w:snapToGrid w:val="0"/>
        <w:spacing w:line="360" w:lineRule="auto"/>
        <w:ind w:firstLine="480" w:firstLineChars="200"/>
        <w:rPr>
          <w:rFonts w:ascii="宋体" w:hAnsi="宋体"/>
          <w:sz w:val="24"/>
        </w:rPr>
      </w:pPr>
      <w:r>
        <w:rPr>
          <w:rFonts w:hint="eastAsia" w:ascii="宋体" w:hAnsi="宋体"/>
          <w:sz w:val="24"/>
        </w:rPr>
        <w:t>4．一旦我方成交,我方将在规定的时间内签订合同。否则，贵方有权取消我方成交资格，并扣除磋商保证金。</w:t>
      </w:r>
    </w:p>
    <w:p>
      <w:pPr>
        <w:pStyle w:val="5"/>
        <w:snapToGrid w:val="0"/>
        <w:spacing w:line="360" w:lineRule="auto"/>
        <w:ind w:firstLine="480" w:firstLineChars="200"/>
        <w:rPr>
          <w:rFonts w:ascii="宋体" w:hAnsi="宋体"/>
          <w:sz w:val="24"/>
        </w:rPr>
      </w:pPr>
      <w:r>
        <w:rPr>
          <w:rFonts w:hint="eastAsia" w:ascii="宋体" w:hAnsi="宋体"/>
          <w:sz w:val="24"/>
        </w:rPr>
        <w:t>5．签订合同后，我方将严格履行合同的责任和义务,保质、保量、按期完成服装制作、订购和试装任务，交付采购人验收、使用。</w:t>
      </w:r>
    </w:p>
    <w:p>
      <w:pPr>
        <w:pStyle w:val="5"/>
        <w:snapToGrid w:val="0"/>
        <w:spacing w:line="360" w:lineRule="auto"/>
        <w:ind w:firstLine="660" w:firstLineChars="275"/>
        <w:rPr>
          <w:rFonts w:ascii="宋体" w:hAnsi="宋体"/>
          <w:sz w:val="24"/>
        </w:rPr>
      </w:pPr>
    </w:p>
    <w:p>
      <w:pPr>
        <w:pStyle w:val="5"/>
        <w:snapToGrid w:val="0"/>
        <w:spacing w:line="360" w:lineRule="auto"/>
        <w:ind w:firstLine="660" w:firstLineChars="275"/>
        <w:rPr>
          <w:rFonts w:ascii="宋体" w:hAnsi="宋体"/>
          <w:sz w:val="24"/>
        </w:rPr>
      </w:pPr>
    </w:p>
    <w:p>
      <w:pPr>
        <w:pStyle w:val="5"/>
        <w:snapToGrid w:val="0"/>
        <w:spacing w:line="360" w:lineRule="auto"/>
        <w:ind w:firstLine="660" w:firstLineChars="275"/>
        <w:rPr>
          <w:rFonts w:ascii="宋体" w:hAnsi="宋体"/>
          <w:sz w:val="24"/>
          <w:u w:val="single"/>
        </w:rPr>
      </w:pPr>
      <w:r>
        <w:rPr>
          <w:rFonts w:hint="eastAsia" w:ascii="宋体" w:hAnsi="宋体"/>
          <w:sz w:val="24"/>
        </w:rPr>
        <w:t>供应商（公章）：</w:t>
      </w:r>
    </w:p>
    <w:p>
      <w:pPr>
        <w:snapToGrid w:val="0"/>
        <w:spacing w:line="360" w:lineRule="auto"/>
        <w:ind w:firstLine="660" w:firstLineChars="275"/>
        <w:rPr>
          <w:rFonts w:ascii="宋体" w:hAnsi="宋体"/>
          <w:sz w:val="24"/>
        </w:rPr>
      </w:pPr>
      <w:r>
        <w:rPr>
          <w:rFonts w:hint="eastAsia" w:ascii="宋体" w:hAnsi="宋体"/>
          <w:sz w:val="24"/>
        </w:rPr>
        <w:t>地  址：</w:t>
      </w:r>
    </w:p>
    <w:p>
      <w:pPr>
        <w:snapToGrid w:val="0"/>
        <w:spacing w:line="360" w:lineRule="auto"/>
        <w:ind w:firstLine="660" w:firstLineChars="275"/>
        <w:rPr>
          <w:rFonts w:ascii="宋体" w:hAnsi="宋体"/>
          <w:sz w:val="24"/>
        </w:rPr>
      </w:pPr>
      <w:r>
        <w:rPr>
          <w:rFonts w:hint="eastAsia" w:ascii="宋体" w:hAnsi="宋体"/>
          <w:sz w:val="24"/>
        </w:rPr>
        <w:t xml:space="preserve">法定代表人  </w:t>
      </w:r>
    </w:p>
    <w:p>
      <w:pPr>
        <w:snapToGrid w:val="0"/>
        <w:spacing w:line="360" w:lineRule="auto"/>
        <w:ind w:firstLine="660" w:firstLineChars="275"/>
        <w:rPr>
          <w:rFonts w:ascii="宋体" w:hAnsi="宋体"/>
          <w:sz w:val="24"/>
        </w:rPr>
      </w:pPr>
      <w:r>
        <w:rPr>
          <w:rFonts w:hint="eastAsia" w:ascii="宋体" w:hAnsi="宋体"/>
          <w:sz w:val="24"/>
        </w:rPr>
        <w:t>或授权代理人（签字或盖章） ：</w:t>
      </w:r>
    </w:p>
    <w:p>
      <w:pPr>
        <w:snapToGrid w:val="0"/>
        <w:spacing w:line="360" w:lineRule="auto"/>
        <w:ind w:firstLine="660" w:firstLineChars="275"/>
        <w:rPr>
          <w:rFonts w:ascii="宋体" w:hAnsi="宋体"/>
          <w:sz w:val="24"/>
          <w:u w:val="single"/>
        </w:rPr>
      </w:pPr>
      <w:r>
        <w:rPr>
          <w:rFonts w:hint="eastAsia" w:ascii="宋体" w:hAnsi="宋体"/>
          <w:sz w:val="24"/>
        </w:rPr>
        <w:t>联系电话：</w:t>
      </w:r>
    </w:p>
    <w:p>
      <w:pPr>
        <w:snapToGrid w:val="0"/>
        <w:spacing w:line="360" w:lineRule="auto"/>
        <w:ind w:firstLine="660" w:firstLineChars="275"/>
        <w:rPr>
          <w:rFonts w:ascii="宋体" w:hAnsi="宋体"/>
          <w:sz w:val="24"/>
        </w:rPr>
      </w:pPr>
      <w:r>
        <w:rPr>
          <w:rFonts w:hint="eastAsia" w:ascii="宋体" w:hAnsi="宋体"/>
          <w:sz w:val="24"/>
        </w:rPr>
        <w:t>日  期：      年    月    日</w:t>
      </w:r>
    </w:p>
    <w:p>
      <w:pPr>
        <w:widowControl/>
        <w:snapToGrid w:val="0"/>
        <w:spacing w:line="360" w:lineRule="auto"/>
        <w:jc w:val="center"/>
        <w:rPr>
          <w:rFonts w:ascii="宋体" w:hAnsi="宋体"/>
          <w:sz w:val="36"/>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rPr>
          <w:rFonts w:ascii="宋体" w:hAnsi="宋体"/>
        </w:rPr>
      </w:pPr>
      <w:bookmarkStart w:id="239" w:name="_Toc496089688"/>
    </w:p>
    <w:p>
      <w:pPr>
        <w:pStyle w:val="5"/>
      </w:pPr>
    </w:p>
    <w:p>
      <w:pPr>
        <w:pStyle w:val="5"/>
      </w:pPr>
    </w:p>
    <w:p>
      <w:pPr>
        <w:pStyle w:val="5"/>
      </w:pPr>
    </w:p>
    <w:p>
      <w:pPr>
        <w:pStyle w:val="5"/>
      </w:pPr>
    </w:p>
    <w:p>
      <w:pPr>
        <w:pStyle w:val="5"/>
      </w:pPr>
    </w:p>
    <w:p>
      <w:pPr>
        <w:pStyle w:val="5"/>
      </w:pPr>
    </w:p>
    <w:p>
      <w:pPr>
        <w:pStyle w:val="5"/>
      </w:pPr>
    </w:p>
    <w:p>
      <w:pPr>
        <w:pStyle w:val="6"/>
        <w:keepNext w:val="0"/>
        <w:keepLines w:val="0"/>
        <w:snapToGrid w:val="0"/>
        <w:spacing w:before="0" w:after="0" w:line="360" w:lineRule="auto"/>
        <w:jc w:val="center"/>
        <w:rPr>
          <w:rFonts w:ascii="宋体" w:hAnsi="宋体"/>
          <w:sz w:val="24"/>
        </w:rPr>
      </w:pPr>
      <w:bookmarkStart w:id="240" w:name="_Toc50913260"/>
      <w:r>
        <w:rPr>
          <w:rFonts w:hint="eastAsia" w:ascii="宋体" w:hAnsi="宋体"/>
        </w:rPr>
        <w:t>法定代表人资格证明书（格式）</w:t>
      </w:r>
      <w:bookmarkEnd w:id="239"/>
      <w:bookmarkEnd w:id="240"/>
    </w:p>
    <w:p>
      <w:pPr>
        <w:snapToGrid w:val="0"/>
        <w:spacing w:line="360" w:lineRule="auto"/>
        <w:rPr>
          <w:rFonts w:ascii="宋体" w:hAnsi="宋体"/>
          <w:sz w:val="24"/>
        </w:rPr>
      </w:pP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单位名称：</w:t>
      </w: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地    址：</w:t>
      </w:r>
    </w:p>
    <w:p>
      <w:pPr>
        <w:autoSpaceDE w:val="0"/>
        <w:autoSpaceDN w:val="0"/>
        <w:adjustRightInd w:val="0"/>
        <w:snapToGrid w:val="0"/>
        <w:spacing w:line="360" w:lineRule="auto"/>
        <w:ind w:left="196" w:firstLine="600"/>
        <w:jc w:val="left"/>
        <w:rPr>
          <w:rFonts w:ascii="宋体" w:hAnsi="宋体"/>
          <w:color w:val="000000"/>
          <w:kern w:val="0"/>
          <w:sz w:val="24"/>
        </w:rPr>
      </w:pP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姓    名：            性    别：</w:t>
      </w: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年    龄：            职    务：</w:t>
      </w:r>
    </w:p>
    <w:p>
      <w:pPr>
        <w:autoSpaceDE w:val="0"/>
        <w:autoSpaceDN w:val="0"/>
        <w:adjustRightInd w:val="0"/>
        <w:snapToGrid w:val="0"/>
        <w:spacing w:line="360" w:lineRule="auto"/>
        <w:jc w:val="left"/>
        <w:rPr>
          <w:rFonts w:ascii="宋体" w:hAnsi="宋体"/>
          <w:color w:val="000000"/>
          <w:kern w:val="0"/>
          <w:sz w:val="24"/>
          <w:u w:val="single"/>
        </w:rPr>
      </w:pPr>
      <w:r>
        <w:rPr>
          <w:rFonts w:hint="eastAsia" w:ascii="宋体" w:hAnsi="宋体"/>
          <w:color w:val="000000"/>
          <w:kern w:val="0"/>
          <w:sz w:val="24"/>
        </w:rPr>
        <w:t>身份证号码：</w:t>
      </w: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系（</w:t>
      </w:r>
      <w:r>
        <w:rPr>
          <w:rFonts w:hint="eastAsia" w:ascii="宋体" w:hAnsi="宋体"/>
          <w:sz w:val="24"/>
        </w:rPr>
        <w:t>供应商</w:t>
      </w:r>
      <w:r>
        <w:rPr>
          <w:rFonts w:hint="eastAsia" w:ascii="宋体" w:hAnsi="宋体"/>
          <w:color w:val="000000"/>
          <w:kern w:val="0"/>
          <w:sz w:val="24"/>
        </w:rPr>
        <w:t>单位名称）的法定代表人。参加</w:t>
      </w:r>
      <w:r>
        <w:rPr>
          <w:rFonts w:hint="eastAsia" w:ascii="宋体" w:hAnsi="宋体"/>
          <w:sz w:val="24"/>
        </w:rPr>
        <w:t>贵方组织的</w:t>
      </w:r>
      <w:r>
        <w:rPr>
          <w:rFonts w:hint="eastAsia" w:ascii="宋体" w:hAnsi="宋体"/>
          <w:color w:val="000000"/>
          <w:kern w:val="0"/>
          <w:sz w:val="24"/>
        </w:rPr>
        <w:t>乌鲁木齐市雪莲小学多媒体黑板项目投</w:t>
      </w:r>
      <w:r>
        <w:rPr>
          <w:rFonts w:hint="eastAsia" w:ascii="宋体" w:hAnsi="宋体"/>
          <w:sz w:val="24"/>
        </w:rPr>
        <w:t>标事宜；签署投标文件、进行合同协</w:t>
      </w:r>
      <w:r>
        <w:rPr>
          <w:rFonts w:hint="eastAsia" w:ascii="宋体" w:hAnsi="宋体"/>
          <w:color w:val="000000"/>
          <w:kern w:val="0"/>
          <w:sz w:val="24"/>
        </w:rPr>
        <w:t>商和处理与之有关的一切事务。</w:t>
      </w: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（需提供身份证复印件）。</w:t>
      </w:r>
    </w:p>
    <w:p>
      <w:pPr>
        <w:autoSpaceDE w:val="0"/>
        <w:autoSpaceDN w:val="0"/>
        <w:adjustRightInd w:val="0"/>
        <w:snapToGrid w:val="0"/>
        <w:spacing w:line="360" w:lineRule="auto"/>
        <w:ind w:left="196" w:firstLine="600"/>
        <w:jc w:val="left"/>
        <w:rPr>
          <w:rFonts w:ascii="宋体" w:hAnsi="宋体"/>
          <w:color w:val="000000"/>
          <w:kern w:val="0"/>
          <w:sz w:val="24"/>
        </w:rPr>
      </w:pPr>
    </w:p>
    <w:p>
      <w:pPr>
        <w:autoSpaceDE w:val="0"/>
        <w:autoSpaceDN w:val="0"/>
        <w:adjustRightInd w:val="0"/>
        <w:snapToGrid w:val="0"/>
        <w:spacing w:line="360" w:lineRule="auto"/>
        <w:jc w:val="left"/>
        <w:rPr>
          <w:rFonts w:ascii="宋体" w:hAnsi="宋体"/>
          <w:color w:val="000000"/>
          <w:kern w:val="0"/>
          <w:sz w:val="24"/>
        </w:rPr>
      </w:pPr>
    </w:p>
    <w:p>
      <w:pPr>
        <w:autoSpaceDE w:val="0"/>
        <w:autoSpaceDN w:val="0"/>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特此证明</w:t>
      </w:r>
    </w:p>
    <w:p>
      <w:pPr>
        <w:autoSpaceDE w:val="0"/>
        <w:autoSpaceDN w:val="0"/>
        <w:adjustRightInd w:val="0"/>
        <w:snapToGrid w:val="0"/>
        <w:spacing w:line="360" w:lineRule="auto"/>
        <w:ind w:left="196" w:firstLine="600"/>
        <w:jc w:val="left"/>
        <w:rPr>
          <w:rFonts w:ascii="宋体" w:hAnsi="宋体"/>
          <w:color w:val="000000"/>
          <w:kern w:val="0"/>
          <w:sz w:val="24"/>
        </w:rPr>
      </w:pPr>
    </w:p>
    <w:p>
      <w:pPr>
        <w:tabs>
          <w:tab w:val="left" w:pos="1470"/>
        </w:tabs>
        <w:snapToGrid w:val="0"/>
        <w:spacing w:line="360" w:lineRule="auto"/>
        <w:jc w:val="center"/>
        <w:rPr>
          <w:rFonts w:ascii="宋体" w:hAnsi="宋体"/>
          <w:sz w:val="24"/>
        </w:rPr>
      </w:pPr>
    </w:p>
    <w:p>
      <w:pPr>
        <w:tabs>
          <w:tab w:val="left" w:pos="1470"/>
        </w:tabs>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ind w:firstLine="5760" w:firstLineChars="2400"/>
        <w:rPr>
          <w:rFonts w:ascii="宋体" w:hAnsi="宋体"/>
          <w:sz w:val="24"/>
        </w:rPr>
      </w:pPr>
      <w:r>
        <w:rPr>
          <w:rFonts w:hint="eastAsia" w:ascii="宋体" w:hAnsi="宋体"/>
          <w:sz w:val="24"/>
        </w:rPr>
        <w:t>供应商（公章）：</w:t>
      </w:r>
    </w:p>
    <w:p>
      <w:pPr>
        <w:snapToGrid w:val="0"/>
        <w:spacing w:line="360" w:lineRule="auto"/>
        <w:ind w:firstLine="5760" w:firstLineChars="2400"/>
        <w:rPr>
          <w:rFonts w:ascii="宋体" w:hAnsi="宋体"/>
          <w:sz w:val="24"/>
        </w:rPr>
      </w:pPr>
    </w:p>
    <w:p>
      <w:pPr>
        <w:snapToGrid w:val="0"/>
        <w:spacing w:line="360" w:lineRule="auto"/>
        <w:ind w:firstLine="5760" w:firstLineChars="2400"/>
        <w:rPr>
          <w:rFonts w:ascii="宋体" w:hAnsi="宋体"/>
          <w:sz w:val="24"/>
        </w:rPr>
      </w:pPr>
      <w:r>
        <w:rPr>
          <w:rFonts w:hint="eastAsia" w:ascii="宋体" w:hAnsi="宋体"/>
          <w:sz w:val="24"/>
        </w:rPr>
        <w:t>法定代表人（签字或盖章）：</w:t>
      </w:r>
    </w:p>
    <w:p>
      <w:pPr>
        <w:snapToGrid w:val="0"/>
        <w:spacing w:line="360" w:lineRule="auto"/>
        <w:ind w:firstLine="5760" w:firstLineChars="2400"/>
        <w:rPr>
          <w:rFonts w:ascii="宋体" w:hAnsi="宋体"/>
          <w:sz w:val="24"/>
        </w:rPr>
      </w:pPr>
    </w:p>
    <w:p>
      <w:pPr>
        <w:snapToGrid w:val="0"/>
        <w:spacing w:line="360" w:lineRule="auto"/>
        <w:jc w:val="center"/>
        <w:rPr>
          <w:rFonts w:ascii="宋体" w:hAnsi="宋体"/>
          <w:sz w:val="24"/>
        </w:rPr>
      </w:pPr>
      <w:r>
        <w:rPr>
          <w:rFonts w:hint="eastAsia" w:ascii="宋体" w:hAnsi="宋体"/>
          <w:sz w:val="24"/>
        </w:rPr>
        <w:t xml:space="preserve">                               年    月   日</w:t>
      </w:r>
    </w:p>
    <w:p>
      <w:pPr>
        <w:snapToGrid w:val="0"/>
        <w:spacing w:line="360" w:lineRule="auto"/>
        <w:jc w:val="center"/>
        <w:rPr>
          <w:rFonts w:ascii="宋体" w:hAnsi="宋体"/>
          <w:sz w:val="24"/>
        </w:rPr>
      </w:pPr>
    </w:p>
    <w:p>
      <w:pPr>
        <w:tabs>
          <w:tab w:val="left" w:pos="1470"/>
        </w:tabs>
        <w:snapToGrid w:val="0"/>
        <w:spacing w:line="360" w:lineRule="auto"/>
        <w:rPr>
          <w:rFonts w:ascii="宋体" w:hAnsi="宋体"/>
          <w:sz w:val="24"/>
        </w:rPr>
      </w:pPr>
    </w:p>
    <w:p>
      <w:pPr>
        <w:pStyle w:val="6"/>
        <w:keepNext w:val="0"/>
        <w:keepLines w:val="0"/>
        <w:snapToGrid w:val="0"/>
        <w:spacing w:before="0" w:after="0" w:line="360" w:lineRule="auto"/>
        <w:rPr>
          <w:rFonts w:ascii="宋体" w:hAnsi="宋体"/>
        </w:rPr>
      </w:pPr>
    </w:p>
    <w:p>
      <w:pPr>
        <w:pStyle w:val="5"/>
        <w:snapToGrid w:val="0"/>
        <w:spacing w:line="360" w:lineRule="auto"/>
        <w:rPr>
          <w:rFonts w:ascii="宋体" w:hAnsi="宋体"/>
        </w:rPr>
      </w:pPr>
    </w:p>
    <w:p>
      <w:pPr>
        <w:pStyle w:val="6"/>
        <w:keepNext w:val="0"/>
        <w:keepLines w:val="0"/>
        <w:snapToGrid w:val="0"/>
        <w:spacing w:before="0" w:after="0" w:line="360" w:lineRule="auto"/>
        <w:jc w:val="center"/>
        <w:rPr>
          <w:rFonts w:ascii="宋体" w:hAnsi="宋体"/>
        </w:rPr>
      </w:pPr>
      <w:r>
        <w:rPr>
          <w:rFonts w:ascii="宋体" w:hAnsi="宋体"/>
        </w:rPr>
        <w:br w:type="page"/>
      </w:r>
      <w:bookmarkStart w:id="241" w:name="_Toc496089689"/>
    </w:p>
    <w:p>
      <w:pPr>
        <w:pStyle w:val="6"/>
        <w:keepNext w:val="0"/>
        <w:keepLines w:val="0"/>
        <w:snapToGrid w:val="0"/>
        <w:spacing w:before="0" w:after="0" w:line="360" w:lineRule="auto"/>
        <w:jc w:val="center"/>
        <w:rPr>
          <w:rFonts w:ascii="宋体" w:hAnsi="宋体"/>
        </w:rPr>
      </w:pPr>
      <w:bookmarkStart w:id="242" w:name="_Toc50913261"/>
      <w:r>
        <w:rPr>
          <w:rFonts w:hint="eastAsia" w:ascii="宋体" w:hAnsi="宋体"/>
        </w:rPr>
        <w:t>法人授权委托书（格式）</w:t>
      </w:r>
      <w:bookmarkEnd w:id="241"/>
      <w:bookmarkEnd w:id="242"/>
    </w:p>
    <w:p>
      <w:pPr>
        <w:snapToGrid w:val="0"/>
        <w:spacing w:line="360" w:lineRule="auto"/>
        <w:ind w:firstLine="420" w:firstLineChars="200"/>
        <w:rPr>
          <w:rFonts w:ascii="宋体" w:hAnsi="宋体"/>
          <w:szCs w:val="20"/>
        </w:rPr>
      </w:pPr>
    </w:p>
    <w:p>
      <w:pPr>
        <w:widowControl/>
        <w:adjustRightInd w:val="0"/>
        <w:snapToGrid w:val="0"/>
        <w:spacing w:line="360" w:lineRule="auto"/>
        <w:ind w:firstLine="480" w:firstLineChars="200"/>
        <w:rPr>
          <w:rFonts w:ascii="宋体" w:hAnsi="宋体"/>
          <w:sz w:val="24"/>
        </w:rPr>
      </w:pPr>
      <w:r>
        <w:rPr>
          <w:rFonts w:hint="eastAsia" w:ascii="宋体" w:hAnsi="宋体"/>
          <w:sz w:val="24"/>
        </w:rPr>
        <w:t>我(姓名)系</w:t>
      </w:r>
      <w:r>
        <w:rPr>
          <w:rFonts w:hint="eastAsia" w:ascii="宋体" w:hAnsi="宋体"/>
          <w:sz w:val="24"/>
          <w:u w:val="single"/>
        </w:rPr>
        <w:t xml:space="preserve">         ( 供应商名称)         </w:t>
      </w:r>
      <w:r>
        <w:rPr>
          <w:rFonts w:hint="eastAsia" w:ascii="宋体" w:hAnsi="宋体"/>
          <w:sz w:val="24"/>
        </w:rPr>
        <w:t>的法定代表人,现代表本公司授权</w:t>
      </w:r>
      <w:r>
        <w:rPr>
          <w:rFonts w:hint="eastAsia" w:ascii="宋体" w:hAnsi="宋体"/>
          <w:sz w:val="24"/>
          <w:u w:val="single"/>
        </w:rPr>
        <w:t xml:space="preserve">     (被授权人的姓名、职务)       </w:t>
      </w:r>
      <w:r>
        <w:rPr>
          <w:rFonts w:hint="eastAsia" w:ascii="宋体" w:hAnsi="宋体"/>
          <w:sz w:val="24"/>
        </w:rPr>
        <w:t>为本公司的合法代理人，就贵方关于乌鲁木齐市雪莲小学多媒体黑板项目，以本公司名义全权处理与该工程有关的一切事务。</w:t>
      </w:r>
    </w:p>
    <w:p>
      <w:pPr>
        <w:widowControl/>
        <w:adjustRightInd w:val="0"/>
        <w:snapToGrid w:val="0"/>
        <w:spacing w:line="360" w:lineRule="auto"/>
        <w:ind w:firstLine="480" w:firstLineChars="200"/>
        <w:rPr>
          <w:rFonts w:ascii="宋体" w:hAnsi="宋体"/>
          <w:sz w:val="24"/>
        </w:rPr>
      </w:pPr>
      <w:r>
        <w:rPr>
          <w:rFonts w:hint="eastAsia" w:ascii="宋体" w:hAnsi="宋体"/>
          <w:sz w:val="24"/>
        </w:rPr>
        <w:t>本授权书有效期自签署之日起至开标时止。被授权人无转委权。</w:t>
      </w:r>
    </w:p>
    <w:p>
      <w:pPr>
        <w:widowControl/>
        <w:adjustRightInd w:val="0"/>
        <w:snapToGrid w:val="0"/>
        <w:spacing w:line="360" w:lineRule="auto"/>
        <w:ind w:firstLine="480" w:firstLineChars="200"/>
        <w:rPr>
          <w:rFonts w:ascii="宋体" w:hAnsi="宋体"/>
          <w:sz w:val="24"/>
        </w:rPr>
      </w:pPr>
      <w:r>
        <w:rPr>
          <w:rFonts w:hint="eastAsia" w:ascii="宋体" w:hAnsi="宋体"/>
          <w:sz w:val="24"/>
        </w:rPr>
        <w:t>特此声明。</w:t>
      </w:r>
    </w:p>
    <w:p>
      <w:pPr>
        <w:snapToGrid w:val="0"/>
        <w:spacing w:line="360" w:lineRule="auto"/>
        <w:ind w:firstLine="645"/>
        <w:rPr>
          <w:rFonts w:ascii="宋体" w:hAnsi="宋体"/>
          <w:sz w:val="24"/>
        </w:rPr>
      </w:pPr>
    </w:p>
    <w:p>
      <w:pPr>
        <w:snapToGrid w:val="0"/>
        <w:spacing w:line="360" w:lineRule="auto"/>
        <w:ind w:firstLine="645"/>
        <w:rPr>
          <w:rFonts w:ascii="宋体" w:hAnsi="宋体"/>
          <w:sz w:val="24"/>
        </w:rPr>
      </w:pPr>
    </w:p>
    <w:p>
      <w:pPr>
        <w:snapToGrid w:val="0"/>
        <w:spacing w:line="360" w:lineRule="auto"/>
        <w:ind w:firstLine="645"/>
        <w:rPr>
          <w:rFonts w:ascii="宋体" w:hAnsi="宋体"/>
          <w:sz w:val="24"/>
        </w:rPr>
      </w:pPr>
    </w:p>
    <w:p>
      <w:pPr>
        <w:snapToGrid w:val="0"/>
        <w:spacing w:line="360" w:lineRule="auto"/>
        <w:rPr>
          <w:rFonts w:ascii="宋体" w:hAnsi="宋体"/>
          <w:sz w:val="24"/>
          <w:u w:val="single"/>
        </w:rPr>
      </w:pPr>
      <w:r>
        <w:rPr>
          <w:rFonts w:hint="eastAsia" w:ascii="宋体" w:hAnsi="宋体"/>
          <w:sz w:val="24"/>
        </w:rPr>
        <w:t>授权代理人：性别：年龄：</w:t>
      </w:r>
    </w:p>
    <w:p>
      <w:pPr>
        <w:snapToGrid w:val="0"/>
        <w:spacing w:line="360" w:lineRule="auto"/>
        <w:rPr>
          <w:rFonts w:ascii="宋体" w:hAnsi="宋体"/>
          <w:sz w:val="24"/>
          <w:u w:val="single"/>
        </w:rPr>
      </w:pPr>
      <w:r>
        <w:rPr>
          <w:rFonts w:hint="eastAsia" w:ascii="宋体" w:hAnsi="宋体"/>
          <w:sz w:val="24"/>
        </w:rPr>
        <w:t>单      位：部门：职务：</w:t>
      </w: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rPr>
          <w:rFonts w:ascii="宋体" w:hAnsi="宋体"/>
          <w:sz w:val="24"/>
          <w:u w:val="single"/>
        </w:rPr>
      </w:pPr>
    </w:p>
    <w:p>
      <w:pPr>
        <w:snapToGrid w:val="0"/>
        <w:spacing w:line="360" w:lineRule="auto"/>
        <w:ind w:firstLine="5760" w:firstLineChars="2400"/>
        <w:rPr>
          <w:rFonts w:ascii="宋体" w:hAnsi="宋体"/>
          <w:sz w:val="24"/>
        </w:rPr>
      </w:pPr>
      <w:r>
        <w:rPr>
          <w:rFonts w:hint="eastAsia" w:ascii="宋体" w:hAnsi="宋体"/>
          <w:sz w:val="24"/>
        </w:rPr>
        <w:t>供应商（公章）：</w:t>
      </w:r>
    </w:p>
    <w:p>
      <w:pPr>
        <w:snapToGrid w:val="0"/>
        <w:spacing w:line="360" w:lineRule="auto"/>
        <w:ind w:firstLine="5760" w:firstLineChars="2400"/>
        <w:rPr>
          <w:rFonts w:ascii="宋体" w:hAnsi="宋体"/>
          <w:sz w:val="24"/>
        </w:rPr>
      </w:pPr>
    </w:p>
    <w:p>
      <w:pPr>
        <w:snapToGrid w:val="0"/>
        <w:spacing w:line="360" w:lineRule="auto"/>
        <w:ind w:firstLine="5760" w:firstLineChars="2400"/>
        <w:rPr>
          <w:rFonts w:ascii="宋体" w:hAnsi="宋体"/>
          <w:sz w:val="24"/>
        </w:rPr>
      </w:pPr>
      <w:r>
        <w:rPr>
          <w:rFonts w:hint="eastAsia" w:ascii="宋体" w:hAnsi="宋体"/>
          <w:sz w:val="24"/>
        </w:rPr>
        <w:t>法定代表人（签字或盖章）：</w:t>
      </w:r>
    </w:p>
    <w:p>
      <w:pPr>
        <w:snapToGrid w:val="0"/>
        <w:spacing w:line="360" w:lineRule="auto"/>
        <w:ind w:firstLine="5760" w:firstLineChars="2400"/>
        <w:rPr>
          <w:rFonts w:ascii="宋体" w:hAnsi="宋体"/>
          <w:sz w:val="24"/>
        </w:rPr>
      </w:pPr>
    </w:p>
    <w:p>
      <w:pPr>
        <w:snapToGrid w:val="0"/>
        <w:spacing w:line="360" w:lineRule="auto"/>
        <w:jc w:val="center"/>
        <w:rPr>
          <w:rFonts w:ascii="宋体" w:hAnsi="宋体"/>
          <w:sz w:val="24"/>
        </w:rPr>
      </w:pPr>
      <w:r>
        <w:rPr>
          <w:rFonts w:hint="eastAsia" w:ascii="宋体" w:hAnsi="宋体"/>
          <w:sz w:val="24"/>
        </w:rPr>
        <w:t xml:space="preserve">                               年    月   日</w:t>
      </w:r>
    </w:p>
    <w:p>
      <w:pPr>
        <w:snapToGrid w:val="0"/>
        <w:spacing w:line="360" w:lineRule="auto"/>
        <w:jc w:val="center"/>
        <w:rPr>
          <w:rFonts w:ascii="宋体" w:hAnsi="宋体"/>
          <w:sz w:val="24"/>
        </w:rPr>
      </w:pPr>
    </w:p>
    <w:p>
      <w:pPr>
        <w:widowControl/>
        <w:adjustRightInd w:val="0"/>
        <w:snapToGrid w:val="0"/>
        <w:spacing w:line="360" w:lineRule="auto"/>
        <w:ind w:firstLine="240" w:firstLineChars="100"/>
        <w:rPr>
          <w:rFonts w:ascii="宋体" w:hAnsi="宋体"/>
          <w:sz w:val="24"/>
        </w:rPr>
      </w:pPr>
    </w:p>
    <w:p>
      <w:pPr>
        <w:widowControl/>
        <w:adjustRightInd w:val="0"/>
        <w:snapToGrid w:val="0"/>
        <w:spacing w:line="360" w:lineRule="auto"/>
        <w:ind w:firstLine="240" w:firstLineChars="100"/>
        <w:rPr>
          <w:rFonts w:ascii="宋体" w:hAnsi="宋体"/>
          <w:sz w:val="24"/>
        </w:rPr>
      </w:pPr>
      <w:r>
        <w:rPr>
          <w:rFonts w:hint="eastAsia" w:ascii="宋体" w:hAnsi="宋体"/>
          <w:sz w:val="24"/>
        </w:rPr>
        <w:t>注：1.供应商法定代表人参加谈判的无须提供该委托书。</w:t>
      </w:r>
    </w:p>
    <w:p>
      <w:pPr>
        <w:widowControl/>
        <w:adjustRightInd w:val="0"/>
        <w:snapToGrid w:val="0"/>
        <w:spacing w:line="360" w:lineRule="auto"/>
        <w:ind w:firstLine="240" w:firstLineChars="100"/>
        <w:rPr>
          <w:rFonts w:ascii="宋体" w:hAnsi="宋体"/>
          <w:bCs/>
        </w:rPr>
      </w:pPr>
      <w:r>
        <w:rPr>
          <w:rFonts w:hint="eastAsia" w:ascii="宋体" w:hAnsi="宋体"/>
          <w:sz w:val="24"/>
        </w:rPr>
        <w:t xml:space="preserve">    2.授权代理人应提供身份证复印件。</w:t>
      </w:r>
    </w:p>
    <w:p>
      <w:pPr>
        <w:pStyle w:val="5"/>
        <w:rPr>
          <w:rFonts w:ascii="宋体" w:hAnsi="宋体"/>
        </w:rPr>
      </w:pPr>
    </w:p>
    <w:p>
      <w:pPr>
        <w:pStyle w:val="5"/>
      </w:pPr>
      <w:bookmarkStart w:id="243" w:name="_Toc496089690"/>
    </w:p>
    <w:p>
      <w:pPr>
        <w:pStyle w:val="5"/>
      </w:pPr>
    </w:p>
    <w:p>
      <w:pPr>
        <w:pStyle w:val="5"/>
      </w:pPr>
    </w:p>
    <w:p>
      <w:pPr>
        <w:pStyle w:val="5"/>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bookmarkStart w:id="244" w:name="_Toc50913262"/>
      <w:r>
        <w:rPr>
          <w:rFonts w:hint="eastAsia" w:ascii="宋体" w:hAnsi="宋体"/>
        </w:rPr>
        <w:t>其它符合性证明文件</w:t>
      </w:r>
      <w:bookmarkEnd w:id="243"/>
      <w:bookmarkEnd w:id="244"/>
    </w:p>
    <w:p>
      <w:pPr>
        <w:pStyle w:val="5"/>
        <w:rPr>
          <w:rFonts w:ascii="宋体" w:hAnsi="宋体"/>
        </w:rPr>
      </w:pPr>
    </w:p>
    <w:p>
      <w:pPr>
        <w:pStyle w:val="5"/>
        <w:rPr>
          <w:rFonts w:ascii="宋体" w:hAnsi="宋体"/>
        </w:rPr>
      </w:pPr>
    </w:p>
    <w:p>
      <w:pPr>
        <w:widowControl/>
        <w:tabs>
          <w:tab w:val="left" w:pos="0"/>
        </w:tabs>
        <w:adjustRightInd w:val="0"/>
        <w:snapToGrid w:val="0"/>
        <w:spacing w:line="360" w:lineRule="auto"/>
        <w:ind w:firstLine="849" w:firstLineChars="354"/>
        <w:rPr>
          <w:rFonts w:ascii="宋体" w:hAnsi="宋体"/>
          <w:sz w:val="24"/>
        </w:rPr>
      </w:pPr>
      <w:r>
        <w:rPr>
          <w:rFonts w:hint="eastAsia" w:ascii="宋体" w:hAnsi="宋体"/>
          <w:sz w:val="24"/>
        </w:rPr>
        <w:t>1. 供应商认为需要提交的其它资料</w:t>
      </w:r>
    </w:p>
    <w:p>
      <w:pPr>
        <w:widowControl/>
        <w:tabs>
          <w:tab w:val="left" w:pos="0"/>
        </w:tabs>
        <w:adjustRightInd w:val="0"/>
        <w:snapToGrid w:val="0"/>
        <w:spacing w:line="360" w:lineRule="auto"/>
        <w:ind w:firstLine="849" w:firstLineChars="354"/>
        <w:rPr>
          <w:rFonts w:ascii="宋体" w:hAnsi="宋体"/>
          <w:sz w:val="24"/>
        </w:rPr>
      </w:pPr>
    </w:p>
    <w:p>
      <w:pPr>
        <w:widowControl/>
        <w:tabs>
          <w:tab w:val="left" w:pos="0"/>
        </w:tabs>
        <w:adjustRightInd w:val="0"/>
        <w:snapToGrid w:val="0"/>
        <w:spacing w:line="360" w:lineRule="auto"/>
        <w:ind w:firstLine="849" w:firstLineChars="354"/>
        <w:rPr>
          <w:rFonts w:ascii="宋体" w:hAnsi="宋体"/>
          <w:sz w:val="24"/>
        </w:rPr>
      </w:pPr>
      <w:r>
        <w:rPr>
          <w:rFonts w:hint="eastAsia" w:ascii="宋体" w:hAnsi="宋体"/>
          <w:sz w:val="24"/>
        </w:rPr>
        <w:t>2．符合性审查不限于本节内容。</w:t>
      </w:r>
    </w:p>
    <w:p>
      <w:pPr>
        <w:pStyle w:val="5"/>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5"/>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pStyle w:val="5"/>
        <w:ind w:firstLine="0"/>
        <w:rPr>
          <w:rFonts w:ascii="宋体" w:hAnsi="宋体"/>
        </w:rPr>
      </w:pPr>
    </w:p>
    <w:p>
      <w:pPr>
        <w:snapToGrid w:val="0"/>
        <w:spacing w:line="360" w:lineRule="auto"/>
        <w:jc w:val="center"/>
        <w:outlineLvl w:val="1"/>
        <w:rPr>
          <w:rFonts w:ascii="宋体" w:hAnsi="宋体"/>
          <w:sz w:val="36"/>
        </w:rPr>
      </w:pPr>
      <w:bookmarkStart w:id="245" w:name="_Toc496089692"/>
      <w:bookmarkStart w:id="246" w:name="_Toc50913264"/>
      <w:bookmarkStart w:id="247" w:name="_Toc496089682"/>
      <w:bookmarkStart w:id="248" w:name="_Toc496089693"/>
      <w:r>
        <w:rPr>
          <w:rFonts w:hint="eastAsia" w:ascii="宋体" w:hAnsi="宋体"/>
          <w:sz w:val="36"/>
        </w:rPr>
        <w:t>磋商报价部分</w:t>
      </w:r>
      <w:bookmarkEnd w:id="245"/>
      <w:bookmarkEnd w:id="246"/>
    </w:p>
    <w:p>
      <w:pPr>
        <w:pStyle w:val="6"/>
        <w:keepNext w:val="0"/>
        <w:keepLines w:val="0"/>
        <w:snapToGrid w:val="0"/>
        <w:spacing w:before="0" w:after="0" w:line="360" w:lineRule="auto"/>
        <w:jc w:val="center"/>
        <w:rPr>
          <w:rFonts w:ascii="宋体" w:hAnsi="宋体"/>
          <w:b w:val="0"/>
          <w:sz w:val="24"/>
          <w:szCs w:val="24"/>
        </w:rPr>
      </w:pPr>
      <w:bookmarkStart w:id="249" w:name="_Toc50913265"/>
      <w:r>
        <w:rPr>
          <w:rFonts w:hint="eastAsia" w:ascii="宋体" w:hAnsi="宋体"/>
          <w:b w:val="0"/>
          <w:sz w:val="24"/>
          <w:szCs w:val="24"/>
        </w:rPr>
        <w:t>磋商报价一览表</w:t>
      </w:r>
      <w:bookmarkEnd w:id="247"/>
      <w:bookmarkEnd w:id="249"/>
    </w:p>
    <w:p>
      <w:pPr>
        <w:pStyle w:val="5"/>
      </w:pPr>
    </w:p>
    <w:p>
      <w:pPr>
        <w:widowControl/>
        <w:adjustRightInd w:val="0"/>
        <w:snapToGrid w:val="0"/>
        <w:spacing w:line="360" w:lineRule="auto"/>
        <w:rPr>
          <w:rFonts w:ascii="宋体" w:hAnsi="宋体"/>
          <w:bCs/>
          <w:color w:val="000000"/>
          <w:sz w:val="24"/>
        </w:rPr>
      </w:pPr>
      <w:r>
        <w:rPr>
          <w:rFonts w:hint="eastAsia" w:ascii="宋体" w:hAnsi="宋体"/>
          <w:sz w:val="24"/>
        </w:rPr>
        <w:t xml:space="preserve">项目名称：乌鲁木齐市雪莲小学多媒体黑板项目 </w:t>
      </w:r>
      <w:r>
        <w:rPr>
          <w:rFonts w:hint="eastAsia" w:ascii="宋体" w:hAnsi="宋体"/>
          <w:bCs/>
          <w:sz w:val="24"/>
        </w:rPr>
        <w:t xml:space="preserve">  </w:t>
      </w:r>
    </w:p>
    <w:p>
      <w:pPr>
        <w:rPr>
          <w:rFonts w:ascii="宋体" w:hAnsi="宋体"/>
          <w:sz w:val="24"/>
        </w:rPr>
      </w:pPr>
      <w:r>
        <w:rPr>
          <w:rFonts w:hint="eastAsia" w:ascii="宋体" w:hAnsi="宋体"/>
          <w:bCs/>
          <w:sz w:val="24"/>
        </w:rPr>
        <w:t>供应商名称：</w:t>
      </w:r>
    </w:p>
    <w:tbl>
      <w:tblPr>
        <w:tblStyle w:val="39"/>
        <w:tblpPr w:leftFromText="180" w:rightFromText="180" w:vertAnchor="text" w:horzAnchor="margin" w:tblpY="295"/>
        <w:tblW w:w="10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558"/>
        <w:gridCol w:w="2372"/>
        <w:gridCol w:w="1590"/>
        <w:gridCol w:w="137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7" w:hRule="atLeast"/>
        </w:trPr>
        <w:tc>
          <w:tcPr>
            <w:tcW w:w="2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项目名称</w:t>
            </w:r>
          </w:p>
        </w:tc>
        <w:tc>
          <w:tcPr>
            <w:tcW w:w="3930" w:type="dxa"/>
            <w:gridSpan w:val="2"/>
            <w:tcBorders>
              <w:top w:val="single" w:color="auto" w:sz="4" w:space="0"/>
              <w:left w:val="single" w:color="000000" w:sz="4" w:space="0"/>
              <w:bottom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r>
              <w:rPr>
                <w:rFonts w:hint="eastAsia" w:ascii="宋体" w:hAnsi="宋体"/>
                <w:iCs/>
                <w:color w:val="000000"/>
                <w:sz w:val="24"/>
              </w:rPr>
              <w:t>投标总价（元）</w:t>
            </w:r>
          </w:p>
        </w:tc>
        <w:tc>
          <w:tcPr>
            <w:tcW w:w="159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r>
              <w:rPr>
                <w:rFonts w:hint="eastAsia" w:ascii="宋体" w:hAnsi="宋体"/>
                <w:color w:val="000000"/>
                <w:sz w:val="24"/>
              </w:rPr>
              <w:t>交货期</w:t>
            </w:r>
          </w:p>
        </w:tc>
        <w:tc>
          <w:tcPr>
            <w:tcW w:w="1372" w:type="dxa"/>
            <w:tcBorders>
              <w:top w:val="single" w:color="auto" w:sz="4" w:space="0"/>
              <w:left w:val="single" w:color="000000" w:sz="4" w:space="0"/>
              <w:bottom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r>
              <w:rPr>
                <w:rFonts w:hint="eastAsia" w:ascii="宋体" w:hAnsi="宋体"/>
                <w:color w:val="000000"/>
                <w:sz w:val="24"/>
              </w:rPr>
              <w:t>质保期</w:t>
            </w:r>
          </w:p>
        </w:tc>
        <w:tc>
          <w:tcPr>
            <w:tcW w:w="1372"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2518" w:type="dxa"/>
            <w:vMerge w:val="restart"/>
            <w:tcBorders>
              <w:top w:val="single" w:color="auto" w:sz="4" w:space="0"/>
              <w:left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乌鲁木齐市雪莲小学多媒体黑板项目</w:t>
            </w:r>
          </w:p>
        </w:tc>
        <w:tc>
          <w:tcPr>
            <w:tcW w:w="1558"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r>
              <w:rPr>
                <w:rFonts w:hint="eastAsia" w:ascii="宋体" w:hAnsi="宋体"/>
                <w:iCs/>
                <w:color w:val="000000"/>
                <w:sz w:val="24"/>
              </w:rPr>
              <w:t>（小写金额）</w:t>
            </w:r>
          </w:p>
        </w:tc>
        <w:tc>
          <w:tcPr>
            <w:tcW w:w="2372" w:type="dxa"/>
            <w:tcBorders>
              <w:top w:val="single" w:color="auto" w:sz="4" w:space="0"/>
              <w:left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p>
        </w:tc>
        <w:tc>
          <w:tcPr>
            <w:tcW w:w="1590" w:type="dxa"/>
            <w:vMerge w:val="restart"/>
            <w:tcBorders>
              <w:top w:val="single" w:color="auto" w:sz="4" w:space="0"/>
              <w:left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restart"/>
            <w:tcBorders>
              <w:top w:val="single" w:color="auto" w:sz="4" w:space="0"/>
              <w:left w:val="single" w:color="000000"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restart"/>
            <w:tcBorders>
              <w:top w:val="single" w:color="auto" w:sz="4" w:space="0"/>
              <w:left w:val="single" w:color="000000"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518" w:type="dxa"/>
            <w:vMerge w:val="continue"/>
            <w:tcBorders>
              <w:left w:val="single" w:color="auto" w:sz="4" w:space="0"/>
              <w:right w:val="single" w:color="auto" w:sz="4" w:space="0"/>
            </w:tcBorders>
            <w:vAlign w:val="center"/>
          </w:tcPr>
          <w:p>
            <w:pPr>
              <w:rPr>
                <w:rFonts w:ascii="宋体" w:hAnsi="宋体"/>
                <w:bCs/>
                <w:color w:val="000000"/>
                <w:sz w:val="24"/>
              </w:rPr>
            </w:pPr>
          </w:p>
        </w:tc>
        <w:tc>
          <w:tcPr>
            <w:tcW w:w="1558"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r>
              <w:rPr>
                <w:rFonts w:hint="eastAsia" w:ascii="宋体" w:hAnsi="宋体"/>
                <w:iCs/>
                <w:color w:val="000000"/>
                <w:sz w:val="24"/>
              </w:rPr>
              <w:t>（大写金额）</w:t>
            </w:r>
          </w:p>
        </w:tc>
        <w:tc>
          <w:tcPr>
            <w:tcW w:w="2372" w:type="dxa"/>
            <w:tcBorders>
              <w:left w:val="single" w:color="auto" w:sz="4" w:space="0"/>
              <w:right w:val="single" w:color="000000"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iCs/>
                <w:color w:val="000000"/>
                <w:sz w:val="24"/>
              </w:rPr>
            </w:pPr>
          </w:p>
        </w:tc>
        <w:tc>
          <w:tcPr>
            <w:tcW w:w="1590" w:type="dxa"/>
            <w:vMerge w:val="continue"/>
            <w:tcBorders>
              <w:left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continue"/>
            <w:tcBorders>
              <w:left w:val="single" w:color="000000" w:sz="4" w:space="0"/>
              <w:right w:val="single" w:color="000000" w:sz="4" w:space="0"/>
            </w:tcBorders>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c>
          <w:tcPr>
            <w:tcW w:w="1372" w:type="dxa"/>
            <w:vMerge w:val="continue"/>
            <w:tcBorders>
              <w:left w:val="single" w:color="000000"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olor w:val="000000"/>
                <w:sz w:val="24"/>
              </w:rPr>
            </w:pPr>
          </w:p>
        </w:tc>
      </w:tr>
    </w:tbl>
    <w:p>
      <w:pPr>
        <w:pStyle w:val="80"/>
        <w:tabs>
          <w:tab w:val="left" w:pos="654"/>
          <w:tab w:val="left" w:pos="1734"/>
          <w:tab w:val="left" w:pos="2814"/>
          <w:tab w:val="left" w:pos="3894"/>
          <w:tab w:val="left" w:pos="5334"/>
          <w:tab w:val="left" w:pos="6414"/>
          <w:tab w:val="left" w:pos="7254"/>
          <w:tab w:val="left" w:pos="8574"/>
          <w:tab w:val="left" w:pos="9654"/>
        </w:tabs>
        <w:spacing w:line="480" w:lineRule="exact"/>
        <w:ind w:firstLine="0" w:firstLineChars="0"/>
        <w:rPr>
          <w:rFonts w:ascii="宋体" w:hAnsi="宋体"/>
          <w:color w:val="000000"/>
          <w:sz w:val="24"/>
        </w:rPr>
      </w:pPr>
    </w:p>
    <w:p>
      <w:pPr>
        <w:tabs>
          <w:tab w:val="left" w:pos="1080"/>
        </w:tabs>
        <w:snapToGrid w:val="0"/>
        <w:ind w:left="3570" w:leftChars="1700" w:firstLine="480" w:firstLineChars="200"/>
        <w:rPr>
          <w:rFonts w:ascii="宋体" w:hAnsi="宋体"/>
          <w:sz w:val="24"/>
        </w:rPr>
      </w:pPr>
    </w:p>
    <w:p>
      <w:pPr>
        <w:tabs>
          <w:tab w:val="left" w:pos="1080"/>
        </w:tabs>
        <w:snapToGrid w:val="0"/>
        <w:ind w:left="3570" w:leftChars="1700" w:firstLine="480" w:firstLineChars="200"/>
        <w:rPr>
          <w:rFonts w:ascii="宋体" w:hAnsi="宋体"/>
          <w:sz w:val="24"/>
        </w:rPr>
      </w:pPr>
    </w:p>
    <w:p>
      <w:pPr>
        <w:tabs>
          <w:tab w:val="left" w:pos="1080"/>
        </w:tabs>
        <w:snapToGrid w:val="0"/>
        <w:ind w:left="3570" w:leftChars="1700" w:firstLine="480" w:firstLineChars="200"/>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供应商（公章）：</w:t>
      </w:r>
    </w:p>
    <w:p>
      <w:pPr>
        <w:snapToGrid w:val="0"/>
        <w:spacing w:line="360" w:lineRule="auto"/>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地  址：</w:t>
      </w:r>
    </w:p>
    <w:p>
      <w:pPr>
        <w:snapToGrid w:val="0"/>
        <w:spacing w:line="360" w:lineRule="auto"/>
        <w:ind w:firstLine="4080" w:firstLineChars="1700"/>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法定代表人或授权代理人（签字或盖章） ：</w:t>
      </w:r>
    </w:p>
    <w:p>
      <w:pPr>
        <w:snapToGrid w:val="0"/>
        <w:spacing w:line="360" w:lineRule="auto"/>
        <w:ind w:firstLine="4080" w:firstLineChars="1700"/>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联系电话：</w:t>
      </w:r>
    </w:p>
    <w:p>
      <w:pPr>
        <w:snapToGrid w:val="0"/>
        <w:spacing w:line="360" w:lineRule="auto"/>
        <w:ind w:firstLine="4080" w:firstLineChars="1700"/>
        <w:jc w:val="left"/>
        <w:rPr>
          <w:rFonts w:ascii="宋体" w:hAnsi="宋体"/>
          <w:sz w:val="24"/>
        </w:rPr>
      </w:pPr>
    </w:p>
    <w:p>
      <w:pPr>
        <w:snapToGrid w:val="0"/>
        <w:spacing w:line="360" w:lineRule="auto"/>
        <w:ind w:firstLine="4080" w:firstLineChars="1700"/>
        <w:jc w:val="left"/>
        <w:rPr>
          <w:rFonts w:ascii="宋体" w:hAnsi="宋体"/>
          <w:sz w:val="24"/>
        </w:rPr>
      </w:pPr>
      <w:r>
        <w:rPr>
          <w:rFonts w:hint="eastAsia" w:ascii="宋体" w:hAnsi="宋体"/>
          <w:sz w:val="24"/>
        </w:rPr>
        <w:t>日  期：      年    月    日</w:t>
      </w:r>
    </w:p>
    <w:p>
      <w:pPr>
        <w:pStyle w:val="6"/>
        <w:keepNext w:val="0"/>
        <w:keepLines w:val="0"/>
        <w:snapToGrid w:val="0"/>
        <w:spacing w:before="0" w:after="0" w:line="360" w:lineRule="auto"/>
        <w:jc w:val="center"/>
        <w:rPr>
          <w:rFonts w:ascii="宋体" w:hAnsi="宋体"/>
          <w:b w:val="0"/>
        </w:rPr>
      </w:pPr>
    </w:p>
    <w:p>
      <w:pPr>
        <w:pStyle w:val="6"/>
        <w:keepNext w:val="0"/>
        <w:keepLines w:val="0"/>
        <w:snapToGrid w:val="0"/>
        <w:spacing w:before="0" w:after="0" w:line="360" w:lineRule="auto"/>
        <w:jc w:val="center"/>
        <w:rPr>
          <w:rFonts w:ascii="宋体" w:hAnsi="宋体"/>
          <w:b w:val="0"/>
        </w:rPr>
      </w:pPr>
    </w:p>
    <w:p>
      <w:pPr>
        <w:pStyle w:val="6"/>
        <w:keepNext w:val="0"/>
        <w:keepLines w:val="0"/>
        <w:snapToGrid w:val="0"/>
        <w:spacing w:before="0" w:after="0" w:line="360" w:lineRule="auto"/>
        <w:rPr>
          <w:rFonts w:ascii="宋体" w:hAnsi="宋体"/>
        </w:rPr>
      </w:pPr>
    </w:p>
    <w:p>
      <w:pPr>
        <w:pStyle w:val="5"/>
      </w:pPr>
    </w:p>
    <w:p>
      <w:pPr>
        <w:pStyle w:val="5"/>
      </w:pPr>
    </w:p>
    <w:p>
      <w:pPr>
        <w:pStyle w:val="5"/>
        <w:ind w:firstLine="0"/>
      </w:pPr>
    </w:p>
    <w:p>
      <w:pPr>
        <w:pStyle w:val="5"/>
        <w:ind w:firstLine="0"/>
      </w:pPr>
    </w:p>
    <w:p>
      <w:pPr>
        <w:pStyle w:val="5"/>
        <w:ind w:firstLine="0"/>
      </w:pPr>
    </w:p>
    <w:p>
      <w:pPr>
        <w:widowControl/>
        <w:jc w:val="left"/>
        <w:rPr>
          <w:rFonts w:ascii="宋体" w:hAnsi="宋体"/>
        </w:rPr>
      </w:pPr>
      <w:bookmarkStart w:id="250" w:name="_Toc50913266"/>
      <w:r>
        <w:rPr>
          <w:rFonts w:ascii="宋体" w:hAnsi="宋体"/>
          <w:sz w:val="24"/>
        </w:rPr>
        <w:t>分项</w:t>
      </w:r>
      <w:r>
        <w:rPr>
          <w:rFonts w:hint="eastAsia" w:ascii="宋体" w:hAnsi="宋体"/>
          <w:sz w:val="24"/>
        </w:rPr>
        <w:t>报价表（格式）</w:t>
      </w:r>
      <w:bookmarkEnd w:id="248"/>
      <w:bookmarkEnd w:id="250"/>
    </w:p>
    <w:p>
      <w:pPr>
        <w:widowControl/>
        <w:snapToGrid w:val="0"/>
        <w:spacing w:line="360" w:lineRule="auto"/>
        <w:jc w:val="center"/>
        <w:rPr>
          <w:rFonts w:ascii="宋体" w:hAnsi="宋体"/>
          <w:b/>
          <w:sz w:val="32"/>
          <w:szCs w:val="20"/>
        </w:rPr>
      </w:pPr>
    </w:p>
    <w:p>
      <w:pPr>
        <w:widowControl/>
        <w:adjustRightInd w:val="0"/>
        <w:snapToGrid w:val="0"/>
        <w:spacing w:line="360" w:lineRule="auto"/>
        <w:rPr>
          <w:rFonts w:ascii="宋体" w:hAnsi="宋体"/>
          <w:bCs/>
          <w:sz w:val="24"/>
        </w:rPr>
      </w:pPr>
      <w:r>
        <w:rPr>
          <w:rFonts w:hint="eastAsia" w:ascii="宋体" w:hAnsi="宋体"/>
          <w:sz w:val="24"/>
        </w:rPr>
        <w:t>项目名称：乌鲁木齐市雪莲小学多媒体黑板项目</w:t>
      </w:r>
      <w:r>
        <w:rPr>
          <w:rFonts w:hint="eastAsia" w:ascii="宋体" w:hAnsi="宋体"/>
          <w:bCs/>
          <w:sz w:val="24"/>
        </w:rPr>
        <w:t xml:space="preserve">                </w:t>
      </w:r>
    </w:p>
    <w:p>
      <w:pPr>
        <w:widowControl/>
        <w:adjustRightInd w:val="0"/>
        <w:snapToGrid w:val="0"/>
        <w:spacing w:line="360" w:lineRule="auto"/>
        <w:rPr>
          <w:rFonts w:ascii="宋体" w:hAnsi="宋体"/>
        </w:rPr>
      </w:pPr>
      <w:r>
        <w:rPr>
          <w:rFonts w:hint="eastAsia" w:ascii="宋体" w:hAnsi="宋体"/>
          <w:sz w:val="24"/>
        </w:rPr>
        <w:t>供应商名称：</w:t>
      </w:r>
    </w:p>
    <w:tbl>
      <w:tblPr>
        <w:tblStyle w:val="39"/>
        <w:tblpPr w:leftFromText="180" w:rightFromText="180" w:vertAnchor="page" w:horzAnchor="margin" w:tblpXSpec="center" w:tblpY="4171"/>
        <w:tblOverlap w:val="never"/>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464"/>
        <w:gridCol w:w="803"/>
        <w:gridCol w:w="1446"/>
        <w:gridCol w:w="1404"/>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560" w:lineRule="exact"/>
              <w:jc w:val="center"/>
              <w:rPr>
                <w:sz w:val="28"/>
                <w:szCs w:val="28"/>
              </w:rPr>
            </w:pPr>
            <w:r>
              <w:rPr>
                <w:rFonts w:hint="eastAsia"/>
                <w:sz w:val="28"/>
                <w:szCs w:val="28"/>
              </w:rPr>
              <w:t>序号</w:t>
            </w:r>
          </w:p>
        </w:tc>
        <w:tc>
          <w:tcPr>
            <w:tcW w:w="3464" w:type="dxa"/>
          </w:tcPr>
          <w:p>
            <w:pPr>
              <w:widowControl/>
              <w:spacing w:line="560" w:lineRule="exact"/>
              <w:jc w:val="center"/>
              <w:rPr>
                <w:sz w:val="28"/>
                <w:szCs w:val="28"/>
              </w:rPr>
            </w:pPr>
            <w:r>
              <w:rPr>
                <w:rFonts w:hint="eastAsia"/>
                <w:sz w:val="28"/>
                <w:szCs w:val="28"/>
              </w:rPr>
              <w:t>名称</w:t>
            </w:r>
          </w:p>
        </w:tc>
        <w:tc>
          <w:tcPr>
            <w:tcW w:w="803" w:type="dxa"/>
          </w:tcPr>
          <w:p>
            <w:pPr>
              <w:widowControl/>
              <w:spacing w:line="560" w:lineRule="exact"/>
              <w:jc w:val="center"/>
              <w:rPr>
                <w:sz w:val="28"/>
                <w:szCs w:val="28"/>
              </w:rPr>
            </w:pPr>
            <w:r>
              <w:rPr>
                <w:rFonts w:hint="eastAsia"/>
                <w:sz w:val="28"/>
                <w:szCs w:val="28"/>
              </w:rPr>
              <w:t>数量</w:t>
            </w:r>
          </w:p>
        </w:tc>
        <w:tc>
          <w:tcPr>
            <w:tcW w:w="1446" w:type="dxa"/>
          </w:tcPr>
          <w:p>
            <w:pPr>
              <w:widowControl/>
              <w:spacing w:line="560" w:lineRule="exact"/>
              <w:jc w:val="center"/>
              <w:rPr>
                <w:sz w:val="28"/>
                <w:szCs w:val="28"/>
              </w:rPr>
            </w:pPr>
            <w:r>
              <w:rPr>
                <w:rFonts w:hint="eastAsia"/>
                <w:sz w:val="28"/>
                <w:szCs w:val="28"/>
              </w:rPr>
              <w:t>单价（元）</w:t>
            </w:r>
          </w:p>
        </w:tc>
        <w:tc>
          <w:tcPr>
            <w:tcW w:w="1404" w:type="dxa"/>
          </w:tcPr>
          <w:p>
            <w:pPr>
              <w:widowControl/>
              <w:spacing w:line="560" w:lineRule="exact"/>
              <w:jc w:val="center"/>
              <w:rPr>
                <w:sz w:val="28"/>
                <w:szCs w:val="28"/>
              </w:rPr>
            </w:pPr>
            <w:r>
              <w:rPr>
                <w:rFonts w:hint="eastAsia"/>
                <w:sz w:val="28"/>
                <w:szCs w:val="28"/>
              </w:rPr>
              <w:t>总价（元）</w:t>
            </w:r>
          </w:p>
        </w:tc>
        <w:tc>
          <w:tcPr>
            <w:tcW w:w="1415" w:type="dxa"/>
          </w:tcPr>
          <w:p>
            <w:pPr>
              <w:widowControl/>
              <w:spacing w:line="560" w:lineRule="exact"/>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1</w:t>
            </w:r>
          </w:p>
        </w:tc>
        <w:tc>
          <w:tcPr>
            <w:tcW w:w="3464" w:type="dxa"/>
          </w:tcPr>
          <w:p>
            <w:pPr>
              <w:tabs>
                <w:tab w:val="left" w:pos="4320"/>
              </w:tabs>
              <w:spacing w:line="360" w:lineRule="auto"/>
              <w:jc w:val="left"/>
              <w:rPr>
                <w:rFonts w:ascii="宋体" w:hAnsi="宋体" w:cs="宋体"/>
                <w:sz w:val="28"/>
                <w:szCs w:val="28"/>
              </w:rPr>
            </w:pPr>
          </w:p>
        </w:tc>
        <w:tc>
          <w:tcPr>
            <w:tcW w:w="803" w:type="dxa"/>
          </w:tcPr>
          <w:p>
            <w:pPr>
              <w:widowControl/>
              <w:spacing w:line="560" w:lineRule="exact"/>
              <w:jc w:val="center"/>
              <w:rPr>
                <w:rFonts w:ascii="宋体" w:hAnsi="宋体" w:cs="宋体"/>
                <w:sz w:val="28"/>
                <w:szCs w:val="28"/>
              </w:rPr>
            </w:pPr>
          </w:p>
        </w:tc>
        <w:tc>
          <w:tcPr>
            <w:tcW w:w="1446" w:type="dxa"/>
          </w:tcPr>
          <w:p>
            <w:pPr>
              <w:widowControl/>
              <w:spacing w:line="560" w:lineRule="exact"/>
              <w:jc w:val="center"/>
              <w:rPr>
                <w:rFonts w:ascii="宋体" w:hAnsi="宋体" w:cs="宋体"/>
                <w:sz w:val="28"/>
                <w:szCs w:val="28"/>
              </w:rPr>
            </w:pPr>
          </w:p>
        </w:tc>
        <w:tc>
          <w:tcPr>
            <w:tcW w:w="1404" w:type="dxa"/>
          </w:tcPr>
          <w:p>
            <w:pPr>
              <w:widowControl/>
              <w:spacing w:line="560" w:lineRule="exact"/>
              <w:jc w:val="center"/>
              <w:rPr>
                <w:rFonts w:ascii="宋体" w:hAnsi="宋体" w:cs="宋体"/>
                <w:sz w:val="28"/>
                <w:szCs w:val="28"/>
              </w:rPr>
            </w:pPr>
          </w:p>
        </w:tc>
        <w:tc>
          <w:tcPr>
            <w:tcW w:w="1415" w:type="dxa"/>
            <w:vMerge w:val="restart"/>
            <w:vAlign w:val="center"/>
          </w:tcPr>
          <w:p>
            <w:pPr>
              <w:widowControl/>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2</w:t>
            </w:r>
          </w:p>
        </w:tc>
        <w:tc>
          <w:tcPr>
            <w:tcW w:w="3464" w:type="dxa"/>
          </w:tcPr>
          <w:p>
            <w:pPr>
              <w:tabs>
                <w:tab w:val="left" w:pos="4320"/>
              </w:tabs>
              <w:spacing w:line="360" w:lineRule="auto"/>
              <w:jc w:val="left"/>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vMerge w:val="continue"/>
            <w:vAlign w:val="center"/>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3</w:t>
            </w:r>
          </w:p>
        </w:tc>
        <w:tc>
          <w:tcPr>
            <w:tcW w:w="3464" w:type="dxa"/>
          </w:tcPr>
          <w:p>
            <w:pPr>
              <w:tabs>
                <w:tab w:val="left" w:pos="4320"/>
              </w:tabs>
              <w:spacing w:line="360" w:lineRule="auto"/>
              <w:jc w:val="left"/>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vMerge w:val="continue"/>
            <w:vAlign w:val="center"/>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4</w:t>
            </w:r>
          </w:p>
        </w:tc>
        <w:tc>
          <w:tcPr>
            <w:tcW w:w="3464" w:type="dxa"/>
          </w:tcPr>
          <w:p>
            <w:pPr>
              <w:widowControl/>
              <w:spacing w:line="360" w:lineRule="auto"/>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5</w:t>
            </w:r>
          </w:p>
        </w:tc>
        <w:tc>
          <w:tcPr>
            <w:tcW w:w="3464" w:type="dxa"/>
          </w:tcPr>
          <w:p>
            <w:pPr>
              <w:widowControl/>
              <w:spacing w:line="360" w:lineRule="auto"/>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jc w:val="center"/>
              <w:rPr>
                <w:rFonts w:ascii="宋体" w:hAnsi="宋体" w:cs="宋体"/>
                <w:sz w:val="28"/>
                <w:szCs w:val="28"/>
              </w:rPr>
            </w:pPr>
          </w:p>
        </w:tc>
        <w:tc>
          <w:tcPr>
            <w:tcW w:w="1415" w:type="dxa"/>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6</w:t>
            </w:r>
          </w:p>
        </w:tc>
        <w:tc>
          <w:tcPr>
            <w:tcW w:w="3464" w:type="dxa"/>
          </w:tcPr>
          <w:p>
            <w:pPr>
              <w:widowControl/>
              <w:spacing w:line="360" w:lineRule="auto"/>
              <w:rPr>
                <w:rFonts w:ascii="宋体" w:hAnsi="宋体" w:cs="宋体"/>
                <w:sz w:val="28"/>
                <w:szCs w:val="28"/>
              </w:rPr>
            </w:pPr>
          </w:p>
        </w:tc>
        <w:tc>
          <w:tcPr>
            <w:tcW w:w="803" w:type="dxa"/>
          </w:tcPr>
          <w:p>
            <w:pPr>
              <w:widowControl/>
              <w:spacing w:line="360" w:lineRule="auto"/>
              <w:jc w:val="center"/>
              <w:rPr>
                <w:rFonts w:ascii="宋体" w:hAnsi="宋体" w:cs="宋体"/>
                <w:sz w:val="28"/>
                <w:szCs w:val="28"/>
              </w:rPr>
            </w:pPr>
          </w:p>
        </w:tc>
        <w:tc>
          <w:tcPr>
            <w:tcW w:w="1446" w:type="dxa"/>
          </w:tcPr>
          <w:p>
            <w:pPr>
              <w:widowControl/>
              <w:spacing w:line="360" w:lineRule="auto"/>
              <w:jc w:val="center"/>
              <w:rPr>
                <w:rFonts w:ascii="宋体" w:hAnsi="宋体" w:cs="宋体"/>
                <w:sz w:val="28"/>
                <w:szCs w:val="28"/>
              </w:rPr>
            </w:pPr>
          </w:p>
        </w:tc>
        <w:tc>
          <w:tcPr>
            <w:tcW w:w="1404" w:type="dxa"/>
          </w:tcPr>
          <w:p>
            <w:pPr>
              <w:widowControl/>
              <w:spacing w:line="360" w:lineRule="auto"/>
              <w:ind w:firstLine="280" w:firstLineChars="100"/>
              <w:rPr>
                <w:rFonts w:ascii="宋体" w:hAnsi="宋体" w:cs="宋体"/>
                <w:sz w:val="28"/>
                <w:szCs w:val="28"/>
              </w:rPr>
            </w:pPr>
          </w:p>
        </w:tc>
        <w:tc>
          <w:tcPr>
            <w:tcW w:w="1415" w:type="dxa"/>
          </w:tcPr>
          <w:p>
            <w:pPr>
              <w:widowControl/>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spacing w:line="360" w:lineRule="auto"/>
              <w:jc w:val="center"/>
              <w:rPr>
                <w:rFonts w:ascii="宋体" w:hAnsi="宋体" w:cs="宋体"/>
                <w:sz w:val="28"/>
                <w:szCs w:val="28"/>
              </w:rPr>
            </w:pPr>
            <w:r>
              <w:rPr>
                <w:rFonts w:hint="eastAsia" w:ascii="宋体" w:hAnsi="宋体" w:cs="宋体"/>
                <w:sz w:val="28"/>
                <w:szCs w:val="28"/>
              </w:rPr>
              <w:t>7</w:t>
            </w:r>
          </w:p>
        </w:tc>
        <w:tc>
          <w:tcPr>
            <w:tcW w:w="3464" w:type="dxa"/>
          </w:tcPr>
          <w:p>
            <w:pPr>
              <w:widowControl/>
              <w:spacing w:line="360" w:lineRule="auto"/>
              <w:rPr>
                <w:rFonts w:ascii="宋体" w:hAnsi="宋体" w:cs="宋体"/>
                <w:sz w:val="28"/>
                <w:szCs w:val="28"/>
              </w:rPr>
            </w:pPr>
            <w:r>
              <w:rPr>
                <w:rFonts w:hint="eastAsia" w:ascii="宋体" w:hAnsi="宋体" w:cs="宋体"/>
                <w:sz w:val="28"/>
                <w:szCs w:val="28"/>
              </w:rPr>
              <w:t>合计</w:t>
            </w:r>
          </w:p>
        </w:tc>
        <w:tc>
          <w:tcPr>
            <w:tcW w:w="5068" w:type="dxa"/>
            <w:gridSpan w:val="4"/>
          </w:tcPr>
          <w:p>
            <w:pPr>
              <w:widowControl/>
              <w:spacing w:line="360" w:lineRule="auto"/>
              <w:jc w:val="center"/>
              <w:rPr>
                <w:rFonts w:ascii="宋体" w:hAnsi="宋体" w:cs="宋体"/>
                <w:sz w:val="28"/>
                <w:szCs w:val="28"/>
              </w:rPr>
            </w:pPr>
          </w:p>
        </w:tc>
      </w:tr>
    </w:tbl>
    <w:p>
      <w:pPr>
        <w:snapToGrid w:val="0"/>
        <w:spacing w:line="360" w:lineRule="auto"/>
        <w:ind w:right="480"/>
        <w:jc w:val="right"/>
        <w:rPr>
          <w:rFonts w:ascii="宋体" w:hAnsi="宋体"/>
          <w:bCs/>
          <w:sz w:val="24"/>
        </w:rPr>
      </w:pPr>
    </w:p>
    <w:p>
      <w:pPr>
        <w:snapToGrid w:val="0"/>
        <w:spacing w:line="360" w:lineRule="auto"/>
        <w:ind w:right="480"/>
        <w:jc w:val="right"/>
        <w:rPr>
          <w:rFonts w:ascii="宋体" w:hAnsi="宋体"/>
          <w:bCs/>
          <w:sz w:val="24"/>
        </w:rPr>
      </w:pPr>
    </w:p>
    <w:p>
      <w:pPr>
        <w:snapToGrid w:val="0"/>
        <w:spacing w:line="360" w:lineRule="auto"/>
        <w:ind w:right="480"/>
        <w:jc w:val="center"/>
        <w:rPr>
          <w:rFonts w:ascii="宋体" w:hAnsi="宋体"/>
          <w:bCs/>
          <w:sz w:val="24"/>
        </w:rPr>
      </w:pPr>
      <w:r>
        <w:rPr>
          <w:rFonts w:hint="eastAsia" w:ascii="宋体" w:hAnsi="宋体"/>
          <w:bCs/>
          <w:sz w:val="24"/>
        </w:rPr>
        <w:t xml:space="preserve">                         供应商（公章）：</w:t>
      </w:r>
    </w:p>
    <w:p>
      <w:pPr>
        <w:widowControl/>
        <w:snapToGrid w:val="0"/>
        <w:spacing w:line="360" w:lineRule="auto"/>
        <w:jc w:val="center"/>
        <w:rPr>
          <w:rFonts w:ascii="宋体" w:hAnsi="宋体"/>
          <w:bCs/>
          <w:sz w:val="24"/>
        </w:rPr>
      </w:pPr>
      <w:r>
        <w:rPr>
          <w:rFonts w:hint="eastAsia" w:ascii="宋体" w:hAnsi="宋体"/>
          <w:bCs/>
          <w:sz w:val="24"/>
        </w:rPr>
        <w:t xml:space="preserve">                                          </w:t>
      </w:r>
    </w:p>
    <w:p>
      <w:pPr>
        <w:widowControl/>
        <w:snapToGrid w:val="0"/>
        <w:spacing w:line="360" w:lineRule="auto"/>
        <w:ind w:firstLine="5640" w:firstLineChars="2350"/>
        <w:rPr>
          <w:rFonts w:ascii="宋体" w:hAnsi="宋体"/>
          <w:bCs/>
          <w:sz w:val="24"/>
        </w:rPr>
      </w:pPr>
      <w:r>
        <w:rPr>
          <w:rFonts w:hint="eastAsia" w:ascii="宋体" w:hAnsi="宋体"/>
          <w:bCs/>
          <w:sz w:val="24"/>
        </w:rPr>
        <w:t>法定代表人或授权代理人（</w:t>
      </w:r>
      <w:r>
        <w:rPr>
          <w:rFonts w:hint="eastAsia" w:ascii="宋体" w:hAnsi="宋体"/>
          <w:sz w:val="24"/>
        </w:rPr>
        <w:t>签字或盖章</w:t>
      </w:r>
      <w:r>
        <w:rPr>
          <w:rFonts w:hint="eastAsia" w:ascii="宋体" w:hAnsi="宋体"/>
          <w:bCs/>
          <w:sz w:val="24"/>
        </w:rPr>
        <w:t>）：</w:t>
      </w:r>
    </w:p>
    <w:p>
      <w:pPr>
        <w:snapToGrid w:val="0"/>
        <w:spacing w:line="360" w:lineRule="auto"/>
        <w:jc w:val="center"/>
        <w:rPr>
          <w:rFonts w:ascii="宋体" w:hAnsi="宋体"/>
          <w:bCs/>
          <w:sz w:val="24"/>
        </w:rPr>
      </w:pPr>
      <w:r>
        <w:rPr>
          <w:rFonts w:hint="eastAsia" w:ascii="宋体" w:hAnsi="宋体"/>
          <w:bCs/>
          <w:sz w:val="24"/>
        </w:rPr>
        <w:t xml:space="preserve">                      </w:t>
      </w:r>
    </w:p>
    <w:p>
      <w:pPr>
        <w:snapToGrid w:val="0"/>
        <w:spacing w:line="360" w:lineRule="auto"/>
        <w:jc w:val="center"/>
        <w:rPr>
          <w:rFonts w:ascii="宋体" w:hAnsi="宋体"/>
          <w:bCs/>
          <w:sz w:val="24"/>
        </w:rPr>
      </w:pPr>
      <w:r>
        <w:rPr>
          <w:rFonts w:hint="eastAsia" w:ascii="宋体" w:hAnsi="宋体"/>
          <w:bCs/>
          <w:sz w:val="24"/>
        </w:rPr>
        <w:t xml:space="preserve">                      年     月     日</w:t>
      </w:r>
    </w:p>
    <w:p>
      <w:pPr>
        <w:snapToGrid w:val="0"/>
        <w:spacing w:line="360" w:lineRule="auto"/>
        <w:jc w:val="center"/>
        <w:outlineLvl w:val="2"/>
        <w:rPr>
          <w:rFonts w:ascii="宋体" w:hAnsi="宋体"/>
          <w:bCs/>
          <w:sz w:val="24"/>
        </w:rPr>
      </w:pPr>
    </w:p>
    <w:p>
      <w:pPr>
        <w:pStyle w:val="6"/>
        <w:keepNext w:val="0"/>
        <w:keepLines w:val="0"/>
        <w:snapToGrid w:val="0"/>
        <w:spacing w:before="0" w:after="0" w:line="360" w:lineRule="auto"/>
        <w:jc w:val="center"/>
        <w:rPr>
          <w:rFonts w:ascii="宋体" w:hAnsi="宋体"/>
        </w:rPr>
      </w:pPr>
      <w:r>
        <w:rPr>
          <w:rFonts w:hint="eastAsia" w:ascii="宋体" w:hAnsi="宋体"/>
        </w:rPr>
        <w:br w:type="page"/>
      </w:r>
      <w:bookmarkStart w:id="251" w:name="_Toc50913267"/>
      <w:bookmarkStart w:id="252" w:name="_Toc496089696"/>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sz w:val="36"/>
        </w:rPr>
      </w:pPr>
      <w:r>
        <w:rPr>
          <w:rFonts w:hint="eastAsia" w:ascii="宋体" w:hAnsi="宋体"/>
          <w:sz w:val="36"/>
        </w:rPr>
        <w:t>商务部分</w:t>
      </w:r>
      <w:bookmarkEnd w:id="251"/>
      <w:bookmarkEnd w:id="252"/>
    </w:p>
    <w:p>
      <w:pPr>
        <w:widowControl/>
        <w:adjustRightInd w:val="0"/>
        <w:snapToGrid w:val="0"/>
        <w:spacing w:line="360" w:lineRule="auto"/>
        <w:rPr>
          <w:rFonts w:ascii="宋体" w:hAnsi="宋体"/>
          <w:sz w:val="24"/>
        </w:rPr>
      </w:pPr>
    </w:p>
    <w:p>
      <w:pPr>
        <w:widowControl/>
        <w:adjustRightInd w:val="0"/>
        <w:snapToGrid w:val="0"/>
        <w:spacing w:line="360" w:lineRule="auto"/>
        <w:rPr>
          <w:rFonts w:ascii="宋体" w:hAnsi="宋体"/>
          <w:bCs/>
          <w:color w:val="000000"/>
          <w:sz w:val="24"/>
        </w:rPr>
      </w:pPr>
      <w:r>
        <w:rPr>
          <w:rFonts w:hint="eastAsia" w:ascii="宋体" w:hAnsi="宋体"/>
          <w:sz w:val="24"/>
        </w:rPr>
        <w:t xml:space="preserve">项目名称：乌鲁木齐市雪莲小学多媒体黑板项目    </w:t>
      </w:r>
      <w:r>
        <w:rPr>
          <w:rFonts w:hint="eastAsia" w:ascii="宋体" w:hAnsi="宋体"/>
          <w:bCs/>
          <w:sz w:val="24"/>
        </w:rPr>
        <w:t xml:space="preserve">     </w:t>
      </w:r>
    </w:p>
    <w:p>
      <w:pPr>
        <w:widowControl/>
        <w:adjustRightInd w:val="0"/>
        <w:snapToGrid w:val="0"/>
        <w:spacing w:line="360" w:lineRule="auto"/>
        <w:rPr>
          <w:rFonts w:ascii="宋体" w:hAnsi="宋体"/>
          <w:sz w:val="24"/>
        </w:rPr>
      </w:pPr>
      <w:r>
        <w:rPr>
          <w:rFonts w:hint="eastAsia" w:ascii="宋体" w:hAnsi="宋体"/>
          <w:bCs/>
          <w:sz w:val="24"/>
        </w:rPr>
        <w:t>供应商名称：</w:t>
      </w:r>
    </w:p>
    <w:p>
      <w:pPr>
        <w:widowControl/>
        <w:adjustRightInd w:val="0"/>
        <w:snapToGrid w:val="0"/>
        <w:spacing w:line="360" w:lineRule="auto"/>
        <w:rPr>
          <w:rFonts w:ascii="宋体" w:hAnsi="宋体"/>
          <w:sz w:val="24"/>
        </w:rPr>
      </w:pPr>
    </w:p>
    <w:tbl>
      <w:tblPr>
        <w:tblStyle w:val="39"/>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707"/>
        <w:gridCol w:w="1727"/>
        <w:gridCol w:w="1690"/>
        <w:gridCol w:w="1287"/>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用户名称</w:t>
            </w:r>
          </w:p>
        </w:tc>
        <w:tc>
          <w:tcPr>
            <w:tcW w:w="1707"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项目名称</w:t>
            </w:r>
          </w:p>
        </w:tc>
        <w:tc>
          <w:tcPr>
            <w:tcW w:w="1727"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签订合同日期</w:t>
            </w:r>
          </w:p>
        </w:tc>
        <w:tc>
          <w:tcPr>
            <w:tcW w:w="1690"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合同金额</w:t>
            </w:r>
          </w:p>
          <w:p>
            <w:pPr>
              <w:pStyle w:val="5"/>
              <w:snapToGrid w:val="0"/>
              <w:spacing w:line="480" w:lineRule="exact"/>
              <w:ind w:firstLine="0"/>
              <w:jc w:val="center"/>
              <w:rPr>
                <w:rFonts w:ascii="宋体" w:hAnsi="宋体"/>
                <w:sz w:val="24"/>
                <w:szCs w:val="24"/>
              </w:rPr>
            </w:pPr>
            <w:r>
              <w:rPr>
                <w:rFonts w:hint="eastAsia" w:ascii="宋体" w:hAnsi="宋体"/>
                <w:sz w:val="24"/>
                <w:szCs w:val="24"/>
              </w:rPr>
              <w:t>（万元）</w:t>
            </w:r>
          </w:p>
        </w:tc>
        <w:tc>
          <w:tcPr>
            <w:tcW w:w="1287"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用户意见</w:t>
            </w:r>
          </w:p>
        </w:tc>
        <w:tc>
          <w:tcPr>
            <w:tcW w:w="1134"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联系人</w:t>
            </w:r>
          </w:p>
        </w:tc>
        <w:tc>
          <w:tcPr>
            <w:tcW w:w="1276" w:type="dxa"/>
            <w:vAlign w:val="center"/>
          </w:tcPr>
          <w:p>
            <w:pPr>
              <w:pStyle w:val="5"/>
              <w:snapToGrid w:val="0"/>
              <w:spacing w:line="480" w:lineRule="exact"/>
              <w:ind w:firstLine="0"/>
              <w:jc w:val="center"/>
              <w:rPr>
                <w:rFonts w:ascii="宋体" w:hAnsi="宋体"/>
                <w:sz w:val="24"/>
                <w:szCs w:val="24"/>
              </w:rPr>
            </w:pPr>
            <w:r>
              <w:rPr>
                <w:rFonts w:hint="eastAsia" w:ascii="宋体" w:hAnsi="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center"/>
          </w:tcPr>
          <w:p>
            <w:pPr>
              <w:pStyle w:val="5"/>
              <w:snapToGrid w:val="0"/>
              <w:spacing w:line="480" w:lineRule="exact"/>
              <w:ind w:left="196"/>
              <w:jc w:val="center"/>
              <w:rPr>
                <w:rFonts w:ascii="宋体" w:hAnsi="宋体"/>
                <w:sz w:val="24"/>
                <w:szCs w:val="24"/>
              </w:rPr>
            </w:pPr>
          </w:p>
        </w:tc>
        <w:tc>
          <w:tcPr>
            <w:tcW w:w="1727" w:type="dxa"/>
            <w:vAlign w:val="center"/>
          </w:tcPr>
          <w:p>
            <w:pPr>
              <w:pStyle w:val="5"/>
              <w:snapToGrid w:val="0"/>
              <w:spacing w:line="480" w:lineRule="exact"/>
              <w:ind w:left="196"/>
              <w:jc w:val="center"/>
              <w:rPr>
                <w:rFonts w:ascii="宋体" w:hAnsi="宋体"/>
                <w:sz w:val="24"/>
                <w:szCs w:val="24"/>
              </w:rPr>
            </w:pPr>
          </w:p>
        </w:tc>
        <w:tc>
          <w:tcPr>
            <w:tcW w:w="1690" w:type="dxa"/>
            <w:vAlign w:val="center"/>
          </w:tcPr>
          <w:p>
            <w:pPr>
              <w:pStyle w:val="5"/>
              <w:snapToGrid w:val="0"/>
              <w:spacing w:line="480" w:lineRule="exact"/>
              <w:ind w:left="196"/>
              <w:jc w:val="center"/>
              <w:rPr>
                <w:rFonts w:ascii="宋体" w:hAnsi="宋体"/>
                <w:sz w:val="24"/>
                <w:szCs w:val="24"/>
              </w:rPr>
            </w:pPr>
          </w:p>
        </w:tc>
        <w:tc>
          <w:tcPr>
            <w:tcW w:w="1287" w:type="dxa"/>
            <w:vAlign w:val="center"/>
          </w:tcPr>
          <w:p>
            <w:pPr>
              <w:pStyle w:val="5"/>
              <w:snapToGrid w:val="0"/>
              <w:spacing w:line="480" w:lineRule="exact"/>
              <w:ind w:left="196"/>
              <w:jc w:val="center"/>
              <w:rPr>
                <w:rFonts w:ascii="宋体" w:hAnsi="宋体"/>
                <w:sz w:val="24"/>
                <w:szCs w:val="24"/>
              </w:rPr>
            </w:pPr>
          </w:p>
        </w:tc>
        <w:tc>
          <w:tcPr>
            <w:tcW w:w="1134" w:type="dxa"/>
            <w:vAlign w:val="center"/>
          </w:tcPr>
          <w:p>
            <w:pPr>
              <w:pStyle w:val="5"/>
              <w:snapToGrid w:val="0"/>
              <w:spacing w:line="480" w:lineRule="exact"/>
              <w:ind w:left="196"/>
              <w:jc w:val="center"/>
              <w:rPr>
                <w:rFonts w:ascii="宋体" w:hAnsi="宋体"/>
                <w:sz w:val="24"/>
                <w:szCs w:val="24"/>
              </w:rPr>
            </w:pPr>
          </w:p>
        </w:tc>
        <w:tc>
          <w:tcPr>
            <w:tcW w:w="1276" w:type="dxa"/>
            <w:vAlign w:val="center"/>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pStyle w:val="5"/>
              <w:snapToGrid w:val="0"/>
              <w:spacing w:line="480" w:lineRule="exact"/>
              <w:ind w:left="196"/>
              <w:jc w:val="center"/>
              <w:rPr>
                <w:rFonts w:ascii="宋体" w:hAnsi="宋体"/>
                <w:sz w:val="24"/>
                <w:szCs w:val="24"/>
              </w:rPr>
            </w:pPr>
          </w:p>
        </w:tc>
        <w:tc>
          <w:tcPr>
            <w:tcW w:w="1707" w:type="dxa"/>
            <w:vAlign w:val="bottom"/>
          </w:tcPr>
          <w:p>
            <w:pPr>
              <w:pStyle w:val="5"/>
              <w:snapToGrid w:val="0"/>
              <w:spacing w:line="480" w:lineRule="exact"/>
              <w:ind w:left="196"/>
              <w:jc w:val="center"/>
              <w:rPr>
                <w:rFonts w:ascii="宋体" w:hAnsi="宋体"/>
                <w:sz w:val="24"/>
                <w:szCs w:val="24"/>
              </w:rPr>
            </w:pPr>
          </w:p>
        </w:tc>
        <w:tc>
          <w:tcPr>
            <w:tcW w:w="1727" w:type="dxa"/>
          </w:tcPr>
          <w:p>
            <w:pPr>
              <w:pStyle w:val="5"/>
              <w:snapToGrid w:val="0"/>
              <w:spacing w:line="480" w:lineRule="exact"/>
              <w:ind w:left="196"/>
              <w:jc w:val="center"/>
              <w:rPr>
                <w:rFonts w:ascii="宋体" w:hAnsi="宋体"/>
                <w:sz w:val="24"/>
                <w:szCs w:val="24"/>
              </w:rPr>
            </w:pPr>
          </w:p>
        </w:tc>
        <w:tc>
          <w:tcPr>
            <w:tcW w:w="1690" w:type="dxa"/>
          </w:tcPr>
          <w:p>
            <w:pPr>
              <w:pStyle w:val="5"/>
              <w:snapToGrid w:val="0"/>
              <w:spacing w:line="480" w:lineRule="exact"/>
              <w:ind w:left="196"/>
              <w:jc w:val="center"/>
              <w:rPr>
                <w:rFonts w:ascii="宋体" w:hAnsi="宋体"/>
                <w:sz w:val="24"/>
                <w:szCs w:val="24"/>
              </w:rPr>
            </w:pPr>
          </w:p>
        </w:tc>
        <w:tc>
          <w:tcPr>
            <w:tcW w:w="1287" w:type="dxa"/>
          </w:tcPr>
          <w:p>
            <w:pPr>
              <w:pStyle w:val="5"/>
              <w:snapToGrid w:val="0"/>
              <w:spacing w:line="480" w:lineRule="exact"/>
              <w:ind w:left="196"/>
              <w:jc w:val="center"/>
              <w:rPr>
                <w:rFonts w:ascii="宋体" w:hAnsi="宋体"/>
                <w:sz w:val="24"/>
                <w:szCs w:val="24"/>
              </w:rPr>
            </w:pPr>
          </w:p>
        </w:tc>
        <w:tc>
          <w:tcPr>
            <w:tcW w:w="1134" w:type="dxa"/>
          </w:tcPr>
          <w:p>
            <w:pPr>
              <w:pStyle w:val="5"/>
              <w:snapToGrid w:val="0"/>
              <w:spacing w:line="480" w:lineRule="exact"/>
              <w:ind w:left="196"/>
              <w:jc w:val="center"/>
              <w:rPr>
                <w:rFonts w:ascii="宋体" w:hAnsi="宋体"/>
                <w:sz w:val="24"/>
                <w:szCs w:val="24"/>
              </w:rPr>
            </w:pPr>
          </w:p>
        </w:tc>
        <w:tc>
          <w:tcPr>
            <w:tcW w:w="1276" w:type="dxa"/>
          </w:tcPr>
          <w:p>
            <w:pPr>
              <w:pStyle w:val="5"/>
              <w:snapToGrid w:val="0"/>
              <w:spacing w:line="480" w:lineRule="exact"/>
              <w:ind w:left="196"/>
              <w:jc w:val="center"/>
              <w:rPr>
                <w:rFonts w:ascii="宋体" w:hAnsi="宋体"/>
                <w:sz w:val="24"/>
                <w:szCs w:val="24"/>
              </w:rPr>
            </w:pPr>
          </w:p>
        </w:tc>
      </w:tr>
    </w:tbl>
    <w:p>
      <w:pPr>
        <w:widowControl/>
        <w:tabs>
          <w:tab w:val="left" w:pos="0"/>
        </w:tabs>
        <w:adjustRightInd w:val="0"/>
        <w:snapToGrid w:val="0"/>
        <w:spacing w:line="360" w:lineRule="auto"/>
        <w:rPr>
          <w:rFonts w:ascii="宋体" w:hAnsi="宋体"/>
          <w:sz w:val="24"/>
        </w:rPr>
      </w:pPr>
    </w:p>
    <w:p>
      <w:pPr>
        <w:pStyle w:val="2"/>
      </w:pPr>
    </w:p>
    <w:p>
      <w:pPr>
        <w:snapToGrid w:val="0"/>
        <w:spacing w:line="360" w:lineRule="auto"/>
        <w:ind w:firstLine="5640" w:firstLineChars="2350"/>
        <w:rPr>
          <w:rFonts w:ascii="宋体" w:hAnsi="宋体"/>
          <w:bCs/>
          <w:sz w:val="24"/>
        </w:rPr>
      </w:pPr>
      <w:r>
        <w:rPr>
          <w:rFonts w:hint="eastAsia" w:ascii="宋体" w:hAnsi="宋体"/>
          <w:bCs/>
          <w:sz w:val="24"/>
        </w:rPr>
        <w:t>供应商（公章）：</w:t>
      </w:r>
    </w:p>
    <w:p>
      <w:pPr>
        <w:pStyle w:val="2"/>
      </w:pPr>
    </w:p>
    <w:p>
      <w:pPr>
        <w:widowControl/>
        <w:snapToGrid w:val="0"/>
        <w:spacing w:line="360" w:lineRule="auto"/>
        <w:jc w:val="center"/>
        <w:rPr>
          <w:rFonts w:ascii="宋体" w:hAnsi="宋体"/>
          <w:bCs/>
          <w:sz w:val="24"/>
        </w:rPr>
      </w:pPr>
      <w:r>
        <w:rPr>
          <w:rFonts w:hint="eastAsia" w:ascii="宋体" w:hAnsi="宋体"/>
          <w:bCs/>
          <w:sz w:val="24"/>
        </w:rPr>
        <w:t xml:space="preserve">                                          法定代表人或授权代理人（签字或盖章）：</w:t>
      </w:r>
    </w:p>
    <w:p>
      <w:pPr>
        <w:pStyle w:val="2"/>
      </w:pPr>
    </w:p>
    <w:p>
      <w:pPr>
        <w:widowControl/>
        <w:snapToGrid w:val="0"/>
        <w:spacing w:line="360" w:lineRule="auto"/>
        <w:jc w:val="center"/>
        <w:rPr>
          <w:rFonts w:ascii="宋体" w:hAnsi="宋体"/>
          <w:bCs/>
          <w:sz w:val="24"/>
        </w:rPr>
      </w:pPr>
      <w:r>
        <w:rPr>
          <w:rFonts w:hint="eastAsia" w:ascii="宋体" w:hAnsi="宋体"/>
          <w:bCs/>
          <w:sz w:val="24"/>
        </w:rPr>
        <w:t xml:space="preserve">                      年     月     日</w:t>
      </w:r>
    </w:p>
    <w:p>
      <w:pPr>
        <w:spacing w:line="480" w:lineRule="exact"/>
        <w:ind w:left="196"/>
        <w:jc w:val="center"/>
        <w:rPr>
          <w:rFonts w:ascii="宋体" w:hAnsi="宋体"/>
          <w:sz w:val="24"/>
        </w:rPr>
      </w:pPr>
    </w:p>
    <w:p>
      <w:pPr>
        <w:pStyle w:val="6"/>
        <w:keepNext w:val="0"/>
        <w:keepLines w:val="0"/>
        <w:snapToGrid w:val="0"/>
        <w:spacing w:before="0" w:after="0" w:line="360" w:lineRule="auto"/>
        <w:jc w:val="center"/>
        <w:rPr>
          <w:rFonts w:ascii="宋体" w:hAnsi="宋体"/>
        </w:rPr>
      </w:pPr>
    </w:p>
    <w:p>
      <w:pPr>
        <w:pStyle w:val="6"/>
        <w:keepNext w:val="0"/>
        <w:keepLines w:val="0"/>
        <w:snapToGrid w:val="0"/>
        <w:spacing w:before="0" w:after="0" w:line="360" w:lineRule="auto"/>
        <w:jc w:val="center"/>
        <w:rPr>
          <w:rFonts w:ascii="宋体" w:hAnsi="宋体"/>
        </w:rPr>
      </w:pPr>
    </w:p>
    <w:p>
      <w:pPr>
        <w:pStyle w:val="5"/>
      </w:pPr>
    </w:p>
    <w:p>
      <w:pPr>
        <w:pStyle w:val="5"/>
      </w:pPr>
    </w:p>
    <w:p>
      <w:pPr>
        <w:pStyle w:val="5"/>
      </w:pPr>
    </w:p>
    <w:p>
      <w:pPr>
        <w:pStyle w:val="5"/>
      </w:pPr>
      <w:bookmarkStart w:id="253" w:name="_Toc496089699"/>
    </w:p>
    <w:p>
      <w:pPr>
        <w:pStyle w:val="6"/>
        <w:keepNext w:val="0"/>
        <w:keepLines w:val="0"/>
        <w:snapToGrid w:val="0"/>
        <w:spacing w:before="0" w:after="0" w:line="360" w:lineRule="auto"/>
        <w:jc w:val="center"/>
        <w:rPr>
          <w:rFonts w:ascii="宋体" w:hAnsi="宋体"/>
          <w:b w:val="0"/>
        </w:rPr>
      </w:pPr>
      <w:bookmarkStart w:id="254" w:name="_Toc50913270"/>
      <w:r>
        <w:rPr>
          <w:rFonts w:hint="eastAsia" w:ascii="宋体" w:hAnsi="宋体"/>
          <w:b w:val="0"/>
        </w:rPr>
        <w:t>其它商务要求资料</w:t>
      </w:r>
      <w:bookmarkEnd w:id="253"/>
      <w:bookmarkEnd w:id="254"/>
    </w:p>
    <w:p>
      <w:pPr>
        <w:pStyle w:val="5"/>
        <w:rPr>
          <w:rFonts w:ascii="宋体" w:hAnsi="宋体"/>
        </w:rPr>
      </w:pPr>
    </w:p>
    <w:p>
      <w:pPr>
        <w:widowControl/>
        <w:snapToGrid w:val="0"/>
        <w:spacing w:line="360" w:lineRule="auto"/>
        <w:ind w:firstLine="849" w:firstLineChars="354"/>
        <w:rPr>
          <w:rFonts w:ascii="宋体" w:hAnsi="宋体"/>
          <w:kern w:val="0"/>
          <w:sz w:val="24"/>
          <w:szCs w:val="20"/>
        </w:rPr>
      </w:pPr>
    </w:p>
    <w:p>
      <w:pPr>
        <w:snapToGrid w:val="0"/>
        <w:spacing w:line="360" w:lineRule="auto"/>
        <w:ind w:firstLine="840" w:firstLineChars="350"/>
        <w:rPr>
          <w:rFonts w:ascii="宋体" w:hAnsi="宋体"/>
          <w:kern w:val="0"/>
          <w:sz w:val="24"/>
          <w:szCs w:val="20"/>
        </w:rPr>
      </w:pPr>
      <w:r>
        <w:rPr>
          <w:rFonts w:hint="eastAsia" w:ascii="宋体" w:hAnsi="宋体"/>
          <w:kern w:val="0"/>
          <w:sz w:val="24"/>
          <w:szCs w:val="20"/>
        </w:rPr>
        <w:t>供应商认为需要提供的其他商务资料。</w:t>
      </w: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2"/>
        <w:rPr>
          <w:rFonts w:ascii="宋体" w:hAnsi="宋体"/>
          <w:b/>
          <w:sz w:val="32"/>
          <w:szCs w:val="20"/>
        </w:rPr>
      </w:pPr>
    </w:p>
    <w:p>
      <w:pPr>
        <w:snapToGrid w:val="0"/>
        <w:spacing w:line="360" w:lineRule="auto"/>
        <w:jc w:val="center"/>
        <w:outlineLvl w:val="1"/>
        <w:rPr>
          <w:rFonts w:ascii="宋体" w:hAnsi="宋体"/>
          <w:sz w:val="36"/>
        </w:rPr>
      </w:pPr>
      <w:bookmarkStart w:id="255" w:name="_Toc496089700"/>
    </w:p>
    <w:p>
      <w:pPr>
        <w:snapToGrid w:val="0"/>
        <w:spacing w:line="360" w:lineRule="auto"/>
        <w:jc w:val="center"/>
        <w:outlineLvl w:val="1"/>
        <w:rPr>
          <w:rFonts w:ascii="宋体" w:hAnsi="宋体"/>
          <w:sz w:val="36"/>
        </w:rPr>
      </w:pPr>
    </w:p>
    <w:p>
      <w:pPr>
        <w:snapToGrid w:val="0"/>
        <w:spacing w:line="360" w:lineRule="auto"/>
        <w:jc w:val="center"/>
        <w:outlineLvl w:val="1"/>
        <w:rPr>
          <w:rFonts w:ascii="宋体" w:hAnsi="宋体"/>
          <w:sz w:val="36"/>
        </w:rPr>
      </w:pPr>
    </w:p>
    <w:p>
      <w:pPr>
        <w:snapToGrid w:val="0"/>
        <w:spacing w:line="360" w:lineRule="auto"/>
        <w:jc w:val="center"/>
        <w:outlineLvl w:val="1"/>
        <w:rPr>
          <w:rFonts w:ascii="宋体" w:hAnsi="宋体"/>
          <w:sz w:val="36"/>
        </w:rPr>
      </w:pPr>
    </w:p>
    <w:p>
      <w:pPr>
        <w:snapToGrid w:val="0"/>
        <w:spacing w:line="360" w:lineRule="auto"/>
        <w:outlineLvl w:val="1"/>
        <w:rPr>
          <w:rFonts w:ascii="宋体" w:hAnsi="宋体"/>
          <w:sz w:val="36"/>
        </w:rPr>
      </w:pPr>
    </w:p>
    <w:bookmarkEnd w:id="255"/>
    <w:p>
      <w:pPr>
        <w:snapToGrid w:val="0"/>
        <w:spacing w:line="360" w:lineRule="auto"/>
        <w:jc w:val="center"/>
        <w:outlineLvl w:val="1"/>
        <w:rPr>
          <w:rFonts w:ascii="宋体" w:hAnsi="宋体"/>
          <w:sz w:val="36"/>
        </w:rPr>
      </w:pPr>
      <w:bookmarkStart w:id="256" w:name="_Toc496089704"/>
      <w:bookmarkStart w:id="257" w:name="_Toc50913274"/>
      <w:r>
        <w:rPr>
          <w:rFonts w:hint="eastAsia" w:ascii="宋体" w:hAnsi="宋体"/>
          <w:sz w:val="36"/>
        </w:rPr>
        <w:t>服务方案</w:t>
      </w:r>
      <w:bookmarkEnd w:id="256"/>
      <w:bookmarkEnd w:id="257"/>
      <w:r>
        <w:rPr>
          <w:rFonts w:hint="eastAsia" w:ascii="宋体" w:hAnsi="宋体"/>
          <w:sz w:val="36"/>
        </w:rPr>
        <w:t>（格式自拟）</w:t>
      </w:r>
    </w:p>
    <w:p>
      <w:pPr>
        <w:pStyle w:val="19"/>
        <w:widowControl/>
        <w:adjustRightInd w:val="0"/>
        <w:snapToGrid w:val="0"/>
        <w:spacing w:line="360" w:lineRule="auto"/>
        <w:rPr>
          <w:rFonts w:hAnsi="宋体"/>
          <w:bCs/>
          <w:sz w:val="24"/>
        </w:rPr>
      </w:pPr>
    </w:p>
    <w:p>
      <w:pPr>
        <w:widowControl/>
        <w:adjustRightInd w:val="0"/>
        <w:snapToGrid w:val="0"/>
        <w:spacing w:line="360" w:lineRule="auto"/>
        <w:rPr>
          <w:rFonts w:ascii="宋体" w:hAnsi="宋体"/>
          <w:bCs/>
          <w:color w:val="000000"/>
          <w:sz w:val="24"/>
        </w:rPr>
      </w:pPr>
      <w:r>
        <w:rPr>
          <w:rFonts w:hint="eastAsia" w:ascii="宋体" w:hAnsi="宋体"/>
          <w:sz w:val="24"/>
        </w:rPr>
        <w:t xml:space="preserve">项目名称：乌鲁木齐市雪莲小学多媒体黑板项目 </w:t>
      </w:r>
      <w:r>
        <w:rPr>
          <w:rFonts w:hint="eastAsia" w:ascii="宋体" w:hAnsi="宋体"/>
          <w:bCs/>
          <w:sz w:val="24"/>
        </w:rPr>
        <w:t xml:space="preserve">       </w:t>
      </w:r>
    </w:p>
    <w:p>
      <w:pPr>
        <w:pStyle w:val="5"/>
        <w:widowControl/>
        <w:snapToGrid w:val="0"/>
        <w:spacing w:line="360" w:lineRule="auto"/>
        <w:ind w:firstLine="0"/>
        <w:rPr>
          <w:rFonts w:ascii="宋体" w:hAnsi="宋体"/>
          <w:bCs/>
          <w:sz w:val="24"/>
        </w:rPr>
      </w:pPr>
      <w:r>
        <w:rPr>
          <w:rFonts w:hint="eastAsia" w:ascii="宋体" w:hAnsi="宋体"/>
          <w:bCs/>
          <w:sz w:val="24"/>
        </w:rPr>
        <w:t>供应商名称：</w:t>
      </w:r>
    </w:p>
    <w:p>
      <w:pPr>
        <w:adjustRightInd w:val="0"/>
        <w:snapToGrid w:val="0"/>
        <w:spacing w:line="480" w:lineRule="exact"/>
        <w:ind w:left="566"/>
        <w:rPr>
          <w:rFonts w:ascii="宋体" w:hAnsi="宋体"/>
          <w:sz w:val="24"/>
        </w:rPr>
      </w:pPr>
    </w:p>
    <w:p>
      <w:pPr>
        <w:pStyle w:val="2"/>
      </w:pPr>
    </w:p>
    <w:p>
      <w:pPr>
        <w:pStyle w:val="19"/>
        <w:widowControl/>
        <w:numPr>
          <w:ilvl w:val="0"/>
          <w:numId w:val="3"/>
        </w:numPr>
        <w:adjustRightInd w:val="0"/>
        <w:snapToGrid w:val="0"/>
        <w:spacing w:line="360" w:lineRule="auto"/>
        <w:rPr>
          <w:rFonts w:hAnsi="宋体"/>
          <w:bCs/>
          <w:sz w:val="24"/>
          <w:szCs w:val="24"/>
        </w:rPr>
      </w:pPr>
      <w:r>
        <w:rPr>
          <w:rFonts w:hint="eastAsia" w:hAnsi="宋体"/>
          <w:bCs/>
          <w:sz w:val="24"/>
          <w:szCs w:val="24"/>
        </w:rPr>
        <w:t>服务内容；</w:t>
      </w:r>
    </w:p>
    <w:p>
      <w:pPr>
        <w:pStyle w:val="19"/>
        <w:widowControl/>
        <w:numPr>
          <w:ilvl w:val="0"/>
          <w:numId w:val="3"/>
        </w:numPr>
        <w:adjustRightInd w:val="0"/>
        <w:snapToGrid w:val="0"/>
        <w:spacing w:line="360" w:lineRule="auto"/>
        <w:rPr>
          <w:rFonts w:hAnsi="宋体"/>
          <w:bCs/>
          <w:sz w:val="24"/>
          <w:szCs w:val="24"/>
        </w:rPr>
      </w:pPr>
      <w:r>
        <w:rPr>
          <w:rFonts w:hint="eastAsia" w:hAnsi="宋体"/>
          <w:bCs/>
          <w:sz w:val="24"/>
          <w:szCs w:val="24"/>
        </w:rPr>
        <w:t>服务方案</w:t>
      </w:r>
    </w:p>
    <w:p>
      <w:pPr>
        <w:pStyle w:val="19"/>
        <w:widowControl/>
        <w:numPr>
          <w:ilvl w:val="0"/>
          <w:numId w:val="3"/>
        </w:numPr>
        <w:adjustRightInd w:val="0"/>
        <w:snapToGrid w:val="0"/>
        <w:spacing w:line="360" w:lineRule="auto"/>
        <w:rPr>
          <w:rFonts w:hAnsi="宋体"/>
          <w:bCs/>
          <w:sz w:val="24"/>
          <w:szCs w:val="24"/>
        </w:rPr>
      </w:pPr>
      <w:r>
        <w:rPr>
          <w:rFonts w:hint="eastAsia" w:hAnsi="宋体"/>
          <w:bCs/>
          <w:sz w:val="24"/>
          <w:szCs w:val="24"/>
        </w:rPr>
        <w:t>优惠条件及承诺；</w:t>
      </w:r>
    </w:p>
    <w:p>
      <w:pPr>
        <w:pStyle w:val="19"/>
        <w:widowControl/>
        <w:adjustRightInd w:val="0"/>
        <w:snapToGrid w:val="0"/>
        <w:spacing w:line="360" w:lineRule="auto"/>
        <w:ind w:firstLine="944"/>
        <w:rPr>
          <w:rFonts w:hAnsi="宋体"/>
          <w:bCs/>
          <w:sz w:val="24"/>
          <w:szCs w:val="24"/>
        </w:rPr>
      </w:pPr>
      <w:r>
        <w:rPr>
          <w:rFonts w:hint="eastAsia" w:hAnsi="宋体"/>
          <w:bCs/>
          <w:sz w:val="24"/>
          <w:szCs w:val="24"/>
        </w:rPr>
        <w:t>4．其他说明。</w:t>
      </w: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pStyle w:val="19"/>
        <w:widowControl/>
        <w:adjustRightInd w:val="0"/>
        <w:snapToGrid w:val="0"/>
        <w:spacing w:line="360" w:lineRule="auto"/>
        <w:ind w:firstLine="944"/>
        <w:rPr>
          <w:rFonts w:hAnsi="宋体"/>
          <w:bCs/>
          <w:sz w:val="24"/>
          <w:szCs w:val="24"/>
        </w:rPr>
      </w:pPr>
    </w:p>
    <w:p>
      <w:pPr>
        <w:snapToGrid w:val="0"/>
        <w:spacing w:line="360" w:lineRule="auto"/>
        <w:ind w:firstLine="5760" w:firstLineChars="2400"/>
        <w:rPr>
          <w:rFonts w:ascii="宋体" w:hAnsi="宋体"/>
          <w:bCs/>
          <w:sz w:val="24"/>
        </w:rPr>
      </w:pPr>
      <w:r>
        <w:rPr>
          <w:rFonts w:hint="eastAsia" w:ascii="宋体" w:hAnsi="宋体"/>
          <w:bCs/>
          <w:sz w:val="24"/>
        </w:rPr>
        <w:t>供应商（公章）：</w:t>
      </w:r>
    </w:p>
    <w:p>
      <w:pPr>
        <w:pStyle w:val="2"/>
      </w:pPr>
    </w:p>
    <w:p>
      <w:pPr>
        <w:widowControl/>
        <w:snapToGrid w:val="0"/>
        <w:spacing w:line="360" w:lineRule="auto"/>
        <w:jc w:val="center"/>
        <w:rPr>
          <w:rFonts w:ascii="宋体" w:hAnsi="宋体"/>
          <w:bCs/>
          <w:sz w:val="24"/>
        </w:rPr>
      </w:pPr>
      <w:r>
        <w:rPr>
          <w:rFonts w:hint="eastAsia" w:ascii="宋体" w:hAnsi="宋体"/>
          <w:bCs/>
          <w:sz w:val="24"/>
        </w:rPr>
        <w:t xml:space="preserve">                                            法定代表人或授权代理人（</w:t>
      </w:r>
      <w:r>
        <w:rPr>
          <w:rFonts w:hint="eastAsia" w:ascii="宋体" w:hAnsi="宋体"/>
          <w:sz w:val="24"/>
        </w:rPr>
        <w:t>签字或盖章</w:t>
      </w:r>
      <w:r>
        <w:rPr>
          <w:rFonts w:hint="eastAsia" w:ascii="宋体" w:hAnsi="宋体"/>
          <w:bCs/>
          <w:sz w:val="24"/>
        </w:rPr>
        <w:t>）：</w:t>
      </w:r>
    </w:p>
    <w:p>
      <w:pPr>
        <w:widowControl/>
        <w:snapToGrid w:val="0"/>
        <w:spacing w:line="360" w:lineRule="auto"/>
        <w:jc w:val="center"/>
        <w:rPr>
          <w:rFonts w:ascii="宋体" w:hAnsi="宋体"/>
          <w:bCs/>
          <w:sz w:val="24"/>
        </w:rPr>
      </w:pPr>
      <w:r>
        <w:rPr>
          <w:rFonts w:hint="eastAsia" w:ascii="宋体" w:hAnsi="宋体"/>
          <w:bCs/>
          <w:sz w:val="24"/>
        </w:rPr>
        <w:t xml:space="preserve">           </w:t>
      </w:r>
    </w:p>
    <w:p>
      <w:pPr>
        <w:widowControl/>
        <w:snapToGrid w:val="0"/>
        <w:spacing w:line="360" w:lineRule="auto"/>
        <w:jc w:val="center"/>
        <w:rPr>
          <w:rFonts w:ascii="宋体" w:hAnsi="宋体"/>
          <w:bCs/>
          <w:sz w:val="24"/>
        </w:rPr>
      </w:pPr>
      <w:r>
        <w:rPr>
          <w:rFonts w:hint="eastAsia" w:ascii="宋体" w:hAnsi="宋体"/>
          <w:bCs/>
          <w:sz w:val="24"/>
        </w:rPr>
        <w:t xml:space="preserve">                          年     月     日</w:t>
      </w:r>
    </w:p>
    <w:p>
      <w:pPr>
        <w:widowControl/>
        <w:snapToGrid w:val="0"/>
        <w:spacing w:line="360" w:lineRule="auto"/>
        <w:rPr>
          <w:rFonts w:ascii="宋体" w:hAnsi="宋体"/>
          <w:bCs/>
          <w:sz w:val="24"/>
        </w:rPr>
      </w:pPr>
    </w:p>
    <w:p>
      <w:pPr>
        <w:widowControl/>
        <w:snapToGrid w:val="0"/>
        <w:spacing w:line="360" w:lineRule="auto"/>
        <w:rPr>
          <w:rFonts w:ascii="宋体" w:hAnsi="宋体"/>
          <w:bCs/>
          <w:sz w:val="24"/>
        </w:rPr>
      </w:pPr>
    </w:p>
    <w:p>
      <w:pPr>
        <w:widowControl/>
        <w:snapToGrid w:val="0"/>
        <w:spacing w:line="360" w:lineRule="auto"/>
        <w:rPr>
          <w:rFonts w:ascii="宋体" w:hAnsi="宋体"/>
          <w:bCs/>
          <w:sz w:val="24"/>
        </w:rPr>
      </w:pPr>
    </w:p>
    <w:p>
      <w:pPr>
        <w:pStyle w:val="3"/>
        <w:keepNext w:val="0"/>
        <w:snapToGrid w:val="0"/>
        <w:spacing w:line="360" w:lineRule="auto"/>
        <w:rPr>
          <w:rFonts w:ascii="宋体" w:hAnsi="宋体" w:eastAsia="宋体"/>
          <w:bCs/>
          <w:szCs w:val="21"/>
        </w:rPr>
      </w:pPr>
    </w:p>
    <w:sectPr>
      <w:headerReference r:id="rId3" w:type="default"/>
      <w:footerReference r:id="rId4" w:type="default"/>
      <w:footerReference r:id="rId5" w:type="even"/>
      <w:pgSz w:w="11907" w:h="16840"/>
      <w:pgMar w:top="720" w:right="720" w:bottom="720" w:left="720"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华康简标题宋">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3"/>
      </w:rPr>
    </w:pPr>
    <w:r>
      <w:fldChar w:fldCharType="begin"/>
    </w:r>
    <w:r>
      <w:rPr>
        <w:rStyle w:val="43"/>
      </w:rPr>
      <w:instrText xml:space="preserve">Page</w:instrText>
    </w:r>
    <w:r>
      <w:fldChar w:fldCharType="separate"/>
    </w:r>
    <w:r>
      <w:rPr>
        <w:rStyle w:val="43"/>
      </w:rPr>
      <w:t>50</w:t>
    </w:r>
    <w:r>
      <w:fldChar w:fldCharType="end"/>
    </w:r>
  </w:p>
  <w:p>
    <w:pPr>
      <w:pStyle w:val="24"/>
      <w:jc w:val="center"/>
      <w:rPr>
        <w:b/>
        <w:i/>
      </w:rPr>
    </w:pPr>
    <w:r>
      <w:rPr>
        <w:b/>
        <w:i/>
        <w:vanish/>
        <w:kern w:val="0"/>
        <w:sz w:val="20"/>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3"/>
      </w:rPr>
    </w:pPr>
    <w:r>
      <w:fldChar w:fldCharType="begin"/>
    </w:r>
    <w:r>
      <w:rPr>
        <w:rStyle w:val="43"/>
      </w:rPr>
      <w:instrText xml:space="preserve">Page</w:instrText>
    </w:r>
    <w:r>
      <w:fldChar w:fldCharType="separate"/>
    </w:r>
    <w:r>
      <w:rPr>
        <w:rStyle w:val="43"/>
      </w:rPr>
      <w:t>0</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3565"/>
        <w:tab w:val="clear" w:pos="4153"/>
        <w:tab w:val="clear" w:pos="8306"/>
      </w:tabs>
      <w:jc w:val="both"/>
      <w:rPr>
        <w:color w:val="000000"/>
      </w:rPr>
    </w:pPr>
    <w:r>
      <w:rPr>
        <w:rFonts w:hint="eastAsia"/>
        <w:color w:val="00000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558BE"/>
    <w:multiLevelType w:val="multilevel"/>
    <w:tmpl w:val="8AF558BE"/>
    <w:lvl w:ilvl="0" w:tentative="0">
      <w:start w:val="1"/>
      <w:numFmt w:val="decimal"/>
      <w:lvlText w:val="%1."/>
      <w:lvlJc w:val="left"/>
      <w:pPr>
        <w:tabs>
          <w:tab w:val="left" w:pos="1304"/>
        </w:tabs>
        <w:ind w:left="1304" w:hanging="360"/>
      </w:pPr>
    </w:lvl>
    <w:lvl w:ilvl="1" w:tentative="0">
      <w:start w:val="1"/>
      <w:numFmt w:val="lowerLetter"/>
      <w:lvlText w:val="%2)"/>
      <w:lvlJc w:val="left"/>
      <w:pPr>
        <w:tabs>
          <w:tab w:val="left" w:pos="1784"/>
        </w:tabs>
        <w:ind w:left="1784" w:hanging="420"/>
      </w:pPr>
    </w:lvl>
    <w:lvl w:ilvl="2" w:tentative="0">
      <w:start w:val="1"/>
      <w:numFmt w:val="lowerRoman"/>
      <w:lvlText w:val="%3."/>
      <w:lvlJc w:val="right"/>
      <w:pPr>
        <w:tabs>
          <w:tab w:val="left" w:pos="2204"/>
        </w:tabs>
        <w:ind w:left="2204" w:hanging="420"/>
      </w:pPr>
    </w:lvl>
    <w:lvl w:ilvl="3" w:tentative="0">
      <w:start w:val="1"/>
      <w:numFmt w:val="decimal"/>
      <w:lvlText w:val="%4."/>
      <w:lvlJc w:val="left"/>
      <w:pPr>
        <w:tabs>
          <w:tab w:val="left" w:pos="2624"/>
        </w:tabs>
        <w:ind w:left="2624" w:hanging="420"/>
      </w:pPr>
    </w:lvl>
    <w:lvl w:ilvl="4" w:tentative="0">
      <w:start w:val="1"/>
      <w:numFmt w:val="lowerLetter"/>
      <w:lvlText w:val="%5)"/>
      <w:lvlJc w:val="left"/>
      <w:pPr>
        <w:tabs>
          <w:tab w:val="left" w:pos="3044"/>
        </w:tabs>
        <w:ind w:left="3044" w:hanging="420"/>
      </w:pPr>
    </w:lvl>
    <w:lvl w:ilvl="5" w:tentative="0">
      <w:start w:val="1"/>
      <w:numFmt w:val="lowerRoman"/>
      <w:lvlText w:val="%6."/>
      <w:lvlJc w:val="right"/>
      <w:pPr>
        <w:tabs>
          <w:tab w:val="left" w:pos="3464"/>
        </w:tabs>
        <w:ind w:left="3464" w:hanging="420"/>
      </w:pPr>
    </w:lvl>
    <w:lvl w:ilvl="6" w:tentative="0">
      <w:start w:val="1"/>
      <w:numFmt w:val="decimal"/>
      <w:lvlText w:val="%7."/>
      <w:lvlJc w:val="left"/>
      <w:pPr>
        <w:tabs>
          <w:tab w:val="left" w:pos="3884"/>
        </w:tabs>
        <w:ind w:left="3884" w:hanging="420"/>
      </w:pPr>
    </w:lvl>
    <w:lvl w:ilvl="7" w:tentative="0">
      <w:start w:val="1"/>
      <w:numFmt w:val="lowerLetter"/>
      <w:lvlText w:val="%8)"/>
      <w:lvlJc w:val="left"/>
      <w:pPr>
        <w:tabs>
          <w:tab w:val="left" w:pos="4304"/>
        </w:tabs>
        <w:ind w:left="4304" w:hanging="420"/>
      </w:pPr>
    </w:lvl>
    <w:lvl w:ilvl="8" w:tentative="0">
      <w:start w:val="1"/>
      <w:numFmt w:val="lowerRoman"/>
      <w:lvlText w:val="%9."/>
      <w:lvlJc w:val="right"/>
      <w:pPr>
        <w:tabs>
          <w:tab w:val="left" w:pos="4724"/>
        </w:tabs>
        <w:ind w:left="4724" w:hanging="420"/>
      </w:pPr>
    </w:lvl>
  </w:abstractNum>
  <w:abstractNum w:abstractNumId="1">
    <w:nsid w:val="08060A86"/>
    <w:multiLevelType w:val="multilevel"/>
    <w:tmpl w:val="08060A86"/>
    <w:lvl w:ilvl="0" w:tentative="0">
      <w:start w:val="4"/>
      <w:numFmt w:val="japaneseCounting"/>
      <w:lvlText w:val="（%1）"/>
      <w:lvlJc w:val="left"/>
      <w:pPr>
        <w:ind w:left="960" w:hanging="720"/>
      </w:pPr>
      <w:rPr>
        <w:rFonts w:hint="default"/>
        <w:lang w:val="en-US"/>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193C42F8"/>
    <w:multiLevelType w:val="multilevel"/>
    <w:tmpl w:val="193C42F8"/>
    <w:lvl w:ilvl="0" w:tentative="0">
      <w:start w:val="1"/>
      <w:numFmt w:val="decimal"/>
      <w:lvlText w:val="%1）"/>
      <w:lvlJc w:val="left"/>
      <w:pPr>
        <w:ind w:left="1438" w:hanging="360"/>
      </w:pPr>
    </w:lvl>
    <w:lvl w:ilvl="1" w:tentative="0">
      <w:start w:val="1"/>
      <w:numFmt w:val="lowerLetter"/>
      <w:lvlText w:val="%2)"/>
      <w:lvlJc w:val="left"/>
      <w:pPr>
        <w:ind w:left="1918" w:hanging="420"/>
      </w:pPr>
    </w:lvl>
    <w:lvl w:ilvl="2" w:tentative="0">
      <w:start w:val="1"/>
      <w:numFmt w:val="lowerRoman"/>
      <w:lvlText w:val="%3."/>
      <w:lvlJc w:val="right"/>
      <w:pPr>
        <w:ind w:left="2338" w:hanging="420"/>
      </w:pPr>
    </w:lvl>
    <w:lvl w:ilvl="3" w:tentative="0">
      <w:start w:val="1"/>
      <w:numFmt w:val="decimal"/>
      <w:lvlText w:val="%4."/>
      <w:lvlJc w:val="left"/>
      <w:pPr>
        <w:ind w:left="2758" w:hanging="420"/>
      </w:pPr>
    </w:lvl>
    <w:lvl w:ilvl="4" w:tentative="0">
      <w:start w:val="1"/>
      <w:numFmt w:val="lowerLetter"/>
      <w:lvlText w:val="%5)"/>
      <w:lvlJc w:val="left"/>
      <w:pPr>
        <w:ind w:left="3178" w:hanging="420"/>
      </w:pPr>
    </w:lvl>
    <w:lvl w:ilvl="5" w:tentative="0">
      <w:start w:val="1"/>
      <w:numFmt w:val="lowerRoman"/>
      <w:lvlText w:val="%6."/>
      <w:lvlJc w:val="right"/>
      <w:pPr>
        <w:ind w:left="3598" w:hanging="420"/>
      </w:pPr>
    </w:lvl>
    <w:lvl w:ilvl="6" w:tentative="0">
      <w:start w:val="1"/>
      <w:numFmt w:val="decimal"/>
      <w:lvlText w:val="%7."/>
      <w:lvlJc w:val="left"/>
      <w:pPr>
        <w:ind w:left="4018" w:hanging="420"/>
      </w:pPr>
    </w:lvl>
    <w:lvl w:ilvl="7" w:tentative="0">
      <w:start w:val="1"/>
      <w:numFmt w:val="lowerLetter"/>
      <w:lvlText w:val="%8)"/>
      <w:lvlJc w:val="left"/>
      <w:pPr>
        <w:ind w:left="4438" w:hanging="420"/>
      </w:pPr>
    </w:lvl>
    <w:lvl w:ilvl="8" w:tentative="0">
      <w:start w:val="1"/>
      <w:numFmt w:val="lowerRoman"/>
      <w:lvlText w:val="%9."/>
      <w:lvlJc w:val="right"/>
      <w:pPr>
        <w:ind w:left="4858"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2I5NzlmMzE1M2I0ZDdiNzEzNGRjMGNmMzUyNDUifQ=="/>
  </w:docVars>
  <w:rsids>
    <w:rsidRoot w:val="00722B4C"/>
    <w:rsid w:val="00000D45"/>
    <w:rsid w:val="00005740"/>
    <w:rsid w:val="00006240"/>
    <w:rsid w:val="000407C8"/>
    <w:rsid w:val="00073C8C"/>
    <w:rsid w:val="00086461"/>
    <w:rsid w:val="00093F72"/>
    <w:rsid w:val="00097316"/>
    <w:rsid w:val="000A0CC5"/>
    <w:rsid w:val="000A4823"/>
    <w:rsid w:val="000D2CEB"/>
    <w:rsid w:val="000E31FC"/>
    <w:rsid w:val="000F78F7"/>
    <w:rsid w:val="001029B7"/>
    <w:rsid w:val="00105E6B"/>
    <w:rsid w:val="00123E43"/>
    <w:rsid w:val="0012711F"/>
    <w:rsid w:val="001310F5"/>
    <w:rsid w:val="0013793C"/>
    <w:rsid w:val="00142002"/>
    <w:rsid w:val="001554A9"/>
    <w:rsid w:val="001570DE"/>
    <w:rsid w:val="001579A8"/>
    <w:rsid w:val="00163030"/>
    <w:rsid w:val="00171C8F"/>
    <w:rsid w:val="00176924"/>
    <w:rsid w:val="00181D91"/>
    <w:rsid w:val="001B319F"/>
    <w:rsid w:val="001C734C"/>
    <w:rsid w:val="001C7759"/>
    <w:rsid w:val="001D3265"/>
    <w:rsid w:val="001D7D1A"/>
    <w:rsid w:val="001F0E55"/>
    <w:rsid w:val="00221225"/>
    <w:rsid w:val="002222AE"/>
    <w:rsid w:val="002315D9"/>
    <w:rsid w:val="00240760"/>
    <w:rsid w:val="00261667"/>
    <w:rsid w:val="002642FD"/>
    <w:rsid w:val="00271A50"/>
    <w:rsid w:val="00292C32"/>
    <w:rsid w:val="002A4EDD"/>
    <w:rsid w:val="002C077C"/>
    <w:rsid w:val="002C2065"/>
    <w:rsid w:val="002D340A"/>
    <w:rsid w:val="002D4714"/>
    <w:rsid w:val="002E2BFA"/>
    <w:rsid w:val="002F41A8"/>
    <w:rsid w:val="002F61EB"/>
    <w:rsid w:val="00313FB4"/>
    <w:rsid w:val="00317647"/>
    <w:rsid w:val="00331D52"/>
    <w:rsid w:val="00332EC7"/>
    <w:rsid w:val="00344590"/>
    <w:rsid w:val="00354153"/>
    <w:rsid w:val="00375902"/>
    <w:rsid w:val="00384324"/>
    <w:rsid w:val="003877B6"/>
    <w:rsid w:val="00387F36"/>
    <w:rsid w:val="003943B1"/>
    <w:rsid w:val="0039580A"/>
    <w:rsid w:val="003B1F8A"/>
    <w:rsid w:val="003B41FA"/>
    <w:rsid w:val="003B4844"/>
    <w:rsid w:val="003C107E"/>
    <w:rsid w:val="003C7BD8"/>
    <w:rsid w:val="003D7BC1"/>
    <w:rsid w:val="003E060A"/>
    <w:rsid w:val="003F4274"/>
    <w:rsid w:val="00411706"/>
    <w:rsid w:val="00414029"/>
    <w:rsid w:val="00427033"/>
    <w:rsid w:val="00430E1C"/>
    <w:rsid w:val="00441DF1"/>
    <w:rsid w:val="0044480C"/>
    <w:rsid w:val="004448B0"/>
    <w:rsid w:val="00464388"/>
    <w:rsid w:val="00465D5F"/>
    <w:rsid w:val="00474697"/>
    <w:rsid w:val="00477C35"/>
    <w:rsid w:val="00481377"/>
    <w:rsid w:val="004835EE"/>
    <w:rsid w:val="0048665E"/>
    <w:rsid w:val="004A0A14"/>
    <w:rsid w:val="004A49CA"/>
    <w:rsid w:val="004A6680"/>
    <w:rsid w:val="004B5275"/>
    <w:rsid w:val="004B6ABD"/>
    <w:rsid w:val="004E5153"/>
    <w:rsid w:val="004E5991"/>
    <w:rsid w:val="004E5CD6"/>
    <w:rsid w:val="004F2A86"/>
    <w:rsid w:val="005057D3"/>
    <w:rsid w:val="00513DA5"/>
    <w:rsid w:val="00541E5F"/>
    <w:rsid w:val="00543966"/>
    <w:rsid w:val="00546215"/>
    <w:rsid w:val="00564218"/>
    <w:rsid w:val="00571B56"/>
    <w:rsid w:val="00597B1E"/>
    <w:rsid w:val="005B5B7A"/>
    <w:rsid w:val="005C0B11"/>
    <w:rsid w:val="005C290E"/>
    <w:rsid w:val="005D0165"/>
    <w:rsid w:val="005D7117"/>
    <w:rsid w:val="005E6B0C"/>
    <w:rsid w:val="005E6D5B"/>
    <w:rsid w:val="005F18A4"/>
    <w:rsid w:val="006234DA"/>
    <w:rsid w:val="006251C6"/>
    <w:rsid w:val="00626947"/>
    <w:rsid w:val="00626EBC"/>
    <w:rsid w:val="00631B67"/>
    <w:rsid w:val="00631E86"/>
    <w:rsid w:val="00646D36"/>
    <w:rsid w:val="00646F5F"/>
    <w:rsid w:val="00651E3D"/>
    <w:rsid w:val="006521C7"/>
    <w:rsid w:val="00660FF2"/>
    <w:rsid w:val="0066687B"/>
    <w:rsid w:val="00680487"/>
    <w:rsid w:val="00686903"/>
    <w:rsid w:val="00693394"/>
    <w:rsid w:val="00697344"/>
    <w:rsid w:val="006A01D4"/>
    <w:rsid w:val="006A08D0"/>
    <w:rsid w:val="006A7D4F"/>
    <w:rsid w:val="006B5F4E"/>
    <w:rsid w:val="006C0AB2"/>
    <w:rsid w:val="006C538C"/>
    <w:rsid w:val="006E17CC"/>
    <w:rsid w:val="006E6942"/>
    <w:rsid w:val="006F1CC5"/>
    <w:rsid w:val="007013A2"/>
    <w:rsid w:val="0070208A"/>
    <w:rsid w:val="0071669D"/>
    <w:rsid w:val="00722B4C"/>
    <w:rsid w:val="00723653"/>
    <w:rsid w:val="0073050D"/>
    <w:rsid w:val="00740FE8"/>
    <w:rsid w:val="007423CC"/>
    <w:rsid w:val="00757A96"/>
    <w:rsid w:val="007628A3"/>
    <w:rsid w:val="00765D9A"/>
    <w:rsid w:val="00767BC0"/>
    <w:rsid w:val="00774761"/>
    <w:rsid w:val="0077609B"/>
    <w:rsid w:val="00784813"/>
    <w:rsid w:val="00786239"/>
    <w:rsid w:val="007B7205"/>
    <w:rsid w:val="007C02EF"/>
    <w:rsid w:val="007C0440"/>
    <w:rsid w:val="007C059A"/>
    <w:rsid w:val="007C43E2"/>
    <w:rsid w:val="007D171A"/>
    <w:rsid w:val="007D1918"/>
    <w:rsid w:val="007D42E4"/>
    <w:rsid w:val="007F7CBA"/>
    <w:rsid w:val="0080207E"/>
    <w:rsid w:val="0080438E"/>
    <w:rsid w:val="008242DB"/>
    <w:rsid w:val="00824E9D"/>
    <w:rsid w:val="008520D6"/>
    <w:rsid w:val="00863E54"/>
    <w:rsid w:val="00877B9D"/>
    <w:rsid w:val="0088704F"/>
    <w:rsid w:val="00892A3F"/>
    <w:rsid w:val="00893EAB"/>
    <w:rsid w:val="008A1E7C"/>
    <w:rsid w:val="008B0FDC"/>
    <w:rsid w:val="008C6BE8"/>
    <w:rsid w:val="008D1D6E"/>
    <w:rsid w:val="008D5A42"/>
    <w:rsid w:val="008E3A8E"/>
    <w:rsid w:val="008E4E45"/>
    <w:rsid w:val="008E61D1"/>
    <w:rsid w:val="008E6275"/>
    <w:rsid w:val="008E7B78"/>
    <w:rsid w:val="0090024D"/>
    <w:rsid w:val="00911DE5"/>
    <w:rsid w:val="00914DEF"/>
    <w:rsid w:val="009162DF"/>
    <w:rsid w:val="00920A63"/>
    <w:rsid w:val="0093401D"/>
    <w:rsid w:val="00953130"/>
    <w:rsid w:val="00961715"/>
    <w:rsid w:val="00967A01"/>
    <w:rsid w:val="00990D63"/>
    <w:rsid w:val="00994686"/>
    <w:rsid w:val="009954C2"/>
    <w:rsid w:val="009B57B0"/>
    <w:rsid w:val="009B7665"/>
    <w:rsid w:val="009C2EF8"/>
    <w:rsid w:val="009C5369"/>
    <w:rsid w:val="009C7712"/>
    <w:rsid w:val="009D7259"/>
    <w:rsid w:val="009F00BC"/>
    <w:rsid w:val="009F25CF"/>
    <w:rsid w:val="00A168F9"/>
    <w:rsid w:val="00A25C2F"/>
    <w:rsid w:val="00A26654"/>
    <w:rsid w:val="00A337AC"/>
    <w:rsid w:val="00A37D4B"/>
    <w:rsid w:val="00A54AAB"/>
    <w:rsid w:val="00A613E0"/>
    <w:rsid w:val="00A64CB8"/>
    <w:rsid w:val="00A66D6E"/>
    <w:rsid w:val="00A70661"/>
    <w:rsid w:val="00A73414"/>
    <w:rsid w:val="00A841DA"/>
    <w:rsid w:val="00A9224B"/>
    <w:rsid w:val="00AA3C50"/>
    <w:rsid w:val="00AB4ED6"/>
    <w:rsid w:val="00AD3B2F"/>
    <w:rsid w:val="00AD4667"/>
    <w:rsid w:val="00AE0A83"/>
    <w:rsid w:val="00AE5378"/>
    <w:rsid w:val="00B00002"/>
    <w:rsid w:val="00B111A5"/>
    <w:rsid w:val="00B2053C"/>
    <w:rsid w:val="00B22A6C"/>
    <w:rsid w:val="00B56984"/>
    <w:rsid w:val="00B66C02"/>
    <w:rsid w:val="00BC35C2"/>
    <w:rsid w:val="00BC7829"/>
    <w:rsid w:val="00C01EC1"/>
    <w:rsid w:val="00C34A06"/>
    <w:rsid w:val="00C364D4"/>
    <w:rsid w:val="00C55EF7"/>
    <w:rsid w:val="00C65B52"/>
    <w:rsid w:val="00C7328C"/>
    <w:rsid w:val="00C74D93"/>
    <w:rsid w:val="00C77DBA"/>
    <w:rsid w:val="00C84016"/>
    <w:rsid w:val="00C84923"/>
    <w:rsid w:val="00CB36F1"/>
    <w:rsid w:val="00CB58FE"/>
    <w:rsid w:val="00CC3420"/>
    <w:rsid w:val="00CD56F3"/>
    <w:rsid w:val="00CD6341"/>
    <w:rsid w:val="00D04987"/>
    <w:rsid w:val="00D147BC"/>
    <w:rsid w:val="00D169FD"/>
    <w:rsid w:val="00D20644"/>
    <w:rsid w:val="00D233DC"/>
    <w:rsid w:val="00D31A2C"/>
    <w:rsid w:val="00D32E26"/>
    <w:rsid w:val="00D400C0"/>
    <w:rsid w:val="00D406FE"/>
    <w:rsid w:val="00D4131A"/>
    <w:rsid w:val="00D55404"/>
    <w:rsid w:val="00D555DF"/>
    <w:rsid w:val="00D55F14"/>
    <w:rsid w:val="00D832A9"/>
    <w:rsid w:val="00D97E80"/>
    <w:rsid w:val="00DA14AC"/>
    <w:rsid w:val="00DA5B3C"/>
    <w:rsid w:val="00DD1977"/>
    <w:rsid w:val="00DD3228"/>
    <w:rsid w:val="00DE69B3"/>
    <w:rsid w:val="00DE7F5A"/>
    <w:rsid w:val="00DF60E9"/>
    <w:rsid w:val="00E1110C"/>
    <w:rsid w:val="00E13A8B"/>
    <w:rsid w:val="00E1417C"/>
    <w:rsid w:val="00E14898"/>
    <w:rsid w:val="00E552A9"/>
    <w:rsid w:val="00E650C6"/>
    <w:rsid w:val="00E74627"/>
    <w:rsid w:val="00EA0B3D"/>
    <w:rsid w:val="00EB2860"/>
    <w:rsid w:val="00EB4423"/>
    <w:rsid w:val="00EB61C9"/>
    <w:rsid w:val="00EC12A5"/>
    <w:rsid w:val="00ED62D3"/>
    <w:rsid w:val="00EE426B"/>
    <w:rsid w:val="00EF0495"/>
    <w:rsid w:val="00F04C7F"/>
    <w:rsid w:val="00F14BBE"/>
    <w:rsid w:val="00F162AD"/>
    <w:rsid w:val="00F41493"/>
    <w:rsid w:val="00F42AAF"/>
    <w:rsid w:val="00F42AF1"/>
    <w:rsid w:val="00F46A76"/>
    <w:rsid w:val="00F50F30"/>
    <w:rsid w:val="00F5455D"/>
    <w:rsid w:val="00F6177A"/>
    <w:rsid w:val="00F62C8F"/>
    <w:rsid w:val="00F73EA4"/>
    <w:rsid w:val="00F76AEC"/>
    <w:rsid w:val="00FA0D4F"/>
    <w:rsid w:val="00FC17D0"/>
    <w:rsid w:val="00FC53D7"/>
    <w:rsid w:val="00FD3376"/>
    <w:rsid w:val="00FD4606"/>
    <w:rsid w:val="00FE4510"/>
    <w:rsid w:val="02124B00"/>
    <w:rsid w:val="0F3340DC"/>
    <w:rsid w:val="122D3EEC"/>
    <w:rsid w:val="13816483"/>
    <w:rsid w:val="17BE19B3"/>
    <w:rsid w:val="17F353DA"/>
    <w:rsid w:val="190A1374"/>
    <w:rsid w:val="1FF40773"/>
    <w:rsid w:val="28523E60"/>
    <w:rsid w:val="2C914458"/>
    <w:rsid w:val="2E4A2989"/>
    <w:rsid w:val="344239C8"/>
    <w:rsid w:val="47852CF4"/>
    <w:rsid w:val="48765A94"/>
    <w:rsid w:val="4D726D08"/>
    <w:rsid w:val="4E732659"/>
    <w:rsid w:val="54D73CF1"/>
    <w:rsid w:val="57314784"/>
    <w:rsid w:val="5B4624C0"/>
    <w:rsid w:val="69215C68"/>
    <w:rsid w:val="6DF570C2"/>
    <w:rsid w:val="73D048DB"/>
    <w:rsid w:val="FFDFFA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semiHidden="0"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0"/>
    <w:qFormat/>
    <w:uiPriority w:val="0"/>
    <w:pPr>
      <w:keepNext/>
      <w:outlineLvl w:val="0"/>
    </w:pPr>
    <w:rPr>
      <w:rFonts w:ascii="楷体_GB2312" w:eastAsia="楷体_GB2312"/>
      <w:sz w:val="28"/>
      <w:szCs w:val="20"/>
    </w:rPr>
  </w:style>
  <w:style w:type="paragraph" w:styleId="4">
    <w:name w:val="heading 2"/>
    <w:basedOn w:val="1"/>
    <w:next w:val="5"/>
    <w:link w:val="51"/>
    <w:qFormat/>
    <w:uiPriority w:val="0"/>
    <w:pPr>
      <w:keepNext/>
      <w:keepLines/>
      <w:spacing w:before="260" w:after="260" w:line="415" w:lineRule="auto"/>
      <w:jc w:val="center"/>
      <w:outlineLvl w:val="1"/>
    </w:pPr>
    <w:rPr>
      <w:rFonts w:ascii="Arial" w:hAnsi="Arial" w:eastAsia="幼圆"/>
      <w:b/>
      <w:sz w:val="44"/>
      <w:szCs w:val="20"/>
    </w:rPr>
  </w:style>
  <w:style w:type="paragraph" w:styleId="6">
    <w:name w:val="heading 3"/>
    <w:basedOn w:val="1"/>
    <w:next w:val="5"/>
    <w:link w:val="52"/>
    <w:qFormat/>
    <w:uiPriority w:val="0"/>
    <w:pPr>
      <w:keepNext/>
      <w:keepLines/>
      <w:spacing w:before="260" w:after="260" w:line="415" w:lineRule="auto"/>
      <w:outlineLvl w:val="2"/>
    </w:pPr>
    <w:rPr>
      <w:b/>
      <w:sz w:val="32"/>
      <w:szCs w:val="20"/>
    </w:rPr>
  </w:style>
  <w:style w:type="paragraph" w:styleId="7">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4"/>
    <w:qFormat/>
    <w:uiPriority w:val="0"/>
    <w:pPr>
      <w:keepNext/>
      <w:keepLines/>
      <w:spacing w:before="280" w:after="290" w:line="376" w:lineRule="auto"/>
      <w:outlineLvl w:val="4"/>
    </w:pPr>
    <w:rPr>
      <w:b/>
      <w:bCs/>
      <w:sz w:val="28"/>
      <w:szCs w:val="28"/>
    </w:rPr>
  </w:style>
  <w:style w:type="character" w:default="1" w:styleId="41">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2">
    <w:name w:val="Body Text 2"/>
    <w:basedOn w:val="1"/>
    <w:link w:val="70"/>
    <w:qFormat/>
    <w:uiPriority w:val="0"/>
    <w:pPr>
      <w:spacing w:line="0" w:lineRule="atLeast"/>
      <w:jc w:val="center"/>
    </w:pPr>
    <w:rPr>
      <w:rFonts w:ascii="仿宋_GB2312" w:eastAsia="仿宋_GB2312"/>
      <w:sz w:val="44"/>
    </w:rPr>
  </w:style>
  <w:style w:type="paragraph" w:styleId="5">
    <w:name w:val="Normal Indent"/>
    <w:basedOn w:val="1"/>
    <w:qFormat/>
    <w:uiPriority w:val="0"/>
    <w:pPr>
      <w:ind w:firstLine="420"/>
    </w:pPr>
    <w:rPr>
      <w:szCs w:val="20"/>
    </w:rPr>
  </w:style>
  <w:style w:type="paragraph" w:styleId="9">
    <w:name w:val="toc 7"/>
    <w:next w:val="1"/>
    <w:qFormat/>
    <w:uiPriority w:val="39"/>
    <w:pPr>
      <w:ind w:left="1050"/>
    </w:pPr>
    <w:rPr>
      <w:rFonts w:ascii="Calibri" w:hAnsi="Calibri" w:eastAsia="宋体" w:cs="Times New Roman"/>
      <w:lang w:val="en-US" w:eastAsia="zh-CN" w:bidi="ar-SA"/>
    </w:rPr>
  </w:style>
  <w:style w:type="paragraph" w:styleId="10">
    <w:name w:val="Note Heading"/>
    <w:next w:val="1"/>
    <w:link w:val="66"/>
    <w:qFormat/>
    <w:uiPriority w:val="0"/>
    <w:pPr>
      <w:widowControl w:val="0"/>
      <w:jc w:val="center"/>
    </w:pPr>
    <w:rPr>
      <w:rFonts w:ascii="Calibri" w:hAnsi="Calibri" w:eastAsia="宋体" w:cs="Times New Roman"/>
      <w:kern w:val="2"/>
      <w:sz w:val="21"/>
      <w:lang w:val="en-US" w:eastAsia="zh-CN" w:bidi="ar-SA"/>
    </w:rPr>
  </w:style>
  <w:style w:type="paragraph" w:styleId="11">
    <w:name w:val="List Number"/>
    <w:basedOn w:val="1"/>
    <w:qFormat/>
    <w:uiPriority w:val="0"/>
    <w:pPr>
      <w:tabs>
        <w:tab w:val="left" w:pos="1060"/>
        <w:tab w:val="left" w:pos="1353"/>
      </w:tabs>
      <w:ind w:left="1060" w:hanging="420"/>
    </w:p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link w:val="77"/>
    <w:qFormat/>
    <w:uiPriority w:val="0"/>
    <w:pPr>
      <w:shd w:val="clear" w:color="auto" w:fill="000080"/>
    </w:pPr>
  </w:style>
  <w:style w:type="paragraph" w:styleId="14">
    <w:name w:val="annotation text"/>
    <w:basedOn w:val="1"/>
    <w:link w:val="72"/>
    <w:unhideWhenUsed/>
    <w:qFormat/>
    <w:uiPriority w:val="99"/>
    <w:pPr>
      <w:jc w:val="left"/>
    </w:pPr>
  </w:style>
  <w:style w:type="paragraph" w:styleId="15">
    <w:name w:val="Body Text"/>
    <w:basedOn w:val="1"/>
    <w:link w:val="68"/>
    <w:unhideWhenUsed/>
    <w:qFormat/>
    <w:uiPriority w:val="0"/>
    <w:pPr>
      <w:spacing w:after="120"/>
    </w:pPr>
  </w:style>
  <w:style w:type="paragraph" w:styleId="16">
    <w:name w:val="Body Text Indent"/>
    <w:basedOn w:val="1"/>
    <w:link w:val="74"/>
    <w:qFormat/>
    <w:uiPriority w:val="0"/>
    <w:pPr>
      <w:keepLines/>
      <w:widowControl/>
      <w:tabs>
        <w:tab w:val="left" w:pos="-720"/>
      </w:tabs>
      <w:adjustRightInd w:val="0"/>
      <w:snapToGrid w:val="0"/>
      <w:spacing w:line="360" w:lineRule="auto"/>
      <w:ind w:left="600"/>
    </w:pPr>
    <w:rPr>
      <w:rFonts w:ascii="宋体"/>
      <w:spacing w:val="20"/>
    </w:rPr>
  </w:style>
  <w:style w:type="paragraph" w:styleId="17">
    <w:name w:val="toc 5"/>
    <w:next w:val="1"/>
    <w:qFormat/>
    <w:uiPriority w:val="39"/>
    <w:pPr>
      <w:ind w:left="630"/>
    </w:pPr>
    <w:rPr>
      <w:rFonts w:ascii="Calibri" w:hAnsi="Calibri" w:eastAsia="宋体" w:cs="Times New Roman"/>
      <w:lang w:val="en-US" w:eastAsia="zh-CN" w:bidi="ar-SA"/>
    </w:rPr>
  </w:style>
  <w:style w:type="paragraph" w:styleId="18">
    <w:name w:val="toc 3"/>
    <w:next w:val="1"/>
    <w:qFormat/>
    <w:uiPriority w:val="39"/>
    <w:pPr>
      <w:ind w:left="210"/>
    </w:pPr>
    <w:rPr>
      <w:rFonts w:ascii="Calibri" w:hAnsi="Calibri" w:eastAsia="宋体" w:cs="Times New Roman"/>
      <w:lang w:val="en-US" w:eastAsia="zh-CN" w:bidi="ar-SA"/>
    </w:rPr>
  </w:style>
  <w:style w:type="paragraph" w:styleId="19">
    <w:name w:val="Plain Text"/>
    <w:basedOn w:val="1"/>
    <w:link w:val="79"/>
    <w:qFormat/>
    <w:uiPriority w:val="0"/>
    <w:rPr>
      <w:rFonts w:ascii="宋体" w:cs="Courier New" w:hAnsiTheme="minorHAnsi"/>
      <w:szCs w:val="21"/>
    </w:rPr>
  </w:style>
  <w:style w:type="paragraph" w:styleId="20">
    <w:name w:val="toc 8"/>
    <w:next w:val="1"/>
    <w:qFormat/>
    <w:uiPriority w:val="39"/>
    <w:pPr>
      <w:ind w:left="1260"/>
    </w:pPr>
    <w:rPr>
      <w:rFonts w:ascii="Calibri" w:hAnsi="Calibri" w:eastAsia="宋体" w:cs="Times New Roman"/>
      <w:lang w:val="en-US" w:eastAsia="zh-CN" w:bidi="ar-SA"/>
    </w:rPr>
  </w:style>
  <w:style w:type="paragraph" w:styleId="21">
    <w:name w:val="Date"/>
    <w:basedOn w:val="1"/>
    <w:next w:val="1"/>
    <w:link w:val="78"/>
    <w:qFormat/>
    <w:uiPriority w:val="0"/>
    <w:rPr>
      <w:sz w:val="24"/>
      <w:szCs w:val="20"/>
    </w:rPr>
  </w:style>
  <w:style w:type="paragraph" w:styleId="22">
    <w:name w:val="Body Text Indent 2"/>
    <w:basedOn w:val="1"/>
    <w:link w:val="73"/>
    <w:qFormat/>
    <w:uiPriority w:val="0"/>
    <w:pPr>
      <w:spacing w:line="480" w:lineRule="exact"/>
      <w:ind w:left="810" w:firstLine="675"/>
    </w:pPr>
    <w:rPr>
      <w:rFonts w:eastAsia="仿宋_GB2312"/>
      <w:sz w:val="30"/>
      <w:szCs w:val="20"/>
    </w:rPr>
  </w:style>
  <w:style w:type="paragraph" w:styleId="23">
    <w:name w:val="Balloon Text"/>
    <w:basedOn w:val="1"/>
    <w:link w:val="75"/>
    <w:qFormat/>
    <w:uiPriority w:val="0"/>
    <w:rPr>
      <w:sz w:val="18"/>
      <w:szCs w:val="18"/>
    </w:rPr>
  </w:style>
  <w:style w:type="paragraph" w:styleId="24">
    <w:name w:val="footer"/>
    <w:basedOn w:val="1"/>
    <w:link w:val="49"/>
    <w:unhideWhenUsed/>
    <w:qFormat/>
    <w:uiPriority w:val="0"/>
    <w:pPr>
      <w:tabs>
        <w:tab w:val="center" w:pos="4153"/>
        <w:tab w:val="right" w:pos="8306"/>
      </w:tabs>
      <w:snapToGrid w:val="0"/>
      <w:jc w:val="left"/>
    </w:pPr>
    <w:rPr>
      <w:sz w:val="18"/>
      <w:szCs w:val="18"/>
    </w:rPr>
  </w:style>
  <w:style w:type="paragraph" w:styleId="25">
    <w:name w:val="header"/>
    <w:basedOn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next w:val="1"/>
    <w:qFormat/>
    <w:uiPriority w:val="39"/>
    <w:pPr>
      <w:spacing w:before="120"/>
    </w:pPr>
    <w:rPr>
      <w:rFonts w:ascii="Calibri" w:hAnsi="Calibri" w:eastAsia="宋体" w:cs="Times New Roman"/>
      <w:b/>
      <w:i/>
      <w:lang w:val="en-US" w:eastAsia="zh-CN" w:bidi="ar-SA"/>
    </w:rPr>
  </w:style>
  <w:style w:type="paragraph" w:styleId="27">
    <w:name w:val="toc 4"/>
    <w:next w:val="1"/>
    <w:qFormat/>
    <w:uiPriority w:val="39"/>
    <w:pPr>
      <w:ind w:left="420"/>
    </w:pPr>
    <w:rPr>
      <w:rFonts w:ascii="Calibri" w:hAnsi="Calibri" w:eastAsia="宋体" w:cs="Times New Roman"/>
      <w:lang w:val="en-US" w:eastAsia="zh-CN" w:bidi="ar-SA"/>
    </w:rPr>
  </w:style>
  <w:style w:type="paragraph" w:styleId="28">
    <w:name w:val="Subtitle"/>
    <w:basedOn w:val="1"/>
    <w:next w:val="1"/>
    <w:link w:val="71"/>
    <w:qFormat/>
    <w:uiPriority w:val="0"/>
    <w:pPr>
      <w:spacing w:before="240" w:after="60" w:line="312" w:lineRule="auto"/>
      <w:jc w:val="center"/>
      <w:outlineLvl w:val="1"/>
    </w:pPr>
    <w:rPr>
      <w:rFonts w:ascii="Cambria" w:hAnsi="Cambria"/>
      <w:b/>
      <w:bCs/>
      <w:kern w:val="28"/>
      <w:sz w:val="32"/>
      <w:szCs w:val="32"/>
    </w:rPr>
  </w:style>
  <w:style w:type="paragraph" w:styleId="29">
    <w:name w:val="toc 6"/>
    <w:next w:val="1"/>
    <w:qFormat/>
    <w:uiPriority w:val="39"/>
    <w:pPr>
      <w:ind w:left="840"/>
    </w:pPr>
    <w:rPr>
      <w:rFonts w:ascii="Calibri" w:hAnsi="Calibri" w:eastAsia="宋体" w:cs="Times New Roman"/>
      <w:lang w:val="en-US" w:eastAsia="zh-CN" w:bidi="ar-SA"/>
    </w:rPr>
  </w:style>
  <w:style w:type="paragraph" w:styleId="30">
    <w:name w:val="Body Text Indent 3"/>
    <w:basedOn w:val="1"/>
    <w:link w:val="76"/>
    <w:qFormat/>
    <w:uiPriority w:val="0"/>
    <w:pPr>
      <w:spacing w:line="560" w:lineRule="exact"/>
      <w:ind w:firstLine="200" w:firstLineChars="200"/>
    </w:pPr>
    <w:rPr>
      <w:rFonts w:ascii="楷体_GB2312" w:eastAsia="楷体_GB2312"/>
      <w:sz w:val="30"/>
    </w:rPr>
  </w:style>
  <w:style w:type="paragraph" w:styleId="31">
    <w:name w:val="toc 2"/>
    <w:next w:val="1"/>
    <w:qFormat/>
    <w:uiPriority w:val="39"/>
    <w:pPr>
      <w:spacing w:before="120"/>
    </w:pPr>
    <w:rPr>
      <w:rFonts w:ascii="Calibri" w:hAnsi="Calibri" w:eastAsia="宋体" w:cs="Times New Roman"/>
      <w:b/>
      <w:sz w:val="22"/>
      <w:lang w:val="en-US" w:eastAsia="zh-CN" w:bidi="ar-SA"/>
    </w:rPr>
  </w:style>
  <w:style w:type="paragraph" w:styleId="32">
    <w:name w:val="toc 9"/>
    <w:next w:val="1"/>
    <w:qFormat/>
    <w:uiPriority w:val="39"/>
    <w:pPr>
      <w:ind w:left="1470"/>
    </w:pPr>
    <w:rPr>
      <w:rFonts w:ascii="Calibri" w:hAnsi="Calibri" w:eastAsia="宋体" w:cs="Times New Roman"/>
      <w:lang w:val="en-US" w:eastAsia="zh-CN" w:bidi="ar-SA"/>
    </w:rPr>
  </w:style>
  <w:style w:type="paragraph" w:styleId="33">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34">
    <w:name w:val="Normal (Web)"/>
    <w:basedOn w:val="1"/>
    <w:qFormat/>
    <w:uiPriority w:val="99"/>
    <w:pPr>
      <w:widowControl/>
      <w:spacing w:before="100" w:beforeAutospacing="1" w:after="100" w:afterAutospacing="1"/>
      <w:jc w:val="left"/>
    </w:pPr>
    <w:rPr>
      <w:rFonts w:ascii="宋体"/>
      <w:kern w:val="0"/>
      <w:sz w:val="24"/>
    </w:rPr>
  </w:style>
  <w:style w:type="paragraph" w:styleId="35">
    <w:name w:val="index 1"/>
    <w:basedOn w:val="1"/>
    <w:next w:val="1"/>
    <w:qFormat/>
    <w:uiPriority w:val="0"/>
    <w:rPr>
      <w:rFonts w:ascii="宋体"/>
      <w:szCs w:val="18"/>
    </w:rPr>
  </w:style>
  <w:style w:type="paragraph" w:styleId="36">
    <w:name w:val="Title"/>
    <w:basedOn w:val="1"/>
    <w:next w:val="1"/>
    <w:link w:val="141"/>
    <w:qFormat/>
    <w:uiPriority w:val="10"/>
    <w:pPr>
      <w:spacing w:before="240" w:after="60"/>
      <w:jc w:val="center"/>
      <w:outlineLvl w:val="0"/>
    </w:pPr>
    <w:rPr>
      <w:rFonts w:ascii="Calibri Light" w:hAnsi="Calibri Light"/>
      <w:b/>
      <w:bCs/>
      <w:sz w:val="32"/>
      <w:szCs w:val="32"/>
    </w:rPr>
  </w:style>
  <w:style w:type="paragraph" w:styleId="37">
    <w:name w:val="Body Text First Indent"/>
    <w:basedOn w:val="15"/>
    <w:link w:val="69"/>
    <w:qFormat/>
    <w:uiPriority w:val="0"/>
    <w:pPr>
      <w:ind w:firstLine="100" w:firstLineChars="100"/>
    </w:pPr>
    <w:rPr>
      <w:rFonts w:ascii="Times New Roman" w:hAnsi="Times New Roman"/>
    </w:rPr>
  </w:style>
  <w:style w:type="paragraph" w:styleId="38">
    <w:name w:val="Body Text First Indent 2"/>
    <w:basedOn w:val="16"/>
    <w:link w:val="134"/>
    <w:unhideWhenUsed/>
    <w:uiPriority w:val="99"/>
    <w:pPr>
      <w:keepLines w:val="0"/>
      <w:widowControl w:val="0"/>
      <w:tabs>
        <w:tab w:val="clear" w:pos="-720"/>
      </w:tabs>
      <w:adjustRightInd/>
      <w:snapToGrid/>
      <w:spacing w:after="120" w:line="240" w:lineRule="auto"/>
      <w:ind w:left="420" w:leftChars="200" w:firstLine="420" w:firstLineChars="200"/>
    </w:pPr>
    <w:rPr>
      <w:rFonts w:ascii="Calibri"/>
      <w:spacing w:val="0"/>
    </w:rPr>
  </w:style>
  <w:style w:type="table" w:styleId="40">
    <w:name w:val="Table Grid"/>
    <w:basedOn w:val="3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uiPriority w:val="0"/>
  </w:style>
  <w:style w:type="character" w:styleId="44">
    <w:name w:val="FollowedHyperlink"/>
    <w:uiPriority w:val="0"/>
    <w:rPr>
      <w:color w:val="800080"/>
      <w:u w:val="single"/>
    </w:rPr>
  </w:style>
  <w:style w:type="character" w:styleId="45">
    <w:name w:val="Emphasis"/>
    <w:qFormat/>
    <w:uiPriority w:val="0"/>
    <w:rPr>
      <w:i/>
      <w:iCs/>
    </w:rPr>
  </w:style>
  <w:style w:type="character" w:styleId="46">
    <w:name w:val="Hyperlink"/>
    <w:uiPriority w:val="99"/>
    <w:rPr>
      <w:rFonts w:cs="Times New Roman"/>
      <w:color w:val="0000FF"/>
      <w:u w:val="single"/>
      <w:lang w:bidi="ar-SA"/>
    </w:rPr>
  </w:style>
  <w:style w:type="character" w:styleId="47">
    <w:name w:val="annotation reference"/>
    <w:basedOn w:val="41"/>
    <w:unhideWhenUsed/>
    <w:uiPriority w:val="99"/>
    <w:rPr>
      <w:sz w:val="21"/>
      <w:szCs w:val="21"/>
    </w:rPr>
  </w:style>
  <w:style w:type="character" w:customStyle="1" w:styleId="48">
    <w:name w:val="页眉 Char"/>
    <w:basedOn w:val="41"/>
    <w:link w:val="25"/>
    <w:qFormat/>
    <w:uiPriority w:val="0"/>
    <w:rPr>
      <w:sz w:val="18"/>
      <w:szCs w:val="18"/>
    </w:rPr>
  </w:style>
  <w:style w:type="character" w:customStyle="1" w:styleId="49">
    <w:name w:val="页脚 Char"/>
    <w:basedOn w:val="41"/>
    <w:link w:val="24"/>
    <w:semiHidden/>
    <w:qFormat/>
    <w:uiPriority w:val="99"/>
    <w:rPr>
      <w:sz w:val="18"/>
      <w:szCs w:val="18"/>
    </w:rPr>
  </w:style>
  <w:style w:type="character" w:customStyle="1" w:styleId="50">
    <w:name w:val="标题 1 Char"/>
    <w:basedOn w:val="41"/>
    <w:link w:val="3"/>
    <w:qFormat/>
    <w:uiPriority w:val="0"/>
    <w:rPr>
      <w:rFonts w:ascii="楷体_GB2312" w:hAnsi="Calibri" w:eastAsia="楷体_GB2312" w:cs="Times New Roman"/>
      <w:sz w:val="28"/>
      <w:szCs w:val="20"/>
    </w:rPr>
  </w:style>
  <w:style w:type="character" w:customStyle="1" w:styleId="51">
    <w:name w:val="标题 2 Char"/>
    <w:basedOn w:val="41"/>
    <w:link w:val="4"/>
    <w:qFormat/>
    <w:uiPriority w:val="0"/>
    <w:rPr>
      <w:rFonts w:ascii="Arial" w:hAnsi="Arial" w:eastAsia="幼圆" w:cs="Times New Roman"/>
      <w:b/>
      <w:sz w:val="44"/>
      <w:szCs w:val="20"/>
    </w:rPr>
  </w:style>
  <w:style w:type="character" w:customStyle="1" w:styleId="52">
    <w:name w:val="标题 3 Char"/>
    <w:basedOn w:val="41"/>
    <w:link w:val="6"/>
    <w:qFormat/>
    <w:uiPriority w:val="0"/>
    <w:rPr>
      <w:rFonts w:ascii="Calibri" w:hAnsi="Calibri" w:eastAsia="宋体" w:cs="Times New Roman"/>
      <w:b/>
      <w:sz w:val="32"/>
      <w:szCs w:val="20"/>
    </w:rPr>
  </w:style>
  <w:style w:type="character" w:customStyle="1" w:styleId="53">
    <w:name w:val="标题 4 Char"/>
    <w:basedOn w:val="41"/>
    <w:link w:val="7"/>
    <w:qFormat/>
    <w:uiPriority w:val="0"/>
    <w:rPr>
      <w:rFonts w:ascii="Arial" w:hAnsi="Arial" w:eastAsia="黑体" w:cs="Times New Roman"/>
      <w:b/>
      <w:bCs/>
      <w:sz w:val="28"/>
      <w:szCs w:val="28"/>
    </w:rPr>
  </w:style>
  <w:style w:type="character" w:customStyle="1" w:styleId="54">
    <w:name w:val="标题 5 Char"/>
    <w:basedOn w:val="41"/>
    <w:link w:val="8"/>
    <w:qFormat/>
    <w:uiPriority w:val="0"/>
    <w:rPr>
      <w:rFonts w:ascii="Calibri" w:hAnsi="Calibri" w:eastAsia="宋体" w:cs="Times New Roman"/>
      <w:b/>
      <w:bCs/>
      <w:sz w:val="28"/>
      <w:szCs w:val="28"/>
    </w:rPr>
  </w:style>
  <w:style w:type="character" w:customStyle="1" w:styleId="55">
    <w:name w:val="f1"/>
    <w:basedOn w:val="41"/>
    <w:qFormat/>
    <w:uiPriority w:val="0"/>
  </w:style>
  <w:style w:type="character" w:customStyle="1" w:styleId="56">
    <w:name w:val="font11"/>
    <w:qFormat/>
    <w:uiPriority w:val="0"/>
    <w:rPr>
      <w:rFonts w:ascii="黑体" w:eastAsia="黑体"/>
      <w:color w:val="000000"/>
      <w:sz w:val="18"/>
      <w:szCs w:val="18"/>
      <w:u w:val="none"/>
    </w:rPr>
  </w:style>
  <w:style w:type="character" w:customStyle="1" w:styleId="57">
    <w:name w:val="ask-title"/>
    <w:qFormat/>
    <w:uiPriority w:val="0"/>
  </w:style>
  <w:style w:type="character" w:customStyle="1" w:styleId="58">
    <w:name w:val="h3 Char"/>
    <w:qFormat/>
    <w:uiPriority w:val="0"/>
    <w:rPr>
      <w:rFonts w:eastAsia="宋体"/>
      <w:b/>
      <w:kern w:val="2"/>
      <w:sz w:val="32"/>
      <w:lang w:val="en-US" w:eastAsia="zh-CN" w:bidi="ar-SA"/>
    </w:rPr>
  </w:style>
  <w:style w:type="character" w:customStyle="1" w:styleId="59">
    <w:name w:val="content1"/>
    <w:qFormat/>
    <w:uiPriority w:val="0"/>
    <w:rPr>
      <w:sz w:val="28"/>
      <w:szCs w:val="28"/>
    </w:rPr>
  </w:style>
  <w:style w:type="character" w:customStyle="1" w:styleId="60">
    <w:name w:val="纯文本 Char"/>
    <w:qFormat/>
    <w:locked/>
    <w:uiPriority w:val="0"/>
    <w:rPr>
      <w:rFonts w:ascii="宋体" w:eastAsia="宋体" w:cs="Courier New"/>
      <w:szCs w:val="21"/>
    </w:rPr>
  </w:style>
  <w:style w:type="character" w:customStyle="1" w:styleId="61">
    <w:name w:val="font01"/>
    <w:uiPriority w:val="0"/>
    <w:rPr>
      <w:rFonts w:ascii="黑体" w:eastAsia="黑体"/>
      <w:b/>
      <w:bCs/>
      <w:color w:val="000000"/>
      <w:sz w:val="18"/>
      <w:szCs w:val="18"/>
      <w:u w:val="none"/>
    </w:rPr>
  </w:style>
  <w:style w:type="character" w:customStyle="1" w:styleId="62">
    <w:name w:val="font-121"/>
    <w:qFormat/>
    <w:uiPriority w:val="0"/>
    <w:rPr>
      <w:color w:val="666666"/>
      <w:sz w:val="18"/>
      <w:szCs w:val="18"/>
      <w:u w:val="none"/>
    </w:rPr>
  </w:style>
  <w:style w:type="character" w:customStyle="1" w:styleId="63">
    <w:name w:val="style21"/>
    <w:qFormat/>
    <w:uiPriority w:val="0"/>
    <w:rPr>
      <w:color w:val="000000"/>
      <w:sz w:val="23"/>
      <w:szCs w:val="23"/>
    </w:rPr>
  </w:style>
  <w:style w:type="character" w:customStyle="1" w:styleId="64">
    <w:name w:val="ALT+Z Char"/>
    <w:qFormat/>
    <w:uiPriority w:val="0"/>
    <w:rPr>
      <w:kern w:val="2"/>
      <w:sz w:val="21"/>
      <w:lang w:bidi="ar-SA"/>
    </w:rPr>
  </w:style>
  <w:style w:type="character" w:customStyle="1" w:styleId="65">
    <w:name w:val="Char Char8"/>
    <w:qFormat/>
    <w:uiPriority w:val="0"/>
    <w:rPr>
      <w:rFonts w:ascii="宋体" w:eastAsia="宋体"/>
      <w:bCs/>
      <w:kern w:val="2"/>
      <w:sz w:val="24"/>
      <w:szCs w:val="24"/>
      <w:lang w:val="it-IT" w:eastAsia="zh-CN" w:bidi="ar-SA"/>
    </w:rPr>
  </w:style>
  <w:style w:type="character" w:customStyle="1" w:styleId="66">
    <w:name w:val="注释标题 Char"/>
    <w:basedOn w:val="41"/>
    <w:link w:val="10"/>
    <w:qFormat/>
    <w:uiPriority w:val="0"/>
    <w:rPr>
      <w:rFonts w:ascii="Calibri" w:hAnsi="Calibri" w:eastAsia="宋体" w:cs="Times New Roman"/>
      <w:szCs w:val="20"/>
    </w:rPr>
  </w:style>
  <w:style w:type="character" w:customStyle="1" w:styleId="67">
    <w:name w:val="HTML 预设格式 Char"/>
    <w:basedOn w:val="41"/>
    <w:link w:val="33"/>
    <w:qFormat/>
    <w:uiPriority w:val="0"/>
    <w:rPr>
      <w:rFonts w:ascii="黑体" w:hAnsi="Calibri" w:eastAsia="黑体" w:cs="Courier New"/>
      <w:kern w:val="0"/>
      <w:sz w:val="20"/>
      <w:szCs w:val="20"/>
    </w:rPr>
  </w:style>
  <w:style w:type="character" w:customStyle="1" w:styleId="68">
    <w:name w:val="正文文本 Char"/>
    <w:basedOn w:val="41"/>
    <w:link w:val="15"/>
    <w:semiHidden/>
    <w:qFormat/>
    <w:uiPriority w:val="99"/>
    <w:rPr>
      <w:rFonts w:ascii="Calibri" w:hAnsi="Calibri" w:eastAsia="宋体" w:cs="Times New Roman"/>
      <w:szCs w:val="24"/>
    </w:rPr>
  </w:style>
  <w:style w:type="character" w:customStyle="1" w:styleId="69">
    <w:name w:val="正文首行缩进 Char"/>
    <w:basedOn w:val="68"/>
    <w:link w:val="37"/>
    <w:qFormat/>
    <w:uiPriority w:val="0"/>
    <w:rPr>
      <w:rFonts w:ascii="Times New Roman" w:hAnsi="Times New Roman" w:eastAsia="宋体" w:cs="Times New Roman"/>
      <w:szCs w:val="24"/>
    </w:rPr>
  </w:style>
  <w:style w:type="character" w:customStyle="1" w:styleId="70">
    <w:name w:val="正文文本 2 Char"/>
    <w:basedOn w:val="41"/>
    <w:link w:val="2"/>
    <w:qFormat/>
    <w:uiPriority w:val="0"/>
    <w:rPr>
      <w:rFonts w:ascii="仿宋_GB2312" w:hAnsi="Calibri" w:eastAsia="仿宋_GB2312" w:cs="Times New Roman"/>
      <w:sz w:val="44"/>
      <w:szCs w:val="24"/>
    </w:rPr>
  </w:style>
  <w:style w:type="character" w:customStyle="1" w:styleId="71">
    <w:name w:val="副标题 Char"/>
    <w:basedOn w:val="41"/>
    <w:link w:val="28"/>
    <w:qFormat/>
    <w:uiPriority w:val="0"/>
    <w:rPr>
      <w:rFonts w:ascii="Cambria" w:hAnsi="Cambria" w:eastAsia="宋体" w:cs="Times New Roman"/>
      <w:b/>
      <w:bCs/>
      <w:kern w:val="28"/>
      <w:sz w:val="32"/>
      <w:szCs w:val="32"/>
    </w:rPr>
  </w:style>
  <w:style w:type="character" w:customStyle="1" w:styleId="72">
    <w:name w:val="批注文字 Char"/>
    <w:basedOn w:val="41"/>
    <w:link w:val="14"/>
    <w:qFormat/>
    <w:uiPriority w:val="99"/>
    <w:rPr>
      <w:rFonts w:ascii="Calibri" w:hAnsi="Calibri" w:eastAsia="宋体" w:cs="Times New Roman"/>
      <w:szCs w:val="24"/>
    </w:rPr>
  </w:style>
  <w:style w:type="character" w:customStyle="1" w:styleId="73">
    <w:name w:val="正文文本缩进 2 Char"/>
    <w:basedOn w:val="41"/>
    <w:link w:val="22"/>
    <w:qFormat/>
    <w:uiPriority w:val="0"/>
    <w:rPr>
      <w:rFonts w:ascii="Calibri" w:hAnsi="Calibri" w:eastAsia="仿宋_GB2312" w:cs="Times New Roman"/>
      <w:sz w:val="30"/>
      <w:szCs w:val="20"/>
    </w:rPr>
  </w:style>
  <w:style w:type="character" w:customStyle="1" w:styleId="74">
    <w:name w:val="正文文本缩进 Char"/>
    <w:basedOn w:val="41"/>
    <w:link w:val="16"/>
    <w:qFormat/>
    <w:uiPriority w:val="0"/>
    <w:rPr>
      <w:rFonts w:ascii="宋体" w:hAnsi="Calibri" w:eastAsia="宋体" w:cs="Times New Roman"/>
      <w:spacing w:val="20"/>
      <w:szCs w:val="24"/>
    </w:rPr>
  </w:style>
  <w:style w:type="character" w:customStyle="1" w:styleId="75">
    <w:name w:val="批注框文本 Char"/>
    <w:basedOn w:val="41"/>
    <w:link w:val="23"/>
    <w:qFormat/>
    <w:uiPriority w:val="0"/>
    <w:rPr>
      <w:rFonts w:ascii="Calibri" w:hAnsi="Calibri" w:eastAsia="宋体" w:cs="Times New Roman"/>
      <w:sz w:val="18"/>
      <w:szCs w:val="18"/>
    </w:rPr>
  </w:style>
  <w:style w:type="character" w:customStyle="1" w:styleId="76">
    <w:name w:val="正文文本缩进 3 Char"/>
    <w:basedOn w:val="41"/>
    <w:link w:val="30"/>
    <w:qFormat/>
    <w:uiPriority w:val="0"/>
    <w:rPr>
      <w:rFonts w:ascii="楷体_GB2312" w:hAnsi="Calibri" w:eastAsia="楷体_GB2312" w:cs="Times New Roman"/>
      <w:sz w:val="30"/>
      <w:szCs w:val="24"/>
    </w:rPr>
  </w:style>
  <w:style w:type="character" w:customStyle="1" w:styleId="77">
    <w:name w:val="文档结构图 Char"/>
    <w:basedOn w:val="41"/>
    <w:link w:val="13"/>
    <w:qFormat/>
    <w:uiPriority w:val="0"/>
    <w:rPr>
      <w:rFonts w:ascii="Calibri" w:hAnsi="Calibri" w:eastAsia="宋体" w:cs="Times New Roman"/>
      <w:szCs w:val="24"/>
      <w:shd w:val="clear" w:color="auto" w:fill="000080"/>
    </w:rPr>
  </w:style>
  <w:style w:type="character" w:customStyle="1" w:styleId="78">
    <w:name w:val="日期 Char"/>
    <w:basedOn w:val="41"/>
    <w:link w:val="21"/>
    <w:qFormat/>
    <w:uiPriority w:val="0"/>
    <w:rPr>
      <w:rFonts w:ascii="Calibri" w:hAnsi="Calibri" w:eastAsia="宋体" w:cs="Times New Roman"/>
      <w:sz w:val="24"/>
      <w:szCs w:val="20"/>
    </w:rPr>
  </w:style>
  <w:style w:type="character" w:customStyle="1" w:styleId="79">
    <w:name w:val="纯文本 Char1"/>
    <w:basedOn w:val="41"/>
    <w:link w:val="19"/>
    <w:semiHidden/>
    <w:qFormat/>
    <w:uiPriority w:val="99"/>
    <w:rPr>
      <w:rFonts w:ascii="宋体" w:hAnsi="Courier New" w:eastAsia="宋体" w:cs="Courier New"/>
      <w:szCs w:val="21"/>
    </w:rPr>
  </w:style>
  <w:style w:type="paragraph" w:customStyle="1" w:styleId="80">
    <w:name w:val="列出段落3"/>
    <w:basedOn w:val="1"/>
    <w:qFormat/>
    <w:uiPriority w:val="99"/>
    <w:pPr>
      <w:ind w:firstLine="420" w:firstLineChars="200"/>
    </w:pPr>
  </w:style>
  <w:style w:type="paragraph" w:customStyle="1" w:styleId="81">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cs="宋体"/>
      <w:kern w:val="0"/>
      <w:sz w:val="20"/>
      <w:szCs w:val="20"/>
    </w:rPr>
  </w:style>
  <w:style w:type="paragraph" w:customStyle="1" w:styleId="82">
    <w:name w:val="pic-info"/>
    <w:basedOn w:val="1"/>
    <w:qFormat/>
    <w:uiPriority w:val="0"/>
    <w:pPr>
      <w:widowControl/>
      <w:spacing w:before="100" w:beforeAutospacing="1" w:after="100" w:afterAutospacing="1"/>
      <w:jc w:val="left"/>
    </w:pPr>
    <w:rPr>
      <w:rFonts w:ascii="宋体" w:cs="宋体"/>
      <w:kern w:val="0"/>
      <w:sz w:val="24"/>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kern w:val="0"/>
      <w:sz w:val="24"/>
    </w:rPr>
  </w:style>
  <w:style w:type="paragraph" w:customStyle="1" w:styleId="84">
    <w:name w:val="样式 三号"/>
    <w:basedOn w:val="1"/>
    <w:qFormat/>
    <w:uiPriority w:val="0"/>
    <w:pPr>
      <w:ind w:firstLine="200" w:firstLineChars="200"/>
    </w:pPr>
    <w:rPr>
      <w:rFonts w:cs="宋体"/>
      <w:sz w:val="24"/>
      <w:szCs w:val="20"/>
    </w:rPr>
  </w:style>
  <w:style w:type="paragraph" w:customStyle="1" w:styleId="8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86">
    <w:name w:val="无间隔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1."/>
    <w:basedOn w:val="1"/>
    <w:qFormat/>
    <w:uiPriority w:val="0"/>
    <w:pPr>
      <w:tabs>
        <w:tab w:val="left" w:pos="420"/>
      </w:tabs>
      <w:spacing w:line="360" w:lineRule="auto"/>
      <w:ind w:left="420" w:hanging="420"/>
    </w:pPr>
    <w:rPr>
      <w:sz w:val="24"/>
    </w:rPr>
  </w:style>
  <w:style w:type="paragraph" w:customStyle="1" w:styleId="88">
    <w:name w:val="reader-word-layer reader-word-s4-2"/>
    <w:next w:val="15"/>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89">
    <w:name w:val="xl24"/>
    <w:next w:val="12"/>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Calibri" w:eastAsia="宋体" w:cs="Times New Roman"/>
      <w:sz w:val="24"/>
      <w:szCs w:val="24"/>
      <w:lang w:val="en-US" w:eastAsia="zh-CN" w:bidi="ar-SA"/>
    </w:rPr>
  </w:style>
  <w:style w:type="paragraph" w:customStyle="1" w:styleId="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91">
    <w:name w:val="reader-word-layer reader-word-s3-6"/>
    <w:next w:val="92"/>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92">
    <w:name w:val="L正文"/>
    <w:basedOn w:val="1"/>
    <w:qFormat/>
    <w:uiPriority w:val="0"/>
    <w:pPr>
      <w:spacing w:afterLines="50"/>
      <w:ind w:left="160" w:leftChars="160" w:firstLine="200" w:firstLineChars="200"/>
    </w:pPr>
  </w:style>
  <w:style w:type="paragraph" w:customStyle="1" w:styleId="93">
    <w:name w:val="Char Char Char Char Char Char1 Char Char Char Char Char Char Char Char Char Char Char Char Char"/>
    <w:basedOn w:val="1"/>
    <w:qFormat/>
    <w:uiPriority w:val="0"/>
    <w:pPr>
      <w:widowControl/>
      <w:spacing w:after="160" w:line="240" w:lineRule="exact"/>
      <w:jc w:val="left"/>
    </w:pPr>
    <w:rPr>
      <w:szCs w:val="20"/>
    </w:rPr>
  </w:style>
  <w:style w:type="paragraph" w:customStyle="1" w:styleId="9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95">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96">
    <w:name w:val="正文文本-2"/>
    <w:next w:val="1"/>
    <w:qFormat/>
    <w:uiPriority w:val="0"/>
    <w:pPr>
      <w:widowControl w:val="0"/>
      <w:tabs>
        <w:tab w:val="left" w:pos="420"/>
      </w:tabs>
      <w:topLinePunct/>
      <w:ind w:left="420"/>
    </w:pPr>
    <w:rPr>
      <w:rFonts w:ascii="Calibri" w:hAnsi="Calibri" w:eastAsia="宋体" w:cs="Times New Roman"/>
      <w:spacing w:val="6"/>
      <w:kern w:val="21"/>
      <w:sz w:val="21"/>
      <w:szCs w:val="21"/>
      <w:lang w:val="en-US" w:eastAsia="zh-CN" w:bidi="ar-SA"/>
    </w:rPr>
  </w:style>
  <w:style w:type="paragraph" w:customStyle="1" w:styleId="97">
    <w:name w:val="tabletextchar"/>
    <w:basedOn w:val="1"/>
    <w:qFormat/>
    <w:uiPriority w:val="0"/>
    <w:pPr>
      <w:widowControl/>
      <w:spacing w:before="100" w:beforeAutospacing="1" w:after="100" w:afterAutospacing="1" w:line="240" w:lineRule="atLeast"/>
      <w:jc w:val="left"/>
    </w:pPr>
    <w:rPr>
      <w:rFonts w:ascii="宋体" w:cs="宋体"/>
      <w:kern w:val="0"/>
      <w:sz w:val="18"/>
      <w:szCs w:val="18"/>
    </w:rPr>
  </w:style>
  <w:style w:type="paragraph" w:customStyle="1" w:styleId="98">
    <w:name w:val="样式 标题 2 + 段后: 93.6 磅"/>
    <w:next w:val="5"/>
    <w:qFormat/>
    <w:uiPriority w:val="0"/>
    <w:pPr>
      <w:keepNext/>
      <w:widowControl w:val="0"/>
      <w:tabs>
        <w:tab w:val="left" w:pos="420"/>
      </w:tabs>
      <w:autoSpaceDE w:val="0"/>
      <w:autoSpaceDN w:val="0"/>
      <w:adjustRightInd w:val="0"/>
      <w:spacing w:before="120" w:after="120" w:line="360" w:lineRule="auto"/>
      <w:ind w:left="420" w:hanging="420"/>
      <w:jc w:val="center"/>
      <w:outlineLvl w:val="1"/>
    </w:pPr>
    <w:rPr>
      <w:rFonts w:ascii="华康简标题宋" w:hAnsi="Calibri" w:eastAsia="华康简标题宋" w:cs="宋体"/>
      <w:bCs/>
      <w:sz w:val="30"/>
      <w:lang w:val="en-US" w:eastAsia="zh-CN" w:bidi="ar-SA"/>
    </w:rPr>
  </w:style>
  <w:style w:type="paragraph" w:customStyle="1" w:styleId="99">
    <w:name w:val="Level5"/>
    <w:basedOn w:val="1"/>
    <w:qFormat/>
    <w:uiPriority w:val="0"/>
    <w:pPr>
      <w:widowControl/>
      <w:tabs>
        <w:tab w:val="left" w:pos="432"/>
      </w:tabs>
      <w:spacing w:before="40" w:after="40" w:line="300" w:lineRule="auto"/>
      <w:ind w:left="432" w:hanging="432"/>
    </w:pPr>
    <w:rPr>
      <w:rFonts w:ascii="Arial" w:hAnsi="Arial" w:cs="Arial"/>
      <w:kern w:val="0"/>
      <w:sz w:val="24"/>
      <w:szCs w:val="22"/>
      <w:lang w:val="en-GB" w:eastAsia="en-GB"/>
    </w:rPr>
  </w:style>
  <w:style w:type="paragraph" w:customStyle="1" w:styleId="100">
    <w:name w:val="列出段落1"/>
    <w:next w:val="1"/>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101">
    <w:name w:val="列表段落1"/>
    <w:basedOn w:val="1"/>
    <w:qFormat/>
    <w:uiPriority w:val="99"/>
    <w:pPr>
      <w:ind w:firstLine="200" w:firstLineChars="200"/>
    </w:pPr>
    <w:rPr>
      <w:szCs w:val="20"/>
    </w:rPr>
  </w:style>
  <w:style w:type="paragraph" w:customStyle="1" w:styleId="102">
    <w:name w:val="标书样式"/>
    <w:next w:val="9"/>
    <w:qFormat/>
    <w:uiPriority w:val="0"/>
    <w:pPr>
      <w:widowControl w:val="0"/>
      <w:tabs>
        <w:tab w:val="left" w:pos="1980"/>
      </w:tabs>
      <w:spacing w:beforeLines="50" w:line="360" w:lineRule="auto"/>
      <w:ind w:firstLine="200" w:firstLineChars="200"/>
    </w:pPr>
    <w:rPr>
      <w:rFonts w:ascii="宋体" w:hAnsi="Calibri" w:eastAsia="宋体" w:cs="Times New Roman"/>
      <w:bCs/>
      <w:sz w:val="24"/>
      <w:szCs w:val="24"/>
      <w:lang w:val="en-US" w:eastAsia="zh-CN" w:bidi="ar-SA"/>
    </w:rPr>
  </w:style>
  <w:style w:type="paragraph" w:customStyle="1" w:styleId="1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10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105">
    <w:name w:val="Paragraph3"/>
    <w:basedOn w:val="1"/>
    <w:qFormat/>
    <w:uiPriority w:val="0"/>
    <w:pPr>
      <w:tabs>
        <w:tab w:val="left" w:pos="360"/>
      </w:tabs>
      <w:overflowPunct w:val="0"/>
      <w:autoSpaceDE w:val="0"/>
      <w:autoSpaceDN w:val="0"/>
      <w:adjustRightInd w:val="0"/>
      <w:spacing w:before="20"/>
      <w:ind w:left="216" w:hanging="216"/>
      <w:textAlignment w:val="baseline"/>
    </w:pPr>
    <w:rPr>
      <w:rFonts w:ascii="Arial" w:hAnsi="Arial"/>
      <w:kern w:val="0"/>
      <w:sz w:val="24"/>
      <w:szCs w:val="20"/>
    </w:rPr>
  </w:style>
  <w:style w:type="paragraph" w:customStyle="1" w:styleId="106">
    <w:name w:val="标题2"/>
    <w:basedOn w:val="1"/>
    <w:qFormat/>
    <w:uiPriority w:val="0"/>
    <w:pPr>
      <w:tabs>
        <w:tab w:val="center" w:pos="0"/>
      </w:tabs>
      <w:adjustRightInd w:val="0"/>
      <w:jc w:val="center"/>
      <w:textAlignment w:val="baseline"/>
      <w:outlineLvl w:val="0"/>
    </w:pPr>
    <w:rPr>
      <w:b/>
      <w:sz w:val="32"/>
      <w:szCs w:val="20"/>
    </w:rPr>
  </w:style>
  <w:style w:type="paragraph" w:customStyle="1" w:styleId="107">
    <w:name w:val="xl68"/>
    <w:basedOn w:val="1"/>
    <w:qFormat/>
    <w:uiPriority w:val="0"/>
    <w:pPr>
      <w:widowControl/>
      <w:spacing w:before="100" w:beforeAutospacing="1" w:after="100" w:afterAutospacing="1"/>
      <w:jc w:val="left"/>
    </w:pPr>
    <w:rPr>
      <w:rFonts w:ascii="宋体" w:cs="宋体"/>
      <w:color w:val="FF0000"/>
      <w:kern w:val="0"/>
      <w:sz w:val="24"/>
    </w:rPr>
  </w:style>
  <w:style w:type="paragraph" w:customStyle="1" w:styleId="108">
    <w:name w:val="标准"/>
    <w:next w:val="1"/>
    <w:qFormat/>
    <w:uiPriority w:val="0"/>
    <w:pPr>
      <w:widowControl w:val="0"/>
      <w:overflowPunct w:val="0"/>
      <w:autoSpaceDE w:val="0"/>
      <w:autoSpaceDN w:val="0"/>
      <w:adjustRightInd w:val="0"/>
      <w:spacing w:line="240" w:lineRule="atLeast"/>
      <w:jc w:val="both"/>
      <w:textAlignment w:val="baseline"/>
    </w:pPr>
    <w:rPr>
      <w:rFonts w:ascii="Calibri" w:hAnsi="Calibri" w:eastAsia="楷体_GB2312" w:cs="Times New Roman"/>
      <w:sz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各段落"/>
    <w:uiPriority w:val="0"/>
    <w:pPr>
      <w:spacing w:line="360" w:lineRule="auto"/>
      <w:ind w:firstLine="454"/>
    </w:pPr>
    <w:rPr>
      <w:rFonts w:ascii="Arial" w:hAnsi="Arial" w:eastAsia="宋体" w:cs="Times New Roman"/>
      <w:bCs/>
      <w:kern w:val="2"/>
      <w:sz w:val="21"/>
      <w:szCs w:val="32"/>
      <w:lang w:val="en-US" w:eastAsia="zh-CN" w:bidi="ar-SA"/>
    </w:rPr>
  </w:style>
  <w:style w:type="paragraph" w:customStyle="1" w:styleId="1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113">
    <w:name w:val="样式1"/>
    <w:next w:val="1"/>
    <w:uiPriority w:val="0"/>
    <w:pPr>
      <w:widowControl w:val="0"/>
      <w:tabs>
        <w:tab w:val="left" w:pos="709"/>
      </w:tabs>
      <w:adjustRightInd w:val="0"/>
      <w:ind w:left="720" w:hanging="720"/>
      <w:jc w:val="both"/>
      <w:textAlignment w:val="baseline"/>
    </w:pPr>
    <w:rPr>
      <w:rFonts w:ascii="宋体" w:hAnsi="Calibri" w:eastAsia="宋体" w:cs="Times New Roman"/>
      <w:sz w:val="21"/>
      <w:lang w:val="en-US" w:eastAsia="zh-CN" w:bidi="ar-SA"/>
    </w:rPr>
  </w:style>
  <w:style w:type="paragraph" w:customStyle="1" w:styleId="114">
    <w:name w:val="项目符2"/>
    <w:basedOn w:val="1"/>
    <w:qFormat/>
    <w:uiPriority w:val="0"/>
    <w:pPr>
      <w:tabs>
        <w:tab w:val="left" w:pos="840"/>
      </w:tabs>
      <w:spacing w:afterLines="50"/>
      <w:ind w:left="840" w:hanging="420"/>
    </w:pPr>
    <w:rPr>
      <w:szCs w:val="21"/>
    </w:rPr>
  </w:style>
  <w:style w:type="paragraph" w:customStyle="1" w:styleId="115">
    <w:name w:val="Char Char Char Char Char Char Char1"/>
    <w:basedOn w:val="13"/>
    <w:qFormat/>
    <w:uiPriority w:val="0"/>
  </w:style>
  <w:style w:type="paragraph" w:customStyle="1" w:styleId="116">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17">
    <w:name w:val="Char"/>
    <w:basedOn w:val="1"/>
    <w:qFormat/>
    <w:uiPriority w:val="0"/>
    <w:pPr>
      <w:snapToGrid w:val="0"/>
      <w:spacing w:line="408" w:lineRule="auto"/>
      <w:ind w:firstLine="200" w:firstLineChars="200"/>
      <w:jc w:val="center"/>
    </w:pPr>
    <w:rPr>
      <w:rFonts w:ascii="黑体" w:hAnsi="黑体" w:eastAsia="仿宋_GB2312"/>
      <w:sz w:val="24"/>
      <w:szCs w:val="44"/>
    </w:rPr>
  </w:style>
  <w:style w:type="paragraph" w:customStyle="1" w:styleId="118">
    <w:name w:val="reader-word-layer reader-word-s1-14"/>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19">
    <w:name w:val="正文1"/>
    <w:basedOn w:val="1"/>
    <w:uiPriority w:val="0"/>
    <w:pPr>
      <w:spacing w:line="360" w:lineRule="auto"/>
      <w:ind w:firstLine="435"/>
    </w:pPr>
    <w:rPr>
      <w:rFonts w:ascii="宋体"/>
    </w:rPr>
  </w:style>
  <w:style w:type="paragraph" w:customStyle="1" w:styleId="120">
    <w:name w:val="reader-word-layer reader-word-s1-11"/>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21">
    <w:name w:val="Table Text"/>
    <w:basedOn w:val="1"/>
    <w:qFormat/>
    <w:uiPriority w:val="0"/>
    <w:pPr>
      <w:widowControl/>
      <w:spacing w:before="80" w:after="80"/>
      <w:jc w:val="left"/>
    </w:pPr>
    <w:rPr>
      <w:rFonts w:ascii="Arial" w:hAnsi="Arial" w:cs="Arial"/>
      <w:kern w:val="0"/>
      <w:szCs w:val="20"/>
      <w:lang w:val="en-GB" w:eastAsia="en-GB"/>
    </w:rPr>
  </w:style>
  <w:style w:type="paragraph" w:customStyle="1" w:styleId="122">
    <w:name w:val="p0"/>
    <w:basedOn w:val="1"/>
    <w:qFormat/>
    <w:uiPriority w:val="0"/>
    <w:pPr>
      <w:widowControl/>
    </w:pPr>
    <w:rPr>
      <w:rFonts w:ascii="宋体" w:cs="宋体"/>
      <w:kern w:val="0"/>
      <w:szCs w:val="21"/>
    </w:rPr>
  </w:style>
  <w:style w:type="paragraph" w:customStyle="1" w:styleId="123">
    <w:name w:val="reader-word-layer"/>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125">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26">
    <w:name w:val="Char11"/>
    <w:basedOn w:val="1"/>
    <w:qFormat/>
    <w:uiPriority w:val="0"/>
    <w:pPr>
      <w:widowControl/>
      <w:spacing w:after="160" w:line="240" w:lineRule="exact"/>
      <w:jc w:val="left"/>
    </w:pPr>
    <w:rPr>
      <w:szCs w:val="20"/>
    </w:rPr>
  </w:style>
  <w:style w:type="paragraph" w:customStyle="1" w:styleId="127">
    <w:name w:val="Char1"/>
    <w:basedOn w:val="1"/>
    <w:qFormat/>
    <w:uiPriority w:val="0"/>
  </w:style>
  <w:style w:type="paragraph" w:customStyle="1" w:styleId="128">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cs="宋体"/>
      <w:kern w:val="0"/>
      <w:sz w:val="20"/>
      <w:szCs w:val="20"/>
    </w:rPr>
  </w:style>
  <w:style w:type="paragraph" w:customStyle="1" w:styleId="129">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30">
    <w:name w:val="font6"/>
    <w:basedOn w:val="1"/>
    <w:qFormat/>
    <w:uiPriority w:val="0"/>
    <w:pPr>
      <w:widowControl/>
      <w:spacing w:before="100" w:beforeAutospacing="1" w:after="100" w:afterAutospacing="1"/>
      <w:jc w:val="left"/>
    </w:pPr>
    <w:rPr>
      <w:rFonts w:ascii="宋体" w:cs="宋体"/>
      <w:kern w:val="0"/>
      <w:sz w:val="24"/>
    </w:rPr>
  </w:style>
  <w:style w:type="paragraph" w:customStyle="1" w:styleId="131">
    <w:name w:val="reader-word-layer reader-word-s1-9"/>
    <w:next w:val="1"/>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1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34">
    <w:name w:val="正文首行缩进 2 Char"/>
    <w:basedOn w:val="74"/>
    <w:link w:val="38"/>
    <w:semiHidden/>
    <w:uiPriority w:val="99"/>
    <w:rPr>
      <w:rFonts w:ascii="Calibri" w:hAnsi="Calibri" w:eastAsia="宋体" w:cs="Times New Roman"/>
      <w:spacing w:val="20"/>
      <w:kern w:val="2"/>
      <w:sz w:val="21"/>
      <w:szCs w:val="24"/>
    </w:rPr>
  </w:style>
  <w:style w:type="paragraph" w:customStyle="1" w:styleId="135">
    <w:name w:val="15"/>
    <w:basedOn w:val="1"/>
    <w:uiPriority w:val="0"/>
    <w:pPr>
      <w:widowControl/>
      <w:spacing w:before="100" w:beforeAutospacing="1" w:after="100" w:afterAutospacing="1"/>
      <w:jc w:val="left"/>
    </w:pPr>
    <w:rPr>
      <w:rFonts w:ascii="宋体" w:hAnsi="宋体" w:cs="宋体"/>
      <w:kern w:val="0"/>
      <w:sz w:val="24"/>
    </w:rPr>
  </w:style>
  <w:style w:type="paragraph" w:customStyle="1" w:styleId="136">
    <w:name w:val="p"/>
    <w:basedOn w:val="1"/>
    <w:uiPriority w:val="0"/>
    <w:pPr>
      <w:widowControl/>
      <w:spacing w:before="100" w:beforeAutospacing="1" w:after="100" w:afterAutospacing="1"/>
      <w:jc w:val="left"/>
    </w:pPr>
    <w:rPr>
      <w:rFonts w:ascii="宋体" w:hAnsi="宋体" w:cs="宋体"/>
      <w:kern w:val="0"/>
      <w:sz w:val="24"/>
    </w:rPr>
  </w:style>
  <w:style w:type="paragraph" w:customStyle="1" w:styleId="137">
    <w:name w:val="vsbcontent_star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招标文件样式2"/>
    <w:basedOn w:val="1"/>
    <w:uiPriority w:val="0"/>
    <w:pPr>
      <w:jc w:val="center"/>
      <w:outlineLvl w:val="0"/>
    </w:pPr>
    <w:rPr>
      <w:rFonts w:ascii="宋体" w:hAnsi="宋体"/>
      <w:b/>
      <w:sz w:val="28"/>
      <w:szCs w:val="28"/>
    </w:rPr>
  </w:style>
  <w:style w:type="paragraph" w:customStyle="1" w:styleId="139">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140">
    <w:name w:val="List Paragraph"/>
    <w:basedOn w:val="1"/>
    <w:link w:val="142"/>
    <w:unhideWhenUsed/>
    <w:qFormat/>
    <w:uiPriority w:val="0"/>
    <w:pPr>
      <w:ind w:firstLine="420" w:firstLineChars="200"/>
    </w:pPr>
    <w:rPr>
      <w:rFonts w:ascii="Times New Roman" w:hAnsi="Times New Roman"/>
    </w:rPr>
  </w:style>
  <w:style w:type="character" w:customStyle="1" w:styleId="141">
    <w:name w:val="标题 Char"/>
    <w:basedOn w:val="41"/>
    <w:link w:val="36"/>
    <w:uiPriority w:val="10"/>
    <w:rPr>
      <w:rFonts w:ascii="Calibri Light" w:hAnsi="Calibri Light"/>
      <w:b/>
      <w:bCs/>
      <w:kern w:val="2"/>
      <w:sz w:val="32"/>
      <w:szCs w:val="32"/>
    </w:rPr>
  </w:style>
  <w:style w:type="character" w:customStyle="1" w:styleId="142">
    <w:name w:val="列出段落 Char"/>
    <w:link w:val="140"/>
    <w:locked/>
    <w:uiPriority w:val="0"/>
    <w:rPr>
      <w:kern w:val="2"/>
      <w:sz w:val="21"/>
      <w:szCs w:val="24"/>
    </w:rPr>
  </w:style>
  <w:style w:type="character" w:customStyle="1" w:styleId="143">
    <w:name w:val="列出段落 Char1"/>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65DCD-0390-4344-9D17-2C933DA306E5}">
  <ds:schemaRefs/>
</ds:datastoreItem>
</file>

<file path=docProps/app.xml><?xml version="1.0" encoding="utf-8"?>
<Properties xmlns="http://schemas.openxmlformats.org/officeDocument/2006/extended-properties" xmlns:vt="http://schemas.openxmlformats.org/officeDocument/2006/docPropsVTypes">
  <Template>Normal</Template>
  <Company>IT</Company>
  <Pages>50</Pages>
  <Words>30761</Words>
  <Characters>32699</Characters>
  <Lines>249</Lines>
  <Paragraphs>70</Paragraphs>
  <TotalTime>1521</TotalTime>
  <ScaleCrop>false</ScaleCrop>
  <LinksUpToDate>false</LinksUpToDate>
  <CharactersWithSpaces>33874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2018-08-31T00:29:00Z</dcterms:created>
  <dc:creator>Sky</dc:creator>
  <cp:lastModifiedBy>Administrator</cp:lastModifiedBy>
  <cp:lastPrinted>2021-04-22T01:40:00Z</cp:lastPrinted>
  <dcterms:modified xsi:type="dcterms:W3CDTF">2022-12-19T16:22:01Z</dcterms:modified>
  <dc:title>政府采购服务项目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64F6832A586E4A569E33AFE39295782E</vt:lpwstr>
  </property>
</Properties>
</file>