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4"/>
          <w:szCs w:val="24"/>
        </w:rPr>
      </w:pPr>
    </w:p>
    <w:p>
      <w:pPr>
        <w:jc w:val="center"/>
        <w:rPr>
          <w:color w:val="000000" w:themeColor="text1"/>
          <w:sz w:val="84"/>
          <w:szCs w:val="84"/>
          <w14:textFill>
            <w14:solidFill>
              <w14:schemeClr w14:val="tx1"/>
            </w14:solidFill>
          </w14:textFill>
        </w:rPr>
      </w:pPr>
      <w:r>
        <w:rPr>
          <w:sz w:val="24"/>
          <w:szCs w:val="24"/>
        </w:rPr>
        <w:t xml:space="preserve">   </w:t>
      </w:r>
      <w:r>
        <w:rPr>
          <w:rFonts w:hint="eastAsia"/>
          <w:color w:val="000000" w:themeColor="text1"/>
          <w:sz w:val="84"/>
          <w:szCs w:val="84"/>
          <w14:textFill>
            <w14:solidFill>
              <w14:schemeClr w14:val="tx1"/>
            </w14:solidFill>
          </w14:textFill>
        </w:rPr>
        <w:t xml:space="preserve">谈 </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判</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文</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件</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spacing w:line="720" w:lineRule="auto"/>
        <w:jc w:val="center"/>
        <w:rPr>
          <w:rFonts w:hint="default" w:eastAsia="宋体"/>
          <w:color w:val="FF0000"/>
          <w:sz w:val="36"/>
          <w:szCs w:val="36"/>
          <w:lang w:eastAsia="zh-Hans"/>
        </w:rPr>
      </w:pPr>
      <w:r>
        <w:rPr>
          <w:rFonts w:hint="eastAsia"/>
          <w:color w:val="auto"/>
          <w:sz w:val="36"/>
          <w:szCs w:val="36"/>
        </w:rPr>
        <w:t>项目编号：[2022]18081</w:t>
      </w:r>
      <w:r>
        <w:rPr>
          <w:rFonts w:hint="eastAsia"/>
          <w:color w:val="auto"/>
          <w:sz w:val="36"/>
          <w:szCs w:val="36"/>
          <w:lang w:val="en-US" w:eastAsia="zh-CN"/>
        </w:rPr>
        <w:t>-02</w:t>
      </w:r>
      <w:r>
        <w:rPr>
          <w:rFonts w:hint="eastAsia"/>
          <w:color w:val="auto"/>
          <w:sz w:val="36"/>
          <w:szCs w:val="36"/>
        </w:rPr>
        <w:t>号</w:t>
      </w:r>
    </w:p>
    <w:p>
      <w:pPr>
        <w:pStyle w:val="34"/>
        <w:rPr>
          <w:rFonts w:hint="eastAsia"/>
          <w:color w:val="000000" w:themeColor="text1"/>
          <w:sz w:val="36"/>
          <w:szCs w:val="36"/>
          <w:lang w:val="en-US" w:eastAsia="zh-CN"/>
          <w14:textFill>
            <w14:solidFill>
              <w14:schemeClr w14:val="tx1"/>
            </w14:solidFill>
          </w14:textFill>
        </w:rPr>
      </w:pPr>
    </w:p>
    <w:p>
      <w:pPr>
        <w:rPr>
          <w:rFonts w:hint="eastAsia"/>
          <w:color w:val="000000" w:themeColor="text1"/>
          <w:sz w:val="36"/>
          <w:szCs w:val="36"/>
          <w:lang w:val="en-US" w:eastAsia="zh-CN"/>
          <w14:textFill>
            <w14:solidFill>
              <w14:schemeClr w14:val="tx1"/>
            </w14:solidFill>
          </w14:textFill>
        </w:rPr>
      </w:pPr>
    </w:p>
    <w:p>
      <w:pPr>
        <w:pStyle w:val="34"/>
      </w:pPr>
    </w:p>
    <w:p>
      <w:pPr>
        <w:spacing w:line="480" w:lineRule="auto"/>
        <w:ind w:right="890" w:rightChars="424"/>
        <w:jc w:val="both"/>
        <w:rPr>
          <w:rFonts w:hint="default" w:eastAsia="宋体"/>
          <w:b w:val="0"/>
          <w:bCs w:val="0"/>
          <w:color w:val="auto"/>
          <w:lang w:val="en-US" w:eastAsia="zh-CN"/>
        </w:rPr>
      </w:pPr>
      <w:r>
        <w:rPr>
          <w:rFonts w:hint="eastAsia"/>
          <w:color w:val="000000" w:themeColor="text1"/>
          <w:sz w:val="36"/>
          <w:szCs w:val="36"/>
          <w14:textFill>
            <w14:solidFill>
              <w14:schemeClr w14:val="tx1"/>
            </w14:solidFill>
          </w14:textFill>
        </w:rPr>
        <w:t>项目名称：</w:t>
      </w:r>
      <w:r>
        <w:rPr>
          <w:rFonts w:hint="default" w:ascii="Times New Roman" w:hAnsi="Times New Roman" w:eastAsia="宋体" w:cs="Times New Roman"/>
          <w:b w:val="0"/>
          <w:bCs w:val="0"/>
          <w:color w:val="auto"/>
          <w:sz w:val="36"/>
          <w:szCs w:val="36"/>
        </w:rPr>
        <w:t>新疆医科大学第一附属医院视频监控系统设备招标项目</w:t>
      </w:r>
      <w:r>
        <w:rPr>
          <w:rFonts w:hint="eastAsia" w:cs="Times New Roman"/>
          <w:b w:val="0"/>
          <w:bCs w:val="0"/>
          <w:color w:val="auto"/>
          <w:sz w:val="36"/>
          <w:szCs w:val="36"/>
          <w:lang w:val="en-US" w:eastAsia="zh-CN"/>
        </w:rPr>
        <w:t>(二次)</w:t>
      </w:r>
    </w:p>
    <w:p>
      <w:pPr>
        <w:spacing w:line="720" w:lineRule="auto"/>
        <w:jc w:val="both"/>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委托单位：新疆医科大学第一附属医院</w:t>
      </w:r>
    </w:p>
    <w:p>
      <w:pPr>
        <w:spacing w:line="720" w:lineRule="auto"/>
        <w:jc w:val="both"/>
        <w:rPr>
          <w:rFonts w:hint="eastAsia" w:eastAsia="宋体"/>
          <w:color w:val="000000" w:themeColor="text1"/>
          <w:sz w:val="36"/>
          <w:szCs w:val="36"/>
          <w:lang w:eastAsia="zh-CN"/>
          <w14:textFill>
            <w14:solidFill>
              <w14:schemeClr w14:val="tx1"/>
            </w14:solidFill>
          </w14:textFill>
        </w:rPr>
      </w:pPr>
      <w:r>
        <w:rPr>
          <w:rFonts w:hint="eastAsia"/>
          <w:color w:val="000000" w:themeColor="text1"/>
          <w:sz w:val="36"/>
          <w:szCs w:val="36"/>
          <w14:textFill>
            <w14:solidFill>
              <w14:schemeClr w14:val="tx1"/>
            </w14:solidFill>
          </w14:textFill>
        </w:rPr>
        <w:t>代理机构：</w:t>
      </w:r>
      <w:r>
        <w:rPr>
          <w:rFonts w:hint="eastAsia"/>
          <w:color w:val="000000" w:themeColor="text1"/>
          <w:sz w:val="36"/>
          <w:szCs w:val="36"/>
          <w:u w:val="none"/>
          <w:lang w:eastAsia="zh-CN"/>
          <w14:textFill>
            <w14:solidFill>
              <w14:schemeClr w14:val="tx1"/>
            </w14:solidFill>
          </w14:textFill>
        </w:rPr>
        <w:t>华诚博远工程咨询有限公司</w:t>
      </w:r>
    </w:p>
    <w:p>
      <w:pPr>
        <w:jc w:val="center"/>
        <w:rPr>
          <w:color w:val="000000" w:themeColor="text1"/>
          <w:sz w:val="24"/>
          <w:szCs w:val="24"/>
          <w14:textFill>
            <w14:solidFill>
              <w14:schemeClr w14:val="tx1"/>
            </w14:solidFill>
          </w14:textFill>
        </w:rPr>
      </w:pPr>
    </w:p>
    <w:p>
      <w:pPr>
        <w:jc w:val="both"/>
        <w:rPr>
          <w:color w:val="000000" w:themeColor="text1"/>
          <w:sz w:val="24"/>
          <w:szCs w:val="24"/>
          <w14:textFill>
            <w14:solidFill>
              <w14:schemeClr w14:val="tx1"/>
            </w14:solidFill>
          </w14:textFill>
        </w:rPr>
      </w:pPr>
    </w:p>
    <w:sdt>
      <w:sdtPr>
        <w:rPr>
          <w:rFonts w:ascii="Times New Roman" w:hAnsi="Times New Roman"/>
          <w:b w:val="0"/>
          <w:bCs w:val="0"/>
          <w:color w:val="auto"/>
          <w:kern w:val="2"/>
          <w:sz w:val="21"/>
          <w:szCs w:val="20"/>
          <w:lang w:val="zh-CN"/>
        </w:rPr>
        <w:id w:val="1"/>
      </w:sdtPr>
      <w:sdtEndPr>
        <w:rPr>
          <w:rFonts w:ascii="Times New Roman" w:hAnsi="Times New Roman"/>
          <w:b w:val="0"/>
          <w:bCs w:val="0"/>
          <w:color w:val="auto"/>
          <w:kern w:val="2"/>
          <w:sz w:val="21"/>
          <w:szCs w:val="20"/>
          <w:lang w:val="zh-CN"/>
        </w:rPr>
      </w:sdtEndPr>
      <w:sdtContent>
        <w:p>
          <w:pPr>
            <w:pStyle w:val="87"/>
            <w:jc w:val="center"/>
            <w:rPr>
              <w:rFonts w:hint="eastAsia" w:ascii="宋体" w:hAnsi="宋体" w:eastAsia="宋体" w:cs="宋体"/>
              <w:color w:val="auto"/>
            </w:rPr>
          </w:pPr>
          <w:r>
            <w:rPr>
              <w:rFonts w:hint="eastAsia" w:ascii="宋体" w:hAnsi="宋体" w:eastAsia="宋体" w:cs="宋体"/>
              <w:color w:val="auto"/>
              <w:lang w:val="zh-CN"/>
            </w:rPr>
            <w:t>目录</w:t>
          </w:r>
        </w:p>
        <w:p>
          <w:pPr>
            <w:pStyle w:val="39"/>
            <w:tabs>
              <w:tab w:val="right" w:leader="dot" w:pos="9747"/>
            </w:tabs>
          </w:pPr>
          <w:r>
            <w:fldChar w:fldCharType="begin"/>
          </w:r>
          <w:r>
            <w:instrText xml:space="preserve"> TOC \o "1-3" \h \z \u </w:instrText>
          </w:r>
          <w:r>
            <w:fldChar w:fldCharType="separate"/>
          </w:r>
          <w:r>
            <w:fldChar w:fldCharType="begin"/>
          </w:r>
          <w:r>
            <w:instrText xml:space="preserve"> HYPERLINK \l _Toc11600 </w:instrText>
          </w:r>
          <w:r>
            <w:fldChar w:fldCharType="separate"/>
          </w:r>
          <w:r>
            <w:rPr>
              <w:rFonts w:hint="eastAsia"/>
            </w:rPr>
            <w:t>第一部分</w:t>
          </w:r>
          <w:r>
            <w:t xml:space="preserve"> </w:t>
          </w:r>
          <w:r>
            <w:rPr>
              <w:rFonts w:hint="eastAsia"/>
            </w:rPr>
            <w:t>谈判</w:t>
          </w:r>
          <w:r>
            <w:rPr>
              <w:rFonts w:hint="eastAsia"/>
              <w:lang w:eastAsia="zh-CN"/>
            </w:rPr>
            <w:t>公告</w:t>
          </w:r>
          <w:r>
            <w:tab/>
          </w:r>
          <w:r>
            <w:rPr>
              <w:rFonts w:hint="eastAsia"/>
              <w:lang w:val="en-US" w:eastAsia="zh-CN"/>
            </w:rPr>
            <w:t>3</w:t>
          </w:r>
          <w:r>
            <w:fldChar w:fldCharType="end"/>
          </w:r>
        </w:p>
        <w:p>
          <w:pPr>
            <w:pStyle w:val="39"/>
            <w:tabs>
              <w:tab w:val="right" w:leader="dot" w:pos="9747"/>
            </w:tabs>
          </w:pPr>
          <w:r>
            <w:rPr>
              <w:bCs/>
              <w:lang w:val="zh-CN"/>
            </w:rPr>
            <w:fldChar w:fldCharType="begin"/>
          </w:r>
          <w:r>
            <w:rPr>
              <w:bCs/>
              <w:lang w:val="zh-CN"/>
            </w:rPr>
            <w:instrText xml:space="preserve"> HYPERLINK \l _Toc887 </w:instrText>
          </w:r>
          <w:r>
            <w:rPr>
              <w:bCs/>
              <w:lang w:val="zh-CN"/>
            </w:rPr>
            <w:fldChar w:fldCharType="separate"/>
          </w:r>
          <w:r>
            <w:rPr>
              <w:rFonts w:hint="eastAsia"/>
            </w:rPr>
            <w:t>第二部分</w:t>
          </w:r>
          <w:r>
            <w:t xml:space="preserve"> </w:t>
          </w:r>
          <w:r>
            <w:rPr>
              <w:rFonts w:hint="eastAsia"/>
            </w:rPr>
            <w:t>供应商须知</w:t>
          </w:r>
          <w:r>
            <w:tab/>
          </w:r>
          <w:r>
            <w:rPr>
              <w:rFonts w:hint="eastAsia"/>
              <w:lang w:val="en-US" w:eastAsia="zh-CN"/>
            </w:rPr>
            <w:t>6</w:t>
          </w:r>
          <w:r>
            <w:rPr>
              <w:bCs/>
              <w:lang w:val="zh-CN"/>
            </w:rPr>
            <w:fldChar w:fldCharType="end"/>
          </w:r>
        </w:p>
        <w:p>
          <w:pPr>
            <w:pStyle w:val="39"/>
            <w:tabs>
              <w:tab w:val="right" w:leader="dot" w:pos="9747"/>
            </w:tabs>
          </w:pPr>
          <w:r>
            <w:rPr>
              <w:bCs/>
              <w:lang w:val="zh-CN"/>
            </w:rPr>
            <w:fldChar w:fldCharType="begin"/>
          </w:r>
          <w:r>
            <w:rPr>
              <w:bCs/>
              <w:lang w:val="zh-CN"/>
            </w:rPr>
            <w:instrText xml:space="preserve"> HYPERLINK \l _Toc10608 </w:instrText>
          </w:r>
          <w:r>
            <w:rPr>
              <w:bCs/>
              <w:lang w:val="zh-CN"/>
            </w:rPr>
            <w:fldChar w:fldCharType="separate"/>
          </w:r>
          <w:r>
            <w:rPr>
              <w:rFonts w:hint="eastAsia"/>
            </w:rPr>
            <w:t>第二部分供应商须知</w:t>
          </w:r>
          <w:r>
            <w:tab/>
          </w:r>
          <w:r>
            <w:fldChar w:fldCharType="begin"/>
          </w:r>
          <w:r>
            <w:instrText xml:space="preserve"> PAGEREF _Toc10608 \h </w:instrText>
          </w:r>
          <w:r>
            <w:fldChar w:fldCharType="separate"/>
          </w:r>
          <w:r>
            <w:t>6</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_Toc19562 </w:instrText>
          </w:r>
          <w:r>
            <w:rPr>
              <w:bCs/>
              <w:lang w:val="zh-CN"/>
            </w:rPr>
            <w:fldChar w:fldCharType="separate"/>
          </w:r>
          <w:r>
            <w:t xml:space="preserve">A  </w:t>
          </w:r>
          <w:r>
            <w:rPr>
              <w:rFonts w:hint="eastAsia"/>
            </w:rPr>
            <w:t>说　明</w:t>
          </w:r>
          <w:r>
            <w:tab/>
          </w:r>
          <w:r>
            <w:fldChar w:fldCharType="begin"/>
          </w:r>
          <w:r>
            <w:instrText xml:space="preserve"> PAGEREF _Toc19562 \h </w:instrText>
          </w:r>
          <w:r>
            <w:fldChar w:fldCharType="separate"/>
          </w:r>
          <w:r>
            <w:t>8</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_Toc14904 </w:instrText>
          </w:r>
          <w:r>
            <w:rPr>
              <w:bCs/>
              <w:lang w:val="zh-CN"/>
            </w:rPr>
            <w:fldChar w:fldCharType="separate"/>
          </w:r>
          <w:r>
            <w:t>B</w:t>
          </w:r>
          <w:r>
            <w:rPr>
              <w:rFonts w:hint="eastAsia"/>
            </w:rPr>
            <w:t>　谈判文件</w:t>
          </w:r>
          <w:r>
            <w:tab/>
          </w:r>
          <w:r>
            <w:fldChar w:fldCharType="begin"/>
          </w:r>
          <w:r>
            <w:instrText xml:space="preserve"> PAGEREF _Toc14904 \h </w:instrText>
          </w:r>
          <w:r>
            <w:fldChar w:fldCharType="separate"/>
          </w:r>
          <w:r>
            <w:t>9</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_Toc27723 </w:instrText>
          </w:r>
          <w:r>
            <w:rPr>
              <w:bCs/>
              <w:lang w:val="zh-CN"/>
            </w:rPr>
            <w:fldChar w:fldCharType="separate"/>
          </w:r>
          <w:r>
            <w:t xml:space="preserve">C </w:t>
          </w:r>
          <w:r>
            <w:rPr>
              <w:rFonts w:hint="eastAsia"/>
            </w:rPr>
            <w:t>谈判响应文件的编写</w:t>
          </w:r>
          <w:r>
            <w:tab/>
          </w:r>
          <w:r>
            <w:fldChar w:fldCharType="begin"/>
          </w:r>
          <w:r>
            <w:instrText xml:space="preserve"> PAGEREF _Toc27723 \h </w:instrText>
          </w:r>
          <w:r>
            <w:fldChar w:fldCharType="separate"/>
          </w:r>
          <w:r>
            <w:t>10</w:t>
          </w:r>
          <w:r>
            <w:fldChar w:fldCharType="end"/>
          </w:r>
          <w:r>
            <w:rPr>
              <w:bCs/>
              <w:lang w:val="zh-CN"/>
            </w:rPr>
            <w:fldChar w:fldCharType="end"/>
          </w:r>
        </w:p>
        <w:p>
          <w:pPr>
            <w:pStyle w:val="26"/>
            <w:tabs>
              <w:tab w:val="right" w:leader="dot" w:pos="9747"/>
            </w:tabs>
          </w:pPr>
          <w:r>
            <w:rPr>
              <w:bCs/>
              <w:lang w:val="zh-CN"/>
            </w:rPr>
            <w:fldChar w:fldCharType="begin"/>
          </w:r>
          <w:r>
            <w:rPr>
              <w:bCs/>
              <w:lang w:val="zh-CN"/>
            </w:rPr>
            <w:instrText xml:space="preserve"> HYPERLINK \l _Toc9358 </w:instrText>
          </w:r>
          <w:r>
            <w:rPr>
              <w:bCs/>
              <w:lang w:val="zh-CN"/>
            </w:rPr>
            <w:fldChar w:fldCharType="separate"/>
          </w:r>
          <w:r>
            <w:t xml:space="preserve">D </w:t>
          </w:r>
          <w:r>
            <w:rPr>
              <w:rFonts w:hint="eastAsia"/>
            </w:rPr>
            <w:t>谈判响应文件的递交</w:t>
          </w:r>
          <w:r>
            <w:tab/>
          </w:r>
          <w:r>
            <w:fldChar w:fldCharType="begin"/>
          </w:r>
          <w:r>
            <w:instrText xml:space="preserve"> PAGEREF _Toc9358 \h </w:instrText>
          </w:r>
          <w:r>
            <w:fldChar w:fldCharType="separate"/>
          </w:r>
          <w:r>
            <w:t>12</w:t>
          </w:r>
          <w:r>
            <w:fldChar w:fldCharType="end"/>
          </w:r>
          <w:r>
            <w:rPr>
              <w:bCs/>
              <w:lang w:val="zh-CN"/>
            </w:rPr>
            <w:fldChar w:fldCharType="end"/>
          </w:r>
        </w:p>
        <w:p>
          <w:pPr>
            <w:pStyle w:val="26"/>
            <w:tabs>
              <w:tab w:val="right" w:leader="dot" w:pos="9747"/>
            </w:tabs>
            <w:rPr>
              <w:rFonts w:ascii="Times New Roman" w:hAnsi="Times New Roman" w:eastAsia="宋体" w:cs="Times New Roman"/>
              <w:bCs/>
              <w:lang w:val="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_Toc3453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 xml:space="preserve">E </w:t>
          </w:r>
          <w:r>
            <w:rPr>
              <w:rFonts w:hint="eastAsia" w:ascii="Times New Roman" w:hAnsi="Times New Roman" w:eastAsia="宋体" w:cs="Times New Roman"/>
              <w:bCs/>
              <w:lang w:val="zh-CN"/>
            </w:rPr>
            <w:t>谈判过程</w:t>
          </w:r>
          <w:r>
            <w:rPr>
              <w:rFonts w:ascii="Times New Roman" w:hAnsi="Times New Roman" w:eastAsia="宋体" w:cs="Times New Roman"/>
              <w:bCs/>
              <w:lang w:val="zh-CN"/>
            </w:rPr>
            <w:tab/>
          </w: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PAGEREF _Toc3453 \h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13</w:t>
          </w:r>
          <w:r>
            <w:rPr>
              <w:rFonts w:ascii="Times New Roman" w:hAnsi="Times New Roman" w:eastAsia="宋体" w:cs="Times New Roman"/>
              <w:bCs/>
              <w:lang w:val="zh-CN"/>
            </w:rPr>
            <w:fldChar w:fldCharType="end"/>
          </w:r>
          <w:r>
            <w:rPr>
              <w:rFonts w:ascii="Times New Roman" w:hAnsi="Times New Roman" w:eastAsia="宋体" w:cs="Times New Roman"/>
              <w:bCs/>
              <w:lang w:val="zh-CN"/>
            </w:rPr>
            <w:fldChar w:fldCharType="end"/>
          </w:r>
        </w:p>
        <w:p>
          <w:pPr>
            <w:pStyle w:val="26"/>
            <w:tabs>
              <w:tab w:val="right" w:leader="dot" w:pos="9747"/>
            </w:tabs>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F评标办法</w:t>
          </w:r>
          <w:r>
            <w:rPr>
              <w:rFonts w:hint="eastAsia" w:ascii="Times New Roman" w:hAnsi="Times New Roman" w:eastAsia="宋体" w:cs="Times New Roman"/>
              <w:bCs/>
              <w:lang w:val="en-US" w:eastAsia="zh-CN"/>
            </w:rPr>
            <w:tab/>
          </w:r>
          <w:r>
            <w:rPr>
              <w:rFonts w:hint="eastAsia" w:ascii="Times New Roman" w:hAnsi="Times New Roman" w:eastAsia="宋体" w:cs="Times New Roman"/>
              <w:bCs/>
              <w:lang w:val="en-US" w:eastAsia="zh-CN"/>
            </w:rPr>
            <w:t>16</w:t>
          </w:r>
        </w:p>
        <w:p>
          <w:pPr>
            <w:pStyle w:val="26"/>
            <w:tabs>
              <w:tab w:val="right" w:leader="dot" w:pos="9747"/>
            </w:tabs>
            <w:rPr>
              <w:rFonts w:hint="eastAsia" w:eastAsia="宋体"/>
              <w:lang w:val="en-US" w:eastAsia="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_Toc26107 </w:instrText>
          </w:r>
          <w:r>
            <w:rPr>
              <w:rFonts w:ascii="Times New Roman" w:hAnsi="Times New Roman" w:eastAsia="宋体" w:cs="Times New Roman"/>
              <w:bCs/>
              <w:lang w:val="zh-CN"/>
            </w:rPr>
            <w:fldChar w:fldCharType="separate"/>
          </w:r>
          <w:r>
            <w:rPr>
              <w:rFonts w:hint="eastAsia" w:ascii="Times New Roman" w:hAnsi="Times New Roman" w:eastAsia="宋体" w:cs="Times New Roman"/>
              <w:bCs/>
              <w:lang w:val="en-US" w:eastAsia="zh-CN"/>
            </w:rPr>
            <w:t>G</w:t>
          </w:r>
          <w:r>
            <w:rPr>
              <w:rFonts w:ascii="Times New Roman" w:hAnsi="Times New Roman" w:eastAsia="宋体" w:cs="Times New Roman"/>
              <w:bCs/>
              <w:lang w:val="zh-CN"/>
            </w:rPr>
            <w:t xml:space="preserve"> </w:t>
          </w:r>
          <w:r>
            <w:rPr>
              <w:rFonts w:hint="eastAsia" w:ascii="Times New Roman" w:hAnsi="Times New Roman" w:eastAsia="宋体" w:cs="Times New Roman"/>
              <w:bCs/>
              <w:lang w:val="zh-CN"/>
            </w:rPr>
            <w:t>授予合同</w:t>
          </w:r>
          <w:r>
            <w:rPr>
              <w:rFonts w:ascii="Times New Roman" w:hAnsi="Times New Roman" w:eastAsia="宋体" w:cs="Times New Roman"/>
              <w:bCs/>
              <w:lang w:val="zh-CN"/>
            </w:rPr>
            <w:tab/>
          </w:r>
          <w:r>
            <w:rPr>
              <w:rFonts w:hint="eastAsia" w:ascii="Times New Roman" w:hAnsi="Times New Roman" w:eastAsia="宋体" w:cs="Times New Roman"/>
              <w:bCs/>
              <w:lang w:val="en-US" w:eastAsia="zh-CN"/>
            </w:rPr>
            <w:t>1</w:t>
          </w:r>
          <w:r>
            <w:rPr>
              <w:rFonts w:ascii="Times New Roman" w:hAnsi="Times New Roman" w:eastAsia="宋体" w:cs="Times New Roman"/>
              <w:bCs/>
              <w:lang w:val="zh-CN"/>
            </w:rPr>
            <w:fldChar w:fldCharType="end"/>
          </w:r>
          <w:r>
            <w:rPr>
              <w:rFonts w:hint="eastAsia" w:ascii="Times New Roman" w:hAnsi="Times New Roman" w:eastAsia="宋体" w:cs="Times New Roman"/>
              <w:bCs/>
              <w:lang w:val="en-US" w:eastAsia="zh-CN"/>
            </w:rPr>
            <w:t>7</w:t>
          </w:r>
        </w:p>
        <w:p>
          <w:pPr>
            <w:pStyle w:val="26"/>
            <w:tabs>
              <w:tab w:val="right" w:leader="dot" w:pos="9747"/>
            </w:tabs>
            <w:rPr>
              <w:rFonts w:hint="eastAsia" w:eastAsia="宋体"/>
              <w:lang w:val="en-US" w:eastAsia="zh-CN"/>
            </w:rPr>
          </w:pPr>
          <w:r>
            <w:rPr>
              <w:bCs/>
              <w:lang w:val="zh-CN"/>
            </w:rPr>
            <w:fldChar w:fldCharType="begin"/>
          </w:r>
          <w:r>
            <w:rPr>
              <w:bCs/>
              <w:lang w:val="zh-CN"/>
            </w:rPr>
            <w:instrText xml:space="preserve"> HYPERLINK \l _Toc2387 </w:instrText>
          </w:r>
          <w:r>
            <w:rPr>
              <w:bCs/>
              <w:lang w:val="zh-CN"/>
            </w:rPr>
            <w:fldChar w:fldCharType="separate"/>
          </w:r>
          <w:r>
            <w:rPr>
              <w:rFonts w:hint="eastAsia"/>
              <w:lang w:val="en-US" w:eastAsia="zh-CN"/>
            </w:rPr>
            <w:t>H</w:t>
          </w:r>
          <w:r>
            <w:t xml:space="preserve">  </w:t>
          </w:r>
          <w:r>
            <w:rPr>
              <w:rFonts w:hint="eastAsia"/>
            </w:rPr>
            <w:t>谈判失败条件</w:t>
          </w:r>
          <w:r>
            <w:tab/>
          </w:r>
          <w:r>
            <w:rPr>
              <w:rFonts w:hint="eastAsia"/>
              <w:lang w:val="en-US" w:eastAsia="zh-CN"/>
            </w:rPr>
            <w:t>1</w:t>
          </w:r>
          <w:r>
            <w:rPr>
              <w:bCs/>
              <w:lang w:val="zh-CN"/>
            </w:rPr>
            <w:fldChar w:fldCharType="end"/>
          </w:r>
          <w:r>
            <w:rPr>
              <w:rFonts w:hint="eastAsia"/>
              <w:bCs/>
              <w:lang w:val="en-US" w:eastAsia="zh-CN"/>
            </w:rPr>
            <w:t>7</w:t>
          </w:r>
        </w:p>
        <w:p>
          <w:pPr>
            <w:pStyle w:val="39"/>
            <w:tabs>
              <w:tab w:val="right" w:leader="dot" w:pos="9747"/>
            </w:tabs>
          </w:pPr>
          <w:r>
            <w:rPr>
              <w:bCs/>
              <w:lang w:val="zh-CN"/>
            </w:rPr>
            <w:fldChar w:fldCharType="begin"/>
          </w:r>
          <w:r>
            <w:rPr>
              <w:bCs/>
              <w:lang w:val="zh-CN"/>
            </w:rPr>
            <w:instrText xml:space="preserve"> HYPERLINK \l _Toc9413 </w:instrText>
          </w:r>
          <w:r>
            <w:rPr>
              <w:bCs/>
              <w:lang w:val="zh-CN"/>
            </w:rPr>
            <w:fldChar w:fldCharType="separate"/>
          </w:r>
          <w:r>
            <w:rPr>
              <w:rFonts w:hint="eastAsia"/>
            </w:rPr>
            <w:t>第三部分</w:t>
          </w:r>
          <w:r>
            <w:t xml:space="preserve">  </w:t>
          </w:r>
          <w:r>
            <w:rPr>
              <w:rFonts w:hint="eastAsia"/>
            </w:rPr>
            <w:t>技术要求</w:t>
          </w:r>
          <w:r>
            <w:tab/>
          </w:r>
          <w:r>
            <w:fldChar w:fldCharType="begin"/>
          </w:r>
          <w:r>
            <w:instrText xml:space="preserve"> PAGEREF _Toc9413 \h </w:instrText>
          </w:r>
          <w:r>
            <w:fldChar w:fldCharType="separate"/>
          </w:r>
          <w:r>
            <w:t>18</w:t>
          </w:r>
          <w:r>
            <w:fldChar w:fldCharType="end"/>
          </w:r>
          <w:r>
            <w:rPr>
              <w:bCs/>
              <w:lang w:val="zh-CN"/>
            </w:rPr>
            <w:fldChar w:fldCharType="end"/>
          </w:r>
        </w:p>
        <w:p>
          <w:pPr>
            <w:pStyle w:val="39"/>
            <w:tabs>
              <w:tab w:val="right" w:leader="dot" w:pos="9747"/>
            </w:tabs>
            <w:rPr>
              <w:rFonts w:hint="eastAsia" w:eastAsia="宋体"/>
              <w:lang w:val="en-US" w:eastAsia="zh-CN"/>
            </w:rPr>
          </w:pPr>
          <w:r>
            <w:rPr>
              <w:bCs/>
              <w:lang w:val="zh-CN"/>
            </w:rPr>
            <w:fldChar w:fldCharType="begin"/>
          </w:r>
          <w:r>
            <w:rPr>
              <w:bCs/>
              <w:lang w:val="zh-CN"/>
            </w:rPr>
            <w:instrText xml:space="preserve"> HYPERLINK \l _Toc24114 </w:instrText>
          </w:r>
          <w:r>
            <w:rPr>
              <w:bCs/>
              <w:lang w:val="zh-CN"/>
            </w:rPr>
            <w:fldChar w:fldCharType="separate"/>
          </w:r>
          <w:r>
            <w:rPr>
              <w:rFonts w:hint="eastAsia" w:ascii="宋体" w:hAnsi="Tahoma" w:eastAsia="宋体" w:cs="等线 Light"/>
              <w:bCs/>
              <w:kern w:val="2"/>
              <w:szCs w:val="28"/>
              <w:lang w:val="en-US" w:eastAsia="zh-CN" w:bidi="ar-SA"/>
            </w:rPr>
            <w:t>一、 项目概述</w:t>
          </w:r>
          <w:r>
            <w:tab/>
          </w:r>
          <w:r>
            <w:rPr>
              <w:rFonts w:hint="eastAsia"/>
              <w:lang w:val="en-US" w:eastAsia="zh-CN"/>
            </w:rPr>
            <w:t>1</w:t>
          </w:r>
          <w:r>
            <w:rPr>
              <w:bCs/>
              <w:lang w:val="zh-CN"/>
            </w:rPr>
            <w:fldChar w:fldCharType="end"/>
          </w:r>
          <w:r>
            <w:rPr>
              <w:rFonts w:hint="eastAsia"/>
              <w:bCs/>
              <w:lang w:val="en-US" w:eastAsia="zh-CN"/>
            </w:rPr>
            <w:t>8</w:t>
          </w:r>
        </w:p>
        <w:p>
          <w:pPr>
            <w:pStyle w:val="39"/>
            <w:tabs>
              <w:tab w:val="right" w:leader="dot" w:pos="9747"/>
            </w:tabs>
            <w:rPr>
              <w:rFonts w:hint="eastAsia" w:eastAsia="宋体"/>
              <w:lang w:val="en-US" w:eastAsia="zh-CN"/>
            </w:rPr>
          </w:pPr>
          <w:r>
            <w:rPr>
              <w:bCs/>
              <w:lang w:val="zh-CN"/>
            </w:rPr>
            <w:fldChar w:fldCharType="begin"/>
          </w:r>
          <w:r>
            <w:rPr>
              <w:bCs/>
              <w:lang w:val="zh-CN"/>
            </w:rPr>
            <w:instrText xml:space="preserve"> HYPERLINK \l _Toc31248 </w:instrText>
          </w:r>
          <w:r>
            <w:rPr>
              <w:bCs/>
              <w:lang w:val="zh-CN"/>
            </w:rPr>
            <w:fldChar w:fldCharType="separate"/>
          </w:r>
          <w:r>
            <w:rPr>
              <w:rFonts w:hint="eastAsia" w:ascii="宋体" w:hAnsi="Tahoma" w:eastAsia="宋体" w:cs="等线 Light"/>
              <w:bCs/>
              <w:kern w:val="2"/>
              <w:szCs w:val="28"/>
              <w:lang w:val="en-US" w:eastAsia="zh-CN" w:bidi="ar-SA"/>
            </w:rPr>
            <w:t>二、 项目内容及规格参数</w:t>
          </w:r>
          <w:r>
            <w:tab/>
          </w:r>
          <w:r>
            <w:rPr>
              <w:rFonts w:hint="eastAsia"/>
              <w:lang w:val="en-US" w:eastAsia="zh-CN"/>
            </w:rPr>
            <w:t>1</w:t>
          </w:r>
          <w:r>
            <w:rPr>
              <w:bCs/>
              <w:lang w:val="zh-CN"/>
            </w:rPr>
            <w:fldChar w:fldCharType="end"/>
          </w:r>
          <w:r>
            <w:rPr>
              <w:rFonts w:hint="eastAsia"/>
              <w:bCs/>
              <w:lang w:val="en-US" w:eastAsia="zh-CN"/>
            </w:rPr>
            <w:t>8</w:t>
          </w:r>
        </w:p>
        <w:p>
          <w:pPr>
            <w:pStyle w:val="34"/>
            <w:tabs>
              <w:tab w:val="right" w:leader="dot" w:pos="9747"/>
            </w:tabs>
            <w:ind w:firstLine="420" w:firstLineChars="200"/>
          </w:pPr>
          <w:r>
            <w:rPr>
              <w:bCs/>
              <w:lang w:val="zh-CN"/>
            </w:rPr>
            <w:fldChar w:fldCharType="begin"/>
          </w:r>
          <w:r>
            <w:rPr>
              <w:bCs/>
              <w:lang w:val="zh-CN"/>
            </w:rPr>
            <w:instrText xml:space="preserve"> HYPERLINK \l _Toc19386 </w:instrText>
          </w:r>
          <w:r>
            <w:rPr>
              <w:bCs/>
              <w:lang w:val="zh-CN"/>
            </w:rPr>
            <w:fldChar w:fldCharType="separate"/>
          </w:r>
          <w:r>
            <w:rPr>
              <w:rFonts w:hint="eastAsia" w:ascii="等线 Light" w:hAnsi="等线 Light" w:cs="等线 Light" w:eastAsiaTheme="minorEastAsia"/>
              <w:bCs/>
              <w:szCs w:val="30"/>
            </w:rPr>
            <w:t>第四部分  一般条款</w:t>
          </w:r>
          <w:r>
            <w:tab/>
          </w:r>
          <w:r>
            <w:fldChar w:fldCharType="begin"/>
          </w:r>
          <w:r>
            <w:instrText xml:space="preserve"> PAGEREF _Toc19386 \h </w:instrText>
          </w:r>
          <w:r>
            <w:fldChar w:fldCharType="separate"/>
          </w:r>
          <w:r>
            <w:rPr>
              <w:b/>
            </w:rPr>
            <w:t>错误！未定义书签。</w:t>
          </w:r>
          <w:r>
            <w:fldChar w:fldCharType="end"/>
          </w:r>
          <w:r>
            <w:rPr>
              <w:bCs/>
              <w:lang w:val="zh-CN"/>
            </w:rPr>
            <w:fldChar w:fldCharType="end"/>
          </w:r>
        </w:p>
        <w:p>
          <w:pPr>
            <w:pStyle w:val="39"/>
            <w:tabs>
              <w:tab w:val="right" w:leader="dot" w:pos="9747"/>
            </w:tabs>
          </w:pPr>
          <w:r>
            <w:rPr>
              <w:bCs/>
              <w:lang w:val="zh-CN"/>
            </w:rPr>
            <w:fldChar w:fldCharType="begin"/>
          </w:r>
          <w:r>
            <w:rPr>
              <w:bCs/>
              <w:lang w:val="zh-CN"/>
            </w:rPr>
            <w:instrText xml:space="preserve"> HYPERLINK \l _Toc18602 </w:instrText>
          </w:r>
          <w:r>
            <w:rPr>
              <w:bCs/>
              <w:lang w:val="zh-CN"/>
            </w:rPr>
            <w:fldChar w:fldCharType="separate"/>
          </w:r>
          <w:r>
            <w:rPr>
              <w:rFonts w:hint="eastAsia"/>
            </w:rPr>
            <w:t>第</w:t>
          </w:r>
          <w:r>
            <w:rPr>
              <w:rFonts w:hint="eastAsia"/>
              <w:lang w:eastAsia="zh-CN"/>
            </w:rPr>
            <w:t>六</w:t>
          </w:r>
          <w:r>
            <w:rPr>
              <w:rFonts w:hint="eastAsia"/>
            </w:rPr>
            <w:t>部分　范本格式</w:t>
          </w:r>
          <w:r>
            <w:tab/>
          </w:r>
          <w:r>
            <w:fldChar w:fldCharType="begin"/>
          </w:r>
          <w:r>
            <w:instrText xml:space="preserve"> PAGEREF _Toc18602 \h </w:instrText>
          </w:r>
          <w:r>
            <w:fldChar w:fldCharType="separate"/>
          </w:r>
          <w:r>
            <w:t>33</w:t>
          </w:r>
          <w:r>
            <w:fldChar w:fldCharType="end"/>
          </w:r>
          <w:r>
            <w:rPr>
              <w:bCs/>
              <w:lang w:val="zh-CN"/>
            </w:rPr>
            <w:fldChar w:fldCharType="end"/>
          </w:r>
        </w:p>
        <w:p>
          <w:pPr>
            <w:rPr>
              <w:color w:val="000000" w:themeColor="text1"/>
              <w:sz w:val="24"/>
              <w:szCs w:val="24"/>
              <w14:textFill>
                <w14:solidFill>
                  <w14:schemeClr w14:val="tx1"/>
                </w14:solidFill>
              </w14:textFill>
            </w:rPr>
          </w:pPr>
          <w:r>
            <w:rPr>
              <w:bCs/>
              <w:lang w:val="zh-CN"/>
            </w:rPr>
            <w:fldChar w:fldCharType="end"/>
          </w:r>
        </w:p>
      </w:sdtContent>
    </w:sdt>
    <w:p>
      <w:pPr>
        <w:widowControl/>
        <w:spacing w:line="360" w:lineRule="auto"/>
        <w:jc w:val="center"/>
      </w:pPr>
      <w:r>
        <w:br w:type="page"/>
      </w:r>
    </w:p>
    <w:p>
      <w:pPr>
        <w:widowControl/>
        <w:spacing w:line="360" w:lineRule="auto"/>
        <w:jc w:val="center"/>
        <w:rPr>
          <w:rFonts w:hint="eastAsia" w:eastAsia="宋体"/>
          <w:b/>
          <w:bCs/>
          <w:sz w:val="36"/>
          <w:szCs w:val="36"/>
          <w:lang w:eastAsia="zh-CN"/>
        </w:rPr>
      </w:pPr>
      <w:r>
        <w:rPr>
          <w:rFonts w:hint="eastAsia"/>
          <w:b/>
          <w:bCs/>
          <w:sz w:val="36"/>
          <w:szCs w:val="36"/>
          <w:lang w:eastAsia="zh-CN"/>
        </w:rPr>
        <w:t>第一部分</w:t>
      </w:r>
      <w:r>
        <w:rPr>
          <w:rFonts w:hint="eastAsia"/>
          <w:b/>
          <w:bCs/>
          <w:sz w:val="36"/>
          <w:szCs w:val="36"/>
          <w:lang w:val="en-US" w:eastAsia="zh-CN"/>
        </w:rPr>
        <w:t xml:space="preserve"> </w:t>
      </w:r>
      <w:r>
        <w:rPr>
          <w:rFonts w:hint="eastAsia"/>
          <w:b/>
          <w:bCs/>
          <w:sz w:val="36"/>
          <w:szCs w:val="36"/>
          <w:lang w:eastAsia="zh-CN"/>
        </w:rPr>
        <w:t>谈判公告</w:t>
      </w:r>
    </w:p>
    <w:p>
      <w:pPr>
        <w:shd w:val="solid" w:color="FFFFFF" w:fill="auto"/>
        <w:autoSpaceDN w:val="0"/>
        <w:spacing w:line="480" w:lineRule="auto"/>
        <w:ind w:left="-15" w:leftChars="-7" w:right="-92" w:rightChars="-44" w:firstLine="14" w:firstLineChars="5"/>
        <w:jc w:val="center"/>
        <w:rPr>
          <w:rFonts w:hint="eastAsia" w:eastAsia="宋体" w:asciiTheme="minorEastAsia" w:hAnsiTheme="minorEastAsia" w:cstheme="minorEastAsia"/>
          <w:color w:val="auto"/>
          <w:kern w:val="0"/>
          <w:sz w:val="28"/>
          <w:szCs w:val="28"/>
          <w:lang w:eastAsia="zh-CN"/>
        </w:rPr>
      </w:pPr>
      <w:r>
        <w:rPr>
          <w:rFonts w:hint="default" w:ascii="Times New Roman" w:hAnsi="Times New Roman" w:eastAsia="宋体" w:cs="Times New Roman"/>
          <w:b w:val="0"/>
          <w:bCs w:val="0"/>
          <w:color w:val="auto"/>
          <w:sz w:val="28"/>
          <w:szCs w:val="28"/>
        </w:rPr>
        <w:t>新疆医科大学第一附属医院视频监控系统设备招标项目</w:t>
      </w:r>
      <w:r>
        <w:rPr>
          <w:rFonts w:hint="eastAsia" w:cs="Times New Roman"/>
          <w:b w:val="0"/>
          <w:bCs w:val="0"/>
          <w:color w:val="auto"/>
          <w:sz w:val="28"/>
          <w:szCs w:val="28"/>
          <w:lang w:eastAsia="zh-CN"/>
        </w:rPr>
        <w:t>（二次）</w:t>
      </w:r>
    </w:p>
    <w:p>
      <w:pPr>
        <w:shd w:val="solid" w:color="FFFFFF" w:fill="auto"/>
        <w:autoSpaceDN w:val="0"/>
        <w:spacing w:line="480" w:lineRule="auto"/>
        <w:ind w:left="-15" w:leftChars="-7" w:right="-92" w:rightChars="-44" w:firstLine="14" w:firstLineChars="5"/>
        <w:jc w:val="center"/>
        <w:rPr>
          <w:rFonts w:ascii="宋体"/>
          <w:b/>
          <w:color w:val="auto"/>
          <w:sz w:val="28"/>
          <w:u w:val="none"/>
          <w:shd w:val="clear" w:color="auto" w:fill="FFFFFF"/>
        </w:rPr>
      </w:pPr>
      <w:r>
        <w:rPr>
          <w:rFonts w:hint="eastAsia" w:ascii="宋体" w:hAnsi="宋体"/>
          <w:b/>
          <w:color w:val="auto"/>
          <w:sz w:val="28"/>
          <w:u w:val="none"/>
          <w:shd w:val="clear" w:color="auto" w:fill="FFFFFF"/>
        </w:rPr>
        <w:t>招标公告</w:t>
      </w:r>
    </w:p>
    <w:p>
      <w:pPr>
        <w:shd w:val="solid" w:color="FFFFFF" w:fill="auto"/>
        <w:autoSpaceDN w:val="0"/>
        <w:spacing w:line="480" w:lineRule="auto"/>
        <w:ind w:left="-15" w:leftChars="-7" w:right="-92" w:rightChars="-44" w:firstLine="12" w:firstLineChars="5"/>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lang w:eastAsia="zh-CN"/>
        </w:rPr>
        <w:t>华诚博远工程咨询有限公司</w:t>
      </w:r>
      <w:r>
        <w:rPr>
          <w:rFonts w:hint="eastAsia" w:ascii="宋体" w:hAnsi="宋体" w:cs="宋体"/>
          <w:color w:val="auto"/>
          <w:sz w:val="24"/>
          <w:shd w:val="clear" w:color="auto" w:fill="FFFFFF"/>
        </w:rPr>
        <w:t>受新疆医科大学第一附属医院委托，对</w:t>
      </w:r>
      <w:r>
        <w:rPr>
          <w:rFonts w:hint="default" w:ascii="Times New Roman" w:hAnsi="Times New Roman" w:eastAsia="宋体" w:cs="Times New Roman"/>
          <w:b w:val="0"/>
          <w:bCs w:val="0"/>
          <w:color w:val="auto"/>
          <w:sz w:val="24"/>
          <w:szCs w:val="24"/>
        </w:rPr>
        <w:t>新疆医科大学第一附属医院视频监控系统设备招标项目</w:t>
      </w:r>
      <w:r>
        <w:rPr>
          <w:rFonts w:hint="eastAsia" w:cs="Times New Roman"/>
          <w:b w:val="0"/>
          <w:bCs w:val="0"/>
          <w:color w:val="auto"/>
          <w:sz w:val="24"/>
          <w:szCs w:val="24"/>
          <w:lang w:eastAsia="zh-CN"/>
        </w:rPr>
        <w:t>（二次）</w:t>
      </w:r>
      <w:r>
        <w:rPr>
          <w:rFonts w:hint="eastAsia" w:ascii="宋体" w:hAnsi="宋体" w:cs="宋体"/>
          <w:color w:val="auto"/>
          <w:sz w:val="24"/>
          <w:shd w:val="clear" w:color="auto" w:fill="FFFFFF"/>
        </w:rPr>
        <w:t>以竞争性</w:t>
      </w:r>
      <w:r>
        <w:rPr>
          <w:rFonts w:hint="eastAsia" w:ascii="宋体" w:hAnsi="宋体" w:cs="宋体"/>
          <w:color w:val="auto"/>
          <w:sz w:val="24"/>
          <w:shd w:val="clear" w:color="auto" w:fill="FFFFFF"/>
          <w:lang w:val="en-US" w:eastAsia="zh-CN"/>
        </w:rPr>
        <w:t>谈判</w:t>
      </w:r>
      <w:r>
        <w:rPr>
          <w:rFonts w:hint="eastAsia" w:ascii="宋体" w:hAnsi="宋体" w:cs="宋体"/>
          <w:color w:val="auto"/>
          <w:sz w:val="24"/>
          <w:shd w:val="clear" w:color="auto" w:fill="FFFFFF"/>
        </w:rPr>
        <w:t>的方式进行招标，现欢迎符合要求的投标人参与本次招标活动。</w:t>
      </w:r>
    </w:p>
    <w:p>
      <w:pPr>
        <w:numPr>
          <w:ilvl w:val="0"/>
          <w:numId w:val="2"/>
        </w:numPr>
        <w:spacing w:line="360" w:lineRule="auto"/>
        <w:ind w:left="-67" w:leftChars="0" w:right="-92" w:rightChars="-44" w:firstLine="67" w:firstLineChars="0"/>
        <w:rPr>
          <w:rFonts w:ascii="宋体" w:hAnsi="宋体" w:cs="宋体"/>
          <w:b/>
          <w:bCs/>
          <w:color w:val="auto"/>
          <w:sz w:val="28"/>
          <w:szCs w:val="28"/>
          <w:shd w:val="clear" w:color="auto" w:fill="FFFFFF"/>
        </w:rPr>
      </w:pPr>
      <w:r>
        <w:rPr>
          <w:rFonts w:hint="eastAsia" w:ascii="宋体" w:hAnsi="宋体" w:cs="宋体"/>
          <w:b/>
          <w:bCs/>
          <w:color w:val="auto"/>
          <w:sz w:val="28"/>
          <w:szCs w:val="28"/>
          <w:shd w:val="clear" w:color="auto" w:fill="FFFFFF"/>
        </w:rPr>
        <w:t>项目基本情况</w:t>
      </w:r>
    </w:p>
    <w:p>
      <w:pPr>
        <w:numPr>
          <w:ilvl w:val="0"/>
          <w:numId w:val="0"/>
        </w:numPr>
        <w:spacing w:line="360" w:lineRule="auto"/>
        <w:ind w:right="-92" w:rightChars="-44"/>
        <w:rPr>
          <w:rFonts w:hint="eastAsia" w:ascii="宋体" w:hAnsi="宋体" w:eastAsia="宋体" w:cs="宋体"/>
          <w:color w:val="auto"/>
          <w:sz w:val="24"/>
          <w:szCs w:val="24"/>
          <w:shd w:val="clear" w:color="auto" w:fill="FFFFFF"/>
          <w:lang w:eastAsia="zh-CN"/>
        </w:rPr>
      </w:pPr>
      <w:r>
        <w:rPr>
          <w:rFonts w:hint="eastAsia" w:ascii="宋体" w:hAnsi="宋体" w:cs="宋体"/>
          <w:color w:val="auto"/>
          <w:sz w:val="24"/>
          <w:shd w:val="clear" w:color="auto" w:fill="FFFFFF"/>
          <w:lang w:val="en-US" w:eastAsia="zh-CN"/>
        </w:rPr>
        <w:t>1.</w:t>
      </w:r>
      <w:r>
        <w:rPr>
          <w:rFonts w:hint="eastAsia" w:ascii="宋体" w:hAnsi="宋体" w:cs="宋体"/>
          <w:color w:val="auto"/>
          <w:sz w:val="24"/>
          <w:shd w:val="clear" w:color="auto" w:fill="FFFFFF"/>
        </w:rPr>
        <w:t>招标项目名称：</w:t>
      </w:r>
      <w:r>
        <w:rPr>
          <w:rFonts w:hint="default" w:ascii="Times New Roman" w:hAnsi="Times New Roman" w:eastAsia="宋体" w:cs="Times New Roman"/>
          <w:b w:val="0"/>
          <w:bCs w:val="0"/>
          <w:color w:val="auto"/>
          <w:sz w:val="24"/>
          <w:szCs w:val="24"/>
        </w:rPr>
        <w:t>新疆医科大学第一附属医院视频监控系统设备招标项目</w:t>
      </w:r>
      <w:r>
        <w:rPr>
          <w:rFonts w:hint="eastAsia" w:cs="Times New Roman"/>
          <w:b w:val="0"/>
          <w:bCs w:val="0"/>
          <w:color w:val="auto"/>
          <w:sz w:val="24"/>
          <w:szCs w:val="24"/>
          <w:lang w:eastAsia="zh-CN"/>
        </w:rPr>
        <w:t>（二次）</w:t>
      </w:r>
    </w:p>
    <w:p>
      <w:pPr>
        <w:numPr>
          <w:ilvl w:val="0"/>
          <w:numId w:val="0"/>
        </w:numPr>
        <w:spacing w:line="360" w:lineRule="auto"/>
        <w:ind w:right="-92" w:rightChars="-44"/>
        <w:rPr>
          <w:rFonts w:hint="default" w:ascii="宋体" w:hAnsi="宋体" w:cs="宋体"/>
          <w:color w:val="auto"/>
          <w:sz w:val="24"/>
          <w:shd w:val="clear" w:color="auto" w:fill="FFFFFF"/>
        </w:rPr>
      </w:pP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项目编号：[2022]18081</w:t>
      </w:r>
      <w:r>
        <w:rPr>
          <w:rFonts w:hint="eastAsia" w:ascii="宋体" w:hAnsi="宋体" w:cs="宋体"/>
          <w:color w:val="auto"/>
          <w:sz w:val="24"/>
          <w:shd w:val="clear" w:color="auto" w:fill="FFFFFF"/>
          <w:lang w:val="en-US" w:eastAsia="zh-CN"/>
        </w:rPr>
        <w:t>-02</w:t>
      </w:r>
      <w:r>
        <w:rPr>
          <w:rFonts w:hint="eastAsia" w:ascii="宋体" w:hAnsi="宋体" w:cs="宋体"/>
          <w:color w:val="auto"/>
          <w:sz w:val="24"/>
          <w:shd w:val="clear" w:color="auto" w:fill="FFFFFF"/>
        </w:rPr>
        <w:t>号</w:t>
      </w:r>
    </w:p>
    <w:p>
      <w:pPr>
        <w:spacing w:after="240" w:line="420" w:lineRule="exact"/>
        <w:rPr>
          <w:rFonts w:ascii="宋体" w:hAnsi="宋体" w:cs="宋体"/>
          <w:color w:val="auto"/>
          <w:sz w:val="24"/>
          <w:shd w:val="clear" w:color="auto" w:fill="FFFFFF"/>
        </w:rPr>
      </w:pP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招标内容：</w:t>
      </w:r>
      <w:r>
        <w:rPr>
          <w:rFonts w:hint="eastAsia" w:ascii="宋体" w:hAnsi="宋体" w:cs="宋体"/>
          <w:color w:val="auto"/>
          <w:sz w:val="24"/>
          <w:lang w:eastAsia="zh-CN"/>
        </w:rPr>
        <w:t>新疆医科大学第一附属医安防系统小规模的建设、改造及维修</w:t>
      </w:r>
      <w:r>
        <w:rPr>
          <w:rFonts w:hint="eastAsia" w:ascii="宋体" w:hAnsi="宋体" w:eastAsia="宋体" w:cs="宋体"/>
          <w:color w:val="auto"/>
          <w:sz w:val="24"/>
        </w:rPr>
        <w:t>。</w:t>
      </w:r>
    </w:p>
    <w:p>
      <w:pPr>
        <w:numPr>
          <w:ilvl w:val="0"/>
          <w:numId w:val="0"/>
        </w:num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资金来源：</w:t>
      </w:r>
      <w:r>
        <w:rPr>
          <w:rFonts w:hint="eastAsia" w:ascii="宋体" w:hAnsi="宋体" w:cs="宋体"/>
          <w:color w:val="auto"/>
          <w:sz w:val="24"/>
          <w:highlight w:val="none"/>
          <w:shd w:val="clear" w:color="auto" w:fill="FFFFFF"/>
          <w:lang w:val="en-US" w:eastAsia="zh-CN"/>
        </w:rPr>
        <w:t>自筹资金</w:t>
      </w:r>
      <w:r>
        <w:rPr>
          <w:rFonts w:hint="eastAsia" w:ascii="宋体" w:hAnsi="宋体" w:cs="宋体"/>
          <w:color w:val="auto"/>
          <w:sz w:val="24"/>
          <w:highlight w:val="none"/>
          <w:shd w:val="clear" w:color="auto" w:fill="FFFFFF"/>
        </w:rPr>
        <w:t xml:space="preserve"> 。</w:t>
      </w:r>
    </w:p>
    <w:p>
      <w:pPr>
        <w:numPr>
          <w:ilvl w:val="0"/>
          <w:numId w:val="0"/>
        </w:numPr>
        <w:spacing w:line="360" w:lineRule="auto"/>
        <w:ind w:right="-92" w:rightChars="-44"/>
        <w:rPr>
          <w:rFonts w:asci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预算金额：</w:t>
      </w:r>
      <w:r>
        <w:rPr>
          <w:rFonts w:hint="default" w:ascii="宋体" w:hAnsi="宋体" w:cs="宋体"/>
          <w:color w:val="auto"/>
          <w:sz w:val="24"/>
          <w:lang w:eastAsia="zh-CN"/>
        </w:rPr>
        <w:t>49.5</w:t>
      </w:r>
      <w:r>
        <w:rPr>
          <w:rFonts w:hint="eastAsia" w:ascii="宋体" w:hAnsi="宋体" w:cs="宋体"/>
          <w:color w:val="auto"/>
          <w:sz w:val="24"/>
          <w:lang w:val="en-US" w:eastAsia="zh-CN"/>
        </w:rPr>
        <w:t>万</w:t>
      </w:r>
      <w:r>
        <w:rPr>
          <w:rFonts w:hint="eastAsia" w:ascii="宋体" w:hAnsi="宋体" w:cs="宋体"/>
          <w:color w:val="auto"/>
          <w:sz w:val="24"/>
        </w:rPr>
        <w:t>元。</w:t>
      </w:r>
    </w:p>
    <w:p>
      <w:pPr>
        <w:pStyle w:val="18"/>
        <w:rPr>
          <w:rFonts w:hint="eastAsia" w:ascii="宋体" w:hAnsi="宋体" w:cs="宋体"/>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6.供货</w:t>
      </w:r>
      <w:r>
        <w:rPr>
          <w:rFonts w:hint="eastAsia" w:ascii="宋体" w:hAnsi="宋体" w:cs="宋体" w:eastAsiaTheme="minorEastAsia"/>
          <w:color w:val="auto"/>
          <w:kern w:val="2"/>
          <w:sz w:val="24"/>
          <w:szCs w:val="24"/>
          <w:lang w:val="en-US" w:eastAsia="zh-Hans" w:bidi="ar-SA"/>
        </w:rPr>
        <w:t>期限</w:t>
      </w:r>
      <w:r>
        <w:rPr>
          <w:rFonts w:hint="eastAsia" w:ascii="宋体" w:hAnsi="宋体" w:cs="宋体" w:eastAsiaTheme="minorEastAsia"/>
          <w:color w:val="auto"/>
          <w:kern w:val="2"/>
          <w:sz w:val="24"/>
          <w:szCs w:val="24"/>
          <w:lang w:val="en-US" w:eastAsia="zh-CN" w:bidi="ar-SA"/>
        </w:rPr>
        <w:t>：以甲方签订合同为准</w:t>
      </w:r>
      <w:r>
        <w:rPr>
          <w:rFonts w:hint="eastAsia" w:ascii="宋体" w:hAnsi="宋体" w:cs="宋体"/>
          <w:color w:val="auto"/>
          <w:kern w:val="2"/>
          <w:sz w:val="24"/>
          <w:szCs w:val="24"/>
          <w:lang w:val="en-US" w:eastAsia="zh-CN" w:bidi="ar-SA"/>
        </w:rPr>
        <w:t>。</w:t>
      </w:r>
    </w:p>
    <w:p>
      <w:pPr>
        <w:numPr>
          <w:ilvl w:val="0"/>
          <w:numId w:val="0"/>
        </w:numPr>
        <w:spacing w:line="360" w:lineRule="auto"/>
        <w:ind w:leftChars="0" w:right="-92" w:rightChars="-44"/>
        <w:rPr>
          <w:rFonts w:hint="default"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1.</w:t>
      </w:r>
      <w:r>
        <w:rPr>
          <w:rFonts w:hint="eastAsia" w:ascii="宋体" w:hAnsi="宋体" w:cs="宋体"/>
          <w:color w:val="auto"/>
          <w:sz w:val="24"/>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①具有独立承担民事责任的能力；</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rPr>
        <w:t>⑥法律法规规定的其他条件。</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2.</w:t>
      </w:r>
      <w:r>
        <w:rPr>
          <w:rFonts w:hint="eastAsia" w:ascii="宋体" w:hAnsi="宋体" w:cs="宋体"/>
          <w:color w:val="auto"/>
          <w:sz w:val="24"/>
          <w:shd w:val="clear" w:color="auto" w:fill="FFFFFF"/>
        </w:rPr>
        <w:t>遵守国家法律、法规有关招标的规定。</w:t>
      </w:r>
    </w:p>
    <w:p>
      <w:pPr>
        <w:numPr>
          <w:ilvl w:val="0"/>
          <w:numId w:val="0"/>
        </w:numPr>
        <w:spacing w:line="360" w:lineRule="auto"/>
        <w:ind w:right="-92" w:rightChars="-44"/>
        <w:rPr>
          <w:rFonts w:hint="eastAsia" w:ascii="宋体" w:hAnsi="宋体" w:cs="宋体"/>
          <w:color w:val="auto"/>
          <w:sz w:val="24"/>
          <w:shd w:val="clear" w:color="auto" w:fill="FFFFFF"/>
        </w:rPr>
      </w:pPr>
      <w:r>
        <w:rPr>
          <w:rFonts w:hint="eastAsia" w:ascii="宋体" w:hAnsi="宋体" w:cs="宋体"/>
          <w:color w:val="auto"/>
          <w:sz w:val="24"/>
          <w:shd w:val="clear" w:color="auto" w:fill="FFFFFF"/>
          <w:lang w:val="en-US" w:eastAsia="zh-CN"/>
        </w:rPr>
        <w:t>3.</w:t>
      </w:r>
      <w:r>
        <w:rPr>
          <w:rFonts w:hint="eastAsia" w:ascii="宋体" w:hAnsi="宋体" w:cs="宋体"/>
          <w:color w:val="auto"/>
          <w:sz w:val="24"/>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color w:val="auto"/>
          <w:sz w:val="24"/>
          <w:shd w:val="clear" w:color="auto" w:fill="FFFFFF"/>
          <w:lang w:eastAsia="zh-CN"/>
        </w:rPr>
      </w:pPr>
      <w:r>
        <w:rPr>
          <w:rFonts w:hint="eastAsia" w:ascii="宋体" w:hAnsi="宋体" w:cs="宋体"/>
          <w:color w:val="auto"/>
          <w:sz w:val="24"/>
          <w:shd w:val="clear" w:color="auto" w:fill="FFFFFF"/>
          <w:lang w:val="en-US" w:eastAsia="zh-CN"/>
        </w:rPr>
        <w:t>4.</w:t>
      </w:r>
      <w:r>
        <w:rPr>
          <w:rFonts w:hint="eastAsia" w:ascii="宋体" w:hAnsi="宋体" w:cs="宋体"/>
          <w:color w:val="auto"/>
          <w:sz w:val="24"/>
          <w:shd w:val="clear" w:color="auto" w:fill="FFFFFF"/>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color w:val="auto"/>
          <w:sz w:val="24"/>
          <w:shd w:val="clear" w:color="auto" w:fill="FFFFFF"/>
          <w:lang w:eastAsia="zh-CN"/>
        </w:rPr>
      </w:pPr>
      <w:r>
        <w:rPr>
          <w:rFonts w:hint="eastAsia" w:ascii="宋体" w:hAnsi="宋体" w:cs="宋体"/>
          <w:color w:val="auto"/>
          <w:sz w:val="24"/>
          <w:shd w:val="clear" w:color="auto" w:fill="FFFFFF"/>
          <w:lang w:val="en-US" w:eastAsia="zh-CN"/>
        </w:rPr>
        <w:t>5.具有工商部门核发的营业执照</w:t>
      </w:r>
      <w:r>
        <w:rPr>
          <w:rFonts w:hint="eastAsia" w:ascii="宋体" w:hAnsi="宋体" w:cs="宋体"/>
          <w:color w:val="auto"/>
          <w:sz w:val="24"/>
          <w:shd w:val="clear" w:color="auto" w:fill="FFFFFF"/>
          <w:lang w:eastAsia="zh-CN"/>
        </w:rPr>
        <w:t>。</w:t>
      </w:r>
    </w:p>
    <w:p>
      <w:pPr>
        <w:pStyle w:val="57"/>
        <w:jc w:val="both"/>
        <w:rPr>
          <w:rFonts w:hint="default" w:cs="Times New Roman"/>
          <w:b w:val="0"/>
          <w:bCs w:val="0"/>
          <w:color w:val="auto"/>
          <w:sz w:val="24"/>
          <w:szCs w:val="24"/>
          <w:lang w:eastAsia="zh-CN"/>
        </w:rPr>
      </w:pPr>
      <w:r>
        <w:rPr>
          <w:rFonts w:hint="default"/>
          <w:b w:val="0"/>
          <w:bCs w:val="0"/>
          <w:color w:val="auto"/>
          <w:lang w:eastAsia="zh-CN"/>
        </w:rPr>
        <w:t>6</w:t>
      </w:r>
      <w:r>
        <w:rPr>
          <w:rFonts w:hint="eastAsia"/>
          <w:b w:val="0"/>
          <w:bCs w:val="0"/>
          <w:color w:val="auto"/>
          <w:lang w:val="en-US" w:eastAsia="zh-Hans"/>
        </w:rPr>
        <w:t>.投</w:t>
      </w:r>
      <w:r>
        <w:rPr>
          <w:rFonts w:hint="eastAsia" w:cs="Times New Roman"/>
          <w:b w:val="0"/>
          <w:bCs w:val="0"/>
          <w:color w:val="auto"/>
          <w:sz w:val="24"/>
          <w:szCs w:val="24"/>
          <w:lang w:val="en-US" w:eastAsia="zh-CN"/>
        </w:rPr>
        <w:t>标单位需具备《安防工程企业资质等级证书》三级及以上资质证书</w:t>
      </w:r>
      <w:r>
        <w:rPr>
          <w:rFonts w:hint="default" w:cs="Times New Roman"/>
          <w:b w:val="0"/>
          <w:bCs w:val="0"/>
          <w:color w:val="auto"/>
          <w:sz w:val="24"/>
          <w:szCs w:val="24"/>
          <w:lang w:eastAsia="zh-CN"/>
        </w:rPr>
        <w:t>。</w:t>
      </w:r>
    </w:p>
    <w:p>
      <w:pPr>
        <w:pStyle w:val="57"/>
        <w:jc w:val="both"/>
        <w:rPr>
          <w:rFonts w:ascii="宋体" w:cs="宋体"/>
          <w:b w:val="0"/>
          <w:bCs w:val="0"/>
          <w:color w:val="auto"/>
          <w:sz w:val="24"/>
        </w:rPr>
      </w:pPr>
      <w:r>
        <w:rPr>
          <w:rFonts w:hint="default" w:cs="宋体"/>
          <w:b w:val="0"/>
          <w:bCs w:val="0"/>
          <w:color w:val="auto"/>
          <w:sz w:val="24"/>
          <w:lang w:eastAsia="zh-CN"/>
        </w:rPr>
        <w:t>7</w:t>
      </w:r>
      <w:r>
        <w:rPr>
          <w:rFonts w:hint="eastAsia" w:ascii="宋体" w:cs="宋体"/>
          <w:b w:val="0"/>
          <w:bCs w:val="0"/>
          <w:color w:val="auto"/>
          <w:sz w:val="24"/>
          <w:lang w:val="en-US" w:eastAsia="zh-Hans"/>
        </w:rPr>
        <w:t>.</w:t>
      </w:r>
      <w:r>
        <w:rPr>
          <w:rFonts w:hint="eastAsia" w:ascii="宋体" w:cs="宋体"/>
          <w:b w:val="0"/>
          <w:bCs w:val="0"/>
          <w:color w:val="auto"/>
          <w:sz w:val="24"/>
          <w:lang w:eastAsia="zh-CN"/>
        </w:rPr>
        <w:t>须</w:t>
      </w:r>
      <w:r>
        <w:rPr>
          <w:rFonts w:hint="eastAsia" w:ascii="宋体" w:cs="宋体"/>
          <w:b w:val="0"/>
          <w:bCs w:val="0"/>
          <w:color w:val="auto"/>
          <w:sz w:val="24"/>
          <w:lang w:val="en-US" w:eastAsia="zh-CN"/>
        </w:rPr>
        <w:t>具备近一年财务审计报告或银行提供的资信证明（新公司从成立之日起算）。</w:t>
      </w:r>
    </w:p>
    <w:p>
      <w:pPr>
        <w:spacing w:line="360" w:lineRule="auto"/>
        <w:ind w:right="-92" w:rightChars="-44"/>
        <w:rPr>
          <w:rFonts w:ascii="宋体" w:cs="宋体"/>
          <w:color w:val="auto"/>
          <w:sz w:val="24"/>
        </w:rPr>
      </w:pPr>
      <w:r>
        <w:rPr>
          <w:rFonts w:hint="default" w:ascii="宋体" w:cs="宋体"/>
          <w:color w:val="auto"/>
          <w:sz w:val="24"/>
          <w:lang w:eastAsia="zh-CN"/>
        </w:rPr>
        <w:t>8</w:t>
      </w:r>
      <w:r>
        <w:rPr>
          <w:rFonts w:hint="eastAsia" w:ascii="宋体" w:cs="宋体"/>
          <w:color w:val="auto"/>
          <w:sz w:val="24"/>
          <w:lang w:eastAsia="zh-CN"/>
        </w:rPr>
        <w:t>须</w:t>
      </w:r>
      <w:r>
        <w:rPr>
          <w:rFonts w:hint="eastAsia" w:ascii="宋体" w:cs="宋体"/>
          <w:color w:val="auto"/>
          <w:sz w:val="24"/>
          <w:lang w:val="en-US" w:eastAsia="zh-CN"/>
        </w:rPr>
        <w:t>具有近一年任意月纳税证明（新公司从成立之日起算）。</w:t>
      </w:r>
    </w:p>
    <w:p>
      <w:pPr>
        <w:spacing w:line="360" w:lineRule="auto"/>
        <w:ind w:right="-92" w:rightChars="-44"/>
        <w:rPr>
          <w:rFonts w:ascii="宋体" w:cs="宋体"/>
          <w:color w:val="auto"/>
          <w:sz w:val="24"/>
        </w:rPr>
      </w:pPr>
      <w:r>
        <w:rPr>
          <w:rFonts w:hint="default" w:ascii="宋体" w:cs="宋体"/>
          <w:color w:val="auto"/>
          <w:sz w:val="24"/>
          <w:lang w:eastAsia="zh-CN"/>
        </w:rPr>
        <w:t>9</w:t>
      </w:r>
      <w:r>
        <w:rPr>
          <w:rFonts w:hint="eastAsia" w:ascii="宋体" w:cs="宋体"/>
          <w:color w:val="auto"/>
          <w:sz w:val="24"/>
          <w:lang w:val="en-US" w:eastAsia="zh-CN"/>
        </w:rPr>
        <w:t>.近一年任意月法人或授权委托人人员社保明细证明（新公司从成立之日起算）。</w:t>
      </w:r>
    </w:p>
    <w:p>
      <w:pPr>
        <w:spacing w:line="360" w:lineRule="auto"/>
        <w:ind w:right="-92" w:rightChars="-44"/>
        <w:rPr>
          <w:rFonts w:hint="eastAsia" w:ascii="宋体" w:cs="宋体"/>
          <w:color w:val="auto"/>
          <w:sz w:val="24"/>
          <w:lang w:val="en-US" w:eastAsia="zh-CN"/>
        </w:rPr>
      </w:pPr>
      <w:r>
        <w:rPr>
          <w:rFonts w:hint="default" w:ascii="宋体" w:cs="宋体"/>
          <w:color w:val="auto"/>
          <w:sz w:val="24"/>
          <w:lang w:eastAsia="zh-CN"/>
        </w:rPr>
        <w:t>10</w:t>
      </w:r>
      <w:r>
        <w:rPr>
          <w:rFonts w:hint="eastAsia" w:ascii="宋体" w:cs="宋体"/>
          <w:color w:val="auto"/>
          <w:sz w:val="24"/>
          <w:lang w:val="en-US" w:eastAsia="zh-CN"/>
        </w:rPr>
        <w:t>.须</w:t>
      </w:r>
      <w:r>
        <w:rPr>
          <w:rFonts w:hint="eastAsia" w:ascii="宋体" w:cs="宋体"/>
          <w:color w:val="auto"/>
          <w:sz w:val="24"/>
          <w:lang w:eastAsia="zh-CN"/>
        </w:rPr>
        <w:t>具有履行合同所必须的设备和专业技术能力</w:t>
      </w:r>
      <w:r>
        <w:rPr>
          <w:rFonts w:hint="eastAsia" w:ascii="宋体" w:cs="宋体"/>
          <w:color w:val="auto"/>
          <w:sz w:val="24"/>
          <w:lang w:val="en-US" w:eastAsia="zh-CN"/>
        </w:rPr>
        <w:t>的承诺函。</w:t>
      </w:r>
    </w:p>
    <w:p>
      <w:pPr>
        <w:spacing w:line="360" w:lineRule="auto"/>
        <w:ind w:right="-92" w:rightChars="-44"/>
        <w:rPr>
          <w:rFonts w:hint="default" w:ascii="宋体" w:cs="宋体"/>
          <w:color w:val="auto"/>
          <w:sz w:val="24"/>
          <w:lang w:val="en-US" w:eastAsia="zh-CN"/>
        </w:rPr>
      </w:pPr>
      <w:r>
        <w:rPr>
          <w:rFonts w:hint="default" w:ascii="宋体" w:cs="宋体"/>
          <w:color w:val="auto"/>
          <w:sz w:val="24"/>
          <w:lang w:eastAsia="zh-CN"/>
        </w:rPr>
        <w:t>11</w:t>
      </w:r>
      <w:r>
        <w:rPr>
          <w:rFonts w:hint="eastAsia" w:ascii="宋体" w:cs="宋体"/>
          <w:color w:val="auto"/>
          <w:sz w:val="24"/>
          <w:lang w:val="en-US" w:eastAsia="zh-CN"/>
        </w:rPr>
        <w:t>.投标单位须为中小企业，</w:t>
      </w:r>
      <w:r>
        <w:rPr>
          <w:rFonts w:hint="eastAsia" w:ascii="宋体" w:cs="宋体"/>
          <w:color w:val="auto"/>
          <w:sz w:val="24"/>
          <w:lang w:val="en-US" w:eastAsia="zh-Hans"/>
        </w:rPr>
        <w:t>提供</w:t>
      </w:r>
      <w:r>
        <w:rPr>
          <w:rFonts w:hint="default" w:ascii="宋体" w:cs="宋体"/>
          <w:color w:val="auto"/>
          <w:sz w:val="24"/>
          <w:lang w:eastAsia="zh-Hans"/>
        </w:rPr>
        <w:t>《</w:t>
      </w:r>
      <w:r>
        <w:rPr>
          <w:rFonts w:hint="eastAsia" w:ascii="宋体" w:cs="宋体"/>
          <w:color w:val="auto"/>
          <w:sz w:val="24"/>
          <w:lang w:val="en-US" w:eastAsia="zh-Hans"/>
        </w:rPr>
        <w:t>中小企业声明函</w:t>
      </w:r>
      <w:r>
        <w:rPr>
          <w:rFonts w:hint="default" w:ascii="宋体" w:cs="宋体"/>
          <w:color w:val="auto"/>
          <w:sz w:val="24"/>
          <w:lang w:eastAsia="zh-Hans"/>
        </w:rPr>
        <w:t>》</w:t>
      </w:r>
      <w:r>
        <w:rPr>
          <w:rFonts w:hint="eastAsia" w:ascii="宋体" w:cs="宋体"/>
          <w:color w:val="auto"/>
          <w:sz w:val="24"/>
          <w:lang w:eastAsia="zh-CN"/>
        </w:rPr>
        <w:t>。</w:t>
      </w:r>
      <w:r>
        <w:rPr>
          <w:rFonts w:hint="eastAsia" w:ascii="宋体" w:cs="宋体"/>
          <w:color w:val="auto"/>
          <w:sz w:val="24"/>
          <w:lang w:val="en-US" w:eastAsia="zh-CN"/>
        </w:rPr>
        <w:t xml:space="preserve">       </w:t>
      </w:r>
    </w:p>
    <w:p>
      <w:pPr>
        <w:spacing w:line="360" w:lineRule="auto"/>
        <w:ind w:right="-92" w:rightChars="-44"/>
        <w:rPr>
          <w:rFonts w:hint="eastAsia" w:ascii="宋体" w:cs="宋体" w:eastAsiaTheme="minorEastAsia"/>
          <w:color w:val="auto"/>
          <w:sz w:val="24"/>
          <w:lang w:eastAsia="zh-CN"/>
        </w:rPr>
      </w:pPr>
      <w:r>
        <w:rPr>
          <w:rFonts w:hint="eastAsia" w:ascii="宋体" w:cs="宋体"/>
          <w:color w:val="auto"/>
          <w:sz w:val="24"/>
          <w:lang w:val="en-US" w:eastAsia="zh-CN"/>
        </w:rPr>
        <w:t>1</w:t>
      </w:r>
      <w:r>
        <w:rPr>
          <w:rFonts w:hint="default" w:ascii="宋体" w:cs="宋体"/>
          <w:color w:val="auto"/>
          <w:sz w:val="24"/>
          <w:lang w:eastAsia="zh-CN"/>
        </w:rPr>
        <w:t>2</w:t>
      </w:r>
      <w:r>
        <w:rPr>
          <w:rFonts w:hint="eastAsia" w:ascii="宋体" w:cs="宋体"/>
          <w:color w:val="auto"/>
          <w:sz w:val="24"/>
          <w:lang w:val="en-US" w:eastAsia="zh-CN"/>
        </w:rPr>
        <w:t>.</w:t>
      </w:r>
      <w:r>
        <w:rPr>
          <w:rFonts w:hint="eastAsia" w:ascii="宋体" w:cs="宋体"/>
          <w:color w:val="auto"/>
          <w:sz w:val="24"/>
        </w:rPr>
        <w:t>参加政府采购活动前3年内在经营活动中没有重大违法记录的书面声明</w:t>
      </w:r>
      <w:r>
        <w:rPr>
          <w:rFonts w:hint="eastAsia" w:ascii="宋体" w:cs="宋体"/>
          <w:color w:val="auto"/>
          <w:sz w:val="24"/>
          <w:lang w:eastAsia="zh-CN"/>
        </w:rPr>
        <w:t>。</w:t>
      </w:r>
    </w:p>
    <w:p>
      <w:pPr>
        <w:spacing w:line="360" w:lineRule="auto"/>
        <w:ind w:right="-92" w:rightChars="-44"/>
        <w:rPr>
          <w:rFonts w:ascii="宋体" w:cs="宋体"/>
          <w:color w:val="auto"/>
          <w:sz w:val="24"/>
        </w:rPr>
      </w:pPr>
      <w:r>
        <w:rPr>
          <w:rFonts w:hint="eastAsia" w:ascii="宋体" w:cs="宋体"/>
          <w:color w:val="auto"/>
          <w:sz w:val="24"/>
          <w:lang w:val="en-US" w:eastAsia="zh-CN"/>
        </w:rPr>
        <w:t>1</w:t>
      </w:r>
      <w:r>
        <w:rPr>
          <w:rFonts w:hint="default" w:ascii="宋体" w:cs="宋体"/>
          <w:color w:val="auto"/>
          <w:sz w:val="24"/>
          <w:lang w:eastAsia="zh-CN"/>
        </w:rPr>
        <w:t>3</w:t>
      </w:r>
      <w:r>
        <w:rPr>
          <w:rFonts w:hint="eastAsia" w:ascii="宋体" w:cs="宋体"/>
          <w:color w:val="auto"/>
          <w:sz w:val="24"/>
          <w:lang w:val="en-US" w:eastAsia="zh-CN"/>
        </w:rPr>
        <w:t>.</w:t>
      </w:r>
      <w:r>
        <w:rPr>
          <w:rFonts w:hint="eastAsia" w:ascii="宋体" w:cs="宋体"/>
          <w:color w:val="auto"/>
          <w:sz w:val="24"/>
          <w:lang w:eastAsia="zh-CN"/>
        </w:rPr>
        <w:t>凡拟参加本次招标项目的供应商，如在“信用中国”网站（www.creditchina.gov.cn）和中国政府采购网（www.ccgp.gov.cn）被列入失信被执行人、税收违法黑名单、政府采购严重违法失信行为记录名单的（尚在处罚期内的），将拒绝其参本次采购活动。</w:t>
      </w:r>
    </w:p>
    <w:p>
      <w:pPr>
        <w:spacing w:line="360" w:lineRule="auto"/>
        <w:ind w:right="-92" w:rightChars="-44"/>
        <w:rPr>
          <w:rFonts w:hint="eastAsia" w:ascii="宋体" w:cs="宋体"/>
          <w:color w:val="auto"/>
          <w:sz w:val="24"/>
        </w:rPr>
      </w:pPr>
      <w:r>
        <w:rPr>
          <w:rFonts w:hint="eastAsia" w:ascii="宋体" w:cs="宋体"/>
          <w:color w:val="auto"/>
          <w:sz w:val="24"/>
          <w:lang w:val="en-US" w:eastAsia="zh-CN"/>
        </w:rPr>
        <w:t>1</w:t>
      </w:r>
      <w:r>
        <w:rPr>
          <w:rFonts w:hint="default" w:ascii="宋体" w:cs="宋体"/>
          <w:color w:val="auto"/>
          <w:sz w:val="24"/>
          <w:lang w:eastAsia="zh-CN"/>
        </w:rPr>
        <w:t>4</w:t>
      </w:r>
      <w:r>
        <w:rPr>
          <w:rFonts w:hint="eastAsia" w:ascii="宋体" w:cs="宋体"/>
          <w:color w:val="auto"/>
          <w:sz w:val="24"/>
          <w:lang w:val="en-US" w:eastAsia="zh-CN"/>
        </w:rPr>
        <w:t>.</w:t>
      </w:r>
      <w:r>
        <w:rPr>
          <w:rFonts w:hint="eastAsia" w:ascii="宋体" w:cs="宋体"/>
          <w:color w:val="auto"/>
          <w:sz w:val="24"/>
        </w:rPr>
        <w:t>落实政府采购政策需满足的资格要求：</w:t>
      </w:r>
      <w:r>
        <w:rPr>
          <w:rFonts w:hint="default" w:eastAsia="宋体"/>
          <w:color w:val="auto"/>
          <w:sz w:val="24"/>
          <w:szCs w:val="24"/>
          <w:lang w:val="en-US" w:eastAsia="zh-CN"/>
        </w:rPr>
        <w:t>本项目专门面向中小微企业</w:t>
      </w:r>
      <w:r>
        <w:rPr>
          <w:rFonts w:hint="eastAsia" w:ascii="宋体" w:cs="宋体"/>
          <w:color w:val="auto"/>
          <w:sz w:val="24"/>
        </w:rPr>
        <w:t>。</w:t>
      </w:r>
    </w:p>
    <w:p>
      <w:pPr>
        <w:numPr>
          <w:ilvl w:val="0"/>
          <w:numId w:val="0"/>
        </w:numPr>
        <w:spacing w:line="360" w:lineRule="auto"/>
        <w:ind w:leftChars="0" w:right="-92" w:rightChars="-44"/>
        <w:rPr>
          <w:rFonts w:hint="default"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三、获取招标文件：</w:t>
      </w:r>
    </w:p>
    <w:p>
      <w:pPr>
        <w:pStyle w:val="20"/>
        <w:ind w:left="0" w:leftChars="0" w:firstLine="480" w:firstLineChars="200"/>
        <w:rPr>
          <w:rFonts w:hint="eastAsia" w:ascii="宋体" w:cs="宋体" w:hAnsiTheme="minorHAnsi" w:eastAsiaTheme="minorEastAsia"/>
          <w:color w:val="auto"/>
          <w:kern w:val="2"/>
          <w:sz w:val="24"/>
          <w:szCs w:val="24"/>
          <w:lang w:val="en-US" w:eastAsia="zh-CN" w:bidi="ar-SA"/>
        </w:rPr>
      </w:pPr>
      <w:r>
        <w:rPr>
          <w:rFonts w:hint="eastAsia" w:ascii="宋体" w:cs="宋体" w:hAnsiTheme="minorHAnsi" w:eastAsiaTheme="minorEastAsia"/>
          <w:color w:val="auto"/>
          <w:kern w:val="2"/>
          <w:sz w:val="24"/>
          <w:szCs w:val="24"/>
          <w:lang w:val="en-US" w:eastAsia="zh-CN" w:bidi="ar-SA"/>
        </w:rPr>
        <w:t>时间：2022年</w:t>
      </w:r>
      <w:r>
        <w:rPr>
          <w:rFonts w:hint="default" w:ascii="宋体" w:cs="宋体"/>
          <w:color w:val="auto"/>
          <w:kern w:val="2"/>
          <w:sz w:val="24"/>
          <w:szCs w:val="24"/>
          <w:lang w:eastAsia="zh-CN" w:bidi="ar-SA"/>
        </w:rPr>
        <w:t>12</w:t>
      </w:r>
      <w:r>
        <w:rPr>
          <w:rFonts w:hint="eastAsia" w:ascii="宋体" w:cs="宋体" w:hAnsiTheme="minorHAnsi" w:eastAsiaTheme="minorEastAsia"/>
          <w:color w:val="auto"/>
          <w:kern w:val="2"/>
          <w:sz w:val="24"/>
          <w:szCs w:val="24"/>
          <w:lang w:val="en-US" w:eastAsia="zh-CN" w:bidi="ar-SA"/>
        </w:rPr>
        <w:t>月30日至2023年</w:t>
      </w:r>
      <w:r>
        <w:rPr>
          <w:rFonts w:hint="default" w:ascii="宋体" w:cs="宋体"/>
          <w:color w:val="auto"/>
          <w:kern w:val="2"/>
          <w:sz w:val="24"/>
          <w:szCs w:val="24"/>
          <w:lang w:eastAsia="zh-CN" w:bidi="ar-SA"/>
        </w:rPr>
        <w:t>1</w:t>
      </w:r>
      <w:r>
        <w:rPr>
          <w:rFonts w:hint="eastAsia" w:ascii="宋体" w:cs="宋体" w:hAnsiTheme="minorHAnsi" w:eastAsiaTheme="minorEastAsia"/>
          <w:color w:val="auto"/>
          <w:kern w:val="2"/>
          <w:sz w:val="24"/>
          <w:szCs w:val="24"/>
          <w:lang w:val="en-US" w:eastAsia="zh-CN" w:bidi="ar-SA"/>
        </w:rPr>
        <w:t>月6日</w:t>
      </w:r>
      <w:r>
        <w:rPr>
          <w:rFonts w:hint="default" w:ascii="宋体" w:cs="宋体" w:hAnsiTheme="minorHAnsi" w:eastAsiaTheme="minorEastAsia"/>
          <w:color w:val="auto"/>
          <w:kern w:val="2"/>
          <w:sz w:val="24"/>
          <w:szCs w:val="24"/>
          <w:lang w:eastAsia="zh-CN" w:bidi="ar-SA"/>
        </w:rPr>
        <w:t>，</w:t>
      </w:r>
      <w:r>
        <w:rPr>
          <w:rFonts w:hint="eastAsia" w:ascii="宋体" w:cs="宋体" w:hAnsiTheme="minorHAnsi" w:eastAsiaTheme="minorEastAsia"/>
          <w:color w:val="auto"/>
          <w:kern w:val="2"/>
          <w:sz w:val="24"/>
          <w:szCs w:val="24"/>
          <w:lang w:val="en-US" w:eastAsia="zh-Hans" w:bidi="ar-SA"/>
        </w:rPr>
        <w:t>每天上午</w:t>
      </w:r>
      <w:r>
        <w:rPr>
          <w:rFonts w:hint="default" w:ascii="宋体" w:cs="宋体" w:hAnsiTheme="minorHAnsi" w:eastAsiaTheme="minorEastAsia"/>
          <w:color w:val="auto"/>
          <w:kern w:val="2"/>
          <w:sz w:val="24"/>
          <w:szCs w:val="24"/>
          <w:lang w:eastAsia="zh-CN" w:bidi="ar-SA"/>
        </w:rPr>
        <w:t>0</w:t>
      </w:r>
      <w:r>
        <w:rPr>
          <w:rFonts w:hint="eastAsia" w:ascii="宋体" w:cs="宋体" w:hAnsiTheme="minorHAnsi" w:eastAsiaTheme="minorEastAsia"/>
          <w:color w:val="auto"/>
          <w:kern w:val="2"/>
          <w:sz w:val="24"/>
          <w:szCs w:val="24"/>
          <w:lang w:val="en-US" w:eastAsia="zh-CN" w:bidi="ar-SA"/>
        </w:rPr>
        <w:t>0:00-1</w:t>
      </w:r>
      <w:r>
        <w:rPr>
          <w:rFonts w:hint="default" w:ascii="宋体" w:cs="宋体" w:hAnsiTheme="minorHAnsi" w:eastAsiaTheme="minorEastAsia"/>
          <w:color w:val="auto"/>
          <w:kern w:val="2"/>
          <w:sz w:val="24"/>
          <w:szCs w:val="24"/>
          <w:lang w:eastAsia="zh-CN" w:bidi="ar-SA"/>
        </w:rPr>
        <w:t>2</w:t>
      </w:r>
      <w:r>
        <w:rPr>
          <w:rFonts w:hint="eastAsia" w:ascii="宋体" w:cs="宋体" w:hAnsiTheme="minorHAnsi" w:eastAsiaTheme="minorEastAsia"/>
          <w:color w:val="auto"/>
          <w:kern w:val="2"/>
          <w:sz w:val="24"/>
          <w:szCs w:val="24"/>
          <w:lang w:val="en-US" w:eastAsia="zh-CN" w:bidi="ar-SA"/>
        </w:rPr>
        <w:t>:00,</w:t>
      </w:r>
      <w:r>
        <w:rPr>
          <w:rFonts w:hint="eastAsia" w:ascii="宋体" w:cs="宋体" w:hAnsiTheme="minorHAnsi" w:eastAsiaTheme="minorEastAsia"/>
          <w:color w:val="auto"/>
          <w:kern w:val="2"/>
          <w:sz w:val="24"/>
          <w:szCs w:val="24"/>
          <w:lang w:val="en-US" w:eastAsia="zh-Hans" w:bidi="ar-SA"/>
        </w:rPr>
        <w:t>每天下午</w:t>
      </w:r>
      <w:r>
        <w:rPr>
          <w:rFonts w:hint="eastAsia" w:ascii="宋体" w:cs="宋体" w:hAnsiTheme="minorHAnsi" w:eastAsiaTheme="minorEastAsia"/>
          <w:color w:val="auto"/>
          <w:kern w:val="2"/>
          <w:sz w:val="24"/>
          <w:szCs w:val="24"/>
          <w:lang w:val="en-US" w:eastAsia="zh-CN" w:bidi="ar-SA"/>
        </w:rPr>
        <w:t>1</w:t>
      </w:r>
      <w:r>
        <w:rPr>
          <w:rFonts w:hint="default" w:ascii="宋体" w:cs="宋体" w:hAnsiTheme="minorHAnsi" w:eastAsiaTheme="minorEastAsia"/>
          <w:color w:val="auto"/>
          <w:kern w:val="2"/>
          <w:sz w:val="24"/>
          <w:szCs w:val="24"/>
          <w:lang w:eastAsia="zh-CN" w:bidi="ar-SA"/>
        </w:rPr>
        <w:t>2</w:t>
      </w:r>
      <w:r>
        <w:rPr>
          <w:rFonts w:hint="eastAsia" w:ascii="宋体" w:cs="宋体" w:hAnsiTheme="minorHAnsi" w:eastAsiaTheme="minorEastAsia"/>
          <w:color w:val="auto"/>
          <w:kern w:val="2"/>
          <w:sz w:val="24"/>
          <w:szCs w:val="24"/>
          <w:lang w:val="en-US" w:eastAsia="zh-CN" w:bidi="ar-SA"/>
        </w:rPr>
        <w:t>:00-</w:t>
      </w:r>
      <w:r>
        <w:rPr>
          <w:rFonts w:hint="default" w:ascii="宋体" w:cs="宋体" w:hAnsiTheme="minorHAnsi" w:eastAsiaTheme="minorEastAsia"/>
          <w:color w:val="auto"/>
          <w:kern w:val="2"/>
          <w:sz w:val="24"/>
          <w:szCs w:val="24"/>
          <w:lang w:eastAsia="zh-CN" w:bidi="ar-SA"/>
        </w:rPr>
        <w:t>23</w:t>
      </w:r>
      <w:r>
        <w:rPr>
          <w:rFonts w:hint="eastAsia" w:ascii="宋体" w:cs="宋体" w:hAnsiTheme="minorHAnsi" w:eastAsiaTheme="minorEastAsia"/>
          <w:color w:val="auto"/>
          <w:kern w:val="2"/>
          <w:sz w:val="24"/>
          <w:szCs w:val="24"/>
          <w:lang w:val="en-US" w:eastAsia="zh-CN" w:bidi="ar-SA"/>
        </w:rPr>
        <w:t>:</w:t>
      </w:r>
      <w:r>
        <w:rPr>
          <w:rFonts w:hint="default" w:ascii="宋体" w:cs="宋体" w:hAnsiTheme="minorHAnsi" w:eastAsiaTheme="minorEastAsia"/>
          <w:color w:val="auto"/>
          <w:kern w:val="2"/>
          <w:sz w:val="24"/>
          <w:szCs w:val="24"/>
          <w:lang w:eastAsia="zh-CN" w:bidi="ar-SA"/>
        </w:rPr>
        <w:t>59</w:t>
      </w:r>
      <w:r>
        <w:rPr>
          <w:rFonts w:hint="eastAsia" w:ascii="宋体" w:cs="宋体" w:hAnsiTheme="minorHAnsi" w:eastAsiaTheme="minorEastAsia"/>
          <w:color w:val="auto"/>
          <w:kern w:val="2"/>
          <w:sz w:val="24"/>
          <w:szCs w:val="24"/>
          <w:lang w:val="en-US" w:eastAsia="zh-CN" w:bidi="ar-SA"/>
        </w:rPr>
        <w:t>，</w:t>
      </w:r>
      <w:r>
        <w:rPr>
          <w:rFonts w:hint="default" w:ascii="宋体" w:cs="宋体" w:hAnsiTheme="minorHAnsi" w:eastAsiaTheme="minorEastAsia"/>
          <w:color w:val="auto"/>
          <w:kern w:val="2"/>
          <w:sz w:val="24"/>
          <w:szCs w:val="24"/>
          <w:lang w:eastAsia="zh-CN" w:bidi="ar-SA"/>
        </w:rPr>
        <w:t>（</w:t>
      </w:r>
      <w:r>
        <w:rPr>
          <w:rFonts w:hint="eastAsia" w:ascii="宋体" w:cs="宋体" w:hAnsiTheme="minorHAnsi" w:eastAsiaTheme="minorEastAsia"/>
          <w:color w:val="auto"/>
          <w:kern w:val="2"/>
          <w:sz w:val="24"/>
          <w:szCs w:val="24"/>
          <w:lang w:val="en-US" w:eastAsia="zh-Hans" w:bidi="ar-SA"/>
        </w:rPr>
        <w:t>北京时间</w:t>
      </w:r>
      <w:r>
        <w:rPr>
          <w:rFonts w:hint="default" w:ascii="宋体" w:cs="宋体" w:hAnsiTheme="minorHAnsi" w:eastAsiaTheme="minorEastAsia"/>
          <w:color w:val="auto"/>
          <w:kern w:val="2"/>
          <w:sz w:val="24"/>
          <w:szCs w:val="24"/>
          <w:lang w:eastAsia="zh-Hans" w:bidi="ar-SA"/>
        </w:rPr>
        <w:t>，</w:t>
      </w:r>
      <w:r>
        <w:rPr>
          <w:rFonts w:hint="eastAsia" w:ascii="宋体" w:cs="宋体" w:hAnsiTheme="minorHAnsi" w:eastAsiaTheme="minorEastAsia"/>
          <w:color w:val="auto"/>
          <w:kern w:val="2"/>
          <w:sz w:val="24"/>
          <w:szCs w:val="24"/>
          <w:lang w:val="en-US" w:eastAsia="zh-Hans" w:bidi="ar-SA"/>
        </w:rPr>
        <w:t>法定节假日除外</w:t>
      </w:r>
      <w:r>
        <w:rPr>
          <w:rFonts w:hint="eastAsia" w:ascii="宋体" w:cs="宋体" w:hAnsiTheme="minorHAnsi" w:eastAsiaTheme="minorEastAsia"/>
          <w:color w:val="auto"/>
          <w:kern w:val="2"/>
          <w:sz w:val="24"/>
          <w:szCs w:val="24"/>
          <w:lang w:val="en-US" w:eastAsia="zh-CN" w:bidi="ar-SA"/>
        </w:rPr>
        <w:t>）。</w:t>
      </w:r>
    </w:p>
    <w:p>
      <w:pPr>
        <w:ind w:firstLine="480" w:firstLineChars="200"/>
        <w:rPr>
          <w:rFonts w:hint="eastAsia" w:ascii="宋体" w:cs="宋体" w:hAnsiTheme="minorHAnsi" w:eastAsiaTheme="minorEastAsia"/>
          <w:color w:val="auto"/>
          <w:kern w:val="2"/>
          <w:sz w:val="24"/>
          <w:szCs w:val="24"/>
          <w:lang w:val="en-US" w:eastAsia="zh-CN" w:bidi="ar-SA"/>
        </w:rPr>
      </w:pPr>
      <w:r>
        <w:rPr>
          <w:rFonts w:hint="eastAsia" w:ascii="宋体" w:cs="宋体" w:hAnsiTheme="minorHAnsi" w:eastAsiaTheme="minorEastAsia"/>
          <w:color w:val="auto"/>
          <w:kern w:val="2"/>
          <w:sz w:val="24"/>
          <w:szCs w:val="24"/>
          <w:lang w:val="en-US" w:eastAsia="zh-Hans" w:bidi="ar-SA"/>
        </w:rPr>
        <w:t>地点</w:t>
      </w:r>
      <w:r>
        <w:rPr>
          <w:rFonts w:hint="default" w:ascii="宋体" w:cs="宋体" w:hAnsiTheme="minorHAnsi" w:eastAsiaTheme="minorEastAsia"/>
          <w:color w:val="auto"/>
          <w:kern w:val="2"/>
          <w:sz w:val="24"/>
          <w:szCs w:val="24"/>
          <w:lang w:eastAsia="zh-Hans" w:bidi="ar-SA"/>
        </w:rPr>
        <w:t>：</w:t>
      </w:r>
      <w:r>
        <w:rPr>
          <w:rFonts w:hint="eastAsia" w:ascii="宋体" w:cs="宋体" w:hAnsiTheme="minorHAnsi" w:eastAsiaTheme="minorEastAsia"/>
          <w:color w:val="auto"/>
          <w:kern w:val="2"/>
          <w:sz w:val="24"/>
          <w:szCs w:val="24"/>
          <w:lang w:val="en-US" w:eastAsia="zh-CN" w:bidi="ar-SA"/>
        </w:rPr>
        <w:t>新疆政府采购云平台https://www.zcygov.cn/</w:t>
      </w:r>
    </w:p>
    <w:p>
      <w:pPr>
        <w:pStyle w:val="2"/>
        <w:ind w:left="0" w:leftChars="0" w:firstLine="480" w:firstLineChars="200"/>
        <w:rPr>
          <w:rFonts w:hint="eastAsia" w:ascii="宋体" w:cs="宋体" w:hAnsiTheme="minorHAnsi" w:eastAsiaTheme="minorEastAsia"/>
          <w:color w:val="auto"/>
          <w:kern w:val="2"/>
          <w:sz w:val="24"/>
          <w:szCs w:val="24"/>
          <w:lang w:val="en-US" w:eastAsia="zh-CN" w:bidi="ar-SA"/>
        </w:rPr>
      </w:pPr>
      <w:r>
        <w:rPr>
          <w:rFonts w:hint="eastAsia" w:ascii="宋体" w:cs="宋体" w:hAnsiTheme="minorHAnsi" w:eastAsiaTheme="minorEastAsia"/>
          <w:color w:val="auto"/>
          <w:kern w:val="2"/>
          <w:sz w:val="24"/>
          <w:szCs w:val="24"/>
          <w:lang w:val="en-US" w:eastAsia="zh-Hans" w:bidi="ar-SA"/>
        </w:rPr>
        <w:t>方式</w:t>
      </w:r>
      <w:r>
        <w:rPr>
          <w:rFonts w:hint="default" w:ascii="宋体" w:cs="宋体" w:hAnsiTheme="minorHAnsi" w:eastAsiaTheme="minorEastAsia"/>
          <w:color w:val="auto"/>
          <w:kern w:val="2"/>
          <w:sz w:val="24"/>
          <w:szCs w:val="24"/>
          <w:lang w:eastAsia="zh-Hans" w:bidi="ar-SA"/>
        </w:rPr>
        <w:t>：</w:t>
      </w:r>
      <w:r>
        <w:rPr>
          <w:rFonts w:hint="eastAsia" w:ascii="宋体" w:cs="宋体" w:hAnsiTheme="minorHAnsi" w:eastAsiaTheme="minorEastAsia"/>
          <w:color w:val="auto"/>
          <w:kern w:val="2"/>
          <w:sz w:val="24"/>
          <w:szCs w:val="24"/>
          <w:lang w:val="en-US" w:eastAsia="zh-CN" w:bidi="ar-SA"/>
        </w:rPr>
        <w:t>供应商登录新疆政府采购云平台https://www.zcygov.cn/在线申请获取采购文件（进入“项目采购”应用，在获取采购文件菜单中选择项目，申请获取采购文件）</w:t>
      </w:r>
    </w:p>
    <w:p>
      <w:pPr>
        <w:rPr>
          <w:rFonts w:hint="default" w:eastAsiaTheme="minorEastAsia"/>
          <w:color w:val="auto"/>
          <w:lang w:eastAsia="zh-Hans"/>
        </w:rPr>
      </w:pPr>
      <w:r>
        <w:rPr>
          <w:rFonts w:hint="default" w:ascii="宋体" w:cs="宋体" w:hAnsiTheme="minorHAnsi" w:eastAsiaTheme="minorEastAsia"/>
          <w:color w:val="auto"/>
          <w:kern w:val="2"/>
          <w:sz w:val="24"/>
          <w:szCs w:val="24"/>
          <w:lang w:eastAsia="zh-CN" w:bidi="ar-SA"/>
        </w:rPr>
        <w:t xml:space="preserve">  </w:t>
      </w:r>
      <w:r>
        <w:rPr>
          <w:rFonts w:hint="eastAsia" w:ascii="宋体" w:cs="宋体" w:hAnsiTheme="minorHAnsi" w:eastAsiaTheme="minorEastAsia"/>
          <w:color w:val="auto"/>
          <w:kern w:val="2"/>
          <w:sz w:val="24"/>
          <w:szCs w:val="24"/>
          <w:lang w:val="en-US" w:eastAsia="zh-Hans" w:bidi="ar-SA"/>
        </w:rPr>
        <w:t>售价</w:t>
      </w:r>
      <w:r>
        <w:rPr>
          <w:rFonts w:hint="default" w:ascii="宋体" w:cs="宋体" w:hAnsiTheme="minorHAnsi" w:eastAsiaTheme="minorEastAsia"/>
          <w:color w:val="auto"/>
          <w:kern w:val="2"/>
          <w:sz w:val="24"/>
          <w:szCs w:val="24"/>
          <w:lang w:eastAsia="zh-Hans" w:bidi="ar-SA"/>
        </w:rPr>
        <w:t>（</w:t>
      </w:r>
      <w:r>
        <w:rPr>
          <w:rFonts w:hint="eastAsia" w:ascii="宋体" w:cs="宋体" w:hAnsiTheme="minorHAnsi" w:eastAsiaTheme="minorEastAsia"/>
          <w:color w:val="auto"/>
          <w:kern w:val="2"/>
          <w:sz w:val="24"/>
          <w:szCs w:val="24"/>
          <w:lang w:val="en-US" w:eastAsia="zh-Hans" w:bidi="ar-SA"/>
        </w:rPr>
        <w:t>元</w:t>
      </w:r>
      <w:r>
        <w:rPr>
          <w:rFonts w:hint="default" w:ascii="宋体" w:cs="宋体" w:hAnsiTheme="minorHAnsi" w:eastAsiaTheme="minorEastAsia"/>
          <w:color w:val="auto"/>
          <w:kern w:val="2"/>
          <w:sz w:val="24"/>
          <w:szCs w:val="24"/>
          <w:lang w:eastAsia="zh-Hans" w:bidi="ar-SA"/>
        </w:rPr>
        <w:t>）：0</w:t>
      </w:r>
    </w:p>
    <w:p>
      <w:pPr>
        <w:numPr>
          <w:ilvl w:val="0"/>
          <w:numId w:val="0"/>
        </w:numPr>
        <w:spacing w:line="360" w:lineRule="auto"/>
        <w:ind w:leftChars="0" w:right="-92" w:rightChars="-44"/>
        <w:rPr>
          <w:rFonts w:hint="default"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四、提交投标文件截止时间、开标时间和地点：</w:t>
      </w:r>
    </w:p>
    <w:p>
      <w:pPr>
        <w:spacing w:line="360" w:lineRule="auto"/>
        <w:ind w:right="-92" w:rightChars="-44"/>
        <w:rPr>
          <w:rFonts w:asci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投标截止时间及开标日期：202</w:t>
      </w:r>
      <w:r>
        <w:rPr>
          <w:rFonts w:hint="eastAsia" w:ascii="宋体" w:hAnsi="宋体" w:cs="宋体"/>
          <w:color w:val="auto"/>
          <w:sz w:val="24"/>
          <w:lang w:val="en-US" w:eastAsia="zh-CN"/>
        </w:rPr>
        <w:t>3</w:t>
      </w:r>
      <w:r>
        <w:rPr>
          <w:rFonts w:hint="eastAsia" w:ascii="宋体" w:hAnsi="宋体" w:cs="宋体"/>
          <w:color w:val="auto"/>
          <w:sz w:val="24"/>
        </w:rPr>
        <w:t>年</w:t>
      </w:r>
      <w:r>
        <w:rPr>
          <w:rFonts w:hint="default" w:ascii="宋体" w:hAnsi="宋体" w:cs="宋体"/>
          <w:color w:val="auto"/>
          <w:sz w:val="24"/>
          <w:lang w:eastAsia="zh-CN"/>
        </w:rPr>
        <w:t>1</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w:t>
      </w:r>
      <w:r>
        <w:rPr>
          <w:rFonts w:hint="eastAsia" w:ascii="宋体" w:hAnsi="宋体" w:cs="宋体"/>
          <w:color w:val="auto"/>
          <w:sz w:val="24"/>
          <w:lang w:eastAsia="zh-CN"/>
        </w:rPr>
        <w:t>下</w:t>
      </w:r>
      <w:r>
        <w:rPr>
          <w:rFonts w:hint="eastAsia" w:ascii="宋体" w:hAnsi="宋体" w:cs="宋体"/>
          <w:color w:val="auto"/>
          <w:sz w:val="24"/>
          <w:lang w:val="en-US" w:eastAsia="zh-CN"/>
        </w:rPr>
        <w:t>午</w:t>
      </w:r>
      <w:r>
        <w:rPr>
          <w:rFonts w:hint="eastAsia"/>
          <w:color w:val="auto"/>
          <w:sz w:val="24"/>
          <w:szCs w:val="24"/>
          <w:lang w:val="en-US" w:eastAsia="zh-CN"/>
        </w:rPr>
        <w:t>16</w:t>
      </w:r>
      <w:r>
        <w:rPr>
          <w:rFonts w:hint="eastAsia"/>
          <w:color w:val="auto"/>
          <w:sz w:val="24"/>
          <w:szCs w:val="24"/>
          <w:lang w:val="en-US" w:eastAsia="zh-Hans"/>
        </w:rPr>
        <w:t>时</w:t>
      </w:r>
      <w:r>
        <w:rPr>
          <w:rFonts w:hint="default"/>
          <w:color w:val="auto"/>
          <w:sz w:val="24"/>
          <w:szCs w:val="24"/>
          <w:lang w:eastAsia="zh-Hans"/>
        </w:rPr>
        <w:t>0</w:t>
      </w:r>
      <w:r>
        <w:rPr>
          <w:rFonts w:hint="eastAsia"/>
          <w:color w:val="auto"/>
          <w:sz w:val="24"/>
          <w:szCs w:val="24"/>
          <w:lang w:val="en-US" w:eastAsia="zh-CN"/>
        </w:rPr>
        <w:t>0</w:t>
      </w:r>
      <w:r>
        <w:rPr>
          <w:rFonts w:hint="eastAsia"/>
          <w:color w:val="auto"/>
          <w:sz w:val="24"/>
          <w:szCs w:val="24"/>
          <w:lang w:val="en-US" w:eastAsia="zh-Hans"/>
        </w:rPr>
        <w:t>分</w:t>
      </w:r>
      <w:r>
        <w:rPr>
          <w:rFonts w:hint="eastAsia" w:ascii="宋体" w:hAnsi="宋体" w:cs="宋体"/>
          <w:color w:val="auto"/>
          <w:sz w:val="24"/>
        </w:rPr>
        <w:t>（北京时间）（过期不予受理）。</w:t>
      </w:r>
    </w:p>
    <w:p>
      <w:pPr>
        <w:spacing w:line="360" w:lineRule="auto"/>
        <w:ind w:right="-92" w:rightChars="-44"/>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开标地点：</w:t>
      </w:r>
      <w:r>
        <w:rPr>
          <w:rFonts w:hint="eastAsia" w:ascii="宋体" w:hAnsi="宋体"/>
          <w:color w:val="auto"/>
          <w:sz w:val="24"/>
          <w:szCs w:val="24"/>
          <w:highlight w:val="none"/>
          <w:lang w:val="en-US" w:eastAsia="zh-CN"/>
        </w:rPr>
        <w:t>乌鲁木齐市鲤鱼山北路领世广场3号楼904室</w:t>
      </w:r>
      <w:r>
        <w:rPr>
          <w:rFonts w:ascii="宋体" w:hAnsi="宋体"/>
          <w:color w:val="auto"/>
          <w:sz w:val="24"/>
          <w:szCs w:val="24"/>
          <w:highlight w:val="none"/>
        </w:rPr>
        <w:t xml:space="preserve"> </w:t>
      </w:r>
      <w:r>
        <w:rPr>
          <w:rFonts w:hint="eastAsia" w:ascii="宋体" w:hAnsi="宋体" w:cs="宋体"/>
          <w:color w:val="auto"/>
          <w:sz w:val="24"/>
          <w:lang w:val="en-US" w:eastAsia="zh-CN"/>
        </w:rPr>
        <w:t>。</w:t>
      </w:r>
    </w:p>
    <w:p>
      <w:pPr>
        <w:numPr>
          <w:ilvl w:val="0"/>
          <w:numId w:val="0"/>
        </w:numPr>
        <w:spacing w:line="360" w:lineRule="auto"/>
        <w:ind w:leftChars="0" w:right="-92" w:rightChars="-44"/>
        <w:rPr>
          <w:rFonts w:hint="eastAsia" w:ascii="宋体" w:hAnsi="宋体" w:cs="宋体"/>
          <w:b/>
          <w:bCs/>
          <w:color w:val="auto"/>
          <w:sz w:val="28"/>
          <w:szCs w:val="28"/>
          <w:shd w:val="clear" w:color="auto" w:fill="FFFFFF"/>
          <w:lang w:val="en-US" w:eastAsia="zh-CN"/>
        </w:rPr>
      </w:pPr>
      <w:r>
        <w:rPr>
          <w:rFonts w:hint="eastAsia" w:ascii="宋体" w:hAnsi="宋体" w:cs="宋体"/>
          <w:b/>
          <w:bCs/>
          <w:color w:val="auto"/>
          <w:sz w:val="28"/>
          <w:szCs w:val="28"/>
          <w:shd w:val="clear" w:color="auto" w:fill="FFFFFF"/>
          <w:lang w:val="en-US" w:eastAsia="zh-CN"/>
        </w:rPr>
        <w:t>五、联系事项：</w:t>
      </w:r>
    </w:p>
    <w:p>
      <w:pPr>
        <w:pStyle w:val="34"/>
        <w:spacing w:line="240" w:lineRule="auto"/>
        <w:rPr>
          <w:rFonts w:hint="eastAsia" w:eastAsiaTheme="minorEastAsia"/>
          <w:color w:val="auto"/>
          <w:lang w:val="en-US" w:eastAsia="zh-CN"/>
        </w:rPr>
      </w:pPr>
      <w:r>
        <w:rPr>
          <w:rFonts w:hint="eastAsia" w:ascii="宋体" w:hAnsi="宋体" w:cs="宋体"/>
          <w:color w:val="auto"/>
          <w:sz w:val="24"/>
          <w:szCs w:val="24"/>
        </w:rPr>
        <w:t>1.采购人信息</w:t>
      </w:r>
      <w:r>
        <w:rPr>
          <w:rFonts w:hint="eastAsia" w:ascii="宋体" w:hAnsi="宋体" w:cs="宋体"/>
          <w:color w:val="auto"/>
          <w:sz w:val="24"/>
          <w:szCs w:val="24"/>
          <w:lang w:eastAsia="zh-CN"/>
        </w:rPr>
        <w:t>：</w:t>
      </w:r>
    </w:p>
    <w:p>
      <w:pPr>
        <w:spacing w:line="24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名 称：新疆医科大学第一附属医院 </w:t>
      </w:r>
    </w:p>
    <w:p>
      <w:pPr>
        <w:spacing w:line="24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lang w:eastAsia="zh-CN"/>
        </w:rPr>
        <w:t>乌鲁木齐市新</w:t>
      </w:r>
      <w:r>
        <w:rPr>
          <w:rFonts w:hint="eastAsia" w:ascii="宋体" w:hAnsi="宋体"/>
          <w:color w:val="auto"/>
          <w:sz w:val="24"/>
          <w:szCs w:val="24"/>
          <w:highlight w:val="none"/>
          <w:lang w:val="en-US" w:eastAsia="zh-Hans"/>
        </w:rPr>
        <w:t>鲤鱼山南路</w:t>
      </w:r>
      <w:r>
        <w:rPr>
          <w:rFonts w:hint="default" w:ascii="宋体" w:hAnsi="宋体"/>
          <w:color w:val="auto"/>
          <w:sz w:val="24"/>
          <w:szCs w:val="24"/>
          <w:highlight w:val="none"/>
          <w:lang w:eastAsia="zh-Hans"/>
        </w:rPr>
        <w:t>137</w:t>
      </w:r>
      <w:r>
        <w:rPr>
          <w:rFonts w:hint="eastAsia" w:ascii="宋体" w:hAnsi="宋体"/>
          <w:color w:val="auto"/>
          <w:sz w:val="24"/>
          <w:szCs w:val="24"/>
          <w:highlight w:val="none"/>
          <w:lang w:val="en-US" w:eastAsia="zh-Hans"/>
        </w:rPr>
        <w:t>号</w:t>
      </w:r>
      <w:r>
        <w:rPr>
          <w:rFonts w:ascii="宋体" w:hAnsi="宋体"/>
          <w:color w:val="auto"/>
          <w:sz w:val="24"/>
          <w:szCs w:val="24"/>
          <w:highlight w:val="none"/>
        </w:rPr>
        <w:t xml:space="preserve"> </w:t>
      </w:r>
    </w:p>
    <w:p>
      <w:pPr>
        <w:spacing w:line="24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刘老师、叶老师</w:t>
      </w:r>
    </w:p>
    <w:p>
      <w:pPr>
        <w:spacing w:line="24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联系电话：0991-4362391</w:t>
      </w:r>
    </w:p>
    <w:p>
      <w:pPr>
        <w:spacing w:line="240" w:lineRule="auto"/>
        <w:jc w:val="left"/>
        <w:rPr>
          <w:rFonts w:hint="default" w:ascii="宋体" w:hAnsi="宋体"/>
          <w:color w:val="auto"/>
          <w:sz w:val="24"/>
          <w:szCs w:val="24"/>
          <w:highlight w:val="none"/>
          <w:lang w:val="en-US" w:eastAsia="zh-CN"/>
        </w:rPr>
      </w:pPr>
      <w:r>
        <w:rPr>
          <w:rFonts w:hint="eastAsia" w:ascii="宋体" w:hAnsi="宋体" w:eastAsiaTheme="minorEastAsia" w:cstheme="minorBidi"/>
          <w:color w:val="auto"/>
          <w:kern w:val="2"/>
          <w:sz w:val="24"/>
          <w:szCs w:val="24"/>
          <w:highlight w:val="none"/>
          <w:lang w:val="en-US" w:eastAsia="zh-CN" w:bidi="ar-SA"/>
        </w:rPr>
        <w:t>2.</w:t>
      </w:r>
      <w:r>
        <w:rPr>
          <w:rFonts w:hint="eastAsia" w:ascii="宋体" w:hAnsi="宋体"/>
          <w:color w:val="auto"/>
          <w:sz w:val="24"/>
          <w:szCs w:val="24"/>
          <w:highlight w:val="none"/>
          <w:lang w:val="en-US" w:eastAsia="zh-CN"/>
        </w:rPr>
        <w:t>招标代理机构：</w:t>
      </w:r>
    </w:p>
    <w:p>
      <w:pPr>
        <w:spacing w:line="24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招标代理机构：</w:t>
      </w:r>
      <w:r>
        <w:rPr>
          <w:rFonts w:hint="eastAsia" w:ascii="宋体" w:hAnsi="宋体"/>
          <w:color w:val="auto"/>
          <w:sz w:val="24"/>
          <w:szCs w:val="24"/>
          <w:highlight w:val="none"/>
          <w:lang w:eastAsia="zh-CN"/>
        </w:rPr>
        <w:t>华诚博远工程咨询有限公司</w:t>
      </w:r>
    </w:p>
    <w:p>
      <w:pPr>
        <w:spacing w:line="24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地址：乌鲁木齐市鲤鱼山北路领世广场3号楼904室</w:t>
      </w:r>
    </w:p>
    <w:p>
      <w:pPr>
        <w:spacing w:line="24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刘宁</w:t>
      </w:r>
      <w:r>
        <w:rPr>
          <w:rFonts w:hint="eastAsia" w:ascii="宋体" w:hAnsi="宋体"/>
          <w:color w:val="auto"/>
          <w:sz w:val="24"/>
          <w:szCs w:val="24"/>
          <w:highlight w:val="none"/>
        </w:rPr>
        <w:t xml:space="preserve">      </w:t>
      </w:r>
    </w:p>
    <w:p>
      <w:pPr>
        <w:spacing w:line="24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 xml:space="preserve">联系电话: </w:t>
      </w:r>
      <w:r>
        <w:rPr>
          <w:rFonts w:hint="eastAsia" w:ascii="宋体" w:hAnsi="宋体"/>
          <w:color w:val="auto"/>
          <w:sz w:val="24"/>
          <w:szCs w:val="24"/>
          <w:highlight w:val="none"/>
          <w:lang w:val="en-US" w:eastAsia="zh-CN"/>
        </w:rPr>
        <w:t>15999169190</w:t>
      </w:r>
    </w:p>
    <w:p>
      <w:pPr>
        <w:spacing w:line="360" w:lineRule="auto"/>
        <w:ind w:right="-92" w:rightChars="-44"/>
        <w:rPr>
          <w:rFonts w:ascii="宋体" w:hAnsi="宋体" w:cs="宋体"/>
          <w:color w:val="auto"/>
          <w:sz w:val="24"/>
        </w:rPr>
      </w:pPr>
    </w:p>
    <w:p>
      <w:pPr>
        <w:spacing w:line="360" w:lineRule="auto"/>
        <w:ind w:left="-15" w:leftChars="-7" w:right="-92" w:rightChars="-44" w:firstLine="487" w:firstLineChars="203"/>
        <w:rPr>
          <w:rFonts w:ascii="宋体" w:hAnsi="宋体" w:cs="宋体"/>
          <w:color w:val="auto"/>
          <w:sz w:val="24"/>
        </w:rPr>
      </w:pPr>
    </w:p>
    <w:p>
      <w:pPr>
        <w:spacing w:line="360" w:lineRule="auto"/>
        <w:ind w:left="-15" w:leftChars="-7" w:right="-92" w:rightChars="-44" w:firstLine="12" w:firstLineChars="5"/>
        <w:rPr>
          <w:rFonts w:hint="eastAsia" w:ascii="宋体" w:cs="宋体" w:eastAsiaTheme="minorEastAsia"/>
          <w:color w:val="auto"/>
          <w:sz w:val="24"/>
          <w:lang w:eastAsia="zh-CN"/>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eastAsia="zh-CN"/>
        </w:rPr>
        <w:t>华诚博远工程咨询有限公司</w:t>
      </w:r>
    </w:p>
    <w:p>
      <w:pPr>
        <w:numPr>
          <w:ilvl w:val="0"/>
          <w:numId w:val="0"/>
        </w:numPr>
        <w:spacing w:line="360" w:lineRule="auto"/>
        <w:jc w:val="center"/>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20</w:t>
      </w: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年</w:t>
      </w:r>
      <w:r>
        <w:rPr>
          <w:rFonts w:hint="default" w:ascii="宋体" w:hAnsi="宋体" w:cs="宋体"/>
          <w:color w:val="auto"/>
          <w:sz w:val="24"/>
          <w:lang w:eastAsia="zh-CN"/>
        </w:rPr>
        <w:t>12</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bookmarkStart w:id="0" w:name="_Toc182131583"/>
      <w:bookmarkEnd w:id="0"/>
    </w:p>
    <w:p>
      <w:pPr>
        <w:pStyle w:val="6"/>
        <w:jc w:val="both"/>
        <w:rPr>
          <w:rFonts w:hint="eastAsia"/>
        </w:rPr>
      </w:pPr>
      <w:bookmarkStart w:id="1" w:name="_Toc10608"/>
      <w:bookmarkStart w:id="2" w:name="_Toc182131584"/>
    </w:p>
    <w:p>
      <w:pPr>
        <w:rPr>
          <w:rFonts w:hint="eastAsia"/>
        </w:rPr>
      </w:pPr>
    </w:p>
    <w:p>
      <w:pPr>
        <w:pStyle w:val="2"/>
        <w:rPr>
          <w:rFonts w:hint="eastAsia"/>
        </w:rPr>
      </w:pPr>
    </w:p>
    <w:p>
      <w:pPr>
        <w:rPr>
          <w:rFonts w:hint="eastAsia"/>
        </w:rPr>
      </w:pPr>
    </w:p>
    <w:p>
      <w:pPr>
        <w:pStyle w:val="6"/>
        <w:jc w:val="center"/>
      </w:pPr>
      <w:r>
        <w:rPr>
          <w:rFonts w:hint="eastAsia"/>
        </w:rPr>
        <w:t>第二部分供应商须知</w:t>
      </w:r>
      <w:bookmarkEnd w:id="1"/>
    </w:p>
    <w:p>
      <w:pPr>
        <w:jc w:val="center"/>
        <w:rPr>
          <w:b/>
          <w:bCs/>
        </w:rPr>
      </w:pPr>
      <w:r>
        <w:rPr>
          <w:rFonts w:hint="eastAsia"/>
          <w:b/>
          <w:bCs/>
        </w:rPr>
        <w:t>供应商须知附表</w:t>
      </w:r>
      <w:bookmarkEnd w:id="2"/>
    </w:p>
    <w:tbl>
      <w:tblPr>
        <w:tblStyle w:val="48"/>
        <w:tblW w:w="98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9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9125" w:type="dxa"/>
            <w:tcBorders>
              <w:top w:val="single" w:color="auto" w:sz="4" w:space="0"/>
              <w:left w:val="single" w:color="auto" w:sz="4" w:space="0"/>
              <w:bottom w:val="single" w:color="auto" w:sz="4" w:space="0"/>
              <w:right w:val="single" w:color="auto" w:sz="4" w:space="0"/>
            </w:tcBorders>
            <w:vAlign w:val="center"/>
          </w:tcPr>
          <w:p>
            <w:pPr>
              <w:ind w:firstLine="3840" w:firstLineChars="1600"/>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82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w:t>
            </w:r>
          </w:p>
        </w:tc>
        <w:tc>
          <w:tcPr>
            <w:tcW w:w="912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项目名称：</w:t>
            </w:r>
            <w:r>
              <w:rPr>
                <w:rFonts w:hint="default" w:ascii="Times New Roman" w:hAnsi="Times New Roman" w:eastAsia="宋体" w:cs="Times New Roman"/>
                <w:b w:val="0"/>
                <w:bCs w:val="0"/>
                <w:color w:val="auto"/>
                <w:sz w:val="24"/>
                <w:szCs w:val="24"/>
              </w:rPr>
              <w:t>新疆医科大学第一附属医院视频监控系统设备招标项目</w:t>
            </w:r>
          </w:p>
          <w:p>
            <w:pPr>
              <w:rPr>
                <w:rFonts w:hint="default" w:ascii="Times New Roman" w:hAnsi="Times New Roman" w:eastAsia="宋体" w:cs="Times New Roman"/>
                <w:color w:val="auto"/>
                <w:kern w:val="2"/>
                <w:sz w:val="24"/>
                <w:szCs w:val="24"/>
                <w:lang w:eastAsia="zh-CN" w:bidi="ar-SA"/>
              </w:rPr>
            </w:pPr>
            <w:r>
              <w:rPr>
                <w:rFonts w:hint="eastAsia" w:ascii="Times New Roman" w:hAnsi="Times New Roman" w:eastAsia="宋体" w:cs="Times New Roman"/>
                <w:color w:val="auto"/>
                <w:kern w:val="2"/>
                <w:sz w:val="24"/>
                <w:szCs w:val="24"/>
                <w:lang w:val="en-US" w:eastAsia="zh-CN" w:bidi="ar-SA"/>
              </w:rPr>
              <w:t>项目编号：</w:t>
            </w:r>
            <w:r>
              <w:rPr>
                <w:rFonts w:hint="eastAsia" w:ascii="宋体" w:hAnsi="宋体" w:cs="宋体"/>
                <w:color w:val="auto"/>
                <w:sz w:val="24"/>
                <w:shd w:val="clear" w:color="auto" w:fill="FFFFFF"/>
              </w:rPr>
              <w:t>[2022]18081</w:t>
            </w:r>
            <w:r>
              <w:rPr>
                <w:rFonts w:hint="eastAsia" w:ascii="宋体" w:hAnsi="宋体" w:cs="宋体"/>
                <w:color w:val="auto"/>
                <w:sz w:val="24"/>
                <w:shd w:val="clear" w:color="auto" w:fill="FFFFFF"/>
                <w:lang w:val="en-US" w:eastAsia="zh-CN"/>
              </w:rPr>
              <w:t>-02</w:t>
            </w:r>
            <w:r>
              <w:rPr>
                <w:rFonts w:hint="eastAsia" w:ascii="宋体" w:hAnsi="宋体" w:cs="宋体"/>
                <w:color w:val="auto"/>
                <w:sz w:val="24"/>
                <w:shd w:val="clear" w:color="auto" w:fill="FFFFFF"/>
              </w:rPr>
              <w:t>号</w:t>
            </w:r>
          </w:p>
          <w:p>
            <w:pPr>
              <w:pStyle w:val="34"/>
              <w:rPr>
                <w:color w:val="auto"/>
              </w:rPr>
            </w:pPr>
            <w:r>
              <w:rPr>
                <w:rFonts w:hint="eastAsia"/>
                <w:color w:val="auto"/>
                <w:sz w:val="24"/>
                <w:szCs w:val="24"/>
                <w:lang w:val="en-US" w:eastAsia="zh-CN"/>
              </w:rPr>
              <w:t>招标方式：竞争性谈判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w:t>
            </w:r>
          </w:p>
        </w:tc>
        <w:tc>
          <w:tcPr>
            <w:tcW w:w="9125"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采购人名称：新疆医科大学第一附属医院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3</w:t>
            </w:r>
          </w:p>
        </w:tc>
        <w:tc>
          <w:tcPr>
            <w:tcW w:w="9125"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eastAsia="zh-CN"/>
              </w:rPr>
            </w:pPr>
            <w:r>
              <w:rPr>
                <w:rFonts w:hint="eastAsia"/>
                <w:color w:val="auto"/>
                <w:sz w:val="24"/>
                <w:szCs w:val="24"/>
              </w:rPr>
              <w:t>代理机构名称：</w:t>
            </w:r>
            <w:r>
              <w:rPr>
                <w:rFonts w:hint="eastAsia"/>
                <w:color w:val="auto"/>
                <w:sz w:val="24"/>
                <w:szCs w:val="24"/>
                <w:lang w:eastAsia="zh-CN"/>
              </w:rPr>
              <w:t>华诚博远工程咨询有限公司</w:t>
            </w:r>
          </w:p>
          <w:p>
            <w:pPr>
              <w:rPr>
                <w:color w:val="auto"/>
                <w:sz w:val="24"/>
                <w:szCs w:val="24"/>
              </w:rPr>
            </w:pPr>
            <w:r>
              <w:rPr>
                <w:rFonts w:hint="eastAsia"/>
                <w:color w:val="auto"/>
                <w:sz w:val="24"/>
                <w:szCs w:val="24"/>
              </w:rPr>
              <w:t>代理机构地址：乌鲁木齐市</w:t>
            </w:r>
            <w:r>
              <w:rPr>
                <w:rFonts w:hint="eastAsia"/>
                <w:color w:val="auto"/>
                <w:sz w:val="24"/>
                <w:szCs w:val="24"/>
                <w:lang w:eastAsia="zh-CN"/>
              </w:rPr>
              <w:t>鲤鱼山北路领世广场</w:t>
            </w:r>
            <w:r>
              <w:rPr>
                <w:rFonts w:hint="eastAsia"/>
                <w:color w:val="auto"/>
                <w:sz w:val="24"/>
                <w:szCs w:val="24"/>
                <w:lang w:val="en-US" w:eastAsia="zh-CN"/>
              </w:rPr>
              <w:t>3号楼904室</w:t>
            </w:r>
            <w:r>
              <w:rPr>
                <w:rFonts w:hint="eastAsia"/>
                <w:color w:val="auto"/>
                <w:sz w:val="24"/>
                <w:szCs w:val="24"/>
              </w:rPr>
              <w:t>　　　</w:t>
            </w:r>
          </w:p>
          <w:p>
            <w:pPr>
              <w:rPr>
                <w:rFonts w:hint="default" w:eastAsia="宋体"/>
                <w:color w:val="auto"/>
                <w:sz w:val="24"/>
                <w:szCs w:val="24"/>
                <w:lang w:val="en-US" w:eastAsia="zh-CN"/>
              </w:rPr>
            </w:pPr>
            <w:r>
              <w:rPr>
                <w:rFonts w:hint="eastAsia"/>
                <w:color w:val="auto"/>
                <w:sz w:val="24"/>
                <w:szCs w:val="24"/>
              </w:rPr>
              <w:t>电话：</w:t>
            </w:r>
            <w:r>
              <w:rPr>
                <w:rFonts w:hint="eastAsia"/>
                <w:color w:val="auto"/>
                <w:sz w:val="24"/>
                <w:szCs w:val="24"/>
                <w:lang w:val="en-US" w:eastAsia="zh-CN"/>
              </w:rPr>
              <w:t>15999169190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4</w:t>
            </w:r>
          </w:p>
        </w:tc>
        <w:tc>
          <w:tcPr>
            <w:tcW w:w="9125"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bCs/>
                <w:color w:val="auto"/>
                <w:sz w:val="24"/>
                <w:szCs w:val="24"/>
                <w:lang w:eastAsia="zh-CN"/>
              </w:rPr>
              <w:t>预算金额</w:t>
            </w:r>
            <w:r>
              <w:rPr>
                <w:rFonts w:hint="eastAsia"/>
                <w:bCs/>
                <w:color w:val="auto"/>
                <w:sz w:val="24"/>
                <w:szCs w:val="24"/>
              </w:rPr>
              <w:t>：</w:t>
            </w:r>
            <w:r>
              <w:rPr>
                <w:rFonts w:hint="default" w:ascii="宋体" w:hAnsi="宋体" w:cs="宋体"/>
                <w:color w:val="auto"/>
                <w:sz w:val="24"/>
                <w:lang w:eastAsia="zh-CN"/>
              </w:rPr>
              <w:t>49</w:t>
            </w:r>
            <w:r>
              <w:rPr>
                <w:rFonts w:hint="eastAsia" w:ascii="宋体" w:hAnsi="宋体" w:cs="宋体"/>
                <w:color w:val="auto"/>
                <w:sz w:val="24"/>
                <w:lang w:val="en-US" w:eastAsia="zh-Hans"/>
              </w:rPr>
              <w:t>.</w:t>
            </w:r>
            <w:r>
              <w:rPr>
                <w:rFonts w:hint="default" w:ascii="宋体" w:hAnsi="宋体" w:cs="宋体"/>
                <w:color w:val="auto"/>
                <w:sz w:val="24"/>
                <w:lang w:eastAsia="zh-Hans"/>
              </w:rPr>
              <w:t>5</w:t>
            </w:r>
            <w:r>
              <w:rPr>
                <w:rFonts w:hint="eastAsia" w:ascii="宋体" w:hAnsi="宋体" w:cs="宋体"/>
                <w:color w:val="auto"/>
                <w:sz w:val="24"/>
                <w:lang w:val="en-US" w:eastAsia="zh-CN"/>
              </w:rPr>
              <w:t>万</w:t>
            </w:r>
            <w:r>
              <w:rPr>
                <w:rFonts w:hint="eastAsia" w:ascii="宋体" w:hAnsi="宋体" w:cs="宋体"/>
                <w:color w:val="auto"/>
                <w:sz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5</w:t>
            </w:r>
          </w:p>
        </w:tc>
        <w:tc>
          <w:tcPr>
            <w:tcW w:w="9125" w:type="dxa"/>
            <w:tcBorders>
              <w:top w:val="single" w:color="auto" w:sz="4" w:space="0"/>
              <w:left w:val="single" w:color="auto" w:sz="4" w:space="0"/>
              <w:bottom w:val="single" w:color="auto" w:sz="4" w:space="0"/>
              <w:right w:val="single" w:color="auto" w:sz="4" w:space="0"/>
            </w:tcBorders>
            <w:vAlign w:val="center"/>
          </w:tcPr>
          <w:p>
            <w:pPr>
              <w:overflowPunct w:val="0"/>
              <w:spacing w:line="288" w:lineRule="auto"/>
              <w:jc w:val="left"/>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保证金金额：</w:t>
            </w:r>
            <w:r>
              <w:rPr>
                <w:rFonts w:hint="default" w:ascii="宋体" w:hAnsi="宋体" w:cs="宋体"/>
                <w:color w:val="auto"/>
                <w:sz w:val="24"/>
                <w:szCs w:val="24"/>
              </w:rPr>
              <w:t>4900</w:t>
            </w:r>
            <w:r>
              <w:rPr>
                <w:rFonts w:hint="eastAsia" w:ascii="宋体" w:hAnsi="宋体" w:cs="宋体"/>
                <w:color w:val="auto"/>
                <w:sz w:val="24"/>
                <w:szCs w:val="24"/>
                <w:lang w:val="en-US" w:eastAsia="zh-CN"/>
              </w:rPr>
              <w:t>元，</w:t>
            </w:r>
            <w:r>
              <w:rPr>
                <w:rFonts w:hint="eastAsia" w:ascii="宋体" w:hAnsi="宋体" w:cs="宋体"/>
                <w:b/>
                <w:bCs/>
                <w:color w:val="auto"/>
                <w:sz w:val="24"/>
                <w:szCs w:val="24"/>
                <w:lang w:val="en-US" w:eastAsia="zh-CN"/>
              </w:rPr>
              <w:t>（</w:t>
            </w:r>
            <w:r>
              <w:rPr>
                <w:rFonts w:hint="eastAsia" w:ascii="宋体" w:hAnsi="宋体" w:eastAsia="宋体" w:cs="宋体"/>
                <w:b/>
                <w:color w:val="auto"/>
                <w:sz w:val="24"/>
                <w:szCs w:val="24"/>
                <w:lang w:val="en-US" w:eastAsia="zh-CN"/>
              </w:rPr>
              <w:t>大写：</w:t>
            </w:r>
            <w:r>
              <w:rPr>
                <w:rFonts w:hint="eastAsia" w:ascii="宋体" w:hAnsi="宋体" w:cs="宋体"/>
                <w:b/>
                <w:color w:val="auto"/>
                <w:sz w:val="24"/>
                <w:szCs w:val="24"/>
                <w:lang w:val="en-US" w:eastAsia="zh-Hans"/>
              </w:rPr>
              <w:t>肆仟玖佰元</w:t>
            </w:r>
            <w:r>
              <w:rPr>
                <w:rFonts w:hint="eastAsia" w:ascii="宋体" w:hAnsi="宋体" w:cs="宋体"/>
                <w:b/>
                <w:color w:val="auto"/>
                <w:sz w:val="24"/>
                <w:szCs w:val="24"/>
                <w:lang w:val="en-US" w:eastAsia="zh-CN"/>
              </w:rPr>
              <w:t>整</w:t>
            </w:r>
            <w:r>
              <w:rPr>
                <w:rFonts w:hint="eastAsia" w:ascii="宋体" w:hAnsi="宋体" w:eastAsia="宋体" w:cs="宋体"/>
                <w:b/>
                <w:color w:val="auto"/>
                <w:sz w:val="24"/>
                <w:szCs w:val="24"/>
                <w:lang w:val="en-US" w:eastAsia="zh-CN"/>
              </w:rPr>
              <w:t>）</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auto"/>
                <w:sz w:val="24"/>
                <w:lang w:val="en-US" w:eastAsia="zh-CN"/>
              </w:rPr>
              <w:t>2023年</w:t>
            </w:r>
            <w:r>
              <w:rPr>
                <w:rFonts w:hint="default"/>
                <w:color w:val="auto"/>
                <w:sz w:val="24"/>
                <w:lang w:eastAsia="zh-CN"/>
              </w:rPr>
              <w:t>1</w:t>
            </w:r>
            <w:r>
              <w:rPr>
                <w:rFonts w:hint="eastAsia"/>
                <w:color w:val="auto"/>
                <w:sz w:val="24"/>
                <w:lang w:val="en-US" w:eastAsia="zh-CN"/>
              </w:rPr>
              <w:t>月10日</w:t>
            </w:r>
            <w:r>
              <w:rPr>
                <w:color w:val="auto"/>
                <w:sz w:val="24"/>
                <w:szCs w:val="24"/>
              </w:rPr>
              <w:t>1</w:t>
            </w:r>
            <w:r>
              <w:rPr>
                <w:rFonts w:hint="eastAsia"/>
                <w:color w:val="auto"/>
                <w:sz w:val="24"/>
                <w:szCs w:val="24"/>
                <w:lang w:val="en-US" w:eastAsia="zh-CN"/>
              </w:rPr>
              <w:t>6</w:t>
            </w:r>
            <w:r>
              <w:rPr>
                <w:rFonts w:hint="eastAsia"/>
                <w:color w:val="auto"/>
                <w:sz w:val="24"/>
                <w:szCs w:val="24"/>
                <w:lang w:val="en-US" w:eastAsia="zh-Hans"/>
              </w:rPr>
              <w:t>时</w:t>
            </w:r>
            <w:r>
              <w:rPr>
                <w:rFonts w:hint="default"/>
                <w:color w:val="auto"/>
                <w:sz w:val="24"/>
                <w:szCs w:val="24"/>
                <w:lang w:eastAsia="zh-Hans"/>
              </w:rPr>
              <w:t>0</w:t>
            </w:r>
            <w:r>
              <w:rPr>
                <w:rFonts w:hint="eastAsia"/>
                <w:color w:val="auto"/>
                <w:sz w:val="24"/>
                <w:szCs w:val="24"/>
                <w:lang w:val="en-US" w:eastAsia="zh-CN"/>
              </w:rPr>
              <w:t>0</w:t>
            </w:r>
            <w:r>
              <w:rPr>
                <w:rFonts w:hint="eastAsia"/>
                <w:color w:val="auto"/>
                <w:sz w:val="24"/>
                <w:szCs w:val="24"/>
                <w:lang w:val="en-US" w:eastAsia="zh-Hans"/>
              </w:rPr>
              <w:t>分</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账户（以招标代理到账时间为准），否则其投标保证金视为无效。</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rPr>
                <w:color w:val="auto"/>
                <w:sz w:val="24"/>
                <w:szCs w:val="24"/>
              </w:rPr>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6</w:t>
            </w:r>
          </w:p>
        </w:tc>
        <w:tc>
          <w:tcPr>
            <w:tcW w:w="9125"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82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7</w:t>
            </w:r>
          </w:p>
        </w:tc>
        <w:tc>
          <w:tcPr>
            <w:tcW w:w="9125"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供应商的资格要求：</w:t>
            </w:r>
          </w:p>
          <w:p>
            <w:pPr>
              <w:rPr>
                <w:rFonts w:hint="eastAsia"/>
                <w:sz w:val="24"/>
                <w:szCs w:val="24"/>
                <w:lang w:eastAsia="zh-CN"/>
              </w:rPr>
            </w:pPr>
            <w:r>
              <w:rPr>
                <w:rFonts w:hint="eastAsia"/>
                <w:sz w:val="24"/>
                <w:szCs w:val="24"/>
                <w:lang w:val="en-US" w:eastAsia="zh-CN"/>
              </w:rPr>
              <w:t>1.</w:t>
            </w:r>
            <w:r>
              <w:rPr>
                <w:rFonts w:hint="eastAsia"/>
                <w:sz w:val="24"/>
                <w:szCs w:val="24"/>
                <w:lang w:eastAsia="zh-CN"/>
              </w:rPr>
              <w:t>投标人应符合《中华人民共和国政府采购法》第二十二条规定的条件；</w:t>
            </w:r>
          </w:p>
          <w:p>
            <w:pPr>
              <w:rPr>
                <w:rFonts w:hint="eastAsia"/>
                <w:sz w:val="24"/>
                <w:szCs w:val="24"/>
                <w:lang w:eastAsia="zh-CN"/>
              </w:rPr>
            </w:pPr>
            <w:r>
              <w:rPr>
                <w:rFonts w:hint="eastAsia"/>
                <w:sz w:val="24"/>
                <w:szCs w:val="24"/>
                <w:lang w:eastAsia="zh-CN"/>
              </w:rPr>
              <w:t>①具有独立承担民事责任的能力；</w:t>
            </w:r>
          </w:p>
          <w:p>
            <w:pPr>
              <w:rPr>
                <w:rFonts w:hint="eastAsia"/>
                <w:sz w:val="24"/>
                <w:szCs w:val="24"/>
                <w:lang w:eastAsia="zh-CN"/>
              </w:rPr>
            </w:pPr>
            <w:r>
              <w:rPr>
                <w:rFonts w:hint="eastAsia"/>
                <w:sz w:val="24"/>
                <w:szCs w:val="24"/>
                <w:lang w:eastAsia="zh-CN"/>
              </w:rPr>
              <w:t>②具有良好的商业信誉和健全的财务会计制度；</w:t>
            </w:r>
          </w:p>
          <w:p>
            <w:pPr>
              <w:rPr>
                <w:rFonts w:hint="eastAsia"/>
                <w:sz w:val="24"/>
                <w:szCs w:val="24"/>
                <w:lang w:eastAsia="zh-CN"/>
              </w:rPr>
            </w:pPr>
            <w:r>
              <w:rPr>
                <w:rFonts w:hint="eastAsia"/>
                <w:sz w:val="24"/>
                <w:szCs w:val="24"/>
                <w:lang w:eastAsia="zh-CN"/>
              </w:rPr>
              <w:t>③具有履行合同所必须的设备和专业技术能力；</w:t>
            </w:r>
          </w:p>
          <w:p>
            <w:pPr>
              <w:rPr>
                <w:rFonts w:hint="eastAsia"/>
                <w:sz w:val="24"/>
                <w:szCs w:val="24"/>
                <w:lang w:eastAsia="zh-CN"/>
              </w:rPr>
            </w:pPr>
            <w:r>
              <w:rPr>
                <w:rFonts w:hint="eastAsia"/>
                <w:sz w:val="24"/>
                <w:szCs w:val="24"/>
                <w:lang w:eastAsia="zh-CN"/>
              </w:rPr>
              <w:t>④有依法缴纳税收和社会保障资金的良好记录；</w:t>
            </w:r>
          </w:p>
          <w:p>
            <w:pPr>
              <w:rPr>
                <w:rFonts w:hint="eastAsia"/>
                <w:sz w:val="24"/>
                <w:szCs w:val="24"/>
                <w:lang w:eastAsia="zh-CN"/>
              </w:rPr>
            </w:pPr>
            <w:r>
              <w:rPr>
                <w:rFonts w:hint="eastAsia"/>
                <w:sz w:val="24"/>
                <w:szCs w:val="24"/>
                <w:lang w:eastAsia="zh-CN"/>
              </w:rPr>
              <w:t>⑤参加政府采购活动前三年内，在经营活动中没有重大违法、犯罪记录；</w:t>
            </w:r>
          </w:p>
          <w:p>
            <w:pPr>
              <w:rPr>
                <w:rFonts w:hint="eastAsia"/>
                <w:sz w:val="24"/>
                <w:szCs w:val="24"/>
                <w:lang w:eastAsia="zh-CN"/>
              </w:rPr>
            </w:pPr>
            <w:r>
              <w:rPr>
                <w:rFonts w:hint="eastAsia"/>
                <w:sz w:val="24"/>
                <w:szCs w:val="24"/>
                <w:lang w:eastAsia="zh-CN"/>
              </w:rPr>
              <w:t>⑥法律法规规定的其他条件。</w:t>
            </w:r>
          </w:p>
          <w:p>
            <w:pPr>
              <w:rPr>
                <w:rFonts w:hint="eastAsia"/>
                <w:sz w:val="24"/>
                <w:szCs w:val="24"/>
                <w:lang w:eastAsia="zh-CN"/>
              </w:rPr>
            </w:pPr>
            <w:r>
              <w:rPr>
                <w:rFonts w:hint="eastAsia"/>
                <w:sz w:val="24"/>
                <w:szCs w:val="24"/>
                <w:lang w:val="en-US" w:eastAsia="zh-CN"/>
              </w:rPr>
              <w:t>2.</w:t>
            </w:r>
            <w:r>
              <w:rPr>
                <w:rFonts w:hint="eastAsia"/>
                <w:sz w:val="24"/>
                <w:szCs w:val="24"/>
                <w:lang w:eastAsia="zh-CN"/>
              </w:rPr>
              <w:t>遵守国家法律、法规有关招标的规定。</w:t>
            </w:r>
          </w:p>
          <w:p>
            <w:pPr>
              <w:rPr>
                <w:rFonts w:hint="eastAsia"/>
                <w:sz w:val="24"/>
                <w:szCs w:val="24"/>
                <w:lang w:eastAsia="zh-CN"/>
              </w:rPr>
            </w:pPr>
            <w:r>
              <w:rPr>
                <w:rFonts w:hint="eastAsia"/>
                <w:sz w:val="24"/>
                <w:szCs w:val="24"/>
                <w:lang w:val="en-US" w:eastAsia="zh-CN"/>
              </w:rPr>
              <w:t>3.</w:t>
            </w:r>
            <w:r>
              <w:rPr>
                <w:rFonts w:hint="eastAsia"/>
                <w:sz w:val="24"/>
                <w:szCs w:val="24"/>
                <w:lang w:eastAsia="zh-CN"/>
              </w:rPr>
              <w:t>与采购人就本次招标的项目委托的咨询机构、招标代理机构、以及上述机构的附属机构没有行政或经济关联。</w:t>
            </w:r>
          </w:p>
          <w:p>
            <w:pPr>
              <w:rPr>
                <w:rFonts w:hint="eastAsia"/>
                <w:sz w:val="24"/>
                <w:szCs w:val="24"/>
                <w:lang w:eastAsia="zh-CN"/>
              </w:rPr>
            </w:pPr>
            <w:r>
              <w:rPr>
                <w:rFonts w:hint="eastAsia"/>
                <w:sz w:val="24"/>
                <w:szCs w:val="24"/>
                <w:lang w:val="en-US" w:eastAsia="zh-CN"/>
              </w:rPr>
              <w:t>4.</w:t>
            </w:r>
            <w:r>
              <w:rPr>
                <w:rFonts w:hint="eastAsia"/>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rPr>
                <w:rFonts w:hint="eastAsia"/>
                <w:sz w:val="24"/>
                <w:szCs w:val="24"/>
                <w:lang w:eastAsia="zh-CN"/>
              </w:rPr>
            </w:pPr>
            <w:r>
              <w:rPr>
                <w:rFonts w:hint="eastAsia"/>
                <w:sz w:val="24"/>
                <w:szCs w:val="24"/>
                <w:lang w:val="en-US" w:eastAsia="zh-CN"/>
              </w:rPr>
              <w:t>5.</w:t>
            </w:r>
            <w:r>
              <w:rPr>
                <w:rFonts w:hint="eastAsia" w:ascii="宋体" w:hAnsi="宋体" w:cs="宋体"/>
                <w:color w:val="auto"/>
                <w:sz w:val="24"/>
                <w:shd w:val="clear" w:color="auto" w:fill="FFFFFF"/>
                <w:lang w:val="en-US" w:eastAsia="zh-CN"/>
              </w:rPr>
              <w:t>具有工商部门核发的营业执照</w:t>
            </w:r>
            <w:r>
              <w:rPr>
                <w:rFonts w:hint="eastAsia"/>
                <w:sz w:val="24"/>
                <w:szCs w:val="24"/>
                <w:lang w:eastAsia="zh-CN"/>
              </w:rPr>
              <w:t>。</w:t>
            </w:r>
          </w:p>
          <w:p>
            <w:pPr>
              <w:rPr>
                <w:rFonts w:hint="default"/>
                <w:color w:val="auto"/>
                <w:lang w:val="en-US" w:eastAsia="zh-Hans"/>
              </w:rPr>
            </w:pPr>
            <w:r>
              <w:rPr>
                <w:rFonts w:hint="default"/>
                <w:b w:val="0"/>
                <w:bCs w:val="0"/>
                <w:color w:val="auto"/>
                <w:lang w:eastAsia="zh-Hans"/>
              </w:rPr>
              <w:t>6</w:t>
            </w:r>
            <w:r>
              <w:rPr>
                <w:rFonts w:hint="eastAsia"/>
                <w:b w:val="0"/>
                <w:bCs w:val="0"/>
                <w:color w:val="auto"/>
                <w:lang w:val="en-US" w:eastAsia="zh-Hans"/>
              </w:rPr>
              <w:t>.投</w:t>
            </w:r>
            <w:r>
              <w:rPr>
                <w:rFonts w:hint="eastAsia" w:cs="Times New Roman"/>
                <w:b w:val="0"/>
                <w:bCs w:val="0"/>
                <w:color w:val="auto"/>
                <w:sz w:val="24"/>
                <w:szCs w:val="24"/>
                <w:lang w:val="en-US" w:eastAsia="zh-CN"/>
              </w:rPr>
              <w:t>标单位需具备《安防工程企业资质等级证书》三级及以上资质证书</w:t>
            </w:r>
            <w:r>
              <w:rPr>
                <w:rFonts w:hint="default" w:cs="Times New Roman"/>
                <w:b w:val="0"/>
                <w:bCs w:val="0"/>
                <w:color w:val="auto"/>
                <w:sz w:val="24"/>
                <w:szCs w:val="24"/>
                <w:lang w:eastAsia="zh-CN"/>
              </w:rPr>
              <w:t>。</w:t>
            </w:r>
          </w:p>
          <w:p>
            <w:pPr>
              <w:rPr>
                <w:rFonts w:hint="eastAsia"/>
                <w:color w:val="auto"/>
                <w:sz w:val="24"/>
                <w:szCs w:val="24"/>
                <w:lang w:eastAsia="zh-CN"/>
              </w:rPr>
            </w:pPr>
            <w:r>
              <w:rPr>
                <w:rFonts w:hint="default"/>
                <w:color w:val="auto"/>
                <w:sz w:val="24"/>
                <w:szCs w:val="24"/>
                <w:lang w:eastAsia="zh-CN"/>
              </w:rPr>
              <w:t>7</w:t>
            </w:r>
            <w:r>
              <w:rPr>
                <w:rFonts w:hint="eastAsia"/>
                <w:color w:val="auto"/>
                <w:sz w:val="24"/>
                <w:szCs w:val="24"/>
                <w:lang w:val="en-US" w:eastAsia="zh-CN"/>
              </w:rPr>
              <w:t>.</w:t>
            </w:r>
            <w:r>
              <w:rPr>
                <w:rFonts w:hint="eastAsia"/>
                <w:color w:val="auto"/>
                <w:sz w:val="24"/>
                <w:szCs w:val="24"/>
                <w:lang w:eastAsia="zh-CN"/>
              </w:rPr>
              <w:t>须</w:t>
            </w:r>
            <w:r>
              <w:rPr>
                <w:rFonts w:hint="eastAsia"/>
                <w:color w:val="auto"/>
                <w:sz w:val="24"/>
                <w:szCs w:val="24"/>
                <w:lang w:val="en-US" w:eastAsia="zh-CN"/>
              </w:rPr>
              <w:t>具备近一年财务审计报告或银行提供的资信证明（新公司从成立之日起算）。</w:t>
            </w:r>
          </w:p>
          <w:p>
            <w:pPr>
              <w:rPr>
                <w:rFonts w:hint="eastAsia"/>
                <w:color w:val="auto"/>
                <w:sz w:val="24"/>
                <w:szCs w:val="24"/>
                <w:lang w:eastAsia="zh-CN"/>
              </w:rPr>
            </w:pPr>
            <w:r>
              <w:rPr>
                <w:rFonts w:hint="default"/>
                <w:color w:val="auto"/>
                <w:sz w:val="24"/>
                <w:szCs w:val="24"/>
                <w:lang w:eastAsia="zh-CN"/>
              </w:rPr>
              <w:t>8</w:t>
            </w:r>
            <w:r>
              <w:rPr>
                <w:rFonts w:hint="eastAsia"/>
                <w:color w:val="auto"/>
                <w:sz w:val="24"/>
                <w:szCs w:val="24"/>
                <w:lang w:val="en-US" w:eastAsia="zh-CN"/>
              </w:rPr>
              <w:t>.</w:t>
            </w:r>
            <w:r>
              <w:rPr>
                <w:rFonts w:hint="eastAsia"/>
                <w:color w:val="auto"/>
                <w:sz w:val="24"/>
                <w:szCs w:val="24"/>
                <w:lang w:eastAsia="zh-CN"/>
              </w:rPr>
              <w:t>须</w:t>
            </w:r>
            <w:r>
              <w:rPr>
                <w:rFonts w:hint="eastAsia"/>
                <w:color w:val="auto"/>
                <w:sz w:val="24"/>
                <w:szCs w:val="24"/>
                <w:lang w:val="en-US" w:eastAsia="zh-CN"/>
              </w:rPr>
              <w:t>具有近一年任意月纳税证明（新公司从成立之日起算）。</w:t>
            </w:r>
          </w:p>
          <w:p>
            <w:pPr>
              <w:rPr>
                <w:rFonts w:hint="eastAsia"/>
                <w:color w:val="auto"/>
                <w:sz w:val="24"/>
                <w:szCs w:val="24"/>
                <w:lang w:eastAsia="zh-CN"/>
              </w:rPr>
            </w:pPr>
            <w:r>
              <w:rPr>
                <w:rFonts w:hint="default"/>
                <w:color w:val="auto"/>
                <w:sz w:val="24"/>
                <w:szCs w:val="24"/>
                <w:lang w:eastAsia="zh-CN"/>
              </w:rPr>
              <w:t>9</w:t>
            </w:r>
            <w:r>
              <w:rPr>
                <w:rFonts w:hint="eastAsia"/>
                <w:color w:val="auto"/>
                <w:sz w:val="24"/>
                <w:szCs w:val="24"/>
                <w:lang w:val="en-US" w:eastAsia="zh-CN"/>
              </w:rPr>
              <w:t>.近一年任意月法人或授权委托人人员社保明细证明（新公司从成立之日起算）。</w:t>
            </w:r>
          </w:p>
          <w:p>
            <w:pPr>
              <w:rPr>
                <w:rFonts w:hint="eastAsia"/>
                <w:color w:val="auto"/>
                <w:sz w:val="24"/>
                <w:szCs w:val="24"/>
                <w:lang w:val="en-US" w:eastAsia="zh-CN"/>
              </w:rPr>
            </w:pPr>
            <w:r>
              <w:rPr>
                <w:rFonts w:hint="default"/>
                <w:color w:val="auto"/>
                <w:sz w:val="24"/>
                <w:szCs w:val="24"/>
                <w:lang w:eastAsia="zh-CN"/>
              </w:rPr>
              <w:t>10</w:t>
            </w:r>
            <w:r>
              <w:rPr>
                <w:rFonts w:hint="eastAsia"/>
                <w:color w:val="auto"/>
                <w:sz w:val="24"/>
                <w:szCs w:val="24"/>
                <w:lang w:val="en-US" w:eastAsia="zh-CN"/>
              </w:rPr>
              <w:t>.须</w:t>
            </w:r>
            <w:r>
              <w:rPr>
                <w:rFonts w:hint="eastAsia"/>
                <w:color w:val="auto"/>
                <w:sz w:val="24"/>
                <w:szCs w:val="24"/>
                <w:lang w:eastAsia="zh-CN"/>
              </w:rPr>
              <w:t>具有履行合同所必须的设备和专业技术能力</w:t>
            </w:r>
            <w:r>
              <w:rPr>
                <w:rFonts w:hint="eastAsia"/>
                <w:color w:val="auto"/>
                <w:sz w:val="24"/>
                <w:szCs w:val="24"/>
                <w:lang w:val="en-US" w:eastAsia="zh-CN"/>
              </w:rPr>
              <w:t>的承诺函。</w:t>
            </w:r>
          </w:p>
          <w:p>
            <w:pPr>
              <w:rPr>
                <w:rFonts w:hint="eastAsia"/>
                <w:color w:val="auto"/>
                <w:sz w:val="24"/>
                <w:szCs w:val="24"/>
                <w:lang w:val="en-US" w:eastAsia="zh-CN"/>
              </w:rPr>
            </w:pPr>
            <w:r>
              <w:rPr>
                <w:rFonts w:hint="eastAsia"/>
                <w:color w:val="auto"/>
                <w:sz w:val="24"/>
                <w:szCs w:val="24"/>
                <w:lang w:eastAsia="zh-CN"/>
              </w:rPr>
              <w:t>1</w:t>
            </w:r>
            <w:r>
              <w:rPr>
                <w:rFonts w:hint="default"/>
                <w:color w:val="auto"/>
                <w:sz w:val="24"/>
                <w:szCs w:val="24"/>
                <w:lang w:eastAsia="zh-CN"/>
              </w:rPr>
              <w:t>1</w:t>
            </w:r>
            <w:r>
              <w:rPr>
                <w:rFonts w:hint="eastAsia"/>
                <w:color w:val="auto"/>
                <w:sz w:val="24"/>
                <w:szCs w:val="24"/>
                <w:lang w:val="en-US" w:eastAsia="zh-CN"/>
              </w:rPr>
              <w:t>投标单位须为中小企业，提供</w:t>
            </w:r>
            <w:r>
              <w:rPr>
                <w:rFonts w:hint="eastAsia"/>
                <w:color w:val="auto"/>
                <w:sz w:val="24"/>
                <w:szCs w:val="24"/>
                <w:lang w:eastAsia="zh-CN"/>
              </w:rPr>
              <w:t>《</w:t>
            </w:r>
            <w:r>
              <w:rPr>
                <w:rFonts w:hint="eastAsia"/>
                <w:color w:val="auto"/>
                <w:sz w:val="24"/>
                <w:szCs w:val="24"/>
                <w:lang w:val="en-US" w:eastAsia="zh-CN"/>
              </w:rPr>
              <w:t>中小企业声明函</w:t>
            </w:r>
            <w:r>
              <w:rPr>
                <w:rFonts w:hint="eastAsia"/>
                <w:color w:val="auto"/>
                <w:sz w:val="24"/>
                <w:szCs w:val="24"/>
                <w:lang w:eastAsia="zh-CN"/>
              </w:rPr>
              <w:t>》。</w:t>
            </w:r>
            <w:r>
              <w:rPr>
                <w:rFonts w:hint="eastAsia"/>
                <w:color w:val="auto"/>
                <w:sz w:val="24"/>
                <w:szCs w:val="24"/>
                <w:lang w:val="en-US" w:eastAsia="zh-CN"/>
              </w:rPr>
              <w:t xml:space="preserve">        </w:t>
            </w:r>
          </w:p>
          <w:p>
            <w:pPr>
              <w:rPr>
                <w:rFonts w:hint="eastAsia"/>
                <w:color w:val="auto"/>
                <w:sz w:val="24"/>
                <w:szCs w:val="24"/>
                <w:lang w:eastAsia="zh-CN"/>
              </w:rPr>
            </w:pPr>
            <w:r>
              <w:rPr>
                <w:rFonts w:hint="eastAsia"/>
                <w:color w:val="auto"/>
                <w:sz w:val="24"/>
                <w:szCs w:val="24"/>
                <w:lang w:val="en-US" w:eastAsia="zh-CN"/>
              </w:rPr>
              <w:t>1</w:t>
            </w:r>
            <w:r>
              <w:rPr>
                <w:rFonts w:hint="default"/>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参加政府采购活动前3年内在经营活动中没有重大违法记录的书面声明。</w:t>
            </w:r>
          </w:p>
          <w:p>
            <w:pPr>
              <w:rPr>
                <w:rFonts w:hint="eastAsia"/>
                <w:color w:val="auto"/>
                <w:sz w:val="24"/>
                <w:szCs w:val="24"/>
                <w:lang w:eastAsia="zh-CN"/>
              </w:rPr>
            </w:pPr>
            <w:r>
              <w:rPr>
                <w:rFonts w:hint="eastAsia"/>
                <w:color w:val="auto"/>
                <w:sz w:val="24"/>
                <w:szCs w:val="24"/>
                <w:lang w:val="en-US" w:eastAsia="zh-CN"/>
              </w:rPr>
              <w:t>1</w:t>
            </w:r>
            <w:r>
              <w:rPr>
                <w:rFonts w:hint="default"/>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凡拟参加本次招标项目的供应商，如在“信用中国”网站（www.creditchina.gov.cn）和中国政府采购网（www.ccgp.gov.cn）被列入失信被执行人、税收违法黑名单、政府采购严重违法失信行为记录名单的（尚在处罚期内的），将拒绝其参本次采购活动。</w:t>
            </w:r>
            <w:r>
              <w:rPr>
                <w:rFonts w:hint="eastAsia" w:ascii="Times New Roman" w:hAnsi="Times New Roman" w:cs="Times New Roman"/>
                <w:color w:val="auto"/>
                <w:sz w:val="24"/>
                <w:szCs w:val="24"/>
                <w:lang w:val="en-US" w:eastAsia="zh-CN"/>
              </w:rPr>
              <w:t>（网页打印件须自招标文件发布之日起至首次提交投标文件截止时间内从上述网站中打印）</w:t>
            </w:r>
          </w:p>
          <w:p>
            <w:pPr>
              <w:rPr>
                <w:rFonts w:hint="eastAsia"/>
                <w:sz w:val="24"/>
                <w:szCs w:val="24"/>
                <w:lang w:eastAsia="zh-CN"/>
              </w:rPr>
            </w:pPr>
            <w:r>
              <w:rPr>
                <w:rFonts w:hint="eastAsia"/>
                <w:sz w:val="24"/>
                <w:szCs w:val="24"/>
                <w:lang w:val="en-US" w:eastAsia="zh-CN"/>
              </w:rPr>
              <w:t>1</w:t>
            </w:r>
            <w:r>
              <w:rPr>
                <w:rFonts w:hint="default"/>
                <w:sz w:val="24"/>
                <w:szCs w:val="24"/>
                <w:lang w:eastAsia="zh-CN"/>
              </w:rPr>
              <w:t>7</w:t>
            </w:r>
            <w:r>
              <w:rPr>
                <w:rFonts w:hint="eastAsia"/>
                <w:sz w:val="24"/>
                <w:szCs w:val="24"/>
                <w:lang w:val="en-US" w:eastAsia="zh-CN"/>
              </w:rPr>
              <w:t>.</w:t>
            </w:r>
            <w:r>
              <w:rPr>
                <w:rFonts w:hint="eastAsia"/>
                <w:sz w:val="24"/>
                <w:szCs w:val="24"/>
                <w:lang w:eastAsia="zh-CN"/>
              </w:rPr>
              <w:t>落实政府采购政策需满足的资格要求：</w:t>
            </w:r>
            <w:r>
              <w:rPr>
                <w:rFonts w:hint="eastAsia"/>
                <w:sz w:val="24"/>
                <w:szCs w:val="24"/>
                <w:lang w:val="en-US" w:eastAsia="zh-CN"/>
              </w:rPr>
              <w:t>本项目专门面向中小微企业</w:t>
            </w:r>
            <w:r>
              <w:rPr>
                <w:rFonts w:hint="eastAsia"/>
                <w:sz w:val="24"/>
                <w:szCs w:val="24"/>
                <w:lang w:eastAsia="zh-CN"/>
              </w:rPr>
              <w:t>。</w:t>
            </w:r>
          </w:p>
          <w:p>
            <w:pPr>
              <w:rPr>
                <w:sz w:val="24"/>
                <w:szCs w:val="24"/>
              </w:rPr>
            </w:pPr>
            <w:r>
              <w:rPr>
                <w:rFonts w:hint="eastAsia"/>
                <w:sz w:val="24"/>
                <w:szCs w:val="24"/>
                <w:lang w:val="en-US" w:eastAsia="zh-CN"/>
              </w:rPr>
              <w:t>1</w:t>
            </w:r>
            <w:r>
              <w:rPr>
                <w:rFonts w:hint="default"/>
                <w:sz w:val="24"/>
                <w:szCs w:val="24"/>
                <w:lang w:eastAsia="zh-CN"/>
              </w:rPr>
              <w:t>8</w:t>
            </w:r>
            <w:r>
              <w:rPr>
                <w:rFonts w:hint="eastAsia"/>
                <w:sz w:val="24"/>
                <w:szCs w:val="24"/>
                <w:lang w:val="en-US" w:eastAsia="zh-CN"/>
              </w:rPr>
              <w:t>.</w:t>
            </w:r>
            <w:r>
              <w:rPr>
                <w:rFonts w:hint="eastAsia"/>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8</w:t>
            </w:r>
          </w:p>
        </w:tc>
        <w:tc>
          <w:tcPr>
            <w:tcW w:w="9125"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谈判相应文件：壹套正本，</w:t>
            </w:r>
            <w:r>
              <w:rPr>
                <w:rFonts w:hint="eastAsia"/>
                <w:sz w:val="24"/>
                <w:szCs w:val="24"/>
                <w:lang w:eastAsia="zh-CN"/>
              </w:rPr>
              <w:t>叁</w:t>
            </w:r>
            <w:r>
              <w:rPr>
                <w:rFonts w:hint="eastAsia"/>
                <w:sz w:val="24"/>
                <w:szCs w:val="24"/>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9</w:t>
            </w:r>
          </w:p>
        </w:tc>
        <w:tc>
          <w:tcPr>
            <w:tcW w:w="9125"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10</w:t>
            </w:r>
          </w:p>
        </w:tc>
        <w:tc>
          <w:tcPr>
            <w:tcW w:w="9125" w:type="dxa"/>
            <w:tcBorders>
              <w:top w:val="single" w:color="auto" w:sz="4" w:space="0"/>
              <w:left w:val="single" w:color="auto" w:sz="4" w:space="0"/>
              <w:bottom w:val="single" w:color="auto" w:sz="4" w:space="0"/>
              <w:right w:val="single" w:color="auto" w:sz="4" w:space="0"/>
            </w:tcBorders>
            <w:vAlign w:val="center"/>
          </w:tcPr>
          <w:p>
            <w:pPr>
              <w:rPr>
                <w:spacing w:val="8"/>
                <w:sz w:val="24"/>
                <w:szCs w:val="24"/>
              </w:rPr>
            </w:pPr>
            <w:r>
              <w:rPr>
                <w:rFonts w:hint="eastAsia"/>
                <w:spacing w:val="8"/>
                <w:sz w:val="24"/>
                <w:szCs w:val="24"/>
              </w:rPr>
              <w:t>现场踏勘：不组织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11</w:t>
            </w:r>
          </w:p>
        </w:tc>
        <w:tc>
          <w:tcPr>
            <w:tcW w:w="912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谈判相应文件以密封形式递交至：谈判现场</w:t>
            </w:r>
          </w:p>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谈判相应文件递交截止时间：</w:t>
            </w:r>
            <w:r>
              <w:rPr>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年</w:t>
            </w:r>
            <w:r>
              <w:rPr>
                <w:rFonts w:hint="default"/>
                <w:color w:val="000000" w:themeColor="text1"/>
                <w:sz w:val="24"/>
                <w:szCs w:val="24"/>
                <w:lang w:eastAsia="zh-CN"/>
                <w14:textFill>
                  <w14:solidFill>
                    <w14:schemeClr w14:val="tx1"/>
                  </w14:solidFill>
                </w14:textFill>
              </w:rPr>
              <w:t>1</w:t>
            </w:r>
            <w:r>
              <w:rPr>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10</w:t>
            </w:r>
            <w:r>
              <w:rPr>
                <w:color w:val="000000" w:themeColor="text1"/>
                <w:sz w:val="24"/>
                <w:szCs w:val="24"/>
                <w14:textFill>
                  <w14:solidFill>
                    <w14:schemeClr w14:val="tx1"/>
                  </w14:solidFill>
                </w14:textFill>
              </w:rPr>
              <w:t>日</w:t>
            </w:r>
            <w:r>
              <w:rPr>
                <w:rFonts w:hint="eastAsia"/>
                <w:color w:val="000000" w:themeColor="text1"/>
                <w:sz w:val="24"/>
                <w:szCs w:val="24"/>
                <w:lang w:eastAsia="zh-CN"/>
                <w14:textFill>
                  <w14:solidFill>
                    <w14:schemeClr w14:val="tx1"/>
                  </w14:solidFill>
                </w14:textFill>
              </w:rPr>
              <w:t>下午</w:t>
            </w:r>
            <w:r>
              <w:rPr>
                <w:color w:val="000000" w:themeColor="text1"/>
                <w:sz w:val="24"/>
                <w:szCs w:val="24"/>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val="en-US" w:eastAsia="zh-Hans"/>
                <w14:textFill>
                  <w14:solidFill>
                    <w14:schemeClr w14:val="tx1"/>
                  </w14:solidFill>
                </w14:textFill>
              </w:rPr>
              <w:t>时</w:t>
            </w:r>
            <w:r>
              <w:rPr>
                <w:rFonts w:hint="default"/>
                <w:color w:val="000000" w:themeColor="text1"/>
                <w:sz w:val="24"/>
                <w:szCs w:val="24"/>
                <w:lang w:eastAsia="zh-Hans"/>
                <w14:textFill>
                  <w14:solidFill>
                    <w14:schemeClr w14:val="tx1"/>
                  </w14:solidFill>
                </w14:textFill>
              </w:rPr>
              <w:t>0</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lang w:val="en-US" w:eastAsia="zh-Hans"/>
                <w14:textFill>
                  <w14:solidFill>
                    <w14:schemeClr w14:val="tx1"/>
                  </w14:solidFill>
                </w14:textFill>
              </w:rPr>
              <w:t>分</w:t>
            </w:r>
            <w:r>
              <w:rPr>
                <w:rFonts w:hint="eastAsia"/>
                <w:color w:val="000000" w:themeColor="text1"/>
                <w:sz w:val="24"/>
                <w:szCs w:val="24"/>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4"/>
              </w:rPr>
            </w:pPr>
            <w:r>
              <w:rPr>
                <w:color w:val="auto"/>
                <w:sz w:val="24"/>
                <w:szCs w:val="24"/>
              </w:rPr>
              <w:t>12</w:t>
            </w:r>
          </w:p>
        </w:tc>
        <w:tc>
          <w:tcPr>
            <w:tcW w:w="9125"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谈判时间：</w:t>
            </w:r>
            <w:r>
              <w:rPr>
                <w:color w:val="auto"/>
                <w:sz w:val="24"/>
                <w:szCs w:val="24"/>
              </w:rPr>
              <w:t>202</w:t>
            </w:r>
            <w:r>
              <w:rPr>
                <w:rFonts w:hint="eastAsia"/>
                <w:color w:val="auto"/>
                <w:sz w:val="24"/>
                <w:szCs w:val="24"/>
                <w:lang w:val="en-US" w:eastAsia="zh-CN"/>
              </w:rPr>
              <w:t>3</w:t>
            </w:r>
            <w:r>
              <w:rPr>
                <w:rFonts w:hint="eastAsia"/>
                <w:color w:val="auto"/>
                <w:sz w:val="24"/>
                <w:szCs w:val="24"/>
              </w:rPr>
              <w:t>年</w:t>
            </w:r>
            <w:r>
              <w:rPr>
                <w:rFonts w:hint="eastAsia"/>
                <w:color w:val="auto"/>
                <w:sz w:val="24"/>
                <w:szCs w:val="24"/>
                <w:lang w:val="en-US" w:eastAsia="zh-CN"/>
              </w:rPr>
              <w:t>1</w:t>
            </w:r>
            <w:r>
              <w:rPr>
                <w:color w:val="auto"/>
                <w:sz w:val="24"/>
                <w:szCs w:val="24"/>
              </w:rPr>
              <w:t>月</w:t>
            </w:r>
            <w:r>
              <w:rPr>
                <w:rFonts w:hint="eastAsia"/>
                <w:color w:val="auto"/>
                <w:sz w:val="24"/>
                <w:szCs w:val="24"/>
                <w:lang w:val="en-US" w:eastAsia="zh-CN"/>
              </w:rPr>
              <w:t>10</w:t>
            </w:r>
            <w:r>
              <w:rPr>
                <w:color w:val="auto"/>
                <w:sz w:val="24"/>
                <w:szCs w:val="24"/>
              </w:rPr>
              <w:t>日</w:t>
            </w:r>
            <w:r>
              <w:rPr>
                <w:rFonts w:hint="eastAsia"/>
                <w:color w:val="auto"/>
                <w:sz w:val="24"/>
                <w:szCs w:val="24"/>
                <w:lang w:eastAsia="zh-CN"/>
              </w:rPr>
              <w:t>下午</w:t>
            </w:r>
            <w:r>
              <w:rPr>
                <w:color w:val="auto"/>
                <w:sz w:val="24"/>
                <w:szCs w:val="24"/>
              </w:rPr>
              <w:t>1</w:t>
            </w:r>
            <w:r>
              <w:rPr>
                <w:rFonts w:hint="eastAsia"/>
                <w:color w:val="auto"/>
                <w:sz w:val="24"/>
                <w:szCs w:val="24"/>
                <w:lang w:val="en-US" w:eastAsia="zh-CN"/>
              </w:rPr>
              <w:t>6</w:t>
            </w:r>
            <w:r>
              <w:rPr>
                <w:rFonts w:hint="eastAsia"/>
                <w:color w:val="auto"/>
                <w:sz w:val="24"/>
                <w:szCs w:val="24"/>
                <w:lang w:val="en-US" w:eastAsia="zh-Hans"/>
              </w:rPr>
              <w:t>时</w:t>
            </w:r>
            <w:r>
              <w:rPr>
                <w:rFonts w:hint="default"/>
                <w:color w:val="auto"/>
                <w:sz w:val="24"/>
                <w:szCs w:val="24"/>
                <w:lang w:eastAsia="zh-Hans"/>
              </w:rPr>
              <w:t>0</w:t>
            </w:r>
            <w:r>
              <w:rPr>
                <w:rFonts w:hint="eastAsia"/>
                <w:color w:val="auto"/>
                <w:sz w:val="24"/>
                <w:szCs w:val="24"/>
                <w:lang w:val="en-US" w:eastAsia="zh-CN"/>
              </w:rPr>
              <w:t>0</w:t>
            </w:r>
            <w:r>
              <w:rPr>
                <w:rFonts w:hint="eastAsia"/>
                <w:color w:val="auto"/>
                <w:sz w:val="24"/>
                <w:szCs w:val="24"/>
                <w:lang w:val="en-US" w:eastAsia="zh-Hans"/>
              </w:rPr>
              <w:t>分</w:t>
            </w:r>
            <w:r>
              <w:rPr>
                <w:rFonts w:hint="eastAsia"/>
                <w:color w:val="auto"/>
                <w:sz w:val="24"/>
                <w:szCs w:val="24"/>
              </w:rPr>
              <w:t>（北京时间）</w:t>
            </w:r>
          </w:p>
          <w:p>
            <w:pPr>
              <w:rPr>
                <w:rFonts w:hint="default" w:eastAsia="宋体"/>
                <w:color w:val="auto"/>
                <w:sz w:val="24"/>
                <w:szCs w:val="24"/>
                <w:lang w:val="en-US" w:eastAsia="zh-Hans"/>
              </w:rPr>
            </w:pPr>
            <w:r>
              <w:rPr>
                <w:rFonts w:hint="eastAsia"/>
                <w:color w:val="auto"/>
                <w:sz w:val="24"/>
                <w:szCs w:val="24"/>
              </w:rPr>
              <w:t>谈判地点：</w:t>
            </w:r>
            <w:r>
              <w:rPr>
                <w:rFonts w:hint="eastAsia" w:ascii="Tahoma" w:hAnsi="Tahoma" w:cs="等线 Light"/>
                <w:color w:val="auto"/>
                <w:sz w:val="24"/>
                <w:szCs w:val="24"/>
                <w:lang w:eastAsia="zh-CN"/>
              </w:rPr>
              <w:t>乌鲁木齐新市区鲤鱼山北路领世广场3号楼904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szCs w:val="24"/>
                <w:lang w:val="en-US" w:eastAsia="zh-CN"/>
              </w:rPr>
            </w:pPr>
            <w:r>
              <w:rPr>
                <w:rFonts w:hint="eastAsia"/>
                <w:color w:val="auto"/>
                <w:sz w:val="24"/>
                <w:szCs w:val="24"/>
                <w:lang w:val="en-US" w:eastAsia="zh-CN"/>
              </w:rPr>
              <w:t>13</w:t>
            </w:r>
          </w:p>
        </w:tc>
        <w:tc>
          <w:tcPr>
            <w:tcW w:w="9125"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default" w:eastAsia="宋体"/>
                <w:color w:val="auto"/>
                <w:sz w:val="24"/>
                <w:szCs w:val="24"/>
                <w:lang w:val="en-US" w:eastAsia="zh-CN"/>
              </w:rPr>
              <w:t>本项目专门面向中小微企业（实质性要求）</w:t>
            </w:r>
            <w:r>
              <w:rPr>
                <w:rFonts w:hint="eastAsia"/>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829" w:type="dxa"/>
            <w:gridSpan w:val="2"/>
            <w:tcBorders>
              <w:top w:val="single" w:color="auto" w:sz="4" w:space="0"/>
              <w:left w:val="single" w:color="auto" w:sz="4" w:space="0"/>
              <w:bottom w:val="single" w:color="auto" w:sz="4" w:space="0"/>
              <w:right w:val="single" w:color="auto" w:sz="4" w:space="0"/>
            </w:tcBorders>
            <w:vAlign w:val="center"/>
          </w:tcPr>
          <w:p>
            <w:pPr>
              <w:rPr>
                <w:bCs/>
                <w:color w:val="auto"/>
                <w:sz w:val="24"/>
                <w:szCs w:val="24"/>
              </w:rPr>
            </w:pPr>
            <w:r>
              <w:rPr>
                <w:rFonts w:hint="eastAsia"/>
                <w:bCs/>
                <w:color w:val="auto"/>
                <w:sz w:val="24"/>
                <w:szCs w:val="24"/>
                <w:lang w:val="en-US" w:eastAsia="zh-CN"/>
              </w:rPr>
              <w:t>按发改价格[2011]543号及计价格[2002]1980号文件计算的招标代理服务收费标准下浮40%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829" w:type="dxa"/>
            <w:gridSpan w:val="2"/>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default" w:eastAsia="宋体"/>
                <w:bCs/>
                <w:color w:val="auto"/>
                <w:sz w:val="24"/>
                <w:szCs w:val="24"/>
                <w:lang w:eastAsia="zh-Hans"/>
              </w:rPr>
            </w:pPr>
            <w:bookmarkStart w:id="3" w:name="_Toc182131585"/>
            <w:r>
              <w:rPr>
                <w:rFonts w:hint="eastAsia"/>
                <w:color w:val="auto"/>
                <w:sz w:val="24"/>
                <w:szCs w:val="24"/>
                <w:lang w:val="en-US" w:eastAsia="zh-CN"/>
              </w:rPr>
              <w:t>本项目按单价招标，按实际发生量结算金额，每次结算按实际发生量的90%，剩余10%质保期满后支付，支付90%时开全价发票</w:t>
            </w:r>
          </w:p>
        </w:tc>
      </w:tr>
    </w:tbl>
    <w:p>
      <w:pPr>
        <w:widowControl/>
        <w:jc w:val="center"/>
        <w:rPr>
          <w:rFonts w:ascii="Times New Roman" w:hAnsi="Times New Roman" w:eastAsia="宋体" w:cs="Times New Roman"/>
          <w:b/>
          <w:bCs/>
          <w:kern w:val="2"/>
          <w:sz w:val="32"/>
          <w:szCs w:val="32"/>
          <w:lang w:val="en-US" w:eastAsia="zh-CN" w:bidi="ar-SA"/>
        </w:rPr>
      </w:pPr>
      <w:bookmarkStart w:id="4" w:name="_Toc19562"/>
      <w:r>
        <w:rPr>
          <w:rFonts w:ascii="Times New Roman" w:hAnsi="Times New Roman" w:eastAsia="宋体" w:cs="Times New Roman"/>
          <w:b/>
          <w:bCs/>
          <w:kern w:val="2"/>
          <w:sz w:val="32"/>
          <w:szCs w:val="32"/>
          <w:lang w:val="en-US" w:eastAsia="zh-CN" w:bidi="ar-SA"/>
        </w:rPr>
        <w:t xml:space="preserve">A  </w:t>
      </w:r>
      <w:r>
        <w:rPr>
          <w:rFonts w:hint="eastAsia" w:ascii="Times New Roman" w:hAnsi="Times New Roman" w:eastAsia="宋体" w:cs="Times New Roman"/>
          <w:b/>
          <w:bCs/>
          <w:kern w:val="2"/>
          <w:sz w:val="32"/>
          <w:szCs w:val="32"/>
          <w:lang w:val="en-US" w:eastAsia="zh-CN" w:bidi="ar-SA"/>
        </w:rPr>
        <w:t>说　明</w:t>
      </w:r>
      <w:bookmarkEnd w:id="3"/>
      <w:bookmarkEnd w:id="4"/>
    </w:p>
    <w:p>
      <w:pPr>
        <w:rPr>
          <w:sz w:val="24"/>
          <w:szCs w:val="24"/>
        </w:rPr>
      </w:pPr>
      <w:bookmarkStart w:id="5" w:name="_Toc182131586"/>
      <w:bookmarkStart w:id="6" w:name="_Toc182131590"/>
      <w:r>
        <w:rPr>
          <w:sz w:val="24"/>
          <w:szCs w:val="24"/>
        </w:rPr>
        <w:t xml:space="preserve">1. </w:t>
      </w:r>
      <w:r>
        <w:rPr>
          <w:rFonts w:hint="eastAsia"/>
          <w:sz w:val="24"/>
          <w:szCs w:val="24"/>
        </w:rPr>
        <w:t>适用范围</w:t>
      </w:r>
      <w:bookmarkEnd w:id="5"/>
    </w:p>
    <w:p>
      <w:pPr>
        <w:rPr>
          <w:sz w:val="24"/>
          <w:szCs w:val="24"/>
        </w:rPr>
      </w:pPr>
      <w:r>
        <w:rPr>
          <w:sz w:val="24"/>
          <w:szCs w:val="24"/>
        </w:rPr>
        <w:t xml:space="preserve"> </w:t>
      </w:r>
      <w:r>
        <w:rPr>
          <w:rFonts w:hint="eastAsia"/>
          <w:sz w:val="24"/>
          <w:szCs w:val="24"/>
        </w:rPr>
        <w:t>本谈判文件仅适用于本次谈判邀请中所叙述项目的</w:t>
      </w:r>
      <w:r>
        <w:rPr>
          <w:rFonts w:hint="eastAsia"/>
          <w:bCs/>
          <w:sz w:val="24"/>
          <w:szCs w:val="24"/>
        </w:rPr>
        <w:t>工程和相关服务</w:t>
      </w:r>
      <w:r>
        <w:rPr>
          <w:rFonts w:hint="eastAsia"/>
          <w:sz w:val="24"/>
          <w:szCs w:val="24"/>
        </w:rPr>
        <w:t>采购。</w:t>
      </w:r>
    </w:p>
    <w:p>
      <w:pPr>
        <w:rPr>
          <w:sz w:val="24"/>
          <w:szCs w:val="24"/>
        </w:rPr>
      </w:pPr>
      <w:bookmarkStart w:id="7" w:name="_Toc182131587"/>
      <w:r>
        <w:rPr>
          <w:sz w:val="24"/>
          <w:szCs w:val="24"/>
        </w:rPr>
        <w:t>2</w:t>
      </w:r>
      <w:r>
        <w:rPr>
          <w:rFonts w:hint="eastAsia"/>
          <w:sz w:val="24"/>
          <w:szCs w:val="24"/>
        </w:rPr>
        <w:t>．定义</w:t>
      </w:r>
      <w:bookmarkEnd w:id="7"/>
    </w:p>
    <w:p>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w:t>
      </w:r>
      <w:r>
        <w:rPr>
          <w:rFonts w:hint="eastAsia"/>
          <w:sz w:val="24"/>
          <w:szCs w:val="24"/>
          <w:lang w:eastAsia="zh-CN"/>
        </w:rPr>
        <w:t>华诚博远工程咨询有限公司</w:t>
      </w:r>
      <w:r>
        <w:rPr>
          <w:rFonts w:hint="eastAsia"/>
          <w:sz w:val="24"/>
          <w:szCs w:val="24"/>
        </w:rPr>
        <w:t>；</w:t>
      </w:r>
    </w:p>
    <w:p>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pPr>
        <w:rPr>
          <w:sz w:val="24"/>
          <w:szCs w:val="24"/>
        </w:rPr>
      </w:pPr>
      <w:r>
        <w:rPr>
          <w:sz w:val="24"/>
          <w:szCs w:val="24"/>
        </w:rPr>
        <w:t xml:space="preserve">2.4 </w:t>
      </w:r>
      <w:bookmarkStart w:id="8"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pPr>
        <w:rPr>
          <w:sz w:val="24"/>
          <w:szCs w:val="24"/>
        </w:rPr>
      </w:pPr>
      <w:r>
        <w:rPr>
          <w:sz w:val="24"/>
          <w:szCs w:val="24"/>
        </w:rPr>
        <w:t>3</w:t>
      </w:r>
      <w:r>
        <w:rPr>
          <w:rFonts w:hint="eastAsia"/>
          <w:sz w:val="24"/>
          <w:szCs w:val="24"/>
        </w:rPr>
        <w:t>．合格的</w:t>
      </w:r>
      <w:bookmarkEnd w:id="8"/>
      <w:r>
        <w:rPr>
          <w:rFonts w:hint="eastAsia"/>
          <w:sz w:val="24"/>
          <w:szCs w:val="24"/>
        </w:rPr>
        <w:t>供应商</w:t>
      </w:r>
    </w:p>
    <w:p>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pPr>
        <w:rPr>
          <w:sz w:val="24"/>
          <w:szCs w:val="24"/>
        </w:rPr>
      </w:pPr>
      <w:r>
        <w:rPr>
          <w:sz w:val="24"/>
          <w:szCs w:val="24"/>
        </w:rPr>
        <w:t>3.2</w:t>
      </w:r>
      <w:r>
        <w:rPr>
          <w:rFonts w:hint="eastAsia"/>
          <w:sz w:val="24"/>
          <w:szCs w:val="24"/>
        </w:rPr>
        <w:t>供应商必须遵守有关的国内法律和规章条例。</w:t>
      </w:r>
    </w:p>
    <w:p>
      <w:pPr>
        <w:rPr>
          <w:sz w:val="24"/>
          <w:szCs w:val="24"/>
        </w:rPr>
      </w:pPr>
      <w:bookmarkStart w:id="9" w:name="_Toc182131589"/>
      <w:r>
        <w:rPr>
          <w:sz w:val="24"/>
          <w:szCs w:val="24"/>
        </w:rPr>
        <w:t>4</w:t>
      </w:r>
      <w:r>
        <w:rPr>
          <w:rFonts w:hint="eastAsia"/>
          <w:sz w:val="24"/>
          <w:szCs w:val="24"/>
        </w:rPr>
        <w:t>．供应商资格</w:t>
      </w:r>
      <w:bookmarkEnd w:id="9"/>
      <w:r>
        <w:rPr>
          <w:rFonts w:hint="eastAsia"/>
          <w:sz w:val="24"/>
          <w:szCs w:val="24"/>
        </w:rPr>
        <w:t>。</w:t>
      </w:r>
    </w:p>
    <w:p>
      <w:pPr>
        <w:rPr>
          <w:sz w:val="24"/>
          <w:szCs w:val="24"/>
        </w:rPr>
      </w:pPr>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eastAsia="宋体"/>
          <w:b/>
          <w:bCs/>
          <w:sz w:val="24"/>
          <w:szCs w:val="24"/>
          <w:lang w:eastAsia="zh-CN"/>
        </w:rPr>
      </w:pPr>
      <w:r>
        <w:rPr>
          <w:rFonts w:hint="eastAsia"/>
          <w:b/>
          <w:bCs/>
          <w:sz w:val="24"/>
          <w:szCs w:val="24"/>
        </w:rPr>
        <w:t>（9）本项目特殊资格要求：</w:t>
      </w:r>
      <w:r>
        <w:rPr>
          <w:rFonts w:hint="eastAsia"/>
          <w:b/>
          <w:bCs/>
          <w:sz w:val="24"/>
          <w:szCs w:val="24"/>
          <w:lang w:eastAsia="zh-CN"/>
        </w:rPr>
        <w:t>（</w:t>
      </w:r>
      <w:r>
        <w:rPr>
          <w:rFonts w:hint="eastAsia"/>
          <w:b/>
          <w:bCs/>
          <w:sz w:val="24"/>
          <w:szCs w:val="24"/>
        </w:rPr>
        <w:t>开标现场</w:t>
      </w:r>
      <w:r>
        <w:rPr>
          <w:rFonts w:hint="eastAsia"/>
          <w:b/>
          <w:bCs/>
          <w:sz w:val="24"/>
          <w:szCs w:val="24"/>
          <w:lang w:val="en-US" w:eastAsia="zh-Hans"/>
        </w:rPr>
        <w:t>查验原件</w:t>
      </w:r>
      <w:r>
        <w:rPr>
          <w:rFonts w:hint="eastAsia"/>
          <w:b/>
          <w:bCs/>
          <w:sz w:val="24"/>
          <w:szCs w:val="24"/>
          <w:lang w:eastAsia="zh-CN"/>
        </w:rPr>
        <w:t>）</w:t>
      </w:r>
    </w:p>
    <w:p>
      <w:pPr>
        <w:rPr>
          <w:rFonts w:hint="eastAsia"/>
          <w:b/>
          <w:bCs/>
          <w:sz w:val="24"/>
          <w:szCs w:val="24"/>
          <w:lang w:val="en-US" w:eastAsia="zh-CN"/>
        </w:rPr>
      </w:pPr>
      <w:r>
        <w:rPr>
          <w:rFonts w:hint="eastAsia"/>
          <w:b/>
          <w:bCs/>
          <w:sz w:val="24"/>
          <w:szCs w:val="24"/>
        </w:rPr>
        <w:t>①</w:t>
      </w:r>
      <w:r>
        <w:rPr>
          <w:rFonts w:hint="eastAsia"/>
          <w:b/>
          <w:bCs/>
          <w:sz w:val="24"/>
          <w:szCs w:val="24"/>
          <w:lang w:val="en-US" w:eastAsia="zh-CN"/>
        </w:rPr>
        <w:t>具有工商部门核发的营业执照;</w:t>
      </w:r>
    </w:p>
    <w:p>
      <w:pPr>
        <w:rPr>
          <w:rFonts w:hint="eastAsia"/>
          <w:b/>
          <w:bCs/>
          <w:sz w:val="24"/>
          <w:szCs w:val="24"/>
          <w:lang w:val="en-US" w:eastAsia="zh-CN"/>
        </w:rPr>
      </w:pPr>
      <w:r>
        <w:rPr>
          <w:rFonts w:hint="eastAsia" w:ascii="宋体" w:hAnsi="宋体" w:eastAsia="宋体" w:cs="宋体"/>
          <w:b/>
          <w:bCs/>
          <w:sz w:val="24"/>
          <w:szCs w:val="24"/>
          <w:lang w:val="en-US" w:eastAsia="zh-CN"/>
        </w:rPr>
        <w:t>②</w:t>
      </w:r>
      <w:r>
        <w:rPr>
          <w:rFonts w:hint="eastAsia"/>
          <w:b/>
          <w:bCs/>
          <w:sz w:val="24"/>
          <w:szCs w:val="24"/>
          <w:lang w:val="en-US" w:eastAsia="zh-CN"/>
        </w:rPr>
        <w:t>法人身份证明及身份证原件或法人授权委托书原件被授权人有效身份证原件；</w:t>
      </w:r>
    </w:p>
    <w:p>
      <w:pPr>
        <w:pStyle w:val="34"/>
        <w:rPr>
          <w:rFonts w:hint="eastAsia"/>
          <w:lang w:val="en-US" w:eastAsia="zh-CN"/>
        </w:rPr>
      </w:pPr>
      <w:r>
        <w:rPr>
          <w:rFonts w:hint="eastAsia" w:ascii="宋体" w:hAnsi="宋体" w:eastAsia="宋体" w:cs="宋体"/>
          <w:b/>
          <w:bCs/>
          <w:sz w:val="24"/>
          <w:szCs w:val="24"/>
          <w:lang w:val="en-US" w:eastAsia="zh-CN"/>
        </w:rPr>
        <w:t>③</w:t>
      </w:r>
      <w:r>
        <w:rPr>
          <w:rFonts w:hint="eastAsia"/>
          <w:b/>
          <w:bCs/>
          <w:sz w:val="24"/>
          <w:szCs w:val="24"/>
          <w:lang w:val="en-US" w:eastAsia="zh-CN"/>
        </w:rPr>
        <w:t>近一年任意月法人或授权委托人人员社保明细证明（新公司从成立之日起算）</w:t>
      </w:r>
      <w:r>
        <w:rPr>
          <w:rFonts w:hint="eastAsia" w:ascii="Times New Roman" w:hAnsi="Times New Roman" w:cs="Times New Roman"/>
          <w:b/>
          <w:bCs/>
          <w:kern w:val="2"/>
          <w:sz w:val="24"/>
          <w:szCs w:val="24"/>
          <w:lang w:val="en-US" w:eastAsia="zh-CN" w:bidi="ar-SA"/>
        </w:rPr>
        <w:t>；</w:t>
      </w:r>
    </w:p>
    <w:p>
      <w:pPr>
        <w:rPr>
          <w:rFonts w:hint="eastAsia"/>
          <w:b/>
          <w:bCs/>
          <w:color w:val="auto"/>
          <w:sz w:val="24"/>
          <w:szCs w:val="24"/>
          <w:lang w:eastAsia="zh-CN"/>
        </w:rPr>
      </w:pPr>
      <w:r>
        <w:rPr>
          <w:rFonts w:hint="eastAsia" w:ascii="宋体" w:hAnsi="宋体" w:eastAsia="宋体" w:cs="宋体"/>
          <w:b/>
          <w:bCs/>
          <w:sz w:val="24"/>
          <w:szCs w:val="24"/>
        </w:rPr>
        <w:t>④</w:t>
      </w:r>
      <w:r>
        <w:rPr>
          <w:rFonts w:hint="eastAsia"/>
          <w:b/>
          <w:bCs/>
          <w:sz w:val="24"/>
          <w:szCs w:val="24"/>
        </w:rPr>
        <w:t>凡拟参加本次招标项目的供应商，如在“信用中国”网站（www.creditchina.gov.cn）</w:t>
      </w:r>
      <w:r>
        <w:rPr>
          <w:rFonts w:hint="eastAsia"/>
          <w:b/>
          <w:bCs/>
          <w:sz w:val="24"/>
          <w:szCs w:val="24"/>
          <w:lang w:eastAsia="zh-CN"/>
        </w:rPr>
        <w:t>和</w:t>
      </w:r>
      <w:r>
        <w:rPr>
          <w:rFonts w:hint="eastAsia"/>
          <w:b/>
          <w:bCs/>
          <w:sz w:val="24"/>
          <w:szCs w:val="24"/>
        </w:rPr>
        <w:t>中国政府采购网（www.ccgp.gov.cn）被列入失信被执行人、</w:t>
      </w:r>
      <w:r>
        <w:rPr>
          <w:rFonts w:hint="eastAsia"/>
          <w:b/>
          <w:bCs/>
          <w:sz w:val="24"/>
          <w:szCs w:val="24"/>
          <w:lang w:eastAsia="zh-CN"/>
        </w:rPr>
        <w:t>税收违法黑名单</w:t>
      </w:r>
      <w:r>
        <w:rPr>
          <w:rFonts w:hint="eastAsia"/>
          <w:b/>
          <w:bCs/>
          <w:sz w:val="24"/>
          <w:szCs w:val="24"/>
        </w:rPr>
        <w:t>、政府采购严重违法失信行为记录名单的（尚在处罚期内的），将拒绝其参本次采购活动</w:t>
      </w:r>
      <w:r>
        <w:rPr>
          <w:rFonts w:hint="eastAsia"/>
          <w:b/>
          <w:bCs/>
          <w:sz w:val="24"/>
          <w:szCs w:val="24"/>
          <w:lang w:eastAsia="zh-CN"/>
        </w:rPr>
        <w:t>。</w:t>
      </w:r>
      <w:r>
        <w:rPr>
          <w:rFonts w:hint="eastAsia" w:ascii="Times New Roman" w:hAnsi="Times New Roman" w:cs="Times New Roman"/>
          <w:b/>
          <w:bCs/>
          <w:color w:val="auto"/>
          <w:sz w:val="24"/>
          <w:szCs w:val="24"/>
          <w:lang w:val="en-US" w:eastAsia="zh-CN"/>
        </w:rPr>
        <w:t>（网页打印件须自招标文件发布之日起至首次提交投标文件截止时间内从上述网站中打印）</w:t>
      </w:r>
    </w:p>
    <w:p>
      <w:pPr>
        <w:pStyle w:val="34"/>
        <w:rPr>
          <w:rFonts w:hint="eastAsia" w:ascii="Times New Roman" w:hAnsi="Times New Roman"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⑤</w:t>
      </w:r>
      <w:r>
        <w:rPr>
          <w:rFonts w:hint="eastAsia" w:ascii="Times New Roman" w:hAnsi="Times New Roman" w:eastAsia="宋体" w:cs="Times New Roman"/>
          <w:b/>
          <w:bCs/>
          <w:color w:val="auto"/>
          <w:kern w:val="2"/>
          <w:sz w:val="24"/>
          <w:szCs w:val="24"/>
          <w:lang w:val="en-US" w:eastAsia="zh-CN" w:bidi="ar-SA"/>
        </w:rPr>
        <w:t>须具备近一年财务审计报告或银行提供的资信证明（新公司从成立之日起算）</w:t>
      </w:r>
    </w:p>
    <w:p>
      <w:pPr>
        <w:rPr>
          <w:rFonts w:hint="eastAsia" w:ascii="Times New Roman" w:hAnsi="Times New Roman"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⑥</w:t>
      </w:r>
      <w:r>
        <w:rPr>
          <w:rFonts w:hint="eastAsia" w:ascii="Times New Roman" w:hAnsi="Times New Roman" w:eastAsia="宋体" w:cs="Times New Roman"/>
          <w:b/>
          <w:bCs/>
          <w:color w:val="auto"/>
          <w:kern w:val="2"/>
          <w:sz w:val="24"/>
          <w:szCs w:val="24"/>
          <w:lang w:val="en-US" w:eastAsia="zh-CN" w:bidi="ar-SA"/>
        </w:rPr>
        <w:t>须具有近一年任意月纳税证明（新公司从成立之日起算）</w:t>
      </w:r>
    </w:p>
    <w:p>
      <w:pPr>
        <w:pStyle w:val="34"/>
        <w:rPr>
          <w:rFonts w:hint="eastAsia" w:ascii="Times New Roman" w:hAnsi="Times New Roman" w:eastAsia="宋体" w:cs="Times New Roman"/>
          <w:b/>
          <w:bCs/>
          <w:color w:val="auto"/>
          <w:kern w:val="2"/>
          <w:sz w:val="24"/>
          <w:szCs w:val="24"/>
          <w:lang w:val="en-US" w:eastAsia="zh-Hans" w:bidi="ar-SA"/>
        </w:rPr>
      </w:pPr>
      <w:r>
        <w:rPr>
          <w:rFonts w:hint="eastAsia" w:ascii="Times New Roman" w:hAnsi="Times New Roman" w:eastAsia="宋体" w:cs="Times New Roman"/>
          <w:b/>
          <w:bCs/>
          <w:color w:val="auto"/>
          <w:kern w:val="2"/>
          <w:sz w:val="24"/>
          <w:szCs w:val="24"/>
          <w:lang w:val="en-US" w:eastAsia="zh-Hans" w:bidi="ar-SA"/>
        </w:rPr>
        <w:t>⑦</w:t>
      </w:r>
      <w:r>
        <w:rPr>
          <w:rFonts w:hint="eastAsia" w:ascii="Times New Roman" w:hAnsi="Times New Roman" w:eastAsia="宋体" w:cs="Times New Roman"/>
          <w:b/>
          <w:bCs/>
          <w:color w:val="auto"/>
          <w:kern w:val="2"/>
          <w:sz w:val="24"/>
          <w:szCs w:val="24"/>
          <w:lang w:val="en-US" w:eastAsia="zh-CN" w:bidi="ar-SA"/>
        </w:rPr>
        <w:t>《安防工程企业资质等级证书》三级及以上资质证书</w:t>
      </w:r>
    </w:p>
    <w:p>
      <w:pPr>
        <w:rPr>
          <w:color w:val="auto"/>
          <w:sz w:val="24"/>
          <w:szCs w:val="24"/>
        </w:rPr>
      </w:pPr>
      <w:r>
        <w:rPr>
          <w:color w:val="auto"/>
          <w:sz w:val="24"/>
          <w:szCs w:val="24"/>
        </w:rPr>
        <w:t>5</w:t>
      </w:r>
      <w:r>
        <w:rPr>
          <w:rFonts w:hint="eastAsia"/>
          <w:color w:val="auto"/>
          <w:sz w:val="24"/>
          <w:szCs w:val="24"/>
        </w:rPr>
        <w:t>．谈判费用</w:t>
      </w:r>
      <w:bookmarkEnd w:id="6"/>
    </w:p>
    <w:p>
      <w:pPr>
        <w:jc w:val="center"/>
        <w:rPr>
          <w:sz w:val="32"/>
          <w:szCs w:val="32"/>
        </w:rPr>
      </w:pPr>
      <w:r>
        <w:rPr>
          <w:sz w:val="24"/>
          <w:szCs w:val="24"/>
        </w:rPr>
        <w:t xml:space="preserve">5.1 </w:t>
      </w:r>
      <w:r>
        <w:rPr>
          <w:rFonts w:hint="eastAsia"/>
          <w:sz w:val="24"/>
          <w:szCs w:val="24"/>
        </w:rPr>
        <w:t>无论谈判过程中的作法和结果如何，供应商将自行承担所有与参加谈判有关的全部费用。</w:t>
      </w:r>
      <w:bookmarkStart w:id="10" w:name="_Toc14904"/>
      <w:bookmarkStart w:id="11" w:name="_Toc182131591"/>
      <w:r>
        <w:rPr>
          <w:b/>
          <w:bCs/>
          <w:sz w:val="32"/>
          <w:szCs w:val="32"/>
        </w:rPr>
        <w:t>B</w:t>
      </w:r>
      <w:r>
        <w:rPr>
          <w:rFonts w:hint="eastAsia"/>
          <w:b/>
          <w:bCs/>
          <w:sz w:val="32"/>
          <w:szCs w:val="32"/>
        </w:rPr>
        <w:t>　谈判文件</w:t>
      </w:r>
      <w:bookmarkEnd w:id="10"/>
      <w:bookmarkEnd w:id="11"/>
    </w:p>
    <w:p>
      <w:pPr>
        <w:rPr>
          <w:sz w:val="24"/>
          <w:szCs w:val="24"/>
        </w:rPr>
      </w:pPr>
      <w:bookmarkStart w:id="12" w:name="_Toc182131592"/>
      <w:r>
        <w:rPr>
          <w:rFonts w:hint="eastAsia"/>
          <w:sz w:val="24"/>
          <w:szCs w:val="24"/>
        </w:rPr>
        <w:t>谈判文件构成</w:t>
      </w:r>
      <w:bookmarkEnd w:id="12"/>
      <w:r>
        <w:rPr>
          <w:rFonts w:hint="eastAsia"/>
          <w:sz w:val="24"/>
          <w:szCs w:val="24"/>
        </w:rPr>
        <w:t>：</w:t>
      </w:r>
    </w:p>
    <w:p>
      <w:pPr>
        <w:rPr>
          <w:bCs/>
          <w:sz w:val="24"/>
          <w:szCs w:val="24"/>
        </w:rPr>
      </w:pPr>
      <w:r>
        <w:rPr>
          <w:bCs/>
          <w:sz w:val="24"/>
          <w:szCs w:val="24"/>
        </w:rPr>
        <w:t>6.1</w:t>
      </w:r>
      <w:r>
        <w:rPr>
          <w:rFonts w:hint="eastAsia"/>
          <w:bCs/>
          <w:sz w:val="24"/>
          <w:szCs w:val="24"/>
        </w:rPr>
        <w:t>谈判文件包括：</w:t>
      </w:r>
    </w:p>
    <w:p>
      <w:pPr>
        <w:rPr>
          <w:bCs/>
          <w:sz w:val="24"/>
          <w:szCs w:val="24"/>
        </w:rPr>
      </w:pPr>
      <w:r>
        <w:rPr>
          <w:rFonts w:hint="eastAsia"/>
          <w:bCs/>
          <w:sz w:val="24"/>
          <w:szCs w:val="24"/>
        </w:rPr>
        <w:t>（1）</w:t>
      </w:r>
      <w:r>
        <w:rPr>
          <w:bCs/>
          <w:sz w:val="24"/>
          <w:szCs w:val="24"/>
        </w:rPr>
        <w:t xml:space="preserve"> </w:t>
      </w:r>
      <w:r>
        <w:rPr>
          <w:rFonts w:hint="eastAsia"/>
          <w:bCs/>
          <w:sz w:val="24"/>
          <w:szCs w:val="24"/>
        </w:rPr>
        <w:t>谈判</w:t>
      </w:r>
      <w:r>
        <w:rPr>
          <w:rFonts w:hint="eastAsia"/>
          <w:bCs/>
          <w:sz w:val="24"/>
          <w:szCs w:val="24"/>
          <w:lang w:eastAsia="zh-CN"/>
        </w:rPr>
        <w:t>公告</w:t>
      </w:r>
      <w:r>
        <w:rPr>
          <w:rFonts w:hint="eastAsia"/>
          <w:bCs/>
          <w:sz w:val="24"/>
          <w:szCs w:val="24"/>
        </w:rPr>
        <w:t>；</w:t>
      </w:r>
    </w:p>
    <w:p>
      <w:pPr>
        <w:rPr>
          <w:bCs/>
          <w:sz w:val="24"/>
          <w:szCs w:val="24"/>
        </w:rPr>
      </w:pPr>
      <w:r>
        <w:rPr>
          <w:rFonts w:hint="eastAsia"/>
          <w:bCs/>
          <w:sz w:val="24"/>
          <w:szCs w:val="24"/>
        </w:rPr>
        <w:t>（</w:t>
      </w:r>
      <w:r>
        <w:rPr>
          <w:bCs/>
          <w:sz w:val="24"/>
          <w:szCs w:val="24"/>
        </w:rPr>
        <w:t>2</w:t>
      </w:r>
      <w:r>
        <w:rPr>
          <w:rFonts w:hint="eastAsia"/>
          <w:bCs/>
          <w:sz w:val="24"/>
          <w:szCs w:val="24"/>
        </w:rPr>
        <w:t>）供应商须知；</w:t>
      </w:r>
    </w:p>
    <w:p>
      <w:pPr>
        <w:rPr>
          <w:bCs/>
          <w:sz w:val="24"/>
          <w:szCs w:val="24"/>
        </w:rPr>
      </w:pPr>
      <w:r>
        <w:rPr>
          <w:rFonts w:hint="eastAsia"/>
          <w:bCs/>
          <w:sz w:val="24"/>
          <w:szCs w:val="24"/>
        </w:rPr>
        <w:t>（</w:t>
      </w:r>
      <w:r>
        <w:rPr>
          <w:bCs/>
          <w:sz w:val="24"/>
          <w:szCs w:val="24"/>
        </w:rPr>
        <w:t>3</w:t>
      </w:r>
      <w:r>
        <w:rPr>
          <w:rFonts w:hint="eastAsia"/>
          <w:bCs/>
          <w:sz w:val="24"/>
          <w:szCs w:val="24"/>
        </w:rPr>
        <w:t>）合同一般条款；</w:t>
      </w:r>
    </w:p>
    <w:p>
      <w:pPr>
        <w:rPr>
          <w:bCs/>
          <w:sz w:val="24"/>
          <w:szCs w:val="24"/>
        </w:rPr>
      </w:pPr>
      <w:r>
        <w:rPr>
          <w:rFonts w:hint="eastAsia"/>
          <w:bCs/>
          <w:sz w:val="24"/>
          <w:szCs w:val="24"/>
        </w:rPr>
        <w:t>（</w:t>
      </w:r>
      <w:r>
        <w:rPr>
          <w:bCs/>
          <w:sz w:val="24"/>
          <w:szCs w:val="24"/>
        </w:rPr>
        <w:t>4</w:t>
      </w:r>
      <w:r>
        <w:rPr>
          <w:rFonts w:hint="eastAsia"/>
          <w:bCs/>
          <w:sz w:val="24"/>
          <w:szCs w:val="24"/>
        </w:rPr>
        <w:t>）合同特殊条款；</w:t>
      </w:r>
    </w:p>
    <w:p>
      <w:pPr>
        <w:rPr>
          <w:bCs/>
          <w:sz w:val="24"/>
          <w:szCs w:val="24"/>
        </w:rPr>
      </w:pPr>
      <w:r>
        <w:rPr>
          <w:rFonts w:hint="eastAsia"/>
          <w:bCs/>
          <w:sz w:val="24"/>
          <w:szCs w:val="24"/>
        </w:rPr>
        <w:t>（</w:t>
      </w:r>
      <w:r>
        <w:rPr>
          <w:bCs/>
          <w:sz w:val="24"/>
          <w:szCs w:val="24"/>
        </w:rPr>
        <w:t>5</w:t>
      </w:r>
      <w:r>
        <w:rPr>
          <w:rFonts w:hint="eastAsia"/>
          <w:bCs/>
          <w:sz w:val="24"/>
          <w:szCs w:val="24"/>
        </w:rPr>
        <w:t>）范本格式。</w:t>
      </w:r>
    </w:p>
    <w:p>
      <w:pPr>
        <w:rPr>
          <w:bCs/>
          <w:sz w:val="24"/>
          <w:szCs w:val="24"/>
        </w:rPr>
      </w:pPr>
      <w:r>
        <w:rPr>
          <w:bCs/>
          <w:sz w:val="24"/>
          <w:szCs w:val="24"/>
        </w:rPr>
        <w:t xml:space="preserve">6.2 </w:t>
      </w:r>
      <w:r>
        <w:rPr>
          <w:rFonts w:hint="eastAsia"/>
          <w:bCs/>
          <w:sz w:val="24"/>
          <w:szCs w:val="24"/>
        </w:rPr>
        <w:t>谈判文件以中文编写。</w:t>
      </w:r>
    </w:p>
    <w:p>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作出实质性响应。如果没有按照谈判文件要求提交全部谈判相应文件或资料，没有对谈判文件作出实质性响应，其风险应由供应商自行承担。</w:t>
      </w:r>
    </w:p>
    <w:p>
      <w:pPr>
        <w:rPr>
          <w:sz w:val="24"/>
          <w:szCs w:val="24"/>
        </w:rPr>
      </w:pPr>
      <w:bookmarkStart w:id="13" w:name="_Toc182131593"/>
      <w:r>
        <w:rPr>
          <w:rFonts w:hint="eastAsia"/>
          <w:sz w:val="24"/>
          <w:szCs w:val="24"/>
        </w:rPr>
        <w:t>谈判文件澄清</w:t>
      </w:r>
      <w:bookmarkEnd w:id="13"/>
      <w:r>
        <w:rPr>
          <w:rFonts w:hint="eastAsia"/>
          <w:sz w:val="24"/>
          <w:szCs w:val="24"/>
        </w:rPr>
        <w:t>和质疑</w:t>
      </w:r>
    </w:p>
    <w:p>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pPr>
        <w:rPr>
          <w:sz w:val="24"/>
          <w:szCs w:val="24"/>
        </w:rPr>
      </w:pPr>
      <w:bookmarkStart w:id="14" w:name="_Toc182131594"/>
      <w:r>
        <w:rPr>
          <w:rFonts w:hint="eastAsia"/>
          <w:sz w:val="24"/>
          <w:szCs w:val="24"/>
        </w:rPr>
        <w:t>谈判文件的修改</w:t>
      </w:r>
      <w:bookmarkEnd w:id="14"/>
    </w:p>
    <w:p>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pPr>
        <w:rPr>
          <w:rFonts w:hint="eastAsia"/>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pPr>
        <w:pStyle w:val="34"/>
      </w:pPr>
    </w:p>
    <w:p>
      <w:pPr>
        <w:pStyle w:val="7"/>
        <w:jc w:val="center"/>
      </w:pPr>
      <w:bookmarkStart w:id="15" w:name="_Toc27723"/>
      <w:bookmarkStart w:id="16" w:name="_Toc182131595"/>
      <w:r>
        <w:t xml:space="preserve">C </w:t>
      </w:r>
      <w:r>
        <w:rPr>
          <w:rFonts w:hint="eastAsia"/>
        </w:rPr>
        <w:t>谈判响应文件的编写</w:t>
      </w:r>
      <w:bookmarkEnd w:id="15"/>
      <w:bookmarkEnd w:id="16"/>
    </w:p>
    <w:p>
      <w:pPr>
        <w:rPr>
          <w:b/>
          <w:bCs/>
          <w:sz w:val="24"/>
          <w:szCs w:val="24"/>
        </w:rPr>
      </w:pPr>
      <w:bookmarkStart w:id="17" w:name="_Toc182131596"/>
      <w:r>
        <w:rPr>
          <w:rFonts w:hint="eastAsia"/>
          <w:b/>
          <w:bCs/>
          <w:sz w:val="24"/>
          <w:szCs w:val="24"/>
        </w:rPr>
        <w:t>要求</w:t>
      </w:r>
      <w:bookmarkEnd w:id="17"/>
    </w:p>
    <w:p>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供应商应仔细阅读谈判文件的所有内容，按谈判文件的要求提供谈判相应文件，并保证所提供的全部资料的真实性，以使其投标对谈判文件作出实质性响应，否则，其谈判可能被拒绝。</w:t>
      </w:r>
    </w:p>
    <w:p>
      <w:pPr>
        <w:rPr>
          <w:sz w:val="24"/>
          <w:szCs w:val="24"/>
        </w:rPr>
      </w:pPr>
      <w:bookmarkStart w:id="18" w:name="_Toc182131597"/>
      <w:r>
        <w:rPr>
          <w:rFonts w:hint="eastAsia"/>
          <w:sz w:val="24"/>
          <w:szCs w:val="24"/>
        </w:rPr>
        <w:t>谈判语言</w:t>
      </w:r>
      <w:bookmarkEnd w:id="18"/>
    </w:p>
    <w:p>
      <w:pPr>
        <w:rPr>
          <w:sz w:val="24"/>
          <w:szCs w:val="24"/>
        </w:rPr>
      </w:pPr>
      <w:r>
        <w:rPr>
          <w:sz w:val="24"/>
          <w:szCs w:val="24"/>
        </w:rPr>
        <w:t>10.1</w:t>
      </w:r>
      <w:r>
        <w:rPr>
          <w:rFonts w:hint="eastAsia"/>
          <w:sz w:val="24"/>
          <w:szCs w:val="24"/>
        </w:rPr>
        <w:t>谈判相应文件及供应商与采购方就参与谈判交换的文件和来往信件，应以中文书写。</w:t>
      </w:r>
    </w:p>
    <w:p>
      <w:pPr>
        <w:rPr>
          <w:sz w:val="24"/>
          <w:szCs w:val="24"/>
        </w:rPr>
      </w:pPr>
      <w:bookmarkStart w:id="19" w:name="_Toc182131598"/>
      <w:r>
        <w:rPr>
          <w:rFonts w:hint="eastAsia"/>
          <w:sz w:val="24"/>
          <w:szCs w:val="24"/>
        </w:rPr>
        <w:t>谈判相应文件的构成</w:t>
      </w:r>
      <w:bookmarkEnd w:id="19"/>
    </w:p>
    <w:p>
      <w:pPr>
        <w:rPr>
          <w:sz w:val="24"/>
          <w:szCs w:val="24"/>
        </w:rPr>
      </w:pPr>
      <w:r>
        <w:rPr>
          <w:sz w:val="24"/>
          <w:szCs w:val="24"/>
        </w:rPr>
        <w:t xml:space="preserve">11.1 </w:t>
      </w:r>
      <w:r>
        <w:rPr>
          <w:rFonts w:hint="eastAsia"/>
          <w:sz w:val="24"/>
          <w:szCs w:val="24"/>
        </w:rPr>
        <w:t>供应商编写的谈判相应文件应包括下列内容：</w:t>
      </w:r>
    </w:p>
    <w:p>
      <w:pPr>
        <w:rPr>
          <w:sz w:val="24"/>
          <w:szCs w:val="24"/>
        </w:rPr>
      </w:pPr>
      <w:r>
        <w:rPr>
          <w:rFonts w:hint="eastAsia"/>
          <w:sz w:val="24"/>
          <w:szCs w:val="24"/>
        </w:rPr>
        <w:t>1</w:t>
      </w:r>
      <w:r>
        <w:rPr>
          <w:sz w:val="24"/>
          <w:szCs w:val="24"/>
        </w:rPr>
        <w:t>1.1.1.</w:t>
      </w:r>
      <w:r>
        <w:rPr>
          <w:rFonts w:hint="eastAsia"/>
          <w:sz w:val="24"/>
          <w:szCs w:val="24"/>
        </w:rPr>
        <w:t>投标书、谈判报价一览表；</w:t>
      </w:r>
    </w:p>
    <w:p>
      <w:pPr>
        <w:rPr>
          <w:sz w:val="24"/>
          <w:szCs w:val="24"/>
        </w:rPr>
      </w:pPr>
      <w:r>
        <w:rPr>
          <w:rFonts w:hint="eastAsia"/>
          <w:sz w:val="24"/>
          <w:szCs w:val="24"/>
        </w:rPr>
        <w:t>1</w:t>
      </w:r>
      <w:r>
        <w:rPr>
          <w:sz w:val="24"/>
          <w:szCs w:val="24"/>
        </w:rPr>
        <w:t>1.1.</w:t>
      </w:r>
      <w:r>
        <w:rPr>
          <w:rFonts w:hint="eastAsia"/>
          <w:sz w:val="24"/>
          <w:szCs w:val="24"/>
          <w:lang w:val="en-US" w:eastAsia="zh-CN"/>
        </w:rPr>
        <w:t>2</w:t>
      </w:r>
      <w:r>
        <w:rPr>
          <w:rFonts w:hint="eastAsia"/>
          <w:sz w:val="24"/>
          <w:szCs w:val="24"/>
        </w:rPr>
        <w:t>所投设备的相关技术</w:t>
      </w:r>
      <w:r>
        <w:rPr>
          <w:sz w:val="24"/>
          <w:szCs w:val="24"/>
        </w:rPr>
        <w:t>/</w:t>
      </w:r>
      <w:r>
        <w:rPr>
          <w:rFonts w:hint="eastAsia"/>
          <w:sz w:val="24"/>
          <w:szCs w:val="24"/>
        </w:rPr>
        <w:t>证明资料；</w:t>
      </w:r>
    </w:p>
    <w:p>
      <w:pPr>
        <w:rPr>
          <w:sz w:val="24"/>
          <w:szCs w:val="24"/>
        </w:rPr>
      </w:pPr>
      <w:r>
        <w:rPr>
          <w:rFonts w:hint="eastAsia"/>
          <w:sz w:val="24"/>
          <w:szCs w:val="24"/>
        </w:rPr>
        <w:t>1</w:t>
      </w:r>
      <w:r>
        <w:rPr>
          <w:sz w:val="24"/>
          <w:szCs w:val="24"/>
        </w:rPr>
        <w:t>1.1.</w:t>
      </w:r>
      <w:r>
        <w:rPr>
          <w:rFonts w:hint="eastAsia"/>
          <w:sz w:val="24"/>
          <w:szCs w:val="24"/>
          <w:lang w:val="en-US" w:eastAsia="zh-CN"/>
        </w:rPr>
        <w:t>3</w:t>
      </w:r>
      <w:r>
        <w:rPr>
          <w:rFonts w:hint="eastAsia"/>
          <w:sz w:val="24"/>
          <w:szCs w:val="24"/>
        </w:rPr>
        <w:t>谈判响应保证金；</w:t>
      </w:r>
    </w:p>
    <w:p>
      <w:pPr>
        <w:rPr>
          <w:sz w:val="24"/>
          <w:szCs w:val="24"/>
        </w:rPr>
      </w:pPr>
      <w:r>
        <w:rPr>
          <w:rFonts w:hint="eastAsia"/>
          <w:sz w:val="24"/>
          <w:szCs w:val="24"/>
        </w:rPr>
        <w:t>1</w:t>
      </w:r>
      <w:r>
        <w:rPr>
          <w:sz w:val="24"/>
          <w:szCs w:val="24"/>
        </w:rPr>
        <w:t>1.1.</w:t>
      </w:r>
      <w:r>
        <w:rPr>
          <w:rFonts w:hint="eastAsia"/>
          <w:sz w:val="24"/>
          <w:szCs w:val="24"/>
          <w:lang w:val="en-US" w:eastAsia="zh-CN"/>
        </w:rPr>
        <w:t>4</w:t>
      </w:r>
      <w:r>
        <w:rPr>
          <w:rFonts w:hint="eastAsia"/>
          <w:sz w:val="24"/>
          <w:szCs w:val="24"/>
        </w:rPr>
        <w:t>谈判文件货物需求及技术规格、合同特殊条款中要求提交的文件、资料。</w:t>
      </w:r>
    </w:p>
    <w:p>
      <w:pPr>
        <w:rPr>
          <w:sz w:val="24"/>
          <w:szCs w:val="24"/>
        </w:rPr>
      </w:pPr>
      <w:r>
        <w:rPr>
          <w:sz w:val="24"/>
          <w:szCs w:val="24"/>
        </w:rPr>
        <w:t>11.2</w:t>
      </w:r>
      <w:r>
        <w:rPr>
          <w:rFonts w:hint="eastAsia"/>
          <w:sz w:val="24"/>
          <w:szCs w:val="24"/>
        </w:rPr>
        <w:t>供应商应将谈判相应文件装订成册，并填写文件资料清单。</w:t>
      </w:r>
    </w:p>
    <w:p>
      <w:pPr>
        <w:jc w:val="left"/>
        <w:rPr>
          <w:b/>
          <w:bCs/>
          <w:sz w:val="24"/>
          <w:szCs w:val="24"/>
        </w:rPr>
      </w:pPr>
      <w:bookmarkStart w:id="20" w:name="_Toc182131599"/>
      <w:r>
        <w:rPr>
          <w:rFonts w:hint="eastAsia"/>
          <w:b/>
          <w:bCs/>
          <w:sz w:val="24"/>
          <w:szCs w:val="24"/>
        </w:rPr>
        <w:t>谈判相应文件格式</w:t>
      </w:r>
      <w:bookmarkEnd w:id="20"/>
    </w:p>
    <w:p>
      <w:pPr>
        <w:rPr>
          <w:sz w:val="24"/>
          <w:szCs w:val="24"/>
        </w:rPr>
      </w:pPr>
      <w:r>
        <w:rPr>
          <w:sz w:val="24"/>
          <w:szCs w:val="24"/>
        </w:rPr>
        <w:t>12.1</w:t>
      </w:r>
      <w:r>
        <w:rPr>
          <w:rFonts w:hint="eastAsia"/>
          <w:sz w:val="24"/>
          <w:szCs w:val="24"/>
        </w:rPr>
        <w:t>供应商应按谈判文件的范本格式中提供的谈判相应文件格式填写谈判书、谈判报价表等。</w:t>
      </w:r>
    </w:p>
    <w:p>
      <w:pPr>
        <w:rPr>
          <w:b/>
          <w:bCs/>
          <w:sz w:val="24"/>
          <w:szCs w:val="24"/>
        </w:rPr>
      </w:pPr>
      <w:bookmarkStart w:id="21" w:name="_Toc182131600"/>
      <w:r>
        <w:rPr>
          <w:rFonts w:hint="eastAsia"/>
          <w:b/>
          <w:bCs/>
          <w:sz w:val="24"/>
          <w:szCs w:val="24"/>
        </w:rPr>
        <w:t>谈判报价</w:t>
      </w:r>
      <w:bookmarkEnd w:id="21"/>
    </w:p>
    <w:p>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表成交明其提供的所有货物及其相关工作范围内所有费用的总价，招标方不接受有任何选择性报价。</w:t>
      </w:r>
    </w:p>
    <w:p>
      <w:pPr>
        <w:rPr>
          <w:sz w:val="24"/>
          <w:szCs w:val="24"/>
        </w:rPr>
      </w:pPr>
      <w:r>
        <w:rPr>
          <w:sz w:val="24"/>
          <w:szCs w:val="24"/>
        </w:rPr>
        <w:t>13.2.1</w:t>
      </w:r>
      <w:r>
        <w:rPr>
          <w:rFonts w:hint="eastAsia"/>
          <w:sz w:val="24"/>
          <w:szCs w:val="24"/>
        </w:rPr>
        <w:t>除谈判文件有强制性规定以及不可竞争部分以外，投标报价由供应商自主确定，但不得低于其成本。</w:t>
      </w:r>
    </w:p>
    <w:p>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pPr>
        <w:rPr>
          <w:sz w:val="24"/>
          <w:szCs w:val="24"/>
        </w:rPr>
      </w:pPr>
      <w:r>
        <w:rPr>
          <w:sz w:val="24"/>
          <w:szCs w:val="24"/>
        </w:rPr>
        <w:t xml:space="preserve">13.3.1 </w:t>
      </w:r>
      <w:r>
        <w:rPr>
          <w:rFonts w:hint="eastAsia"/>
          <w:sz w:val="24"/>
          <w:szCs w:val="24"/>
        </w:rPr>
        <w:t>当以数字表示的金额与文字表示的金额有差异时，以文字表示的金额为准；</w:t>
      </w:r>
    </w:p>
    <w:p>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按以上原则对算术性差错修正，应取得供应商的同意，并确认修正后最终谈判报价。如果供应商拒绝确认，则其谈判响应文件将不予以评审并按废标处理，没收其投标担保。</w:t>
      </w:r>
    </w:p>
    <w:p>
      <w:pPr>
        <w:rPr>
          <w:sz w:val="24"/>
          <w:szCs w:val="24"/>
        </w:rPr>
      </w:pPr>
      <w:bookmarkStart w:id="22" w:name="_Toc182131601"/>
      <w:r>
        <w:rPr>
          <w:rFonts w:hint="eastAsia"/>
          <w:sz w:val="24"/>
          <w:szCs w:val="24"/>
        </w:rPr>
        <w:t>谈判报价货币</w:t>
      </w:r>
      <w:bookmarkEnd w:id="22"/>
    </w:p>
    <w:p>
      <w:pPr>
        <w:rPr>
          <w:sz w:val="24"/>
          <w:szCs w:val="24"/>
        </w:rPr>
      </w:pPr>
      <w:r>
        <w:rPr>
          <w:sz w:val="24"/>
          <w:szCs w:val="24"/>
        </w:rPr>
        <w:t>14.1</w:t>
      </w:r>
      <w:r>
        <w:rPr>
          <w:rFonts w:hint="eastAsia"/>
          <w:sz w:val="24"/>
          <w:szCs w:val="24"/>
        </w:rPr>
        <w:t>以人民币报价。</w:t>
      </w:r>
    </w:p>
    <w:p>
      <w:pPr>
        <w:rPr>
          <w:b/>
          <w:bCs/>
          <w:sz w:val="24"/>
          <w:szCs w:val="24"/>
        </w:rPr>
      </w:pPr>
      <w:bookmarkStart w:id="23" w:name="_Toc182131602"/>
      <w:r>
        <w:rPr>
          <w:rFonts w:hint="eastAsia"/>
          <w:b/>
          <w:bCs/>
          <w:sz w:val="24"/>
          <w:szCs w:val="24"/>
        </w:rPr>
        <w:t>1</w:t>
      </w:r>
      <w:r>
        <w:rPr>
          <w:b/>
          <w:bCs/>
          <w:sz w:val="24"/>
          <w:szCs w:val="24"/>
        </w:rPr>
        <w:t>5.</w:t>
      </w:r>
      <w:r>
        <w:rPr>
          <w:rFonts w:hint="eastAsia"/>
          <w:b/>
          <w:bCs/>
          <w:sz w:val="24"/>
          <w:szCs w:val="24"/>
        </w:rPr>
        <w:t>供应商资格的证明文件</w:t>
      </w:r>
      <w:bookmarkEnd w:id="23"/>
    </w:p>
    <w:p>
      <w:pPr>
        <w:rPr>
          <w:rFonts w:hint="eastAsia"/>
          <w:sz w:val="24"/>
          <w:szCs w:val="24"/>
        </w:rPr>
      </w:pPr>
      <w:bookmarkStart w:id="24" w:name="_Toc182131603"/>
      <w:r>
        <w:rPr>
          <w:rFonts w:hint="eastAsia"/>
          <w:sz w:val="24"/>
          <w:szCs w:val="24"/>
        </w:rPr>
        <w:t>（1）投标人应符合《中华人民共和国政府采购法》第二十二条规定的条件；</w:t>
      </w:r>
    </w:p>
    <w:p>
      <w:pPr>
        <w:rPr>
          <w:rFonts w:hint="eastAsia"/>
          <w:sz w:val="24"/>
          <w:szCs w:val="24"/>
          <w:lang w:eastAsia="zh-CN"/>
        </w:rPr>
      </w:pPr>
      <w:r>
        <w:rPr>
          <w:rFonts w:hint="eastAsia"/>
          <w:sz w:val="24"/>
          <w:szCs w:val="24"/>
          <w:lang w:val="en-US" w:eastAsia="zh-CN"/>
        </w:rPr>
        <w:t>1.</w:t>
      </w:r>
      <w:r>
        <w:rPr>
          <w:rFonts w:hint="eastAsia"/>
          <w:sz w:val="24"/>
          <w:szCs w:val="24"/>
          <w:lang w:eastAsia="zh-CN"/>
        </w:rPr>
        <w:t>投标人应符合《中华人民共和国政府采购法》第二十二条规定的条件；</w:t>
      </w:r>
    </w:p>
    <w:p>
      <w:pPr>
        <w:rPr>
          <w:rFonts w:hint="eastAsia"/>
          <w:sz w:val="24"/>
          <w:szCs w:val="24"/>
          <w:lang w:eastAsia="zh-CN"/>
        </w:rPr>
      </w:pPr>
      <w:r>
        <w:rPr>
          <w:rFonts w:hint="eastAsia"/>
          <w:sz w:val="24"/>
          <w:szCs w:val="24"/>
          <w:lang w:eastAsia="zh-CN"/>
        </w:rPr>
        <w:t>①具有独立承担民事责任的能力；</w:t>
      </w:r>
    </w:p>
    <w:p>
      <w:pPr>
        <w:rPr>
          <w:rFonts w:hint="eastAsia"/>
          <w:sz w:val="24"/>
          <w:szCs w:val="24"/>
          <w:lang w:eastAsia="zh-CN"/>
        </w:rPr>
      </w:pPr>
      <w:r>
        <w:rPr>
          <w:rFonts w:hint="eastAsia"/>
          <w:sz w:val="24"/>
          <w:szCs w:val="24"/>
          <w:lang w:eastAsia="zh-CN"/>
        </w:rPr>
        <w:t>②具有良好的商业信誉和健全的财务会计制度；</w:t>
      </w:r>
    </w:p>
    <w:p>
      <w:pPr>
        <w:rPr>
          <w:rFonts w:hint="eastAsia"/>
          <w:sz w:val="24"/>
          <w:szCs w:val="24"/>
          <w:lang w:eastAsia="zh-CN"/>
        </w:rPr>
      </w:pPr>
      <w:r>
        <w:rPr>
          <w:rFonts w:hint="eastAsia"/>
          <w:sz w:val="24"/>
          <w:szCs w:val="24"/>
          <w:lang w:eastAsia="zh-CN"/>
        </w:rPr>
        <w:t>③具有履行合同所必须的设备和专业技术能力；</w:t>
      </w:r>
    </w:p>
    <w:p>
      <w:pPr>
        <w:rPr>
          <w:rFonts w:hint="eastAsia" w:ascii="Times New Roman" w:hAnsi="Times New Roman" w:eastAsia="宋体" w:cs="Times New Roman"/>
          <w:sz w:val="24"/>
          <w:szCs w:val="24"/>
          <w:lang w:eastAsia="zh-CN"/>
        </w:rPr>
      </w:pPr>
      <w:r>
        <w:rPr>
          <w:rFonts w:hint="eastAsia"/>
          <w:sz w:val="24"/>
          <w:szCs w:val="24"/>
          <w:lang w:eastAsia="zh-CN"/>
        </w:rPr>
        <w:t>④有依</w:t>
      </w:r>
      <w:r>
        <w:rPr>
          <w:rFonts w:hint="eastAsia" w:ascii="Times New Roman" w:hAnsi="Times New Roman" w:eastAsia="宋体" w:cs="Times New Roman"/>
          <w:sz w:val="24"/>
          <w:szCs w:val="24"/>
          <w:lang w:eastAsia="zh-CN"/>
        </w:rPr>
        <w:t>法缴纳税收和社会保障资金的良好记录；</w:t>
      </w:r>
    </w:p>
    <w:p>
      <w:pPr>
        <w:rPr>
          <w:rFonts w:hint="eastAsia"/>
          <w:sz w:val="24"/>
          <w:szCs w:val="24"/>
          <w:lang w:eastAsia="zh-CN"/>
        </w:rPr>
      </w:pPr>
      <w:r>
        <w:rPr>
          <w:rFonts w:hint="eastAsia" w:ascii="Times New Roman" w:hAnsi="Times New Roman" w:eastAsia="宋体" w:cs="Times New Roman"/>
          <w:sz w:val="24"/>
          <w:szCs w:val="24"/>
          <w:lang w:eastAsia="zh-CN"/>
        </w:rPr>
        <w:t>⑤参加政府采购活动前三年内，</w:t>
      </w:r>
      <w:r>
        <w:rPr>
          <w:rFonts w:hint="eastAsia"/>
          <w:sz w:val="24"/>
          <w:szCs w:val="24"/>
          <w:lang w:eastAsia="zh-CN"/>
        </w:rPr>
        <w:t>在经营活动中没有重大违法、犯罪记录；</w:t>
      </w:r>
    </w:p>
    <w:p>
      <w:pPr>
        <w:rPr>
          <w:rFonts w:hint="eastAsia"/>
          <w:sz w:val="24"/>
          <w:szCs w:val="24"/>
          <w:lang w:eastAsia="zh-CN"/>
        </w:rPr>
      </w:pPr>
      <w:r>
        <w:rPr>
          <w:rFonts w:hint="eastAsia"/>
          <w:sz w:val="24"/>
          <w:szCs w:val="24"/>
          <w:lang w:eastAsia="zh-CN"/>
        </w:rPr>
        <w:t>⑥法律法规规定的其他条件。</w:t>
      </w:r>
    </w:p>
    <w:p>
      <w:pPr>
        <w:rPr>
          <w:rFonts w:hint="eastAsia"/>
          <w:sz w:val="24"/>
          <w:szCs w:val="24"/>
          <w:lang w:eastAsia="zh-CN"/>
        </w:rPr>
      </w:pPr>
      <w:r>
        <w:rPr>
          <w:rFonts w:hint="eastAsia"/>
          <w:sz w:val="24"/>
          <w:szCs w:val="24"/>
          <w:lang w:val="en-US" w:eastAsia="zh-CN"/>
        </w:rPr>
        <w:t>2.</w:t>
      </w:r>
      <w:r>
        <w:rPr>
          <w:rFonts w:hint="eastAsia"/>
          <w:sz w:val="24"/>
          <w:szCs w:val="24"/>
          <w:lang w:eastAsia="zh-CN"/>
        </w:rPr>
        <w:t>遵守国家法律、法规有关招标的规定。</w:t>
      </w:r>
    </w:p>
    <w:p>
      <w:pPr>
        <w:rPr>
          <w:rFonts w:hint="eastAsia"/>
          <w:sz w:val="24"/>
          <w:szCs w:val="24"/>
          <w:lang w:eastAsia="zh-CN"/>
        </w:rPr>
      </w:pPr>
      <w:r>
        <w:rPr>
          <w:rFonts w:hint="eastAsia"/>
          <w:sz w:val="24"/>
          <w:szCs w:val="24"/>
          <w:lang w:val="en-US" w:eastAsia="zh-CN"/>
        </w:rPr>
        <w:t>3.</w:t>
      </w:r>
      <w:r>
        <w:rPr>
          <w:rFonts w:hint="eastAsia"/>
          <w:sz w:val="24"/>
          <w:szCs w:val="24"/>
          <w:lang w:eastAsia="zh-CN"/>
        </w:rPr>
        <w:t>与采购人就本次招标的项目委托的咨询机构、招标代理机构、以及上述机构的附属机构没有行政或经济关联。</w:t>
      </w:r>
    </w:p>
    <w:p>
      <w:pPr>
        <w:rPr>
          <w:rFonts w:hint="eastAsia"/>
          <w:sz w:val="24"/>
          <w:szCs w:val="24"/>
          <w:lang w:eastAsia="zh-CN"/>
        </w:rPr>
      </w:pPr>
      <w:r>
        <w:rPr>
          <w:rFonts w:hint="eastAsia"/>
          <w:sz w:val="24"/>
          <w:szCs w:val="24"/>
          <w:lang w:val="en-US" w:eastAsia="zh-CN"/>
        </w:rPr>
        <w:t>4.</w:t>
      </w:r>
      <w:r>
        <w:rPr>
          <w:rFonts w:hint="eastAsia"/>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rPr>
          <w:rFonts w:hint="eastAsia"/>
          <w:sz w:val="24"/>
          <w:szCs w:val="24"/>
          <w:lang w:val="en-US" w:eastAsia="zh-Hans"/>
        </w:rPr>
      </w:pPr>
      <w:r>
        <w:rPr>
          <w:rFonts w:hint="eastAsia"/>
          <w:sz w:val="24"/>
          <w:szCs w:val="24"/>
          <w:lang w:val="en-US" w:eastAsia="zh-CN"/>
        </w:rPr>
        <w:t>5.具有工商部门核发的具有</w:t>
      </w:r>
      <w:r>
        <w:rPr>
          <w:rFonts w:hint="eastAsia"/>
          <w:sz w:val="24"/>
          <w:szCs w:val="24"/>
          <w:lang w:val="en-US" w:eastAsia="zh-Hans"/>
        </w:rPr>
        <w:t>营业执照</w:t>
      </w:r>
    </w:p>
    <w:p>
      <w:pPr>
        <w:rPr>
          <w:rFonts w:hint="default" w:cs="Times New Roman"/>
          <w:b/>
          <w:bCs/>
          <w:color w:val="auto"/>
          <w:sz w:val="24"/>
          <w:szCs w:val="24"/>
          <w:lang w:eastAsia="zh-CN"/>
        </w:rPr>
      </w:pPr>
      <w:r>
        <w:rPr>
          <w:rFonts w:hint="default"/>
          <w:color w:val="auto"/>
          <w:sz w:val="24"/>
          <w:szCs w:val="24"/>
          <w:lang w:eastAsia="zh-Hans"/>
        </w:rPr>
        <w:t>6</w:t>
      </w:r>
      <w:r>
        <w:rPr>
          <w:rFonts w:hint="eastAsia"/>
          <w:color w:val="auto"/>
          <w:sz w:val="24"/>
          <w:szCs w:val="24"/>
          <w:lang w:val="en-US" w:eastAsia="zh-Hans"/>
        </w:rPr>
        <w:t>.</w:t>
      </w:r>
      <w:r>
        <w:rPr>
          <w:rFonts w:hint="eastAsia"/>
          <w:b/>
          <w:bCs/>
          <w:color w:val="auto"/>
          <w:sz w:val="24"/>
          <w:szCs w:val="22"/>
          <w:lang w:val="en-US" w:eastAsia="zh-Hans"/>
        </w:rPr>
        <w:t>投</w:t>
      </w:r>
      <w:r>
        <w:rPr>
          <w:rFonts w:hint="eastAsia" w:cs="Times New Roman"/>
          <w:b/>
          <w:bCs/>
          <w:color w:val="auto"/>
          <w:sz w:val="24"/>
          <w:szCs w:val="24"/>
          <w:lang w:val="en-US" w:eastAsia="zh-CN"/>
        </w:rPr>
        <w:t>标单位需具备《安防工程企业资质等级证书》三级及以上资质证书</w:t>
      </w:r>
      <w:r>
        <w:rPr>
          <w:rFonts w:hint="default" w:cs="Times New Roman"/>
          <w:b/>
          <w:bCs/>
          <w:color w:val="auto"/>
          <w:sz w:val="24"/>
          <w:szCs w:val="24"/>
          <w:lang w:eastAsia="zh-CN"/>
        </w:rPr>
        <w:t>。</w:t>
      </w:r>
    </w:p>
    <w:p>
      <w:pPr>
        <w:rPr>
          <w:rFonts w:hint="eastAsia"/>
          <w:color w:val="auto"/>
          <w:sz w:val="24"/>
          <w:szCs w:val="24"/>
          <w:lang w:eastAsia="zh-CN"/>
        </w:rPr>
      </w:pPr>
      <w:r>
        <w:rPr>
          <w:rFonts w:hint="default"/>
          <w:color w:val="auto"/>
          <w:sz w:val="24"/>
          <w:szCs w:val="24"/>
          <w:lang w:eastAsia="zh-CN"/>
        </w:rPr>
        <w:t>7</w:t>
      </w:r>
      <w:r>
        <w:rPr>
          <w:rFonts w:hint="eastAsia"/>
          <w:color w:val="auto"/>
          <w:sz w:val="24"/>
          <w:szCs w:val="24"/>
          <w:lang w:val="en-US" w:eastAsia="zh-CN"/>
        </w:rPr>
        <w:t>.</w:t>
      </w:r>
      <w:r>
        <w:rPr>
          <w:rFonts w:hint="eastAsia"/>
          <w:color w:val="auto"/>
          <w:sz w:val="24"/>
          <w:szCs w:val="24"/>
          <w:lang w:eastAsia="zh-CN"/>
        </w:rPr>
        <w:t>须</w:t>
      </w:r>
      <w:r>
        <w:rPr>
          <w:rFonts w:hint="eastAsia"/>
          <w:color w:val="auto"/>
          <w:sz w:val="24"/>
          <w:szCs w:val="24"/>
          <w:lang w:val="en-US" w:eastAsia="zh-CN"/>
        </w:rPr>
        <w:t>具备近一年财务审计报告或银行提供的资信证明（新公司从成立之日起算）。</w:t>
      </w:r>
    </w:p>
    <w:p>
      <w:pPr>
        <w:rPr>
          <w:rFonts w:hint="eastAsia"/>
          <w:color w:val="auto"/>
          <w:sz w:val="24"/>
          <w:szCs w:val="24"/>
          <w:lang w:eastAsia="zh-CN"/>
        </w:rPr>
      </w:pPr>
      <w:r>
        <w:rPr>
          <w:rFonts w:hint="default"/>
          <w:color w:val="auto"/>
          <w:sz w:val="24"/>
          <w:szCs w:val="24"/>
          <w:lang w:eastAsia="zh-CN"/>
        </w:rPr>
        <w:t>8</w:t>
      </w:r>
      <w:r>
        <w:rPr>
          <w:rFonts w:hint="eastAsia"/>
          <w:color w:val="auto"/>
          <w:sz w:val="24"/>
          <w:szCs w:val="24"/>
          <w:lang w:val="en-US" w:eastAsia="zh-CN"/>
        </w:rPr>
        <w:t>.</w:t>
      </w:r>
      <w:r>
        <w:rPr>
          <w:rFonts w:hint="eastAsia"/>
          <w:color w:val="auto"/>
          <w:sz w:val="24"/>
          <w:szCs w:val="24"/>
          <w:lang w:eastAsia="zh-CN"/>
        </w:rPr>
        <w:t>须</w:t>
      </w:r>
      <w:r>
        <w:rPr>
          <w:rFonts w:hint="eastAsia"/>
          <w:color w:val="auto"/>
          <w:sz w:val="24"/>
          <w:szCs w:val="24"/>
          <w:lang w:val="en-US" w:eastAsia="zh-CN"/>
        </w:rPr>
        <w:t>具有近一年任意月纳税证明（新公司从成立之日起算）。</w:t>
      </w:r>
    </w:p>
    <w:p>
      <w:pPr>
        <w:rPr>
          <w:rFonts w:hint="eastAsia"/>
          <w:color w:val="auto"/>
          <w:sz w:val="24"/>
          <w:szCs w:val="24"/>
          <w:lang w:eastAsia="zh-CN"/>
        </w:rPr>
      </w:pPr>
      <w:r>
        <w:rPr>
          <w:rFonts w:hint="default"/>
          <w:color w:val="auto"/>
          <w:sz w:val="24"/>
          <w:szCs w:val="24"/>
          <w:lang w:eastAsia="zh-Hans"/>
        </w:rPr>
        <w:t>9</w:t>
      </w:r>
      <w:r>
        <w:rPr>
          <w:rFonts w:hint="eastAsia"/>
          <w:color w:val="auto"/>
          <w:sz w:val="24"/>
          <w:szCs w:val="24"/>
          <w:lang w:val="en-US" w:eastAsia="zh-Hans"/>
        </w:rPr>
        <w:t>.</w:t>
      </w:r>
      <w:r>
        <w:rPr>
          <w:rFonts w:hint="eastAsia"/>
          <w:color w:val="auto"/>
          <w:sz w:val="24"/>
          <w:szCs w:val="24"/>
          <w:lang w:val="en-US" w:eastAsia="zh-CN"/>
        </w:rPr>
        <w:t>近一年任意月法人或授权委托人人员社保明细证明（新公司从成立之日起算）。</w:t>
      </w:r>
    </w:p>
    <w:p>
      <w:pPr>
        <w:rPr>
          <w:rFonts w:hint="eastAsia"/>
          <w:color w:val="auto"/>
          <w:sz w:val="24"/>
          <w:szCs w:val="24"/>
          <w:lang w:val="en-US" w:eastAsia="zh-CN"/>
        </w:rPr>
      </w:pPr>
      <w:r>
        <w:rPr>
          <w:rFonts w:hint="default"/>
          <w:color w:val="auto"/>
          <w:sz w:val="24"/>
          <w:szCs w:val="24"/>
          <w:lang w:eastAsia="zh-CN"/>
        </w:rPr>
        <w:t>10</w:t>
      </w:r>
      <w:r>
        <w:rPr>
          <w:rFonts w:hint="eastAsia"/>
          <w:color w:val="auto"/>
          <w:sz w:val="24"/>
          <w:szCs w:val="24"/>
          <w:lang w:val="en-US" w:eastAsia="zh-CN"/>
        </w:rPr>
        <w:t>.须</w:t>
      </w:r>
      <w:r>
        <w:rPr>
          <w:rFonts w:hint="eastAsia"/>
          <w:color w:val="auto"/>
          <w:sz w:val="24"/>
          <w:szCs w:val="24"/>
          <w:lang w:eastAsia="zh-CN"/>
        </w:rPr>
        <w:t>具有履行合同所必须的设备和专业技术能力</w:t>
      </w:r>
      <w:r>
        <w:rPr>
          <w:rFonts w:hint="eastAsia"/>
          <w:color w:val="auto"/>
          <w:sz w:val="24"/>
          <w:szCs w:val="24"/>
          <w:lang w:val="en-US" w:eastAsia="zh-CN"/>
        </w:rPr>
        <w:t>的承诺函。</w:t>
      </w:r>
    </w:p>
    <w:p>
      <w:pPr>
        <w:rPr>
          <w:rFonts w:hint="eastAsia"/>
          <w:color w:val="auto"/>
          <w:sz w:val="24"/>
          <w:szCs w:val="24"/>
          <w:lang w:val="en-US" w:eastAsia="zh-CN"/>
        </w:rPr>
      </w:pPr>
      <w:r>
        <w:rPr>
          <w:rFonts w:hint="eastAsia"/>
          <w:color w:val="auto"/>
          <w:sz w:val="24"/>
          <w:szCs w:val="24"/>
          <w:lang w:eastAsia="zh-CN"/>
        </w:rPr>
        <w:t>1</w:t>
      </w:r>
      <w:r>
        <w:rPr>
          <w:rFonts w:hint="default"/>
          <w:color w:val="auto"/>
          <w:sz w:val="24"/>
          <w:szCs w:val="24"/>
          <w:lang w:eastAsia="zh-CN"/>
        </w:rPr>
        <w:t>1</w:t>
      </w:r>
      <w:r>
        <w:rPr>
          <w:rFonts w:hint="eastAsia"/>
          <w:color w:val="auto"/>
          <w:sz w:val="24"/>
          <w:szCs w:val="24"/>
          <w:lang w:val="en-US" w:eastAsia="zh-CN"/>
        </w:rPr>
        <w:t>.投标单位须为中小企业，提供</w:t>
      </w:r>
      <w:r>
        <w:rPr>
          <w:rFonts w:hint="eastAsia"/>
          <w:color w:val="auto"/>
          <w:sz w:val="24"/>
          <w:szCs w:val="24"/>
          <w:lang w:eastAsia="zh-CN"/>
        </w:rPr>
        <w:t>《</w:t>
      </w:r>
      <w:r>
        <w:rPr>
          <w:rFonts w:hint="eastAsia"/>
          <w:color w:val="auto"/>
          <w:sz w:val="24"/>
          <w:szCs w:val="24"/>
          <w:lang w:val="en-US" w:eastAsia="zh-CN"/>
        </w:rPr>
        <w:t>中小企业声明函</w:t>
      </w:r>
      <w:r>
        <w:rPr>
          <w:rFonts w:hint="eastAsia"/>
          <w:color w:val="auto"/>
          <w:sz w:val="24"/>
          <w:szCs w:val="24"/>
          <w:lang w:eastAsia="zh-CN"/>
        </w:rPr>
        <w:t>》。</w:t>
      </w:r>
      <w:r>
        <w:rPr>
          <w:rFonts w:hint="eastAsia"/>
          <w:color w:val="auto"/>
          <w:sz w:val="24"/>
          <w:szCs w:val="24"/>
          <w:lang w:val="en-US" w:eastAsia="zh-CN"/>
        </w:rPr>
        <w:t xml:space="preserve">        </w:t>
      </w:r>
    </w:p>
    <w:p>
      <w:pPr>
        <w:rPr>
          <w:rFonts w:hint="eastAsia"/>
          <w:color w:val="auto"/>
          <w:sz w:val="24"/>
          <w:szCs w:val="24"/>
          <w:lang w:eastAsia="zh-CN"/>
        </w:rPr>
      </w:pPr>
      <w:r>
        <w:rPr>
          <w:rFonts w:hint="eastAsia"/>
          <w:color w:val="auto"/>
          <w:sz w:val="24"/>
          <w:szCs w:val="24"/>
          <w:lang w:val="en-US" w:eastAsia="zh-CN"/>
        </w:rPr>
        <w:t>1</w:t>
      </w:r>
      <w:r>
        <w:rPr>
          <w:rFonts w:hint="default"/>
          <w:color w:val="auto"/>
          <w:sz w:val="24"/>
          <w:szCs w:val="24"/>
          <w:lang w:eastAsia="zh-CN"/>
        </w:rPr>
        <w:t>2</w:t>
      </w:r>
      <w:r>
        <w:rPr>
          <w:rFonts w:hint="eastAsia"/>
          <w:color w:val="auto"/>
          <w:sz w:val="24"/>
          <w:szCs w:val="24"/>
          <w:lang w:val="en-US" w:eastAsia="zh-CN"/>
        </w:rPr>
        <w:t>.</w:t>
      </w:r>
      <w:r>
        <w:rPr>
          <w:rFonts w:hint="eastAsia"/>
          <w:color w:val="auto"/>
          <w:sz w:val="24"/>
          <w:szCs w:val="24"/>
          <w:lang w:eastAsia="zh-CN"/>
        </w:rPr>
        <w:t>参加政府采购活动前3年内在经营活动中没有重大违法记录的书面声明。</w:t>
      </w:r>
    </w:p>
    <w:p>
      <w:pPr>
        <w:rPr>
          <w:rFonts w:hint="eastAsia" w:ascii="Times New Roman" w:hAnsi="Times New Roman" w:cs="Times New Roman"/>
          <w:color w:val="auto"/>
          <w:sz w:val="24"/>
          <w:szCs w:val="24"/>
          <w:lang w:val="en-US" w:eastAsia="zh-CN"/>
        </w:rPr>
      </w:pPr>
      <w:r>
        <w:rPr>
          <w:rFonts w:hint="eastAsia"/>
          <w:color w:val="auto"/>
          <w:sz w:val="24"/>
          <w:szCs w:val="24"/>
          <w:lang w:val="en-US" w:eastAsia="zh-CN"/>
        </w:rPr>
        <w:t>1</w:t>
      </w:r>
      <w:r>
        <w:rPr>
          <w:rFonts w:hint="default"/>
          <w:color w:val="auto"/>
          <w:sz w:val="24"/>
          <w:szCs w:val="24"/>
          <w:lang w:eastAsia="zh-CN"/>
        </w:rPr>
        <w:t>3</w:t>
      </w:r>
      <w:r>
        <w:rPr>
          <w:rFonts w:hint="eastAsia"/>
          <w:color w:val="auto"/>
          <w:sz w:val="24"/>
          <w:szCs w:val="24"/>
          <w:lang w:val="en-US" w:eastAsia="zh-CN"/>
        </w:rPr>
        <w:t>.</w:t>
      </w:r>
      <w:r>
        <w:rPr>
          <w:rFonts w:hint="eastAsia"/>
          <w:color w:val="auto"/>
          <w:sz w:val="24"/>
          <w:szCs w:val="24"/>
          <w:lang w:eastAsia="zh-CN"/>
        </w:rPr>
        <w:t>凡拟参加本次招标项目的供应商，如在“信用中国”网站（www.creditchina.gov.cn）和中国政府采购网（www.ccgp.gov.cn）被列入失信被执行人、税收违法黑名单、政府采购严重违法失信行为记录名单的（尚在处罚期内的），将拒绝其参本次采购活动。</w:t>
      </w:r>
      <w:r>
        <w:rPr>
          <w:rFonts w:hint="eastAsia" w:ascii="Times New Roman" w:hAnsi="Times New Roman" w:cs="Times New Roman"/>
          <w:color w:val="auto"/>
          <w:sz w:val="24"/>
          <w:szCs w:val="24"/>
          <w:lang w:val="en-US" w:eastAsia="zh-CN"/>
        </w:rPr>
        <w:t>（网页打印件须自招标文件发布之日起至首次提交投标文件截止时间内从上述网站中打印）</w:t>
      </w:r>
    </w:p>
    <w:p>
      <w:pPr>
        <w:rPr>
          <w:rFonts w:hint="eastAsia"/>
          <w:sz w:val="24"/>
          <w:szCs w:val="24"/>
          <w:lang w:eastAsia="zh-CN"/>
        </w:rPr>
      </w:pPr>
      <w:r>
        <w:rPr>
          <w:rFonts w:hint="eastAsia"/>
          <w:sz w:val="24"/>
          <w:szCs w:val="24"/>
          <w:lang w:val="en-US" w:eastAsia="zh-CN"/>
        </w:rPr>
        <w:t>1</w:t>
      </w:r>
      <w:r>
        <w:rPr>
          <w:rFonts w:hint="default"/>
          <w:sz w:val="24"/>
          <w:szCs w:val="24"/>
          <w:lang w:eastAsia="zh-CN"/>
        </w:rPr>
        <w:t>4</w:t>
      </w:r>
      <w:r>
        <w:rPr>
          <w:rFonts w:hint="eastAsia"/>
          <w:sz w:val="24"/>
          <w:szCs w:val="24"/>
          <w:lang w:val="en-US" w:eastAsia="zh-CN"/>
        </w:rPr>
        <w:t>.</w:t>
      </w:r>
      <w:r>
        <w:rPr>
          <w:rFonts w:hint="eastAsia"/>
          <w:sz w:val="24"/>
          <w:szCs w:val="24"/>
          <w:lang w:eastAsia="zh-CN"/>
        </w:rPr>
        <w:t>落实政府采购政策需满足的资格要求：</w:t>
      </w:r>
      <w:r>
        <w:rPr>
          <w:rFonts w:hint="eastAsia"/>
          <w:sz w:val="24"/>
          <w:szCs w:val="24"/>
          <w:lang w:val="en-US" w:eastAsia="zh-CN"/>
        </w:rPr>
        <w:t>本项目专门面向中小微企业</w:t>
      </w:r>
      <w:r>
        <w:rPr>
          <w:rFonts w:hint="eastAsia"/>
          <w:sz w:val="24"/>
          <w:szCs w:val="24"/>
          <w:lang w:eastAsia="zh-CN"/>
        </w:rPr>
        <w:t>。</w:t>
      </w:r>
    </w:p>
    <w:p>
      <w:pPr>
        <w:rPr>
          <w:rFonts w:hint="eastAsia"/>
          <w:sz w:val="24"/>
          <w:szCs w:val="24"/>
        </w:rPr>
      </w:pPr>
      <w:r>
        <w:rPr>
          <w:rFonts w:hint="eastAsia"/>
          <w:sz w:val="24"/>
          <w:szCs w:val="24"/>
          <w:lang w:val="en-US" w:eastAsia="zh-CN"/>
        </w:rPr>
        <w:t>1</w:t>
      </w:r>
      <w:r>
        <w:rPr>
          <w:rFonts w:hint="default"/>
          <w:sz w:val="24"/>
          <w:szCs w:val="24"/>
          <w:lang w:eastAsia="zh-CN"/>
        </w:rPr>
        <w:t>5</w:t>
      </w:r>
      <w:r>
        <w:rPr>
          <w:rFonts w:hint="eastAsia"/>
          <w:sz w:val="24"/>
          <w:szCs w:val="24"/>
          <w:lang w:val="en-US" w:eastAsia="zh-CN"/>
        </w:rPr>
        <w:t>.</w:t>
      </w:r>
      <w:r>
        <w:rPr>
          <w:rFonts w:hint="eastAsia"/>
          <w:sz w:val="24"/>
          <w:szCs w:val="24"/>
        </w:rPr>
        <w:t>本项目不接受联合体投标。</w:t>
      </w:r>
    </w:p>
    <w:p>
      <w:pPr>
        <w:rPr>
          <w:b/>
          <w:bCs/>
          <w:sz w:val="24"/>
          <w:szCs w:val="24"/>
        </w:rPr>
      </w:pPr>
      <w:r>
        <w:rPr>
          <w:rFonts w:hint="eastAsia"/>
          <w:b/>
          <w:bCs/>
          <w:sz w:val="24"/>
          <w:szCs w:val="24"/>
          <w:lang w:val="en-US" w:eastAsia="zh-CN"/>
        </w:rPr>
        <w:t>1</w:t>
      </w:r>
      <w:r>
        <w:rPr>
          <w:rFonts w:hint="default"/>
          <w:b/>
          <w:bCs/>
          <w:sz w:val="24"/>
          <w:szCs w:val="24"/>
          <w:lang w:eastAsia="zh-CN"/>
        </w:rPr>
        <w:t>6</w:t>
      </w:r>
      <w:r>
        <w:rPr>
          <w:rFonts w:hint="eastAsia"/>
          <w:b/>
          <w:bCs/>
          <w:sz w:val="24"/>
          <w:szCs w:val="24"/>
          <w:lang w:val="en-US" w:eastAsia="zh-CN"/>
        </w:rPr>
        <w:t>.</w:t>
      </w:r>
      <w:r>
        <w:rPr>
          <w:rFonts w:hint="eastAsia"/>
          <w:b/>
          <w:bCs/>
          <w:sz w:val="24"/>
          <w:szCs w:val="24"/>
        </w:rPr>
        <w:t>投标符合谈判文件规定的技术响应文件</w:t>
      </w:r>
      <w:bookmarkEnd w:id="24"/>
    </w:p>
    <w:p>
      <w:pPr>
        <w:rPr>
          <w:sz w:val="24"/>
          <w:szCs w:val="24"/>
        </w:rPr>
      </w:pPr>
      <w:r>
        <w:rPr>
          <w:rFonts w:hint="default"/>
          <w:sz w:val="24"/>
          <w:szCs w:val="24"/>
        </w:rPr>
        <w:t>16</w:t>
      </w:r>
      <w:r>
        <w:rPr>
          <w:rFonts w:hint="eastAsia"/>
          <w:sz w:val="24"/>
          <w:szCs w:val="24"/>
          <w:lang w:val="en-US" w:eastAsia="zh-Hans"/>
        </w:rPr>
        <w:t>.</w:t>
      </w:r>
      <w:r>
        <w:rPr>
          <w:rFonts w:hint="default"/>
          <w:sz w:val="24"/>
          <w:szCs w:val="24"/>
          <w:lang w:eastAsia="zh-Hans"/>
        </w:rPr>
        <w:t>1</w:t>
      </w:r>
      <w:r>
        <w:rPr>
          <w:rFonts w:hint="eastAsia"/>
          <w:sz w:val="24"/>
          <w:szCs w:val="24"/>
        </w:rPr>
        <w:t>供应商须提交证明拟供货物和服务符合谈判文件规定的技术响应文件，作为谈判相应文件的一部分。</w:t>
      </w:r>
    </w:p>
    <w:p>
      <w:pPr>
        <w:rPr>
          <w:sz w:val="24"/>
          <w:szCs w:val="24"/>
        </w:rPr>
      </w:pPr>
      <w:r>
        <w:rPr>
          <w:rFonts w:hint="default"/>
          <w:sz w:val="24"/>
          <w:szCs w:val="24"/>
        </w:rPr>
        <w:t>16</w:t>
      </w:r>
      <w:r>
        <w:rPr>
          <w:rFonts w:hint="eastAsia"/>
          <w:sz w:val="24"/>
          <w:szCs w:val="24"/>
          <w:lang w:val="en-US" w:eastAsia="zh-Hans"/>
        </w:rPr>
        <w:t>.</w:t>
      </w:r>
      <w:r>
        <w:rPr>
          <w:rFonts w:hint="default"/>
          <w:sz w:val="24"/>
          <w:szCs w:val="24"/>
          <w:lang w:eastAsia="zh-Hans"/>
        </w:rPr>
        <w:t>2</w:t>
      </w:r>
      <w:r>
        <w:rPr>
          <w:rFonts w:hint="eastAsia"/>
          <w:sz w:val="24"/>
          <w:szCs w:val="24"/>
        </w:rPr>
        <w:t>没有按要求提供资料或提供资料不完全，将是对招标没有作出实质性响应，其风险由供应商自行承担。</w:t>
      </w:r>
    </w:p>
    <w:p>
      <w:pPr>
        <w:rPr>
          <w:b/>
          <w:bCs/>
          <w:sz w:val="24"/>
          <w:szCs w:val="24"/>
        </w:rPr>
      </w:pPr>
      <w:bookmarkStart w:id="25" w:name="_Toc182131604"/>
      <w:r>
        <w:rPr>
          <w:rFonts w:hint="eastAsia"/>
          <w:b/>
          <w:bCs/>
          <w:sz w:val="24"/>
          <w:szCs w:val="24"/>
          <w:lang w:val="en-US" w:eastAsia="zh-CN"/>
        </w:rPr>
        <w:t>17.</w:t>
      </w:r>
      <w:r>
        <w:rPr>
          <w:rFonts w:hint="eastAsia"/>
          <w:b/>
          <w:bCs/>
          <w:sz w:val="24"/>
          <w:szCs w:val="24"/>
        </w:rPr>
        <w:t>投标的有效期</w:t>
      </w:r>
      <w:bookmarkEnd w:id="25"/>
    </w:p>
    <w:p>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pPr>
        <w:rPr>
          <w:sz w:val="24"/>
          <w:szCs w:val="24"/>
        </w:rPr>
      </w:pPr>
      <w:r>
        <w:rPr>
          <w:sz w:val="24"/>
          <w:szCs w:val="24"/>
        </w:rPr>
        <w:t>17.2</w:t>
      </w:r>
      <w:r>
        <w:rPr>
          <w:rFonts w:hint="eastAsia"/>
          <w:sz w:val="24"/>
          <w:szCs w:val="24"/>
        </w:rPr>
        <w:t>在特殊情况下，招标机构可与供应商商量延长谈判相应文件的有效期。</w:t>
      </w:r>
    </w:p>
    <w:p>
      <w:pPr>
        <w:rPr>
          <w:rFonts w:hint="eastAsia" w:ascii="Times New Roman" w:hAnsi="Times New Roman" w:cs="Times New Roman"/>
          <w:b/>
          <w:bCs/>
          <w:sz w:val="24"/>
          <w:szCs w:val="24"/>
          <w:lang w:val="en-US" w:eastAsia="zh-CN"/>
        </w:rPr>
      </w:pPr>
      <w:bookmarkStart w:id="26" w:name="_Toc182131605"/>
      <w:r>
        <w:rPr>
          <w:rFonts w:hint="eastAsia" w:ascii="Times New Roman" w:hAnsi="Times New Roman" w:cs="Times New Roman"/>
          <w:b/>
          <w:bCs/>
          <w:sz w:val="24"/>
          <w:szCs w:val="24"/>
          <w:lang w:val="en-US" w:eastAsia="zh-CN"/>
        </w:rPr>
        <w:t>18.谈判响应文件的书写要求</w:t>
      </w:r>
      <w:bookmarkEnd w:id="26"/>
    </w:p>
    <w:p>
      <w:pPr>
        <w:rPr>
          <w:sz w:val="24"/>
          <w:szCs w:val="24"/>
        </w:rPr>
      </w:pPr>
      <w:r>
        <w:rPr>
          <w:sz w:val="24"/>
          <w:szCs w:val="24"/>
        </w:rPr>
        <w:t xml:space="preserve">18.1 </w:t>
      </w:r>
      <w:r>
        <w:rPr>
          <w:rFonts w:hint="eastAsia"/>
          <w:sz w:val="24"/>
          <w:szCs w:val="24"/>
        </w:rPr>
        <w:t>谈判响应文件须打印。</w:t>
      </w:r>
    </w:p>
    <w:p>
      <w:pPr>
        <w:rPr>
          <w:sz w:val="24"/>
          <w:szCs w:val="24"/>
        </w:rPr>
      </w:pPr>
      <w:r>
        <w:rPr>
          <w:sz w:val="24"/>
          <w:szCs w:val="24"/>
        </w:rPr>
        <w:t xml:space="preserve">18.2 </w:t>
      </w:r>
      <w:r>
        <w:rPr>
          <w:rFonts w:hint="eastAsia"/>
          <w:sz w:val="24"/>
          <w:szCs w:val="24"/>
        </w:rPr>
        <w:t>谈判响应文件应清楚工整，修改处应由投标全权代表签章。</w:t>
      </w:r>
    </w:p>
    <w:p>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pPr>
        <w:rPr>
          <w:sz w:val="24"/>
          <w:szCs w:val="24"/>
        </w:rPr>
      </w:pPr>
      <w:r>
        <w:rPr>
          <w:sz w:val="24"/>
          <w:szCs w:val="24"/>
        </w:rPr>
        <w:t>18.4</w:t>
      </w:r>
      <w:r>
        <w:rPr>
          <w:rFonts w:hint="eastAsia"/>
          <w:sz w:val="24"/>
          <w:szCs w:val="24"/>
        </w:rPr>
        <w:t>电报、电话、传真形式的投标概不接受。</w:t>
      </w:r>
    </w:p>
    <w:p>
      <w:pPr>
        <w:rPr>
          <w:sz w:val="24"/>
          <w:szCs w:val="24"/>
        </w:rPr>
      </w:pPr>
      <w:r>
        <w:rPr>
          <w:sz w:val="24"/>
          <w:szCs w:val="24"/>
        </w:rPr>
        <w:t>18.5</w:t>
      </w:r>
      <w:r>
        <w:rPr>
          <w:rFonts w:hint="eastAsia"/>
          <w:sz w:val="24"/>
          <w:szCs w:val="24"/>
        </w:rPr>
        <w:t>谈判相应文件的份数：一式肆份。正本壹份，副本叁份。</w:t>
      </w:r>
    </w:p>
    <w:p>
      <w:pPr>
        <w:rPr>
          <w:b/>
          <w:bCs/>
          <w:sz w:val="24"/>
          <w:szCs w:val="24"/>
        </w:rPr>
      </w:pPr>
      <w:r>
        <w:rPr>
          <w:rFonts w:hint="eastAsia"/>
          <w:b/>
          <w:bCs/>
          <w:sz w:val="24"/>
          <w:szCs w:val="24"/>
          <w:lang w:val="en-US" w:eastAsia="zh-CN"/>
        </w:rPr>
        <w:t>19.</w:t>
      </w:r>
      <w:r>
        <w:rPr>
          <w:rFonts w:hint="eastAsia"/>
          <w:b/>
          <w:bCs/>
          <w:sz w:val="24"/>
          <w:szCs w:val="24"/>
        </w:rPr>
        <w:t>谈判保证金</w:t>
      </w:r>
    </w:p>
    <w:p>
      <w:pPr>
        <w:rPr>
          <w:sz w:val="24"/>
          <w:szCs w:val="24"/>
        </w:rPr>
      </w:pPr>
      <w:r>
        <w:rPr>
          <w:sz w:val="24"/>
          <w:szCs w:val="24"/>
        </w:rPr>
        <w:t>19.1</w:t>
      </w:r>
      <w:r>
        <w:rPr>
          <w:rFonts w:hint="eastAsia"/>
          <w:sz w:val="24"/>
          <w:szCs w:val="24"/>
        </w:rPr>
        <w:t>供应商按照供应商须知前附表规定的金额，于投标截止时间前向采购代理机构交纳谈判保证金。</w:t>
      </w:r>
    </w:p>
    <w:p>
      <w:pPr>
        <w:rPr>
          <w:sz w:val="24"/>
          <w:szCs w:val="24"/>
        </w:rPr>
      </w:pPr>
      <w:r>
        <w:rPr>
          <w:sz w:val="24"/>
          <w:szCs w:val="24"/>
        </w:rPr>
        <w:t>19.2</w:t>
      </w:r>
      <w:r>
        <w:rPr>
          <w:rFonts w:hint="eastAsia"/>
          <w:sz w:val="24"/>
          <w:szCs w:val="24"/>
        </w:rPr>
        <w:t>本招标可接受电汇作为谈判保证金，谈判保证金有效期应当与谈判响应有效期一致。</w:t>
      </w:r>
    </w:p>
    <w:p>
      <w:pPr>
        <w:rPr>
          <w:rFonts w:hint="eastAsia"/>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w:t>
      </w:r>
    </w:p>
    <w:p>
      <w:pPr>
        <w:rPr>
          <w:sz w:val="24"/>
          <w:szCs w:val="24"/>
        </w:rPr>
      </w:pPr>
      <w:r>
        <w:rPr>
          <w:sz w:val="24"/>
          <w:szCs w:val="24"/>
        </w:rPr>
        <w:t>19.4</w:t>
      </w:r>
      <w:r>
        <w:rPr>
          <w:rFonts w:hint="eastAsia"/>
          <w:sz w:val="24"/>
          <w:szCs w:val="24"/>
        </w:rPr>
        <w:t>未按规定提交谈判保证金的投标，将被视为投标无效。</w:t>
      </w:r>
    </w:p>
    <w:p>
      <w:pPr>
        <w:rPr>
          <w:sz w:val="24"/>
          <w:szCs w:val="24"/>
        </w:rPr>
      </w:pPr>
      <w:r>
        <w:rPr>
          <w:sz w:val="24"/>
          <w:szCs w:val="24"/>
        </w:rPr>
        <w:t>19.5</w:t>
      </w:r>
      <w:r>
        <w:rPr>
          <w:rFonts w:hint="eastAsia"/>
          <w:sz w:val="24"/>
          <w:szCs w:val="24"/>
        </w:rPr>
        <w:t>下列任何情况发生时，谈判保证金将被没收</w:t>
      </w:r>
    </w:p>
    <w:p>
      <w:pPr>
        <w:rPr>
          <w:sz w:val="24"/>
          <w:szCs w:val="24"/>
        </w:rPr>
      </w:pPr>
      <w:r>
        <w:rPr>
          <w:sz w:val="24"/>
          <w:szCs w:val="24"/>
        </w:rPr>
        <w:t>19.5.1</w:t>
      </w:r>
      <w:r>
        <w:rPr>
          <w:rFonts w:hint="eastAsia"/>
          <w:sz w:val="24"/>
          <w:szCs w:val="24"/>
        </w:rPr>
        <w:t>供应商在谈判文件规定的投标有效期内撤回其投标；</w:t>
      </w:r>
    </w:p>
    <w:p>
      <w:pPr>
        <w:rPr>
          <w:sz w:val="24"/>
          <w:szCs w:val="24"/>
        </w:rPr>
      </w:pPr>
      <w:r>
        <w:rPr>
          <w:sz w:val="24"/>
          <w:szCs w:val="24"/>
        </w:rPr>
        <w:t>19.5.2</w:t>
      </w:r>
      <w:r>
        <w:rPr>
          <w:rFonts w:hint="eastAsia"/>
          <w:sz w:val="24"/>
          <w:szCs w:val="24"/>
        </w:rPr>
        <w:t>成交方在规定期限内未能：</w:t>
      </w:r>
    </w:p>
    <w:p>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pPr>
        <w:rPr>
          <w:rFonts w:hint="eastAsia"/>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pPr>
        <w:pStyle w:val="20"/>
      </w:pPr>
    </w:p>
    <w:p>
      <w:pPr>
        <w:pStyle w:val="7"/>
        <w:jc w:val="center"/>
      </w:pPr>
      <w:bookmarkStart w:id="27" w:name="_Toc9358"/>
      <w:bookmarkStart w:id="28" w:name="_Toc182131607"/>
      <w:r>
        <w:t xml:space="preserve">D </w:t>
      </w:r>
      <w:r>
        <w:rPr>
          <w:rFonts w:hint="eastAsia"/>
        </w:rPr>
        <w:t>谈判响应文件的递交</w:t>
      </w:r>
      <w:bookmarkEnd w:id="27"/>
      <w:bookmarkEnd w:id="28"/>
    </w:p>
    <w:p>
      <w:pPr>
        <w:rPr>
          <w:sz w:val="24"/>
          <w:szCs w:val="24"/>
        </w:rPr>
      </w:pPr>
      <w:bookmarkStart w:id="29" w:name="_Toc182131608"/>
      <w:r>
        <w:rPr>
          <w:rFonts w:hint="eastAsia"/>
          <w:sz w:val="24"/>
          <w:szCs w:val="24"/>
        </w:rPr>
        <w:t>谈判相应文件的密封与标记</w:t>
      </w:r>
      <w:bookmarkEnd w:id="29"/>
    </w:p>
    <w:p>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pPr>
        <w:rPr>
          <w:sz w:val="24"/>
          <w:szCs w:val="24"/>
        </w:rPr>
      </w:pPr>
      <w:r>
        <w:rPr>
          <w:sz w:val="24"/>
          <w:szCs w:val="24"/>
        </w:rPr>
        <w:t xml:space="preserve">20.2 </w:t>
      </w:r>
      <w:r>
        <w:rPr>
          <w:rFonts w:hint="eastAsia"/>
          <w:sz w:val="24"/>
          <w:szCs w:val="24"/>
        </w:rPr>
        <w:t>谈判相应文件袋上应写明：</w:t>
      </w:r>
    </w:p>
    <w:p>
      <w:pPr>
        <w:rPr>
          <w:rFonts w:hint="eastAsia" w:eastAsia="宋体"/>
          <w:sz w:val="24"/>
          <w:szCs w:val="24"/>
          <w:lang w:eastAsia="zh-CN"/>
        </w:rPr>
      </w:pPr>
      <w:r>
        <w:rPr>
          <w:rFonts w:hint="eastAsia"/>
          <w:sz w:val="24"/>
          <w:szCs w:val="24"/>
        </w:rPr>
        <w:t>采购代理：</w:t>
      </w:r>
      <w:r>
        <w:rPr>
          <w:rFonts w:hint="eastAsia"/>
          <w:sz w:val="24"/>
          <w:szCs w:val="24"/>
          <w:lang w:eastAsia="zh-CN"/>
        </w:rPr>
        <w:t>华诚博远工程咨询有限公司</w:t>
      </w:r>
    </w:p>
    <w:p>
      <w:pPr>
        <w:rPr>
          <w:sz w:val="24"/>
          <w:szCs w:val="24"/>
        </w:rPr>
      </w:pPr>
      <w:r>
        <w:rPr>
          <w:rFonts w:hint="eastAsia"/>
          <w:sz w:val="24"/>
          <w:szCs w:val="24"/>
        </w:rPr>
        <w:t>项目名称：</w:t>
      </w:r>
      <w:r>
        <w:rPr>
          <w:sz w:val="24"/>
          <w:szCs w:val="24"/>
        </w:rPr>
        <w:t xml:space="preserve"> </w:t>
      </w:r>
    </w:p>
    <w:p>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pPr>
        <w:rPr>
          <w:sz w:val="24"/>
          <w:szCs w:val="24"/>
        </w:rPr>
      </w:pPr>
      <w:r>
        <w:rPr>
          <w:rFonts w:hint="eastAsia"/>
          <w:sz w:val="24"/>
          <w:szCs w:val="24"/>
        </w:rPr>
        <w:t>谈判单位名称：</w:t>
      </w:r>
      <w:r>
        <w:rPr>
          <w:sz w:val="24"/>
          <w:szCs w:val="24"/>
          <w:u w:val="single"/>
        </w:rPr>
        <w:t xml:space="preserve">            </w:t>
      </w:r>
    </w:p>
    <w:p>
      <w:pPr>
        <w:rPr>
          <w:sz w:val="24"/>
          <w:szCs w:val="24"/>
        </w:rPr>
      </w:pPr>
      <w:r>
        <w:rPr>
          <w:sz w:val="24"/>
          <w:szCs w:val="24"/>
        </w:rPr>
        <w:t>20.3</w:t>
      </w:r>
      <w:r>
        <w:rPr>
          <w:rFonts w:hint="eastAsia"/>
          <w:sz w:val="24"/>
          <w:szCs w:val="24"/>
        </w:rPr>
        <w:t>为方便谈判，供应商须将正本</w:t>
      </w:r>
      <w:r>
        <w:rPr>
          <w:rFonts w:hint="eastAsia"/>
          <w:sz w:val="24"/>
          <w:szCs w:val="24"/>
          <w:lang w:eastAsia="zh-CN"/>
        </w:rPr>
        <w:t>的投标书</w:t>
      </w:r>
      <w:r>
        <w:rPr>
          <w:rFonts w:hint="eastAsia"/>
          <w:sz w:val="24"/>
          <w:szCs w:val="24"/>
        </w:rPr>
        <w:t>、谈判一览表单独密封，并在信封上标明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pPr>
        <w:rPr>
          <w:sz w:val="24"/>
          <w:szCs w:val="24"/>
        </w:rPr>
      </w:pPr>
      <w:r>
        <w:rPr>
          <w:sz w:val="24"/>
          <w:szCs w:val="24"/>
        </w:rPr>
        <w:t>20.4</w:t>
      </w:r>
      <w:r>
        <w:rPr>
          <w:rFonts w:hint="eastAsia"/>
          <w:sz w:val="24"/>
          <w:szCs w:val="24"/>
        </w:rPr>
        <w:t>谈判文件装订要求：谈判响应文件要求不得活页装订。</w:t>
      </w:r>
    </w:p>
    <w:p>
      <w:pPr>
        <w:rPr>
          <w:sz w:val="24"/>
          <w:szCs w:val="24"/>
        </w:rPr>
      </w:pPr>
      <w:bookmarkStart w:id="30" w:name="_Toc182131609"/>
      <w:r>
        <w:rPr>
          <w:rFonts w:hint="eastAsia"/>
          <w:sz w:val="24"/>
          <w:szCs w:val="24"/>
        </w:rPr>
        <w:t>谈判截止时间</w:t>
      </w:r>
      <w:bookmarkEnd w:id="30"/>
    </w:p>
    <w:p>
      <w:pPr>
        <w:rPr>
          <w:rFonts w:hint="eastAsia"/>
          <w:color w:val="auto"/>
          <w:sz w:val="24"/>
          <w:szCs w:val="24"/>
        </w:rPr>
      </w:pPr>
      <w:r>
        <w:rPr>
          <w:sz w:val="24"/>
          <w:szCs w:val="24"/>
        </w:rPr>
        <w:t xml:space="preserve">21.1 </w:t>
      </w:r>
      <w:r>
        <w:rPr>
          <w:rFonts w:hint="eastAsia"/>
          <w:sz w:val="24"/>
          <w:szCs w:val="24"/>
        </w:rPr>
        <w:t>谈判响应文件的递交不得迟于</w:t>
      </w:r>
      <w:r>
        <w:rPr>
          <w:color w:val="auto"/>
          <w:sz w:val="24"/>
          <w:szCs w:val="24"/>
        </w:rPr>
        <w:t>202</w:t>
      </w:r>
      <w:r>
        <w:rPr>
          <w:rFonts w:hint="eastAsia"/>
          <w:color w:val="auto"/>
          <w:sz w:val="24"/>
          <w:szCs w:val="24"/>
          <w:lang w:val="en-US" w:eastAsia="zh-CN"/>
        </w:rPr>
        <w:t>3</w:t>
      </w:r>
      <w:r>
        <w:rPr>
          <w:rFonts w:hint="eastAsia"/>
          <w:color w:val="auto"/>
          <w:sz w:val="24"/>
          <w:szCs w:val="24"/>
        </w:rPr>
        <w:t>年</w:t>
      </w:r>
      <w:r>
        <w:rPr>
          <w:rFonts w:hint="default"/>
          <w:color w:val="auto"/>
          <w:sz w:val="24"/>
          <w:szCs w:val="24"/>
        </w:rPr>
        <w:t>1</w:t>
      </w:r>
      <w:r>
        <w:rPr>
          <w:rFonts w:hint="eastAsia"/>
          <w:color w:val="auto"/>
          <w:sz w:val="24"/>
          <w:szCs w:val="24"/>
        </w:rPr>
        <w:t>月</w:t>
      </w:r>
      <w:r>
        <w:rPr>
          <w:rFonts w:hint="eastAsia"/>
          <w:color w:val="auto"/>
          <w:sz w:val="24"/>
          <w:szCs w:val="24"/>
          <w:lang w:val="en-US" w:eastAsia="zh-CN"/>
        </w:rPr>
        <w:t>10</w:t>
      </w:r>
      <w:r>
        <w:rPr>
          <w:rFonts w:hint="eastAsia"/>
          <w:color w:val="auto"/>
          <w:sz w:val="24"/>
          <w:szCs w:val="24"/>
        </w:rPr>
        <w:t>日</w:t>
      </w:r>
      <w:r>
        <w:rPr>
          <w:rFonts w:hint="eastAsia"/>
          <w:color w:val="auto"/>
          <w:sz w:val="24"/>
          <w:szCs w:val="24"/>
          <w:lang w:eastAsia="zh-CN"/>
        </w:rPr>
        <w:t>下午</w:t>
      </w:r>
      <w:r>
        <w:rPr>
          <w:color w:val="auto"/>
          <w:sz w:val="24"/>
          <w:szCs w:val="24"/>
        </w:rPr>
        <w:t>1</w:t>
      </w:r>
      <w:r>
        <w:rPr>
          <w:rFonts w:hint="eastAsia"/>
          <w:color w:val="auto"/>
          <w:sz w:val="24"/>
          <w:szCs w:val="24"/>
          <w:lang w:val="en-US" w:eastAsia="zh-CN"/>
        </w:rPr>
        <w:t>6</w:t>
      </w:r>
      <w:r>
        <w:rPr>
          <w:rFonts w:hint="eastAsia"/>
          <w:color w:val="auto"/>
          <w:sz w:val="24"/>
          <w:szCs w:val="24"/>
          <w:lang w:val="en-US" w:eastAsia="zh-Hans"/>
        </w:rPr>
        <w:t>时</w:t>
      </w:r>
      <w:r>
        <w:rPr>
          <w:rFonts w:hint="default"/>
          <w:color w:val="auto"/>
          <w:sz w:val="24"/>
          <w:szCs w:val="24"/>
          <w:lang w:eastAsia="zh-Hans"/>
        </w:rPr>
        <w:t>0</w:t>
      </w:r>
      <w:r>
        <w:rPr>
          <w:rFonts w:hint="eastAsia"/>
          <w:color w:val="auto"/>
          <w:sz w:val="24"/>
          <w:szCs w:val="24"/>
          <w:lang w:val="en-US" w:eastAsia="zh-CN"/>
        </w:rPr>
        <w:t>0</w:t>
      </w:r>
      <w:r>
        <w:rPr>
          <w:rFonts w:hint="eastAsia"/>
          <w:color w:val="auto"/>
          <w:sz w:val="24"/>
          <w:szCs w:val="24"/>
          <w:lang w:val="en-US" w:eastAsia="zh-Hans"/>
        </w:rPr>
        <w:t>分</w:t>
      </w:r>
      <w:r>
        <w:rPr>
          <w:rFonts w:hint="eastAsia"/>
          <w:color w:val="auto"/>
          <w:sz w:val="24"/>
          <w:szCs w:val="24"/>
        </w:rPr>
        <w:t>（北京时间）。</w:t>
      </w:r>
    </w:p>
    <w:p>
      <w:pPr>
        <w:rPr>
          <w:rFonts w:hint="eastAsia" w:ascii="宋体" w:hAnsi="宋体"/>
          <w:color w:val="auto"/>
          <w:sz w:val="24"/>
          <w:szCs w:val="24"/>
          <w:highlight w:val="none"/>
          <w:lang w:val="en-US" w:eastAsia="zh-CN"/>
        </w:rPr>
      </w:pPr>
      <w:r>
        <w:rPr>
          <w:rFonts w:hint="eastAsia"/>
          <w:color w:val="auto"/>
          <w:sz w:val="24"/>
          <w:szCs w:val="24"/>
          <w:lang w:val="en-US" w:eastAsia="zh-CN"/>
        </w:rPr>
        <w:t>谈判响应文件递交至：</w:t>
      </w:r>
      <w:r>
        <w:rPr>
          <w:rFonts w:hint="eastAsia" w:ascii="宋体" w:hAnsi="宋体"/>
          <w:color w:val="auto"/>
          <w:sz w:val="24"/>
          <w:szCs w:val="24"/>
          <w:highlight w:val="none"/>
          <w:lang w:val="en-US" w:eastAsia="zh-CN"/>
        </w:rPr>
        <w:t>乌鲁木齐市鲤鱼山北路领世广场3号楼904室。</w:t>
      </w:r>
    </w:p>
    <w:p>
      <w:pPr>
        <w:rPr>
          <w:sz w:val="24"/>
          <w:szCs w:val="24"/>
        </w:rPr>
      </w:pPr>
      <w:r>
        <w:rPr>
          <w:sz w:val="24"/>
          <w:szCs w:val="24"/>
        </w:rPr>
        <w:t xml:space="preserve">21.2 </w:t>
      </w:r>
      <w:r>
        <w:rPr>
          <w:rFonts w:hint="eastAsia"/>
          <w:sz w:val="24"/>
          <w:szCs w:val="24"/>
        </w:rPr>
        <w:t>所有谈判响应文件不论派人送交还是通过邮寄递交，都必须按招标</w:t>
      </w:r>
      <w:bookmarkStart w:id="52" w:name="_GoBack"/>
      <w:bookmarkEnd w:id="52"/>
      <w:r>
        <w:rPr>
          <w:rFonts w:hint="eastAsia"/>
          <w:sz w:val="24"/>
          <w:szCs w:val="24"/>
        </w:rPr>
        <w:t>代理机构在谈判邀请中规定的投标截止时间之前送到谈判文件规定的地点。</w:t>
      </w:r>
    </w:p>
    <w:p>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pPr>
        <w:rPr>
          <w:sz w:val="24"/>
          <w:szCs w:val="24"/>
        </w:rPr>
      </w:pPr>
      <w:r>
        <w:rPr>
          <w:rFonts w:hint="eastAsia"/>
          <w:sz w:val="24"/>
          <w:szCs w:val="24"/>
        </w:rPr>
        <w:t>谈判响应文件的修改和撤销</w:t>
      </w:r>
    </w:p>
    <w:p>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pPr>
        <w:rPr>
          <w:rFonts w:hint="eastAsia"/>
          <w:sz w:val="24"/>
          <w:szCs w:val="24"/>
        </w:rPr>
      </w:pPr>
      <w:r>
        <w:rPr>
          <w:sz w:val="24"/>
          <w:szCs w:val="24"/>
        </w:rPr>
        <w:t xml:space="preserve">22.2 </w:t>
      </w:r>
      <w:r>
        <w:rPr>
          <w:rFonts w:hint="eastAsia"/>
          <w:sz w:val="24"/>
          <w:szCs w:val="24"/>
        </w:rPr>
        <w:t>供应商不得在谈判时间起至谈判有效期期满前撤销谈判响应文件。否则招标代理机构将没收其谈判响应保证金。</w:t>
      </w:r>
    </w:p>
    <w:p>
      <w:pPr>
        <w:pStyle w:val="7"/>
        <w:jc w:val="center"/>
        <w:rPr>
          <w:rFonts w:hint="eastAsia" w:eastAsia="宋体"/>
          <w:lang w:eastAsia="zh-CN"/>
        </w:rPr>
      </w:pPr>
      <w:bookmarkStart w:id="31" w:name="_Toc3453"/>
      <w:bookmarkStart w:id="32" w:name="_Toc182131611"/>
      <w:r>
        <w:t xml:space="preserve">E </w:t>
      </w:r>
      <w:r>
        <w:rPr>
          <w:rFonts w:hint="eastAsia"/>
        </w:rPr>
        <w:t>谈判</w:t>
      </w:r>
      <w:bookmarkEnd w:id="31"/>
      <w:bookmarkEnd w:id="32"/>
      <w:r>
        <w:rPr>
          <w:rFonts w:hint="eastAsia"/>
          <w:lang w:eastAsia="zh-CN"/>
        </w:rPr>
        <w:t>过程</w:t>
      </w:r>
    </w:p>
    <w:p>
      <w:pPr>
        <w:rPr>
          <w:sz w:val="24"/>
          <w:szCs w:val="24"/>
        </w:rPr>
      </w:pPr>
      <w:r>
        <w:rPr>
          <w:sz w:val="24"/>
          <w:szCs w:val="24"/>
        </w:rPr>
        <w:t>23</w:t>
      </w:r>
      <w:r>
        <w:rPr>
          <w:rFonts w:hint="eastAsia"/>
          <w:sz w:val="24"/>
          <w:szCs w:val="24"/>
        </w:rPr>
        <w:t>．谈判</w:t>
      </w:r>
    </w:p>
    <w:p>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pPr>
        <w:rPr>
          <w:sz w:val="24"/>
          <w:szCs w:val="24"/>
        </w:rPr>
      </w:pPr>
      <w:r>
        <w:rPr>
          <w:sz w:val="24"/>
          <w:szCs w:val="24"/>
        </w:rPr>
        <w:t>23.2</w:t>
      </w:r>
      <w:r>
        <w:rPr>
          <w:rFonts w:hint="eastAsia"/>
          <w:sz w:val="24"/>
          <w:szCs w:val="24"/>
        </w:rPr>
        <w:t>宣布谈判响应文件开启顺序。</w:t>
      </w:r>
    </w:p>
    <w:p>
      <w:pPr>
        <w:rPr>
          <w:sz w:val="24"/>
          <w:szCs w:val="24"/>
        </w:rPr>
      </w:pPr>
      <w:r>
        <w:rPr>
          <w:sz w:val="24"/>
          <w:szCs w:val="24"/>
        </w:rPr>
        <w:t xml:space="preserve">23.3 </w:t>
      </w:r>
      <w:r>
        <w:rPr>
          <w:rFonts w:hint="eastAsia"/>
          <w:sz w:val="24"/>
          <w:szCs w:val="24"/>
        </w:rPr>
        <w:t>谈判时检查谈判响应文件密封情况。</w:t>
      </w:r>
    </w:p>
    <w:p>
      <w:pPr>
        <w:rPr>
          <w:sz w:val="24"/>
          <w:szCs w:val="24"/>
        </w:rPr>
      </w:pPr>
      <w:r>
        <w:rPr>
          <w:sz w:val="24"/>
          <w:szCs w:val="24"/>
        </w:rPr>
        <w:t xml:space="preserve">23.4 </w:t>
      </w:r>
      <w:r>
        <w:rPr>
          <w:rFonts w:hint="eastAsia"/>
          <w:sz w:val="24"/>
          <w:szCs w:val="24"/>
        </w:rPr>
        <w:t>谈判原则在谈判会议上宣布。</w:t>
      </w:r>
    </w:p>
    <w:p>
      <w:pPr>
        <w:rPr>
          <w:sz w:val="24"/>
          <w:szCs w:val="24"/>
        </w:rPr>
      </w:pPr>
      <w:r>
        <w:rPr>
          <w:sz w:val="24"/>
          <w:szCs w:val="24"/>
        </w:rPr>
        <w:t xml:space="preserve">23.5 </w:t>
      </w:r>
      <w:r>
        <w:rPr>
          <w:rFonts w:hint="eastAsia"/>
          <w:sz w:val="24"/>
          <w:szCs w:val="24"/>
        </w:rPr>
        <w:t>对采购方的纪律要求</w:t>
      </w:r>
    </w:p>
    <w:p>
      <w:pPr>
        <w:ind w:firstLine="480" w:firstLineChars="200"/>
        <w:rPr>
          <w:sz w:val="24"/>
          <w:szCs w:val="24"/>
        </w:rPr>
      </w:pPr>
      <w:r>
        <w:rPr>
          <w:rFonts w:hint="eastAsia"/>
          <w:sz w:val="24"/>
          <w:szCs w:val="24"/>
        </w:rPr>
        <w:t>采购方不得泄露谈判活动中应当保密的情况和资料，不得与供应商串通损害国家利益、社会公共利益或者他人合法权益。</w:t>
      </w:r>
    </w:p>
    <w:p>
      <w:pPr>
        <w:rPr>
          <w:sz w:val="24"/>
          <w:szCs w:val="24"/>
        </w:rPr>
      </w:pPr>
      <w:r>
        <w:rPr>
          <w:sz w:val="24"/>
          <w:szCs w:val="24"/>
        </w:rPr>
        <w:t>23.6</w:t>
      </w:r>
      <w:r>
        <w:rPr>
          <w:rFonts w:hint="eastAsia"/>
          <w:sz w:val="24"/>
          <w:szCs w:val="24"/>
        </w:rPr>
        <w:t>对供应商的纪律要求</w:t>
      </w:r>
    </w:p>
    <w:p>
      <w:pPr>
        <w:ind w:firstLine="480" w:firstLineChars="200"/>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rPr>
          <w:sz w:val="24"/>
          <w:szCs w:val="24"/>
        </w:rPr>
      </w:pPr>
      <w:r>
        <w:rPr>
          <w:sz w:val="24"/>
          <w:szCs w:val="24"/>
        </w:rPr>
        <w:t>23.7</w:t>
      </w:r>
      <w:r>
        <w:rPr>
          <w:rFonts w:hint="eastAsia"/>
          <w:sz w:val="24"/>
          <w:szCs w:val="24"/>
        </w:rPr>
        <w:t>对与谈判活动有关的工作人员的纪律要求</w:t>
      </w:r>
    </w:p>
    <w:p>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rPr>
          <w:sz w:val="24"/>
          <w:szCs w:val="24"/>
        </w:rPr>
      </w:pPr>
      <w:r>
        <w:rPr>
          <w:sz w:val="24"/>
          <w:szCs w:val="24"/>
        </w:rPr>
        <w:t>23.8</w:t>
      </w:r>
      <w:r>
        <w:rPr>
          <w:rFonts w:hint="eastAsia"/>
          <w:sz w:val="24"/>
          <w:szCs w:val="24"/>
        </w:rPr>
        <w:t>对谈判小组成员要求谈判纪律</w:t>
      </w:r>
    </w:p>
    <w:p>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pPr>
        <w:rPr>
          <w:sz w:val="24"/>
          <w:szCs w:val="24"/>
        </w:rPr>
      </w:pPr>
      <w:r>
        <w:rPr>
          <w:sz w:val="24"/>
          <w:szCs w:val="24"/>
        </w:rPr>
        <w:t>23.8.3</w:t>
      </w:r>
      <w:r>
        <w:rPr>
          <w:rFonts w:hint="eastAsia"/>
          <w:sz w:val="24"/>
          <w:szCs w:val="24"/>
        </w:rPr>
        <w:t>不得接受任何单位或个人明示或暗示提出的倾向或排斥特定供应商的要求。</w:t>
      </w:r>
    </w:p>
    <w:p>
      <w:pPr>
        <w:rPr>
          <w:sz w:val="24"/>
          <w:szCs w:val="24"/>
        </w:rPr>
      </w:pPr>
      <w:r>
        <w:rPr>
          <w:sz w:val="24"/>
          <w:szCs w:val="24"/>
        </w:rPr>
        <w:t>23.8.4</w:t>
      </w:r>
      <w:r>
        <w:rPr>
          <w:rFonts w:hint="eastAsia"/>
          <w:sz w:val="24"/>
          <w:szCs w:val="24"/>
        </w:rPr>
        <w:t>不得有其他不客观，不公正履行职务的行为。</w:t>
      </w:r>
    </w:p>
    <w:p>
      <w:pPr>
        <w:rPr>
          <w:sz w:val="24"/>
          <w:szCs w:val="24"/>
        </w:rPr>
      </w:pPr>
      <w:r>
        <w:rPr>
          <w:sz w:val="24"/>
          <w:szCs w:val="24"/>
        </w:rPr>
        <w:t>24</w:t>
      </w:r>
      <w:r>
        <w:rPr>
          <w:rFonts w:hint="eastAsia"/>
          <w:sz w:val="24"/>
          <w:szCs w:val="24"/>
        </w:rPr>
        <w:t>．谈判过程</w:t>
      </w:r>
    </w:p>
    <w:p>
      <w:pPr>
        <w:rPr>
          <w:sz w:val="24"/>
          <w:szCs w:val="24"/>
        </w:rPr>
      </w:pPr>
      <w:r>
        <w:rPr>
          <w:sz w:val="24"/>
          <w:szCs w:val="24"/>
        </w:rPr>
        <w:t xml:space="preserve">24.1 </w:t>
      </w:r>
      <w:r>
        <w:rPr>
          <w:rFonts w:hint="eastAsia"/>
          <w:sz w:val="24"/>
          <w:szCs w:val="24"/>
        </w:rPr>
        <w:t>谈判的依据为谈判文件和谈判响应文件。</w:t>
      </w:r>
    </w:p>
    <w:p>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在对谈判响应文件进行详细评估之前，谈判小组将依据供应商提供的资格证明文件审查供应商的财务、技术和生产能力。如果确定供应商无资格履行合同，其投标将被拒绝。</w:t>
      </w:r>
    </w:p>
    <w:p>
      <w:pPr>
        <w:rPr>
          <w:sz w:val="24"/>
          <w:szCs w:val="24"/>
        </w:rPr>
      </w:pPr>
      <w:r>
        <w:rPr>
          <w:sz w:val="24"/>
          <w:szCs w:val="24"/>
        </w:rPr>
        <w:t xml:space="preserve">24.4 </w:t>
      </w:r>
      <w:r>
        <w:rPr>
          <w:rFonts w:hint="eastAsia"/>
          <w:sz w:val="24"/>
          <w:szCs w:val="24"/>
        </w:rPr>
        <w:t>谈判小组将确定每一谈判响应文件是否对谈判文件的要求作出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rPr>
          <w:sz w:val="24"/>
          <w:szCs w:val="24"/>
        </w:rPr>
      </w:pPr>
      <w:r>
        <w:rPr>
          <w:sz w:val="24"/>
          <w:szCs w:val="24"/>
        </w:rPr>
        <w:t>25</w:t>
      </w:r>
      <w:r>
        <w:rPr>
          <w:rFonts w:hint="eastAsia"/>
          <w:sz w:val="24"/>
          <w:szCs w:val="24"/>
        </w:rPr>
        <w:t>．谈判响应文件的澄清</w:t>
      </w:r>
    </w:p>
    <w:p>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时供应商代表应作书面记录。并对重要内容作出书面答复。</w:t>
      </w:r>
    </w:p>
    <w:p>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pPr>
        <w:rPr>
          <w:sz w:val="24"/>
          <w:szCs w:val="24"/>
        </w:rPr>
      </w:pPr>
      <w:r>
        <w:rPr>
          <w:sz w:val="24"/>
          <w:szCs w:val="24"/>
        </w:rPr>
        <w:t xml:space="preserve">26  </w:t>
      </w:r>
      <w:r>
        <w:rPr>
          <w:rFonts w:hint="eastAsia"/>
          <w:sz w:val="24"/>
          <w:szCs w:val="24"/>
        </w:rPr>
        <w:t>确定成交供应商的办法</w:t>
      </w:r>
    </w:p>
    <w:p>
      <w:pPr>
        <w:rPr>
          <w:bCs/>
          <w:sz w:val="24"/>
          <w:szCs w:val="24"/>
        </w:rPr>
      </w:pPr>
      <w:r>
        <w:rPr>
          <w:bCs/>
          <w:sz w:val="24"/>
          <w:szCs w:val="24"/>
        </w:rPr>
        <w:t>26.1</w:t>
      </w:r>
      <w:r>
        <w:rPr>
          <w:rFonts w:hint="eastAsia"/>
          <w:bCs/>
          <w:sz w:val="24"/>
          <w:szCs w:val="24"/>
        </w:rPr>
        <w:t>谈判小组和供应商谈判过程中作出的书面承诺是否符合谈判文件中对质量、技术和服务的要求。</w:t>
      </w:r>
    </w:p>
    <w:p>
      <w:pPr>
        <w:rPr>
          <w:bCs/>
          <w:sz w:val="24"/>
          <w:szCs w:val="24"/>
        </w:rPr>
      </w:pPr>
      <w:r>
        <w:rPr>
          <w:sz w:val="24"/>
          <w:szCs w:val="24"/>
        </w:rPr>
        <w:t xml:space="preserve">26.2 </w:t>
      </w:r>
      <w:r>
        <w:rPr>
          <w:rFonts w:hint="eastAsia"/>
          <w:spacing w:val="-6"/>
          <w:sz w:val="24"/>
          <w:szCs w:val="24"/>
        </w:rPr>
        <w:t>本次谈判投标报价以最终报价</w:t>
      </w:r>
      <w:r>
        <w:rPr>
          <w:rFonts w:hint="eastAsia"/>
          <w:b/>
          <w:bCs/>
          <w:color w:val="000000" w:themeColor="text1"/>
          <w:spacing w:val="-6"/>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二次或多轮报价</w:t>
      </w:r>
      <w:r>
        <w:rPr>
          <w:rFonts w:hint="eastAsia"/>
          <w:b/>
          <w:bCs/>
          <w:color w:val="000000" w:themeColor="text1"/>
          <w:spacing w:val="-6"/>
          <w:sz w:val="24"/>
          <w:szCs w:val="24"/>
          <w14:textFill>
            <w14:solidFill>
              <w14:schemeClr w14:val="tx1"/>
            </w14:solidFill>
          </w14:textFill>
        </w:rPr>
        <w:t>）</w:t>
      </w:r>
      <w:r>
        <w:rPr>
          <w:rFonts w:hint="eastAsia"/>
          <w:spacing w:val="-6"/>
          <w:sz w:val="24"/>
          <w:szCs w:val="24"/>
        </w:rPr>
        <w:t>作为谈判依据，谈判小组根据供应商报价作为谈判小组评比的最终依据。供应商的最终报价的投标总价应当与各项合计金额一致。</w:t>
      </w:r>
    </w:p>
    <w:p>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pPr>
        <w:rPr>
          <w:sz w:val="24"/>
          <w:szCs w:val="24"/>
        </w:rPr>
      </w:pPr>
      <w:r>
        <w:rPr>
          <w:sz w:val="24"/>
          <w:szCs w:val="24"/>
        </w:rPr>
        <w:t xml:space="preserve">27 </w:t>
      </w:r>
      <w:r>
        <w:rPr>
          <w:rFonts w:hint="eastAsia"/>
          <w:sz w:val="24"/>
          <w:szCs w:val="24"/>
        </w:rPr>
        <w:t>谈判过程的保密性</w:t>
      </w:r>
    </w:p>
    <w:p>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pPr>
        <w:rPr>
          <w:rFonts w:hint="eastAsia" w:ascii="Times New Roman" w:hAnsi="Times New Roman" w:eastAsia="宋体" w:cs="Times New Roman"/>
          <w:b/>
          <w:bCs/>
          <w:kern w:val="2"/>
          <w:sz w:val="32"/>
          <w:szCs w:val="32"/>
          <w:lang w:val="en-US" w:eastAsia="zh-CN" w:bidi="ar-SA"/>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pPr>
        <w:pStyle w:val="34"/>
        <w:jc w:val="center"/>
        <w:rPr>
          <w:rFonts w:hint="eastAsia" w:ascii="Times New Roman" w:hAnsi="Times New Roman" w:eastAsia="宋体" w:cs="Times New Roman"/>
          <w:b/>
          <w:bCs/>
          <w:kern w:val="2"/>
          <w:sz w:val="32"/>
          <w:szCs w:val="32"/>
          <w:lang w:val="en-US" w:eastAsia="zh-CN" w:bidi="ar-SA"/>
        </w:rPr>
      </w:pPr>
    </w:p>
    <w:p>
      <w:pPr>
        <w:pStyle w:val="34"/>
        <w:jc w:val="center"/>
        <w:rPr>
          <w:rFonts w:hint="eastAsia" w:ascii="宋体" w:hAnsi="宋体" w:eastAsia="宋体" w:cs="宋体"/>
          <w:b/>
          <w:sz w:val="36"/>
        </w:rPr>
      </w:pPr>
      <w:r>
        <w:rPr>
          <w:rFonts w:hint="eastAsia" w:ascii="Times New Roman" w:hAnsi="Times New Roman" w:eastAsia="宋体" w:cs="Times New Roman"/>
          <w:b/>
          <w:bCs/>
          <w:kern w:val="2"/>
          <w:sz w:val="32"/>
          <w:szCs w:val="32"/>
          <w:lang w:val="en-US" w:eastAsia="zh-CN" w:bidi="ar-SA"/>
        </w:rPr>
        <w:t xml:space="preserve">F </w:t>
      </w:r>
      <w:r>
        <w:rPr>
          <w:rFonts w:hint="eastAsia" w:ascii="宋体" w:hAnsi="宋体" w:eastAsia="宋体" w:cs="宋体"/>
          <w:b/>
          <w:sz w:val="36"/>
        </w:rPr>
        <w:t>评审方法</w:t>
      </w:r>
    </w:p>
    <w:tbl>
      <w:tblPr>
        <w:tblStyle w:val="48"/>
        <w:tblW w:w="9890" w:type="dxa"/>
        <w:tblInd w:w="0" w:type="dxa"/>
        <w:tblLayout w:type="fixed"/>
        <w:tblCellMar>
          <w:top w:w="0" w:type="dxa"/>
          <w:left w:w="0" w:type="dxa"/>
          <w:bottom w:w="0" w:type="dxa"/>
          <w:right w:w="0" w:type="dxa"/>
        </w:tblCellMar>
      </w:tblPr>
      <w:tblGrid>
        <w:gridCol w:w="772"/>
        <w:gridCol w:w="791"/>
        <w:gridCol w:w="8327"/>
      </w:tblGrid>
      <w:tr>
        <w:tblPrEx>
          <w:tblCellMar>
            <w:top w:w="0" w:type="dxa"/>
            <w:left w:w="0" w:type="dxa"/>
            <w:bottom w:w="0" w:type="dxa"/>
            <w:right w:w="0" w:type="dxa"/>
          </w:tblCellMar>
        </w:tblPrEx>
        <w:trPr>
          <w:trHeight w:val="402" w:hRule="atLeast"/>
        </w:trPr>
        <w:tc>
          <w:tcPr>
            <w:tcW w:w="77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资格性审查</w:t>
            </w:r>
          </w:p>
        </w:tc>
        <w:tc>
          <w:tcPr>
            <w:tcW w:w="911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blPrEx>
          <w:tblCellMar>
            <w:top w:w="0" w:type="dxa"/>
            <w:left w:w="0" w:type="dxa"/>
            <w:bottom w:w="0" w:type="dxa"/>
            <w:right w:w="0" w:type="dxa"/>
          </w:tblCellMar>
        </w:tblPrEx>
        <w:trPr>
          <w:trHeight w:val="409" w:hRule="atLeast"/>
        </w:trPr>
        <w:tc>
          <w:tcPr>
            <w:tcW w:w="772"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spacing w:val="-2"/>
                <w:sz w:val="24"/>
                <w:szCs w:val="24"/>
                <w:lang w:eastAsia="zh-CN"/>
              </w:rPr>
              <w:t>具备有效的营业执照</w:t>
            </w:r>
            <w:r>
              <w:rPr>
                <w:rFonts w:hint="eastAsia" w:ascii="宋体" w:hAnsi="宋体" w:cs="宋体"/>
                <w:spacing w:val="-2"/>
                <w:sz w:val="24"/>
                <w:szCs w:val="24"/>
                <w:lang w:eastAsia="zh-CN"/>
              </w:rPr>
              <w:t>（三证合一）</w:t>
            </w:r>
          </w:p>
        </w:tc>
      </w:tr>
      <w:tr>
        <w:tblPrEx>
          <w:tblCellMar>
            <w:top w:w="0" w:type="dxa"/>
            <w:left w:w="0" w:type="dxa"/>
            <w:bottom w:w="0" w:type="dxa"/>
            <w:right w:w="0" w:type="dxa"/>
          </w:tblCellMar>
        </w:tblPrEx>
        <w:trPr>
          <w:trHeight w:val="409" w:hRule="atLeast"/>
        </w:trPr>
        <w:tc>
          <w:tcPr>
            <w:tcW w:w="772"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eastAsia="zh-CN" w:bidi="ar"/>
              </w:rPr>
            </w:pPr>
            <w:r>
              <w:rPr>
                <w:rFonts w:hint="default" w:ascii="宋体" w:hAnsi="宋体" w:cs="宋体"/>
                <w:i w:val="0"/>
                <w:color w:val="000000"/>
                <w:kern w:val="0"/>
                <w:sz w:val="22"/>
                <w:szCs w:val="22"/>
                <w:u w:val="none"/>
                <w:lang w:eastAsia="zh-CN" w:bidi="ar"/>
              </w:rPr>
              <w:t>2</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val="0"/>
                <w:bCs w:val="0"/>
                <w:color w:val="auto"/>
                <w:spacing w:val="-2"/>
                <w:sz w:val="24"/>
                <w:szCs w:val="24"/>
                <w:lang w:eastAsia="zh-CN"/>
              </w:rPr>
            </w:pPr>
            <w:r>
              <w:rPr>
                <w:rFonts w:hint="eastAsia"/>
                <w:b w:val="0"/>
                <w:bCs w:val="0"/>
                <w:color w:val="auto"/>
                <w:sz w:val="24"/>
                <w:szCs w:val="22"/>
                <w:lang w:val="en-US" w:eastAsia="zh-Hans"/>
              </w:rPr>
              <w:t>投</w:t>
            </w:r>
            <w:r>
              <w:rPr>
                <w:rFonts w:hint="eastAsia" w:cs="Times New Roman"/>
                <w:b w:val="0"/>
                <w:bCs w:val="0"/>
                <w:color w:val="auto"/>
                <w:sz w:val="24"/>
                <w:szCs w:val="24"/>
                <w:lang w:val="en-US" w:eastAsia="zh-CN"/>
              </w:rPr>
              <w:t>标单位需具备《安防工程企业资质等级证书》三级及以上资质证书</w:t>
            </w:r>
            <w:r>
              <w:rPr>
                <w:rFonts w:hint="default" w:cs="Times New Roman"/>
                <w:b w:val="0"/>
                <w:bCs w:val="0"/>
                <w:color w:val="auto"/>
                <w:sz w:val="24"/>
                <w:szCs w:val="24"/>
                <w:lang w:eastAsia="zh-CN"/>
              </w:rPr>
              <w:t>。</w:t>
            </w:r>
          </w:p>
        </w:tc>
      </w:tr>
      <w:tr>
        <w:tblPrEx>
          <w:tblCellMar>
            <w:top w:w="0" w:type="dxa"/>
            <w:left w:w="0" w:type="dxa"/>
            <w:bottom w:w="0" w:type="dxa"/>
            <w:right w:w="0" w:type="dxa"/>
          </w:tblCellMar>
        </w:tblPrEx>
        <w:trPr>
          <w:trHeight w:val="372" w:hRule="atLeast"/>
        </w:trPr>
        <w:tc>
          <w:tcPr>
            <w:tcW w:w="772"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rPr>
            </w:pPr>
            <w:r>
              <w:rPr>
                <w:rFonts w:hint="default" w:ascii="宋体" w:hAnsi="宋体" w:cs="宋体"/>
                <w:i w:val="0"/>
                <w:color w:val="000000"/>
                <w:kern w:val="0"/>
                <w:sz w:val="22"/>
                <w:szCs w:val="22"/>
                <w:u w:val="none"/>
                <w:lang w:eastAsia="zh-CN" w:bidi="ar"/>
              </w:rPr>
              <w:t>3</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olor w:val="auto"/>
                <w:sz w:val="24"/>
                <w:szCs w:val="24"/>
              </w:rPr>
              <w:t>须</w:t>
            </w:r>
            <w:r>
              <w:rPr>
                <w:rFonts w:hint="eastAsia"/>
                <w:color w:val="auto"/>
                <w:sz w:val="24"/>
                <w:szCs w:val="24"/>
                <w:lang w:val="en-US" w:eastAsia="zh-CN"/>
              </w:rPr>
              <w:t>具备近一年财务审计报告或银行提供的资信证明（新公司从成立之日起算）</w:t>
            </w:r>
          </w:p>
        </w:tc>
      </w:tr>
      <w:tr>
        <w:tblPrEx>
          <w:tblCellMar>
            <w:top w:w="0" w:type="dxa"/>
            <w:left w:w="0" w:type="dxa"/>
            <w:bottom w:w="0" w:type="dxa"/>
            <w:right w:w="0" w:type="dxa"/>
          </w:tblCellMar>
        </w:tblPrEx>
        <w:trPr>
          <w:trHeight w:val="409" w:hRule="atLeast"/>
        </w:trPr>
        <w:tc>
          <w:tcPr>
            <w:tcW w:w="772"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rPr>
            </w:pPr>
            <w:r>
              <w:rPr>
                <w:rFonts w:hint="default" w:ascii="宋体" w:hAnsi="宋体" w:cs="宋体"/>
                <w:i w:val="0"/>
                <w:color w:val="000000"/>
                <w:kern w:val="0"/>
                <w:sz w:val="22"/>
                <w:szCs w:val="22"/>
                <w:u w:val="none"/>
                <w:lang w:eastAsia="zh-CN" w:bidi="ar"/>
              </w:rPr>
              <w:t>4</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olor w:val="auto"/>
                <w:sz w:val="24"/>
                <w:szCs w:val="24"/>
              </w:rPr>
              <w:t>须</w:t>
            </w:r>
            <w:r>
              <w:rPr>
                <w:rFonts w:hint="eastAsia"/>
                <w:color w:val="auto"/>
                <w:sz w:val="24"/>
                <w:szCs w:val="24"/>
                <w:lang w:val="en-US" w:eastAsia="zh-CN"/>
              </w:rPr>
              <w:t>具有近一年任意月纳税证明（新公司从成立之日起算）</w:t>
            </w:r>
          </w:p>
        </w:tc>
      </w:tr>
      <w:tr>
        <w:tblPrEx>
          <w:tblCellMar>
            <w:top w:w="0" w:type="dxa"/>
            <w:left w:w="0" w:type="dxa"/>
            <w:bottom w:w="0" w:type="dxa"/>
            <w:right w:w="0" w:type="dxa"/>
          </w:tblCellMar>
        </w:tblPrEx>
        <w:trPr>
          <w:trHeight w:val="806" w:hRule="atLeast"/>
        </w:trPr>
        <w:tc>
          <w:tcPr>
            <w:tcW w:w="772"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rPr>
            </w:pPr>
            <w:r>
              <w:rPr>
                <w:rFonts w:hint="default" w:ascii="宋体" w:hAnsi="宋体" w:cs="宋体"/>
                <w:i w:val="0"/>
                <w:color w:val="000000"/>
                <w:sz w:val="22"/>
                <w:szCs w:val="22"/>
                <w:u w:val="none"/>
              </w:rPr>
              <w:t>5</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b w:val="0"/>
                <w:bCs w:val="0"/>
                <w:color w:val="auto"/>
                <w:kern w:val="0"/>
                <w:sz w:val="24"/>
                <w:szCs w:val="24"/>
                <w:lang w:val="en-US" w:eastAsia="zh-CN"/>
              </w:rPr>
              <w:t>法人身份证明及身份证</w:t>
            </w:r>
            <w:r>
              <w:rPr>
                <w:rFonts w:hint="eastAsia" w:ascii="宋体" w:hAnsi="宋体" w:eastAsia="宋体" w:cs="宋体"/>
                <w:b w:val="0"/>
                <w:bCs w:val="0"/>
                <w:color w:val="auto"/>
                <w:kern w:val="0"/>
                <w:sz w:val="24"/>
                <w:szCs w:val="24"/>
                <w:lang w:eastAsia="zh-CN"/>
              </w:rPr>
              <w:t>和</w:t>
            </w:r>
            <w:r>
              <w:rPr>
                <w:rFonts w:hint="eastAsia" w:ascii="宋体" w:hAnsi="宋体" w:eastAsia="宋体" w:cs="宋体"/>
                <w:b w:val="0"/>
                <w:bCs w:val="0"/>
                <w:color w:val="auto"/>
                <w:sz w:val="24"/>
                <w:szCs w:val="24"/>
                <w:lang w:val="en-US" w:eastAsia="zh-CN"/>
              </w:rPr>
              <w:t>社保明细</w:t>
            </w:r>
            <w:r>
              <w:rPr>
                <w:rFonts w:hint="eastAsia" w:ascii="宋体" w:hAnsi="宋体" w:eastAsia="宋体" w:cs="宋体"/>
                <w:b w:val="0"/>
                <w:bCs w:val="0"/>
                <w:color w:val="auto"/>
                <w:kern w:val="0"/>
                <w:sz w:val="24"/>
                <w:szCs w:val="24"/>
                <w:lang w:val="en-US" w:eastAsia="zh-CN"/>
              </w:rPr>
              <w:t>或</w:t>
            </w:r>
            <w:r>
              <w:rPr>
                <w:rFonts w:hint="eastAsia" w:ascii="宋体" w:hAnsi="宋体" w:eastAsia="宋体" w:cs="宋体"/>
                <w:b w:val="0"/>
                <w:bCs w:val="0"/>
                <w:color w:val="auto"/>
                <w:kern w:val="0"/>
                <w:sz w:val="24"/>
                <w:szCs w:val="24"/>
              </w:rPr>
              <w:t>法人授权委托书原件被授权人有效身份证原件</w:t>
            </w:r>
            <w:r>
              <w:rPr>
                <w:rFonts w:hint="eastAsia" w:ascii="宋体" w:hAnsi="宋体" w:eastAsia="宋体" w:cs="宋体"/>
                <w:b w:val="0"/>
                <w:bCs w:val="0"/>
                <w:color w:val="auto"/>
                <w:kern w:val="0"/>
                <w:sz w:val="24"/>
                <w:szCs w:val="24"/>
                <w:lang w:eastAsia="zh-CN"/>
              </w:rPr>
              <w:t>和</w:t>
            </w:r>
            <w:r>
              <w:rPr>
                <w:rFonts w:hint="eastAsia" w:ascii="宋体" w:hAnsi="宋体" w:eastAsia="宋体" w:cs="宋体"/>
                <w:b w:val="0"/>
                <w:bCs w:val="0"/>
                <w:color w:val="auto"/>
                <w:sz w:val="24"/>
                <w:szCs w:val="24"/>
                <w:lang w:val="en-US" w:eastAsia="zh-CN"/>
              </w:rPr>
              <w:t>社保明细</w:t>
            </w:r>
          </w:p>
        </w:tc>
      </w:tr>
      <w:tr>
        <w:tblPrEx>
          <w:tblCellMar>
            <w:top w:w="0" w:type="dxa"/>
            <w:left w:w="0" w:type="dxa"/>
            <w:bottom w:w="0" w:type="dxa"/>
            <w:right w:w="0" w:type="dxa"/>
          </w:tblCellMar>
        </w:tblPrEx>
        <w:trPr>
          <w:trHeight w:val="409" w:hRule="atLeast"/>
        </w:trPr>
        <w:tc>
          <w:tcPr>
            <w:tcW w:w="772"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rPr>
            </w:pPr>
            <w:r>
              <w:rPr>
                <w:rFonts w:hint="default" w:ascii="宋体" w:hAnsi="宋体" w:cs="宋体"/>
                <w:i w:val="0"/>
                <w:color w:val="000000"/>
                <w:kern w:val="0"/>
                <w:sz w:val="22"/>
                <w:szCs w:val="22"/>
                <w:u w:val="none"/>
                <w:lang w:eastAsia="zh-CN" w:bidi="ar"/>
              </w:rPr>
              <w:t>6</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color w:val="auto"/>
                <w:sz w:val="24"/>
                <w:szCs w:val="24"/>
                <w:lang w:val="en-US" w:eastAsia="zh-CN"/>
              </w:rPr>
              <w:t>须</w:t>
            </w:r>
            <w:r>
              <w:rPr>
                <w:rFonts w:hint="eastAsia"/>
                <w:color w:val="auto"/>
                <w:sz w:val="24"/>
                <w:szCs w:val="24"/>
              </w:rPr>
              <w:t>具有履行合同所必须的设备和专业技术能力</w:t>
            </w:r>
            <w:r>
              <w:rPr>
                <w:rFonts w:hint="eastAsia"/>
                <w:color w:val="auto"/>
                <w:sz w:val="24"/>
                <w:szCs w:val="24"/>
                <w:lang w:val="en-US" w:eastAsia="zh-CN"/>
              </w:rPr>
              <w:t>的承诺函</w:t>
            </w:r>
          </w:p>
        </w:tc>
      </w:tr>
      <w:tr>
        <w:tblPrEx>
          <w:tblCellMar>
            <w:top w:w="0" w:type="dxa"/>
            <w:left w:w="0" w:type="dxa"/>
            <w:bottom w:w="0" w:type="dxa"/>
            <w:right w:w="0" w:type="dxa"/>
          </w:tblCellMar>
        </w:tblPrEx>
        <w:trPr>
          <w:trHeight w:val="1633" w:hRule="atLeast"/>
        </w:trPr>
        <w:tc>
          <w:tcPr>
            <w:tcW w:w="772"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rPr>
            </w:pPr>
            <w:r>
              <w:rPr>
                <w:rFonts w:hint="default" w:ascii="宋体" w:hAnsi="宋体" w:cs="宋体"/>
                <w:i w:val="0"/>
                <w:color w:val="000000"/>
                <w:kern w:val="0"/>
                <w:sz w:val="22"/>
                <w:szCs w:val="22"/>
                <w:u w:val="none"/>
                <w:lang w:eastAsia="zh-CN" w:bidi="ar"/>
              </w:rPr>
              <w:t>7</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b w:val="0"/>
                <w:color w:val="auto"/>
                <w:sz w:val="24"/>
                <w:lang w:val="en-US" w:eastAsia="zh-CN"/>
              </w:rPr>
              <w:t>凡拟参加本次招标项目的供应商，如在“信用中国”网站（www.creditchina.gov.cn）和中国政府采购网（www.ccgp.gov.cn）被列入失信被执行人、</w:t>
            </w:r>
            <w:r>
              <w:rPr>
                <w:rFonts w:hint="eastAsia" w:ascii="宋体" w:hAnsi="宋体" w:cs="宋体"/>
                <w:b w:val="0"/>
                <w:color w:val="auto"/>
                <w:sz w:val="24"/>
                <w:lang w:val="en-US" w:eastAsia="zh-CN"/>
              </w:rPr>
              <w:t>税收违法黑名单</w:t>
            </w:r>
            <w:r>
              <w:rPr>
                <w:rFonts w:hint="eastAsia" w:ascii="宋体" w:hAnsi="宋体" w:eastAsia="宋体" w:cs="宋体"/>
                <w:b w:val="0"/>
                <w:color w:val="auto"/>
                <w:sz w:val="24"/>
                <w:lang w:val="en-US" w:eastAsia="zh-CN"/>
              </w:rPr>
              <w:t>、政府采购严重违法失信行为记录名单的（尚在处罚期内的），将拒绝其参本次采购活动</w:t>
            </w:r>
            <w:r>
              <w:rPr>
                <w:rFonts w:hint="eastAsia" w:ascii="Times New Roman" w:hAnsi="Times New Roman" w:cs="Times New Roman"/>
                <w:color w:val="auto"/>
                <w:sz w:val="24"/>
                <w:szCs w:val="24"/>
                <w:lang w:val="en-US" w:eastAsia="zh-CN"/>
              </w:rPr>
              <w:t>（网页打印件须自招标文件发布之日起至首次提交投标文件截止时间内从上述网站中打印）</w:t>
            </w:r>
          </w:p>
        </w:tc>
      </w:tr>
      <w:tr>
        <w:tblPrEx>
          <w:tblCellMar>
            <w:top w:w="0" w:type="dxa"/>
            <w:left w:w="0" w:type="dxa"/>
            <w:bottom w:w="0" w:type="dxa"/>
            <w:right w:w="0" w:type="dxa"/>
          </w:tblCellMar>
        </w:tblPrEx>
        <w:trPr>
          <w:trHeight w:val="554" w:hRule="atLeast"/>
        </w:trPr>
        <w:tc>
          <w:tcPr>
            <w:tcW w:w="772" w:type="dxa"/>
            <w:vMerge w:val="continue"/>
            <w:tcBorders>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eastAsia="zh-CN" w:bidi="ar"/>
              </w:rPr>
            </w:pPr>
            <w:r>
              <w:rPr>
                <w:rFonts w:hint="default" w:ascii="宋体" w:hAnsi="宋体" w:cs="宋体"/>
                <w:i w:val="0"/>
                <w:color w:val="000000"/>
                <w:kern w:val="0"/>
                <w:sz w:val="22"/>
                <w:szCs w:val="22"/>
                <w:u w:val="none"/>
                <w:lang w:eastAsia="zh-CN" w:bidi="ar"/>
              </w:rPr>
              <w:t>8</w:t>
            </w:r>
          </w:p>
        </w:tc>
        <w:tc>
          <w:tcPr>
            <w:tcW w:w="83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sz w:val="24"/>
                <w:szCs w:val="24"/>
                <w:lang w:val="en-US" w:eastAsia="zh-CN"/>
              </w:rPr>
              <w:t>投标单位须为中小企业，提供</w:t>
            </w:r>
            <w:r>
              <w:rPr>
                <w:rFonts w:hint="eastAsia"/>
                <w:sz w:val="24"/>
                <w:szCs w:val="24"/>
                <w:lang w:eastAsia="zh-CN"/>
              </w:rPr>
              <w:t>《</w:t>
            </w:r>
            <w:r>
              <w:rPr>
                <w:rFonts w:hint="eastAsia"/>
                <w:sz w:val="24"/>
                <w:szCs w:val="24"/>
                <w:lang w:val="en-US" w:eastAsia="zh-CN"/>
              </w:rPr>
              <w:t>中小企业声明函</w:t>
            </w:r>
            <w:r>
              <w:rPr>
                <w:rFonts w:hint="eastAsia"/>
                <w:sz w:val="24"/>
                <w:szCs w:val="24"/>
                <w:lang w:eastAsia="zh-CN"/>
              </w:rPr>
              <w:t>》</w:t>
            </w:r>
          </w:p>
        </w:tc>
      </w:tr>
    </w:tbl>
    <w:p>
      <w:pPr>
        <w:rPr>
          <w:rFonts w:hint="eastAsia"/>
          <w:lang w:val="en-US" w:eastAsia="zh-CN"/>
        </w:rPr>
      </w:pPr>
    </w:p>
    <w:tbl>
      <w:tblPr>
        <w:tblStyle w:val="48"/>
        <w:tblW w:w="9879" w:type="dxa"/>
        <w:tblInd w:w="0" w:type="dxa"/>
        <w:tblLayout w:type="fixed"/>
        <w:tblCellMar>
          <w:top w:w="0" w:type="dxa"/>
          <w:left w:w="0" w:type="dxa"/>
          <w:bottom w:w="0" w:type="dxa"/>
          <w:right w:w="0" w:type="dxa"/>
        </w:tblCellMar>
      </w:tblPr>
      <w:tblGrid>
        <w:gridCol w:w="798"/>
        <w:gridCol w:w="816"/>
        <w:gridCol w:w="8265"/>
      </w:tblGrid>
      <w:tr>
        <w:tblPrEx>
          <w:tblCellMar>
            <w:top w:w="0" w:type="dxa"/>
            <w:left w:w="0" w:type="dxa"/>
            <w:bottom w:w="0" w:type="dxa"/>
            <w:right w:w="0" w:type="dxa"/>
          </w:tblCellMar>
        </w:tblPrEx>
        <w:trPr>
          <w:trHeight w:val="424" w:hRule="atLeast"/>
        </w:trPr>
        <w:tc>
          <w:tcPr>
            <w:tcW w:w="79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bookmarkStart w:id="33" w:name="_Toc182131617"/>
            <w:bookmarkStart w:id="34" w:name="_Toc26107"/>
            <w:r>
              <w:rPr>
                <w:rFonts w:hint="eastAsia" w:ascii="宋体" w:hAnsi="宋体" w:cs="宋体"/>
                <w:i w:val="0"/>
                <w:color w:val="000000"/>
                <w:sz w:val="22"/>
                <w:szCs w:val="22"/>
                <w:u w:val="none"/>
                <w:lang w:eastAsia="zh-CN"/>
              </w:rPr>
              <w:t>符合性审查表</w:t>
            </w:r>
          </w:p>
        </w:tc>
        <w:tc>
          <w:tcPr>
            <w:tcW w:w="908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blPrEx>
          <w:tblCellMar>
            <w:top w:w="0" w:type="dxa"/>
            <w:left w:w="0" w:type="dxa"/>
            <w:bottom w:w="0" w:type="dxa"/>
            <w:right w:w="0" w:type="dxa"/>
          </w:tblCellMar>
        </w:tblPrEx>
        <w:trPr>
          <w:trHeight w:val="437"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投标人名称是否与营业执照一致</w:t>
            </w:r>
          </w:p>
        </w:tc>
      </w:tr>
      <w:tr>
        <w:tblPrEx>
          <w:tblCellMar>
            <w:top w:w="0" w:type="dxa"/>
            <w:left w:w="0" w:type="dxa"/>
            <w:bottom w:w="0" w:type="dxa"/>
            <w:right w:w="0" w:type="dxa"/>
          </w:tblCellMar>
        </w:tblPrEx>
        <w:trPr>
          <w:trHeight w:val="456"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b w:val="0"/>
                <w:sz w:val="24"/>
                <w:lang w:val="en-US" w:eastAsia="zh-CN"/>
              </w:rPr>
              <w:t>按谈判文件规定要求签署、盖章的</w:t>
            </w:r>
            <w:r>
              <w:rPr>
                <w:rFonts w:hint="eastAsia" w:ascii="宋体" w:hAnsi="宋体" w:eastAsia="宋体" w:cs="宋体"/>
                <w:b w:val="0"/>
                <w:sz w:val="24"/>
                <w:lang w:eastAsia="zh-CN"/>
              </w:rPr>
              <w:t>。</w:t>
            </w:r>
          </w:p>
        </w:tc>
      </w:tr>
      <w:tr>
        <w:tblPrEx>
          <w:tblCellMar>
            <w:top w:w="0" w:type="dxa"/>
            <w:left w:w="0" w:type="dxa"/>
            <w:bottom w:w="0" w:type="dxa"/>
            <w:right w:w="0" w:type="dxa"/>
          </w:tblCellMar>
        </w:tblPrEx>
        <w:trPr>
          <w:trHeight w:val="444"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符合</w:t>
            </w:r>
            <w:r>
              <w:rPr>
                <w:rFonts w:hint="eastAsia" w:ascii="宋体" w:hAnsi="宋体" w:cs="宋体"/>
                <w:b w:val="0"/>
                <w:sz w:val="24"/>
                <w:lang w:eastAsia="zh-CN"/>
              </w:rPr>
              <w:t>谈判</w:t>
            </w:r>
            <w:r>
              <w:rPr>
                <w:rFonts w:hint="eastAsia" w:ascii="宋体" w:hAnsi="宋体" w:eastAsia="宋体" w:cs="宋体"/>
                <w:b w:val="0"/>
                <w:sz w:val="24"/>
                <w:lang w:eastAsia="zh-CN"/>
              </w:rPr>
              <w:t>文件要求，</w:t>
            </w:r>
            <w:r>
              <w:rPr>
                <w:rFonts w:hint="eastAsia" w:ascii="宋体" w:hAnsi="宋体" w:eastAsia="宋体" w:cs="宋体"/>
                <w:b w:val="0"/>
                <w:sz w:val="24"/>
              </w:rPr>
              <w:t>投标有效期</w:t>
            </w:r>
            <w:r>
              <w:rPr>
                <w:rFonts w:hint="eastAsia" w:ascii="宋体" w:hAnsi="宋体" w:eastAsia="宋体" w:cs="宋体"/>
                <w:b w:val="0"/>
                <w:sz w:val="24"/>
                <w:lang w:val="en-US" w:eastAsia="zh-CN"/>
              </w:rPr>
              <w:t>90天</w:t>
            </w:r>
          </w:p>
        </w:tc>
      </w:tr>
      <w:tr>
        <w:tblPrEx>
          <w:tblCellMar>
            <w:top w:w="0" w:type="dxa"/>
            <w:left w:w="0" w:type="dxa"/>
            <w:bottom w:w="0" w:type="dxa"/>
            <w:right w:w="0" w:type="dxa"/>
          </w:tblCellMar>
        </w:tblPrEx>
        <w:trPr>
          <w:trHeight w:val="432"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eastAsia="zh-CN"/>
              </w:rPr>
            </w:pPr>
            <w:r>
              <w:rPr>
                <w:rFonts w:hint="eastAsia" w:ascii="宋体" w:hAnsi="宋体" w:eastAsia="宋体" w:cs="宋体"/>
                <w:b w:val="0"/>
                <w:sz w:val="24"/>
                <w:lang w:val="en-US" w:eastAsia="zh-CN"/>
              </w:rPr>
              <w:t>投标文件是否按照招标文件要求编写、装订</w:t>
            </w:r>
          </w:p>
        </w:tc>
      </w:tr>
      <w:tr>
        <w:tblPrEx>
          <w:tblCellMar>
            <w:top w:w="0" w:type="dxa"/>
            <w:left w:w="0" w:type="dxa"/>
            <w:bottom w:w="0" w:type="dxa"/>
            <w:right w:w="0" w:type="dxa"/>
          </w:tblCellMar>
        </w:tblPrEx>
        <w:trPr>
          <w:trHeight w:val="433"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投标文件是否附有招标人不能接受的条件；</w:t>
            </w:r>
          </w:p>
        </w:tc>
      </w:tr>
      <w:tr>
        <w:tblPrEx>
          <w:tblCellMar>
            <w:top w:w="0" w:type="dxa"/>
            <w:left w:w="0" w:type="dxa"/>
            <w:bottom w:w="0" w:type="dxa"/>
            <w:right w:w="0" w:type="dxa"/>
          </w:tblCellMar>
        </w:tblPrEx>
        <w:trPr>
          <w:trHeight w:val="433"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投标人是否有违反招标投标纪律的。</w:t>
            </w:r>
          </w:p>
        </w:tc>
      </w:tr>
      <w:tr>
        <w:tblPrEx>
          <w:tblCellMar>
            <w:top w:w="0" w:type="dxa"/>
            <w:left w:w="0" w:type="dxa"/>
            <w:bottom w:w="0" w:type="dxa"/>
            <w:right w:w="0" w:type="dxa"/>
          </w:tblCellMar>
        </w:tblPrEx>
        <w:trPr>
          <w:trHeight w:val="506"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rPr>
              <w:t>未有明显不符合技术规格和技术标准（技术规格、合同条款有偏离情况的）；</w:t>
            </w:r>
          </w:p>
        </w:tc>
      </w:tr>
      <w:tr>
        <w:tblPrEx>
          <w:tblCellMar>
            <w:top w:w="0" w:type="dxa"/>
            <w:left w:w="0" w:type="dxa"/>
            <w:bottom w:w="0" w:type="dxa"/>
            <w:right w:w="0" w:type="dxa"/>
          </w:tblCellMar>
        </w:tblPrEx>
        <w:trPr>
          <w:trHeight w:val="493"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是否符合</w:t>
            </w:r>
            <w:r>
              <w:rPr>
                <w:rFonts w:hint="eastAsia" w:ascii="宋体" w:hAnsi="宋体" w:cs="宋体"/>
                <w:color w:val="000000"/>
                <w:kern w:val="0"/>
                <w:sz w:val="24"/>
                <w:lang w:eastAsia="zh-CN"/>
              </w:rPr>
              <w:t>竞争性谈判文件</w:t>
            </w:r>
            <w:r>
              <w:rPr>
                <w:rFonts w:hint="eastAsia" w:ascii="宋体" w:hAnsi="宋体" w:cs="宋体"/>
                <w:color w:val="000000"/>
                <w:kern w:val="0"/>
                <w:sz w:val="24"/>
              </w:rPr>
              <w:t>中规定的其他实质性要求</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491" w:hRule="atLeast"/>
        </w:trPr>
        <w:tc>
          <w:tcPr>
            <w:tcW w:w="798" w:type="dxa"/>
            <w:vMerge w:val="continue"/>
            <w:tcBorders>
              <w:left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商务条款未有偏离情况的；</w:t>
            </w:r>
          </w:p>
        </w:tc>
      </w:tr>
      <w:tr>
        <w:tblPrEx>
          <w:tblCellMar>
            <w:top w:w="0" w:type="dxa"/>
            <w:left w:w="0" w:type="dxa"/>
            <w:bottom w:w="0" w:type="dxa"/>
            <w:right w:w="0" w:type="dxa"/>
          </w:tblCellMar>
        </w:tblPrEx>
        <w:trPr>
          <w:trHeight w:val="491" w:hRule="atLeast"/>
        </w:trPr>
        <w:tc>
          <w:tcPr>
            <w:tcW w:w="798" w:type="dxa"/>
            <w:vMerge w:val="continue"/>
            <w:tcBorders>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w:t>
            </w:r>
          </w:p>
        </w:tc>
        <w:tc>
          <w:tcPr>
            <w:tcW w:w="8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eastAsia="宋体" w:cs="宋体"/>
                <w:color w:val="000000"/>
                <w:sz w:val="24"/>
                <w:szCs w:val="24"/>
                <w:lang w:val="en-US" w:eastAsia="zh-CN"/>
              </w:rPr>
              <w:t>是否缴纳投标保证金</w:t>
            </w:r>
            <w:r>
              <w:rPr>
                <w:rFonts w:hint="eastAsia" w:ascii="宋体" w:hAnsi="宋体" w:eastAsia="宋体" w:cs="宋体"/>
                <w:color w:val="000000"/>
                <w:sz w:val="24"/>
                <w:szCs w:val="24"/>
                <w:lang w:eastAsia="zh-CN"/>
              </w:rPr>
              <w:t>；</w:t>
            </w:r>
          </w:p>
        </w:tc>
      </w:tr>
    </w:tbl>
    <w:p>
      <w:pPr>
        <w:rPr>
          <w:rFonts w:hint="eastAsia"/>
          <w:lang w:val="en-US" w:eastAsia="zh-CN"/>
        </w:rPr>
      </w:pPr>
    </w:p>
    <w:p>
      <w:pPr>
        <w:pStyle w:val="7"/>
        <w:jc w:val="center"/>
      </w:pPr>
      <w:r>
        <w:rPr>
          <w:rFonts w:hint="eastAsia"/>
          <w:lang w:val="en-US" w:eastAsia="zh-CN"/>
        </w:rPr>
        <w:t>G</w:t>
      </w:r>
      <w:r>
        <w:t xml:space="preserve"> </w:t>
      </w:r>
      <w:r>
        <w:rPr>
          <w:rFonts w:hint="eastAsia"/>
        </w:rPr>
        <w:t>授予合同</w:t>
      </w:r>
      <w:bookmarkEnd w:id="33"/>
      <w:bookmarkEnd w:id="34"/>
    </w:p>
    <w:p>
      <w:pPr>
        <w:rPr>
          <w:sz w:val="24"/>
          <w:szCs w:val="24"/>
        </w:rPr>
      </w:pPr>
      <w:bookmarkStart w:id="35" w:name="_Toc182131618"/>
      <w:r>
        <w:rPr>
          <w:sz w:val="24"/>
          <w:szCs w:val="24"/>
        </w:rPr>
        <w:t>28</w:t>
      </w:r>
      <w:r>
        <w:rPr>
          <w:rFonts w:hint="eastAsia"/>
          <w:sz w:val="24"/>
          <w:szCs w:val="24"/>
        </w:rPr>
        <w:t>合同授予标准</w:t>
      </w:r>
      <w:bookmarkEnd w:id="35"/>
    </w:p>
    <w:p>
      <w:pPr>
        <w:rPr>
          <w:sz w:val="24"/>
          <w:szCs w:val="24"/>
        </w:rPr>
      </w:pPr>
      <w:r>
        <w:rPr>
          <w:sz w:val="24"/>
          <w:szCs w:val="24"/>
        </w:rPr>
        <w:t xml:space="preserve">28.1 </w:t>
      </w:r>
      <w:r>
        <w:rPr>
          <w:rFonts w:hint="eastAsia"/>
          <w:sz w:val="24"/>
          <w:szCs w:val="24"/>
        </w:rPr>
        <w:t>最低投标价不一定是被授予合同的保证。</w:t>
      </w:r>
    </w:p>
    <w:p>
      <w:pPr>
        <w:rPr>
          <w:sz w:val="24"/>
          <w:szCs w:val="24"/>
        </w:rPr>
      </w:pPr>
      <w:r>
        <w:rPr>
          <w:sz w:val="24"/>
          <w:szCs w:val="24"/>
        </w:rPr>
        <w:t xml:space="preserve">28.2 </w:t>
      </w:r>
      <w:r>
        <w:rPr>
          <w:rFonts w:hint="eastAsia"/>
          <w:sz w:val="24"/>
          <w:szCs w:val="24"/>
        </w:rPr>
        <w:t>如果确定该供应商无法圆满履行合同，采购代理将对下一个可能成交的供应商资格作出类似的审查。</w:t>
      </w:r>
    </w:p>
    <w:p>
      <w:pPr>
        <w:rPr>
          <w:sz w:val="24"/>
          <w:szCs w:val="24"/>
        </w:rPr>
      </w:pPr>
      <w:bookmarkStart w:id="36" w:name="_Toc182131619"/>
      <w:r>
        <w:rPr>
          <w:sz w:val="24"/>
          <w:szCs w:val="24"/>
        </w:rPr>
        <w:t>29</w:t>
      </w:r>
      <w:r>
        <w:rPr>
          <w:rFonts w:hint="eastAsia"/>
          <w:sz w:val="24"/>
          <w:szCs w:val="24"/>
        </w:rPr>
        <w:t>接受和拒绝任何或所有投标的权力</w:t>
      </w:r>
      <w:bookmarkEnd w:id="36"/>
    </w:p>
    <w:p>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pPr>
        <w:rPr>
          <w:sz w:val="24"/>
          <w:szCs w:val="24"/>
        </w:rPr>
      </w:pPr>
      <w:bookmarkStart w:id="37" w:name="_Toc182131620"/>
      <w:r>
        <w:rPr>
          <w:sz w:val="24"/>
          <w:szCs w:val="24"/>
        </w:rPr>
        <w:t>30</w:t>
      </w:r>
      <w:r>
        <w:rPr>
          <w:rFonts w:hint="eastAsia"/>
          <w:sz w:val="24"/>
          <w:szCs w:val="24"/>
        </w:rPr>
        <w:t>成交通知书</w:t>
      </w:r>
      <w:bookmarkEnd w:id="37"/>
    </w:p>
    <w:p>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pPr>
        <w:rPr>
          <w:sz w:val="24"/>
          <w:szCs w:val="24"/>
        </w:rPr>
      </w:pPr>
      <w:r>
        <w:rPr>
          <w:sz w:val="24"/>
          <w:szCs w:val="24"/>
        </w:rPr>
        <w:t xml:space="preserve">30.2 </w:t>
      </w:r>
      <w:r>
        <w:rPr>
          <w:rFonts w:hint="eastAsia"/>
          <w:sz w:val="24"/>
          <w:szCs w:val="24"/>
        </w:rPr>
        <w:t>《成交通知书》将作为签订合同的依据。</w:t>
      </w:r>
    </w:p>
    <w:p>
      <w:pPr>
        <w:rPr>
          <w:sz w:val="24"/>
          <w:szCs w:val="24"/>
        </w:rPr>
      </w:pPr>
      <w:r>
        <w:rPr>
          <w:sz w:val="24"/>
          <w:szCs w:val="24"/>
        </w:rPr>
        <w:t>30.3</w:t>
      </w:r>
      <w:r>
        <w:rPr>
          <w:rFonts w:hint="eastAsia"/>
          <w:sz w:val="24"/>
          <w:szCs w:val="24"/>
        </w:rPr>
        <w:t>采购代理将在成交方按规定签订合同并提交履约保证金（如适用）后退还其谈判保证金。</w:t>
      </w:r>
    </w:p>
    <w:p>
      <w:pPr>
        <w:rPr>
          <w:sz w:val="24"/>
          <w:szCs w:val="24"/>
        </w:rPr>
      </w:pPr>
      <w:bookmarkStart w:id="38" w:name="_Toc182131621"/>
      <w:r>
        <w:rPr>
          <w:sz w:val="24"/>
          <w:szCs w:val="24"/>
        </w:rPr>
        <w:t>31</w:t>
      </w:r>
      <w:r>
        <w:rPr>
          <w:rFonts w:hint="eastAsia"/>
          <w:sz w:val="24"/>
          <w:szCs w:val="24"/>
        </w:rPr>
        <w:t>签订合同</w:t>
      </w:r>
      <w:bookmarkEnd w:id="38"/>
    </w:p>
    <w:p>
      <w:pPr>
        <w:rPr>
          <w:sz w:val="24"/>
          <w:szCs w:val="24"/>
        </w:rPr>
      </w:pPr>
      <w:r>
        <w:rPr>
          <w:sz w:val="24"/>
          <w:szCs w:val="24"/>
        </w:rPr>
        <w:t xml:space="preserve">31.1 </w:t>
      </w:r>
      <w:r>
        <w:rPr>
          <w:rFonts w:hint="eastAsia"/>
          <w:sz w:val="24"/>
          <w:szCs w:val="24"/>
        </w:rPr>
        <w:t>供应商收到《成交通知书》后，</w:t>
      </w:r>
      <w:r>
        <w:rPr>
          <w:sz w:val="24"/>
          <w:szCs w:val="24"/>
        </w:rPr>
        <w:t>30</w:t>
      </w:r>
      <w:r>
        <w:rPr>
          <w:rFonts w:hint="eastAsia"/>
          <w:sz w:val="24"/>
          <w:szCs w:val="24"/>
        </w:rPr>
        <w:t>日内与采购商签订合同。采购商和成交人不得再订立背离合同实质性内容的其他协议。</w:t>
      </w:r>
    </w:p>
    <w:p>
      <w:pPr>
        <w:rPr>
          <w:sz w:val="24"/>
          <w:szCs w:val="24"/>
        </w:rPr>
      </w:pPr>
      <w:r>
        <w:rPr>
          <w:sz w:val="24"/>
          <w:szCs w:val="24"/>
        </w:rPr>
        <w:t xml:space="preserve">31.2 </w:t>
      </w:r>
      <w:r>
        <w:rPr>
          <w:rFonts w:hint="eastAsia"/>
          <w:sz w:val="24"/>
          <w:szCs w:val="24"/>
        </w:rPr>
        <w:t>如成交方拒签合同，则按违约处理。采购代理没收其谈判保证金。</w:t>
      </w:r>
    </w:p>
    <w:p>
      <w:pPr>
        <w:rPr>
          <w:sz w:val="24"/>
          <w:szCs w:val="24"/>
        </w:rPr>
      </w:pPr>
      <w:r>
        <w:rPr>
          <w:sz w:val="24"/>
          <w:szCs w:val="24"/>
        </w:rPr>
        <w:t>31.3</w:t>
      </w:r>
      <w:r>
        <w:rPr>
          <w:rFonts w:hint="eastAsia"/>
          <w:sz w:val="24"/>
          <w:szCs w:val="24"/>
        </w:rPr>
        <w:t>谈判文件、成交方的谈判相应文件及其澄清文件等，均为签订经济合同的依据。</w:t>
      </w:r>
    </w:p>
    <w:p>
      <w:pPr>
        <w:rPr>
          <w:sz w:val="24"/>
          <w:szCs w:val="24"/>
        </w:rPr>
      </w:pPr>
      <w:r>
        <w:rPr>
          <w:sz w:val="24"/>
          <w:szCs w:val="24"/>
        </w:rPr>
        <w:t xml:space="preserve">32 </w:t>
      </w:r>
      <w:r>
        <w:rPr>
          <w:rFonts w:hint="eastAsia"/>
          <w:sz w:val="24"/>
          <w:szCs w:val="24"/>
        </w:rPr>
        <w:t>履约保证金（如适用）</w:t>
      </w:r>
    </w:p>
    <w:p>
      <w:pPr>
        <w:rPr>
          <w:sz w:val="24"/>
          <w:szCs w:val="24"/>
        </w:rPr>
      </w:pPr>
      <w:r>
        <w:rPr>
          <w:sz w:val="24"/>
          <w:szCs w:val="24"/>
        </w:rPr>
        <w:t>32.1</w:t>
      </w:r>
      <w:r>
        <w:rPr>
          <w:rFonts w:hint="eastAsia"/>
          <w:sz w:val="24"/>
          <w:szCs w:val="24"/>
        </w:rPr>
        <w:t>成交方应按合同规定的方式、时间和金额向买方提交履约保证金。</w:t>
      </w:r>
    </w:p>
    <w:p>
      <w:pPr>
        <w:bidi w:val="0"/>
        <w:jc w:val="center"/>
        <w:rPr>
          <w:rFonts w:hint="eastAsia" w:ascii="Times New Roman" w:hAnsi="Times New Roman" w:eastAsia="宋体" w:cs="Times New Roman"/>
          <w:b/>
          <w:bCs/>
          <w:kern w:val="2"/>
          <w:sz w:val="32"/>
          <w:szCs w:val="32"/>
          <w:lang w:val="en-US" w:eastAsia="zh-CN" w:bidi="ar-SA"/>
        </w:rPr>
      </w:pPr>
      <w:bookmarkStart w:id="39" w:name="_Toc2387"/>
      <w:r>
        <w:rPr>
          <w:rFonts w:hint="eastAsia" w:ascii="Times New Roman" w:hAnsi="Times New Roman" w:eastAsia="宋体" w:cs="Times New Roman"/>
          <w:b/>
          <w:bCs/>
          <w:kern w:val="2"/>
          <w:sz w:val="32"/>
          <w:szCs w:val="32"/>
          <w:lang w:val="en-US" w:eastAsia="zh-CN" w:bidi="ar-SA"/>
        </w:rPr>
        <w:t>H  谈判失败条件</w:t>
      </w:r>
      <w:bookmarkEnd w:id="39"/>
    </w:p>
    <w:p>
      <w:pPr>
        <w:rPr>
          <w:bCs/>
          <w:sz w:val="24"/>
          <w:szCs w:val="24"/>
        </w:rPr>
      </w:pPr>
      <w:r>
        <w:rPr>
          <w:bCs/>
          <w:sz w:val="24"/>
          <w:szCs w:val="24"/>
        </w:rPr>
        <w:t>33.</w:t>
      </w:r>
      <w:r>
        <w:rPr>
          <w:rFonts w:hint="eastAsia"/>
          <w:bCs/>
          <w:sz w:val="24"/>
          <w:szCs w:val="24"/>
        </w:rPr>
        <w:t>出现影响采购公正的违法、违规行为的；</w:t>
      </w:r>
    </w:p>
    <w:p>
      <w:pPr>
        <w:rPr>
          <w:bCs/>
          <w:sz w:val="24"/>
          <w:szCs w:val="24"/>
        </w:rPr>
      </w:pPr>
      <w:r>
        <w:rPr>
          <w:bCs/>
          <w:sz w:val="24"/>
          <w:szCs w:val="24"/>
        </w:rPr>
        <w:t>34.</w:t>
      </w:r>
      <w:r>
        <w:rPr>
          <w:rFonts w:hint="eastAsia"/>
          <w:bCs/>
          <w:sz w:val="24"/>
          <w:szCs w:val="24"/>
        </w:rPr>
        <w:t>因重大变故，采购任务取消的；</w:t>
      </w:r>
    </w:p>
    <w:p>
      <w:pPr>
        <w:rPr>
          <w:bCs/>
          <w:sz w:val="24"/>
          <w:szCs w:val="24"/>
        </w:rPr>
      </w:pPr>
      <w:r>
        <w:rPr>
          <w:bCs/>
          <w:sz w:val="24"/>
          <w:szCs w:val="24"/>
        </w:rPr>
        <w:t>35.</w:t>
      </w:r>
      <w:r>
        <w:rPr>
          <w:rFonts w:hint="eastAsia"/>
          <w:bCs/>
          <w:sz w:val="24"/>
          <w:szCs w:val="24"/>
        </w:rPr>
        <w:t>谈判响应文件截止时间后，实际参与的供应商不足法定家数的；</w:t>
      </w:r>
    </w:p>
    <w:p>
      <w:pPr>
        <w:rPr>
          <w:bCs/>
          <w:sz w:val="24"/>
          <w:szCs w:val="24"/>
        </w:rPr>
      </w:pPr>
      <w:r>
        <w:rPr>
          <w:bCs/>
          <w:sz w:val="24"/>
          <w:szCs w:val="24"/>
        </w:rPr>
        <w:t>36.</w:t>
      </w:r>
      <w:r>
        <w:rPr>
          <w:rFonts w:hint="eastAsia"/>
          <w:bCs/>
          <w:sz w:val="24"/>
          <w:szCs w:val="24"/>
        </w:rPr>
        <w:t>最终报价均超过采购预算的；</w:t>
      </w:r>
    </w:p>
    <w:p>
      <w:pPr>
        <w:rPr>
          <w:bCs/>
          <w:sz w:val="24"/>
          <w:szCs w:val="24"/>
        </w:rPr>
      </w:pPr>
      <w:r>
        <w:rPr>
          <w:bCs/>
          <w:sz w:val="24"/>
          <w:szCs w:val="24"/>
        </w:rPr>
        <w:t>37.</w:t>
      </w:r>
      <w:r>
        <w:rPr>
          <w:rFonts w:hint="eastAsia"/>
          <w:bCs/>
          <w:sz w:val="24"/>
          <w:szCs w:val="24"/>
        </w:rPr>
        <w:t>对谈判文件作出实质性响应的供应商不足法定家数的。</w:t>
      </w:r>
    </w:p>
    <w:p>
      <w:pPr>
        <w:rPr>
          <w:sz w:val="24"/>
          <w:szCs w:val="24"/>
        </w:rPr>
      </w:pPr>
      <w:r>
        <w:rPr>
          <w:sz w:val="24"/>
          <w:szCs w:val="24"/>
        </w:rPr>
        <w:br w:type="page"/>
      </w:r>
    </w:p>
    <w:p>
      <w:pPr>
        <w:pStyle w:val="6"/>
        <w:numPr>
          <w:ilvl w:val="0"/>
          <w:numId w:val="3"/>
        </w:numPr>
        <w:ind w:left="3570" w:leftChars="0" w:firstLineChars="0"/>
        <w:jc w:val="both"/>
        <w:rPr>
          <w:rFonts w:hint="eastAsia" w:eastAsia="仿宋"/>
          <w:b/>
          <w:bCs/>
          <w:sz w:val="24"/>
          <w:szCs w:val="24"/>
          <w:lang w:eastAsia="zh-CN"/>
        </w:rPr>
      </w:pPr>
      <w:bookmarkStart w:id="40" w:name="_Toc298240411"/>
      <w:bookmarkStart w:id="41" w:name="_Toc9413"/>
      <w:bookmarkStart w:id="42" w:name="_Toc356488108"/>
      <w:bookmarkStart w:id="43" w:name="_Toc349637926"/>
      <w:bookmarkStart w:id="44" w:name="_Toc349573127"/>
      <w:r>
        <w:t xml:space="preserve"> </w:t>
      </w:r>
      <w:r>
        <w:rPr>
          <w:rFonts w:hint="eastAsia"/>
        </w:rPr>
        <w:t>技术要求</w:t>
      </w:r>
      <w:bookmarkEnd w:id="40"/>
      <w:bookmarkEnd w:id="41"/>
      <w:bookmarkEnd w:id="42"/>
      <w:bookmarkEnd w:id="43"/>
      <w:bookmarkEnd w:id="44"/>
    </w:p>
    <w:p>
      <w:pPr>
        <w:keepNext w:val="0"/>
        <w:keepLines w:val="0"/>
        <w:pageBreakBefore w:val="0"/>
        <w:widowControl w:val="0"/>
        <w:kinsoku/>
        <w:wordWrap/>
        <w:overflowPunct/>
        <w:topLinePunct w:val="0"/>
        <w:autoSpaceDE/>
        <w:autoSpaceDN/>
        <w:bidi w:val="0"/>
        <w:snapToGrid/>
        <w:spacing w:before="0" w:beforeLines="0" w:after="0" w:afterLines="0" w:line="440" w:lineRule="exact"/>
        <w:ind w:left="0" w:leftChars="0" w:right="0" w:rightChars="0" w:firstLine="0" w:firstLineChars="0"/>
        <w:jc w:val="center"/>
        <w:outlineLvl w:val="9"/>
        <w:rPr>
          <w:rFonts w:hint="eastAsia" w:eastAsia="仿宋"/>
          <w:b/>
          <w:bCs/>
          <w:sz w:val="28"/>
          <w:szCs w:val="28"/>
          <w:lang w:eastAsia="zh-CN"/>
        </w:rPr>
      </w:pPr>
      <w:r>
        <w:rPr>
          <w:rFonts w:hint="default" w:ascii="Times New Roman" w:hAnsi="Times New Roman" w:eastAsia="宋体" w:cs="Times New Roman"/>
          <w:b/>
          <w:bCs/>
          <w:sz w:val="28"/>
          <w:szCs w:val="28"/>
        </w:rPr>
        <w:t>新疆医科大学第一附属医院视频监控系统设备招标项目</w:t>
      </w:r>
      <w:r>
        <w:rPr>
          <w:rFonts w:hint="eastAsia" w:ascii="Times New Roman" w:hAnsi="Times New Roman" w:eastAsia="宋体" w:cs="Times New Roman"/>
          <w:b/>
          <w:bCs/>
          <w:sz w:val="28"/>
          <w:szCs w:val="28"/>
          <w:lang w:eastAsia="zh-CN"/>
        </w:rPr>
        <w:t>要求及参数</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宋体" w:hAnsi="宋体"/>
          <w:bCs/>
          <w:color w:val="auto"/>
          <w:sz w:val="28"/>
          <w:szCs w:val="28"/>
        </w:rPr>
      </w:pPr>
      <w:r>
        <w:rPr>
          <w:rFonts w:hint="eastAsia" w:ascii="宋体" w:hAnsi="宋体"/>
          <w:b/>
          <w:bCs w:val="0"/>
          <w:color w:val="auto"/>
          <w:sz w:val="28"/>
          <w:szCs w:val="28"/>
        </w:rPr>
        <w:t>项目</w:t>
      </w:r>
      <w:r>
        <w:rPr>
          <w:rFonts w:hint="eastAsia" w:ascii="宋体" w:hAnsi="宋体"/>
          <w:bCs/>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color w:val="auto"/>
          <w:sz w:val="28"/>
          <w:szCs w:val="28"/>
          <w:lang w:val="en-US" w:eastAsia="zh-CN"/>
        </w:rPr>
      </w:pPr>
      <w:r>
        <w:rPr>
          <w:rFonts w:hint="eastAsia" w:ascii="宋体" w:hAnsi="宋体"/>
          <w:color w:val="auto"/>
          <w:sz w:val="28"/>
          <w:szCs w:val="28"/>
          <w:lang w:val="en-US" w:eastAsia="zh-CN"/>
        </w:rPr>
        <w:t xml:space="preserve">    我院的视频监控系统因落实政府部门安全管理要求、解决各科室在实际工作中的需求和解决出现的问题等原因，使每年度的视频监控系统建设难以做到计划性，此类系统建设、零星施工项目虽然单项金额较少，但每年频次较多、需求紧迫。因此，为高效率的完成此类工作，现对视频监控系统设备采购及安装以</w:t>
      </w:r>
      <w:r>
        <w:rPr>
          <w:rFonts w:hint="eastAsia" w:ascii="Times New Roman" w:hAnsi="Times New Roman" w:cs="Times New Roman"/>
          <w:color w:val="auto"/>
          <w:sz w:val="28"/>
          <w:szCs w:val="28"/>
          <w:lang w:val="en-US" w:eastAsia="zh-CN"/>
        </w:rPr>
        <w:t>单价形式</w:t>
      </w:r>
      <w:r>
        <w:rPr>
          <w:rFonts w:hint="eastAsia" w:ascii="宋体" w:hAnsi="宋体"/>
          <w:color w:val="auto"/>
          <w:sz w:val="28"/>
          <w:szCs w:val="28"/>
          <w:lang w:val="en-US" w:eastAsia="zh-CN"/>
        </w:rPr>
        <w:t>进行</w:t>
      </w:r>
      <w:r>
        <w:rPr>
          <w:rFonts w:hint="eastAsia" w:ascii="Times New Roman" w:hAnsi="Times New Roman" w:cs="Times New Roman"/>
          <w:color w:val="auto"/>
          <w:sz w:val="28"/>
          <w:szCs w:val="28"/>
          <w:lang w:val="en-US" w:eastAsia="zh-CN"/>
        </w:rPr>
        <w:t>招标。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b/>
          <w:bCs/>
          <w:color w:val="auto"/>
          <w:sz w:val="28"/>
          <w:szCs w:val="28"/>
          <w:lang w:val="en-US" w:eastAsia="zh-CN"/>
        </w:rPr>
      </w:pPr>
      <w:r>
        <w:rPr>
          <w:rFonts w:hint="eastAsia"/>
          <w:b/>
          <w:bCs/>
          <w:color w:val="auto"/>
          <w:sz w:val="28"/>
          <w:szCs w:val="28"/>
          <w:lang w:eastAsia="zh-CN"/>
        </w:rPr>
        <w:t>二、投标人</w:t>
      </w:r>
      <w:r>
        <w:rPr>
          <w:rFonts w:hint="eastAsia"/>
          <w:b/>
          <w:bCs/>
          <w:color w:val="auto"/>
          <w:sz w:val="28"/>
          <w:szCs w:val="28"/>
          <w:lang w:val="en-US" w:eastAsia="zh-CN"/>
        </w:rPr>
        <w:t>资质要求：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color w:val="auto"/>
          <w:sz w:val="28"/>
          <w:szCs w:val="28"/>
          <w:lang w:val="en-US" w:eastAsia="zh-CN"/>
        </w:rPr>
      </w:pPr>
      <w:r>
        <w:rPr>
          <w:rFonts w:hint="eastAsia"/>
          <w:color w:val="auto"/>
          <w:sz w:val="28"/>
          <w:szCs w:val="28"/>
          <w:lang w:val="en-US" w:eastAsia="zh-CN"/>
        </w:rPr>
        <w:t>（一）投标人必须是中华人民共和国境内注册的，具有独立法人资格的企业，拥有有效的营业执照。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二）投标人须提供在“信用中国”（www.creditchina.gov.cn）网站及“中国政府采购网”上未被列入失信被执行人、重大税收违法案件当事人名单的网页打印件（网页打印件须自招标文件发布之日起至首次提交投标文件截止时间内从上述网站中打印）并加盖公章。</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color w:val="auto"/>
          <w:lang w:eastAsia="zh-CN"/>
        </w:rPr>
      </w:pPr>
      <w:r>
        <w:rPr>
          <w:rFonts w:hint="eastAsia" w:cs="Times New Roman"/>
          <w:color w:val="auto"/>
          <w:sz w:val="28"/>
          <w:szCs w:val="28"/>
          <w:lang w:val="en-US" w:eastAsia="zh-CN"/>
        </w:rPr>
        <w:t>（三）投标单位需具备《安防工程企业资质等级证书》三级及以上资质证书。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0" w:right="0" w:rightChars="0"/>
        <w:jc w:val="both"/>
        <w:textAlignment w:val="auto"/>
        <w:outlineLvl w:val="9"/>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三、产品技术要求：</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0" w:right="0" w:rightChars="0"/>
        <w:jc w:val="both"/>
        <w:textAlignment w:val="auto"/>
        <w:outlineLvl w:val="9"/>
        <w:rPr>
          <w:rFonts w:hint="default"/>
          <w:b w:val="0"/>
          <w:bCs w:val="0"/>
          <w:color w:val="auto"/>
          <w:lang w:val="en-US" w:eastAsia="zh-CN"/>
        </w:rPr>
      </w:pPr>
      <w:r>
        <w:rPr>
          <w:rFonts w:hint="eastAsia" w:ascii="宋体" w:hAnsi="宋体"/>
          <w:b/>
          <w:bCs/>
          <w:color w:val="auto"/>
          <w:sz w:val="28"/>
          <w:szCs w:val="28"/>
          <w:lang w:val="en-US" w:eastAsia="zh-CN"/>
        </w:rPr>
        <w:t xml:space="preserve">   </w:t>
      </w:r>
      <w:r>
        <w:rPr>
          <w:rFonts w:hint="eastAsia" w:ascii="宋体" w:hAnsi="宋体"/>
          <w:b w:val="0"/>
          <w:bCs w:val="0"/>
          <w:color w:val="auto"/>
          <w:sz w:val="28"/>
          <w:szCs w:val="28"/>
          <w:lang w:val="en-US" w:eastAsia="zh-CN"/>
        </w:rPr>
        <w:t>我院目前视频监控系统为海康品牌，因此，提供的产品必须能够必须能够与我院目前的视频监控系统兼容、对接并确保运行正常。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0" w:right="0" w:rightChars="0"/>
        <w:jc w:val="both"/>
        <w:textAlignment w:val="auto"/>
        <w:outlineLvl w:val="9"/>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四、设备及施工要求：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b w:val="0"/>
          <w:bCs w:val="0"/>
          <w:color w:val="auto"/>
          <w:sz w:val="28"/>
          <w:szCs w:val="28"/>
          <w:lang w:val="en-US" w:eastAsia="zh-CN"/>
        </w:rPr>
      </w:pPr>
      <w:r>
        <w:rPr>
          <w:rFonts w:hint="eastAsia" w:ascii="宋体" w:hAnsi="宋体"/>
          <w:b w:val="0"/>
          <w:bCs w:val="0"/>
          <w:color w:val="auto"/>
          <w:sz w:val="28"/>
          <w:szCs w:val="28"/>
          <w:lang w:val="en-US" w:eastAsia="zh-CN"/>
        </w:rPr>
        <w:t>1、</w:t>
      </w:r>
      <w:r>
        <w:rPr>
          <w:rFonts w:hint="eastAsia"/>
          <w:color w:val="auto"/>
          <w:sz w:val="28"/>
          <w:szCs w:val="28"/>
          <w:lang w:val="en-US" w:eastAsia="zh-CN"/>
        </w:rPr>
        <w:t>此次招标的中标单位必须做好必要的设备储备，确保在接到我院设备采购安装要求后，按时施工并按期完工，不得延误我院的工作。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auto"/>
          <w:sz w:val="28"/>
          <w:szCs w:val="28"/>
          <w:lang w:eastAsia="zh-CN"/>
        </w:rPr>
      </w:pPr>
      <w:r>
        <w:rPr>
          <w:rFonts w:hint="eastAsia" w:ascii="宋体" w:hAnsi="宋体"/>
          <w:b w:val="0"/>
          <w:bCs w:val="0"/>
          <w:color w:val="auto"/>
          <w:sz w:val="28"/>
          <w:szCs w:val="28"/>
          <w:lang w:val="en-US" w:eastAsia="zh-CN"/>
        </w:rPr>
        <w:t>2、提供的设备、部件等产品应为完好、未经使用并经</w:t>
      </w:r>
      <w:r>
        <w:rPr>
          <w:rFonts w:hint="eastAsia" w:ascii="宋体" w:hAnsi="宋体"/>
          <w:color w:val="auto"/>
          <w:sz w:val="28"/>
          <w:szCs w:val="28"/>
        </w:rPr>
        <w:t>国家</w:t>
      </w:r>
      <w:r>
        <w:rPr>
          <w:rFonts w:hint="eastAsia" w:ascii="宋体" w:hAnsi="宋体"/>
          <w:color w:val="auto"/>
          <w:sz w:val="28"/>
          <w:szCs w:val="28"/>
          <w:lang w:eastAsia="zh-CN"/>
        </w:rPr>
        <w:t>相关机构</w:t>
      </w:r>
      <w:r>
        <w:rPr>
          <w:rFonts w:hint="eastAsia" w:ascii="宋体" w:hAnsi="宋体"/>
          <w:color w:val="auto"/>
          <w:sz w:val="28"/>
          <w:szCs w:val="28"/>
        </w:rPr>
        <w:t>检测合格</w:t>
      </w:r>
      <w:r>
        <w:rPr>
          <w:rFonts w:hint="eastAsia" w:ascii="宋体" w:hAnsi="宋体"/>
          <w:color w:val="auto"/>
          <w:sz w:val="28"/>
          <w:szCs w:val="28"/>
          <w:lang w:eastAsia="zh-CN"/>
        </w:rPr>
        <w:t>的国产优质品牌产品。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按照</w:t>
      </w:r>
      <w:r>
        <w:rPr>
          <w:rFonts w:hint="eastAsia" w:ascii="宋体" w:hAnsi="宋体"/>
          <w:color w:val="auto"/>
          <w:sz w:val="28"/>
          <w:szCs w:val="28"/>
          <w:lang w:eastAsia="zh-CN"/>
        </w:rPr>
        <w:t>安</w:t>
      </w:r>
      <w:r>
        <w:rPr>
          <w:rFonts w:hint="eastAsia" w:ascii="宋体" w:hAnsi="宋体"/>
          <w:color w:val="auto"/>
          <w:sz w:val="28"/>
          <w:szCs w:val="28"/>
        </w:rPr>
        <w:t>防相关规范、技术</w:t>
      </w:r>
      <w:r>
        <w:rPr>
          <w:rFonts w:hint="eastAsia" w:ascii="宋体" w:hAnsi="宋体"/>
          <w:color w:val="auto"/>
          <w:sz w:val="28"/>
          <w:szCs w:val="28"/>
          <w:lang w:eastAsia="zh-CN"/>
        </w:rPr>
        <w:t>和其他施工作业的规范</w:t>
      </w:r>
      <w:r>
        <w:rPr>
          <w:rFonts w:hint="eastAsia" w:ascii="宋体" w:hAnsi="宋体"/>
          <w:color w:val="auto"/>
          <w:sz w:val="28"/>
          <w:szCs w:val="28"/>
        </w:rPr>
        <w:t>要求进行</w:t>
      </w:r>
      <w:r>
        <w:rPr>
          <w:rFonts w:hint="eastAsia" w:ascii="宋体" w:hAnsi="宋体"/>
          <w:color w:val="auto"/>
          <w:sz w:val="28"/>
          <w:szCs w:val="28"/>
          <w:lang w:eastAsia="zh-CN"/>
        </w:rPr>
        <w:t>施工、</w:t>
      </w:r>
      <w:r>
        <w:rPr>
          <w:rFonts w:hint="eastAsia" w:ascii="宋体" w:hAnsi="宋体"/>
          <w:color w:val="auto"/>
          <w:sz w:val="28"/>
          <w:szCs w:val="28"/>
        </w:rPr>
        <w:t>安装</w:t>
      </w:r>
      <w:r>
        <w:rPr>
          <w:rFonts w:hint="eastAsia" w:ascii="宋体" w:hAnsi="宋体"/>
          <w:color w:val="auto"/>
          <w:sz w:val="28"/>
          <w:szCs w:val="28"/>
          <w:lang w:eastAsia="zh-CN"/>
        </w:rPr>
        <w:t>和调试</w:t>
      </w:r>
      <w:r>
        <w:rPr>
          <w:rFonts w:hint="eastAsia" w:ascii="宋体" w:hAnsi="宋体"/>
          <w:color w:val="auto"/>
          <w:sz w:val="28"/>
          <w:szCs w:val="28"/>
        </w:rPr>
        <w:t>，</w:t>
      </w:r>
      <w:r>
        <w:rPr>
          <w:rFonts w:hint="eastAsia" w:ascii="宋体" w:hAnsi="宋体"/>
          <w:color w:val="auto"/>
          <w:sz w:val="28"/>
          <w:szCs w:val="28"/>
          <w:lang w:eastAsia="zh-CN"/>
        </w:rPr>
        <w:t>安</w:t>
      </w:r>
      <w:r>
        <w:rPr>
          <w:rFonts w:hint="eastAsia" w:ascii="宋体" w:hAnsi="宋体"/>
          <w:color w:val="auto"/>
          <w:sz w:val="28"/>
          <w:szCs w:val="28"/>
        </w:rPr>
        <w:t>防设施施工工艺、材料、辅材应符合</w:t>
      </w:r>
      <w:r>
        <w:rPr>
          <w:rFonts w:hint="eastAsia" w:ascii="宋体" w:hAnsi="宋体"/>
          <w:color w:val="auto"/>
          <w:sz w:val="28"/>
          <w:szCs w:val="28"/>
          <w:lang w:eastAsia="zh-CN"/>
        </w:rPr>
        <w:t>安</w:t>
      </w:r>
      <w:r>
        <w:rPr>
          <w:rFonts w:hint="eastAsia" w:ascii="宋体" w:hAnsi="宋体"/>
          <w:color w:val="auto"/>
          <w:sz w:val="28"/>
          <w:szCs w:val="28"/>
        </w:rPr>
        <w:t>防相关规范、技术要求及规定。</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color w:val="auto"/>
          <w:lang w:val="en-US" w:eastAsia="zh-CN"/>
        </w:rPr>
      </w:pPr>
      <w:r>
        <w:rPr>
          <w:rFonts w:hint="eastAsia" w:ascii="宋体" w:hAnsi="宋体"/>
          <w:color w:val="auto"/>
          <w:sz w:val="28"/>
          <w:szCs w:val="28"/>
          <w:lang w:val="en-US" w:eastAsia="zh-CN"/>
        </w:rPr>
        <w:t>4、所有施工项目不得转包第三方。</w:t>
      </w:r>
    </w:p>
    <w:p>
      <w:pP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五、设备清单</w:t>
      </w:r>
    </w:p>
    <w:tbl>
      <w:tblPr>
        <w:tblStyle w:val="48"/>
        <w:tblW w:w="10222" w:type="dxa"/>
        <w:jc w:val="center"/>
        <w:tblLayout w:type="fixed"/>
        <w:tblCellMar>
          <w:top w:w="0" w:type="dxa"/>
          <w:left w:w="0" w:type="dxa"/>
          <w:bottom w:w="0" w:type="dxa"/>
          <w:right w:w="0" w:type="dxa"/>
        </w:tblCellMar>
      </w:tblPr>
      <w:tblGrid>
        <w:gridCol w:w="394"/>
        <w:gridCol w:w="1110"/>
        <w:gridCol w:w="6135"/>
        <w:gridCol w:w="420"/>
        <w:gridCol w:w="450"/>
        <w:gridCol w:w="855"/>
        <w:gridCol w:w="858"/>
      </w:tblGrid>
      <w:tr>
        <w:tblPrEx>
          <w:tblCellMar>
            <w:top w:w="0" w:type="dxa"/>
            <w:left w:w="0" w:type="dxa"/>
            <w:bottom w:w="0" w:type="dxa"/>
            <w:right w:w="0" w:type="dxa"/>
          </w:tblCellMar>
        </w:tblPrEx>
        <w:trPr>
          <w:trHeight w:val="351"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名称</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设备材料技术参数规格</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设备单价</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安装费</w:t>
            </w:r>
          </w:p>
        </w:tc>
      </w:tr>
      <w:tr>
        <w:tblPrEx>
          <w:tblCellMar>
            <w:top w:w="0" w:type="dxa"/>
            <w:left w:w="0" w:type="dxa"/>
            <w:bottom w:w="0" w:type="dxa"/>
            <w:right w:w="0" w:type="dxa"/>
          </w:tblCellMar>
        </w:tblPrEx>
        <w:trPr>
          <w:trHeight w:val="1530" w:hRule="atLeast"/>
          <w:jc w:val="center"/>
        </w:trPr>
        <w:tc>
          <w:tcPr>
            <w:tcW w:w="394"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111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视频综合管理平台（主机）</w:t>
            </w:r>
          </w:p>
        </w:tc>
        <w:tc>
          <w:tcPr>
            <w:tcW w:w="6135"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1. 8U标准机箱，满足各种规模的监控需求；</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2. 标准机架式设计，运营级ATCA机箱系统；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3. 插拔式模块化设计，可根据需求灵活扩展；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4. 5槽位机箱，双电源适配器，单主控板；</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5. 业务模块支持热插拔、双电源冗余、智能风扇自动调温，确保系统稳定可靠；</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rPr>
            </w:pPr>
            <w:r>
              <w:rPr>
                <w:rFonts w:hint="eastAsia"/>
                <w:color w:val="auto"/>
                <w:sz w:val="18"/>
                <w:szCs w:val="18"/>
                <w:lang w:val="en-US" w:eastAsia="zh-CN"/>
              </w:rPr>
              <w:t>6. 双高速无阻塞背板设计，满足大容量视频数据高速交换的需求</w:t>
            </w:r>
            <w:r>
              <w:rPr>
                <w:rFonts w:hint="eastAsia"/>
                <w:color w:val="auto"/>
                <w:lang w:val="en-US" w:eastAsia="zh-CN"/>
              </w:rPr>
              <w:t>。</w:t>
            </w:r>
          </w:p>
        </w:tc>
        <w:tc>
          <w:tcPr>
            <w:tcW w:w="42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48860.00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2500.00 </w:t>
            </w:r>
          </w:p>
        </w:tc>
      </w:tr>
      <w:tr>
        <w:tblPrEx>
          <w:tblCellMar>
            <w:top w:w="0" w:type="dxa"/>
            <w:left w:w="0" w:type="dxa"/>
            <w:bottom w:w="0" w:type="dxa"/>
            <w:right w:w="0" w:type="dxa"/>
          </w:tblCellMar>
        </w:tblPrEx>
        <w:trPr>
          <w:trHeight w:val="2314"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视频综合管理平台（扩展板）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HDMI输出板，8个接口；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解码通道数：256；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解码能力：8路4096×3072@20fps，或16路4096×2160@25fps，或40路2048×1536@25fps，或64路1080P，或128路720P，或256路4CIF以下分辨率；</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视频输出接口类型：VGA；</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视频输出接口数：8；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音频输出接口类型：DB15转BNC；</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音频输出接口数：8；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输出分辨率：1600*1200@60Hz（仅奇数口）、1920×1080@60Hz、1920×1080@50Hz、1680×1050@60Hz、1280×720@60Hz、1280×720@50Hz、1280×1024@60Hz、1024×768@60Hz；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 画面分割数：1/4/6/8/9/16画面分割。</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34104.00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r>
      <w:tr>
        <w:tblPrEx>
          <w:tblCellMar>
            <w:top w:w="0" w:type="dxa"/>
            <w:left w:w="0" w:type="dxa"/>
            <w:bottom w:w="0" w:type="dxa"/>
            <w:right w:w="0" w:type="dxa"/>
          </w:tblCellMar>
        </w:tblPrEx>
        <w:trPr>
          <w:trHeight w:val="1988"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视频解码器</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1. 4路DVI 输入+12路HDMI 输出+单主控板+单电源；</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2. 视频编码输入， 采用H.264/265 视频压缩标准，支持DVI 视频信号接入编码；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3. 视频支持HDMI 输出显示， 支持1/4/6/8/9/16 画面分割显示， 最高支持1200W 高清视频解码， 最高192 路200W 高清视频解码能力， 支持H.265、H.264、MPEG4、MJPEG 等主流的编码格式， 支持PS、TS、ES、RTP、HIK 等主流封装格式， 支持ONVIF 协议接入设备解码；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4. 大屏拼接， 最大支持24 个显示屏的任意大屏拼接， 支持开窗和漫游功能， 窗口支持1/4/6/8/9/16 画面分割， 最大支持8 个预设场景，用户可以自定义每个场景电视墙布局；</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rPr>
            </w:pPr>
            <w:r>
              <w:rPr>
                <w:rFonts w:hint="eastAsia"/>
                <w:color w:val="auto"/>
                <w:sz w:val="16"/>
                <w:szCs w:val="16"/>
                <w:lang w:val="en-US" w:eastAsia="zh-CN"/>
              </w:rPr>
              <w:t>5. 配置10米HDMI高清线24根。</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38216.00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2500.00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Style w:val="307"/>
                <w:color w:val="auto"/>
                <w:sz w:val="16"/>
                <w:szCs w:val="16"/>
                <w:lang w:val="en-US" w:eastAsia="zh-CN" w:bidi="ar"/>
              </w:rPr>
              <w:t>55英寸液晶</w:t>
            </w:r>
            <w:r>
              <w:rPr>
                <w:rFonts w:hint="eastAsia" w:ascii="微软雅黑" w:hAnsi="微软雅黑" w:eastAsia="微软雅黑" w:cs="微软雅黑"/>
                <w:i w:val="0"/>
                <w:color w:val="auto"/>
                <w:kern w:val="0"/>
                <w:sz w:val="16"/>
                <w:szCs w:val="16"/>
                <w:u w:val="none"/>
                <w:lang w:val="en-US" w:eastAsia="zh-CN" w:bidi="ar"/>
              </w:rPr>
              <w:t>拼接屏</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1. 55英寸液晶拼接屏，对角线尺寸≥55英寸，物理分辨率≥1920×1080，响应时间≤8ms；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2. 物理拼缝≤3.5mm，亮度≥500cd/</w:t>
            </w:r>
            <w:r>
              <w:rPr>
                <w:rStyle w:val="308"/>
                <w:color w:val="auto"/>
                <w:sz w:val="16"/>
                <w:szCs w:val="16"/>
                <w:lang w:val="en-US" w:eastAsia="zh-CN" w:bidi="ar"/>
              </w:rPr>
              <w:t>㎡</w:t>
            </w:r>
            <w:r>
              <w:rPr>
                <w:rStyle w:val="307"/>
                <w:color w:val="auto"/>
                <w:sz w:val="16"/>
                <w:szCs w:val="16"/>
                <w:lang w:val="en-US" w:eastAsia="zh-CN" w:bidi="ar"/>
              </w:rPr>
              <w:t>，对比度≥1200:1，水平、垂直视场角均≥178°；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3. 输入接口≥1个HDMI、≥1个DVI、≥1个VGA、≥1个DP，输出接口≥1个HDMI，可选配HDbaseT等接口；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4. 设备通过GB/T 26125-2011、GB/T 26572-2011认证，具有中国质量认证中心出具的电器电子产品有害物质限制使用产品认证证书；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5. 图像显示灰度等级提升技术，使8bit液晶屏实现≥10bit的显示效果，灰度等级从256级增加到≥1024级，画面层次丰富、色彩逼真；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6. 内置图像处理芯片，能够实时分析显示内容资料，实现在影片、汇报和监控三种场景模式下智能切换；</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7. 支持以像素点为单位进行矫正，能够消除屏幕局部亮暗不均现象，屏幕所有像素点亮度均一性≥80%；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8. 符合绿色设计产品技术规范T/CESA 1018-2018；风扇具备良好的散热效果，风扇散热性能≥60%；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9. 设备客户端具备能力集收集、设备工作状态展示功能；支持客户端集中管理，支持多级用户权限管理，支持多场景模式管理；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10.设备具有帧宽度调节技术，通过调节画面宽度，解决输入信号四周黑边问题；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11.设备连续运行24小时，液晶表面中心温度≤40℃，边缘测试点与中心温差≤6℃；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Style w:val="307"/>
                <w:color w:val="auto"/>
                <w:sz w:val="16"/>
                <w:szCs w:val="16"/>
                <w:lang w:val="en-US" w:eastAsia="zh-CN" w:bidi="ar"/>
              </w:rPr>
              <w:t>12.包含拼接屏配套支架1套。</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18427.00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r>
      <w:tr>
        <w:tblPrEx>
          <w:tblCellMar>
            <w:top w:w="0" w:type="dxa"/>
            <w:left w:w="0" w:type="dxa"/>
            <w:bottom w:w="0" w:type="dxa"/>
            <w:right w:w="0" w:type="dxa"/>
          </w:tblCellMar>
        </w:tblPrEx>
        <w:trPr>
          <w:trHeight w:val="1246" w:hRule="atLeast"/>
          <w:jc w:val="center"/>
        </w:trPr>
        <w:tc>
          <w:tcPr>
            <w:tcW w:w="39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w:t>
            </w:r>
          </w:p>
        </w:tc>
        <w:tc>
          <w:tcPr>
            <w:tcW w:w="111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32寸 LED液晶监视器</w:t>
            </w:r>
          </w:p>
        </w:tc>
        <w:tc>
          <w:tcPr>
            <w:tcW w:w="613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1．32寸 LED液晶监视器；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2．点距 0.27963 mm x 0.27963 mm、最大分辨率 1920×1080、亮度 300cd/m²、对比度 1000:1；</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3．响应时间 14ms、可视角度（水平178°，垂直178º）；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4．VGA输入接口1个、HDMI输入接口1个；</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5．电源 AC100V--240V 50/60Hz、功耗 ≤50W；</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6．工作温度 0℃--50℃ 、工作湿度 10%--90%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Fonts w:hint="eastAsia" w:ascii="微软雅黑" w:hAnsi="微软雅黑" w:eastAsia="微软雅黑" w:cs="微软雅黑"/>
                <w:i w:val="0"/>
                <w:color w:val="auto"/>
                <w:kern w:val="0"/>
                <w:sz w:val="16"/>
                <w:szCs w:val="16"/>
                <w:u w:val="none"/>
                <w:lang w:val="en-US" w:eastAsia="zh-CN" w:bidi="ar"/>
              </w:rPr>
              <w:t>7．标准配置（电源线1根、5米HDMI高清线1根、支架1套。</w:t>
            </w:r>
          </w:p>
        </w:tc>
        <w:tc>
          <w:tcPr>
            <w:tcW w:w="42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4809.00 </w:t>
            </w:r>
          </w:p>
        </w:tc>
        <w:tc>
          <w:tcPr>
            <w:tcW w:w="85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350.00 </w:t>
            </w:r>
          </w:p>
        </w:tc>
      </w:tr>
      <w:tr>
        <w:tblPrEx>
          <w:tblCellMar>
            <w:top w:w="0" w:type="dxa"/>
            <w:left w:w="0" w:type="dxa"/>
            <w:bottom w:w="0" w:type="dxa"/>
            <w:right w:w="0" w:type="dxa"/>
          </w:tblCellMar>
        </w:tblPrEx>
        <w:trPr>
          <w:trHeight w:val="379" w:hRule="atLeast"/>
          <w:jc w:val="center"/>
        </w:trPr>
        <w:tc>
          <w:tcPr>
            <w:tcW w:w="39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w:t>
            </w:r>
          </w:p>
        </w:tc>
        <w:tc>
          <w:tcPr>
            <w:tcW w:w="111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55寸LED液晶监视器</w:t>
            </w:r>
          </w:p>
        </w:tc>
        <w:tc>
          <w:tcPr>
            <w:tcW w:w="613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1．55寸 LED液晶监视器；</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2．点距 0.27963 mm x 0.27963 mm、最大分辨率 1920×1080、亮度 300cd/m²、对比度 1000:1；</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3．响应时间 14ms、可视角度（水平178°，垂直178º）；</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4．VGA输入接口1个、HDMI输入接口1个；</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5．电源 AC100V--240V 50/60Hz、功耗 ≤150W；</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6．工作温度 0℃--50℃ 、工作湿度 10%--90% ；</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7．标准配置（电源线1根、5米HDMI高清线1根、支架1套。</w:t>
            </w:r>
          </w:p>
        </w:tc>
        <w:tc>
          <w:tcPr>
            <w:tcW w:w="42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7860.00 </w:t>
            </w:r>
          </w:p>
        </w:tc>
        <w:tc>
          <w:tcPr>
            <w:tcW w:w="858"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350.00 </w:t>
            </w:r>
          </w:p>
        </w:tc>
      </w:tr>
      <w:tr>
        <w:tblPrEx>
          <w:tblCellMar>
            <w:top w:w="0" w:type="dxa"/>
            <w:left w:w="0" w:type="dxa"/>
            <w:bottom w:w="0" w:type="dxa"/>
            <w:right w:w="0" w:type="dxa"/>
          </w:tblCellMar>
        </w:tblPrEx>
        <w:trPr>
          <w:trHeight w:val="4542" w:hRule="atLeast"/>
          <w:jc w:val="center"/>
        </w:trPr>
        <w:tc>
          <w:tcPr>
            <w:tcW w:w="39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7</w:t>
            </w:r>
          </w:p>
        </w:tc>
        <w:tc>
          <w:tcPr>
            <w:tcW w:w="111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网络磁盘阵列存储服务器</w:t>
            </w:r>
          </w:p>
        </w:tc>
        <w:tc>
          <w:tcPr>
            <w:tcW w:w="6135"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19英寸标准机箱，不低于64位多核处理器，内存≥32GB，具有≥4个千兆以太网口，≥2个USB 3.0接口；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需要配置硬盘≥20T容量企业级硬盘24块（硬盘需要单独采购）；</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支持RAID0、1、5、6、10、50，支持全局、局部等多种热备选择；支持当磁盘处于非工作状态下，进入休眠状态，进行读写操作时可被唤醒，增加磁盘寿命；支持智能风扇调速，支持智能CPU调频等功能；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接入并存储≥1880Mbps视频图像，同时转发≥1880Mbps的视频图像；同时回放≥512Mbps的视频图像；支持不低于200MBps图片并发输入，同时不低于200MBps图片并发输出；支持对视音频、图片及智能分析录像的混合直存，节省存储服务器和图片服务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支持视频质量诊断功能，对图像的亮度、偏色、对比度、清晰度、视频丢失、条纹干扰、视频噪声、视频虚焦等特征进行实时分析，并以日志、报表和图形化方式显示结果；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系统盘支持RAID1模式，当主系统故障时，备用系统可接管工作；支持实时显示磁盘体检状态，对异常状态磁盘，可查看处理建议信息；（需提供公安部所属检验机构出具的检测报告复印件并加盖制造商鲜章证明）</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设备发生磁盘、网络、电源、RAID、温度超限、风扇、码流异常等故障时，可发出声光指示或通过E-mail报警；具有短信网关报警功能，可向添加的手机号码发送电源异常、系统卡容量不足、存储空间异常、自动修复失败、私有卷IO异常、无可用逻辑卷等报警信息，报警种类可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在冗余范围内元数据丢失时，可自动进行数据恢复，并保持业务不中断；支持损坏RAID按照RAID损坏等级进行重构，支持优先选择损坏严重或对标记重要的特定文件中的数据进行重构，重构过程中不应影响录像的性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 工作温度≥5℃～40℃，储藏温度≥-20℃～70℃，含盘功耗 ≤450W，冗余（1+1）双电源。</w:t>
            </w:r>
          </w:p>
        </w:tc>
        <w:tc>
          <w:tcPr>
            <w:tcW w:w="42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68400.00 </w:t>
            </w:r>
          </w:p>
        </w:tc>
        <w:tc>
          <w:tcPr>
            <w:tcW w:w="85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6500.00 </w:t>
            </w:r>
          </w:p>
        </w:tc>
      </w:tr>
      <w:tr>
        <w:tblPrEx>
          <w:tblCellMar>
            <w:top w:w="0" w:type="dxa"/>
            <w:left w:w="0" w:type="dxa"/>
            <w:bottom w:w="0" w:type="dxa"/>
            <w:right w:w="0" w:type="dxa"/>
          </w:tblCellMar>
        </w:tblPrEx>
        <w:trPr>
          <w:trHeight w:val="283" w:hRule="atLeast"/>
          <w:jc w:val="center"/>
        </w:trPr>
        <w:tc>
          <w:tcPr>
            <w:tcW w:w="39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w:t>
            </w:r>
          </w:p>
        </w:tc>
        <w:tc>
          <w:tcPr>
            <w:tcW w:w="111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企业级监控硬盘</w:t>
            </w:r>
          </w:p>
        </w:tc>
        <w:tc>
          <w:tcPr>
            <w:tcW w:w="6135"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20TB企业级硬盘，能够与本招标项目采购的网络硬盘服务器适配。</w:t>
            </w:r>
          </w:p>
        </w:tc>
        <w:tc>
          <w:tcPr>
            <w:tcW w:w="42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块</w:t>
            </w:r>
          </w:p>
        </w:tc>
        <w:tc>
          <w:tcPr>
            <w:tcW w:w="85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5680.00 </w:t>
            </w:r>
          </w:p>
        </w:tc>
        <w:tc>
          <w:tcPr>
            <w:tcW w:w="858"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 </w:t>
            </w:r>
          </w:p>
        </w:tc>
      </w:tr>
      <w:tr>
        <w:tblPrEx>
          <w:tblCellMar>
            <w:top w:w="0" w:type="dxa"/>
            <w:left w:w="0" w:type="dxa"/>
            <w:bottom w:w="0" w:type="dxa"/>
            <w:right w:w="0" w:type="dxa"/>
          </w:tblCellMar>
        </w:tblPrEx>
        <w:trPr>
          <w:trHeight w:val="55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企业级监控硬盘</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8TB企业级希捷硬盘（7200RPM,3.5寸,SATA），能够与我院在用网络软盘服务器适配。</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2412.00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 </w:t>
            </w:r>
          </w:p>
        </w:tc>
      </w:tr>
      <w:tr>
        <w:tblPrEx>
          <w:tblCellMar>
            <w:top w:w="0" w:type="dxa"/>
            <w:left w:w="0" w:type="dxa"/>
            <w:bottom w:w="0" w:type="dxa"/>
            <w:right w:w="0" w:type="dxa"/>
          </w:tblCellMar>
        </w:tblPrEx>
        <w:trPr>
          <w:trHeight w:val="406" w:hRule="atLeast"/>
          <w:jc w:val="center"/>
        </w:trPr>
        <w:tc>
          <w:tcPr>
            <w:tcW w:w="39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10</w:t>
            </w:r>
          </w:p>
        </w:tc>
        <w:tc>
          <w:tcPr>
            <w:tcW w:w="111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运维基础服务软件</w:t>
            </w:r>
          </w:p>
        </w:tc>
        <w:tc>
          <w:tcPr>
            <w:tcW w:w="613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支持视频设备、it设备、存储设备、编解码设备、数据库等资源运行状态结果展现和基础配置功能；支持各类型设备告警阈值配置和告警情况的统一展现功能</w:t>
            </w:r>
          </w:p>
        </w:tc>
        <w:tc>
          <w:tcPr>
            <w:tcW w:w="42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35810.00 </w:t>
            </w:r>
          </w:p>
        </w:tc>
        <w:tc>
          <w:tcPr>
            <w:tcW w:w="85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2200.00 </w:t>
            </w:r>
          </w:p>
        </w:tc>
      </w:tr>
      <w:tr>
        <w:tblPrEx>
          <w:tblCellMar>
            <w:top w:w="0" w:type="dxa"/>
            <w:left w:w="0" w:type="dxa"/>
            <w:bottom w:w="0" w:type="dxa"/>
            <w:right w:w="0" w:type="dxa"/>
          </w:tblCellMar>
        </w:tblPrEx>
        <w:trPr>
          <w:trHeight w:val="164" w:hRule="atLeast"/>
          <w:jc w:val="center"/>
        </w:trPr>
        <w:tc>
          <w:tcPr>
            <w:tcW w:w="39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11</w:t>
            </w:r>
          </w:p>
        </w:tc>
        <w:tc>
          <w:tcPr>
            <w:tcW w:w="111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视频设备运维IP授权</w:t>
            </w:r>
          </w:p>
        </w:tc>
        <w:tc>
          <w:tcPr>
            <w:tcW w:w="613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支持监控摄像机、编码设备、存储设备、解码设备等物联设备运行状态的采集功能，采集指标项包括但不限于在线状态、录像情况、设备运行信息；支持设备运行状态的统计功能。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1、单节点在线状态巡检效率不低于1000路/小时；</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 xml:space="preserve">2、单项目录像情况巡检效率不低于1000路/小时。  </w:t>
            </w:r>
          </w:p>
        </w:tc>
        <w:tc>
          <w:tcPr>
            <w:tcW w:w="42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路</w:t>
            </w:r>
          </w:p>
        </w:tc>
        <w:tc>
          <w:tcPr>
            <w:tcW w:w="8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 </w:t>
            </w:r>
          </w:p>
        </w:tc>
        <w:tc>
          <w:tcPr>
            <w:tcW w:w="858"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r>
      <w:tr>
        <w:tblPrEx>
          <w:tblCellMar>
            <w:top w:w="0" w:type="dxa"/>
            <w:left w:w="0" w:type="dxa"/>
            <w:bottom w:w="0" w:type="dxa"/>
            <w:right w:w="0" w:type="dxa"/>
          </w:tblCellMar>
        </w:tblPrEx>
        <w:trPr>
          <w:trHeight w:val="1639" w:hRule="atLeast"/>
          <w:jc w:val="center"/>
        </w:trPr>
        <w:tc>
          <w:tcPr>
            <w:tcW w:w="39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12</w:t>
            </w:r>
          </w:p>
        </w:tc>
        <w:tc>
          <w:tcPr>
            <w:tcW w:w="111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智能应用服务器</w:t>
            </w:r>
          </w:p>
        </w:tc>
        <w:tc>
          <w:tcPr>
            <w:tcW w:w="613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2U双路标准机架式服务器；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CPU：1颗intel至强系列处理器，核数≥10核，主频≥2.2GHz；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内存≥16G*2 DDR4，≥16根内存插槽，支持扩展至2TB内存；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硬盘≥2块4T 10K 2.5寸 SAS硬盘；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阵列卡：SAS_HBA卡, 支持RAID 0/1/10；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PCIE扩展可支持6个PCIE扩展插槽；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网口≥2个千兆电口，≥1个RJ45管理接口，后置≥2个USB 3.0接口，前置≥2个USB2.0接口，≥1个VGA接口；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具有双电源（1+1）高效铂金CRPS冗余电源。</w:t>
            </w:r>
          </w:p>
        </w:tc>
        <w:tc>
          <w:tcPr>
            <w:tcW w:w="42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38737.00 </w:t>
            </w:r>
          </w:p>
        </w:tc>
        <w:tc>
          <w:tcPr>
            <w:tcW w:w="858"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3000.00 </w:t>
            </w:r>
          </w:p>
        </w:tc>
      </w:tr>
      <w:tr>
        <w:tblPrEx>
          <w:tblCellMar>
            <w:top w:w="0" w:type="dxa"/>
            <w:left w:w="0" w:type="dxa"/>
            <w:bottom w:w="0" w:type="dxa"/>
            <w:right w:w="0" w:type="dxa"/>
          </w:tblCellMar>
        </w:tblPrEx>
        <w:trPr>
          <w:trHeight w:val="1370" w:hRule="atLeast"/>
          <w:jc w:val="center"/>
        </w:trPr>
        <w:tc>
          <w:tcPr>
            <w:tcW w:w="394"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13</w:t>
            </w:r>
          </w:p>
        </w:tc>
        <w:tc>
          <w:tcPr>
            <w:tcW w:w="111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人脸识别抓拍室内外</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智能网络摄像机</w:t>
            </w:r>
          </w:p>
        </w:tc>
        <w:tc>
          <w:tcPr>
            <w:tcW w:w="6135"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400万 星光级1/1.8" CMOS AI抓拍筒型网络摄像机</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支持智能资源模式切换：人脸抓拍模式，道路监控模式，Smart事件模式，人数统计</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人脸抓拍模式：a）支持对运动人脸进行检测、抓拍、评分、筛选，输出最优的人脸，b）支持人脸去误报、快速抓拍人脸，c）支持快速抓拍和最佳抓拍两种模式，d）最多同时检测30张人脸，e）支持人脸去重</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道路监控模式：a）车辆检测：支持车牌识别并抓拍，车型/车品牌/车身颜色/车牌颜色识别，b）混行检测：检测正向或逆向行驶的车辆以及行人和非机动车，自动对车辆牌照进行识别，可以抓拍无车牌的车辆图片，c）支持卡口和出入口模式切换</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Smart事件模式： 支持越界侦测，区域入侵侦测，进入区域侦测，离开区域侦测，物品遗留侦测，物品拿取侦测，徘徊侦测，人员聚集侦测，快速运动侦测，停车侦测</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人数统计模式：a)人员统计：支持实时报警，人数变化报警和拥堵等级变化报警，并支持人数异常和停留时间异常报警，b)行为分析：支持离岗检测，以及在离岗检测报警，c)区域关注度：支持区域人数检测、停留时长检测、实时数据上传，并支持区域人数分析和队列状态分析展示，d)热度图：支持设备上报和平台查询方式获取信息，并支持上报伪彩图背景大图</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设备内置电动变焦镜头，操作便易，变焦过程平稳</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最低照度: 彩色：0.002 Lux @（F1.2，AGC ON），0 Lux with Light；黑白：0.0002 Lux @（F1.2，AGC ON），0 Lux with IR</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宽动态: 120dB</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焦距&amp;视场角:4~6 mm：水平视场角：79°~51.5°，垂直视场角：43.3°~28.7°，对角视场角：92°~59.4°6~9 mm：水平视场角：50.8°~32.9°，垂直视场角：27.6°~18.1°，对角视场角：59.1°~38.1°</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补光灯类型: 暖白光</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补光距离: 白光：普通监控：最远可达20 m，人脸抓拍/识别：最远可达5 m</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最大图像尺寸: 2560 × 1440</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视频压缩标准: H.265/H.264/MJPEG</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复位: 支持</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接口类型: 外甩线</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网络: 1个RJ45 10 M/100 M自适应以太网口</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SD卡扩展: 内置Micro SD(即TF卡)/Micro SDHC/Micro SDXC 插槽，最大支持256 GB</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报警: 3路输入，2路输出（报警输入支持开关量，报警输出最大支持DC12 V，30 mA）</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音频: 1路输入（Line in），1路输出（Line out），1个内置麦克风</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电流及功耗: DC：12 V，0.72 A，最大功耗：8.6 W; PoE：802.3af，36 V~57 V，0.29 A~0.18 A，最大功耗：10.1 W</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存储温湿度: -30 ℃~60 ℃，湿度小于95%(无凝结)</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启动和工作温湿度: -30 ℃~60 ℃，湿度小于95%(无凝结)</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供电方式: DC：12 V ± 20%，支持防反接保护；PoE：802.3af，Type 1，Class 3</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电源接口类型: 3芯电源接口</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kern w:val="2"/>
                <w:sz w:val="16"/>
                <w:szCs w:val="16"/>
                <w:lang w:val="en-US" w:eastAsia="zh-CN" w:bidi="ar-SA"/>
              </w:rPr>
            </w:pPr>
            <w:r>
              <w:rPr>
                <w:rFonts w:hint="eastAsia" w:ascii="微软雅黑" w:hAnsi="微软雅黑" w:eastAsia="微软雅黑" w:cs="微软雅黑"/>
                <w:color w:val="auto"/>
                <w:sz w:val="16"/>
                <w:szCs w:val="16"/>
                <w:lang w:eastAsia="zh-CN"/>
              </w:rPr>
              <w:t>防护</w:t>
            </w:r>
            <w:r>
              <w:rPr>
                <w:rFonts w:hint="eastAsia" w:ascii="微软雅黑" w:hAnsi="微软雅黑" w:eastAsia="微软雅黑" w:cs="微软雅黑"/>
                <w:color w:val="auto"/>
                <w:sz w:val="16"/>
                <w:szCs w:val="16"/>
              </w:rPr>
              <w:t>: IP67</w:t>
            </w:r>
            <w:r>
              <w:rPr>
                <w:rFonts w:hint="eastAsia" w:ascii="微软雅黑" w:hAnsi="微软雅黑" w:eastAsia="微软雅黑" w:cs="微软雅黑"/>
                <w:color w:val="auto"/>
                <w:sz w:val="16"/>
                <w:szCs w:val="16"/>
                <w:lang w:eastAsia="zh-CN"/>
              </w:rPr>
              <w:t>。</w:t>
            </w:r>
          </w:p>
        </w:tc>
        <w:tc>
          <w:tcPr>
            <w:tcW w:w="42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p>
        </w:tc>
        <w:tc>
          <w:tcPr>
            <w:tcW w:w="45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p>
        </w:tc>
        <w:tc>
          <w:tcPr>
            <w:tcW w:w="855"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2850.00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r>
      <w:tr>
        <w:tblPrEx>
          <w:tblCellMar>
            <w:top w:w="0" w:type="dxa"/>
            <w:left w:w="0" w:type="dxa"/>
            <w:bottom w:w="0" w:type="dxa"/>
            <w:right w:w="0" w:type="dxa"/>
          </w:tblCellMar>
        </w:tblPrEx>
        <w:trPr>
          <w:trHeight w:val="2495"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室外枪型网络摄像机（200万像素）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智能彩色网络枪型摄像机，视频分辨率和帧率不小于1920×1080、25帧/秒，镜头光圈不低于F1.0（即F值≤1.0），宽动态能力综合评价得分≥140，视频压缩标准支持H.265、H.264；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支付POE供电，≥1个内置麦克风、≥1对音频输入/输出接口、≥1对报警输入输出接口，白光补光距离≥30米，防护等级需≥IP66；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1184.00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r>
      <w:tr>
        <w:tblPrEx>
          <w:tblCellMar>
            <w:top w:w="0" w:type="dxa"/>
            <w:left w:w="0" w:type="dxa"/>
            <w:bottom w:w="0" w:type="dxa"/>
            <w:right w:w="0" w:type="dxa"/>
          </w:tblCellMar>
        </w:tblPrEx>
        <w:trPr>
          <w:trHeight w:val="153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高空抛物专用网络摄像机（800万像素）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高空抛物自清洁智能800W变焦筒机（专用于高空抛物监控场景，解决因安装方式和场景不同于普通监控而衍生出的场景）；</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支持高空抛物事件智能检测，配置简洁；典型安装场景下可以有效检测出8 × 8像素以上抛落物；可有效过滤飞虫，飞鸟，树叶，晾晒衣物等干扰目标；支持4个算法屏蔽区域设置，减少环境影响；支持抛物轨迹记录，报警图片中叠加和小视频中呈现（小视频需要使用海康播放器播放方可显示轨迹）；</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设备自带雨量感应器，根据雨量情况自动启停雨刷和调整雨刷速率，有效保证摄像机雨天成像清晰；采用包围式遮光罩设计，避免图像产生异常光斑与反光；设备具有自清洁功能，自动集水并定时对镜头喷水洗刷清除脏污；支持镜头视窗玻璃加热，通过智能感知芯片，感应视窗玻璃温度，自动调节加热功率，无惧雨雪、降霜、凝露等；</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专业级蓝玻璃镜头和专用图像算法，有效改善仰视场景下反射光与杂光干扰，解决逆光问题；最高分辨率可达800万像素（默认3840 × 2160），并在此分辨率下可输出30 fps实时图像；</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支持低码率、低延时、ROI感兴趣区域增强编码、SVC自适应编码技术；支持宽动态120 dB；支持背光补偿，透雾，电子防抖，3D降噪；支持开放型网络视频接口，ISAPI，SDK，ISUP（原Ehome），GB28181；支持双码流技术，支持同时20路取流；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供电方式：DC：12 V ± 20%，PoE：802.3at；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防护等级IP67，密封设计支持仰角安装场景下的有效防水；</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传感器类型：1/1.8" Progressive Scan CMOS；</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宽动态：120 dB；最低照度：彩色：0.0005 Lux @（F1.0，AGC ON）；</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焦距&amp;视场角：2.8~12 mm @F1.0：水平视场角：78°~55.5°，垂直视场角：42.5°~30.9°°，对角视场角：92.75°~63.9°；8~32 mm @F1.7：水平视场角：41.8°~14.9°，垂直视场角：22.9°~8.5°，对角视场角：48.7°~17.1°；最大图像尺寸：3840 × 2160；</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视频压缩标准：主码流：H.265/H.264；子码流：H.265/H.264/MJPEG；</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网络存储：支持MicroSD/MicroSDHC/MicroSDXC卡（最大256 GB）断网本地存储及断网续传，NAS（NFS，SMB/CIFS均支持），配合海康黑卡支持SD卡加密及SD卡状态检测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网络：1个RJ45 10 M/100 M自适应以太网口；复位：支持；雨刷：支持；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扩展接口：支持半导体制冷集水和喷水，实现自清洁；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电流及功耗：DC：12 V，1.5 A，最大功耗：18 W</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PoE：802.3at，42.5 V~57 V，0.52 A~0.39 A，最大功耗：22.5 W；电源接口类型：2芯电源接口；供电方式：DC：12 V ± 20%，支持防反接保护；</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启动及工作温湿度：-30 °C~60 °C，湿度小于95%（无凝结）；存储温湿度：-30 °C~60 °C，湿度小于95%（无凝结）；</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防护：IP67</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包含安装支架辅材等。</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3720.00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bottom"/>
              <w:rPr>
                <w:rFonts w:hint="eastAsia" w:ascii="微软雅黑" w:hAnsi="微软雅黑" w:eastAsia="微软雅黑" w:cs="微软雅黑"/>
                <w:color w:val="auto"/>
                <w:kern w:val="2"/>
                <w:sz w:val="16"/>
                <w:szCs w:val="16"/>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r>
      <w:tr>
        <w:tblPrEx>
          <w:tblCellMar>
            <w:top w:w="0" w:type="dxa"/>
            <w:left w:w="0" w:type="dxa"/>
            <w:bottom w:w="0" w:type="dxa"/>
            <w:right w:w="0" w:type="dxa"/>
          </w:tblCellMar>
        </w:tblPrEx>
        <w:trPr>
          <w:trHeight w:val="248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室外枪型网络摄像机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智能彩色网络枪型摄像机，视频分辨率和帧率不小于2560×1440、25帧/秒，镜头光圈不低于F1.0（即F值≤1.0），宽动态能力综合评价得分≥140，视频压缩标准支持H.265、H.264；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支持POE供电，≥1个内置麦克风、≥1对音频输入/输出接口、≥1对报警输入输出接口，白光补光距离≥30米，防护等级需≥IP67；</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1384.00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室内半球型网络摄像机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（200万像素）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海螺型高清半球摄像机，视频分辨率和帧率不小于1920×1080、25帧/秒，镜头光圈不低于F1.0（即F值≤1.0），宽动态能力综合评价得分≥140，视频压缩标准支持H.265、H.264；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支持POE供电，≥1个内置麦克风、≥1对音频输入/输出接口、≥1对报警输入输出接口，白光补光距离≥30米，防护等级需≥IP66；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947.00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室内半球型网络摄像机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海螺型高清半球摄像机，视频分辨率和帧率不小于2560×1440、25帧/秒，镜头光圈不低于F1.0（即F值≤1.0），宽动态能力综合评价得分≥140，视频压缩标准支持H.265、H.264；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支持POE供电，≥1个内置麦克风、≥1对音频输入/输出接口、≥1对报警输入输出接口，白光补光距离≥30米，防护等级需≥IP67；</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1089.00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超广角（180°）摄像机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（800万像素）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摄像机靶面尺寸≥1/2.8英寸，不少于2个F1.0（即F值≤1.0）光圈镜头，内置麦克风、扬声器；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视频分辨率与帧率不低于3840×1080、25帧/秒，最低照度彩色≤0.0005 lx (AGC ON、RJ45 输出、应能分辨反射式视频矩阵测试卡中彩色色块)；</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水平视场角不小于180°，垂直视场角不小于45°；</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支持POE供电，具有≥1个存储卡接口，白光补光距离≥30米，防护等级≥IP66；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包含安装支架。</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1860.00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防爆枪型网络摄像机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1．防爆筒型网络摄像机；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2．最小照度:彩色:0.01 Lux @ (F1.2, AGC ON)，0.02 Lux @ (F1.6, AGC ON);黑白:0.003 Lux @ (F1.2, AGC ON), 0.005Lux @ (F1.6, AGC ON)，0 Lux with IR</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3．镜头:2.8-12mm @ F1.6 水平视场角：80.3°~25°；</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4．支持电动镜头、宽动态范围:120dB、视频压缩标准:H.265 / H.264 / MJPEG、最大图像尺寸:1920 x 1080、存储功能:支持Micro SD(即TF卡)/SDHC /SDXC卡(256G)断网本地存储,NAS(NFS,SMB/CIFS均支持)；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5．通讯接口:1个RJ45 10M/100M自适应以太网口、音频接口:1对音频输入(Line in)/输出外部接口、报警输入:1路、报警输出:1路(报警输出最大支持DC12V 30mA)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6．工作温度和湿度:-30℃~60℃,湿度小于95%(无凝结)；</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7．电源供应:AC宽压100V-240V,支持PoE(802.3af)、功耗:AC:100-240V、电源接口类型:三芯接口；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8．防护等级:IP68、防暴等级:IK08；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9．红外距离:最远可达30米；</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10.包含防爆支架及防爆挠管。</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3591.00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color w:val="auto"/>
                <w:sz w:val="16"/>
                <w:szCs w:val="16"/>
                <w:lang w:val="en-US" w:eastAsia="zh-CN"/>
              </w:rPr>
            </w:pPr>
            <w:r>
              <w:rPr>
                <w:rFonts w:hint="eastAsia"/>
                <w:color w:val="auto"/>
                <w:sz w:val="16"/>
                <w:szCs w:val="16"/>
                <w:lang w:val="en-US" w:eastAsia="zh-CN"/>
              </w:rPr>
              <w:t>智能球型摄像机</w:t>
            </w:r>
          </w:p>
          <w:p>
            <w:pPr>
              <w:pStyle w:val="2"/>
              <w:keepNext w:val="0"/>
              <w:keepLines w:val="0"/>
              <w:pageBreakBefore w:val="0"/>
              <w:widowControl/>
              <w:kinsoku/>
              <w:wordWrap/>
              <w:overflowPunct/>
              <w:topLinePunct w:val="0"/>
              <w:autoSpaceDE/>
              <w:autoSpaceDN/>
              <w:bidi w:val="0"/>
              <w:adjustRightInd/>
              <w:snapToGrid/>
              <w:spacing w:line="220" w:lineRule="exact"/>
              <w:ind w:left="0" w:leftChars="0" w:firstLine="0" w:firstLineChars="0"/>
              <w:rPr>
                <w:rFonts w:hint="default"/>
                <w:color w:val="auto"/>
                <w:sz w:val="16"/>
                <w:szCs w:val="16"/>
                <w:lang w:val="en-US"/>
              </w:rPr>
            </w:pPr>
            <w:r>
              <w:rPr>
                <w:rFonts w:hint="eastAsia" w:ascii="微软雅黑" w:hAnsi="微软雅黑" w:eastAsia="微软雅黑" w:cs="微软雅黑"/>
                <w:i w:val="0"/>
                <w:color w:val="auto"/>
                <w:kern w:val="0"/>
                <w:sz w:val="16"/>
                <w:szCs w:val="16"/>
                <w:u w:val="none"/>
                <w:lang w:val="en-US" w:eastAsia="zh-CN" w:bidi="ar"/>
              </w:rPr>
              <w:t>（400万像素）</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全景联动摄像机，内置2个镜头，可以输出两路视频图像，1路全景视频图像、1路细节视频图像；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全景镜头靶面尺寸≥1/2.9＂ CMOS传感器 ；细节镜头靶面尺寸≥1/2.9＂CMOS传感器；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支持最低照度可达彩色0.0002Lux，黑白0.0001Lux；在彩色模式下，当环境照度降低至一定值，可自动开启白光补光灯，在白天、夜晚均可输出彩色视频图像；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全景焦距≤4 mm；细节最大焦距≤110 mm，支持不小于23倍光学变倍，16倍数字变倍；视场角全景水平视场角：83.6°，垂直视场角：44.6°；细节水平视场角：57.6°~2.7°；</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白光照射距离≥30 m；红外照射距离≥100 m；水平范围: 360°，垂直范围: -15°~90°（自动翻转）；支持水平手控速度不小于550°/S，垂直速度不小于120°/S，云台定位精度为±0.1°；</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内置2颗GPU芯片，全景通道和细节通道均支持区域入侵、越界侦测、进入区域、离开区域等智能功能；具备智能分析抗干扰功能；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视频压缩标准支持H.265，H.264，MJPEG；1路报警输入，1路报警输出； 1路音频输入，1路音频输出；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支持DC12V±30%，PoE供电； 最大功耗≤24 W；工作温湿度: -30℃~65℃；湿度小于90%；支持加热玻璃除雾；支持IP67防尘防水等级，支持IK10防暴等级；</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 包含安装支架等配件。</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7008.00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室内高清拾音器</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全向数字降噪拾音器；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拾音范围70平方米、音频传输距离3000米、灵敏度-38dB、信噪比 75dB、MINI DSP处理器；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吸顶安装（自带底座转接盘）；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 连接方式 3芯导线（红-电源 黑-公共地 黄-音频）、电源DC12V（9V-15V）。</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488.00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 </w:t>
            </w:r>
          </w:p>
        </w:tc>
      </w:tr>
      <w:tr>
        <w:tblPrEx>
          <w:tblCellMar>
            <w:top w:w="0" w:type="dxa"/>
            <w:left w:w="0" w:type="dxa"/>
            <w:bottom w:w="0" w:type="dxa"/>
            <w:right w:w="0" w:type="dxa"/>
          </w:tblCellMar>
        </w:tblPrEx>
        <w:trPr>
          <w:trHeight w:val="1164" w:hRule="atLeast"/>
          <w:jc w:val="center"/>
        </w:trPr>
        <w:tc>
          <w:tcPr>
            <w:tcW w:w="39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23</w:t>
            </w:r>
          </w:p>
        </w:tc>
        <w:tc>
          <w:tcPr>
            <w:tcW w:w="111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室外高清拾音器</w:t>
            </w:r>
          </w:p>
        </w:tc>
        <w:tc>
          <w:tcPr>
            <w:tcW w:w="613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全向数字降噪拾音器；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拾音范围5-100平方米、音频传输距离3000米、灵敏度-42dB、信噪比 ＞50dB（户外）＞60dB（室内）；</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高灵敏度电容咪头，咪头数量，双咪头，信号处理电路 ClearSpeech数字降噪；</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 连接方式 3芯导线（红-电源 黑-公共地 黄-音频）、电源DC12V（9V-16V）。</w:t>
            </w:r>
          </w:p>
        </w:tc>
        <w:tc>
          <w:tcPr>
            <w:tcW w:w="42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1011.00 </w:t>
            </w:r>
          </w:p>
        </w:tc>
        <w:tc>
          <w:tcPr>
            <w:tcW w:w="85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200.00 </w:t>
            </w:r>
          </w:p>
        </w:tc>
      </w:tr>
      <w:tr>
        <w:tblPrEx>
          <w:tblCellMar>
            <w:top w:w="0" w:type="dxa"/>
            <w:left w:w="0" w:type="dxa"/>
            <w:bottom w:w="0" w:type="dxa"/>
            <w:right w:w="0" w:type="dxa"/>
          </w:tblCellMar>
        </w:tblPrEx>
        <w:trPr>
          <w:trHeight w:val="261" w:hRule="atLeast"/>
          <w:jc w:val="center"/>
        </w:trPr>
        <w:tc>
          <w:tcPr>
            <w:tcW w:w="394"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24</w:t>
            </w:r>
          </w:p>
        </w:tc>
        <w:tc>
          <w:tcPr>
            <w:tcW w:w="111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全万兆核心交换机</w:t>
            </w:r>
          </w:p>
        </w:tc>
        <w:tc>
          <w:tcPr>
            <w:tcW w:w="613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1、≥48个1G/10G SFP+光接口，≥2个40G QSFP+光接口，支持2个扩展槽位；支持独立的console管理串口，≥1个带外管理口；交换容量≥2.56Tbps，转发性能≥1080Mpps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2、设备内存容量≥2048M，端口平均转发时延≤3us；支持模块化电源数量≥2，模块化风扇数量≥2；</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3、支持USB拷贝文件、MicroUSB登陆设备功能；支持IPv4 ACL表入方向≥2K条+出方向≥512条；MAC地址表≥128K，ARP表≥64K，端口MAC地址缓存能力≥2048个；IPv4路由表≥64K，IPv6路由表≥32K</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p>
        </w:tc>
        <w:tc>
          <w:tcPr>
            <w:tcW w:w="42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38600.00 </w:t>
            </w:r>
          </w:p>
        </w:tc>
        <w:tc>
          <w:tcPr>
            <w:tcW w:w="858"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1800.00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b w:val="0"/>
                <w:bCs w:val="0"/>
                <w:i w:val="0"/>
                <w:color w:val="auto"/>
                <w:kern w:val="0"/>
                <w:sz w:val="16"/>
                <w:szCs w:val="16"/>
                <w:u w:val="none"/>
                <w:lang w:val="en-US" w:eastAsia="zh-CN" w:bidi="ar"/>
              </w:rPr>
              <w:t>千兆汇聚交换机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管理型交换机，可用千兆光接口数量≥24，复用的千兆电口数量≥8，非复用万兆光接口数量≥4；交换容量≥256Gbps，转发性能≥96Mpps；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支持独立的console管理串口；支持802.3ad规定的链路聚合功能；支持MAC地址绑定功能；支持按端口划分VLAN，支持VLAN TRUNK；</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 IPv4/IPv6 静态路由，支持 ND、Pingv6、Telnetv6、FTPv6、TFTPv6、ICMPv6；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支持广播风暴抑制；支持IGMP Snooping；支持基于源MAC地址、目的MAC地址的ACL；支持端口镜像；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可以为远程连接用户提供访问控制，拒绝未通过验证的连接。</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8036.00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千兆接入24口POE交换机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网管型交换机，≥24个千兆POE电口，≥2个千兆光口；支持802.3af/at PoE标准，支持整机POE最大输出功率≥370W；支持存储转发，交换容量≥52Gbps，包转发率≥36Mpps；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支持通过管理平台和手机APP对交换机进行远程控制、状态查看、系统拓扑展示、管理、远程升级、远程重启；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支持通过管理平台对交换机间不同的连接方式进行系统拓扑识别，至少包括网线连接、光纤连接、无线连接；支持通过管理平台展示交换机间链路详情，包括传输速率、链路两端设备信息和链路带宽告警展示；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通过管理平台和手机APP在网络拓扑中展示交换机详情，至少包括基本信息、交换机性能使用信息、交换机面板状态、端口信息；支持通过管理平台和手机APP在系统异常时实时推送交换机告警信息并展示告警内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支持通过管理平台对交换机进行端口远距离传输配置，最远传输距离≥240米；支持对交换机进行高优先级端口配置，处于高优先级短裤的数据会被优先转发。</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4141.00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千兆接入16口POE交换机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网管型交换机，≥16个千兆POE电口，≥2个千兆光口；支持802.3af/at PoE标准，支持整机POE最大输出功率≥320W；支持存储转发，交换容量≥48Gbps，包转发率≥36Mpps；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支持通过管理平台和手机APP对交换机进行远程控制、状态查看、系统拓扑展示、管理、远程升级、远程重启；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支持通过管理平台对交换机间不同的连接方式进行系统拓扑识别，至少包括网线连接、光纤连接、无线连接；支持通过管理平台展示交换机间链路详情，包括传输速率、链路两端设备信息和链路带宽告警展示；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通过管理平台和手机APP在网络拓扑中展示交换机详情，至少包括基本信息、交换机性能使用信息、交换机面板状态、端口信息；支持通过管理平台和手机APP在系统异常时实时推送交换机告警信息并展示告警内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支持通过管理平台对交换机进行端口远距离传输配置，最远传输距离≥240米；支持对交换机进行高优先级端口配置，处于高优先级短裤的数据会被优先转发。</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3735.00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千兆接入8口POE交换机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网管型交换机，提供8个千兆PoE电口，1个千兆电口，1个千兆光口；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支持IEEE 802.3at/af；</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支持IEEE 802.3、IEEE 802.3u、IEEE 802.3x、IEEE 802.3ab、IEEE 802.3z；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支持6 KV防浪涌（PoE口）；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支持PoE输出功率管理；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线速转发、无阻塞设计；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7.  存储转发交换方式。</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1957.00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千兆接入5口POE交换机</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提供4个千兆PoE电口，1个千兆电口；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支持IEEE 802.3at/af；</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支持IEEE 802.3、IEEE 802.3u、IEEE 802.3x、IEEE 802.3ab、IEEE 802.3z；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支持6 KV防浪涌（PoE口）；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支持PoE输出功率管理；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线速转发、无阻塞设计；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7. 存储转发交换方式。</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546.00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室内外无线网桥</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5.8G无线网桥；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802.11a/n制式；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物理带宽最大300Mbps，实际带宽40Mbps；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定向天线，距离3公里</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包含安装配件。</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903.00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250.00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六类网络线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国产国标CAT-6</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5.90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超五类类网线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国产国标CAT-5</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5.50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六类水晶头</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国标六类RJ45连接头</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7.70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五类水晶头</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国标超五类RJ45连接头</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4.80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六类跳线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3米六类</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25.20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六类跳线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5米六类</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29.40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四芯光纤</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国产国标GYXTW-4</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6.50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八芯光纤</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国产国标GYXTW-8</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光纤跳线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3米单模单芯</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光纤跳线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3米单模双芯</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42.00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四口光纤终端盒</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规格：4口SC；</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材质：冷轧钢板（0.8mm厚）；</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配线方式：尾纤+耦合器+终端盒。</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120.00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八口光纤终端盒</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规格：8口SC；</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材质：冷轧钢板（0.8mm厚）；</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  配线方式：尾纤+耦合器+终端盒。</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136.00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60.00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熔纤</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熔纤设备人工费</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58.00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万兆光模块</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速率：10GE；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中心波长：1310；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标准：10GBASE-LR。</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693.00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千兆光模块</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标准：1000BASE-LX10/LH。</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493.00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万兆光纤收发器</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速率：10GE；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中心波长：1310；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  标准：10GBASE-LR。</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630.00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千兆光纤收发器</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 标准：1000BASE-LX10/LH。</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420.00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千兆电口模块</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传输速率：1000M；</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传输距离：100米；</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接口类型：RJ45。</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val="0"/>
                <w:color w:val="auto"/>
                <w:sz w:val="16"/>
                <w:szCs w:val="16"/>
                <w:u w:val="none"/>
                <w:lang w:val="en-US" w:eastAsia="zh-CN"/>
              </w:rPr>
            </w:pPr>
            <w:r>
              <w:rPr>
                <w:rFonts w:hint="eastAsia" w:ascii="微软雅黑" w:hAnsi="微软雅黑" w:eastAsia="微软雅黑" w:cs="微软雅黑"/>
                <w:i w:val="0"/>
                <w:color w:val="auto"/>
                <w:sz w:val="16"/>
                <w:szCs w:val="16"/>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val="0"/>
                <w:color w:val="auto"/>
                <w:sz w:val="16"/>
                <w:szCs w:val="16"/>
                <w:u w:val="none"/>
                <w:lang w:eastAsia="zh-CN"/>
              </w:rPr>
            </w:pPr>
            <w:r>
              <w:rPr>
                <w:rFonts w:hint="eastAsia" w:ascii="微软雅黑" w:hAnsi="微软雅黑" w:eastAsia="微软雅黑" w:cs="微软雅黑"/>
                <w:i w:val="0"/>
                <w:color w:val="auto"/>
                <w:sz w:val="16"/>
                <w:szCs w:val="16"/>
                <w:u w:val="none"/>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493.00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国产国标（RVV2*0.5）</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国产国标（RVV2*1.0）</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7.60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国产国标（RVV2*2.5）</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9.70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12V2A电源</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12V2A</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12V5A电源</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12V5A</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58.00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12V10A电源</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12V10A</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94.00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开关电源</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12V10A/24V5A</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299.00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POE转换分离器</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48V转12V供电</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61.00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空气开关</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2P/10A</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sz w:val="16"/>
                <w:szCs w:val="16"/>
                <w:u w:val="none"/>
                <w:lang w:val="en-US" w:eastAsia="zh-CN"/>
              </w:rPr>
              <w:t>58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PDU电源模块</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7个10A组合孔+1个16A三孔</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367.00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sz w:val="16"/>
                <w:szCs w:val="16"/>
                <w:u w:val="none"/>
                <w:lang w:val="en-US" w:eastAsia="zh-CN"/>
              </w:rPr>
              <w:t>59</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电源接线板</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4孔组合插座</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47.00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42U服务器机柜</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42U(600*1000*2055mm)</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5040.00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9U室内壁挂机柜</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9U(600*450*500mm)</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892.00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180.00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sz w:val="16"/>
                <w:szCs w:val="16"/>
                <w:u w:val="none"/>
                <w:lang w:val="en-US" w:eastAsia="zh-CN"/>
              </w:rPr>
              <w:t>62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室外设备柜</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500*400*200mm</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682.00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sz w:val="16"/>
                <w:szCs w:val="16"/>
                <w:u w:val="none"/>
                <w:lang w:val="en-US" w:eastAsia="zh-CN"/>
              </w:rPr>
              <w:t>63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PVC线管</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外径1.6cm（含卡子/接头/扎带等配套五金）</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64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PVC线管</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外径2.0cm（含卡子/接头/扎带等配套五金）</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4.50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PVC线管</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外径2.5cm（含卡子/接头/扎带等配套五金）</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PVC线槽</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20*10mm（含卡子/接头/扎带等配套五金）</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2.50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400" w:hRule="atLeast"/>
          <w:jc w:val="center"/>
        </w:trPr>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67</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PVC线槽</w:t>
            </w:r>
          </w:p>
        </w:tc>
        <w:tc>
          <w:tcPr>
            <w:tcW w:w="613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40*20mm（含卡子/接头/扎带等配套五金）</w:t>
            </w:r>
          </w:p>
        </w:tc>
        <w:tc>
          <w:tcPr>
            <w:tcW w:w="42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3.80 </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317" w:hRule="atLeast"/>
          <w:jc w:val="center"/>
        </w:trPr>
        <w:tc>
          <w:tcPr>
            <w:tcW w:w="39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68</w:t>
            </w:r>
          </w:p>
        </w:tc>
        <w:tc>
          <w:tcPr>
            <w:tcW w:w="111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PVC线槽</w:t>
            </w:r>
          </w:p>
        </w:tc>
        <w:tc>
          <w:tcPr>
            <w:tcW w:w="613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60*40mm（含卡子/接头/扎带等配套五金）</w:t>
            </w:r>
          </w:p>
        </w:tc>
        <w:tc>
          <w:tcPr>
            <w:tcW w:w="42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5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4.90 </w:t>
            </w:r>
          </w:p>
        </w:tc>
        <w:tc>
          <w:tcPr>
            <w:tcW w:w="858"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r>
      <w:tr>
        <w:tblPrEx>
          <w:tblCellMar>
            <w:top w:w="0" w:type="dxa"/>
            <w:left w:w="0" w:type="dxa"/>
            <w:bottom w:w="0" w:type="dxa"/>
            <w:right w:w="0" w:type="dxa"/>
          </w:tblCellMar>
        </w:tblPrEx>
        <w:trPr>
          <w:trHeight w:val="317" w:hRule="atLeast"/>
          <w:jc w:val="center"/>
        </w:trPr>
        <w:tc>
          <w:tcPr>
            <w:tcW w:w="394"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69</w:t>
            </w:r>
          </w:p>
        </w:tc>
        <w:tc>
          <w:tcPr>
            <w:tcW w:w="111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镀锌钢管</w:t>
            </w:r>
          </w:p>
        </w:tc>
        <w:tc>
          <w:tcPr>
            <w:tcW w:w="613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防爆穿线钢管，内行250mm，壁厚2.5mm，包含布线中使用的固定卡子、直接、弯头、三通等辅料。</w:t>
            </w:r>
          </w:p>
        </w:tc>
        <w:tc>
          <w:tcPr>
            <w:tcW w:w="42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米</w:t>
            </w:r>
          </w:p>
        </w:tc>
        <w:tc>
          <w:tcPr>
            <w:tcW w:w="85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eastAsia="宋体"/>
                <w:color w:val="auto"/>
                <w:kern w:val="2"/>
                <w:sz w:val="16"/>
                <w:szCs w:val="16"/>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21.00 </w:t>
            </w:r>
          </w:p>
        </w:tc>
        <w:tc>
          <w:tcPr>
            <w:tcW w:w="858"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 </w:t>
            </w:r>
          </w:p>
        </w:tc>
      </w:tr>
      <w:tr>
        <w:tblPrEx>
          <w:tblCellMar>
            <w:top w:w="0" w:type="dxa"/>
            <w:left w:w="0" w:type="dxa"/>
            <w:bottom w:w="0" w:type="dxa"/>
            <w:right w:w="0" w:type="dxa"/>
          </w:tblCellMar>
        </w:tblPrEx>
        <w:trPr>
          <w:trHeight w:val="1445" w:hRule="atLeast"/>
          <w:jc w:val="center"/>
        </w:trPr>
        <w:tc>
          <w:tcPr>
            <w:tcW w:w="39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70</w:t>
            </w:r>
          </w:p>
        </w:tc>
        <w:tc>
          <w:tcPr>
            <w:tcW w:w="111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室外立杆（6米）</w:t>
            </w:r>
          </w:p>
        </w:tc>
        <w:tc>
          <w:tcPr>
            <w:tcW w:w="613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1. </w:t>
            </w:r>
            <w:r>
              <w:rPr>
                <w:rFonts w:hint="eastAsia" w:ascii="微软雅黑" w:hAnsi="微软雅黑" w:eastAsia="微软雅黑" w:cs="微软雅黑"/>
                <w:color w:val="auto"/>
                <w:sz w:val="16"/>
                <w:szCs w:val="16"/>
              </w:rPr>
              <w:t>镀锌喷塑防腐处理，立杆高6</w:t>
            </w:r>
            <w:r>
              <w:rPr>
                <w:rFonts w:hint="eastAsia" w:ascii="微软雅黑" w:hAnsi="微软雅黑" w:eastAsia="微软雅黑" w:cs="微软雅黑"/>
                <w:color w:val="auto"/>
                <w:sz w:val="16"/>
                <w:szCs w:val="16"/>
                <w:lang w:val="en-US" w:eastAsia="zh-CN"/>
              </w:rPr>
              <w:t>m</w:t>
            </w:r>
            <w:r>
              <w:rPr>
                <w:rFonts w:hint="eastAsia" w:ascii="微软雅黑" w:hAnsi="微软雅黑" w:eastAsia="微软雅黑" w:cs="微软雅黑"/>
                <w:color w:val="auto"/>
                <w:sz w:val="16"/>
                <w:szCs w:val="16"/>
              </w:rPr>
              <w:t>、直径160</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、底座板厚不低于12</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，挑臂长5</w:t>
            </w:r>
            <w:r>
              <w:rPr>
                <w:rFonts w:hint="eastAsia" w:ascii="微软雅黑" w:hAnsi="微软雅黑" w:eastAsia="微软雅黑" w:cs="微软雅黑"/>
                <w:color w:val="auto"/>
                <w:sz w:val="16"/>
                <w:szCs w:val="16"/>
                <w:lang w:val="en-US" w:eastAsia="zh-CN"/>
              </w:rPr>
              <w:t>m</w:t>
            </w:r>
            <w:r>
              <w:rPr>
                <w:rFonts w:hint="eastAsia" w:ascii="微软雅黑" w:hAnsi="微软雅黑" w:eastAsia="微软雅黑" w:cs="微软雅黑"/>
                <w:color w:val="auto"/>
                <w:sz w:val="16"/>
                <w:szCs w:val="16"/>
              </w:rPr>
              <w:t>；</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2. </w:t>
            </w:r>
            <w:r>
              <w:rPr>
                <w:rFonts w:hint="eastAsia" w:ascii="微软雅黑" w:hAnsi="微软雅黑" w:eastAsia="微软雅黑" w:cs="微软雅黑"/>
                <w:color w:val="auto"/>
                <w:sz w:val="16"/>
                <w:szCs w:val="16"/>
              </w:rPr>
              <w:t>立杆顶部预留三个方向挑臂接口，每根挑臂至少设置四个摄像机安装接口，采取可靠的加固、支撑措施确，确保挑臂、摄像机、线路安装牢固并减少摆动、震动现象；</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color w:val="auto"/>
                <w:sz w:val="16"/>
                <w:szCs w:val="16"/>
                <w:lang w:val="en-US" w:eastAsia="zh-CN"/>
              </w:rPr>
              <w:t xml:space="preserve">3. </w:t>
            </w:r>
            <w:r>
              <w:rPr>
                <w:rFonts w:hint="eastAsia" w:ascii="微软雅黑" w:hAnsi="微软雅黑" w:eastAsia="微软雅黑" w:cs="微软雅黑"/>
                <w:color w:val="auto"/>
                <w:sz w:val="16"/>
                <w:szCs w:val="16"/>
              </w:rPr>
              <w:t>立杆</w:t>
            </w:r>
            <w:r>
              <w:rPr>
                <w:rFonts w:hint="eastAsia" w:ascii="微软雅黑" w:hAnsi="微软雅黑" w:eastAsia="微软雅黑" w:cs="微软雅黑"/>
                <w:color w:val="auto"/>
                <w:sz w:val="16"/>
                <w:szCs w:val="16"/>
                <w:lang w:eastAsia="zh-CN"/>
              </w:rPr>
              <w:t>地笼</w:t>
            </w:r>
            <w:r>
              <w:rPr>
                <w:rFonts w:hint="eastAsia" w:ascii="微软雅黑" w:hAnsi="微软雅黑" w:eastAsia="微软雅黑" w:cs="微软雅黑"/>
                <w:color w:val="auto"/>
                <w:sz w:val="16"/>
                <w:szCs w:val="16"/>
              </w:rPr>
              <w:t>埋深不低于</w:t>
            </w:r>
            <w:r>
              <w:rPr>
                <w:rFonts w:hint="eastAsia" w:ascii="微软雅黑" w:hAnsi="微软雅黑" w:eastAsia="微软雅黑" w:cs="微软雅黑"/>
                <w:color w:val="auto"/>
                <w:sz w:val="16"/>
                <w:szCs w:val="16"/>
                <w:lang w:eastAsia="zh-CN"/>
              </w:rPr>
              <w:t>长（</w:t>
            </w:r>
            <w:r>
              <w:rPr>
                <w:rFonts w:hint="eastAsia" w:ascii="微软雅黑" w:hAnsi="微软雅黑" w:eastAsia="微软雅黑" w:cs="微软雅黑"/>
                <w:color w:val="auto"/>
                <w:sz w:val="16"/>
                <w:szCs w:val="16"/>
                <w:lang w:val="en-US" w:eastAsia="zh-CN"/>
              </w:rPr>
              <w:t>600mm）*宽（600mm）深（1200mm）</w:t>
            </w:r>
            <w:r>
              <w:rPr>
                <w:rFonts w:hint="eastAsia" w:ascii="微软雅黑" w:hAnsi="微软雅黑" w:eastAsia="微软雅黑" w:cs="微软雅黑"/>
                <w:color w:val="auto"/>
                <w:sz w:val="16"/>
                <w:szCs w:val="16"/>
              </w:rPr>
              <w:t>，采用混凝土浇筑，确保安装牢固，采取可靠的抗风、接地、避雷措施。</w:t>
            </w:r>
          </w:p>
        </w:tc>
        <w:tc>
          <w:tcPr>
            <w:tcW w:w="42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55"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4300.00 </w:t>
            </w:r>
          </w:p>
        </w:tc>
        <w:tc>
          <w:tcPr>
            <w:tcW w:w="858"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1200.00 </w:t>
            </w:r>
          </w:p>
        </w:tc>
      </w:tr>
      <w:tr>
        <w:tblPrEx>
          <w:tblCellMar>
            <w:top w:w="0" w:type="dxa"/>
            <w:left w:w="0" w:type="dxa"/>
            <w:bottom w:w="0" w:type="dxa"/>
            <w:right w:w="0" w:type="dxa"/>
          </w:tblCellMar>
        </w:tblPrEx>
        <w:trPr>
          <w:trHeight w:val="1018" w:hRule="atLeast"/>
          <w:jc w:val="center"/>
        </w:trPr>
        <w:tc>
          <w:tcPr>
            <w:tcW w:w="39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71</w:t>
            </w:r>
          </w:p>
        </w:tc>
        <w:tc>
          <w:tcPr>
            <w:tcW w:w="111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室外立杆（5米）</w:t>
            </w:r>
          </w:p>
        </w:tc>
        <w:tc>
          <w:tcPr>
            <w:tcW w:w="613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1. </w:t>
            </w:r>
            <w:r>
              <w:rPr>
                <w:rFonts w:hint="eastAsia" w:ascii="微软雅黑" w:hAnsi="微软雅黑" w:eastAsia="微软雅黑" w:cs="微软雅黑"/>
                <w:color w:val="auto"/>
                <w:sz w:val="16"/>
                <w:szCs w:val="16"/>
              </w:rPr>
              <w:t>镀锌喷塑防腐处理，立杆高</w:t>
            </w:r>
            <w:r>
              <w:rPr>
                <w:rFonts w:hint="eastAsia" w:ascii="微软雅黑" w:hAnsi="微软雅黑" w:eastAsia="微软雅黑" w:cs="微软雅黑"/>
                <w:color w:val="auto"/>
                <w:sz w:val="16"/>
                <w:szCs w:val="16"/>
                <w:lang w:val="en-US" w:eastAsia="zh-CN"/>
              </w:rPr>
              <w:t>5m</w:t>
            </w:r>
            <w:r>
              <w:rPr>
                <w:rFonts w:hint="eastAsia" w:ascii="微软雅黑" w:hAnsi="微软雅黑" w:eastAsia="微软雅黑" w:cs="微软雅黑"/>
                <w:color w:val="auto"/>
                <w:sz w:val="16"/>
                <w:szCs w:val="16"/>
              </w:rPr>
              <w:t>、直径160</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、底座板厚不低于12</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，挑臂长</w:t>
            </w:r>
            <w:r>
              <w:rPr>
                <w:rFonts w:hint="eastAsia" w:ascii="微软雅黑" w:hAnsi="微软雅黑" w:eastAsia="微软雅黑" w:cs="微软雅黑"/>
                <w:color w:val="auto"/>
                <w:sz w:val="16"/>
                <w:szCs w:val="16"/>
                <w:lang w:val="en-US" w:eastAsia="zh-CN"/>
              </w:rPr>
              <w:t>4m</w:t>
            </w:r>
            <w:r>
              <w:rPr>
                <w:rFonts w:hint="eastAsia" w:ascii="微软雅黑" w:hAnsi="微软雅黑" w:eastAsia="微软雅黑" w:cs="微软雅黑"/>
                <w:color w:val="auto"/>
                <w:sz w:val="16"/>
                <w:szCs w:val="16"/>
              </w:rPr>
              <w:t>；</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2. </w:t>
            </w:r>
            <w:r>
              <w:rPr>
                <w:rFonts w:hint="eastAsia" w:ascii="微软雅黑" w:hAnsi="微软雅黑" w:eastAsia="微软雅黑" w:cs="微软雅黑"/>
                <w:color w:val="auto"/>
                <w:sz w:val="16"/>
                <w:szCs w:val="16"/>
              </w:rPr>
              <w:t>立杆顶部预留三个方向挑臂接口，每根挑臂至少设置四个摄像机安装接口，采取可靠的加固、支撑措施确，确保挑臂、摄像机、线路安装牢固并减少摆动、震动现象；</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color w:val="auto"/>
                <w:kern w:val="2"/>
                <w:sz w:val="16"/>
                <w:szCs w:val="16"/>
                <w:lang w:val="en-US" w:eastAsia="zh-CN" w:bidi="ar-SA"/>
              </w:rPr>
            </w:pPr>
            <w:r>
              <w:rPr>
                <w:rFonts w:hint="eastAsia" w:ascii="微软雅黑" w:hAnsi="微软雅黑" w:eastAsia="微软雅黑" w:cs="微软雅黑"/>
                <w:color w:val="auto"/>
                <w:sz w:val="16"/>
                <w:szCs w:val="16"/>
                <w:lang w:val="en-US" w:eastAsia="zh-CN"/>
              </w:rPr>
              <w:t xml:space="preserve">3. </w:t>
            </w:r>
            <w:r>
              <w:rPr>
                <w:rFonts w:hint="eastAsia" w:ascii="微软雅黑" w:hAnsi="微软雅黑" w:eastAsia="微软雅黑" w:cs="微软雅黑"/>
                <w:color w:val="auto"/>
                <w:sz w:val="16"/>
                <w:szCs w:val="16"/>
              </w:rPr>
              <w:t>立杆</w:t>
            </w:r>
            <w:r>
              <w:rPr>
                <w:rFonts w:hint="eastAsia" w:ascii="微软雅黑" w:hAnsi="微软雅黑" w:eastAsia="微软雅黑" w:cs="微软雅黑"/>
                <w:color w:val="auto"/>
                <w:sz w:val="16"/>
                <w:szCs w:val="16"/>
                <w:lang w:eastAsia="zh-CN"/>
              </w:rPr>
              <w:t>地笼</w:t>
            </w:r>
            <w:r>
              <w:rPr>
                <w:rFonts w:hint="eastAsia" w:ascii="微软雅黑" w:hAnsi="微软雅黑" w:eastAsia="微软雅黑" w:cs="微软雅黑"/>
                <w:color w:val="auto"/>
                <w:sz w:val="16"/>
                <w:szCs w:val="16"/>
              </w:rPr>
              <w:t>埋深不低于</w:t>
            </w:r>
            <w:r>
              <w:rPr>
                <w:rFonts w:hint="eastAsia" w:ascii="微软雅黑" w:hAnsi="微软雅黑" w:eastAsia="微软雅黑" w:cs="微软雅黑"/>
                <w:color w:val="auto"/>
                <w:sz w:val="16"/>
                <w:szCs w:val="16"/>
                <w:lang w:eastAsia="zh-CN"/>
              </w:rPr>
              <w:t>长（</w:t>
            </w:r>
            <w:r>
              <w:rPr>
                <w:rFonts w:hint="eastAsia" w:ascii="微软雅黑" w:hAnsi="微软雅黑" w:eastAsia="微软雅黑" w:cs="微软雅黑"/>
                <w:color w:val="auto"/>
                <w:sz w:val="16"/>
                <w:szCs w:val="16"/>
                <w:lang w:val="en-US" w:eastAsia="zh-CN"/>
              </w:rPr>
              <w:t>600mm）*宽（600mm）深（1200mm）</w:t>
            </w:r>
            <w:r>
              <w:rPr>
                <w:rFonts w:hint="eastAsia" w:ascii="微软雅黑" w:hAnsi="微软雅黑" w:eastAsia="微软雅黑" w:cs="微软雅黑"/>
                <w:color w:val="auto"/>
                <w:sz w:val="16"/>
                <w:szCs w:val="16"/>
              </w:rPr>
              <w:t>，采用混凝土浇筑，确保安装牢固，采取可靠的抗风、接地、避雷措施。</w:t>
            </w:r>
          </w:p>
        </w:tc>
        <w:tc>
          <w:tcPr>
            <w:tcW w:w="42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55"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4100.00 </w:t>
            </w:r>
          </w:p>
        </w:tc>
        <w:tc>
          <w:tcPr>
            <w:tcW w:w="858"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1200.00 </w:t>
            </w:r>
          </w:p>
        </w:tc>
      </w:tr>
      <w:tr>
        <w:tblPrEx>
          <w:tblCellMar>
            <w:top w:w="0" w:type="dxa"/>
            <w:left w:w="0" w:type="dxa"/>
            <w:bottom w:w="0" w:type="dxa"/>
            <w:right w:w="0" w:type="dxa"/>
          </w:tblCellMar>
        </w:tblPrEx>
        <w:trPr>
          <w:trHeight w:val="181" w:hRule="atLeast"/>
          <w:jc w:val="center"/>
        </w:trPr>
        <w:tc>
          <w:tcPr>
            <w:tcW w:w="39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72</w:t>
            </w:r>
          </w:p>
        </w:tc>
        <w:tc>
          <w:tcPr>
            <w:tcW w:w="111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color w:val="auto"/>
                <w:sz w:val="16"/>
                <w:szCs w:val="16"/>
                <w:lang w:eastAsia="zh-CN"/>
              </w:rPr>
              <w:t>立杆</w:t>
            </w:r>
            <w:r>
              <w:rPr>
                <w:rFonts w:hint="eastAsia" w:ascii="微软雅黑" w:hAnsi="微软雅黑" w:eastAsia="微软雅黑" w:cs="微软雅黑"/>
                <w:color w:val="auto"/>
                <w:sz w:val="16"/>
                <w:szCs w:val="16"/>
              </w:rPr>
              <w:t>挑臂</w:t>
            </w:r>
          </w:p>
        </w:tc>
        <w:tc>
          <w:tcPr>
            <w:tcW w:w="613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180" w:lineRule="exact"/>
              <w:ind w:left="0" w:leftChars="0" w:firstLine="0" w:firstLineChars="0"/>
              <w:textAlignment w:val="auto"/>
              <w:rPr>
                <w:rFonts w:hint="eastAsia" w:ascii="微软雅黑" w:hAnsi="微软雅黑" w:eastAsia="微软雅黑" w:cs="微软雅黑"/>
                <w:color w:val="auto"/>
                <w:sz w:val="16"/>
                <w:szCs w:val="16"/>
                <w:lang w:val="en-US" w:eastAsia="zh-CN"/>
              </w:rPr>
            </w:pPr>
            <w:r>
              <w:rPr>
                <w:rFonts w:hint="eastAsia" w:ascii="微软雅黑" w:hAnsi="微软雅黑" w:eastAsia="微软雅黑" w:cs="微软雅黑"/>
                <w:color w:val="auto"/>
                <w:sz w:val="16"/>
                <w:szCs w:val="16"/>
              </w:rPr>
              <w:t>镀锌喷塑防腐处理，</w:t>
            </w:r>
            <w:r>
              <w:rPr>
                <w:rFonts w:hint="eastAsia" w:ascii="微软雅黑" w:hAnsi="微软雅黑" w:eastAsia="微软雅黑" w:cs="微软雅黑"/>
                <w:color w:val="auto"/>
                <w:sz w:val="16"/>
                <w:szCs w:val="16"/>
                <w:lang w:eastAsia="zh-CN"/>
              </w:rPr>
              <w:t>四个固定安装位，一个球机吊装位，</w:t>
            </w:r>
            <w:r>
              <w:rPr>
                <w:rFonts w:hint="eastAsia" w:ascii="微软雅黑" w:hAnsi="微软雅黑" w:eastAsia="微软雅黑" w:cs="微软雅黑"/>
                <w:color w:val="auto"/>
                <w:sz w:val="16"/>
                <w:szCs w:val="16"/>
              </w:rPr>
              <w:t>挑臂长</w:t>
            </w:r>
            <w:r>
              <w:rPr>
                <w:rFonts w:hint="eastAsia" w:ascii="微软雅黑" w:hAnsi="微软雅黑" w:eastAsia="微软雅黑" w:cs="微软雅黑"/>
                <w:color w:val="auto"/>
                <w:sz w:val="16"/>
                <w:szCs w:val="16"/>
                <w:lang w:val="en-US" w:eastAsia="zh-CN"/>
              </w:rPr>
              <w:t>5m。</w:t>
            </w:r>
          </w:p>
        </w:tc>
        <w:tc>
          <w:tcPr>
            <w:tcW w:w="42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根</w:t>
            </w:r>
          </w:p>
        </w:tc>
        <w:tc>
          <w:tcPr>
            <w:tcW w:w="855"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1100.00</w:t>
            </w:r>
          </w:p>
        </w:tc>
        <w:tc>
          <w:tcPr>
            <w:tcW w:w="858"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300.00</w:t>
            </w:r>
          </w:p>
        </w:tc>
      </w:tr>
      <w:tr>
        <w:tblPrEx>
          <w:tblCellMar>
            <w:top w:w="0" w:type="dxa"/>
            <w:left w:w="0" w:type="dxa"/>
            <w:bottom w:w="0" w:type="dxa"/>
            <w:right w:w="0" w:type="dxa"/>
          </w:tblCellMar>
        </w:tblPrEx>
        <w:trPr>
          <w:trHeight w:val="217" w:hRule="atLeast"/>
          <w:jc w:val="center"/>
        </w:trPr>
        <w:tc>
          <w:tcPr>
            <w:tcW w:w="394"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73</w:t>
            </w:r>
          </w:p>
        </w:tc>
        <w:tc>
          <w:tcPr>
            <w:tcW w:w="111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color w:val="auto"/>
                <w:sz w:val="16"/>
                <w:szCs w:val="16"/>
                <w:lang w:eastAsia="zh-CN"/>
              </w:rPr>
            </w:pPr>
            <w:r>
              <w:rPr>
                <w:rFonts w:hint="eastAsia" w:ascii="微软雅黑" w:hAnsi="微软雅黑" w:eastAsia="微软雅黑" w:cs="微软雅黑"/>
                <w:color w:val="auto"/>
                <w:sz w:val="16"/>
                <w:szCs w:val="16"/>
                <w:lang w:eastAsia="zh-CN"/>
              </w:rPr>
              <w:t>室外设备箱</w:t>
            </w:r>
          </w:p>
        </w:tc>
        <w:tc>
          <w:tcPr>
            <w:tcW w:w="613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180" w:lineRule="exact"/>
              <w:ind w:left="0" w:leftChars="0" w:firstLine="0" w:firstLine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eastAsia="zh-CN"/>
              </w:rPr>
              <w:t>高：</w:t>
            </w:r>
            <w:r>
              <w:rPr>
                <w:rFonts w:hint="eastAsia" w:ascii="微软雅黑" w:hAnsi="微软雅黑" w:eastAsia="微软雅黑" w:cs="微软雅黑"/>
                <w:color w:val="auto"/>
                <w:sz w:val="16"/>
                <w:szCs w:val="16"/>
                <w:lang w:val="en-US" w:eastAsia="zh-CN"/>
              </w:rPr>
              <w:t>600mm/宽：500mm/深300mm，内置2个固定托盘、1个漏电保护器，安装辅材五金，防雨雪，防尘，防热。</w:t>
            </w:r>
          </w:p>
        </w:tc>
        <w:tc>
          <w:tcPr>
            <w:tcW w:w="42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5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55"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855.00</w:t>
            </w:r>
          </w:p>
        </w:tc>
        <w:tc>
          <w:tcPr>
            <w:tcW w:w="858"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150.00</w:t>
            </w:r>
          </w:p>
        </w:tc>
      </w:tr>
      <w:tr>
        <w:tblPrEx>
          <w:tblCellMar>
            <w:top w:w="0" w:type="dxa"/>
            <w:left w:w="0" w:type="dxa"/>
            <w:bottom w:w="0" w:type="dxa"/>
            <w:right w:w="0" w:type="dxa"/>
          </w:tblCellMar>
        </w:tblPrEx>
        <w:trPr>
          <w:trHeight w:val="357" w:hRule="atLeast"/>
          <w:jc w:val="center"/>
        </w:trPr>
        <w:tc>
          <w:tcPr>
            <w:tcW w:w="10222" w:type="dxa"/>
            <w:gridSpan w:val="7"/>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综合合计：445773元（设备单价+安装）</w:t>
            </w:r>
          </w:p>
        </w:tc>
      </w:tr>
    </w:tbl>
    <w:p>
      <w:pPr>
        <w:pStyle w:val="2"/>
        <w:rPr>
          <w:rFonts w:hint="eastAsia"/>
          <w:lang w:val="en-US" w:eastAsia="zh-CN"/>
        </w:rPr>
      </w:pPr>
      <w:r>
        <w:rPr>
          <w:rFonts w:hint="eastAsia"/>
          <w:lang w:val="en-US" w:eastAsia="zh-CN"/>
        </w:rPr>
        <w:t>注:产品不能为淘汰陈旧设备,产品为近几年生产的产品能与我院设备匹配.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b/>
          <w:bCs/>
          <w:color w:val="auto"/>
          <w:sz w:val="28"/>
          <w:szCs w:val="28"/>
          <w:lang w:val="en-US" w:eastAsia="zh-CN"/>
        </w:rPr>
      </w:pPr>
      <w:r>
        <w:rPr>
          <w:rFonts w:hint="eastAsia" w:ascii="宋体" w:hAnsi="宋体"/>
          <w:b/>
          <w:bCs/>
          <w:color w:val="auto"/>
          <w:sz w:val="28"/>
          <w:szCs w:val="28"/>
          <w:lang w:val="en-US" w:eastAsia="zh-CN"/>
        </w:rPr>
        <w:t>六、报价及支付方式：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color w:val="auto"/>
          <w:sz w:val="28"/>
          <w:szCs w:val="28"/>
          <w:lang w:val="en-US" w:eastAsia="zh-CN"/>
        </w:rPr>
      </w:pPr>
      <w:r>
        <w:rPr>
          <w:rFonts w:hint="eastAsia"/>
          <w:color w:val="auto"/>
          <w:sz w:val="28"/>
          <w:szCs w:val="28"/>
          <w:lang w:val="en-US" w:eastAsia="zh-CN"/>
        </w:rPr>
        <w:t>1、各类设备综合报价应包含：设备材料价格、安装施工费用、调试费用、运输费用、税费、质保费、合理利润及其他费用。我院自采购设备至安装施工、调试并正常运行不再支付任何费用。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color w:val="auto"/>
          <w:sz w:val="28"/>
          <w:szCs w:val="28"/>
          <w:lang w:val="en-US" w:eastAsia="zh-CN"/>
        </w:rPr>
      </w:pPr>
      <w:r>
        <w:rPr>
          <w:rFonts w:hint="eastAsia"/>
          <w:color w:val="auto"/>
          <w:sz w:val="28"/>
          <w:szCs w:val="28"/>
          <w:lang w:val="en-US" w:eastAsia="zh-CN"/>
        </w:rPr>
        <w:t>2、在综合报价的基础上，分别明确列出设备采购单价、安装施工费用。</w:t>
      </w:r>
    </w:p>
    <w:p>
      <w:pPr>
        <w:pStyle w:val="2"/>
        <w:ind w:left="0" w:leftChars="0" w:firstLine="0" w:firstLineChars="0"/>
        <w:rPr>
          <w:rFonts w:hint="default"/>
          <w:lang w:val="en-US" w:eastAsia="zh-CN"/>
        </w:rPr>
      </w:pPr>
      <w:r>
        <w:rPr>
          <w:rFonts w:hint="eastAsia"/>
          <w:color w:val="auto"/>
          <w:sz w:val="28"/>
          <w:szCs w:val="28"/>
          <w:lang w:val="en-US" w:eastAsia="zh-CN"/>
        </w:rPr>
        <w:t>3、支付方式：本项目按单价招标，按实际发生量结算金额，每次结算按实际发生量的90%，剩余10%质保期满后支付，支付90%时开全价发票。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七、其他要求：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eastAsia="zh-CN"/>
        </w:rPr>
        <w:t>中标单位接到中标通知书时，即视为开始履行合同条款。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lang w:eastAsia="zh-CN"/>
        </w:rPr>
        <w:t>中标单位</w:t>
      </w:r>
      <w:r>
        <w:rPr>
          <w:rFonts w:hint="eastAsia" w:ascii="宋体" w:hAnsi="宋体"/>
          <w:color w:val="auto"/>
          <w:sz w:val="28"/>
          <w:szCs w:val="28"/>
        </w:rPr>
        <w:t>在施工时不得妨碍科室及公共场所的正常工作，进行接线调试除外，施工时避免过分影响现有设备正常工作，施工单位在施工期间因施工发生的所有安全事故及造成的损失均由施工单位承担。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w:t>
      </w:r>
      <w:r>
        <w:rPr>
          <w:rFonts w:hint="eastAsia" w:ascii="宋体" w:hAnsi="宋体"/>
          <w:color w:val="auto"/>
          <w:sz w:val="28"/>
          <w:szCs w:val="28"/>
          <w:lang w:eastAsia="zh-CN"/>
        </w:rPr>
        <w:t>中标单位</w:t>
      </w:r>
      <w:r>
        <w:rPr>
          <w:rFonts w:hint="eastAsia" w:ascii="宋体" w:hAnsi="宋体"/>
          <w:color w:val="auto"/>
          <w:sz w:val="28"/>
          <w:szCs w:val="28"/>
        </w:rPr>
        <w:t>及其人员</w:t>
      </w:r>
      <w:r>
        <w:rPr>
          <w:rFonts w:hint="eastAsia" w:ascii="宋体" w:hAnsi="宋体"/>
          <w:color w:val="auto"/>
          <w:sz w:val="28"/>
          <w:szCs w:val="28"/>
          <w:lang w:eastAsia="zh-CN"/>
        </w:rPr>
        <w:t>在我院施工期间必须</w:t>
      </w:r>
      <w:r>
        <w:rPr>
          <w:rFonts w:hint="eastAsia" w:ascii="宋体" w:hAnsi="宋体"/>
          <w:color w:val="auto"/>
          <w:sz w:val="28"/>
          <w:szCs w:val="28"/>
        </w:rPr>
        <w:t>严格遵守</w:t>
      </w:r>
      <w:r>
        <w:rPr>
          <w:rFonts w:hint="eastAsia" w:ascii="宋体" w:hAnsi="宋体"/>
          <w:color w:val="auto"/>
          <w:sz w:val="28"/>
          <w:szCs w:val="28"/>
          <w:lang w:eastAsia="zh-CN"/>
        </w:rPr>
        <w:t>消防、治安管理</w:t>
      </w:r>
      <w:r>
        <w:rPr>
          <w:rFonts w:hint="eastAsia" w:ascii="宋体" w:hAnsi="宋体"/>
          <w:color w:val="auto"/>
          <w:sz w:val="28"/>
          <w:szCs w:val="28"/>
        </w:rPr>
        <w:t>规定，在运送设备及其它材料时按指定的地点和时间进行。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w:t>
      </w:r>
      <w:r>
        <w:rPr>
          <w:rFonts w:hint="eastAsia" w:ascii="宋体" w:hAnsi="宋体"/>
          <w:color w:val="auto"/>
          <w:sz w:val="28"/>
          <w:szCs w:val="28"/>
          <w:lang w:eastAsia="zh-CN"/>
        </w:rPr>
        <w:t>中标单位</w:t>
      </w:r>
      <w:r>
        <w:rPr>
          <w:rFonts w:hint="eastAsia" w:ascii="宋体" w:hAnsi="宋体"/>
          <w:color w:val="auto"/>
          <w:sz w:val="28"/>
          <w:szCs w:val="28"/>
        </w:rPr>
        <w:t>施工过程遵守医院的安全管理规定，需要使用电源时必须与相关科室进行协调并服从管理，如损坏、移动医院设施并及时进行修复、恢复，施工产生的穿墙洞必须进行封堵。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w:t>
      </w:r>
      <w:r>
        <w:rPr>
          <w:rFonts w:hint="eastAsia" w:ascii="宋体" w:hAnsi="宋体"/>
          <w:color w:val="auto"/>
          <w:sz w:val="28"/>
          <w:szCs w:val="28"/>
          <w:lang w:eastAsia="zh-CN"/>
        </w:rPr>
        <w:t>中标单位落实施工项目必须遵守我院的工作流程及相关规定，</w:t>
      </w:r>
      <w:r>
        <w:rPr>
          <w:rFonts w:hint="eastAsia" w:ascii="宋体" w:hAnsi="宋体"/>
          <w:color w:val="auto"/>
          <w:sz w:val="28"/>
          <w:szCs w:val="28"/>
        </w:rPr>
        <w:t>施工前向</w:t>
      </w:r>
      <w:r>
        <w:rPr>
          <w:rFonts w:hint="eastAsia" w:ascii="宋体" w:hAnsi="宋体"/>
          <w:color w:val="auto"/>
          <w:sz w:val="28"/>
          <w:szCs w:val="28"/>
          <w:lang w:eastAsia="zh-CN"/>
        </w:rPr>
        <w:t>我院</w:t>
      </w:r>
      <w:r>
        <w:rPr>
          <w:rFonts w:hint="eastAsia" w:ascii="宋体" w:hAnsi="宋体"/>
          <w:color w:val="auto"/>
          <w:sz w:val="28"/>
          <w:szCs w:val="28"/>
        </w:rPr>
        <w:t>提交工程进度表并严格执行</w:t>
      </w:r>
      <w:r>
        <w:rPr>
          <w:rFonts w:hint="eastAsia" w:ascii="宋体" w:hAnsi="宋体"/>
          <w:color w:val="auto"/>
          <w:sz w:val="28"/>
          <w:szCs w:val="28"/>
          <w:lang w:eastAsia="zh-CN"/>
        </w:rPr>
        <w:t>，施工结束后向我院提交项目资料，包括设备设施合格证、说明书、相关技术资料和设备设施清单、光纤线路敷设、点位图等</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w:t>
      </w:r>
      <w:r>
        <w:rPr>
          <w:rFonts w:hint="eastAsia" w:ascii="宋体" w:hAnsi="宋体"/>
          <w:color w:val="auto"/>
          <w:sz w:val="28"/>
          <w:szCs w:val="28"/>
          <w:lang w:eastAsia="zh-CN"/>
        </w:rPr>
        <w:t>中标单位的施工项目涉及的施工质量及设备质量的</w:t>
      </w:r>
      <w:r>
        <w:rPr>
          <w:rFonts w:hint="eastAsia" w:ascii="宋体" w:hAnsi="宋体"/>
          <w:color w:val="auto"/>
          <w:sz w:val="28"/>
          <w:szCs w:val="28"/>
        </w:rPr>
        <w:t>质保</w:t>
      </w:r>
      <w:r>
        <w:rPr>
          <w:rFonts w:hint="eastAsia" w:ascii="宋体" w:hAnsi="宋体"/>
          <w:color w:val="auto"/>
          <w:sz w:val="28"/>
          <w:szCs w:val="28"/>
          <w:lang w:eastAsia="zh-CN"/>
        </w:rPr>
        <w:t>期为</w:t>
      </w:r>
      <w:r>
        <w:rPr>
          <w:rFonts w:hint="eastAsia" w:ascii="宋体" w:hAnsi="宋体"/>
          <w:color w:val="auto"/>
          <w:sz w:val="28"/>
          <w:szCs w:val="28"/>
          <w:lang w:val="en-US" w:eastAsia="zh-CN"/>
        </w:rPr>
        <w:t>2</w:t>
      </w:r>
      <w:r>
        <w:rPr>
          <w:rFonts w:hint="eastAsia" w:ascii="宋体" w:hAnsi="宋体"/>
          <w:color w:val="auto"/>
          <w:sz w:val="28"/>
          <w:szCs w:val="28"/>
        </w:rPr>
        <w:t>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r>
        <w:rPr>
          <w:rFonts w:hint="eastAsia" w:ascii="宋体" w:hAnsi="宋体"/>
          <w:color w:val="auto"/>
          <w:sz w:val="28"/>
          <w:szCs w:val="28"/>
          <w:lang w:val="en-US" w:eastAsia="zh-CN"/>
        </w:rPr>
        <w:t>7、</w:t>
      </w:r>
      <w:r>
        <w:rPr>
          <w:rFonts w:hint="eastAsia" w:ascii="宋体" w:hAnsi="宋体"/>
          <w:color w:val="auto"/>
          <w:sz w:val="28"/>
          <w:szCs w:val="28"/>
          <w:lang w:eastAsia="zh-CN"/>
        </w:rPr>
        <w:t>中标单位</w:t>
      </w:r>
      <w:r>
        <w:rPr>
          <w:rFonts w:hint="eastAsia" w:ascii="宋体" w:hAnsi="宋体"/>
          <w:color w:val="auto"/>
          <w:sz w:val="28"/>
          <w:szCs w:val="28"/>
          <w:lang w:val="en-US" w:eastAsia="zh-CN"/>
        </w:rPr>
        <w:t>按照我院的要求结合施工项目</w:t>
      </w:r>
      <w:r>
        <w:rPr>
          <w:rFonts w:hint="eastAsia" w:ascii="宋体" w:hAnsi="宋体"/>
          <w:color w:val="auto"/>
          <w:sz w:val="28"/>
          <w:szCs w:val="28"/>
          <w:lang w:eastAsia="zh-CN"/>
        </w:rPr>
        <w:t>对我院相关人员进行培训。</w:t>
      </w:r>
    </w:p>
    <w:p>
      <w:pPr>
        <w:jc w:val="right"/>
        <w:rPr>
          <w:rFonts w:hint="eastAsia" w:ascii="宋体" w:hAnsi="宋体"/>
          <w:color w:val="auto"/>
          <w:sz w:val="28"/>
          <w:szCs w:val="28"/>
          <w:lang w:eastAsia="zh-CN"/>
        </w:rPr>
      </w:pPr>
      <w:r>
        <w:rPr>
          <w:rFonts w:hint="eastAsia" w:ascii="宋体" w:hAnsi="宋体"/>
          <w:color w:val="auto"/>
          <w:sz w:val="28"/>
          <w:szCs w:val="28"/>
          <w:lang w:eastAsia="zh-CN"/>
        </w:rPr>
        <w:t>新疆医科大学第一附属医院</w:t>
      </w:r>
      <w:r>
        <w:rPr>
          <w:rFonts w:hint="eastAsia" w:ascii="宋体" w:hAnsi="宋体"/>
          <w:color w:val="auto"/>
          <w:sz w:val="28"/>
          <w:szCs w:val="28"/>
          <w:lang w:val="en-US" w:eastAsia="zh-CN"/>
        </w:rPr>
        <w:t>-</w:t>
      </w:r>
      <w:r>
        <w:rPr>
          <w:rFonts w:hint="eastAsia" w:ascii="宋体" w:hAnsi="宋体"/>
          <w:color w:val="auto"/>
          <w:sz w:val="28"/>
          <w:szCs w:val="28"/>
          <w:lang w:eastAsia="zh-CN"/>
        </w:rPr>
        <w:t>保卫科</w:t>
      </w:r>
    </w:p>
    <w:p>
      <w:pPr>
        <w:pStyle w:val="2"/>
        <w:wordWrap w:val="0"/>
        <w:jc w:val="right"/>
        <w:rPr>
          <w:rFonts w:hint="eastAsia" w:ascii="宋体" w:hAnsi="宋体"/>
          <w:color w:val="auto"/>
          <w:sz w:val="28"/>
          <w:szCs w:val="28"/>
          <w:lang w:val="en-US" w:eastAsia="zh-CN"/>
        </w:rPr>
      </w:pPr>
      <w:r>
        <w:rPr>
          <w:rFonts w:hint="eastAsia" w:ascii="宋体" w:hAnsi="宋体"/>
          <w:color w:val="auto"/>
          <w:sz w:val="28"/>
          <w:szCs w:val="28"/>
          <w:lang w:val="en-US" w:eastAsia="zh-CN"/>
        </w:rPr>
        <w:t xml:space="preserve">2022年11月20日      </w:t>
      </w:r>
      <w:bookmarkStart w:id="45" w:name="_Toc298240429"/>
      <w:bookmarkStart w:id="46" w:name="_Toc18602"/>
      <w:bookmarkStart w:id="47" w:name="_Toc349637943"/>
      <w:bookmarkStart w:id="48" w:name="_Toc349573144"/>
      <w:bookmarkStart w:id="49" w:name="_Toc356488111"/>
    </w:p>
    <w:p>
      <w:pPr>
        <w:wordWrap/>
        <w:rPr>
          <w:rFonts w:hint="eastAsia" w:ascii="宋体" w:hAnsi="宋体"/>
          <w:color w:val="auto"/>
          <w:sz w:val="28"/>
          <w:szCs w:val="28"/>
          <w:lang w:val="en-US" w:eastAsia="zh-CN"/>
        </w:rPr>
      </w:pPr>
    </w:p>
    <w:p>
      <w:pPr>
        <w:pStyle w:val="2"/>
        <w:rPr>
          <w:rFonts w:hint="eastAsia"/>
          <w:lang w:val="en-US" w:eastAsia="zh-Hans"/>
        </w:rPr>
      </w:pPr>
    </w:p>
    <w:p>
      <w:pPr>
        <w:rPr>
          <w:rFonts w:hint="eastAsia"/>
          <w:lang w:val="en-US" w:eastAsia="zh-Hans"/>
        </w:rPr>
      </w:pPr>
    </w:p>
    <w:p>
      <w:pPr>
        <w:pStyle w:val="2"/>
        <w:rPr>
          <w:rFonts w:hint="eastAsia"/>
          <w:lang w:val="en-US" w:eastAsia="zh-Hans"/>
        </w:rPr>
      </w:pPr>
    </w:p>
    <w:p>
      <w:pPr>
        <w:rPr>
          <w:rFonts w:hint="eastAsia"/>
          <w:lang w:val="en-US" w:eastAsia="zh-Hans"/>
        </w:rPr>
      </w:pPr>
    </w:p>
    <w:p>
      <w:pPr>
        <w:pStyle w:val="2"/>
        <w:rPr>
          <w:rFonts w:hint="eastAsia"/>
          <w:lang w:val="en-US" w:eastAsia="zh-Hans"/>
        </w:rPr>
      </w:pPr>
    </w:p>
    <w:p>
      <w:pPr>
        <w:pStyle w:val="4"/>
        <w:numPr>
          <w:ilvl w:val="0"/>
          <w:numId w:val="0"/>
        </w:numPr>
        <w:spacing w:after="100" w:afterAutospacing="1" w:line="400" w:lineRule="atLeast"/>
        <w:jc w:val="center"/>
        <w:rPr>
          <w:rFonts w:hint="eastAsia" w:ascii="等线 Light" w:hAnsi="等线 Light" w:cs="等线 Light" w:eastAsiaTheme="minorEastAsia"/>
          <w:bCs/>
          <w:sz w:val="30"/>
          <w:szCs w:val="30"/>
          <w:lang w:val="en-US" w:eastAsia="zh-Hans"/>
        </w:rPr>
      </w:pPr>
      <w:r>
        <w:rPr>
          <w:rFonts w:hint="eastAsia" w:ascii="等线 Light" w:hAnsi="等线 Light" w:cs="等线 Light" w:eastAsiaTheme="minorEastAsia"/>
          <w:bCs/>
          <w:sz w:val="30"/>
          <w:szCs w:val="30"/>
          <w:lang w:val="en-US" w:eastAsia="zh-Hans"/>
        </w:rPr>
        <w:t>第四部分</w:t>
      </w:r>
      <w:r>
        <w:rPr>
          <w:rFonts w:hint="default" w:ascii="等线 Light" w:hAnsi="等线 Light" w:cs="等线 Light" w:eastAsiaTheme="minorEastAsia"/>
          <w:bCs/>
          <w:sz w:val="30"/>
          <w:szCs w:val="30"/>
          <w:lang w:eastAsia="zh-Hans"/>
        </w:rPr>
        <w:t>、</w:t>
      </w:r>
      <w:r>
        <w:rPr>
          <w:rFonts w:hint="eastAsia" w:ascii="等线 Light" w:hAnsi="等线 Light" w:cs="等线 Light" w:eastAsiaTheme="minorEastAsia"/>
          <w:bCs/>
          <w:sz w:val="30"/>
          <w:szCs w:val="30"/>
          <w:lang w:val="en-US" w:eastAsia="zh-Hans"/>
        </w:rPr>
        <w:t>合同条款</w:t>
      </w:r>
    </w:p>
    <w:p>
      <w:pPr>
        <w:pStyle w:val="4"/>
        <w:numPr>
          <w:ilvl w:val="0"/>
          <w:numId w:val="0"/>
        </w:numPr>
        <w:spacing w:after="100" w:afterAutospacing="1" w:line="400" w:lineRule="atLeast"/>
        <w:jc w:val="center"/>
        <w:rPr>
          <w:rFonts w:hint="eastAsia" w:ascii="宋体" w:hAnsi="宋体" w:eastAsia="宋体" w:cs="宋体"/>
          <w:color w:val="000000"/>
          <w:kern w:val="0"/>
          <w:sz w:val="28"/>
        </w:rPr>
      </w:pPr>
      <w:r>
        <w:rPr>
          <w:rFonts w:hint="eastAsia" w:ascii="等线 Light" w:hAnsi="等线 Light" w:cs="等线 Light" w:eastAsiaTheme="minorEastAsia"/>
          <w:bCs/>
          <w:sz w:val="30"/>
          <w:szCs w:val="30"/>
          <w:lang w:eastAsia="zh-CN"/>
        </w:rPr>
        <w:t>（仅供参考，具体以甲方签订合同为准）</w:t>
      </w:r>
      <w:r>
        <w:rPr>
          <w:rFonts w:hint="eastAsia" w:ascii="宋体" w:hAnsi="宋体" w:cs="宋体"/>
          <w:color w:val="000000"/>
          <w:kern w:val="0"/>
          <w:sz w:val="28"/>
          <w:lang w:val="en-US" w:eastAsia="zh-CN"/>
        </w:rPr>
        <w:t xml:space="preserve"> </w:t>
      </w:r>
      <w:bookmarkEnd w:id="45"/>
      <w:bookmarkEnd w:id="46"/>
      <w:bookmarkEnd w:id="47"/>
      <w:bookmarkEnd w:id="48"/>
      <w:bookmarkEnd w:id="49"/>
    </w:p>
    <w:p>
      <w:pPr>
        <w:spacing w:line="480" w:lineRule="auto"/>
        <w:ind w:right="890" w:rightChars="424" w:firstLine="1293" w:firstLineChars="308"/>
        <w:jc w:val="center"/>
        <w:rPr>
          <w:rFonts w:hint="eastAsia" w:ascii="宋体" w:hAnsi="宋体" w:eastAsia="宋体" w:cs="宋体"/>
          <w:color w:val="000000"/>
          <w:spacing w:val="30"/>
          <w:kern w:val="0"/>
          <w:sz w:val="36"/>
          <w:szCs w:val="22"/>
        </w:rPr>
      </w:pPr>
      <w:r>
        <w:rPr>
          <w:rFonts w:hint="eastAsia" w:ascii="宋体" w:hAnsi="宋体" w:eastAsia="宋体" w:cs="宋体"/>
          <w:color w:val="000000"/>
          <w:spacing w:val="30"/>
          <w:kern w:val="0"/>
          <w:sz w:val="36"/>
          <w:szCs w:val="22"/>
        </w:rPr>
        <w:t>新疆医科大学第</w:t>
      </w:r>
      <w:r>
        <w:rPr>
          <w:rFonts w:hint="eastAsia" w:ascii="宋体" w:hAnsi="宋体" w:cs="宋体"/>
          <w:color w:val="000000"/>
          <w:spacing w:val="30"/>
          <w:kern w:val="0"/>
          <w:sz w:val="36"/>
          <w:szCs w:val="22"/>
          <w:lang w:eastAsia="zh-CN"/>
        </w:rPr>
        <w:t>一</w:t>
      </w:r>
      <w:r>
        <w:rPr>
          <w:rFonts w:hint="eastAsia" w:ascii="宋体" w:hAnsi="宋体" w:eastAsia="宋体" w:cs="宋体"/>
          <w:color w:val="000000"/>
          <w:spacing w:val="30"/>
          <w:kern w:val="0"/>
          <w:sz w:val="36"/>
          <w:szCs w:val="22"/>
        </w:rPr>
        <w:t>附属医院</w:t>
      </w:r>
    </w:p>
    <w:p>
      <w:pPr>
        <w:spacing w:line="480" w:lineRule="auto"/>
        <w:ind w:left="0" w:leftChars="0" w:right="907" w:rightChars="432" w:firstLine="1257" w:firstLineChars="393"/>
        <w:jc w:val="distribute"/>
        <w:rPr>
          <w:rFonts w:hint="eastAsia" w:ascii="宋体" w:hAnsi="宋体" w:eastAsia="宋体" w:cs="宋体"/>
          <w:color w:val="000000"/>
          <w:kern w:val="0"/>
          <w:sz w:val="32"/>
          <w:szCs w:val="32"/>
        </w:rPr>
      </w:pPr>
      <w:r>
        <w:rPr>
          <w:rFonts w:hint="eastAsia" w:ascii="宋体" w:hAnsi="宋体" w:cs="宋体"/>
          <w:color w:val="000000"/>
          <w:kern w:val="0"/>
          <w:sz w:val="32"/>
          <w:szCs w:val="32"/>
          <w:lang w:eastAsia="zh-CN"/>
        </w:rPr>
        <w:t>保卫科视频监控系统设备采购安装</w:t>
      </w:r>
      <w:r>
        <w:rPr>
          <w:rFonts w:hint="eastAsia" w:ascii="宋体" w:hAnsi="宋体" w:eastAsia="宋体" w:cs="宋体"/>
          <w:color w:val="000000"/>
          <w:kern w:val="0"/>
          <w:sz w:val="32"/>
          <w:szCs w:val="32"/>
        </w:rPr>
        <w:t>项目</w:t>
      </w:r>
    </w:p>
    <w:p>
      <w:pPr>
        <w:spacing w:line="720" w:lineRule="auto"/>
        <w:ind w:right="-874" w:rightChars="-416"/>
        <w:jc w:val="both"/>
        <w:rPr>
          <w:rFonts w:hint="eastAsia" w:ascii="宋体" w:hAnsi="宋体" w:eastAsia="宋体" w:cs="宋体"/>
          <w:color w:val="000000"/>
          <w:kern w:val="0"/>
          <w:sz w:val="28"/>
        </w:rPr>
      </w:pPr>
    </w:p>
    <w:p>
      <w:pPr>
        <w:spacing w:line="720" w:lineRule="auto"/>
        <w:ind w:right="-57" w:rightChars="-27"/>
        <w:jc w:val="center"/>
        <w:rPr>
          <w:rFonts w:hint="eastAsia" w:ascii="宋体" w:hAnsi="宋体" w:eastAsia="宋体" w:cs="宋体"/>
          <w:color w:val="000000"/>
          <w:kern w:val="0"/>
          <w:sz w:val="56"/>
          <w:szCs w:val="52"/>
        </w:rPr>
      </w:pPr>
      <w:r>
        <w:rPr>
          <w:rFonts w:hint="eastAsia" w:ascii="宋体" w:hAnsi="宋体" w:eastAsia="宋体" w:cs="宋体"/>
          <w:color w:val="000000"/>
          <w:kern w:val="0"/>
          <w:sz w:val="56"/>
          <w:szCs w:val="52"/>
        </w:rPr>
        <w:t>合</w:t>
      </w:r>
    </w:p>
    <w:p>
      <w:pPr>
        <w:spacing w:line="720" w:lineRule="auto"/>
        <w:ind w:right="-57" w:rightChars="-27"/>
        <w:jc w:val="center"/>
        <w:rPr>
          <w:rFonts w:hint="eastAsia" w:ascii="宋体" w:hAnsi="宋体" w:eastAsia="宋体" w:cs="宋体"/>
          <w:color w:val="000000"/>
          <w:kern w:val="0"/>
          <w:sz w:val="56"/>
          <w:szCs w:val="52"/>
        </w:rPr>
      </w:pPr>
      <w:r>
        <w:rPr>
          <w:rFonts w:hint="eastAsia" w:ascii="宋体" w:hAnsi="宋体" w:eastAsia="宋体" w:cs="宋体"/>
          <w:color w:val="000000"/>
          <w:kern w:val="0"/>
          <w:sz w:val="56"/>
          <w:szCs w:val="52"/>
        </w:rPr>
        <w:t>同</w:t>
      </w:r>
    </w:p>
    <w:p>
      <w:pPr>
        <w:spacing w:line="720" w:lineRule="auto"/>
        <w:ind w:right="-57" w:rightChars="-27"/>
        <w:jc w:val="center"/>
        <w:rPr>
          <w:rFonts w:hint="eastAsia" w:ascii="宋体" w:hAnsi="宋体" w:eastAsia="宋体" w:cs="宋体"/>
          <w:color w:val="000000"/>
          <w:kern w:val="0"/>
          <w:sz w:val="56"/>
          <w:szCs w:val="52"/>
        </w:rPr>
      </w:pPr>
      <w:r>
        <w:rPr>
          <w:rFonts w:hint="eastAsia" w:ascii="宋体" w:hAnsi="宋体" w:eastAsia="宋体" w:cs="宋体"/>
          <w:color w:val="000000"/>
          <w:kern w:val="0"/>
          <w:sz w:val="56"/>
          <w:szCs w:val="52"/>
        </w:rPr>
        <w:t>书</w:t>
      </w:r>
    </w:p>
    <w:p>
      <w:pPr>
        <w:spacing w:line="720" w:lineRule="auto"/>
        <w:ind w:right="-874" w:rightChars="-416"/>
        <w:jc w:val="center"/>
        <w:rPr>
          <w:rFonts w:hint="eastAsia" w:ascii="宋体" w:hAnsi="宋体" w:eastAsia="宋体" w:cs="宋体"/>
          <w:color w:val="000000"/>
          <w:kern w:val="0"/>
          <w:sz w:val="28"/>
        </w:rPr>
      </w:pPr>
    </w:p>
    <w:p>
      <w:pPr>
        <w:spacing w:line="720" w:lineRule="auto"/>
        <w:ind w:right="-874" w:rightChars="-416"/>
        <w:jc w:val="center"/>
        <w:rPr>
          <w:rFonts w:hint="eastAsia" w:ascii="宋体" w:hAnsi="宋体" w:eastAsia="宋体" w:cs="宋体"/>
          <w:color w:val="000000"/>
          <w:kern w:val="0"/>
          <w:sz w:val="28"/>
        </w:rPr>
      </w:pPr>
    </w:p>
    <w:p>
      <w:pPr>
        <w:spacing w:line="400" w:lineRule="exact"/>
        <w:ind w:right="-874" w:rightChars="-416"/>
        <w:jc w:val="center"/>
        <w:rPr>
          <w:rFonts w:hint="eastAsia" w:ascii="宋体" w:hAnsi="宋体" w:eastAsia="宋体" w:cs="宋体"/>
          <w:color w:val="000000"/>
          <w:kern w:val="0"/>
          <w:sz w:val="28"/>
        </w:rPr>
      </w:pPr>
    </w:p>
    <w:p>
      <w:pPr>
        <w:spacing w:line="400" w:lineRule="exact"/>
        <w:ind w:right="-874" w:rightChars="-416"/>
        <w:jc w:val="center"/>
        <w:rPr>
          <w:rFonts w:hint="eastAsia" w:ascii="宋体" w:hAnsi="宋体" w:eastAsia="宋体" w:cs="宋体"/>
          <w:color w:val="000000"/>
          <w:kern w:val="0"/>
          <w:sz w:val="28"/>
        </w:rPr>
      </w:pPr>
    </w:p>
    <w:p>
      <w:pPr>
        <w:spacing w:line="400" w:lineRule="exact"/>
        <w:ind w:right="-874" w:rightChars="-416"/>
        <w:jc w:val="center"/>
        <w:rPr>
          <w:rFonts w:hint="eastAsia" w:ascii="宋体" w:hAnsi="宋体" w:eastAsia="宋体" w:cs="宋体"/>
          <w:color w:val="000000"/>
          <w:kern w:val="0"/>
          <w:sz w:val="28"/>
        </w:rPr>
      </w:pPr>
    </w:p>
    <w:p>
      <w:pPr>
        <w:spacing w:line="400" w:lineRule="exact"/>
        <w:ind w:right="-874" w:rightChars="-416"/>
        <w:jc w:val="center"/>
        <w:rPr>
          <w:rFonts w:hint="eastAsia" w:ascii="宋体" w:hAnsi="宋体" w:eastAsia="宋体" w:cs="宋体"/>
          <w:color w:val="000000"/>
          <w:kern w:val="0"/>
          <w:sz w:val="28"/>
        </w:rPr>
      </w:pPr>
    </w:p>
    <w:p>
      <w:pPr>
        <w:spacing w:line="400" w:lineRule="exact"/>
        <w:ind w:left="567" w:leftChars="270" w:right="750" w:rightChars="357" w:firstLine="1134" w:firstLineChars="315"/>
        <w:jc w:val="distribute"/>
        <w:rPr>
          <w:rFonts w:hint="eastAsia" w:ascii="宋体" w:hAnsi="宋体" w:eastAsia="宋体" w:cs="宋体"/>
          <w:color w:val="000000"/>
          <w:spacing w:val="20"/>
          <w:kern w:val="0"/>
          <w:sz w:val="32"/>
          <w:szCs w:val="32"/>
        </w:rPr>
      </w:pPr>
    </w:p>
    <w:p>
      <w:pPr>
        <w:spacing w:line="400" w:lineRule="exact"/>
        <w:ind w:left="567" w:leftChars="270" w:right="750" w:rightChars="357" w:firstLine="1134" w:firstLineChars="315"/>
        <w:jc w:val="distribute"/>
        <w:rPr>
          <w:rFonts w:hint="eastAsia" w:ascii="宋体" w:hAnsi="宋体" w:eastAsia="宋体" w:cs="宋体"/>
          <w:color w:val="000000"/>
          <w:spacing w:val="20"/>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right="4908" w:rightChars="2337"/>
        <w:jc w:val="center"/>
        <w:textAlignment w:val="auto"/>
        <w:rPr>
          <w:rFonts w:hint="eastAsia" w:ascii="宋体" w:hAnsi="宋体" w:eastAsia="宋体" w:cs="宋体"/>
          <w:bCs/>
          <w:color w:val="000000"/>
          <w:sz w:val="24"/>
          <w:szCs w:val="28"/>
        </w:rPr>
      </w:pPr>
      <w:r>
        <w:rPr>
          <w:rFonts w:hint="eastAsia" w:ascii="宋体" w:hAnsi="宋体" w:eastAsia="宋体" w:cs="宋体"/>
          <w:bCs/>
          <w:color w:val="000000"/>
          <w:sz w:val="24"/>
          <w:szCs w:val="28"/>
        </w:rPr>
        <w:t>甲方：</w:t>
      </w:r>
    </w:p>
    <w:p>
      <w:pPr>
        <w:keepNext w:val="0"/>
        <w:keepLines w:val="0"/>
        <w:pageBreakBefore w:val="0"/>
        <w:widowControl w:val="0"/>
        <w:kinsoku/>
        <w:wordWrap/>
        <w:overflowPunct/>
        <w:topLinePunct w:val="0"/>
        <w:autoSpaceDE/>
        <w:autoSpaceDN/>
        <w:bidi w:val="0"/>
        <w:adjustRightInd/>
        <w:snapToGrid/>
        <w:spacing w:after="240" w:line="360" w:lineRule="exact"/>
        <w:ind w:right="4908" w:rightChars="2337"/>
        <w:jc w:val="center"/>
        <w:textAlignment w:val="auto"/>
        <w:rPr>
          <w:rFonts w:hint="eastAsia" w:ascii="宋体" w:hAnsi="宋体" w:eastAsia="宋体" w:cs="宋体"/>
          <w:sz w:val="24"/>
          <w:szCs w:val="28"/>
        </w:rPr>
      </w:pPr>
      <w:r>
        <w:rPr>
          <w:rFonts w:hint="eastAsia" w:ascii="宋体" w:hAnsi="宋体" w:eastAsia="宋体" w:cs="宋体"/>
          <w:sz w:val="24"/>
          <w:szCs w:val="28"/>
        </w:rPr>
        <w:t>乙方：</w:t>
      </w:r>
    </w:p>
    <w:p>
      <w:pPr>
        <w:ind w:left="-21" w:leftChars="-10" w:right="-130" w:rightChars="-62" w:firstLine="19" w:firstLineChars="7"/>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新疆医科大学第</w:t>
      </w:r>
      <w:r>
        <w:rPr>
          <w:rFonts w:hint="eastAsia" w:ascii="宋体" w:hAnsi="宋体" w:cs="宋体"/>
          <w:color w:val="000000"/>
          <w:kern w:val="0"/>
          <w:sz w:val="28"/>
          <w:szCs w:val="28"/>
          <w:lang w:eastAsia="zh-CN"/>
        </w:rPr>
        <w:t>一</w:t>
      </w:r>
      <w:r>
        <w:rPr>
          <w:rFonts w:hint="eastAsia" w:ascii="宋体" w:hAnsi="宋体" w:eastAsia="宋体" w:cs="宋体"/>
          <w:color w:val="000000"/>
          <w:kern w:val="0"/>
          <w:sz w:val="28"/>
          <w:szCs w:val="28"/>
        </w:rPr>
        <w:t>附属医院</w:t>
      </w:r>
      <w:r>
        <w:rPr>
          <w:rFonts w:hint="eastAsia" w:ascii="宋体" w:hAnsi="宋体" w:cs="宋体"/>
          <w:color w:val="000000"/>
          <w:kern w:val="0"/>
          <w:sz w:val="28"/>
          <w:szCs w:val="28"/>
          <w:lang w:eastAsia="zh-CN"/>
        </w:rPr>
        <w:t>保卫科</w:t>
      </w:r>
      <w:r>
        <w:rPr>
          <w:rFonts w:hint="eastAsia" w:ascii="宋体" w:hAnsi="宋体" w:eastAsia="宋体" w:cs="宋体"/>
          <w:sz w:val="28"/>
          <w:szCs w:val="28"/>
        </w:rPr>
        <w:t>视频监控系统</w:t>
      </w:r>
      <w:r>
        <w:rPr>
          <w:rFonts w:hint="eastAsia" w:ascii="宋体" w:hAnsi="宋体" w:cs="宋体"/>
          <w:sz w:val="28"/>
          <w:szCs w:val="28"/>
          <w:lang w:eastAsia="zh-CN"/>
        </w:rPr>
        <w:t>设备</w:t>
      </w:r>
      <w:r>
        <w:rPr>
          <w:rFonts w:hint="eastAsia" w:ascii="宋体" w:hAnsi="宋体" w:eastAsia="宋体" w:cs="宋体"/>
          <w:sz w:val="28"/>
          <w:szCs w:val="28"/>
        </w:rPr>
        <w:t>采购及安装项目</w:t>
      </w:r>
    </w:p>
    <w:p>
      <w:pPr>
        <w:spacing w:after="240" w:line="480" w:lineRule="auto"/>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合同书</w:t>
      </w:r>
    </w:p>
    <w:p>
      <w:pPr>
        <w:keepNext w:val="0"/>
        <w:keepLines w:val="0"/>
        <w:pageBreakBefore w:val="0"/>
        <w:widowControl w:val="0"/>
        <w:kinsoku/>
        <w:wordWrap/>
        <w:overflowPunct/>
        <w:topLinePunct w:val="0"/>
        <w:autoSpaceDE/>
        <w:autoSpaceDN/>
        <w:bidi w:val="0"/>
        <w:adjustRightInd/>
        <w:snapToGrid/>
        <w:spacing w:line="360" w:lineRule="exact"/>
        <w:ind w:right="4908" w:rightChars="2337"/>
        <w:jc w:val="left"/>
        <w:textAlignment w:val="auto"/>
        <w:rPr>
          <w:rFonts w:hint="eastAsia" w:ascii="宋体" w:hAnsi="宋体" w:eastAsia="宋体" w:cs="宋体"/>
          <w:bCs/>
          <w:color w:val="000000"/>
          <w:sz w:val="24"/>
          <w:szCs w:val="28"/>
        </w:rPr>
      </w:pPr>
      <w:r>
        <w:rPr>
          <w:rFonts w:hint="eastAsia" w:ascii="宋体" w:hAnsi="宋体" w:eastAsia="宋体" w:cs="宋体"/>
          <w:bCs/>
          <w:color w:val="000000"/>
          <w:sz w:val="24"/>
          <w:szCs w:val="28"/>
        </w:rPr>
        <w:t>甲方：</w:t>
      </w:r>
    </w:p>
    <w:p>
      <w:pPr>
        <w:pStyle w:val="47"/>
        <w:ind w:left="0" w:leftChars="0" w:firstLine="0" w:firstLineChars="0"/>
        <w:rPr>
          <w:rFonts w:hint="eastAsia"/>
        </w:rPr>
      </w:pPr>
      <w:r>
        <w:rPr>
          <w:rFonts w:hint="eastAsia" w:ascii="宋体" w:hAnsi="宋体" w:eastAsia="宋体" w:cs="宋体"/>
          <w:sz w:val="24"/>
          <w:szCs w:val="28"/>
        </w:rPr>
        <w:t>乙方：</w:t>
      </w:r>
    </w:p>
    <w:p>
      <w:pPr>
        <w:numPr>
          <w:ilvl w:val="0"/>
          <w:numId w:val="7"/>
        </w:numPr>
        <w:spacing w:after="240" w:line="400" w:lineRule="exact"/>
        <w:ind w:left="0" w:leftChars="0" w:firstLine="420" w:firstLineChars="0"/>
        <w:rPr>
          <w:rFonts w:hint="eastAsia" w:ascii="宋体" w:hAnsi="宋体" w:eastAsia="宋体" w:cs="宋体"/>
          <w:color w:val="000000"/>
          <w:sz w:val="24"/>
          <w:szCs w:val="28"/>
        </w:rPr>
      </w:pPr>
      <w:r>
        <w:rPr>
          <w:rFonts w:hint="eastAsia" w:ascii="宋体" w:hAnsi="宋体" w:eastAsia="宋体" w:cs="宋体"/>
          <w:color w:val="000000"/>
          <w:sz w:val="24"/>
          <w:szCs w:val="28"/>
          <w:shd w:val="clear" w:color="auto" w:fill="FFFFFF"/>
        </w:rPr>
        <w:t>根据中华人民共和国民法典和相关政策规定</w:t>
      </w:r>
      <w:r>
        <w:rPr>
          <w:rFonts w:hint="eastAsia" w:ascii="宋体" w:hAnsi="宋体" w:eastAsia="宋体" w:cs="宋体"/>
          <w:color w:val="000000"/>
          <w:sz w:val="24"/>
          <w:szCs w:val="28"/>
        </w:rPr>
        <w:t>，</w:t>
      </w:r>
      <w:r>
        <w:rPr>
          <w:rFonts w:hint="eastAsia" w:ascii="宋体" w:hAnsi="宋体" w:cs="宋体"/>
          <w:color w:val="000000"/>
          <w:sz w:val="24"/>
          <w:szCs w:val="28"/>
          <w:lang w:eastAsia="zh-CN"/>
        </w:rPr>
        <w:t>在</w:t>
      </w:r>
      <w:r>
        <w:rPr>
          <w:rFonts w:hint="eastAsia" w:ascii="宋体" w:hAnsi="宋体" w:cs="宋体"/>
          <w:color w:val="000000"/>
          <w:sz w:val="24"/>
          <w:szCs w:val="28"/>
          <w:u w:val="single"/>
          <w:lang w:val="en-US" w:eastAsia="zh-CN"/>
        </w:rPr>
        <w:t xml:space="preserve">   </w:t>
      </w:r>
      <w:r>
        <w:rPr>
          <w:rFonts w:hint="eastAsia" w:ascii="宋体" w:hAnsi="宋体" w:cs="宋体"/>
          <w:color w:val="000000"/>
          <w:sz w:val="24"/>
          <w:szCs w:val="28"/>
          <w:lang w:val="en-US" w:eastAsia="zh-CN"/>
        </w:rPr>
        <w:t>年</w:t>
      </w:r>
      <w:r>
        <w:rPr>
          <w:rFonts w:hint="eastAsia" w:ascii="宋体" w:hAnsi="宋体" w:cs="宋体"/>
          <w:color w:val="000000"/>
          <w:sz w:val="24"/>
          <w:szCs w:val="28"/>
          <w:u w:val="single"/>
          <w:lang w:val="en-US" w:eastAsia="zh-CN"/>
        </w:rPr>
        <w:t xml:space="preserve">   </w:t>
      </w:r>
      <w:r>
        <w:rPr>
          <w:rFonts w:hint="eastAsia" w:ascii="宋体" w:hAnsi="宋体" w:cs="宋体"/>
          <w:color w:val="000000"/>
          <w:sz w:val="24"/>
          <w:szCs w:val="28"/>
          <w:lang w:val="en-US" w:eastAsia="zh-CN"/>
        </w:rPr>
        <w:t>月</w:t>
      </w:r>
      <w:r>
        <w:rPr>
          <w:rFonts w:hint="eastAsia" w:ascii="宋体" w:hAnsi="宋体" w:cs="宋体"/>
          <w:color w:val="000000"/>
          <w:sz w:val="24"/>
          <w:szCs w:val="28"/>
          <w:u w:val="single"/>
          <w:lang w:val="en-US" w:eastAsia="zh-CN"/>
        </w:rPr>
        <w:t xml:space="preserve">   </w:t>
      </w:r>
      <w:r>
        <w:rPr>
          <w:rFonts w:hint="eastAsia" w:ascii="宋体" w:hAnsi="宋体" w:cs="宋体"/>
          <w:color w:val="000000"/>
          <w:sz w:val="24"/>
          <w:szCs w:val="28"/>
          <w:lang w:val="en-US" w:eastAsia="zh-CN"/>
        </w:rPr>
        <w:t>日的</w:t>
      </w:r>
      <w:r>
        <w:rPr>
          <w:rFonts w:hint="eastAsia" w:ascii="宋体" w:hAnsi="宋体" w:cs="宋体"/>
          <w:color w:val="000000"/>
          <w:sz w:val="24"/>
          <w:szCs w:val="28"/>
          <w:lang w:eastAsia="zh-CN"/>
        </w:rPr>
        <w:t>竞争性谈判</w:t>
      </w:r>
      <w:r>
        <w:rPr>
          <w:rFonts w:hint="eastAsia" w:ascii="宋体" w:hAnsi="宋体" w:eastAsia="宋体" w:cs="宋体"/>
          <w:color w:val="000000"/>
          <w:sz w:val="24"/>
          <w:szCs w:val="28"/>
        </w:rPr>
        <w:t>招标</w:t>
      </w:r>
      <w:r>
        <w:rPr>
          <w:rFonts w:hint="eastAsia" w:ascii="宋体" w:hAnsi="宋体" w:cs="宋体"/>
          <w:color w:val="000000"/>
          <w:sz w:val="24"/>
          <w:szCs w:val="28"/>
          <w:lang w:eastAsia="zh-CN"/>
        </w:rPr>
        <w:t>过</w:t>
      </w:r>
      <w:r>
        <w:rPr>
          <w:rFonts w:hint="eastAsia" w:ascii="宋体" w:hAnsi="宋体" w:eastAsia="宋体" w:cs="宋体"/>
          <w:color w:val="000000"/>
          <w:sz w:val="24"/>
          <w:szCs w:val="28"/>
        </w:rPr>
        <w:t>程</w:t>
      </w:r>
      <w:r>
        <w:rPr>
          <w:rFonts w:hint="eastAsia" w:ascii="宋体" w:hAnsi="宋体" w:cs="宋体"/>
          <w:color w:val="000000"/>
          <w:sz w:val="24"/>
          <w:szCs w:val="28"/>
          <w:lang w:eastAsia="zh-CN"/>
        </w:rPr>
        <w:t>中</w:t>
      </w:r>
      <w:r>
        <w:rPr>
          <w:rFonts w:hint="eastAsia" w:ascii="宋体" w:hAnsi="宋体" w:eastAsia="宋体" w:cs="宋体"/>
          <w:color w:val="000000"/>
          <w:sz w:val="24"/>
          <w:szCs w:val="28"/>
        </w:rPr>
        <w:t>，</w:t>
      </w:r>
      <w:r>
        <w:rPr>
          <w:rFonts w:hint="eastAsia" w:ascii="宋体" w:hAnsi="宋体" w:cs="宋体"/>
          <w:color w:val="000000"/>
          <w:sz w:val="24"/>
          <w:szCs w:val="28"/>
          <w:lang w:eastAsia="zh-CN"/>
        </w:rPr>
        <w:t>经专家评审确定</w:t>
      </w:r>
      <w:r>
        <w:rPr>
          <w:rFonts w:hint="eastAsia" w:ascii="宋体" w:hAnsi="宋体" w:eastAsia="宋体" w:cs="宋体"/>
          <w:color w:val="000000"/>
          <w:sz w:val="24"/>
          <w:szCs w:val="28"/>
        </w:rPr>
        <w:t>乙方中标</w:t>
      </w:r>
      <w:r>
        <w:rPr>
          <w:rFonts w:hint="eastAsia" w:ascii="宋体" w:hAnsi="宋体" w:cs="宋体"/>
          <w:color w:val="000000"/>
          <w:sz w:val="24"/>
          <w:szCs w:val="28"/>
          <w:lang w:eastAsia="zh-CN"/>
        </w:rPr>
        <w:t>。</w:t>
      </w:r>
      <w:r>
        <w:rPr>
          <w:rFonts w:hint="eastAsia" w:ascii="宋体" w:hAnsi="宋体" w:eastAsia="宋体" w:cs="宋体"/>
          <w:color w:val="000000"/>
          <w:sz w:val="24"/>
          <w:szCs w:val="28"/>
        </w:rPr>
        <w:t>甲、乙双方</w:t>
      </w:r>
      <w:r>
        <w:rPr>
          <w:rFonts w:hint="eastAsia" w:ascii="宋体" w:hAnsi="宋体" w:cs="宋体"/>
          <w:color w:val="000000"/>
          <w:sz w:val="24"/>
          <w:szCs w:val="28"/>
          <w:lang w:eastAsia="zh-CN"/>
        </w:rPr>
        <w:t>依据招标结果</w:t>
      </w:r>
      <w:r>
        <w:rPr>
          <w:rFonts w:hint="eastAsia" w:ascii="宋体" w:hAnsi="宋体" w:eastAsia="宋体" w:cs="宋体"/>
          <w:color w:val="000000"/>
          <w:sz w:val="24"/>
          <w:szCs w:val="28"/>
        </w:rPr>
        <w:t>同意签订本次工程项目合同，并达成以下合同条款：</w:t>
      </w:r>
    </w:p>
    <w:p>
      <w:pPr>
        <w:numPr>
          <w:ilvl w:val="0"/>
          <w:numId w:val="8"/>
        </w:numPr>
        <w:tabs>
          <w:tab w:val="left" w:pos="567"/>
        </w:tabs>
        <w:spacing w:line="400" w:lineRule="exact"/>
        <w:ind w:left="0" w:leftChars="0"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项目配置报价清单及合同价格：</w:t>
      </w:r>
    </w:p>
    <w:tbl>
      <w:tblPr>
        <w:tblStyle w:val="48"/>
        <w:tblpPr w:leftFromText="180" w:rightFromText="180" w:vertAnchor="text" w:horzAnchor="page" w:tblpX="1632" w:tblpY="279"/>
        <w:tblOverlap w:val="never"/>
        <w:tblW w:w="8854" w:type="dxa"/>
        <w:tblInd w:w="0" w:type="dxa"/>
        <w:tblLayout w:type="fixed"/>
        <w:tblCellMar>
          <w:top w:w="0" w:type="dxa"/>
          <w:left w:w="108" w:type="dxa"/>
          <w:bottom w:w="0" w:type="dxa"/>
          <w:right w:w="108" w:type="dxa"/>
        </w:tblCellMar>
      </w:tblPr>
      <w:tblGrid>
        <w:gridCol w:w="750"/>
        <w:gridCol w:w="3721"/>
        <w:gridCol w:w="700"/>
        <w:gridCol w:w="1558"/>
        <w:gridCol w:w="2125"/>
      </w:tblGrid>
      <w:tr>
        <w:tblPrEx>
          <w:tblCellMar>
            <w:top w:w="0" w:type="dxa"/>
            <w:left w:w="108" w:type="dxa"/>
            <w:bottom w:w="0" w:type="dxa"/>
            <w:right w:w="108" w:type="dxa"/>
          </w:tblCellMar>
        </w:tblPrEx>
        <w:trPr>
          <w:trHeight w:val="300" w:hRule="atLeast"/>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序号</w:t>
            </w:r>
          </w:p>
        </w:tc>
        <w:tc>
          <w:tcPr>
            <w:tcW w:w="3721" w:type="dxa"/>
            <w:tcBorders>
              <w:top w:val="single" w:color="auto" w:sz="4" w:space="0"/>
              <w:left w:val="nil"/>
              <w:bottom w:val="single" w:color="auto" w:sz="4" w:space="0"/>
              <w:right w:val="nil"/>
            </w:tcBorders>
            <w:shd w:val="clear" w:color="auto" w:fill="auto"/>
            <w:noWrap/>
            <w:vAlign w:val="center"/>
          </w:tcPr>
          <w:p>
            <w:pPr>
              <w:widowControl/>
              <w:spacing w:line="40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项 目 名 称</w:t>
            </w:r>
          </w:p>
        </w:tc>
        <w:tc>
          <w:tcPr>
            <w:tcW w:w="700"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40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数量</w:t>
            </w:r>
          </w:p>
        </w:tc>
        <w:tc>
          <w:tcPr>
            <w:tcW w:w="1558" w:type="dxa"/>
            <w:tcBorders>
              <w:top w:val="single" w:color="auto" w:sz="4" w:space="0"/>
              <w:left w:val="nil"/>
              <w:bottom w:val="single" w:color="auto" w:sz="4" w:space="0"/>
              <w:right w:val="nil"/>
            </w:tcBorders>
            <w:shd w:val="clear" w:color="auto" w:fill="auto"/>
            <w:noWrap/>
            <w:vAlign w:val="center"/>
          </w:tcPr>
          <w:p>
            <w:pPr>
              <w:widowControl/>
              <w:spacing w:line="40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综合单价</w:t>
            </w:r>
          </w:p>
        </w:tc>
        <w:tc>
          <w:tcPr>
            <w:tcW w:w="2125" w:type="dxa"/>
            <w:tcBorders>
              <w:top w:val="single" w:color="auto" w:sz="4" w:space="0"/>
              <w:left w:val="single" w:color="auto" w:sz="4" w:space="0"/>
              <w:bottom w:val="nil"/>
              <w:right w:val="single" w:color="auto" w:sz="4" w:space="0"/>
            </w:tcBorders>
            <w:shd w:val="clear" w:color="auto" w:fill="auto"/>
            <w:noWrap/>
            <w:vAlign w:val="center"/>
          </w:tcPr>
          <w:p>
            <w:pPr>
              <w:widowControl/>
              <w:spacing w:line="400" w:lineRule="exact"/>
              <w:jc w:val="center"/>
              <w:rPr>
                <w:rFonts w:hint="eastAsia" w:ascii="宋体" w:hAnsi="宋体" w:eastAsia="宋体" w:cs="宋体"/>
                <w:bCs/>
                <w:kern w:val="0"/>
                <w:sz w:val="20"/>
                <w:szCs w:val="20"/>
              </w:rPr>
            </w:pPr>
            <w:r>
              <w:rPr>
                <w:rFonts w:hint="eastAsia" w:ascii="宋体" w:hAnsi="宋体" w:eastAsia="宋体" w:cs="宋体"/>
                <w:bCs/>
                <w:kern w:val="0"/>
                <w:sz w:val="20"/>
                <w:szCs w:val="20"/>
              </w:rPr>
              <w:t>合 计</w:t>
            </w:r>
          </w:p>
        </w:tc>
      </w:tr>
      <w:tr>
        <w:tblPrEx>
          <w:tblCellMar>
            <w:top w:w="0" w:type="dxa"/>
            <w:left w:w="108" w:type="dxa"/>
            <w:bottom w:w="0" w:type="dxa"/>
            <w:right w:w="108" w:type="dxa"/>
          </w:tblCellMar>
        </w:tblPrEx>
        <w:trPr>
          <w:trHeight w:val="968" w:hRule="atLeast"/>
        </w:trPr>
        <w:tc>
          <w:tcPr>
            <w:tcW w:w="750" w:type="dxa"/>
            <w:tcBorders>
              <w:top w:val="nil"/>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hint="eastAsia" w:ascii="宋体" w:hAnsi="宋体" w:eastAsia="宋体" w:cs="宋体"/>
                <w:bCs/>
                <w:kern w:val="0"/>
                <w:sz w:val="20"/>
                <w:szCs w:val="20"/>
              </w:rPr>
            </w:pPr>
            <w:r>
              <w:rPr>
                <w:rFonts w:hint="eastAsia" w:ascii="宋体" w:hAnsi="宋体" w:eastAsia="宋体" w:cs="宋体"/>
                <w:bCs/>
                <w:kern w:val="0"/>
                <w:szCs w:val="20"/>
              </w:rPr>
              <w:t>1</w:t>
            </w:r>
          </w:p>
        </w:tc>
        <w:tc>
          <w:tcPr>
            <w:tcW w:w="3721" w:type="dxa"/>
            <w:tcBorders>
              <w:top w:val="nil"/>
              <w:left w:val="nil"/>
              <w:bottom w:val="single" w:color="auto" w:sz="4" w:space="0"/>
              <w:right w:val="nil"/>
            </w:tcBorders>
            <w:shd w:val="clear" w:color="auto" w:fill="auto"/>
            <w:noWrap/>
            <w:vAlign w:val="center"/>
          </w:tcPr>
          <w:p>
            <w:pPr>
              <w:spacing w:line="240" w:lineRule="exact"/>
              <w:ind w:right="-107" w:rightChars="-51"/>
              <w:jc w:val="center"/>
              <w:rPr>
                <w:rFonts w:hint="eastAsia" w:ascii="宋体" w:hAnsi="宋体" w:eastAsia="宋体" w:cs="宋体"/>
                <w:kern w:val="0"/>
                <w:sz w:val="20"/>
                <w:szCs w:val="20"/>
              </w:rPr>
            </w:pPr>
          </w:p>
        </w:tc>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rPr>
                <w:rFonts w:hint="eastAsia" w:ascii="宋体" w:hAnsi="宋体" w:eastAsia="宋体" w:cs="宋体"/>
                <w:kern w:val="0"/>
                <w:sz w:val="20"/>
                <w:szCs w:val="20"/>
              </w:rPr>
            </w:pPr>
          </w:p>
        </w:tc>
        <w:tc>
          <w:tcPr>
            <w:tcW w:w="1558" w:type="dxa"/>
            <w:tcBorders>
              <w:top w:val="nil"/>
              <w:left w:val="nil"/>
              <w:bottom w:val="single" w:color="auto" w:sz="4" w:space="0"/>
              <w:right w:val="single" w:color="auto" w:sz="4" w:space="0"/>
            </w:tcBorders>
            <w:shd w:val="clear" w:color="auto" w:fill="auto"/>
            <w:noWrap/>
            <w:vAlign w:val="center"/>
          </w:tcPr>
          <w:p>
            <w:pPr>
              <w:shd w:val="clear"/>
              <w:spacing w:line="240" w:lineRule="exact"/>
              <w:jc w:val="center"/>
              <w:rPr>
                <w:rFonts w:hint="eastAsia" w:ascii="宋体" w:hAnsi="宋体" w:eastAsia="宋体" w:cs="宋体"/>
                <w:kern w:val="0"/>
                <w:sz w:val="18"/>
                <w:szCs w:val="18"/>
                <w:highlight w:val="yellow"/>
              </w:rPr>
            </w:pPr>
            <w:r>
              <w:rPr>
                <w:rFonts w:hint="eastAsia" w:ascii="宋体" w:hAnsi="宋体" w:eastAsia="宋体" w:cs="宋体"/>
                <w:kern w:val="0"/>
                <w:sz w:val="18"/>
                <w:szCs w:val="18"/>
              </w:rPr>
              <w:t>《合同附件1/1》</w:t>
            </w:r>
          </w:p>
        </w:tc>
        <w:tc>
          <w:tcPr>
            <w:tcW w:w="2125" w:type="dxa"/>
            <w:tcBorders>
              <w:top w:val="single" w:color="auto" w:sz="4" w:space="0"/>
              <w:left w:val="nil"/>
              <w:bottom w:val="single" w:color="auto" w:sz="4" w:space="0"/>
              <w:right w:val="single" w:color="auto" w:sz="4" w:space="0"/>
            </w:tcBorders>
            <w:shd w:val="clear" w:color="auto" w:fill="auto"/>
            <w:noWrap/>
            <w:vAlign w:val="center"/>
          </w:tcPr>
          <w:p>
            <w:pPr>
              <w:spacing w:line="240" w:lineRule="exact"/>
              <w:jc w:val="both"/>
              <w:rPr>
                <w:rFonts w:hint="eastAsia" w:ascii="宋体" w:hAnsi="宋体" w:eastAsia="宋体" w:cs="宋体"/>
                <w:kern w:val="0"/>
                <w:sz w:val="18"/>
                <w:szCs w:val="18"/>
              </w:rPr>
            </w:pPr>
            <w:r>
              <w:rPr>
                <w:rFonts w:hint="eastAsia" w:ascii="宋体" w:hAnsi="宋体" w:eastAsia="宋体" w:cs="宋体"/>
                <w:kern w:val="0"/>
                <w:sz w:val="18"/>
                <w:szCs w:val="18"/>
              </w:rPr>
              <w:t>《合同附件1/1》</w:t>
            </w:r>
          </w:p>
        </w:tc>
      </w:tr>
      <w:tr>
        <w:tblPrEx>
          <w:tblCellMar>
            <w:top w:w="0" w:type="dxa"/>
            <w:left w:w="108" w:type="dxa"/>
            <w:bottom w:w="0" w:type="dxa"/>
            <w:right w:w="108" w:type="dxa"/>
          </w:tblCellMar>
        </w:tblPrEx>
        <w:trPr>
          <w:trHeight w:val="345" w:hRule="atLeast"/>
        </w:trPr>
        <w:tc>
          <w:tcPr>
            <w:tcW w:w="6729" w:type="dxa"/>
            <w:gridSpan w:val="4"/>
            <w:vMerge w:val="restart"/>
            <w:tcBorders>
              <w:top w:val="single" w:color="auto" w:sz="4" w:space="0"/>
              <w:left w:val="single" w:color="auto" w:sz="4" w:space="0"/>
              <w:right w:val="single" w:color="auto" w:sz="4" w:space="0"/>
            </w:tcBorders>
            <w:shd w:val="clear" w:color="auto" w:fill="auto"/>
            <w:noWrap/>
            <w:vAlign w:val="center"/>
          </w:tcPr>
          <w:p>
            <w:pPr>
              <w:widowControl/>
              <w:spacing w:line="400" w:lineRule="exact"/>
              <w:jc w:val="center"/>
              <w:rPr>
                <w:rFonts w:hint="eastAsia" w:ascii="宋体" w:hAnsi="宋体" w:eastAsia="宋体" w:cs="宋体"/>
                <w:kern w:val="0"/>
                <w:sz w:val="24"/>
              </w:rPr>
            </w:pPr>
            <w:r>
              <w:rPr>
                <w:rFonts w:hint="eastAsia" w:ascii="宋体" w:hAnsi="宋体" w:eastAsia="宋体" w:cs="宋体"/>
                <w:bCs/>
                <w:kern w:val="0"/>
                <w:sz w:val="22"/>
                <w:szCs w:val="28"/>
              </w:rPr>
              <w:t>合同价格</w:t>
            </w:r>
            <w:r>
              <w:rPr>
                <w:rFonts w:hint="eastAsia" w:ascii="宋体" w:hAnsi="宋体" w:eastAsia="宋体" w:cs="宋体"/>
                <w:bCs/>
                <w:kern w:val="0"/>
                <w:sz w:val="22"/>
              </w:rPr>
              <w:t>：</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left"/>
              <w:rPr>
                <w:rFonts w:hint="eastAsia" w:ascii="宋体" w:hAnsi="宋体" w:eastAsia="宋体" w:cs="宋体"/>
                <w:kern w:val="0"/>
                <w:sz w:val="24"/>
                <w:szCs w:val="20"/>
              </w:rPr>
            </w:pPr>
            <w:r>
              <w:rPr>
                <w:rFonts w:hint="eastAsia" w:ascii="宋体" w:hAnsi="宋体" w:eastAsia="宋体" w:cs="宋体"/>
                <w:kern w:val="0"/>
                <w:szCs w:val="20"/>
              </w:rPr>
              <w:t>(小写)</w:t>
            </w:r>
          </w:p>
        </w:tc>
      </w:tr>
      <w:tr>
        <w:tblPrEx>
          <w:tblCellMar>
            <w:top w:w="0" w:type="dxa"/>
            <w:left w:w="108" w:type="dxa"/>
            <w:bottom w:w="0" w:type="dxa"/>
            <w:right w:w="108" w:type="dxa"/>
          </w:tblCellMar>
        </w:tblPrEx>
        <w:trPr>
          <w:trHeight w:val="409" w:hRule="atLeast"/>
        </w:trPr>
        <w:tc>
          <w:tcPr>
            <w:tcW w:w="6729" w:type="dxa"/>
            <w:gridSpan w:val="4"/>
            <w:vMerge w:val="continue"/>
            <w:tcBorders>
              <w:left w:val="single" w:color="auto" w:sz="4" w:space="0"/>
              <w:bottom w:val="single" w:color="auto" w:sz="4" w:space="0"/>
              <w:right w:val="single" w:color="auto" w:sz="4" w:space="0"/>
            </w:tcBorders>
            <w:shd w:val="clear" w:color="auto" w:fill="auto"/>
            <w:noWrap/>
          </w:tcPr>
          <w:p>
            <w:pPr>
              <w:widowControl/>
              <w:ind w:right="48"/>
              <w:jc w:val="center"/>
              <w:rPr>
                <w:rFonts w:hint="eastAsia" w:ascii="宋体" w:hAnsi="宋体" w:eastAsia="宋体" w:cs="宋体"/>
                <w:kern w:val="0"/>
                <w:sz w:val="24"/>
              </w:rPr>
            </w:pPr>
          </w:p>
        </w:tc>
        <w:tc>
          <w:tcPr>
            <w:tcW w:w="2125" w:type="dxa"/>
            <w:tcBorders>
              <w:top w:val="single" w:color="auto" w:sz="4" w:space="0"/>
              <w:left w:val="single" w:color="auto" w:sz="4" w:space="0"/>
              <w:bottom w:val="single" w:color="auto" w:sz="4" w:space="0"/>
              <w:right w:val="single" w:color="auto" w:sz="4" w:space="0"/>
            </w:tcBorders>
            <w:shd w:val="clear" w:color="auto" w:fill="auto"/>
            <w:noWrap/>
          </w:tcPr>
          <w:p>
            <w:pPr>
              <w:widowControl/>
              <w:jc w:val="left"/>
              <w:rPr>
                <w:rFonts w:hint="eastAsia" w:ascii="宋体" w:hAnsi="宋体" w:eastAsia="宋体" w:cs="宋体"/>
                <w:kern w:val="0"/>
                <w:szCs w:val="21"/>
              </w:rPr>
            </w:pPr>
            <w:r>
              <w:rPr>
                <w:rFonts w:hint="eastAsia" w:ascii="宋体" w:hAnsi="宋体" w:eastAsia="宋体" w:cs="宋体"/>
                <w:kern w:val="0"/>
                <w:szCs w:val="21"/>
              </w:rPr>
              <w:t>(大写)</w:t>
            </w:r>
          </w:p>
        </w:tc>
      </w:tr>
      <w:tr>
        <w:tblPrEx>
          <w:tblCellMar>
            <w:top w:w="0" w:type="dxa"/>
            <w:left w:w="108" w:type="dxa"/>
            <w:bottom w:w="0" w:type="dxa"/>
            <w:right w:w="108" w:type="dxa"/>
          </w:tblCellMar>
        </w:tblPrEx>
        <w:trPr>
          <w:trHeight w:val="317" w:hRule="atLeast"/>
        </w:trPr>
        <w:tc>
          <w:tcPr>
            <w:tcW w:w="8854" w:type="dxa"/>
            <w:gridSpan w:val="5"/>
            <w:tcBorders>
              <w:top w:val="single" w:color="auto" w:sz="4" w:space="0"/>
              <w:left w:val="single" w:color="auto" w:sz="4" w:space="0"/>
              <w:bottom w:val="single" w:color="auto" w:sz="4" w:space="0"/>
              <w:right w:val="single" w:color="auto" w:sz="4" w:space="0"/>
            </w:tcBorders>
            <w:shd w:val="clear" w:color="auto" w:fill="auto"/>
            <w:noWrap/>
          </w:tcPr>
          <w:p>
            <w:pPr>
              <w:widowControl/>
              <w:spacing w:line="240" w:lineRule="exact"/>
              <w:jc w:val="left"/>
              <w:rPr>
                <w:rFonts w:hint="eastAsia" w:ascii="宋体" w:hAnsi="宋体" w:eastAsia="宋体" w:cs="宋体"/>
                <w:kern w:val="0"/>
                <w:szCs w:val="21"/>
              </w:rPr>
            </w:pPr>
            <w:r>
              <w:rPr>
                <w:rFonts w:hint="eastAsia" w:ascii="宋体" w:hAnsi="宋体" w:eastAsia="宋体" w:cs="宋体"/>
                <w:kern w:val="0"/>
                <w:sz w:val="18"/>
                <w:szCs w:val="21"/>
              </w:rPr>
              <w:t>备注：</w:t>
            </w:r>
            <w:r>
              <w:rPr>
                <w:rFonts w:hint="eastAsia" w:ascii="宋体" w:hAnsi="宋体" w:cs="宋体"/>
                <w:sz w:val="18"/>
                <w:szCs w:val="18"/>
                <w:lang w:eastAsia="zh-CN"/>
              </w:rPr>
              <w:t>项目单价</w:t>
            </w:r>
            <w:r>
              <w:rPr>
                <w:rFonts w:hint="eastAsia" w:ascii="宋体" w:hAnsi="宋体" w:eastAsia="宋体" w:cs="宋体"/>
                <w:sz w:val="18"/>
                <w:szCs w:val="18"/>
              </w:rPr>
              <w:t>为固定</w:t>
            </w:r>
            <w:r>
              <w:rPr>
                <w:rFonts w:hint="eastAsia" w:ascii="宋体" w:hAnsi="宋体" w:cs="宋体"/>
                <w:sz w:val="18"/>
                <w:szCs w:val="18"/>
                <w:lang w:eastAsia="zh-CN"/>
              </w:rPr>
              <w:t>价格</w:t>
            </w:r>
            <w:r>
              <w:rPr>
                <w:rFonts w:hint="eastAsia" w:ascii="宋体" w:hAnsi="宋体" w:eastAsia="宋体" w:cs="宋体"/>
                <w:sz w:val="18"/>
                <w:szCs w:val="18"/>
              </w:rPr>
              <w:t>，包含设备</w:t>
            </w:r>
            <w:r>
              <w:rPr>
                <w:rFonts w:hint="eastAsia" w:ascii="宋体" w:hAnsi="宋体" w:cs="宋体"/>
                <w:sz w:val="18"/>
                <w:szCs w:val="18"/>
                <w:lang w:eastAsia="zh-CN"/>
              </w:rPr>
              <w:t>材料价</w:t>
            </w:r>
            <w:r>
              <w:rPr>
                <w:rFonts w:hint="eastAsia" w:ascii="宋体" w:hAnsi="宋体" w:eastAsia="宋体" w:cs="宋体"/>
                <w:sz w:val="18"/>
                <w:szCs w:val="18"/>
              </w:rPr>
              <w:t>、包装、运输、项目的施工费、安装调试开通费、培训费、质保费及国家税费等一切相关费用。乙方明确，甲方除支付合同约定的上述款项外，无需再行支付其他任何费用及款项。</w:t>
            </w:r>
          </w:p>
        </w:tc>
      </w:tr>
    </w:tbl>
    <w:p>
      <w:pPr>
        <w:numPr>
          <w:ilvl w:val="0"/>
          <w:numId w:val="0"/>
        </w:numPr>
        <w:tabs>
          <w:tab w:val="left" w:pos="567"/>
        </w:tabs>
        <w:spacing w:before="240" w:line="420" w:lineRule="exact"/>
        <w:ind w:leftChars="0"/>
        <w:rPr>
          <w:rFonts w:hint="eastAsia" w:ascii="宋体" w:hAnsi="宋体" w:eastAsia="宋体" w:cs="宋体"/>
          <w:color w:val="000000"/>
          <w:sz w:val="24"/>
        </w:rPr>
      </w:pPr>
      <w:r>
        <w:rPr>
          <w:rFonts w:hint="eastAsia" w:ascii="宋体" w:hAnsi="宋体" w:cs="宋体"/>
          <w:color w:val="000000"/>
          <w:sz w:val="24"/>
          <w:lang w:val="en-US" w:eastAsia="zh-Hans"/>
        </w:rPr>
        <w:t>二</w:t>
      </w:r>
      <w:r>
        <w:rPr>
          <w:rFonts w:hint="default" w:ascii="宋体" w:hAnsi="宋体" w:cs="宋体"/>
          <w:color w:val="000000"/>
          <w:sz w:val="24"/>
          <w:lang w:eastAsia="zh-Hans"/>
        </w:rPr>
        <w:t>、</w:t>
      </w:r>
      <w:r>
        <w:rPr>
          <w:rFonts w:hint="eastAsia" w:ascii="宋体" w:hAnsi="宋体" w:cs="宋体"/>
          <w:color w:val="000000"/>
          <w:sz w:val="24"/>
          <w:lang w:eastAsia="zh-CN"/>
        </w:rPr>
        <w:t>工程项目概况：</w:t>
      </w:r>
    </w:p>
    <w:p>
      <w:pPr>
        <w:spacing w:after="240" w:line="420" w:lineRule="exact"/>
        <w:ind w:left="567" w:leftChars="270"/>
        <w:rPr>
          <w:rFonts w:hint="eastAsia" w:ascii="宋体" w:hAnsi="宋体" w:eastAsia="宋体" w:cs="宋体"/>
          <w:color w:val="000000"/>
          <w:sz w:val="24"/>
        </w:rPr>
      </w:pPr>
      <w:r>
        <w:rPr>
          <w:rFonts w:hint="eastAsia" w:ascii="宋体" w:hAnsi="宋体" w:cs="宋体"/>
          <w:color w:val="000000"/>
          <w:sz w:val="24"/>
          <w:lang w:eastAsia="zh-CN"/>
        </w:rPr>
        <w:t>新疆医科大学第一附属医院保卫科视频监控系统采购及安装项目的单价招标是为了更好的保障医院安防系统能够快速高效进行小规模的建设、改造及维修，服务地点为一附院所辖区域，服务内容为医院区域内各科室及公共空间在需要时安装视频监控项目</w:t>
      </w:r>
      <w:r>
        <w:rPr>
          <w:rFonts w:hint="eastAsia" w:ascii="宋体" w:hAnsi="宋体" w:eastAsia="宋体" w:cs="宋体"/>
          <w:color w:val="000000"/>
          <w:sz w:val="24"/>
        </w:rPr>
        <w:t>。</w:t>
      </w:r>
    </w:p>
    <w:p>
      <w:pPr>
        <w:numPr>
          <w:ilvl w:val="0"/>
          <w:numId w:val="8"/>
        </w:numPr>
        <w:tabs>
          <w:tab w:val="left" w:pos="567"/>
        </w:tabs>
        <w:spacing w:before="240" w:line="42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合同工期</w:t>
      </w:r>
      <w:r>
        <w:rPr>
          <w:rFonts w:hint="eastAsia" w:ascii="宋体" w:hAnsi="宋体" w:cs="宋体"/>
          <w:color w:val="000000"/>
          <w:sz w:val="24"/>
          <w:lang w:eastAsia="zh-CN"/>
        </w:rPr>
        <w:t>及交付地点</w:t>
      </w:r>
      <w:r>
        <w:rPr>
          <w:rFonts w:hint="eastAsia" w:ascii="宋体" w:hAnsi="宋体" w:eastAsia="宋体" w:cs="宋体"/>
          <w:color w:val="000000"/>
          <w:sz w:val="24"/>
        </w:rPr>
        <w:t>：</w:t>
      </w:r>
    </w:p>
    <w:p>
      <w:pPr>
        <w:spacing w:after="240" w:line="420" w:lineRule="exact"/>
        <w:ind w:left="567" w:leftChars="270"/>
        <w:jc w:val="left"/>
        <w:rPr>
          <w:rFonts w:hint="eastAsia" w:ascii="宋体" w:hAnsi="宋体" w:cs="宋体"/>
          <w:color w:val="000000"/>
          <w:sz w:val="24"/>
          <w:lang w:val="en-US" w:eastAsia="zh-CN"/>
        </w:rPr>
      </w:pPr>
      <w:r>
        <w:rPr>
          <w:rFonts w:hint="eastAsia" w:ascii="宋体" w:hAnsi="宋体" w:cs="宋体"/>
          <w:color w:val="000000"/>
          <w:sz w:val="24"/>
          <w:lang w:eastAsia="zh-CN"/>
        </w:rPr>
        <w:t>施工工期：</w:t>
      </w:r>
      <w:r>
        <w:rPr>
          <w:rFonts w:hint="eastAsia" w:ascii="宋体" w:hAnsi="宋体" w:cs="宋体"/>
          <w:color w:val="000000" w:themeColor="text1"/>
          <w:kern w:val="0"/>
          <w:sz w:val="24"/>
          <w:lang w:val="en-US" w:eastAsia="zh-CN"/>
          <w14:textFill>
            <w14:solidFill>
              <w14:schemeClr w14:val="tx1"/>
            </w14:solidFill>
          </w14:textFill>
        </w:rPr>
        <w:t xml:space="preserve"> 年 月 日-年 月 日； </w:t>
      </w:r>
      <w:r>
        <w:rPr>
          <w:rFonts w:hint="eastAsia" w:ascii="宋体" w:hAnsi="宋体" w:cs="宋体"/>
          <w:color w:val="000000"/>
          <w:sz w:val="24"/>
          <w:lang w:val="en-US" w:eastAsia="zh-CN"/>
        </w:rPr>
        <w:t xml:space="preserve">                             </w:t>
      </w:r>
    </w:p>
    <w:p>
      <w:pPr>
        <w:spacing w:after="240" w:line="420" w:lineRule="exact"/>
        <w:ind w:left="567" w:leftChars="270"/>
        <w:jc w:val="left"/>
        <w:rPr>
          <w:rFonts w:hint="eastAsia" w:ascii="宋体" w:hAnsi="宋体" w:cs="宋体"/>
          <w:color w:val="000000"/>
          <w:sz w:val="24"/>
          <w:lang w:eastAsia="zh-CN"/>
        </w:rPr>
      </w:pPr>
      <w:r>
        <w:rPr>
          <w:rFonts w:hint="eastAsia" w:ascii="宋体" w:hAnsi="宋体" w:cs="宋体"/>
          <w:color w:val="000000"/>
          <w:sz w:val="24"/>
          <w:lang w:eastAsia="zh-CN"/>
        </w:rPr>
        <w:t>交付地点：新疆医科大学第一附属医院。</w:t>
      </w:r>
    </w:p>
    <w:p>
      <w:pPr>
        <w:pStyle w:val="47"/>
        <w:numPr>
          <w:ilvl w:val="0"/>
          <w:numId w:val="9"/>
        </w:numPr>
        <w:ind w:left="0" w:leftChars="0" w:firstLine="0" w:firstLineChars="0"/>
        <w:jc w:val="left"/>
        <w:rPr>
          <w:rFonts w:hint="eastAsia" w:ascii="宋体" w:hAnsi="宋体" w:eastAsia="宋体" w:cs="宋体"/>
          <w:color w:val="000000"/>
          <w:sz w:val="24"/>
        </w:rPr>
      </w:pPr>
      <w:r>
        <w:rPr>
          <w:rFonts w:hint="eastAsia" w:ascii="宋体" w:hAnsi="宋体" w:eastAsia="宋体" w:cs="宋体"/>
          <w:sz w:val="24"/>
        </w:rPr>
        <w:t>质量标准及质保约定：</w:t>
      </w:r>
    </w:p>
    <w:p>
      <w:pPr>
        <w:numPr>
          <w:ilvl w:val="0"/>
          <w:numId w:val="10"/>
        </w:numPr>
        <w:spacing w:line="410" w:lineRule="exact"/>
        <w:rPr>
          <w:rFonts w:hint="eastAsia" w:ascii="宋体" w:hAnsi="宋体" w:eastAsia="宋体" w:cs="宋体"/>
          <w:sz w:val="24"/>
        </w:rPr>
      </w:pPr>
      <w:r>
        <w:rPr>
          <w:rFonts w:hint="eastAsia" w:ascii="宋体" w:hAnsi="宋体" w:eastAsia="宋体" w:cs="宋体"/>
          <w:sz w:val="24"/>
        </w:rPr>
        <w:t>严格按照有关工程质量标准、工程质量控制标准、工程评定标准、工程质量检验评定标准、工程质量检验评定标准进行检验评定；</w:t>
      </w:r>
    </w:p>
    <w:p>
      <w:pPr>
        <w:numPr>
          <w:ilvl w:val="0"/>
          <w:numId w:val="10"/>
        </w:numPr>
        <w:spacing w:line="410" w:lineRule="exact"/>
        <w:rPr>
          <w:rFonts w:hint="eastAsia" w:ascii="宋体" w:hAnsi="宋体" w:eastAsia="宋体" w:cs="宋体"/>
          <w:sz w:val="24"/>
        </w:rPr>
      </w:pPr>
      <w:r>
        <w:rPr>
          <w:rFonts w:hint="eastAsia" w:ascii="宋体" w:hAnsi="宋体" w:eastAsia="宋体" w:cs="宋体"/>
          <w:sz w:val="24"/>
        </w:rPr>
        <w:t>设备质保期为乙方交付甲方验收合格之日（需要安装调试的从安装调试甲方验收合格之日）起36个月；</w:t>
      </w:r>
    </w:p>
    <w:p>
      <w:pPr>
        <w:numPr>
          <w:ilvl w:val="0"/>
          <w:numId w:val="10"/>
        </w:numPr>
        <w:spacing w:after="240" w:line="410" w:lineRule="exact"/>
        <w:rPr>
          <w:rFonts w:hint="eastAsia" w:ascii="宋体" w:hAnsi="宋体" w:eastAsia="宋体" w:cs="宋体"/>
          <w:sz w:val="24"/>
        </w:rPr>
      </w:pPr>
      <w:r>
        <w:rPr>
          <w:rFonts w:hint="eastAsia" w:ascii="宋体" w:hAnsi="宋体" w:eastAsia="宋体" w:cs="宋体"/>
          <w:sz w:val="24"/>
        </w:rPr>
        <w:t>维修约定为甲方的技术维护响应时间为（半小时），全天24小技术支持。</w:t>
      </w:r>
    </w:p>
    <w:p>
      <w:pPr>
        <w:numPr>
          <w:ilvl w:val="0"/>
          <w:numId w:val="11"/>
        </w:numPr>
        <w:tabs>
          <w:tab w:val="left" w:pos="567"/>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sz w:val="24"/>
        </w:rPr>
        <w:t>交货期限、地点：</w:t>
      </w:r>
    </w:p>
    <w:p>
      <w:pPr>
        <w:spacing w:after="240" w:line="410" w:lineRule="exact"/>
        <w:ind w:left="567" w:leftChars="270"/>
        <w:rPr>
          <w:rFonts w:hint="eastAsia" w:ascii="宋体" w:hAnsi="宋体" w:eastAsia="宋体" w:cs="宋体"/>
          <w:sz w:val="24"/>
        </w:rPr>
      </w:pPr>
      <w:r>
        <w:rPr>
          <w:rFonts w:hint="eastAsia" w:ascii="宋体" w:hAnsi="宋体" w:eastAsia="宋体" w:cs="宋体"/>
          <w:sz w:val="24"/>
        </w:rPr>
        <w:t>签订合同之日起，十五个日历日内所有设备及材料到达甲方指定场所，并交甲方检验。</w:t>
      </w:r>
    </w:p>
    <w:p>
      <w:pPr>
        <w:numPr>
          <w:ilvl w:val="0"/>
          <w:numId w:val="12"/>
        </w:numPr>
        <w:tabs>
          <w:tab w:val="left" w:pos="567"/>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sz w:val="24"/>
        </w:rPr>
        <w:t>设备安装、开通、验收及使用培训：</w:t>
      </w:r>
    </w:p>
    <w:p>
      <w:pPr>
        <w:spacing w:after="240" w:line="410" w:lineRule="exact"/>
        <w:ind w:left="567" w:leftChars="270"/>
        <w:jc w:val="left"/>
        <w:rPr>
          <w:rFonts w:hint="eastAsia" w:ascii="宋体" w:hAnsi="宋体" w:eastAsia="宋体" w:cs="宋体"/>
          <w:color w:val="000000"/>
          <w:sz w:val="24"/>
        </w:rPr>
      </w:pPr>
      <w:r>
        <w:rPr>
          <w:rFonts w:hint="eastAsia" w:ascii="宋体" w:hAnsi="宋体" w:eastAsia="宋体" w:cs="宋体"/>
          <w:sz w:val="24"/>
        </w:rPr>
        <w:t>设备及材料到达甲方指定场所，乙方工程技术人员到达甲方指定区域，同时进行工程线路施工、设备的安装、测试、试运行工作，并对甲方单位相关工作人员培训，在六十个工作日内，完成所有工作，七个工作日内甲、乙双方进行系统验收，同时系统正式交付甲方使用</w:t>
      </w:r>
      <w:r>
        <w:rPr>
          <w:rFonts w:hint="eastAsia" w:ascii="宋体" w:hAnsi="宋体" w:eastAsia="宋体" w:cs="宋体"/>
          <w:color w:val="000000"/>
          <w:sz w:val="24"/>
        </w:rPr>
        <w:t>。</w:t>
      </w:r>
    </w:p>
    <w:p>
      <w:pPr>
        <w:numPr>
          <w:ilvl w:val="0"/>
          <w:numId w:val="13"/>
        </w:numPr>
        <w:tabs>
          <w:tab w:val="left" w:pos="540"/>
          <w:tab w:val="left" w:pos="720"/>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结算方式及付款期限：</w:t>
      </w:r>
    </w:p>
    <w:p>
      <w:pPr>
        <w:numPr>
          <w:ilvl w:val="0"/>
          <w:numId w:val="14"/>
        </w:numPr>
        <w:tabs>
          <w:tab w:val="clear" w:pos="1363"/>
        </w:tabs>
        <w:spacing w:line="410" w:lineRule="exact"/>
        <w:ind w:left="720" w:hanging="36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合同签字盖章生效后，甲方</w:t>
      </w:r>
      <w:r>
        <w:rPr>
          <w:rFonts w:hint="eastAsia" w:ascii="宋体" w:hAnsi="宋体" w:cs="宋体"/>
          <w:color w:val="000000" w:themeColor="text1"/>
          <w:kern w:val="0"/>
          <w:sz w:val="24"/>
          <w:lang w:eastAsia="zh-CN"/>
          <w14:textFill>
            <w14:solidFill>
              <w14:schemeClr w14:val="tx1"/>
            </w14:solidFill>
          </w14:textFill>
        </w:rPr>
        <w:t>依据医院的视频监控的需求进行施工，施工日期：</w:t>
      </w:r>
      <w:r>
        <w:rPr>
          <w:rFonts w:hint="eastAsia" w:ascii="宋体" w:hAnsi="宋体" w:cs="宋体"/>
          <w:color w:val="000000" w:themeColor="text1"/>
          <w:kern w:val="0"/>
          <w:sz w:val="24"/>
          <w:lang w:val="en-US" w:eastAsia="zh-CN"/>
          <w14:textFill>
            <w14:solidFill>
              <w14:schemeClr w14:val="tx1"/>
            </w14:solidFill>
          </w14:textFill>
        </w:rPr>
        <w:t>年 月 日- 年 月 日，</w:t>
      </w:r>
      <w:r>
        <w:rPr>
          <w:rFonts w:hint="eastAsia" w:ascii="宋体" w:hAnsi="宋体" w:cs="宋体"/>
          <w:color w:val="000000" w:themeColor="text1"/>
          <w:kern w:val="0"/>
          <w:sz w:val="24"/>
          <w:lang w:eastAsia="zh-CN"/>
          <w14:textFill>
            <w14:solidFill>
              <w14:schemeClr w14:val="tx1"/>
            </w14:solidFill>
          </w14:textFill>
        </w:rPr>
        <w:t>以年度为周期进行项目累计结算</w:t>
      </w:r>
      <w:r>
        <w:rPr>
          <w:rFonts w:hint="eastAsia" w:ascii="宋体" w:hAnsi="宋体" w:eastAsia="宋体" w:cs="宋体"/>
          <w:bCs/>
          <w:kern w:val="0"/>
          <w:sz w:val="24"/>
        </w:rPr>
        <w:t>；</w:t>
      </w:r>
    </w:p>
    <w:p>
      <w:pPr>
        <w:numPr>
          <w:ilvl w:val="0"/>
          <w:numId w:val="14"/>
        </w:numPr>
        <w:tabs>
          <w:tab w:val="left" w:pos="540"/>
          <w:tab w:val="left" w:pos="720"/>
          <w:tab w:val="clear" w:pos="1363"/>
        </w:tabs>
        <w:spacing w:line="410" w:lineRule="exact"/>
        <w:ind w:left="726" w:hanging="363"/>
        <w:rPr>
          <w:rFonts w:hint="eastAsia" w:ascii="宋体" w:hAnsi="宋体" w:eastAsia="宋体" w:cs="宋体"/>
          <w:color w:val="000000"/>
          <w:sz w:val="24"/>
        </w:rPr>
      </w:pPr>
      <w:r>
        <w:rPr>
          <w:rFonts w:hint="eastAsia" w:ascii="宋体" w:hAnsi="宋体" w:eastAsia="宋体" w:cs="宋体"/>
          <w:kern w:val="0"/>
          <w:sz w:val="24"/>
        </w:rPr>
        <w:t>合同价格固定：项目实施过程中</w:t>
      </w:r>
      <w:r>
        <w:rPr>
          <w:rFonts w:hint="eastAsia" w:ascii="宋体" w:hAnsi="宋体" w:cs="宋体"/>
          <w:kern w:val="0"/>
          <w:sz w:val="24"/>
          <w:lang w:eastAsia="zh-CN"/>
        </w:rPr>
        <w:t>要严格执行以</w:t>
      </w:r>
      <w:r>
        <w:rPr>
          <w:rFonts w:hint="eastAsia" w:ascii="宋体" w:hAnsi="宋体" w:eastAsia="宋体" w:cs="宋体"/>
          <w:kern w:val="0"/>
          <w:sz w:val="24"/>
        </w:rPr>
        <w:t>《合同附件1/</w:t>
      </w:r>
      <w:r>
        <w:rPr>
          <w:rFonts w:hint="eastAsia" w:ascii="宋体" w:hAnsi="宋体" w:cs="宋体"/>
          <w:kern w:val="0"/>
          <w:sz w:val="24"/>
          <w:lang w:val="en-US" w:eastAsia="zh-CN"/>
        </w:rPr>
        <w:t>1</w:t>
      </w:r>
      <w:r>
        <w:rPr>
          <w:rFonts w:hint="eastAsia" w:ascii="宋体" w:hAnsi="宋体" w:eastAsia="宋体" w:cs="宋体"/>
          <w:kern w:val="0"/>
          <w:sz w:val="24"/>
        </w:rPr>
        <w:t>》</w:t>
      </w:r>
      <w:r>
        <w:rPr>
          <w:rFonts w:hint="eastAsia" w:ascii="宋体" w:hAnsi="宋体" w:cs="宋体"/>
          <w:kern w:val="0"/>
          <w:sz w:val="24"/>
          <w:lang w:eastAsia="zh-CN"/>
        </w:rPr>
        <w:t>单项设备材料列表</w:t>
      </w:r>
      <w:r>
        <w:rPr>
          <w:rFonts w:hint="eastAsia" w:ascii="宋体" w:hAnsi="宋体" w:eastAsia="宋体" w:cs="宋体"/>
          <w:kern w:val="0"/>
          <w:sz w:val="24"/>
        </w:rPr>
        <w:t>中选择对应设备材料。项目单项报价和合价在一年期间内不因市场变化因素而变动，乙方在计算报价时已考虑风险因素</w:t>
      </w:r>
      <w:r>
        <w:rPr>
          <w:rFonts w:hint="eastAsia" w:ascii="宋体" w:hAnsi="宋体" w:eastAsia="宋体" w:cs="宋体"/>
          <w:color w:val="000000"/>
          <w:sz w:val="24"/>
        </w:rPr>
        <w:t>；</w:t>
      </w:r>
    </w:p>
    <w:p>
      <w:pPr>
        <w:numPr>
          <w:ilvl w:val="0"/>
          <w:numId w:val="14"/>
        </w:numPr>
        <w:tabs>
          <w:tab w:val="left" w:pos="540"/>
          <w:tab w:val="left" w:pos="720"/>
          <w:tab w:val="clear" w:pos="1363"/>
        </w:tabs>
        <w:spacing w:line="410" w:lineRule="exact"/>
        <w:ind w:left="720" w:hanging="360"/>
        <w:jc w:val="left"/>
        <w:rPr>
          <w:rFonts w:hint="eastAsia" w:ascii="宋体" w:hAnsi="宋体" w:eastAsia="宋体" w:cs="宋体"/>
          <w:color w:val="000000"/>
          <w:sz w:val="24"/>
        </w:rPr>
      </w:pPr>
      <w:r>
        <w:rPr>
          <w:rFonts w:hint="eastAsia" w:ascii="宋体" w:hAnsi="宋体" w:eastAsia="宋体" w:cs="宋体"/>
          <w:kern w:val="0"/>
          <w:sz w:val="24"/>
        </w:rPr>
        <w:t>乙方应在甲方付款前提供真实合法有效且符合甲方财务做账需求的等额发票，经甲方财务部门审批过后付款，按照银行承兑的汇票、本票、网银或者银行支票进行结算，否则甲方有权拒付款项且不承担违约责任；</w:t>
      </w:r>
    </w:p>
    <w:p>
      <w:pPr>
        <w:numPr>
          <w:ilvl w:val="0"/>
          <w:numId w:val="14"/>
        </w:numPr>
        <w:tabs>
          <w:tab w:val="left" w:pos="540"/>
          <w:tab w:val="left" w:pos="720"/>
          <w:tab w:val="clear" w:pos="1363"/>
        </w:tabs>
        <w:spacing w:after="240" w:line="420" w:lineRule="exact"/>
        <w:ind w:left="720" w:hanging="360"/>
        <w:jc w:val="left"/>
        <w:rPr>
          <w:rFonts w:hint="eastAsia" w:ascii="宋体" w:hAnsi="宋体" w:eastAsia="宋体" w:cs="宋体"/>
          <w:color w:val="000000"/>
          <w:sz w:val="24"/>
        </w:rPr>
      </w:pPr>
      <w:r>
        <w:rPr>
          <w:rFonts w:hint="eastAsia" w:ascii="宋体" w:hAnsi="宋体" w:eastAsia="宋体" w:cs="宋体"/>
          <w:color w:val="000000"/>
          <w:sz w:val="24"/>
          <w:lang w:eastAsia="zh-CN"/>
        </w:rPr>
        <w:t>乙方</w:t>
      </w:r>
      <w:r>
        <w:rPr>
          <w:rFonts w:hint="eastAsia" w:ascii="宋体" w:hAnsi="宋体" w:eastAsia="宋体" w:cs="宋体"/>
          <w:color w:val="000000"/>
          <w:sz w:val="24"/>
        </w:rPr>
        <w:t>施工安装采购的设备及辅助材料以合同附件</w:t>
      </w:r>
      <w:r>
        <w:rPr>
          <w:rFonts w:hint="eastAsia" w:ascii="宋体" w:hAnsi="宋体" w:eastAsia="宋体" w:cs="宋体"/>
          <w:color w:val="000000"/>
          <w:sz w:val="24"/>
          <w:lang w:eastAsia="zh-CN"/>
        </w:rPr>
        <w:t>单项</w:t>
      </w:r>
      <w:r>
        <w:rPr>
          <w:rFonts w:hint="eastAsia" w:ascii="宋体" w:hAnsi="宋体" w:eastAsia="宋体" w:cs="宋体"/>
          <w:color w:val="000000"/>
          <w:sz w:val="24"/>
        </w:rPr>
        <w:t>报价</w:t>
      </w:r>
      <w:r>
        <w:rPr>
          <w:rFonts w:hint="eastAsia" w:ascii="宋体" w:hAnsi="宋体" w:eastAsia="宋体" w:cs="宋体"/>
          <w:color w:val="000000"/>
          <w:sz w:val="24"/>
          <w:lang w:eastAsia="zh-CN"/>
        </w:rPr>
        <w:t>（含所有费用）</w:t>
      </w:r>
      <w:r>
        <w:rPr>
          <w:rFonts w:hint="eastAsia" w:ascii="宋体" w:hAnsi="宋体" w:eastAsia="宋体" w:cs="宋体"/>
          <w:color w:val="000000"/>
          <w:sz w:val="24"/>
        </w:rPr>
        <w:t>清单和</w:t>
      </w:r>
      <w:r>
        <w:rPr>
          <w:rFonts w:hint="eastAsia" w:ascii="宋体" w:hAnsi="宋体" w:eastAsia="宋体" w:cs="宋体"/>
          <w:color w:val="000000"/>
          <w:sz w:val="24"/>
          <w:lang w:eastAsia="zh-CN"/>
        </w:rPr>
        <w:t>甲方</w:t>
      </w:r>
      <w:r>
        <w:rPr>
          <w:rFonts w:hint="eastAsia" w:ascii="宋体" w:hAnsi="宋体" w:eastAsia="宋体" w:cs="宋体"/>
          <w:color w:val="000000"/>
          <w:sz w:val="24"/>
        </w:rPr>
        <w:t>施工安装设备明细台帐（甲乙双方负责任人签字）为依据结算</w:t>
      </w:r>
      <w:r>
        <w:rPr>
          <w:rFonts w:hint="eastAsia" w:ascii="宋体" w:hAnsi="宋体" w:eastAsia="宋体" w:cs="宋体"/>
          <w:color w:val="000000"/>
          <w:sz w:val="24"/>
          <w:lang w:eastAsia="zh-CN"/>
        </w:rPr>
        <w:t>，</w:t>
      </w:r>
      <w:r>
        <w:rPr>
          <w:rFonts w:hint="eastAsia" w:ascii="宋体" w:hAnsi="宋体" w:eastAsia="宋体" w:cs="宋体"/>
          <w:color w:val="000000"/>
          <w:sz w:val="24"/>
          <w:highlight w:val="none"/>
          <w:lang w:eastAsia="zh-CN"/>
        </w:rPr>
        <w:t>报价清单以外采购的</w:t>
      </w:r>
      <w:r>
        <w:rPr>
          <w:rFonts w:hint="eastAsia" w:ascii="宋体" w:hAnsi="宋体" w:eastAsia="宋体" w:cs="宋体"/>
          <w:color w:val="000000"/>
          <w:sz w:val="24"/>
        </w:rPr>
        <w:t>设备及辅助材料</w:t>
      </w:r>
      <w:r>
        <w:rPr>
          <w:rFonts w:hint="eastAsia" w:ascii="宋体" w:hAnsi="宋体" w:eastAsia="宋体" w:cs="宋体"/>
          <w:color w:val="000000"/>
          <w:sz w:val="24"/>
          <w:highlight w:val="none"/>
          <w:lang w:eastAsia="zh-CN"/>
        </w:rPr>
        <w:t>由乙方承担</w:t>
      </w:r>
      <w:r>
        <w:rPr>
          <w:rFonts w:hint="eastAsia" w:ascii="宋体" w:hAnsi="宋体" w:eastAsia="宋体" w:cs="宋体"/>
          <w:color w:val="000000"/>
          <w:sz w:val="24"/>
          <w:highlight w:val="none"/>
        </w:rPr>
        <w:t>。</w:t>
      </w:r>
    </w:p>
    <w:p>
      <w:pPr>
        <w:numPr>
          <w:ilvl w:val="0"/>
          <w:numId w:val="13"/>
        </w:numPr>
        <w:tabs>
          <w:tab w:val="left" w:pos="540"/>
          <w:tab w:val="left" w:pos="720"/>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产权转移及设备质保：</w:t>
      </w:r>
    </w:p>
    <w:p>
      <w:pPr>
        <w:spacing w:after="240" w:line="410" w:lineRule="exact"/>
        <w:ind w:left="568" w:leftChars="270" w:hanging="1"/>
        <w:rPr>
          <w:rFonts w:hint="eastAsia" w:ascii="宋体" w:hAnsi="宋体" w:eastAsia="宋体" w:cs="宋体"/>
          <w:color w:val="000000"/>
          <w:sz w:val="24"/>
        </w:rPr>
      </w:pPr>
      <w:r>
        <w:rPr>
          <w:rFonts w:hint="eastAsia" w:ascii="宋体" w:hAnsi="宋体" w:eastAsia="宋体" w:cs="宋体"/>
          <w:color w:val="000000"/>
          <w:sz w:val="24"/>
        </w:rPr>
        <w:t>设备的所有权自甲方付清合同项下的所有款项之日起转移给甲方。设备验收交付甲方使用后，免费维护三年，所有由于人为、操作不当、自然灾害而损坏的硬件，都不在保修范围之内。</w:t>
      </w:r>
    </w:p>
    <w:p>
      <w:pPr>
        <w:numPr>
          <w:ilvl w:val="0"/>
          <w:numId w:val="15"/>
        </w:numPr>
        <w:tabs>
          <w:tab w:val="left" w:pos="540"/>
          <w:tab w:val="left" w:pos="720"/>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不可抗力：</w:t>
      </w:r>
    </w:p>
    <w:p>
      <w:pPr>
        <w:snapToGrid w:val="0"/>
        <w:spacing w:line="410" w:lineRule="exact"/>
        <w:ind w:left="567" w:leftChars="270"/>
        <w:rPr>
          <w:rFonts w:hint="eastAsia" w:ascii="宋体" w:hAnsi="宋体" w:eastAsia="宋体" w:cs="宋体"/>
          <w:color w:val="000000"/>
          <w:sz w:val="24"/>
        </w:rPr>
      </w:pPr>
      <w:r>
        <w:rPr>
          <w:rFonts w:hint="eastAsia" w:ascii="宋体" w:hAnsi="宋体" w:eastAsia="宋体" w:cs="宋体"/>
          <w:sz w:val="24"/>
        </w:rPr>
        <w:t>由于不可抗力（战争、地震、水灾、火灾、严寒等）而导致乙方工程逾期时，乙方应立即通知甲方，并于事故发生三日内,出具的事故说明书，并取得甲方认可后，可免除逾期完工的违约责任。</w:t>
      </w:r>
    </w:p>
    <w:p>
      <w:pPr>
        <w:numPr>
          <w:ilvl w:val="0"/>
          <w:numId w:val="16"/>
        </w:numPr>
        <w:tabs>
          <w:tab w:val="left" w:pos="540"/>
          <w:tab w:val="left" w:pos="720"/>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违约责任：</w:t>
      </w:r>
    </w:p>
    <w:p>
      <w:pPr>
        <w:spacing w:after="240" w:line="410" w:lineRule="exact"/>
        <w:ind w:left="567" w:leftChars="270"/>
        <w:rPr>
          <w:rFonts w:hint="eastAsia" w:ascii="宋体" w:hAnsi="宋体" w:eastAsia="宋体" w:cs="宋体"/>
          <w:color w:val="000000"/>
          <w:sz w:val="24"/>
        </w:rPr>
      </w:pPr>
      <w:r>
        <w:rPr>
          <w:rFonts w:hint="eastAsia" w:ascii="宋体" w:hAnsi="宋体" w:eastAsia="宋体" w:cs="宋体"/>
          <w:color w:val="000000"/>
          <w:sz w:val="24"/>
        </w:rPr>
        <w:t>如乙方未能如期按时完工（如因甲方原因耽误了工期不在此例)，或所提供的设备不是合同条款所规定的设备，甲方有权要求乙方进行改正、退货、中止合同，由于乙方的原因导致逾期完工，每逾期一天赔偿甲方200元。</w:t>
      </w:r>
    </w:p>
    <w:p>
      <w:pPr>
        <w:pStyle w:val="100"/>
        <w:numPr>
          <w:ilvl w:val="0"/>
          <w:numId w:val="17"/>
        </w:numPr>
        <w:tabs>
          <w:tab w:val="left" w:pos="567"/>
        </w:tabs>
        <w:spacing w:line="410" w:lineRule="exact"/>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乙双方的权利及义务</w:t>
      </w:r>
    </w:p>
    <w:p>
      <w:pPr>
        <w:pStyle w:val="100"/>
        <w:numPr>
          <w:ilvl w:val="0"/>
          <w:numId w:val="18"/>
        </w:numPr>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pStyle w:val="100"/>
        <w:numPr>
          <w:ilvl w:val="0"/>
          <w:numId w:val="18"/>
        </w:numPr>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若乙方在交货时，由于甲方的原因或要求，不能及时将货物送达指定地点和验收时，则甲方负责承担与仓储及再次运输相关的费用，并给予乙方书面确认书，视为乙方已按期交付货物；</w:t>
      </w:r>
    </w:p>
    <w:p>
      <w:pPr>
        <w:pStyle w:val="100"/>
        <w:numPr>
          <w:ilvl w:val="0"/>
          <w:numId w:val="18"/>
        </w:numPr>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若甲方在验收后的质量保证期内，发现货物内有部分出现质量问题，应及时通知乙方，若需要更换时，乙方应在接到通知后10天内给予更换，更换所需要的所有费用由乙方承担；</w:t>
      </w:r>
    </w:p>
    <w:p>
      <w:pPr>
        <w:pStyle w:val="100"/>
        <w:numPr>
          <w:ilvl w:val="0"/>
          <w:numId w:val="18"/>
        </w:numPr>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乙方须按合同要求提供质量合格的货物，如期交付甲方指定的交货地点。同时进行安装调试；</w:t>
      </w:r>
    </w:p>
    <w:p>
      <w:pPr>
        <w:pStyle w:val="100"/>
        <w:numPr>
          <w:ilvl w:val="0"/>
          <w:numId w:val="18"/>
        </w:numPr>
        <w:spacing w:after="240"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乙方对售予甲方的货物提供的质量保证期的质量保证范围，不包括意外事件、不可抗力原因及违规使用。</w:t>
      </w:r>
    </w:p>
    <w:p>
      <w:pPr>
        <w:pStyle w:val="100"/>
        <w:numPr>
          <w:ilvl w:val="0"/>
          <w:numId w:val="19"/>
        </w:numPr>
        <w:tabs>
          <w:tab w:val="left" w:pos="720"/>
        </w:tabs>
        <w:spacing w:line="410" w:lineRule="exact"/>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合同变更、违约及其它</w:t>
      </w:r>
    </w:p>
    <w:p>
      <w:pPr>
        <w:pStyle w:val="100"/>
        <w:numPr>
          <w:ilvl w:val="0"/>
          <w:numId w:val="20"/>
        </w:numPr>
        <w:tabs>
          <w:tab w:val="left" w:pos="851"/>
          <w:tab w:val="clear" w:pos="1363"/>
        </w:tabs>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甲方按合同规定的付款要求履约，合同价格不变，甲方由于非不可抗力原因不能在本合同规定的时间内支付合同款项时，应事先告知乙方，并征得乙方同意，否则甲方应向乙方支付违约金。其支付办法是：每延误七天按迟付款总金额的千分之五支付；不满七天按七天计算，依次类推；</w:t>
      </w:r>
    </w:p>
    <w:p>
      <w:pPr>
        <w:pStyle w:val="100"/>
        <w:numPr>
          <w:ilvl w:val="0"/>
          <w:numId w:val="20"/>
        </w:numPr>
        <w:tabs>
          <w:tab w:val="left" w:pos="851"/>
          <w:tab w:val="clear" w:pos="1363"/>
        </w:tabs>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乙方必须在本合同规定的时间内按时交货，否则由乙方负责承担全部责任。如果乙方在甲方同意延长的交货时间内仍不能交货时，甲方有权因乙方违约撤销合同，而乙方仍需向甲方支付违约金：每延误七天按照付款总金额的千分之五支付；不满七天按七天计算，依次类推；</w:t>
      </w:r>
    </w:p>
    <w:p>
      <w:pPr>
        <w:pStyle w:val="100"/>
        <w:numPr>
          <w:ilvl w:val="0"/>
          <w:numId w:val="20"/>
        </w:numPr>
        <w:tabs>
          <w:tab w:val="left" w:pos="851"/>
          <w:tab w:val="clear" w:pos="1363"/>
        </w:tabs>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乙方应严格按照合同文件中规定的产品规格、型号名称、数量和质量提供相应的产品及服务，否则将视为乙方违约，并按合同总价款的</w:t>
      </w:r>
      <w:r>
        <w:rPr>
          <w:rFonts w:hint="eastAsia" w:ascii="宋体" w:hAnsi="宋体" w:eastAsia="宋体" w:cs="宋体"/>
          <w:color w:val="auto"/>
          <w:sz w:val="24"/>
          <w:u w:val="single"/>
        </w:rPr>
        <w:t>20</w:t>
      </w:r>
      <w:r>
        <w:rPr>
          <w:rFonts w:hint="eastAsia" w:ascii="宋体" w:hAnsi="宋体" w:eastAsia="宋体" w:cs="宋体"/>
          <w:color w:val="auto"/>
          <w:sz w:val="24"/>
        </w:rPr>
        <w:t>%承担违约金；</w:t>
      </w:r>
    </w:p>
    <w:p>
      <w:pPr>
        <w:pStyle w:val="100"/>
        <w:numPr>
          <w:ilvl w:val="0"/>
          <w:numId w:val="20"/>
        </w:numPr>
        <w:tabs>
          <w:tab w:val="left" w:pos="851"/>
          <w:tab w:val="clear" w:pos="1363"/>
        </w:tabs>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合同文本不得涂改，如需修改应在合同附件中注明。经甲、乙双方协商达成一致修改意见，需经甲、乙双方代表共同签署此附件，方能生效；</w:t>
      </w:r>
    </w:p>
    <w:p>
      <w:pPr>
        <w:pStyle w:val="100"/>
        <w:numPr>
          <w:ilvl w:val="0"/>
          <w:numId w:val="20"/>
        </w:numPr>
        <w:tabs>
          <w:tab w:val="left" w:pos="851"/>
          <w:tab w:val="clear" w:pos="1363"/>
        </w:tabs>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合同所有附件，均与合同具有同等法律效力；</w:t>
      </w:r>
    </w:p>
    <w:p>
      <w:pPr>
        <w:pStyle w:val="100"/>
        <w:numPr>
          <w:ilvl w:val="0"/>
          <w:numId w:val="20"/>
        </w:numPr>
        <w:tabs>
          <w:tab w:val="left" w:pos="851"/>
          <w:tab w:val="clear" w:pos="1363"/>
        </w:tabs>
        <w:spacing w:line="410" w:lineRule="exact"/>
        <w:ind w:left="851" w:hanging="425"/>
        <w:rPr>
          <w:rFonts w:hint="eastAsia" w:ascii="宋体" w:hAnsi="宋体" w:eastAsia="宋体" w:cs="宋体"/>
          <w:color w:val="auto"/>
          <w:sz w:val="24"/>
        </w:rPr>
      </w:pPr>
      <w:r>
        <w:rPr>
          <w:rFonts w:hint="eastAsia" w:ascii="宋体" w:hAnsi="宋体" w:eastAsia="宋体" w:cs="宋体"/>
          <w:color w:val="auto"/>
          <w:sz w:val="24"/>
        </w:rPr>
        <w:t>合同经甲、乙双方签字盖章后即刻生效。合同生效后 ，乙方中途废止合同（不可抗力原因除外），应按实际损失向甲方支付赔偿金，并向甲方支付合同总金额5%的违约金；甲方中途废止合同（不可抗力原因除外），甲方中途解除合同（不可抗力原因除外），向乙方支付合同总金额的</w:t>
      </w:r>
      <w:r>
        <w:rPr>
          <w:rFonts w:hint="eastAsia" w:ascii="宋体" w:hAnsi="宋体" w:eastAsia="宋体" w:cs="宋体"/>
          <w:color w:val="auto"/>
          <w:sz w:val="24"/>
          <w:u w:val="single"/>
        </w:rPr>
        <w:t>5</w:t>
      </w:r>
      <w:r>
        <w:rPr>
          <w:rFonts w:hint="eastAsia" w:ascii="宋体" w:hAnsi="宋体" w:eastAsia="宋体" w:cs="宋体"/>
          <w:color w:val="auto"/>
          <w:sz w:val="24"/>
        </w:rPr>
        <w:t>%的违约金；</w:t>
      </w:r>
    </w:p>
    <w:p>
      <w:pPr>
        <w:pStyle w:val="86"/>
        <w:numPr>
          <w:ilvl w:val="0"/>
          <w:numId w:val="20"/>
        </w:numPr>
        <w:tabs>
          <w:tab w:val="left" w:pos="851"/>
          <w:tab w:val="clear" w:pos="1363"/>
        </w:tabs>
        <w:spacing w:line="410" w:lineRule="exact"/>
        <w:ind w:left="851" w:hanging="425" w:firstLineChars="0"/>
        <w:rPr>
          <w:rFonts w:hint="eastAsia" w:ascii="宋体" w:hAnsi="宋体" w:eastAsia="宋体" w:cs="宋体"/>
          <w:kern w:val="0"/>
          <w:sz w:val="24"/>
        </w:rPr>
      </w:pPr>
      <w:r>
        <w:rPr>
          <w:rFonts w:hint="eastAsia" w:ascii="宋体" w:hAnsi="宋体" w:eastAsia="宋体" w:cs="宋体"/>
          <w:kern w:val="0"/>
          <w:sz w:val="24"/>
        </w:rPr>
        <w:t>本合同依照《中华人民共和国政府采购法》和《中华人民共和国合同法》等相关法律法规制定 。未尽事项皆受上述法律法规约束。甲、乙双方发生争议时，应先协商解决；</w:t>
      </w:r>
    </w:p>
    <w:p>
      <w:pPr>
        <w:pStyle w:val="100"/>
        <w:numPr>
          <w:ilvl w:val="0"/>
          <w:numId w:val="20"/>
        </w:numPr>
        <w:tabs>
          <w:tab w:val="left" w:pos="851"/>
          <w:tab w:val="left" w:pos="993"/>
          <w:tab w:val="clear" w:pos="1363"/>
        </w:tabs>
        <w:spacing w:after="240" w:line="410" w:lineRule="exact"/>
        <w:ind w:left="851" w:hanging="425"/>
        <w:rPr>
          <w:rFonts w:hint="eastAsia" w:ascii="宋体" w:hAnsi="宋体" w:eastAsia="宋体" w:cs="宋体"/>
          <w:color w:val="auto"/>
          <w:sz w:val="24"/>
          <w:highlight w:val="none"/>
        </w:rPr>
      </w:pPr>
      <w:r>
        <w:rPr>
          <w:rFonts w:hint="eastAsia" w:ascii="宋体" w:hAnsi="宋体" w:eastAsia="宋体" w:cs="宋体"/>
          <w:color w:val="auto"/>
          <w:sz w:val="24"/>
        </w:rPr>
        <w:t>本合同自签字盖章完毕之日起生效，质量保证期满后终止。</w:t>
      </w:r>
      <w:r>
        <w:rPr>
          <w:rFonts w:hint="eastAsia" w:ascii="宋体" w:hAnsi="宋体" w:eastAsia="宋体" w:cs="宋体"/>
          <w:sz w:val="24"/>
          <w:highlight w:val="none"/>
        </w:rPr>
        <w:t>合同生效后如任何一方违约，守约方为维护权益向违约方追偿的一切费用包括但不限于律师费、诉讼费、保全费、鉴定费、差旅费由违约方承担。</w:t>
      </w:r>
    </w:p>
    <w:p>
      <w:pPr>
        <w:numPr>
          <w:ilvl w:val="0"/>
          <w:numId w:val="21"/>
        </w:numPr>
        <w:tabs>
          <w:tab w:val="left" w:pos="540"/>
          <w:tab w:val="left" w:pos="720"/>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禁止商业贿赂条款：</w:t>
      </w:r>
    </w:p>
    <w:p>
      <w:pPr>
        <w:snapToGrid w:val="0"/>
        <w:spacing w:after="240" w:line="410" w:lineRule="exact"/>
        <w:ind w:left="420" w:leftChars="200"/>
        <w:jc w:val="left"/>
        <w:rPr>
          <w:rFonts w:hint="eastAsia" w:ascii="宋体" w:hAnsi="宋体" w:eastAsia="宋体" w:cs="宋体"/>
          <w:sz w:val="24"/>
        </w:rPr>
      </w:pPr>
      <w:r>
        <w:rPr>
          <w:rFonts w:hint="eastAsia" w:ascii="宋体" w:hAnsi="宋体" w:eastAsia="宋体" w:cs="宋体"/>
          <w:sz w:val="24"/>
        </w:rPr>
        <w:t>乙方不得以任何形式对甲方各部门经办人员、主管及其他相关人员行贿或变相行贿；否则，一经核查属实，甲方除有权立即解除本合同外，并有权要求乙方承担支付违约金等违约责任；当乙方所承担违约责任仍不足以赔偿甲方因此受到的损失，乙方还应对差额部分作出赔偿。其中违约金额度为本合同总金额的5%。</w:t>
      </w:r>
    </w:p>
    <w:p>
      <w:pPr>
        <w:numPr>
          <w:ilvl w:val="0"/>
          <w:numId w:val="22"/>
        </w:numPr>
        <w:tabs>
          <w:tab w:val="left" w:pos="709"/>
        </w:tabs>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保密条款：</w:t>
      </w:r>
    </w:p>
    <w:p>
      <w:pPr>
        <w:spacing w:after="240" w:line="410" w:lineRule="exact"/>
        <w:ind w:left="424" w:leftChars="202"/>
        <w:jc w:val="left"/>
        <w:rPr>
          <w:rFonts w:hint="eastAsia" w:ascii="宋体" w:hAnsi="宋体" w:eastAsia="宋体" w:cs="宋体"/>
          <w:sz w:val="24"/>
        </w:rPr>
      </w:pPr>
      <w:r>
        <w:rPr>
          <w:rFonts w:hint="eastAsia" w:ascii="宋体" w:hAnsi="宋体" w:eastAsia="宋体" w:cs="宋体"/>
          <w:sz w:val="24"/>
        </w:rPr>
        <w:t>乙方在履行本合同过程中了解到的甲方相关信息（包括但不限于技术资料、图纸、本合同交易条件等）不得向任何第三人泄漏；否则甲方有权立即解除本合同，且乙方</w:t>
      </w:r>
      <w:r>
        <w:rPr>
          <w:rFonts w:hint="eastAsia" w:ascii="宋体" w:hAnsi="宋体" w:eastAsia="宋体" w:cs="宋体"/>
          <w:bCs/>
          <w:sz w:val="24"/>
        </w:rPr>
        <w:t>应向甲方支付合同总金额的2%作为违约金（甲方损失超过违约金数额的，乙方应予补足）</w:t>
      </w:r>
      <w:r>
        <w:rPr>
          <w:rFonts w:hint="eastAsia" w:ascii="宋体" w:hAnsi="宋体" w:eastAsia="宋体" w:cs="宋体"/>
          <w:sz w:val="24"/>
        </w:rPr>
        <w:t>。本保密条款不因本合同终止、中止、解除、无效而失效。</w:t>
      </w:r>
    </w:p>
    <w:p>
      <w:pPr>
        <w:numPr>
          <w:ilvl w:val="0"/>
          <w:numId w:val="23"/>
        </w:numPr>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补充注意事项：</w:t>
      </w:r>
    </w:p>
    <w:p>
      <w:pPr>
        <w:pStyle w:val="86"/>
        <w:numPr>
          <w:ilvl w:val="0"/>
          <w:numId w:val="24"/>
        </w:numPr>
        <w:spacing w:line="410" w:lineRule="exact"/>
        <w:ind w:left="851" w:hanging="425" w:firstLineChars="0"/>
        <w:rPr>
          <w:rFonts w:hint="eastAsia" w:ascii="宋体" w:hAnsi="宋体" w:eastAsia="宋体" w:cs="宋体"/>
          <w:color w:val="000000"/>
          <w:sz w:val="24"/>
        </w:rPr>
      </w:pPr>
      <w:r>
        <w:rPr>
          <w:rFonts w:hint="eastAsia" w:ascii="宋体" w:hAnsi="宋体" w:eastAsia="宋体" w:cs="宋体"/>
          <w:bCs/>
          <w:kern w:val="0"/>
          <w:sz w:val="24"/>
        </w:rPr>
        <w:t>未经甲方同意的情况下，乙方不得将合同、合同中规定的内容透露给任何人，否则甲方有权解除本合同，并有权要求乙方承担违约责任</w:t>
      </w:r>
      <w:r>
        <w:rPr>
          <w:rFonts w:hint="eastAsia" w:ascii="宋体" w:hAnsi="宋体" w:eastAsia="宋体" w:cs="宋体"/>
          <w:color w:val="000000"/>
          <w:sz w:val="24"/>
        </w:rPr>
        <w:t>；</w:t>
      </w:r>
    </w:p>
    <w:p>
      <w:pPr>
        <w:pStyle w:val="86"/>
        <w:numPr>
          <w:ilvl w:val="0"/>
          <w:numId w:val="24"/>
        </w:numPr>
        <w:spacing w:after="240" w:line="410" w:lineRule="exact"/>
        <w:ind w:left="851" w:hanging="425" w:firstLineChars="0"/>
        <w:rPr>
          <w:rFonts w:hint="eastAsia" w:ascii="宋体" w:hAnsi="宋体" w:eastAsia="宋体" w:cs="宋体"/>
          <w:color w:val="000000"/>
          <w:sz w:val="24"/>
        </w:rPr>
      </w:pPr>
      <w:r>
        <w:rPr>
          <w:rFonts w:hint="eastAsia" w:ascii="宋体" w:hAnsi="宋体" w:eastAsia="宋体" w:cs="宋体"/>
          <w:color w:val="000000"/>
          <w:sz w:val="24"/>
        </w:rPr>
        <w:t>乙方在施工中应注意保护好甲方院内的其它设施和管道、线路，如有损坏乙方负责限期恢复原状。</w:t>
      </w:r>
    </w:p>
    <w:p>
      <w:pPr>
        <w:numPr>
          <w:ilvl w:val="0"/>
          <w:numId w:val="25"/>
        </w:numPr>
        <w:spacing w:line="410" w:lineRule="exact"/>
        <w:ind w:left="0" w:leftChars="0" w:firstLine="0" w:firstLineChars="0"/>
        <w:rPr>
          <w:rFonts w:hint="eastAsia" w:ascii="宋体" w:hAnsi="宋体" w:eastAsia="宋体" w:cs="宋体"/>
          <w:color w:val="000000"/>
          <w:sz w:val="24"/>
        </w:rPr>
      </w:pPr>
      <w:r>
        <w:rPr>
          <w:rFonts w:hint="eastAsia" w:ascii="宋体" w:hAnsi="宋体" w:eastAsia="宋体" w:cs="宋体"/>
          <w:color w:val="000000"/>
          <w:sz w:val="24"/>
        </w:rPr>
        <w:t>合同的解除：</w:t>
      </w:r>
    </w:p>
    <w:p>
      <w:pPr>
        <w:snapToGrid w:val="0"/>
        <w:spacing w:after="240" w:line="410" w:lineRule="exact"/>
        <w:ind w:left="420" w:leftChars="200"/>
        <w:jc w:val="left"/>
        <w:rPr>
          <w:rFonts w:hint="eastAsia" w:ascii="宋体" w:hAnsi="宋体" w:eastAsia="宋体" w:cs="宋体"/>
          <w:color w:val="000000"/>
          <w:sz w:val="24"/>
        </w:rPr>
      </w:pPr>
      <w:r>
        <w:rPr>
          <w:rFonts w:hint="eastAsia" w:ascii="宋体" w:hAnsi="宋体" w:eastAsia="宋体" w:cs="宋体"/>
          <w:bCs/>
          <w:sz w:val="24"/>
        </w:rPr>
        <w:t>本合同生效后，如未出现法定或约定的合同解除事由，非经双方达成书面补充协议，任一方均不得擅自解除本合同。</w:t>
      </w:r>
    </w:p>
    <w:p>
      <w:pPr>
        <w:numPr>
          <w:ilvl w:val="0"/>
          <w:numId w:val="25"/>
        </w:numPr>
        <w:tabs>
          <w:tab w:val="left" w:pos="720"/>
          <w:tab w:val="left" w:pos="851"/>
        </w:tabs>
        <w:spacing w:line="410" w:lineRule="exact"/>
        <w:ind w:left="0" w:leftChars="0" w:firstLine="0" w:firstLineChars="0"/>
        <w:jc w:val="left"/>
        <w:rPr>
          <w:rFonts w:hint="eastAsia" w:ascii="宋体" w:hAnsi="宋体" w:eastAsia="宋体" w:cs="宋体"/>
          <w:color w:val="000000"/>
          <w:sz w:val="24"/>
        </w:rPr>
      </w:pPr>
      <w:r>
        <w:rPr>
          <w:rFonts w:hint="eastAsia" w:ascii="宋体" w:hAnsi="宋体" w:eastAsia="宋体" w:cs="宋体"/>
          <w:sz w:val="24"/>
        </w:rPr>
        <w:t>争议解决：</w:t>
      </w:r>
    </w:p>
    <w:p>
      <w:pPr>
        <w:spacing w:after="240" w:line="410" w:lineRule="exact"/>
        <w:ind w:left="420" w:leftChars="200"/>
        <w:rPr>
          <w:rFonts w:hint="eastAsia" w:ascii="宋体" w:hAnsi="宋体" w:eastAsia="宋体" w:cs="宋体"/>
          <w:color w:val="000000"/>
          <w:sz w:val="24"/>
        </w:rPr>
      </w:pPr>
      <w:r>
        <w:rPr>
          <w:rFonts w:hint="eastAsia" w:ascii="宋体" w:hAnsi="宋体" w:eastAsia="宋体" w:cs="宋体"/>
          <w:sz w:val="24"/>
        </w:rPr>
        <w:t>甲乙双方均按中华人民共和国合同法的法规执行，在合同有效期内，若发生违约责任或争议，</w:t>
      </w:r>
      <w:r>
        <w:rPr>
          <w:rFonts w:hint="eastAsia" w:ascii="宋体" w:hAnsi="宋体" w:eastAsia="宋体" w:cs="宋体"/>
          <w:color w:val="000000"/>
          <w:sz w:val="24"/>
          <w:highlight w:val="none"/>
        </w:rPr>
        <w:t>协商不成,应由甲方住所地有管辖权的人民法院管辖</w:t>
      </w:r>
      <w:r>
        <w:rPr>
          <w:rFonts w:hint="eastAsia" w:ascii="宋体" w:hAnsi="宋体" w:eastAsia="宋体" w:cs="宋体"/>
          <w:sz w:val="24"/>
          <w:highlight w:val="none"/>
        </w:rPr>
        <w:t>。</w:t>
      </w:r>
    </w:p>
    <w:p>
      <w:pPr>
        <w:spacing w:line="410" w:lineRule="exact"/>
        <w:ind w:left="420" w:leftChars="200"/>
        <w:rPr>
          <w:rFonts w:hint="eastAsia" w:ascii="宋体" w:hAnsi="宋体" w:eastAsia="宋体" w:cs="宋体"/>
          <w:sz w:val="24"/>
        </w:rPr>
      </w:pPr>
      <w:r>
        <w:rPr>
          <w:rFonts w:hint="eastAsia" w:ascii="宋体" w:hAnsi="宋体" w:eastAsia="宋体" w:cs="宋体"/>
          <w:sz w:val="24"/>
        </w:rPr>
        <w:t>本合同一式六份，甲方持</w:t>
      </w:r>
      <w:r>
        <w:rPr>
          <w:rFonts w:hint="eastAsia" w:ascii="宋体" w:hAnsi="宋体" w:eastAsia="宋体" w:cs="宋体"/>
          <w:sz w:val="24"/>
          <w:lang w:eastAsia="zh-CN"/>
        </w:rPr>
        <w:t>四</w:t>
      </w:r>
      <w:r>
        <w:rPr>
          <w:rFonts w:hint="eastAsia" w:ascii="宋体" w:hAnsi="宋体" w:eastAsia="宋体" w:cs="宋体"/>
          <w:sz w:val="24"/>
        </w:rPr>
        <w:t>份，乙方持</w:t>
      </w:r>
      <w:r>
        <w:rPr>
          <w:rFonts w:hint="eastAsia" w:ascii="宋体" w:hAnsi="宋体" w:eastAsia="宋体" w:cs="宋体"/>
          <w:sz w:val="24"/>
          <w:lang w:eastAsia="zh-CN"/>
        </w:rPr>
        <w:t>二</w:t>
      </w:r>
      <w:r>
        <w:rPr>
          <w:rFonts w:hint="eastAsia" w:ascii="宋体" w:hAnsi="宋体" w:eastAsia="宋体" w:cs="宋体"/>
          <w:sz w:val="24"/>
        </w:rPr>
        <w:t>份，均自双方加盖公章后生效。</w:t>
      </w:r>
    </w:p>
    <w:p>
      <w:pPr>
        <w:pStyle w:val="47"/>
        <w:ind w:left="0" w:leftChars="0" w:firstLine="0" w:firstLineChars="0"/>
        <w:rPr>
          <w:rFonts w:hint="eastAsia" w:ascii="宋体" w:hAnsi="宋体" w:eastAsia="宋体" w:cs="宋体"/>
        </w:rPr>
      </w:pPr>
    </w:p>
    <w:p>
      <w:pPr>
        <w:pStyle w:val="47"/>
        <w:ind w:firstLine="210"/>
        <w:rPr>
          <w:rFonts w:hint="eastAsia" w:ascii="宋体" w:hAnsi="宋体" w:eastAsia="宋体" w:cs="宋体"/>
        </w:rPr>
      </w:pPr>
    </w:p>
    <w:p>
      <w:pPr>
        <w:pStyle w:val="47"/>
        <w:ind w:firstLine="210"/>
        <w:rPr>
          <w:rFonts w:hint="eastAsia" w:ascii="宋体" w:hAnsi="宋体" w:eastAsia="宋体" w:cs="宋体"/>
        </w:rPr>
      </w:pPr>
      <w:r>
        <w:rPr>
          <w:rFonts w:hint="eastAsia" w:ascii="宋体" w:hAnsi="宋体" w:eastAsia="宋体" w:cs="宋体"/>
          <w:sz w:val="24"/>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-292735</wp:posOffset>
                </wp:positionV>
                <wp:extent cx="1360805" cy="409575"/>
                <wp:effectExtent l="6350" t="6350" r="29845" b="15875"/>
                <wp:wrapNone/>
                <wp:docPr id="1" name="文本框 2"/>
                <wp:cNvGraphicFramePr/>
                <a:graphic xmlns:a="http://schemas.openxmlformats.org/drawingml/2006/main">
                  <a:graphicData uri="http://schemas.microsoft.com/office/word/2010/wordprocessingShape">
                    <wps:wsp>
                      <wps:cNvSpPr txBox="1"/>
                      <wps:spPr>
                        <a:xfrm>
                          <a:off x="0" y="0"/>
                          <a:ext cx="1360805" cy="4095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80" w:lineRule="auto"/>
                              <w:ind w:left="255" w:leftChars="-1" w:right="183" w:rightChars="87" w:hanging="257" w:hangingChars="117"/>
                              <w:jc w:val="left"/>
                              <w:rPr>
                                <w:sz w:val="22"/>
                              </w:rPr>
                            </w:pPr>
                            <w:r>
                              <w:rPr>
                                <w:rFonts w:hint="eastAsia"/>
                                <w:sz w:val="22"/>
                              </w:rPr>
                              <w:t>《合同附件1/1》</w:t>
                            </w:r>
                          </w:p>
                        </w:txbxContent>
                      </wps:txbx>
                      <wps:bodyPr wrap="none" upright="1"/>
                    </wps:wsp>
                  </a:graphicData>
                </a:graphic>
              </wp:anchor>
            </w:drawing>
          </mc:Choice>
          <mc:Fallback>
            <w:pict>
              <v:shape id="文本框 2" o:spid="_x0000_s1026" o:spt="202" type="#_x0000_t202" style="position:absolute;left:0pt;margin-left:-14.4pt;margin-top:-23.05pt;height:32.25pt;width:107.15pt;mso-wrap-style:none;z-index:251659264;mso-width-relative:page;mso-height-relative:page;" fillcolor="#FFFFFF" filled="t" stroked="t" coordsize="21600,21600" o:gfxdata="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9VvXNgAAAAKAQAADwAAAAAAAAABACAAAAAi&#10;AAAAZHJzL2Rvd25yZXYueG1sUEsBAhQAFAAAAAgAh07iQNlepOwKAgAAQgQAAA4AAAAAAAAAAQAg&#10;AAAAJwEAAGRycy9lMm9Eb2MueG1sUEsFBgAAAAAGAAYAWQEAAKMFAAAAAA==&#10;">
                <v:fill on="t" focussize="0,0"/>
                <v:stroke color="#FFFFFF" joinstyle="miter"/>
                <v:imagedata o:title=""/>
                <o:lock v:ext="edit" aspectratio="f"/>
                <v:textbox>
                  <w:txbxContent>
                    <w:p>
                      <w:pPr>
                        <w:spacing w:line="480" w:lineRule="auto"/>
                        <w:ind w:left="255" w:leftChars="-1" w:right="183" w:rightChars="87" w:hanging="257" w:hangingChars="117"/>
                        <w:jc w:val="left"/>
                        <w:rPr>
                          <w:sz w:val="22"/>
                        </w:rPr>
                      </w:pPr>
                      <w:r>
                        <w:rPr>
                          <w:rFonts w:hint="eastAsia"/>
                          <w:sz w:val="22"/>
                        </w:rPr>
                        <w:t>《合同附件1/1》</w:t>
                      </w:r>
                    </w:p>
                  </w:txbxContent>
                </v:textbox>
              </v:shape>
            </w:pict>
          </mc:Fallback>
        </mc:AlternateContent>
      </w:r>
    </w:p>
    <w:p>
      <w:pPr>
        <w:pStyle w:val="47"/>
        <w:spacing w:after="0"/>
        <w:ind w:firstLine="220"/>
        <w:jc w:val="center"/>
        <w:rPr>
          <w:rFonts w:hint="eastAsia" w:ascii="宋体" w:hAnsi="宋体" w:cs="宋体"/>
          <w:sz w:val="21"/>
          <w:szCs w:val="21"/>
          <w:highlight w:val="none"/>
          <w:lang w:eastAsia="zh-CN"/>
        </w:rPr>
      </w:pPr>
      <w:r>
        <w:rPr>
          <w:rFonts w:hint="eastAsia" w:ascii="宋体" w:hAnsi="宋体" w:eastAsia="宋体" w:cs="宋体"/>
          <w:color w:val="000000"/>
          <w:kern w:val="0"/>
          <w:sz w:val="21"/>
          <w:szCs w:val="21"/>
        </w:rPr>
        <w:t>视频监控系统</w:t>
      </w:r>
      <w:r>
        <w:rPr>
          <w:rFonts w:hint="eastAsia" w:ascii="宋体" w:hAnsi="宋体" w:eastAsia="宋体" w:cs="宋体"/>
          <w:sz w:val="21"/>
          <w:szCs w:val="21"/>
          <w:highlight w:val="none"/>
        </w:rPr>
        <w:t>设备</w:t>
      </w:r>
      <w:r>
        <w:rPr>
          <w:rFonts w:hint="eastAsia" w:hAnsi="宋体" w:cs="宋体"/>
          <w:sz w:val="21"/>
          <w:szCs w:val="21"/>
          <w:highlight w:val="none"/>
          <w:lang w:eastAsia="zh-CN"/>
        </w:rPr>
        <w:t>材料价格</w:t>
      </w:r>
      <w:r>
        <w:rPr>
          <w:rFonts w:hint="eastAsia" w:ascii="宋体" w:hAnsi="宋体" w:cs="宋体"/>
          <w:sz w:val="21"/>
          <w:szCs w:val="21"/>
          <w:highlight w:val="none"/>
          <w:lang w:eastAsia="zh-CN"/>
        </w:rPr>
        <w:t>明细表</w:t>
      </w:r>
    </w:p>
    <w:tbl>
      <w:tblPr>
        <w:tblStyle w:val="48"/>
        <w:tblW w:w="8568" w:type="dxa"/>
        <w:jc w:val="center"/>
        <w:shd w:val="clear" w:color="auto" w:fill="auto"/>
        <w:tblLayout w:type="fixed"/>
        <w:tblCellMar>
          <w:top w:w="0" w:type="dxa"/>
          <w:left w:w="0" w:type="dxa"/>
          <w:bottom w:w="0" w:type="dxa"/>
          <w:right w:w="0" w:type="dxa"/>
        </w:tblCellMar>
      </w:tblPr>
      <w:tblGrid>
        <w:gridCol w:w="664"/>
        <w:gridCol w:w="3600"/>
        <w:gridCol w:w="2122"/>
        <w:gridCol w:w="728"/>
        <w:gridCol w:w="1454"/>
      </w:tblGrid>
      <w:tr>
        <w:tblPrEx>
          <w:shd w:val="clear" w:color="auto" w:fill="auto"/>
          <w:tblCellMar>
            <w:top w:w="0" w:type="dxa"/>
            <w:left w:w="0" w:type="dxa"/>
            <w:bottom w:w="0" w:type="dxa"/>
            <w:right w:w="0" w:type="dxa"/>
          </w:tblCellMar>
        </w:tblPrEx>
        <w:trPr>
          <w:trHeight w:val="42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名称</w:t>
            </w:r>
          </w:p>
        </w:tc>
        <w:tc>
          <w:tcPr>
            <w:tcW w:w="21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型号规格</w:t>
            </w:r>
          </w:p>
        </w:tc>
        <w:tc>
          <w:tcPr>
            <w:tcW w:w="72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数量</w:t>
            </w: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综合单价</w:t>
            </w:r>
          </w:p>
        </w:tc>
      </w:tr>
      <w:tr>
        <w:tblPrEx>
          <w:shd w:val="clear" w:color="auto" w:fill="auto"/>
          <w:tblCellMar>
            <w:top w:w="0" w:type="dxa"/>
            <w:left w:w="0" w:type="dxa"/>
            <w:bottom w:w="0" w:type="dxa"/>
            <w:right w:w="0" w:type="dxa"/>
          </w:tblCellMar>
        </w:tblPrEx>
        <w:trPr>
          <w:trHeight w:val="42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kern w:val="0"/>
                <w:sz w:val="16"/>
                <w:szCs w:val="16"/>
                <w:u w:val="none"/>
                <w:lang w:val="en-US" w:eastAsia="zh-CN" w:bidi="ar"/>
              </w:rPr>
            </w:pPr>
            <w:r>
              <w:rPr>
                <w:rFonts w:hint="eastAsia" w:ascii="微软雅黑" w:hAnsi="微软雅黑" w:eastAsia="微软雅黑" w:cs="微软雅黑"/>
                <w:b/>
                <w:i w:val="0"/>
                <w:color w:val="000000"/>
                <w:kern w:val="0"/>
                <w:sz w:val="16"/>
                <w:szCs w:val="16"/>
                <w:u w:val="none"/>
                <w:lang w:val="en-US" w:eastAsia="zh-CN" w:bidi="ar"/>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72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trHeight w:val="42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kern w:val="0"/>
                <w:sz w:val="16"/>
                <w:szCs w:val="16"/>
                <w:u w:val="none"/>
                <w:lang w:val="en-US" w:eastAsia="zh-CN" w:bidi="ar"/>
              </w:rPr>
            </w:pPr>
            <w:r>
              <w:rPr>
                <w:rFonts w:hint="eastAsia" w:ascii="微软雅黑" w:hAnsi="微软雅黑" w:eastAsia="微软雅黑" w:cs="微软雅黑"/>
                <w:b/>
                <w:i w:val="0"/>
                <w:color w:val="000000"/>
                <w:kern w:val="0"/>
                <w:sz w:val="16"/>
                <w:szCs w:val="16"/>
                <w:u w:val="none"/>
                <w:lang w:val="en-US" w:eastAsia="zh-CN" w:bidi="ar"/>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72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trHeight w:val="42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kern w:val="0"/>
                <w:sz w:val="16"/>
                <w:szCs w:val="16"/>
                <w:u w:val="none"/>
                <w:lang w:val="en-US" w:eastAsia="zh-CN" w:bidi="ar"/>
              </w:rPr>
            </w:pPr>
            <w:r>
              <w:rPr>
                <w:rFonts w:hint="eastAsia" w:ascii="微软雅黑" w:hAnsi="微软雅黑" w:eastAsia="微软雅黑" w:cs="微软雅黑"/>
                <w:b/>
                <w:i w:val="0"/>
                <w:color w:val="000000"/>
                <w:kern w:val="0"/>
                <w:sz w:val="16"/>
                <w:szCs w:val="16"/>
                <w:u w:val="none"/>
                <w:lang w:val="en-US" w:eastAsia="zh-CN" w:bidi="ar"/>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21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72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6"/>
                <w:szCs w:val="16"/>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p>
        </w:tc>
      </w:tr>
    </w:tbl>
    <w:p>
      <w:pPr>
        <w:spacing w:line="480" w:lineRule="auto"/>
        <w:ind w:left="420" w:leftChars="200"/>
        <w:jc w:val="center"/>
        <w:rPr>
          <w:rFonts w:hint="eastAsia" w:ascii="宋体" w:hAnsi="宋体" w:eastAsia="宋体" w:cs="宋体"/>
          <w:sz w:val="24"/>
        </w:rPr>
      </w:pPr>
      <w:r>
        <w:rPr>
          <w:rFonts w:hint="eastAsia" w:ascii="宋体" w:hAnsi="宋体" w:eastAsia="宋体" w:cs="宋体"/>
          <w:sz w:val="24"/>
          <w:u w:val="single"/>
        </w:rPr>
        <w:t>（以下无正文，为合同签署页）</w:t>
      </w:r>
    </w:p>
    <w:p>
      <w:pPr>
        <w:spacing w:line="400" w:lineRule="exact"/>
        <w:rPr>
          <w:rFonts w:hint="eastAsia" w:ascii="宋体" w:hAnsi="宋体" w:eastAsia="宋体" w:cs="宋体"/>
          <w:sz w:val="24"/>
        </w:rPr>
      </w:pPr>
      <w:r>
        <w:rPr>
          <w:rFonts w:hint="eastAsia" w:ascii="宋体" w:hAnsi="宋体" w:eastAsia="宋体" w:cs="宋体"/>
          <w:sz w:val="24"/>
        </w:rPr>
        <w:t>甲方代表（签字、公章）</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单位名称：</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单位地址：</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开户银行：</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单位帐号：</w:t>
      </w:r>
    </w:p>
    <w:p>
      <w:pPr>
        <w:spacing w:line="500" w:lineRule="exact"/>
        <w:rPr>
          <w:rFonts w:asciiTheme="minorEastAsia" w:hAnsiTheme="minorEastAsia" w:eastAsiaTheme="minorEastAsia"/>
          <w:sz w:val="24"/>
        </w:rPr>
      </w:pPr>
      <w:r>
        <w:rPr>
          <w:rFonts w:hint="eastAsia" w:asciiTheme="minorEastAsia" w:hAnsiTheme="minorEastAsia" w:eastAsiaTheme="minorEastAsia"/>
          <w:sz w:val="24"/>
        </w:rPr>
        <w:t>单位电话：</w:t>
      </w:r>
    </w:p>
    <w:p>
      <w:pPr>
        <w:spacing w:line="360" w:lineRule="auto"/>
        <w:rPr>
          <w:rFonts w:hint="eastAsia" w:ascii="宋体" w:hAnsi="宋体" w:eastAsia="宋体" w:cs="宋体"/>
          <w:sz w:val="24"/>
        </w:rPr>
      </w:pPr>
      <w:r>
        <w:rPr>
          <w:rFonts w:hint="eastAsia" w:ascii="宋体" w:hAnsi="宋体" w:eastAsia="宋体" w:cs="宋体"/>
          <w:sz w:val="24"/>
        </w:rPr>
        <w:t>乙方代表（签字、公章）：</w:t>
      </w:r>
    </w:p>
    <w:p>
      <w:pPr>
        <w:spacing w:line="360" w:lineRule="auto"/>
        <w:rPr>
          <w:rFonts w:hint="eastAsia" w:ascii="宋体" w:hAnsi="宋体" w:eastAsia="宋体" w:cs="宋体"/>
          <w:sz w:val="24"/>
        </w:rPr>
      </w:pPr>
      <w:r>
        <w:rPr>
          <w:rFonts w:hint="eastAsia" w:ascii="宋体" w:hAnsi="宋体" w:eastAsia="宋体" w:cs="宋体"/>
          <w:sz w:val="24"/>
        </w:rPr>
        <w:t>单位名称；</w:t>
      </w:r>
    </w:p>
    <w:p>
      <w:pPr>
        <w:spacing w:line="360" w:lineRule="auto"/>
        <w:rPr>
          <w:rFonts w:hint="eastAsia" w:ascii="宋体" w:hAnsi="宋体" w:eastAsia="宋体" w:cs="宋体"/>
          <w:sz w:val="24"/>
        </w:rPr>
      </w:pPr>
      <w:r>
        <w:rPr>
          <w:rFonts w:hint="eastAsia" w:ascii="宋体" w:hAnsi="宋体" w:eastAsia="宋体" w:cs="宋体"/>
          <w:sz w:val="24"/>
        </w:rPr>
        <w:t>税务登记：</w:t>
      </w:r>
    </w:p>
    <w:p>
      <w:pPr>
        <w:spacing w:line="360" w:lineRule="auto"/>
        <w:rPr>
          <w:rFonts w:hint="eastAsia" w:ascii="宋体" w:hAnsi="宋体" w:eastAsia="宋体" w:cs="宋体"/>
          <w:sz w:val="24"/>
        </w:rPr>
      </w:pPr>
      <w:r>
        <w:rPr>
          <w:rFonts w:hint="eastAsia" w:ascii="宋体" w:hAnsi="宋体" w:cs="宋体"/>
          <w:sz w:val="24"/>
          <w:highlight w:val="none"/>
          <w:lang w:eastAsia="zh-CN"/>
        </w:rPr>
        <w:t>单位</w:t>
      </w:r>
      <w:r>
        <w:rPr>
          <w:rFonts w:hint="eastAsia" w:ascii="宋体" w:hAnsi="宋体" w:eastAsia="宋体" w:cs="宋体"/>
          <w:sz w:val="24"/>
          <w:highlight w:val="none"/>
        </w:rPr>
        <w:t>地址</w:t>
      </w:r>
      <w:r>
        <w:rPr>
          <w:rFonts w:hint="eastAsia" w:ascii="宋体" w:hAnsi="宋体" w:eastAsia="宋体" w:cs="宋体"/>
          <w:sz w:val="24"/>
        </w:rPr>
        <w:t>：</w:t>
      </w:r>
    </w:p>
    <w:p>
      <w:pPr>
        <w:spacing w:line="360" w:lineRule="auto"/>
        <w:ind w:right="-1413" w:rightChars="-673"/>
        <w:rPr>
          <w:rFonts w:hint="eastAsia" w:ascii="宋体" w:hAnsi="宋体" w:eastAsia="宋体" w:cs="宋体"/>
          <w:sz w:val="24"/>
        </w:rPr>
      </w:pPr>
      <w:r>
        <w:rPr>
          <w:rFonts w:hint="eastAsia" w:ascii="宋体" w:hAnsi="宋体" w:eastAsia="宋体" w:cs="宋体"/>
          <w:sz w:val="24"/>
        </w:rPr>
        <w:t>开户银行：</w:t>
      </w:r>
    </w:p>
    <w:p>
      <w:pPr>
        <w:spacing w:line="360" w:lineRule="auto"/>
        <w:ind w:left="278" w:leftChars="-1" w:right="-874" w:rightChars="-416" w:hanging="280" w:hangingChars="117"/>
        <w:rPr>
          <w:rFonts w:hint="eastAsia" w:ascii="宋体" w:hAnsi="宋体" w:eastAsia="宋体" w:cs="宋体"/>
          <w:sz w:val="24"/>
        </w:rPr>
      </w:pPr>
      <w:r>
        <w:rPr>
          <w:rFonts w:hint="eastAsia" w:ascii="宋体" w:hAnsi="宋体" w:eastAsia="宋体" w:cs="宋体"/>
          <w:sz w:val="24"/>
        </w:rPr>
        <w:t>单位帐号：</w:t>
      </w:r>
    </w:p>
    <w:p>
      <w:pPr>
        <w:spacing w:line="360" w:lineRule="auto"/>
        <w:ind w:left="278" w:leftChars="-1" w:right="-874" w:rightChars="-416" w:hanging="280" w:hangingChars="117"/>
        <w:rPr>
          <w:rFonts w:hint="eastAsia" w:ascii="宋体" w:hAnsi="宋体" w:eastAsia="宋体" w:cs="宋体"/>
          <w:sz w:val="24"/>
        </w:rPr>
      </w:pPr>
      <w:r>
        <w:rPr>
          <w:rFonts w:hint="eastAsia" w:ascii="宋体" w:hAnsi="宋体" w:eastAsia="宋体" w:cs="宋体"/>
          <w:sz w:val="24"/>
        </w:rPr>
        <w:t>单位电话：</w:t>
      </w:r>
    </w:p>
    <w:p>
      <w:pPr>
        <w:spacing w:line="440" w:lineRule="exact"/>
        <w:ind w:firstLine="482" w:firstLineChars="200"/>
        <w:rPr>
          <w:rFonts w:hint="eastAsia" w:ascii="宋体" w:hAnsi="宋体"/>
          <w:color w:val="FF0000"/>
          <w:sz w:val="32"/>
          <w:szCs w:val="32"/>
          <w:lang w:val="en-US" w:eastAsia="zh-Hans"/>
        </w:rPr>
      </w:pPr>
      <w:r>
        <w:rPr>
          <w:rFonts w:hint="eastAsia" w:hAnsi="宋体" w:cs="宋体"/>
          <w:b/>
          <w:color w:val="000000"/>
          <w:sz w:val="24"/>
          <w:szCs w:val="24"/>
        </w:rPr>
        <w:t>注：合同条款可根据采购人及成交人签订合同时的实际情况进行修改调整。</w:t>
      </w:r>
    </w:p>
    <w:p>
      <w:pPr>
        <w:pStyle w:val="2"/>
        <w:ind w:left="0" w:leftChars="0" w:firstLine="0" w:firstLineChars="0"/>
        <w:rPr>
          <w:rFonts w:hint="eastAsia"/>
        </w:rPr>
      </w:pPr>
    </w:p>
    <w:p>
      <w:pPr>
        <w:pStyle w:val="6"/>
        <w:jc w:val="center"/>
      </w:pPr>
      <w:r>
        <w:rPr>
          <w:rFonts w:hint="eastAsia"/>
        </w:rPr>
        <w:t>第</w:t>
      </w:r>
      <w:r>
        <w:rPr>
          <w:rFonts w:hint="eastAsia"/>
          <w:lang w:val="en-US" w:eastAsia="zh-Hans"/>
        </w:rPr>
        <w:t>五</w:t>
      </w:r>
      <w:r>
        <w:rPr>
          <w:rFonts w:hint="eastAsia"/>
        </w:rPr>
        <w:t>部分　范本格式</w:t>
      </w:r>
    </w:p>
    <w:p>
      <w:pPr>
        <w:jc w:val="center"/>
        <w:rPr>
          <w:sz w:val="32"/>
          <w:szCs w:val="32"/>
        </w:rPr>
      </w:pPr>
      <w:r>
        <w:rPr>
          <w:rFonts w:hint="eastAsia"/>
          <w:sz w:val="32"/>
          <w:szCs w:val="32"/>
        </w:rPr>
        <w:t>投</w:t>
      </w:r>
      <w:r>
        <w:rPr>
          <w:sz w:val="32"/>
          <w:szCs w:val="32"/>
        </w:rPr>
        <w:t xml:space="preserve"> </w:t>
      </w:r>
      <w:r>
        <w:rPr>
          <w:rFonts w:hint="eastAsia"/>
          <w:sz w:val="32"/>
          <w:szCs w:val="32"/>
        </w:rPr>
        <w:t>标</w:t>
      </w:r>
      <w:r>
        <w:rPr>
          <w:sz w:val="32"/>
          <w:szCs w:val="32"/>
        </w:rPr>
        <w:t xml:space="preserve"> </w:t>
      </w:r>
      <w:r>
        <w:rPr>
          <w:rFonts w:hint="eastAsia"/>
          <w:sz w:val="32"/>
          <w:szCs w:val="32"/>
        </w:rPr>
        <w:t>书</w:t>
      </w:r>
    </w:p>
    <w:p>
      <w:pPr>
        <w:rPr>
          <w:sz w:val="24"/>
          <w:szCs w:val="24"/>
          <w:u w:val="single"/>
        </w:rPr>
      </w:pPr>
      <w:r>
        <w:rPr>
          <w:rFonts w:hint="eastAsia"/>
          <w:sz w:val="24"/>
          <w:szCs w:val="24"/>
        </w:rPr>
        <w:t>致：</w:t>
      </w:r>
      <w:r>
        <w:rPr>
          <w:sz w:val="24"/>
          <w:szCs w:val="24"/>
          <w:u w:val="single"/>
        </w:rPr>
        <w:t xml:space="preserve"> </w:t>
      </w:r>
      <w:r>
        <w:rPr>
          <w:rFonts w:hint="eastAsia"/>
          <w:sz w:val="24"/>
          <w:szCs w:val="24"/>
          <w:u w:val="single"/>
          <w:lang w:eastAsia="zh-CN"/>
        </w:rPr>
        <w:t>华诚博远工程咨询有限公司</w:t>
      </w:r>
      <w:r>
        <w:rPr>
          <w:sz w:val="24"/>
          <w:szCs w:val="24"/>
          <w:u w:val="single"/>
        </w:rPr>
        <w:t xml:space="preserve">       </w:t>
      </w:r>
    </w:p>
    <w:p>
      <w:pPr>
        <w:rPr>
          <w:sz w:val="24"/>
          <w:szCs w:val="24"/>
        </w:rPr>
      </w:pPr>
      <w:r>
        <w:rPr>
          <w:rFonts w:hint="eastAsia"/>
          <w:sz w:val="24"/>
          <w:szCs w:val="24"/>
        </w:rPr>
        <w:t>根据贵方为</w:t>
      </w:r>
      <w:r>
        <w:rPr>
          <w:rFonts w:hint="eastAsia"/>
          <w:sz w:val="24"/>
          <w:szCs w:val="24"/>
          <w:u w:val="single"/>
        </w:rPr>
        <w:t>　　　（项目名称）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pPr>
        <w:rPr>
          <w:rFonts w:hint="eastAsia" w:eastAsia="宋体"/>
          <w:sz w:val="24"/>
          <w:szCs w:val="24"/>
          <w:lang w:eastAsia="zh-CN"/>
        </w:rPr>
      </w:pPr>
      <w:r>
        <w:rPr>
          <w:rFonts w:hint="eastAsia"/>
          <w:sz w:val="24"/>
          <w:szCs w:val="24"/>
          <w:lang w:eastAsia="zh-CN"/>
        </w:rPr>
        <w:t>投标报价一览表</w:t>
      </w:r>
    </w:p>
    <w:p>
      <w:pPr>
        <w:rPr>
          <w:sz w:val="24"/>
          <w:szCs w:val="24"/>
        </w:rPr>
      </w:pPr>
      <w:r>
        <w:rPr>
          <w:rFonts w:hint="eastAsia"/>
          <w:sz w:val="24"/>
          <w:szCs w:val="24"/>
        </w:rPr>
        <w:t>按谈判文件供应商须知、技术规格要求及其他要求提供有关文件</w:t>
      </w:r>
    </w:p>
    <w:p>
      <w:pPr>
        <w:rPr>
          <w:sz w:val="24"/>
          <w:szCs w:val="24"/>
        </w:rPr>
      </w:pPr>
      <w:r>
        <w:rPr>
          <w:rFonts w:hint="eastAsia"/>
          <w:sz w:val="24"/>
          <w:szCs w:val="24"/>
        </w:rPr>
        <w:t>资格证明文件</w:t>
      </w:r>
    </w:p>
    <w:p>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pPr>
        <w:rPr>
          <w:sz w:val="24"/>
          <w:szCs w:val="24"/>
        </w:rPr>
      </w:pPr>
      <w:r>
        <w:rPr>
          <w:rFonts w:hint="eastAsia"/>
          <w:sz w:val="24"/>
          <w:szCs w:val="24"/>
        </w:rPr>
        <w:t>据此函，签字代表宣布同意如下：</w:t>
      </w:r>
    </w:p>
    <w:p>
      <w:pPr>
        <w:rPr>
          <w:sz w:val="24"/>
          <w:szCs w:val="24"/>
        </w:rPr>
      </w:pPr>
      <w:r>
        <w:rPr>
          <w:sz w:val="24"/>
          <w:szCs w:val="24"/>
        </w:rPr>
        <w:t>1</w:t>
      </w:r>
      <w:r>
        <w:rPr>
          <w:rFonts w:hint="eastAsia"/>
          <w:sz w:val="24"/>
          <w:szCs w:val="24"/>
        </w:rPr>
        <w:t>．所附投标报价表中规定的应提交和交付的货物和服务投标</w:t>
      </w:r>
      <w:r>
        <w:rPr>
          <w:rFonts w:hint="eastAsia"/>
          <w:sz w:val="24"/>
          <w:szCs w:val="24"/>
          <w:lang w:val="en-US" w:eastAsia="zh-Hans"/>
        </w:rPr>
        <w:t>下浮率</w:t>
      </w:r>
      <w:r>
        <w:rPr>
          <w:rFonts w:hint="eastAsia"/>
          <w:sz w:val="24"/>
          <w:szCs w:val="24"/>
        </w:rPr>
        <w:t>为</w:t>
      </w:r>
      <w:r>
        <w:rPr>
          <w:rFonts w:hint="default"/>
          <w:sz w:val="24"/>
          <w:szCs w:val="24"/>
          <w:u w:val="single"/>
        </w:rPr>
        <w:t xml:space="preserve">         %</w:t>
      </w:r>
      <w:r>
        <w:rPr>
          <w:rFonts w:hint="eastAsia"/>
          <w:sz w:val="24"/>
          <w:szCs w:val="24"/>
          <w:u w:val="single"/>
          <w:lang w:val="en-US" w:eastAsia="zh-Hans"/>
        </w:rPr>
        <w:t>,</w:t>
      </w:r>
      <w:r>
        <w:rPr>
          <w:rFonts w:hint="eastAsia"/>
          <w:sz w:val="24"/>
          <w:szCs w:val="24"/>
          <w:u w:val="none"/>
          <w:lang w:val="en-US" w:eastAsia="zh-Hans"/>
        </w:rPr>
        <w:t>下浮后单项报价合计为:</w:t>
      </w:r>
      <w:r>
        <w:rPr>
          <w:rFonts w:hint="default"/>
          <w:sz w:val="24"/>
          <w:szCs w:val="24"/>
          <w:u w:val="single"/>
          <w:lang w:eastAsia="zh-Hans"/>
        </w:rPr>
        <w:t xml:space="preserve">                </w:t>
      </w:r>
      <w:r>
        <w:rPr>
          <w:rFonts w:hint="eastAsia"/>
          <w:sz w:val="24"/>
          <w:szCs w:val="24"/>
          <w:u w:val="single"/>
          <w:lang w:val="en-US" w:eastAsia="zh-Hans"/>
        </w:rPr>
        <w:t>元(大写:</w:t>
      </w:r>
      <w:r>
        <w:rPr>
          <w:rFonts w:hint="default"/>
          <w:sz w:val="24"/>
          <w:szCs w:val="24"/>
          <w:u w:val="single"/>
          <w:lang w:eastAsia="zh-Hans"/>
        </w:rPr>
        <w:t xml:space="preserve">               </w:t>
      </w:r>
      <w:r>
        <w:rPr>
          <w:rFonts w:hint="eastAsia"/>
          <w:sz w:val="24"/>
          <w:szCs w:val="24"/>
          <w:u w:val="single"/>
          <w:lang w:val="en-US" w:eastAsia="zh-Hans"/>
        </w:rPr>
        <w:t>)</w:t>
      </w:r>
      <w:r>
        <w:rPr>
          <w:rFonts w:hint="eastAsia"/>
          <w:sz w:val="24"/>
          <w:szCs w:val="24"/>
        </w:rPr>
        <w:t>。</w:t>
      </w:r>
    </w:p>
    <w:p>
      <w:pPr>
        <w:rPr>
          <w:sz w:val="24"/>
          <w:szCs w:val="24"/>
        </w:rPr>
      </w:pPr>
      <w:r>
        <w:rPr>
          <w:sz w:val="24"/>
          <w:szCs w:val="24"/>
        </w:rPr>
        <w:t>2</w:t>
      </w:r>
      <w:r>
        <w:rPr>
          <w:rFonts w:hint="eastAsia"/>
          <w:sz w:val="24"/>
          <w:szCs w:val="24"/>
        </w:rPr>
        <w:t>．供应商将按谈判文件的规定履行合同责任和义务；</w:t>
      </w:r>
    </w:p>
    <w:p>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pPr>
        <w:rPr>
          <w:sz w:val="24"/>
          <w:szCs w:val="24"/>
        </w:rPr>
      </w:pPr>
      <w:r>
        <w:rPr>
          <w:sz w:val="24"/>
          <w:szCs w:val="24"/>
        </w:rPr>
        <w:t>4</w:t>
      </w:r>
      <w:r>
        <w:rPr>
          <w:rFonts w:hint="eastAsia"/>
          <w:sz w:val="24"/>
          <w:szCs w:val="24"/>
        </w:rPr>
        <w:t>．本投标有效期自开标之日起</w:t>
      </w:r>
      <w:r>
        <w:rPr>
          <w:rFonts w:hint="eastAsia"/>
          <w:sz w:val="24"/>
          <w:szCs w:val="24"/>
          <w:u w:val="single"/>
        </w:rPr>
        <w:t>　　　　</w:t>
      </w:r>
      <w:r>
        <w:rPr>
          <w:rFonts w:hint="eastAsia"/>
          <w:sz w:val="24"/>
          <w:szCs w:val="24"/>
        </w:rPr>
        <w:t>个日历日。</w:t>
      </w:r>
    </w:p>
    <w:p>
      <w:pPr>
        <w:rPr>
          <w:sz w:val="24"/>
          <w:szCs w:val="24"/>
        </w:rPr>
      </w:pPr>
      <w:r>
        <w:rPr>
          <w:sz w:val="24"/>
          <w:szCs w:val="24"/>
        </w:rPr>
        <w:t>5</w:t>
      </w:r>
      <w:r>
        <w:rPr>
          <w:rFonts w:hint="eastAsia"/>
          <w:sz w:val="24"/>
          <w:szCs w:val="24"/>
        </w:rPr>
        <w:t>．如果在规定的开标时间后，供应商在投标有效期内撤回投标，其投标保证金将被贵方没收。</w:t>
      </w:r>
    </w:p>
    <w:p>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pPr>
        <w:rPr>
          <w:sz w:val="24"/>
          <w:szCs w:val="24"/>
        </w:rPr>
      </w:pPr>
      <w:r>
        <w:rPr>
          <w:sz w:val="24"/>
          <w:szCs w:val="24"/>
        </w:rPr>
        <w:t>7</w:t>
      </w:r>
      <w:r>
        <w:rPr>
          <w:rFonts w:hint="eastAsia"/>
          <w:sz w:val="24"/>
          <w:szCs w:val="24"/>
        </w:rPr>
        <w:t>．与本投标有关的一切正式往来信函请寄：</w:t>
      </w:r>
    </w:p>
    <w:p>
      <w:pPr>
        <w:rPr>
          <w:sz w:val="24"/>
          <w:szCs w:val="24"/>
        </w:rPr>
      </w:pPr>
    </w:p>
    <w:p>
      <w:pPr>
        <w:rPr>
          <w:sz w:val="24"/>
          <w:szCs w:val="24"/>
        </w:rPr>
      </w:pPr>
      <w:r>
        <w:rPr>
          <w:rFonts w:hint="eastAsia"/>
          <w:sz w:val="24"/>
          <w:szCs w:val="24"/>
        </w:rPr>
        <w:t>地址：</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邮编：</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电话：</w:t>
      </w:r>
      <w:r>
        <w:rPr>
          <w:rFonts w:hint="eastAsia"/>
          <w:sz w:val="24"/>
          <w:szCs w:val="24"/>
          <w:u w:val="single"/>
        </w:rPr>
        <w:t>　　　　　　　　　　</w:t>
      </w:r>
      <w:r>
        <w:rPr>
          <w:sz w:val="24"/>
          <w:szCs w:val="24"/>
          <w:u w:val="single"/>
        </w:rPr>
        <w:t xml:space="preserve">    </w:t>
      </w:r>
      <w:r>
        <w:rPr>
          <w:rFonts w:hint="eastAsia"/>
          <w:sz w:val="24"/>
          <w:szCs w:val="24"/>
        </w:rPr>
        <w:t>传真：</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w:t>
      </w:r>
    </w:p>
    <w:p>
      <w:pPr>
        <w:rPr>
          <w:sz w:val="24"/>
          <w:szCs w:val="24"/>
        </w:rPr>
      </w:pPr>
      <w:r>
        <w:rPr>
          <w:rFonts w:hint="eastAsia"/>
          <w:sz w:val="24"/>
          <w:szCs w:val="24"/>
        </w:rPr>
        <w:t>　供应商代表签字：</w:t>
      </w:r>
      <w:r>
        <w:rPr>
          <w:rFonts w:hint="eastAsia"/>
          <w:sz w:val="24"/>
          <w:szCs w:val="24"/>
          <w:u w:val="single"/>
        </w:rPr>
        <w:t>　　　　　　　　　　</w:t>
      </w:r>
    </w:p>
    <w:p>
      <w:pPr>
        <w:rPr>
          <w:sz w:val="24"/>
          <w:szCs w:val="24"/>
        </w:rPr>
      </w:pPr>
      <w:r>
        <w:rPr>
          <w:rFonts w:hint="eastAsia"/>
          <w:sz w:val="24"/>
          <w:szCs w:val="24"/>
        </w:rPr>
        <w:t>　供应商名称：</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公</w:t>
      </w:r>
      <w:r>
        <w:rPr>
          <w:sz w:val="24"/>
          <w:szCs w:val="24"/>
        </w:rPr>
        <w:t xml:space="preserve">      </w:t>
      </w:r>
      <w:r>
        <w:rPr>
          <w:rFonts w:hint="eastAsia"/>
          <w:sz w:val="24"/>
          <w:szCs w:val="24"/>
        </w:rPr>
        <w:t>章：</w:t>
      </w:r>
      <w:r>
        <w:rPr>
          <w:rFonts w:hint="eastAsia"/>
          <w:sz w:val="24"/>
          <w:szCs w:val="24"/>
          <w:u w:val="single"/>
        </w:rPr>
        <w:t>　　　　　　　　　　</w:t>
      </w:r>
    </w:p>
    <w:p>
      <w:pPr>
        <w:rPr>
          <w:sz w:val="24"/>
          <w:szCs w:val="24"/>
        </w:rPr>
        <w:sectPr>
          <w:headerReference r:id="rId3" w:type="default"/>
          <w:footerReference r:id="rId4" w:type="default"/>
          <w:pgSz w:w="11907" w:h="16840"/>
          <w:pgMar w:top="1440" w:right="1080" w:bottom="1440" w:left="1080" w:header="851" w:footer="68" w:gutter="0"/>
          <w:cols w:space="720" w:num="1"/>
          <w:docGrid w:type="lines" w:linePitch="409" w:charSpace="0"/>
        </w:sectPr>
      </w:pPr>
      <w:r>
        <w:rPr>
          <w:rFonts w:hint="eastAsia"/>
          <w:sz w:val="24"/>
          <w:szCs w:val="24"/>
        </w:rPr>
        <w:t>　日　　　期：</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年</w:t>
      </w:r>
      <w:r>
        <w:rPr>
          <w:rFonts w:hint="eastAsia"/>
          <w:sz w:val="24"/>
          <w:szCs w:val="24"/>
          <w:u w:val="single"/>
        </w:rPr>
        <w:t>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w:t>
      </w:r>
      <w:r>
        <w:rPr>
          <w:rFonts w:hint="eastAsia"/>
          <w:sz w:val="24"/>
          <w:szCs w:val="24"/>
        </w:rPr>
        <w:t>日</w:t>
      </w:r>
    </w:p>
    <w:p>
      <w:pPr>
        <w:jc w:val="center"/>
        <w:rPr>
          <w:rFonts w:hint="eastAsia"/>
          <w:bCs/>
          <w:color w:val="auto"/>
          <w:sz w:val="28"/>
          <w:szCs w:val="28"/>
          <w:lang w:val="en-US" w:eastAsia="zh-Hans"/>
        </w:rPr>
      </w:pPr>
      <w:r>
        <w:rPr>
          <w:rFonts w:hint="eastAsia" w:ascii="宋体" w:hAnsi="宋体"/>
          <w:color w:val="auto"/>
          <w:sz w:val="32"/>
          <w:szCs w:val="32"/>
          <w:lang w:val="en-US" w:eastAsia="zh-Hans"/>
        </w:rPr>
        <w:t>报价一览表</w:t>
      </w:r>
    </w:p>
    <w:tbl>
      <w:tblPr>
        <w:tblStyle w:val="48"/>
        <w:tblW w:w="10698" w:type="dxa"/>
        <w:jc w:val="center"/>
        <w:tblLayout w:type="fixed"/>
        <w:tblCellMar>
          <w:top w:w="0" w:type="dxa"/>
          <w:left w:w="0" w:type="dxa"/>
          <w:bottom w:w="0" w:type="dxa"/>
          <w:right w:w="0" w:type="dxa"/>
        </w:tblCellMar>
      </w:tblPr>
      <w:tblGrid>
        <w:gridCol w:w="455"/>
        <w:gridCol w:w="671"/>
        <w:gridCol w:w="5223"/>
        <w:gridCol w:w="377"/>
        <w:gridCol w:w="400"/>
        <w:gridCol w:w="823"/>
        <w:gridCol w:w="706"/>
        <w:gridCol w:w="533"/>
        <w:gridCol w:w="741"/>
        <w:gridCol w:w="769"/>
      </w:tblGrid>
      <w:tr>
        <w:tblPrEx>
          <w:tblCellMar>
            <w:top w:w="0" w:type="dxa"/>
            <w:left w:w="0" w:type="dxa"/>
            <w:bottom w:w="0" w:type="dxa"/>
            <w:right w:w="0" w:type="dxa"/>
          </w:tblCellMar>
        </w:tblPrEx>
        <w:trPr>
          <w:trHeight w:val="351"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序号</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名称</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设备材料技术参数规格</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数量</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sz w:val="16"/>
                <w:szCs w:val="16"/>
                <w:u w:val="none"/>
                <w:lang w:eastAsia="zh-Hans"/>
              </w:rPr>
            </w:pPr>
            <w:r>
              <w:rPr>
                <w:rFonts w:hint="eastAsia" w:ascii="微软雅黑" w:hAnsi="微软雅黑" w:eastAsia="微软雅黑" w:cs="微软雅黑"/>
                <w:i w:val="0"/>
                <w:color w:val="auto"/>
                <w:kern w:val="0"/>
                <w:sz w:val="16"/>
                <w:szCs w:val="16"/>
                <w:u w:val="none"/>
                <w:lang w:val="en-US" w:eastAsia="zh-CN" w:bidi="ar"/>
              </w:rPr>
              <w:t>设备</w:t>
            </w:r>
            <w:r>
              <w:rPr>
                <w:rFonts w:hint="eastAsia" w:ascii="微软雅黑" w:hAnsi="微软雅黑" w:eastAsia="微软雅黑" w:cs="微软雅黑"/>
                <w:i w:val="0"/>
                <w:color w:val="auto"/>
                <w:kern w:val="0"/>
                <w:sz w:val="16"/>
                <w:szCs w:val="16"/>
                <w:u w:val="none"/>
                <w:lang w:val="en-US" w:eastAsia="zh-Hans" w:bidi="ar"/>
              </w:rPr>
              <w:t>单项控制价</w:t>
            </w:r>
            <w:r>
              <w:rPr>
                <w:rFonts w:hint="default" w:ascii="微软雅黑" w:hAnsi="微软雅黑" w:eastAsia="微软雅黑" w:cs="微软雅黑"/>
                <w:i w:val="0"/>
                <w:color w:val="auto"/>
                <w:kern w:val="0"/>
                <w:sz w:val="16"/>
                <w:szCs w:val="16"/>
                <w:u w:val="none"/>
                <w:lang w:eastAsia="zh-Hans" w:bidi="ar"/>
              </w:rPr>
              <w:t>（</w:t>
            </w:r>
            <w:r>
              <w:rPr>
                <w:rFonts w:hint="eastAsia" w:ascii="微软雅黑" w:hAnsi="微软雅黑" w:eastAsia="微软雅黑" w:cs="微软雅黑"/>
                <w:i w:val="0"/>
                <w:color w:val="auto"/>
                <w:kern w:val="0"/>
                <w:sz w:val="16"/>
                <w:szCs w:val="16"/>
                <w:u w:val="none"/>
                <w:lang w:val="en-US" w:eastAsia="zh-Hans" w:bidi="ar"/>
              </w:rPr>
              <w:t>元</w:t>
            </w:r>
            <w:r>
              <w:rPr>
                <w:rFonts w:hint="default" w:ascii="微软雅黑" w:hAnsi="微软雅黑" w:eastAsia="微软雅黑" w:cs="微软雅黑"/>
                <w:i w:val="0"/>
                <w:color w:val="auto"/>
                <w:kern w:val="0"/>
                <w:sz w:val="16"/>
                <w:szCs w:val="16"/>
                <w:u w:val="none"/>
                <w:lang w:eastAsia="zh-Hans"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eastAsia="zh-Hans" w:bidi="ar"/>
              </w:rPr>
            </w:pPr>
            <w:r>
              <w:rPr>
                <w:rFonts w:hint="eastAsia" w:ascii="微软雅黑" w:hAnsi="微软雅黑" w:eastAsia="微软雅黑" w:cs="微软雅黑"/>
                <w:i w:val="0"/>
                <w:color w:val="auto"/>
                <w:kern w:val="0"/>
                <w:sz w:val="16"/>
                <w:szCs w:val="16"/>
                <w:u w:val="none"/>
                <w:lang w:val="en-US" w:eastAsia="zh-CN" w:bidi="ar"/>
              </w:rPr>
              <w:t>安装费</w:t>
            </w:r>
            <w:r>
              <w:rPr>
                <w:rFonts w:hint="eastAsia" w:ascii="微软雅黑" w:hAnsi="微软雅黑" w:eastAsia="微软雅黑" w:cs="微软雅黑"/>
                <w:i w:val="0"/>
                <w:color w:val="auto"/>
                <w:kern w:val="0"/>
                <w:sz w:val="16"/>
                <w:szCs w:val="16"/>
                <w:u w:val="none"/>
                <w:lang w:val="en-US" w:eastAsia="zh-Hans" w:bidi="ar"/>
              </w:rPr>
              <w:t>单项控制价</w:t>
            </w:r>
            <w:r>
              <w:rPr>
                <w:rFonts w:hint="default" w:ascii="微软雅黑" w:hAnsi="微软雅黑" w:eastAsia="微软雅黑" w:cs="微软雅黑"/>
                <w:i w:val="0"/>
                <w:color w:val="auto"/>
                <w:kern w:val="0"/>
                <w:sz w:val="16"/>
                <w:szCs w:val="16"/>
                <w:u w:val="none"/>
                <w:lang w:eastAsia="zh-Hans" w:bidi="ar"/>
              </w:rPr>
              <w:t>（</w:t>
            </w:r>
            <w:r>
              <w:rPr>
                <w:rFonts w:hint="eastAsia" w:ascii="微软雅黑" w:hAnsi="微软雅黑" w:eastAsia="微软雅黑" w:cs="微软雅黑"/>
                <w:i w:val="0"/>
                <w:color w:val="auto"/>
                <w:kern w:val="0"/>
                <w:sz w:val="16"/>
                <w:szCs w:val="16"/>
                <w:u w:val="none"/>
                <w:lang w:val="en-US" w:eastAsia="zh-Hans" w:bidi="ar"/>
              </w:rPr>
              <w:t>元</w:t>
            </w:r>
            <w:r>
              <w:rPr>
                <w:rFonts w:hint="default" w:ascii="微软雅黑" w:hAnsi="微软雅黑" w:eastAsia="微软雅黑" w:cs="微软雅黑"/>
                <w:i w:val="0"/>
                <w:color w:val="auto"/>
                <w:kern w:val="0"/>
                <w:sz w:val="16"/>
                <w:szCs w:val="16"/>
                <w:u w:val="none"/>
                <w:lang w:eastAsia="zh-Hans"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eastAsia="zh-Hans" w:bidi="ar"/>
              </w:rPr>
            </w:pPr>
            <w:r>
              <w:rPr>
                <w:rFonts w:hint="eastAsia" w:ascii="微软雅黑" w:hAnsi="微软雅黑" w:eastAsia="微软雅黑" w:cs="微软雅黑"/>
                <w:i w:val="0"/>
                <w:color w:val="auto"/>
                <w:kern w:val="0"/>
                <w:sz w:val="16"/>
                <w:szCs w:val="16"/>
                <w:u w:val="none"/>
                <w:lang w:val="en-US" w:eastAsia="zh-Hans" w:bidi="ar"/>
              </w:rPr>
              <w:t>总下浮率</w:t>
            </w:r>
            <w:r>
              <w:rPr>
                <w:rFonts w:hint="default" w:ascii="微软雅黑" w:hAnsi="微软雅黑" w:eastAsia="微软雅黑" w:cs="微软雅黑"/>
                <w:i w:val="0"/>
                <w:color w:val="auto"/>
                <w:kern w:val="0"/>
                <w:sz w:val="16"/>
                <w:szCs w:val="16"/>
                <w:u w:val="none"/>
                <w:lang w:eastAsia="zh-Hans"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eastAsia="zh-Hans" w:bidi="ar"/>
              </w:rPr>
            </w:pPr>
            <w:r>
              <w:rPr>
                <w:rFonts w:hint="eastAsia" w:ascii="微软雅黑" w:hAnsi="微软雅黑" w:eastAsia="微软雅黑" w:cs="微软雅黑"/>
                <w:i w:val="0"/>
                <w:color w:val="auto"/>
                <w:kern w:val="0"/>
                <w:sz w:val="16"/>
                <w:szCs w:val="16"/>
                <w:u w:val="none"/>
                <w:lang w:val="en-US" w:eastAsia="zh-Hans" w:bidi="ar"/>
              </w:rPr>
              <w:t>下浮后设备单价</w:t>
            </w:r>
            <w:r>
              <w:rPr>
                <w:rFonts w:hint="default" w:ascii="微软雅黑" w:hAnsi="微软雅黑" w:eastAsia="微软雅黑" w:cs="微软雅黑"/>
                <w:i w:val="0"/>
                <w:color w:val="auto"/>
                <w:kern w:val="0"/>
                <w:sz w:val="16"/>
                <w:szCs w:val="16"/>
                <w:u w:val="none"/>
                <w:lang w:eastAsia="zh-Hans" w:bidi="ar"/>
              </w:rPr>
              <w:t>（</w:t>
            </w:r>
            <w:r>
              <w:rPr>
                <w:rFonts w:hint="eastAsia" w:ascii="微软雅黑" w:hAnsi="微软雅黑" w:eastAsia="微软雅黑" w:cs="微软雅黑"/>
                <w:i w:val="0"/>
                <w:color w:val="auto"/>
                <w:kern w:val="0"/>
                <w:sz w:val="16"/>
                <w:szCs w:val="16"/>
                <w:u w:val="none"/>
                <w:lang w:val="en-US" w:eastAsia="zh-Hans" w:bidi="ar"/>
              </w:rPr>
              <w:t>元</w:t>
            </w:r>
            <w:r>
              <w:rPr>
                <w:rFonts w:hint="default" w:ascii="微软雅黑" w:hAnsi="微软雅黑" w:eastAsia="微软雅黑" w:cs="微软雅黑"/>
                <w:i w:val="0"/>
                <w:color w:val="auto"/>
                <w:kern w:val="0"/>
                <w:sz w:val="16"/>
                <w:szCs w:val="16"/>
                <w:u w:val="none"/>
                <w:lang w:eastAsia="zh-Hans" w:bidi="ar"/>
              </w:rPr>
              <w:t>）</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eastAsia="zh-Hans" w:bidi="ar"/>
              </w:rPr>
            </w:pPr>
            <w:r>
              <w:rPr>
                <w:rFonts w:hint="eastAsia" w:ascii="微软雅黑" w:hAnsi="微软雅黑" w:eastAsia="微软雅黑" w:cs="微软雅黑"/>
                <w:i w:val="0"/>
                <w:color w:val="auto"/>
                <w:kern w:val="0"/>
                <w:sz w:val="16"/>
                <w:szCs w:val="16"/>
                <w:u w:val="none"/>
                <w:lang w:val="en-US" w:eastAsia="zh-Hans" w:bidi="ar"/>
              </w:rPr>
              <w:t>下浮后安装费</w:t>
            </w:r>
            <w:r>
              <w:rPr>
                <w:rFonts w:hint="default" w:ascii="微软雅黑" w:hAnsi="微软雅黑" w:eastAsia="微软雅黑" w:cs="微软雅黑"/>
                <w:i w:val="0"/>
                <w:color w:val="auto"/>
                <w:kern w:val="0"/>
                <w:sz w:val="16"/>
                <w:szCs w:val="16"/>
                <w:u w:val="none"/>
                <w:lang w:eastAsia="zh-Hans" w:bidi="ar"/>
              </w:rPr>
              <w:t>（</w:t>
            </w:r>
            <w:r>
              <w:rPr>
                <w:rFonts w:hint="eastAsia" w:ascii="微软雅黑" w:hAnsi="微软雅黑" w:eastAsia="微软雅黑" w:cs="微软雅黑"/>
                <w:i w:val="0"/>
                <w:color w:val="auto"/>
                <w:kern w:val="0"/>
                <w:sz w:val="16"/>
                <w:szCs w:val="16"/>
                <w:u w:val="none"/>
                <w:lang w:val="en-US" w:eastAsia="zh-Hans" w:bidi="ar"/>
              </w:rPr>
              <w:t>元</w:t>
            </w:r>
            <w:r>
              <w:rPr>
                <w:rFonts w:hint="default" w:ascii="微软雅黑" w:hAnsi="微软雅黑" w:eastAsia="微软雅黑" w:cs="微软雅黑"/>
                <w:i w:val="0"/>
                <w:color w:val="auto"/>
                <w:kern w:val="0"/>
                <w:sz w:val="16"/>
                <w:szCs w:val="16"/>
                <w:u w:val="none"/>
                <w:lang w:eastAsia="zh-Hans" w:bidi="ar"/>
              </w:rPr>
              <w:t>）</w:t>
            </w:r>
          </w:p>
        </w:tc>
      </w:tr>
      <w:tr>
        <w:tblPrEx>
          <w:tblCellMar>
            <w:top w:w="0" w:type="dxa"/>
            <w:left w:w="0" w:type="dxa"/>
            <w:bottom w:w="0" w:type="dxa"/>
            <w:right w:w="0" w:type="dxa"/>
          </w:tblCellMar>
        </w:tblPrEx>
        <w:trPr>
          <w:trHeight w:val="1530" w:hRule="atLeast"/>
          <w:jc w:val="center"/>
        </w:trPr>
        <w:tc>
          <w:tcPr>
            <w:tcW w:w="455"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671"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视频综合管理平台（主机）</w:t>
            </w:r>
          </w:p>
        </w:tc>
        <w:tc>
          <w:tcPr>
            <w:tcW w:w="5223" w:type="dxa"/>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1. 8U标准机箱，满足各种规模的监控需求；</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2. 标准机架式设计，运营级ATCA机箱系统；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3. 插拔式模块化设计，可根据需求灵活扩展；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4. 5槽位机箱，双电源适配器，单主控板；</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8"/>
                <w:szCs w:val="18"/>
                <w:lang w:val="en-US" w:eastAsia="zh-CN"/>
              </w:rPr>
            </w:pPr>
            <w:r>
              <w:rPr>
                <w:rFonts w:hint="eastAsia"/>
                <w:color w:val="auto"/>
                <w:sz w:val="18"/>
                <w:szCs w:val="18"/>
                <w:lang w:val="en-US" w:eastAsia="zh-CN"/>
              </w:rPr>
              <w:t>5. 业务模块支持热插拔、双电源冗余、智能风扇自动调温，确保系统稳定可靠；</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rPr>
            </w:pPr>
            <w:r>
              <w:rPr>
                <w:rFonts w:hint="eastAsia"/>
                <w:color w:val="auto"/>
                <w:sz w:val="18"/>
                <w:szCs w:val="18"/>
                <w:lang w:val="en-US" w:eastAsia="zh-CN"/>
              </w:rPr>
              <w:t>6. 双高速无阻塞背板设计，满足大容量视频数据高速交换的需求</w:t>
            </w:r>
            <w:r>
              <w:rPr>
                <w:rFonts w:hint="eastAsia"/>
                <w:color w:val="auto"/>
                <w:lang w:val="en-US" w:eastAsia="zh-CN"/>
              </w:rPr>
              <w:t>。</w:t>
            </w:r>
          </w:p>
        </w:tc>
        <w:tc>
          <w:tcPr>
            <w:tcW w:w="377"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48860.00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2500.00 </w:t>
            </w:r>
          </w:p>
        </w:tc>
        <w:tc>
          <w:tcPr>
            <w:tcW w:w="533"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2314"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视频综合管理平台（扩展板）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HDMI输出板，8个接口；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解码通道数：256；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解码能力：8路4096×3072@20fps，或16路4096×2160@25fps，或40路2048×1536@25fps，或64路1080P，或128路720P，或256路4CIF以下分辨率；</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视频输出接口类型：VGA；</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视频输出接口数：8；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音频输出接口类型：DB15转BNC；</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音频输出接口数：8；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输出分辨率：1600*1200@60Hz（仅奇数口）、1920×1080@60Hz、1920×1080@50Hz、1680×1050@60Hz、1280×720@60Hz、1280×720@50Hz、1280×1024@60Hz、1024×768@60Hz；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 画面分割数：1/4/6/8/9/16画面分割。</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34104.00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988"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视频解码器</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1. 4路DVI 输入+12路HDMI 输出+单主控板+单电源；</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2. 视频编码输入， 采用H.264/265 视频压缩标准，支持DVI 视频信号接入编码；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3. 视频支持HDMI 输出显示， 支持1/4/6/8/9/16 画面分割显示， 最高支持1200W 高清视频解码， 最高192 路200W 高清视频解码能力， 支持H.265、H.264、MPEG4、MJPEG 等主流的编码格式， 支持PS、TS、ES、RTP、HIK 等主流封装格式， 支持ONVIF 协议接入设备解码；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lang w:val="en-US" w:eastAsia="zh-CN"/>
              </w:rPr>
            </w:pPr>
            <w:r>
              <w:rPr>
                <w:rFonts w:hint="eastAsia"/>
                <w:color w:val="auto"/>
                <w:sz w:val="16"/>
                <w:szCs w:val="16"/>
                <w:lang w:val="en-US" w:eastAsia="zh-CN"/>
              </w:rPr>
              <w:t>4. 大屏拼接， 最大支持24 个显示屏的任意大屏拼接， 支持开窗和漫游功能， 窗口支持1/4/6/8/9/16 画面分割， 最大支持8 个预设场景，用户可以自定义每个场景电视墙布局；</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color w:val="auto"/>
                <w:sz w:val="16"/>
                <w:szCs w:val="16"/>
              </w:rPr>
            </w:pPr>
            <w:r>
              <w:rPr>
                <w:rFonts w:hint="eastAsia"/>
                <w:color w:val="auto"/>
                <w:sz w:val="16"/>
                <w:szCs w:val="16"/>
                <w:lang w:val="en-US" w:eastAsia="zh-CN"/>
              </w:rPr>
              <w:t>5. 配置10米HDMI高清线24根。</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38216.00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2500.00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9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Style w:val="307"/>
                <w:color w:val="auto"/>
                <w:sz w:val="16"/>
                <w:szCs w:val="16"/>
                <w:lang w:val="en-US" w:eastAsia="zh-CN" w:bidi="ar"/>
              </w:rPr>
              <w:t>55英寸液晶</w:t>
            </w:r>
            <w:r>
              <w:rPr>
                <w:rFonts w:hint="eastAsia" w:ascii="微软雅黑" w:hAnsi="微软雅黑" w:eastAsia="微软雅黑" w:cs="微软雅黑"/>
                <w:i w:val="0"/>
                <w:color w:val="auto"/>
                <w:kern w:val="0"/>
                <w:sz w:val="16"/>
                <w:szCs w:val="16"/>
                <w:u w:val="none"/>
                <w:lang w:val="en-US" w:eastAsia="zh-CN" w:bidi="ar"/>
              </w:rPr>
              <w:t>拼接屏</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1. 55英寸液晶拼接屏，对角线尺寸≥55英寸，物理分辨率≥1920×1080，响应时间≤8ms；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2. 物理拼缝≤3.5mm，亮度≥500cd/</w:t>
            </w:r>
            <w:r>
              <w:rPr>
                <w:rStyle w:val="308"/>
                <w:color w:val="auto"/>
                <w:sz w:val="16"/>
                <w:szCs w:val="16"/>
                <w:lang w:val="en-US" w:eastAsia="zh-CN" w:bidi="ar"/>
              </w:rPr>
              <w:t>㎡</w:t>
            </w:r>
            <w:r>
              <w:rPr>
                <w:rStyle w:val="307"/>
                <w:color w:val="auto"/>
                <w:sz w:val="16"/>
                <w:szCs w:val="16"/>
                <w:lang w:val="en-US" w:eastAsia="zh-CN" w:bidi="ar"/>
              </w:rPr>
              <w:t>，对比度≥1200:1，水平、垂直视场角均≥178°；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3. 输入接口≥1个HDMI、≥1个DVI、≥1个VGA、≥1个DP，输出接口≥1个HDMI，可选配HDbaseT等接口；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4. 设备通过GB/T 26125-2011、GB/T 26572-2011认证，具有中国质量认证中心出具的电器电子产品有害物质限制使用产品认证证书；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5. 图像显示灰度等级提升技术，使8bit液晶屏实现≥10bit的显示效果，灰度等级从256级增加到≥1024级，画面层次丰富、色彩逼真；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6. 内置图像处理芯片，能够实时分析显示内容资料，实现在影片、汇报和监控三种场景模式下智能切换；</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7. 支持以像素点为单位进行矫正，能够消除屏幕局部亮暗不均现象，屏幕所有像素点亮度均一性≥80%；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8. 符合绿色设计产品技术规范T/CESA 1018-2018；风扇具备良好的散热效果，风扇散热性能≥60%；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9. 设备客户端具备能力集收集、设备工作状态展示功能；支持客户端集中管理，支持多级用户权限管理，支持多场景模式管理；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10.设备具有帧宽度调节技术，通过调节画面宽度，解决输入信号四周黑边问题；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Style w:val="307"/>
                <w:color w:val="auto"/>
                <w:sz w:val="16"/>
                <w:szCs w:val="16"/>
                <w:lang w:val="en-US" w:eastAsia="zh-CN" w:bidi="ar"/>
              </w:rPr>
              <w:t>11.设备连续运行24小时，液晶表面中心温度≤40℃，边缘测试点与中心温差≤6℃；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Style w:val="307"/>
                <w:color w:val="auto"/>
                <w:sz w:val="16"/>
                <w:szCs w:val="16"/>
                <w:lang w:val="en-US" w:eastAsia="zh-CN" w:bidi="ar"/>
              </w:rPr>
              <w:t>12.包含拼接屏配套支架1套。</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18427.00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246" w:hRule="atLeast"/>
          <w:jc w:val="center"/>
        </w:trPr>
        <w:tc>
          <w:tcPr>
            <w:tcW w:w="4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w:t>
            </w:r>
          </w:p>
        </w:tc>
        <w:tc>
          <w:tcPr>
            <w:tcW w:w="671"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32寸 LED液晶监视器</w:t>
            </w:r>
          </w:p>
        </w:tc>
        <w:tc>
          <w:tcPr>
            <w:tcW w:w="52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1．32寸 LED液晶监视器；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2．点距 0.27963 mm x 0.27963 mm、最大分辨率 1920×1080、亮度 300cd/m²、对比度 1000:1；</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3．响应时间 14ms、可视角度（水平178°，垂直178º）；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4．VGA输入接口1个、HDMI输入接口1个；</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5．电源 AC100V--240V 50/60Hz、功耗 ≤50W；</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6．工作温度 0℃--50℃ 、工作湿度 10%--90%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307"/>
                <w:color w:val="auto"/>
                <w:sz w:val="16"/>
                <w:szCs w:val="16"/>
                <w:lang w:val="en-US" w:eastAsia="zh-CN" w:bidi="ar"/>
              </w:rPr>
            </w:pPr>
            <w:r>
              <w:rPr>
                <w:rFonts w:hint="eastAsia" w:ascii="微软雅黑" w:hAnsi="微软雅黑" w:eastAsia="微软雅黑" w:cs="微软雅黑"/>
                <w:i w:val="0"/>
                <w:color w:val="auto"/>
                <w:kern w:val="0"/>
                <w:sz w:val="16"/>
                <w:szCs w:val="16"/>
                <w:u w:val="none"/>
                <w:lang w:val="en-US" w:eastAsia="zh-CN" w:bidi="ar"/>
              </w:rPr>
              <w:t>7．标准配置（电源线1根、5米HDMI高清线1根、支架1套。</w:t>
            </w:r>
          </w:p>
        </w:tc>
        <w:tc>
          <w:tcPr>
            <w:tcW w:w="37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4809.00 </w:t>
            </w:r>
          </w:p>
        </w:tc>
        <w:tc>
          <w:tcPr>
            <w:tcW w:w="70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379" w:hRule="atLeast"/>
          <w:jc w:val="center"/>
        </w:trPr>
        <w:tc>
          <w:tcPr>
            <w:tcW w:w="45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w:t>
            </w:r>
          </w:p>
        </w:tc>
        <w:tc>
          <w:tcPr>
            <w:tcW w:w="671"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55寸LED液晶监视器</w:t>
            </w:r>
          </w:p>
        </w:tc>
        <w:tc>
          <w:tcPr>
            <w:tcW w:w="522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1．55寸 LED液晶监视器；</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2．点距 0.27963 mm x 0.27963 mm、最大分辨率 1920×1080、亮度 300cd/m²、对比度 1000:1；</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3．响应时间 14ms、可视角度（水平178°，垂直178º）；</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4．VGA输入接口1个、HDMI输入接口1个；</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5．电源 AC100V--240V 50/60Hz、功耗 ≤150W；</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6．工作温度 0℃--50℃ 、工作湿度 10%--90% ；</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7．标准配置（电源线1根、5米HDMI高清线1根、支架1套。</w:t>
            </w:r>
          </w:p>
        </w:tc>
        <w:tc>
          <w:tcPr>
            <w:tcW w:w="37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7860.00 </w:t>
            </w:r>
          </w:p>
        </w:tc>
        <w:tc>
          <w:tcPr>
            <w:tcW w:w="70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2532" w:hRule="atLeast"/>
          <w:jc w:val="center"/>
        </w:trPr>
        <w:tc>
          <w:tcPr>
            <w:tcW w:w="4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7</w:t>
            </w:r>
          </w:p>
        </w:tc>
        <w:tc>
          <w:tcPr>
            <w:tcW w:w="67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网络磁盘阵列存储服务器</w:t>
            </w:r>
          </w:p>
        </w:tc>
        <w:tc>
          <w:tcPr>
            <w:tcW w:w="5223"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19英寸标准机箱，不低于64位多核处理器，内存≥32GB，具有≥4个千兆以太网口，≥2个USB 3.0接口；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需要配置硬盘≥20T容量企业级硬盘24块（硬盘需要单独采购）；</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支持RAID0、1、5、6、10、50，支持全局、局部等多种热备选择；支持当磁盘处于非工作状态下，进入休眠状态，进行读写操作时可被唤醒，增加磁盘寿命；支持智能风扇调速，支持智能CPU调频等功能；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接入并存储≥1880Mbps视频图像，同时转发≥1880Mbps的视频图像；同时回放≥512Mbps的视频图像；支持不低于200MBps图片并发输入，同时不低于200MBps图片并发输出；支持对视音频、图片及智能分析录像的混合直存，节省存储服务器和图片服务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支持视频质量诊断功能，对图像的亮度、偏色、对比度、清晰度、视频丢失、条纹干扰、视频噪声、视频虚焦等特征进行实时分析，并以日志、报表和图形化方式显示结果；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系统盘支持RAID1模式，当主系统故障时，备用系统可接管工作；支持实时显示磁盘体检状态，对异常状态磁盘，可查看处理建议信息；（需提供公安部所属检验机构出具的检测报告复印件并加盖制造商鲜章证明）</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设备发生磁盘、网络、电源、RAID、温度超限、风扇、码流异常等故障时，可发出声光指示或通过E-mail报警；具有短信网关报警功能，可向添加的手机号码发送电源异常、系统卡容量不足、存储空间异常、自动修复失败、私有卷IO异常、无可用逻辑卷等报警信息，报警种类可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在冗余范围内元数据丢失时，可自动进行数据恢复，并保持业务不中断；支持损坏RAID按照RAID损坏等级进行重构，支持优先选择损坏严重或对标记重要的特定文件中的数据进行重构，重构过程中不应影响录像的性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 工作温度≥5℃～40℃，储藏温度≥-20℃～70℃，含盘功耗 ≤450W，冗余（1+1）双电源。</w:t>
            </w:r>
          </w:p>
        </w:tc>
        <w:tc>
          <w:tcPr>
            <w:tcW w:w="37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68400.00 </w:t>
            </w:r>
          </w:p>
        </w:tc>
        <w:tc>
          <w:tcPr>
            <w:tcW w:w="70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6500.00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283" w:hRule="atLeast"/>
          <w:jc w:val="center"/>
        </w:trPr>
        <w:tc>
          <w:tcPr>
            <w:tcW w:w="45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w:t>
            </w:r>
          </w:p>
        </w:tc>
        <w:tc>
          <w:tcPr>
            <w:tcW w:w="67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企业级监控硬盘</w:t>
            </w:r>
          </w:p>
        </w:tc>
        <w:tc>
          <w:tcPr>
            <w:tcW w:w="5223" w:type="dxa"/>
            <w:tcBorders>
              <w:top w:val="single" w:color="auto"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20TB企业级硬盘，能够与本招标项目采购的网络硬盘服务器适配。</w:t>
            </w:r>
          </w:p>
        </w:tc>
        <w:tc>
          <w:tcPr>
            <w:tcW w:w="37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块</w:t>
            </w:r>
          </w:p>
        </w:tc>
        <w:tc>
          <w:tcPr>
            <w:tcW w:w="82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5680.00 </w:t>
            </w:r>
          </w:p>
        </w:tc>
        <w:tc>
          <w:tcPr>
            <w:tcW w:w="70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55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9</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企业级监控硬盘</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8TB企业级希捷硬盘（7200RPM,3.5寸,SATA），能够与我院在用网络软盘服务器适配。</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2412.00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6" w:hRule="atLeast"/>
          <w:jc w:val="center"/>
        </w:trPr>
        <w:tc>
          <w:tcPr>
            <w:tcW w:w="4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10</w:t>
            </w:r>
          </w:p>
        </w:tc>
        <w:tc>
          <w:tcPr>
            <w:tcW w:w="67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运维基础服务软件</w:t>
            </w:r>
          </w:p>
        </w:tc>
        <w:tc>
          <w:tcPr>
            <w:tcW w:w="52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支持视频设备、it设备、存储设备、编解码设备、数据库等资源运行状态结果展现和基础配置功能；支持各类型设备告警阈值配置和告警情况的统一展现功能</w:t>
            </w:r>
          </w:p>
        </w:tc>
        <w:tc>
          <w:tcPr>
            <w:tcW w:w="37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35810.00 </w:t>
            </w:r>
          </w:p>
        </w:tc>
        <w:tc>
          <w:tcPr>
            <w:tcW w:w="70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2200.00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64" w:hRule="atLeast"/>
          <w:jc w:val="center"/>
        </w:trPr>
        <w:tc>
          <w:tcPr>
            <w:tcW w:w="4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11</w:t>
            </w:r>
          </w:p>
        </w:tc>
        <w:tc>
          <w:tcPr>
            <w:tcW w:w="671"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视频设备运维IP授权</w:t>
            </w:r>
          </w:p>
        </w:tc>
        <w:tc>
          <w:tcPr>
            <w:tcW w:w="52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支持监控摄像机、编码设备、存储设备、解码设备等物联设备运行状态的采集功能，采集指标项包括但不限于在线状态、录像情况、设备运行信息；支持设备运行状态的统计功能。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1、单节点在线状态巡检效率不低于1000路/小时；</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 xml:space="preserve">2、单项目录像情况巡检效率不低于1000路/小时。  </w:t>
            </w:r>
          </w:p>
        </w:tc>
        <w:tc>
          <w:tcPr>
            <w:tcW w:w="377"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路</w:t>
            </w:r>
          </w:p>
        </w:tc>
        <w:tc>
          <w:tcPr>
            <w:tcW w:w="8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 </w:t>
            </w:r>
          </w:p>
        </w:tc>
        <w:tc>
          <w:tcPr>
            <w:tcW w:w="706"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639" w:hRule="atLeast"/>
          <w:jc w:val="center"/>
        </w:trPr>
        <w:tc>
          <w:tcPr>
            <w:tcW w:w="4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12</w:t>
            </w:r>
          </w:p>
        </w:tc>
        <w:tc>
          <w:tcPr>
            <w:tcW w:w="671"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智能应用服务器</w:t>
            </w:r>
          </w:p>
        </w:tc>
        <w:tc>
          <w:tcPr>
            <w:tcW w:w="52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2U双路标准机架式服务器；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CPU：1颗intel至强系列处理器，核数≥10核，主频≥2.2GHz；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内存≥16G*2 DDR4，≥16根内存插槽，支持扩展至2TB内存；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硬盘≥2块4T 10K 2.5寸 SAS硬盘；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阵列卡：SAS_HBA卡, 支持RAID 0/1/10；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PCIE扩展可支持6个PCIE扩展插槽；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网口≥2个千兆电口，≥1个RJ45管理接口，后置≥2个USB 3.0接口，前置≥2个USB2.0接口，≥1个VGA接口；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具有双电源（1+1）高效铂金CRPS冗余电源。</w:t>
            </w:r>
          </w:p>
        </w:tc>
        <w:tc>
          <w:tcPr>
            <w:tcW w:w="377"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38737.00 </w:t>
            </w:r>
          </w:p>
        </w:tc>
        <w:tc>
          <w:tcPr>
            <w:tcW w:w="706"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370" w:hRule="atLeast"/>
          <w:jc w:val="center"/>
        </w:trPr>
        <w:tc>
          <w:tcPr>
            <w:tcW w:w="455"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13</w:t>
            </w:r>
          </w:p>
        </w:tc>
        <w:tc>
          <w:tcPr>
            <w:tcW w:w="671"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人脸识别抓拍室内外</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智能网络摄像机</w:t>
            </w:r>
          </w:p>
        </w:tc>
        <w:tc>
          <w:tcPr>
            <w:tcW w:w="5223"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400万 星光级1/1.8" CMOS AI抓拍筒型网络摄像机</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支持智能资源模式切换：人脸抓拍模式，道路监控模式，Smart事件模式，人数统计</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人脸抓拍模式：a）支持对运动人脸进行检测、抓拍、评分、筛选，输出最优的人脸，b）支持人脸去误报、快速抓拍人脸，c）支持快速抓拍和最佳抓拍两种模式，d）最多同时检测30张人脸，e）支持人脸去重</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道路监控模式：a）车辆检测：支持车牌识别并抓拍，车型/车品牌/车身颜色/车牌颜色识别，b）混行检测：检测正向或逆向行驶的车辆以及行人和非机动车，自动对车辆牌照进行识别，可以抓拍无车牌的车辆图片，c）支持卡口和出入口模式切换</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Smart事件模式： 支持越界侦测，区域入侵侦测，进入区域侦测，离开区域侦测，物品遗留侦测，物品拿取侦测，徘徊侦测，人员聚集侦测，快速运动侦测，停车侦测</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人数统计模式：a)人员统计：支持实时报警，人数变化报警和拥堵等级变化报警，并支持人数异常和停留时间异常报警，b)行为分析：支持离岗检测，以及在离岗检测报警，c)区域关注度：支持区域人数检测、停留时长检测、实时数据上传，并支持区域人数分析和队列状态分析展示，d)热度图：支持设备上报和平台查询方式获取信息，并支持上报伪彩图背景大图</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设备内置电动变焦镜头，操作便易，变焦过程平稳</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最低照度: 彩色：0.002 Lux @（F1.2，AGC ON），0 Lux with Light；黑白：0.0002 Lux @（F1.2，AGC ON），0 Lux with IR</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宽动态: 120dB</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焦距&amp;视场角:4~6 mm：水平视场角：79°~51.5°，垂直视场角：43.3°~28.7°，对角视场角：92°~59.4°6~9 mm：水平视场角：50.8°~32.9°，垂直视场角：27.6°~18.1°，对角视场角：59.1°~38.1°</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补光灯类型: 暖白光</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补光距离: 白光：普通监控：最远可达20 m，人脸抓拍/识别：最远可达5 m</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最大图像尺寸: 2560 × 1440</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视频压缩标准: H.265/H.264/MJPEG</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复位: 支持</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接口类型: 外甩线</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网络: 1个RJ45 10 M/100 M自适应以太网口</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SD卡扩展: 内置Micro SD(即TF卡)/Micro SDHC/Micro SDXC 插槽，最大支持256 GB</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报警: 3路输入，2路输出（报警输入支持开关量，报警输出最大支持DC12 V，30 mA）</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音频: 1路输入（Line in），1路输出（Line out），1个内置麦克风</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电流及功耗: DC：12 V，0.72 A，最大功耗：8.6 W; PoE：802.3af，36 V~57 V，0.29 A~0.18 A，最大功耗：10.1 W</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存储温湿度: -30 ℃~60 ℃，湿度小于95%(无凝结)</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启动和工作温湿度: -30 ℃~60 ℃，湿度小于95%(无凝结)</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供电方式: DC：12 V ± 20%，支持防反接保护；PoE：802.3af，Type 1，Class 3</w:t>
            </w:r>
            <w:r>
              <w:rPr>
                <w:rFonts w:hint="eastAsia" w:ascii="微软雅黑" w:hAnsi="微软雅黑" w:eastAsia="微软雅黑" w:cs="微软雅黑"/>
                <w:color w:val="auto"/>
                <w:sz w:val="16"/>
                <w:szCs w:val="16"/>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rPr>
              <w:t>电源接口类型: 3芯电源接口</w:t>
            </w:r>
          </w:p>
          <w:p>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rPr>
                <w:rFonts w:hint="eastAsia" w:ascii="微软雅黑" w:hAnsi="微软雅黑" w:eastAsia="微软雅黑" w:cs="微软雅黑"/>
                <w:color w:val="auto"/>
                <w:kern w:val="2"/>
                <w:sz w:val="16"/>
                <w:szCs w:val="16"/>
                <w:lang w:val="en-US" w:eastAsia="zh-CN" w:bidi="ar-SA"/>
              </w:rPr>
            </w:pPr>
            <w:r>
              <w:rPr>
                <w:rFonts w:hint="eastAsia" w:ascii="微软雅黑" w:hAnsi="微软雅黑" w:eastAsia="微软雅黑" w:cs="微软雅黑"/>
                <w:color w:val="auto"/>
                <w:sz w:val="16"/>
                <w:szCs w:val="16"/>
                <w:lang w:eastAsia="zh-CN"/>
              </w:rPr>
              <w:t>防护</w:t>
            </w:r>
            <w:r>
              <w:rPr>
                <w:rFonts w:hint="eastAsia" w:ascii="微软雅黑" w:hAnsi="微软雅黑" w:eastAsia="微软雅黑" w:cs="微软雅黑"/>
                <w:color w:val="auto"/>
                <w:sz w:val="16"/>
                <w:szCs w:val="16"/>
              </w:rPr>
              <w:t>: IP67</w:t>
            </w:r>
            <w:r>
              <w:rPr>
                <w:rFonts w:hint="eastAsia" w:ascii="微软雅黑" w:hAnsi="微软雅黑" w:eastAsia="微软雅黑" w:cs="微软雅黑"/>
                <w:color w:val="auto"/>
                <w:sz w:val="16"/>
                <w:szCs w:val="16"/>
                <w:lang w:eastAsia="zh-CN"/>
              </w:rPr>
              <w:t>。</w:t>
            </w:r>
          </w:p>
        </w:tc>
        <w:tc>
          <w:tcPr>
            <w:tcW w:w="377"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p>
        </w:tc>
        <w:tc>
          <w:tcPr>
            <w:tcW w:w="400"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p>
        </w:tc>
        <w:tc>
          <w:tcPr>
            <w:tcW w:w="823"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2850.00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638"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14</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室外枪型网络摄像机（200万像素）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智能彩色网络枪型摄像机，视频分辨率和帧率不小于1920×1080、25帧/秒，镜头光圈不低于F1.0（即F值≤1.0），宽动态能力综合评价得分≥140，视频压缩标准支持H.265、H.264；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支付POE供电，≥1个内置麦克风、≥1对音频输入/输出接口、≥1对报警输入输出接口，白光补光距离≥30米，防护等级需≥IP66；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支</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1184.00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38"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15</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高空抛物专用网络摄像机（800万像素）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高空抛物自清洁智能800W变焦筒机（专用于高空抛物监控场景，解决因安装方式和场景不同于普通监控而衍生出的场景）；</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支持高空抛物事件智能检测，配置简洁；典型安装场景下可以有效检测出8 × 8像素以上抛落物；可有效过滤飞虫，飞鸟，树叶，晾晒衣物等干扰目标；支持4个算法屏蔽区域设置，减少环境影响；支持抛物轨迹记录，报警图片中叠加和小视频中呈现（小视频需要使用海康播放器播放方可显示轨迹）；</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设备自带雨量感应器，根据雨量情况自动启停雨刷和调整雨刷速率，有效保证摄像机雨天成像清晰；采用包围式遮光罩设计，避免图像产生异常光斑与反光；设备具有自清洁功能，自动集水并定时对镜头喷水洗刷清除脏污；支持镜头视窗玻璃加热，通过智能感知芯片，感应视窗玻璃温度，自动调节加热功率，无惧雨雪、降霜、凝露等；</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专业级蓝玻璃镜头和专用图像算法，有效改善仰视场景下反射光与杂光干扰，解决逆光问题；最高分辨率可达800万像素（默认3840 × 2160），并在此分辨率下可输出30 fps实时图像；</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支持低码率、低延时、ROI感兴趣区域增强编码、SVC自适应编码技术；支持宽动态120 dB；支持背光补偿，透雾，电子防抖，3D降噪；支持开放型网络视频接口，ISAPI，SDK，ISUP（原Ehome），GB28181；支持双码流技术，支持同时20路取流；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供电方式：DC：12 V ± 20%，PoE：802.3at；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防护等级IP67，密封设计支持仰角安装场景下的有效防水；</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传感器类型：1/1.8" Progressive Scan CMOS；</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宽动态：120 dB；最低照度：彩色：0.0005 Lux @（F1.0，AGC ON）；</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焦距&amp;视场角：2.8~12 mm @F1.0：水平视场角：78°~55.5°，垂直视场角：42.5°~30.9°°，对角视场角：92.75°~63.9°；8~32 mm @F1.7：水平视场角：41.8°~14.9°，垂直视场角：22.9°~8.5°，对角视场角：48.7°~17.1°；最大图像尺寸：3840 × 2160；</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视频压缩标准：主码流：H.265/H.264；子码流：H.265/H.264/MJPEG；</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网络存储：支持MicroSD/MicroSDHC/MicroSDXC卡（最大256 GB）断网本地存储及断网续传，NAS（NFS，SMB/CIFS均支持），配合海康黑卡支持SD卡加密及SD卡状态检测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网络：1个RJ45 10 M/100 M自适应以太网口；复位：支持；雨刷：支持；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扩展接口：支持半导体制冷集水和喷水，实现自清洁；</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电流及功耗：DC：12 V，1.5 A，最大功耗：18 W</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PoE：802.3at，42.5 V~57 V，0.52 A~0.39 A，最大功耗：22.5 W；电源接口类型：2芯电源接口；供电方式：DC：12 V ± 20%，支持防反接保护；</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启动及工作温湿度：-30 °C~60 °C，湿度小于95%（无凝结）；存储温湿度：-30 °C~60 °C，湿度小于95%（无凝结）；</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防护：IP67</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包含安装支架辅材等。</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3720.00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bottom"/>
              <w:rPr>
                <w:rFonts w:hint="eastAsia" w:ascii="微软雅黑" w:hAnsi="微软雅黑" w:eastAsia="微软雅黑" w:cs="微软雅黑"/>
                <w:color w:val="auto"/>
                <w:kern w:val="2"/>
                <w:sz w:val="16"/>
                <w:szCs w:val="16"/>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bottom"/>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bottom"/>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bottom"/>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248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16</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室外枪型网络摄像机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智能彩色网络枪型摄像机，视频分辨率和帧率不小于2560×1440、25帧/秒，镜头光圈不低于F1.0（即F值≤1.0），宽动态能力综合评价得分≥140，视频压缩标准支持H.265、H.264；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支持POE供电，≥1个内置麦克风、≥1对音频输入/输出接口、≥1对报警输入输出接口，白光补光距离≥30米，防护等级需≥IP67；</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1384.00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17</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室内半球型网络摄像机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（200万像素）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海螺型高清半球摄像机，视频分辨率和帧率不小于1920×1080、25帧/秒，镜头光圈不低于F1.0（即F值≤1.0），宽动态能力综合评价得分≥140，视频压缩标准支持H.265、H.264；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支持POE供电，≥1个内置麦克风、≥1对音频输入/输出接口、≥1对报警输入输出接口，白光补光距离≥30米，防护等级需≥IP66；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947.00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18</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室内半球型网络摄像机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海螺型高清半球摄像机，视频分辨率和帧率不小于2560×1440、25帧/秒，镜头光圈不低于F1.0（即F值≤1.0），宽动态能力综合评价得分≥140，视频压缩标准支持H.265、H.264；</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最低照度需满足彩色≤0.0005 lx、黑白≤0.0001 lx；在彩色模式下，当照度降低至一定值时，摄像机可自动开启白光灯补光，在白天、夜晚均可输出彩色视频图像；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支持网络优化功能，根据网络情况自动进行码流平滑、带宽自适应、TCP智能加速、流量整形、超强纠错功能优化；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快捷配置功能，可在预览画面开启/关闭快捷配置页面，支持配置常用图像参数、OSD配置、视音频参数等，并支持恢复默认操作；支持像素数显示功能，可实时显示监控画面上选定区域的水平像素和垂直像素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支持POE供电，≥1个内置麦克风、≥1对音频输入/输出接口、≥1对报警输入输出接口，白光补光距离≥30米，防护等级需≥IP67；</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 包含安装支架。</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1089.00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19</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超广角（180°）摄像机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（800万像素）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摄像机靶面尺寸≥1/2.8英寸，不少于2个F1.0（即F值≤1.0）光圈镜头，内置麦克风、扬声器；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视频分辨率与帧率不低于3840×1080、25帧/秒，最低照度彩色≤0.0005 lx (AGC ON、RJ45 输出、应能分辨反射式视频矩阵测试卡中彩色色块)；</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水平视场角不小于180°，垂直视场角不小于45°；</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支持POE供电，具有≥1个存储卡接口，白光补光距离≥30米，防护等级≥IP66；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包含安装支架。</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1860.00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20</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防爆枪型网络摄像机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1．防爆筒型网络摄像机；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2．最小照度:彩色:0.01 Lux @ (F1.2, AGC ON)，0.02 Lux @ (F1.6, AGC ON);黑白:0.003 Lux @ (F1.2, AGC ON), 0.005Lux @ (F1.6, AGC ON)，0 Lux with IR</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3．镜头:2.8-12mm @ F1.6 水平视场角：80.3°~25°；</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4．支持电动镜头、宽动态范围:120dB、视频压缩标准:H.265 / H.264 / MJPEG、最大图像尺寸:1920 x 1080、存储功能:支持Micro SD(即TF卡)/SDHC /SDXC卡(256G)断网本地存储,NAS(NFS,SMB/CIFS均支持)；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5．通讯接口:1个RJ45 10M/100M自适应以太网口、音频接口:1对音频输入(Line in)/输出外部接口、报警输入:1路、报警输出:1路(报警输出最大支持DC12V 30mA)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6．工作温度和湿度:-30℃~60℃,湿度小于95%(无凝结)；</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7．电源供应:AC宽压100V-240V,支持PoE(802.3af)、功耗:AC:100-240V、电源接口类型:三芯接口；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8．防护等级:IP68、防暴等级:IK08；</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9．红外距离:最远可达30米；</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10.包含防爆支架及防爆挠管。</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3591.00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21</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color w:val="auto"/>
                <w:sz w:val="16"/>
                <w:szCs w:val="16"/>
                <w:lang w:val="en-US" w:eastAsia="zh-CN"/>
              </w:rPr>
            </w:pPr>
            <w:r>
              <w:rPr>
                <w:rFonts w:hint="eastAsia"/>
                <w:color w:val="auto"/>
                <w:sz w:val="16"/>
                <w:szCs w:val="16"/>
                <w:lang w:val="en-US" w:eastAsia="zh-CN"/>
              </w:rPr>
              <w:t>智能球型摄像机</w:t>
            </w:r>
          </w:p>
          <w:p>
            <w:pPr>
              <w:pStyle w:val="2"/>
              <w:keepNext w:val="0"/>
              <w:keepLines w:val="0"/>
              <w:pageBreakBefore w:val="0"/>
              <w:widowControl/>
              <w:kinsoku/>
              <w:wordWrap/>
              <w:overflowPunct/>
              <w:topLinePunct w:val="0"/>
              <w:autoSpaceDE/>
              <w:autoSpaceDN/>
              <w:bidi w:val="0"/>
              <w:adjustRightInd/>
              <w:snapToGrid/>
              <w:spacing w:line="220" w:lineRule="exact"/>
              <w:ind w:left="0" w:leftChars="0" w:firstLine="0" w:firstLineChars="0"/>
              <w:rPr>
                <w:rFonts w:hint="default"/>
                <w:color w:val="auto"/>
                <w:sz w:val="16"/>
                <w:szCs w:val="16"/>
                <w:lang w:val="en-US"/>
              </w:rPr>
            </w:pPr>
            <w:r>
              <w:rPr>
                <w:rFonts w:hint="eastAsia" w:ascii="微软雅黑" w:hAnsi="微软雅黑" w:eastAsia="微软雅黑" w:cs="微软雅黑"/>
                <w:i w:val="0"/>
                <w:color w:val="auto"/>
                <w:kern w:val="0"/>
                <w:sz w:val="16"/>
                <w:szCs w:val="16"/>
                <w:u w:val="none"/>
                <w:lang w:val="en-US" w:eastAsia="zh-CN" w:bidi="ar"/>
              </w:rPr>
              <w:t>（400万像素）</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全景联动摄像机，内置2个镜头，可以输出两路视频图像，1路全景视频图像、1路细节视频图像；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全景镜头靶面尺寸≥1/2.9＂ CMOS传感器 ；细节镜头靶面尺寸≥1/2.9＂CMOS传感器；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支持最低照度可达彩色0.0002Lux，黑白0.0001Lux；在彩色模式下，当环境照度降低至一定值，可自动开启白光补光灯，在白天、夜晚均可输出彩色视频图像；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全景焦距≤4 mm；细节最大焦距≤110 mm，支持不小于23倍光学变倍，16倍数字变倍；视场角全景水平视场角：83.6°，垂直视场角：44.6°；细节水平视场角：57.6°~2.7°；</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白光照射距离≥30 m；红外照射距离≥100 m；水平范围: 360°，垂直范围: -15°~90°（自动翻转）；支持水平手控速度不小于550°/S，垂直速度不小于120°/S，云台定位精度为±0.1°；</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内置2颗GPU芯片，全景通道和细节通道均支持区域入侵、越界侦测、进入区域、离开区域等智能功能；具备智能分析抗干扰功能；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 视频压缩标准支持H.265，H.264，MJPEG；1路报警输入，1路报警输出； 1路音频输入，1路音频输出；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8. 支持DC12V±30%，PoE供电； 最大功耗≤24 W；工作温湿度: -30℃~65℃；湿度小于90%；支持加热玻璃除雾；支持IP67防尘防水等级，支持IK10防暴等级；</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 包含安装支架等配件。</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支</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7008.00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22</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室内高清拾音器</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全向数字降噪拾音器；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拾音范围70平方米、音频传输距离3000米、灵敏度-38dB、信噪比 75dB、MINI DSP处理器；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吸顶安装（自带底座转接盘）；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 连接方式 3芯导线（红-电源 黑-公共地 黄-音频）、电源DC12V（9V-15V）。</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488.00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164" w:hRule="atLeast"/>
          <w:jc w:val="center"/>
        </w:trPr>
        <w:tc>
          <w:tcPr>
            <w:tcW w:w="4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23</w:t>
            </w:r>
          </w:p>
        </w:tc>
        <w:tc>
          <w:tcPr>
            <w:tcW w:w="67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室外高清拾音器</w:t>
            </w:r>
          </w:p>
        </w:tc>
        <w:tc>
          <w:tcPr>
            <w:tcW w:w="52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全向数字降噪拾音器；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拾音范围5-100平方米、音频传输距离3000米、灵敏度-42dB、信噪比 ＞50dB（户外）＞60dB（室内）；</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高灵敏度电容咪头，咪头数量，双咪头，信号处理电路 ClearSpeech数字降噪；</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 连接方式 3芯导线（红-电源 黑-公共地 黄-音频）、电源DC12V（9V-16V）。</w:t>
            </w:r>
          </w:p>
        </w:tc>
        <w:tc>
          <w:tcPr>
            <w:tcW w:w="37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1011.00 </w:t>
            </w:r>
          </w:p>
        </w:tc>
        <w:tc>
          <w:tcPr>
            <w:tcW w:w="70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261" w:hRule="atLeast"/>
          <w:jc w:val="center"/>
        </w:trPr>
        <w:tc>
          <w:tcPr>
            <w:tcW w:w="455"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24</w:t>
            </w:r>
          </w:p>
        </w:tc>
        <w:tc>
          <w:tcPr>
            <w:tcW w:w="67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全万兆核心交换机</w:t>
            </w:r>
          </w:p>
        </w:tc>
        <w:tc>
          <w:tcPr>
            <w:tcW w:w="522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1、≥48个1G/10G SFP+光接口，≥2个40G QSFP+光接口，支持2个扩展槽位；支持独立的console管理串口，≥1个带外管理口；交换容量≥2.56Tbps，转发性能≥1080Mpps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2、设备内存容量≥2048M，端口平均转发时延≤3us；支持模块化电源数量≥2，模块化风扇数量≥2；</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3、支持USB拷贝文件、MicroUSB登陆设备功能；支持IPv4 ACL表入方向≥2K条+出方向≥512条；MAC地址表≥128K，ARP表≥64K，端口MAC地址缓存能力≥2048个；IPv4路由表≥64K，IPv6路由表≥32K</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p>
        </w:tc>
        <w:tc>
          <w:tcPr>
            <w:tcW w:w="377"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38600.00 </w:t>
            </w:r>
          </w:p>
        </w:tc>
        <w:tc>
          <w:tcPr>
            <w:tcW w:w="706"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1800.00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25</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b w:val="0"/>
                <w:bCs w:val="0"/>
                <w:i w:val="0"/>
                <w:color w:val="auto"/>
                <w:kern w:val="0"/>
                <w:sz w:val="16"/>
                <w:szCs w:val="16"/>
                <w:u w:val="none"/>
                <w:lang w:val="en-US" w:eastAsia="zh-CN" w:bidi="ar"/>
              </w:rPr>
              <w:t>千兆汇聚交换机</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管理型交换机，可用千兆光接口数量≥24，复用的千兆电口数量≥8，非复用万兆光接口数量≥4；交换容量≥256Gbps，转发性能≥96Mpps；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支持独立的console管理串口；支持802.3ad规定的链路聚合功能；支持MAC地址绑定功能；支持按端口划分VLAN，支持VLAN TRUNK；</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 IPv4/IPv6 静态路由，支持 ND、Pingv6、Telnetv6、FTPv6、TFTPv6、ICMPv6；</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支持广播风暴抑制；支持IGMP Snooping；支持基于源MAC地址、目的MAC地址的ACL；支持端口镜像；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可以为远程连接用户提供访问控制，拒绝未通过验证的连接。</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8036.00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26</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千兆接入24口POE交换机</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网管型交换机，≥24个千兆POE电口，≥2个千兆光口；支持802.3af/at PoE标准，支持整机POE最大输出功率≥370W；支持存储转发，交换容量≥52Gbps，包转发率≥36Mpps；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支持通过管理平台和手机APP对交换机进行远程控制、状态查看、系统拓扑展示、管理、远程升级、远程重启；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支持通过管理平台对交换机间不同的连接方式进行系统拓扑识别，至少包括网线连接、光纤连接、无线连接；支持通过管理平台展示交换机间链路详情，包括传输速率、链路两端设备信息和链路带宽告警展示；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通过管理平台和手机APP在网络拓扑中展示交换机详情，至少包括基本信息、交换机性能使用信息、交换机面板状态、端口信息；支持通过管理平台和手机APP在系统异常时实时推送交换机告警信息并展示告警内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支持通过管理平台对交换机进行端口远距离传输配置，最远传输距离≥240米；支持对交换机进行高优先级端口配置，处于高优先级短裤的数据会被优先转发。</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4141.00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27</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千兆接入16口POE交换机</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网管型交换机，≥16个千兆POE电口，≥2个千兆光口；支持802.3af/at PoE标准，支持整机POE最大输出功率≥320W；支持存储转发，交换容量≥48Gbps，包转发率≥36Mpps；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支持通过管理平台和手机APP对交换机进行远程控制、状态查看、系统拓扑展示、管理、远程升级、远程重启；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支持通过管理平台对交换机间不同的连接方式进行系统拓扑识别，至少包括网线连接、光纤连接、无线连接；支持通过管理平台展示交换机间链路详情，包括传输速率、链路两端设备信息和链路带宽告警展示；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通过管理平台和手机APP在网络拓扑中展示交换机详情，至少包括基本信息、交换机性能使用信息、交换机面板状态、端口信息；支持通过管理平台和手机APP在系统异常时实时推送交换机告警信息并展示告警内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支持通过管理平台对交换机进行端口远距离传输配置，最远传输距离≥240米；支持对交换机进行高优先级端口配置，处于高优先级短裤的数据会被优先转发。</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3735.00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28</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千兆接入8口POE交换机</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网管型交换机，提供8个千兆PoE电口，1个千兆电口，1个千兆光口；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支持IEEE 802.3at/af；</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支持IEEE 802.3、IEEE 802.3u、IEEE 802.3x、IEEE 802.3ab、IEEE 802.3z；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支持6 KV防浪涌（PoE口）；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支持PoE输出功率管理；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线速转发、无阻塞设计；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7.  存储转发交换方式。</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1957.00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29</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千兆接入5口POE交换机</w:t>
            </w:r>
          </w:p>
        </w:tc>
        <w:tc>
          <w:tcPr>
            <w:tcW w:w="522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提供4个千兆PoE电口，1个千兆电口；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支持IEEE 802.3at/af；</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支持IEEE 802.3、IEEE 802.3u、IEEE 802.3x、IEEE 802.3ab、IEEE 802.3z；</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支持6 KV防浪涌（PoE口）；</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5. 支持PoE输出功率管理；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 线速转发、无阻塞设计；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7. 存储转发交换方式。</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546.00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室内外无线网桥</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5.8G无线网桥；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802.11a/n制式；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3. 物理带宽最大300Mbps，实际带宽40Mbps；</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4. 定向天线，距离3公里</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 包含安装配件。</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903.00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250.00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31</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六类网络线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国产国标CAT-6</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5.90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32</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超五类类网线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国产国标CAT-5</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5.50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33</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六类水晶头</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国标六类RJ45连接头</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7.70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34</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五类水晶头</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国标超五类RJ45连接头</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4.80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2.00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35</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六类跳线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3米六类</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25.20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36</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六类跳线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5米六类</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29.40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37</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四芯光纤</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国产国标GYXTW-4</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6.50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38</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八芯光纤</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国产国标GYXTW-8</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39</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光纤跳线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3米单模单芯</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40</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光纤跳线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3米单模双芯</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42.00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41</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四口光纤终端盒</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规格：4口SC；</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材质：冷轧钢板（0.8mm厚）；</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配线方式：尾纤+耦合器+终端盒。</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120.00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42</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八口光纤终端盒</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规格：8口SC；</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材质：冷轧钢板（0.8mm厚）；</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  配线方式：尾纤+耦合器+终端盒。</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136.00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60.00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43</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熔纤</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熔纤设备人工费</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58.00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44</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万兆光模块</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速率：10GE；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中心波长：1310；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标准：10GBASE-LR。</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693.00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45</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千兆光模块</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标准：1000BASE-LX10/LH。</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493.00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46</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万兆光纤收发器</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速率：10GE；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中心波长：1310；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  标准：10GBASE-LR。</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630.00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47</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千兆光纤收发器</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速率：GE；</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波长：1310；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3. 标准：1000BASE-LX10/LH。</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420.00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48</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千兆电口模块</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 传输速率：1000M；</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2. 传输距离：100米；</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3. 接口类型：RJ45。</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val="0"/>
                <w:color w:val="auto"/>
                <w:sz w:val="16"/>
                <w:szCs w:val="16"/>
                <w:u w:val="none"/>
                <w:lang w:val="en-US" w:eastAsia="zh-CN"/>
              </w:rPr>
            </w:pPr>
            <w:r>
              <w:rPr>
                <w:rFonts w:hint="eastAsia" w:ascii="微软雅黑" w:hAnsi="微软雅黑" w:eastAsia="微软雅黑" w:cs="微软雅黑"/>
                <w:i w:val="0"/>
                <w:color w:val="auto"/>
                <w:sz w:val="16"/>
                <w:szCs w:val="16"/>
                <w:u w:val="none"/>
                <w:lang w:val="en-US" w:eastAsia="zh-CN"/>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微软雅黑" w:hAnsi="微软雅黑" w:eastAsia="微软雅黑" w:cs="微软雅黑"/>
                <w:i w:val="0"/>
                <w:color w:val="auto"/>
                <w:sz w:val="16"/>
                <w:szCs w:val="16"/>
                <w:u w:val="none"/>
                <w:lang w:eastAsia="zh-CN"/>
              </w:rPr>
            </w:pPr>
            <w:r>
              <w:rPr>
                <w:rFonts w:hint="eastAsia" w:ascii="微软雅黑" w:hAnsi="微软雅黑" w:eastAsia="微软雅黑" w:cs="微软雅黑"/>
                <w:i w:val="0"/>
                <w:color w:val="auto"/>
                <w:sz w:val="16"/>
                <w:szCs w:val="16"/>
                <w:u w:val="none"/>
                <w:lang w:eastAsia="zh-CN"/>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493.00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49</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国产国标（RVV2*0.5）</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50</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国产国标（RVV2*1.0）</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7.60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51</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国产国标（RVV2*2.5）</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9.70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52</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12V2A电源</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12V2A</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53</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12V5A电源</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12V5A</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58.00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54</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12V10A电源</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12V10A</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94.00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55</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开关电源</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12V10A/24V5A</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299.00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56</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POE转换分离器</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48V转12V供电</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61.00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533"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57</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空气开关</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2P/10A</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sz w:val="16"/>
                <w:szCs w:val="16"/>
                <w:u w:val="none"/>
                <w:lang w:val="en-US" w:eastAsia="zh-CN"/>
              </w:rPr>
              <w:t>58</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PDU电源模块</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7个10A组合孔+1个16A三孔</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367.00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sz w:val="16"/>
                <w:szCs w:val="16"/>
                <w:u w:val="none"/>
                <w:lang w:val="en-US" w:eastAsia="zh-CN"/>
              </w:rPr>
              <w:t>59</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电源接线板</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4孔组合插座</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47.00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60</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42U服务器机柜</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42U(600*1000*2055mm)</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5040.00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500.00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61</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9U室内壁挂机柜</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9U(600*450*500mm)</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892.00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180.00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sz w:val="16"/>
                <w:szCs w:val="16"/>
                <w:u w:val="none"/>
                <w:lang w:val="en-US" w:eastAsia="zh-CN"/>
              </w:rPr>
              <w:t>62</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室外设备柜</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500*400*200mm</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682.00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150.00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sz w:val="16"/>
                <w:szCs w:val="16"/>
                <w:u w:val="none"/>
                <w:lang w:val="en-US" w:eastAsia="zh-CN"/>
              </w:rPr>
              <w:t>63</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PVC线管</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外径1.6cm（含卡子/接头/扎带等配套五金）</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2"/>
                <w:sz w:val="16"/>
                <w:szCs w:val="16"/>
                <w:u w:val="none"/>
                <w:lang w:val="en-US" w:eastAsia="zh-CN" w:bidi="ar-SA"/>
              </w:rPr>
            </w:pPr>
            <w:r>
              <w:rPr>
                <w:rFonts w:hint="eastAsia" w:ascii="微软雅黑" w:hAnsi="微软雅黑" w:eastAsia="微软雅黑" w:cs="微软雅黑"/>
                <w:i w:val="0"/>
                <w:color w:val="auto"/>
                <w:kern w:val="0"/>
                <w:sz w:val="16"/>
                <w:szCs w:val="16"/>
                <w:u w:val="none"/>
                <w:lang w:val="en-US" w:eastAsia="zh-CN" w:bidi="ar"/>
              </w:rPr>
              <w:t>64</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PVC线管</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外径2.0cm（含卡子/接头/扎带等配套五金）</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4.50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65</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PVC线管</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外径2.5cm（含卡子/接头/扎带等配套五金）</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5.00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66</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PVC线槽</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20*10mm（含卡子/接头/扎带等配套五金）</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2.50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400"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67</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PVC线槽</w:t>
            </w:r>
          </w:p>
        </w:tc>
        <w:tc>
          <w:tcPr>
            <w:tcW w:w="5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40*20mm（含卡子/接头/扎带等配套五金）</w:t>
            </w:r>
          </w:p>
        </w:tc>
        <w:tc>
          <w:tcPr>
            <w:tcW w:w="37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3.80 </w:t>
            </w: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317" w:hRule="atLeast"/>
          <w:jc w:val="center"/>
        </w:trPr>
        <w:tc>
          <w:tcPr>
            <w:tcW w:w="4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68</w:t>
            </w:r>
          </w:p>
        </w:tc>
        <w:tc>
          <w:tcPr>
            <w:tcW w:w="671"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PVC线槽</w:t>
            </w:r>
          </w:p>
        </w:tc>
        <w:tc>
          <w:tcPr>
            <w:tcW w:w="52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60*40mm（含卡子/接头/扎带等配套五金）</w:t>
            </w:r>
          </w:p>
        </w:tc>
        <w:tc>
          <w:tcPr>
            <w:tcW w:w="37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color w:val="auto"/>
                <w:kern w:val="0"/>
                <w:sz w:val="16"/>
                <w:szCs w:val="16"/>
                <w:u w:val="none"/>
                <w:lang w:val="en-US" w:eastAsia="zh-CN" w:bidi="ar"/>
              </w:rPr>
              <w:t>米</w:t>
            </w:r>
          </w:p>
        </w:tc>
        <w:tc>
          <w:tcPr>
            <w:tcW w:w="823"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 xml:space="preserve">4.90 </w:t>
            </w:r>
          </w:p>
        </w:tc>
        <w:tc>
          <w:tcPr>
            <w:tcW w:w="706"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3.00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317" w:hRule="atLeast"/>
          <w:jc w:val="center"/>
        </w:trPr>
        <w:tc>
          <w:tcPr>
            <w:tcW w:w="45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69</w:t>
            </w:r>
          </w:p>
        </w:tc>
        <w:tc>
          <w:tcPr>
            <w:tcW w:w="671"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镀锌钢管</w:t>
            </w:r>
          </w:p>
        </w:tc>
        <w:tc>
          <w:tcPr>
            <w:tcW w:w="522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防爆穿线钢管，内行250mm，壁厚2.5mm，包含布线中使用的固定卡子、直接、弯头、三通等辅料。</w:t>
            </w:r>
          </w:p>
        </w:tc>
        <w:tc>
          <w:tcPr>
            <w:tcW w:w="37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米</w:t>
            </w:r>
          </w:p>
        </w:tc>
        <w:tc>
          <w:tcPr>
            <w:tcW w:w="823"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eastAsia="宋体"/>
                <w:color w:val="auto"/>
                <w:kern w:val="2"/>
                <w:sz w:val="16"/>
                <w:szCs w:val="16"/>
                <w:lang w:val="en-US" w:eastAsia="zh-CN" w:bidi="ar-SA"/>
              </w:rPr>
            </w:pPr>
            <w:r>
              <w:rPr>
                <w:rFonts w:hint="eastAsia" w:ascii="微软雅黑" w:hAnsi="微软雅黑" w:eastAsia="微软雅黑" w:cs="微软雅黑"/>
                <w:i w:val="0"/>
                <w:iCs w:val="0"/>
                <w:color w:val="auto"/>
                <w:kern w:val="0"/>
                <w:sz w:val="16"/>
                <w:szCs w:val="16"/>
                <w:u w:val="none"/>
                <w:lang w:val="en-US" w:eastAsia="zh-CN" w:bidi="ar"/>
              </w:rPr>
              <w:t xml:space="preserve">21.00 </w:t>
            </w:r>
          </w:p>
        </w:tc>
        <w:tc>
          <w:tcPr>
            <w:tcW w:w="706"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8.00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445" w:hRule="atLeast"/>
          <w:jc w:val="center"/>
        </w:trPr>
        <w:tc>
          <w:tcPr>
            <w:tcW w:w="4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70</w:t>
            </w:r>
          </w:p>
        </w:tc>
        <w:tc>
          <w:tcPr>
            <w:tcW w:w="67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室外立杆（6米）</w:t>
            </w:r>
          </w:p>
        </w:tc>
        <w:tc>
          <w:tcPr>
            <w:tcW w:w="52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1. </w:t>
            </w:r>
            <w:r>
              <w:rPr>
                <w:rFonts w:hint="eastAsia" w:ascii="微软雅黑" w:hAnsi="微软雅黑" w:eastAsia="微软雅黑" w:cs="微软雅黑"/>
                <w:color w:val="auto"/>
                <w:sz w:val="16"/>
                <w:szCs w:val="16"/>
              </w:rPr>
              <w:t>镀锌喷塑防腐处理，立杆高6</w:t>
            </w:r>
            <w:r>
              <w:rPr>
                <w:rFonts w:hint="eastAsia" w:ascii="微软雅黑" w:hAnsi="微软雅黑" w:eastAsia="微软雅黑" w:cs="微软雅黑"/>
                <w:color w:val="auto"/>
                <w:sz w:val="16"/>
                <w:szCs w:val="16"/>
                <w:lang w:val="en-US" w:eastAsia="zh-CN"/>
              </w:rPr>
              <w:t>m</w:t>
            </w:r>
            <w:r>
              <w:rPr>
                <w:rFonts w:hint="eastAsia" w:ascii="微软雅黑" w:hAnsi="微软雅黑" w:eastAsia="微软雅黑" w:cs="微软雅黑"/>
                <w:color w:val="auto"/>
                <w:sz w:val="16"/>
                <w:szCs w:val="16"/>
              </w:rPr>
              <w:t>、直径160</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、底座板厚不低于12</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，挑臂长5</w:t>
            </w:r>
            <w:r>
              <w:rPr>
                <w:rFonts w:hint="eastAsia" w:ascii="微软雅黑" w:hAnsi="微软雅黑" w:eastAsia="微软雅黑" w:cs="微软雅黑"/>
                <w:color w:val="auto"/>
                <w:sz w:val="16"/>
                <w:szCs w:val="16"/>
                <w:lang w:val="en-US" w:eastAsia="zh-CN"/>
              </w:rPr>
              <w:t>m</w:t>
            </w:r>
            <w:r>
              <w:rPr>
                <w:rFonts w:hint="eastAsia" w:ascii="微软雅黑" w:hAnsi="微软雅黑" w:eastAsia="微软雅黑" w:cs="微软雅黑"/>
                <w:color w:val="auto"/>
                <w:sz w:val="16"/>
                <w:szCs w:val="16"/>
              </w:rPr>
              <w:t>；</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2. </w:t>
            </w:r>
            <w:r>
              <w:rPr>
                <w:rFonts w:hint="eastAsia" w:ascii="微软雅黑" w:hAnsi="微软雅黑" w:eastAsia="微软雅黑" w:cs="微软雅黑"/>
                <w:color w:val="auto"/>
                <w:sz w:val="16"/>
                <w:szCs w:val="16"/>
              </w:rPr>
              <w:t>立杆顶部预留三个方向挑臂接口，每根挑臂至少设置四个摄像机安装接口，采取可靠的加固、支撑措施确，确保挑臂、摄像机、线路安装牢固并减少摆动、震动现象；</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color w:val="auto"/>
                <w:sz w:val="16"/>
                <w:szCs w:val="16"/>
                <w:lang w:val="en-US" w:eastAsia="zh-CN"/>
              </w:rPr>
              <w:t xml:space="preserve">3. </w:t>
            </w:r>
            <w:r>
              <w:rPr>
                <w:rFonts w:hint="eastAsia" w:ascii="微软雅黑" w:hAnsi="微软雅黑" w:eastAsia="微软雅黑" w:cs="微软雅黑"/>
                <w:color w:val="auto"/>
                <w:sz w:val="16"/>
                <w:szCs w:val="16"/>
              </w:rPr>
              <w:t>立杆</w:t>
            </w:r>
            <w:r>
              <w:rPr>
                <w:rFonts w:hint="eastAsia" w:ascii="微软雅黑" w:hAnsi="微软雅黑" w:eastAsia="微软雅黑" w:cs="微软雅黑"/>
                <w:color w:val="auto"/>
                <w:sz w:val="16"/>
                <w:szCs w:val="16"/>
                <w:lang w:eastAsia="zh-CN"/>
              </w:rPr>
              <w:t>地笼</w:t>
            </w:r>
            <w:r>
              <w:rPr>
                <w:rFonts w:hint="eastAsia" w:ascii="微软雅黑" w:hAnsi="微软雅黑" w:eastAsia="微软雅黑" w:cs="微软雅黑"/>
                <w:color w:val="auto"/>
                <w:sz w:val="16"/>
                <w:szCs w:val="16"/>
              </w:rPr>
              <w:t>埋深不低于</w:t>
            </w:r>
            <w:r>
              <w:rPr>
                <w:rFonts w:hint="eastAsia" w:ascii="微软雅黑" w:hAnsi="微软雅黑" w:eastAsia="微软雅黑" w:cs="微软雅黑"/>
                <w:color w:val="auto"/>
                <w:sz w:val="16"/>
                <w:szCs w:val="16"/>
                <w:lang w:eastAsia="zh-CN"/>
              </w:rPr>
              <w:t>长（</w:t>
            </w:r>
            <w:r>
              <w:rPr>
                <w:rFonts w:hint="eastAsia" w:ascii="微软雅黑" w:hAnsi="微软雅黑" w:eastAsia="微软雅黑" w:cs="微软雅黑"/>
                <w:color w:val="auto"/>
                <w:sz w:val="16"/>
                <w:szCs w:val="16"/>
                <w:lang w:val="en-US" w:eastAsia="zh-CN"/>
              </w:rPr>
              <w:t>600mm）*宽（600mm）深（1200mm）</w:t>
            </w:r>
            <w:r>
              <w:rPr>
                <w:rFonts w:hint="eastAsia" w:ascii="微软雅黑" w:hAnsi="微软雅黑" w:eastAsia="微软雅黑" w:cs="微软雅黑"/>
                <w:color w:val="auto"/>
                <w:sz w:val="16"/>
                <w:szCs w:val="16"/>
              </w:rPr>
              <w:t>，采用混凝土浇筑，确保安装牢固，采取可靠的抗风、接地、避雷措施。</w:t>
            </w:r>
          </w:p>
        </w:tc>
        <w:tc>
          <w:tcPr>
            <w:tcW w:w="377"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23"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4300.00 </w:t>
            </w:r>
          </w:p>
        </w:tc>
        <w:tc>
          <w:tcPr>
            <w:tcW w:w="706"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1200.00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018" w:hRule="atLeast"/>
          <w:jc w:val="center"/>
        </w:trPr>
        <w:tc>
          <w:tcPr>
            <w:tcW w:w="4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71</w:t>
            </w:r>
          </w:p>
        </w:tc>
        <w:tc>
          <w:tcPr>
            <w:tcW w:w="67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室外立杆（5米）</w:t>
            </w:r>
          </w:p>
        </w:tc>
        <w:tc>
          <w:tcPr>
            <w:tcW w:w="52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1. </w:t>
            </w:r>
            <w:r>
              <w:rPr>
                <w:rFonts w:hint="eastAsia" w:ascii="微软雅黑" w:hAnsi="微软雅黑" w:eastAsia="微软雅黑" w:cs="微软雅黑"/>
                <w:color w:val="auto"/>
                <w:sz w:val="16"/>
                <w:szCs w:val="16"/>
              </w:rPr>
              <w:t>镀锌喷塑防腐处理，立杆高</w:t>
            </w:r>
            <w:r>
              <w:rPr>
                <w:rFonts w:hint="eastAsia" w:ascii="微软雅黑" w:hAnsi="微软雅黑" w:eastAsia="微软雅黑" w:cs="微软雅黑"/>
                <w:color w:val="auto"/>
                <w:sz w:val="16"/>
                <w:szCs w:val="16"/>
                <w:lang w:val="en-US" w:eastAsia="zh-CN"/>
              </w:rPr>
              <w:t>5m</w:t>
            </w:r>
            <w:r>
              <w:rPr>
                <w:rFonts w:hint="eastAsia" w:ascii="微软雅黑" w:hAnsi="微软雅黑" w:eastAsia="微软雅黑" w:cs="微软雅黑"/>
                <w:color w:val="auto"/>
                <w:sz w:val="16"/>
                <w:szCs w:val="16"/>
              </w:rPr>
              <w:t>、直径160</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、底座板厚不低于12</w:t>
            </w:r>
            <w:r>
              <w:rPr>
                <w:rFonts w:hint="eastAsia" w:ascii="微软雅黑" w:hAnsi="微软雅黑" w:eastAsia="微软雅黑" w:cs="微软雅黑"/>
                <w:color w:val="auto"/>
                <w:sz w:val="16"/>
                <w:szCs w:val="16"/>
                <w:lang w:val="en-US" w:eastAsia="zh-CN"/>
              </w:rPr>
              <w:t>mm</w:t>
            </w:r>
            <w:r>
              <w:rPr>
                <w:rFonts w:hint="eastAsia" w:ascii="微软雅黑" w:hAnsi="微软雅黑" w:eastAsia="微软雅黑" w:cs="微软雅黑"/>
                <w:color w:val="auto"/>
                <w:sz w:val="16"/>
                <w:szCs w:val="16"/>
              </w:rPr>
              <w:t>，挑臂长</w:t>
            </w:r>
            <w:r>
              <w:rPr>
                <w:rFonts w:hint="eastAsia" w:ascii="微软雅黑" w:hAnsi="微软雅黑" w:eastAsia="微软雅黑" w:cs="微软雅黑"/>
                <w:color w:val="auto"/>
                <w:sz w:val="16"/>
                <w:szCs w:val="16"/>
                <w:lang w:val="en-US" w:eastAsia="zh-CN"/>
              </w:rPr>
              <w:t>4m</w:t>
            </w:r>
            <w:r>
              <w:rPr>
                <w:rFonts w:hint="eastAsia" w:ascii="微软雅黑" w:hAnsi="微软雅黑" w:eastAsia="微软雅黑" w:cs="微软雅黑"/>
                <w:color w:val="auto"/>
                <w:sz w:val="16"/>
                <w:szCs w:val="16"/>
              </w:rPr>
              <w:t>；</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val="en-US" w:eastAsia="zh-CN"/>
              </w:rPr>
              <w:t xml:space="preserve">2. </w:t>
            </w:r>
            <w:r>
              <w:rPr>
                <w:rFonts w:hint="eastAsia" w:ascii="微软雅黑" w:hAnsi="微软雅黑" w:eastAsia="微软雅黑" w:cs="微软雅黑"/>
                <w:color w:val="auto"/>
                <w:sz w:val="16"/>
                <w:szCs w:val="16"/>
              </w:rPr>
              <w:t>立杆顶部预留三个方向挑臂接口，每根挑臂至少设置四个摄像机安装接口，采取可靠的加固、支撑措施确，确保挑臂、摄像机、线路安装牢固并减少摆动、震动现象；</w:t>
            </w:r>
          </w:p>
          <w:p>
            <w:pPr>
              <w:pStyle w:val="86"/>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color w:val="auto"/>
                <w:kern w:val="2"/>
                <w:sz w:val="16"/>
                <w:szCs w:val="16"/>
                <w:lang w:val="en-US" w:eastAsia="zh-CN" w:bidi="ar-SA"/>
              </w:rPr>
            </w:pPr>
            <w:r>
              <w:rPr>
                <w:rFonts w:hint="eastAsia" w:ascii="微软雅黑" w:hAnsi="微软雅黑" w:eastAsia="微软雅黑" w:cs="微软雅黑"/>
                <w:color w:val="auto"/>
                <w:sz w:val="16"/>
                <w:szCs w:val="16"/>
                <w:lang w:val="en-US" w:eastAsia="zh-CN"/>
              </w:rPr>
              <w:t xml:space="preserve">3. </w:t>
            </w:r>
            <w:r>
              <w:rPr>
                <w:rFonts w:hint="eastAsia" w:ascii="微软雅黑" w:hAnsi="微软雅黑" w:eastAsia="微软雅黑" w:cs="微软雅黑"/>
                <w:color w:val="auto"/>
                <w:sz w:val="16"/>
                <w:szCs w:val="16"/>
              </w:rPr>
              <w:t>立杆</w:t>
            </w:r>
            <w:r>
              <w:rPr>
                <w:rFonts w:hint="eastAsia" w:ascii="微软雅黑" w:hAnsi="微软雅黑" w:eastAsia="微软雅黑" w:cs="微软雅黑"/>
                <w:color w:val="auto"/>
                <w:sz w:val="16"/>
                <w:szCs w:val="16"/>
                <w:lang w:eastAsia="zh-CN"/>
              </w:rPr>
              <w:t>地笼</w:t>
            </w:r>
            <w:r>
              <w:rPr>
                <w:rFonts w:hint="eastAsia" w:ascii="微软雅黑" w:hAnsi="微软雅黑" w:eastAsia="微软雅黑" w:cs="微软雅黑"/>
                <w:color w:val="auto"/>
                <w:sz w:val="16"/>
                <w:szCs w:val="16"/>
              </w:rPr>
              <w:t>埋深不低于</w:t>
            </w:r>
            <w:r>
              <w:rPr>
                <w:rFonts w:hint="eastAsia" w:ascii="微软雅黑" w:hAnsi="微软雅黑" w:eastAsia="微软雅黑" w:cs="微软雅黑"/>
                <w:color w:val="auto"/>
                <w:sz w:val="16"/>
                <w:szCs w:val="16"/>
                <w:lang w:eastAsia="zh-CN"/>
              </w:rPr>
              <w:t>长（</w:t>
            </w:r>
            <w:r>
              <w:rPr>
                <w:rFonts w:hint="eastAsia" w:ascii="微软雅黑" w:hAnsi="微软雅黑" w:eastAsia="微软雅黑" w:cs="微软雅黑"/>
                <w:color w:val="auto"/>
                <w:sz w:val="16"/>
                <w:szCs w:val="16"/>
                <w:lang w:val="en-US" w:eastAsia="zh-CN"/>
              </w:rPr>
              <w:t>600mm）*宽（600mm）深（1200mm）</w:t>
            </w:r>
            <w:r>
              <w:rPr>
                <w:rFonts w:hint="eastAsia" w:ascii="微软雅黑" w:hAnsi="微软雅黑" w:eastAsia="微软雅黑" w:cs="微软雅黑"/>
                <w:color w:val="auto"/>
                <w:sz w:val="16"/>
                <w:szCs w:val="16"/>
              </w:rPr>
              <w:t>，采用混凝土浇筑，确保安装牢固，采取可靠的抗风、接地、避雷措施。</w:t>
            </w:r>
          </w:p>
        </w:tc>
        <w:tc>
          <w:tcPr>
            <w:tcW w:w="377"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23"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4100.00 </w:t>
            </w:r>
          </w:p>
        </w:tc>
        <w:tc>
          <w:tcPr>
            <w:tcW w:w="706"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 xml:space="preserve">1200.00 </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181" w:hRule="atLeast"/>
          <w:jc w:val="center"/>
        </w:trPr>
        <w:tc>
          <w:tcPr>
            <w:tcW w:w="4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72</w:t>
            </w:r>
          </w:p>
        </w:tc>
        <w:tc>
          <w:tcPr>
            <w:tcW w:w="67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color w:val="auto"/>
                <w:sz w:val="16"/>
                <w:szCs w:val="16"/>
                <w:lang w:eastAsia="zh-CN"/>
              </w:rPr>
              <w:t>立杆</w:t>
            </w:r>
            <w:r>
              <w:rPr>
                <w:rFonts w:hint="eastAsia" w:ascii="微软雅黑" w:hAnsi="微软雅黑" w:eastAsia="微软雅黑" w:cs="微软雅黑"/>
                <w:color w:val="auto"/>
                <w:sz w:val="16"/>
                <w:szCs w:val="16"/>
              </w:rPr>
              <w:t>挑臂</w:t>
            </w:r>
          </w:p>
        </w:tc>
        <w:tc>
          <w:tcPr>
            <w:tcW w:w="52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180" w:lineRule="exact"/>
              <w:ind w:left="0" w:leftChars="0" w:firstLine="0" w:firstLineChars="0"/>
              <w:textAlignment w:val="auto"/>
              <w:rPr>
                <w:rFonts w:hint="eastAsia" w:ascii="微软雅黑" w:hAnsi="微软雅黑" w:eastAsia="微软雅黑" w:cs="微软雅黑"/>
                <w:color w:val="auto"/>
                <w:sz w:val="16"/>
                <w:szCs w:val="16"/>
                <w:lang w:val="en-US" w:eastAsia="zh-CN"/>
              </w:rPr>
            </w:pPr>
            <w:r>
              <w:rPr>
                <w:rFonts w:hint="eastAsia" w:ascii="微软雅黑" w:hAnsi="微软雅黑" w:eastAsia="微软雅黑" w:cs="微软雅黑"/>
                <w:color w:val="auto"/>
                <w:sz w:val="16"/>
                <w:szCs w:val="16"/>
              </w:rPr>
              <w:t>镀锌喷塑防腐处理，</w:t>
            </w:r>
            <w:r>
              <w:rPr>
                <w:rFonts w:hint="eastAsia" w:ascii="微软雅黑" w:hAnsi="微软雅黑" w:eastAsia="微软雅黑" w:cs="微软雅黑"/>
                <w:color w:val="auto"/>
                <w:sz w:val="16"/>
                <w:szCs w:val="16"/>
                <w:lang w:eastAsia="zh-CN"/>
              </w:rPr>
              <w:t>四个固定安装位，一个球机吊装位，</w:t>
            </w:r>
            <w:r>
              <w:rPr>
                <w:rFonts w:hint="eastAsia" w:ascii="微软雅黑" w:hAnsi="微软雅黑" w:eastAsia="微软雅黑" w:cs="微软雅黑"/>
                <w:color w:val="auto"/>
                <w:sz w:val="16"/>
                <w:szCs w:val="16"/>
              </w:rPr>
              <w:t>挑臂长</w:t>
            </w:r>
            <w:r>
              <w:rPr>
                <w:rFonts w:hint="eastAsia" w:ascii="微软雅黑" w:hAnsi="微软雅黑" w:eastAsia="微软雅黑" w:cs="微软雅黑"/>
                <w:color w:val="auto"/>
                <w:sz w:val="16"/>
                <w:szCs w:val="16"/>
                <w:lang w:val="en-US" w:eastAsia="zh-CN"/>
              </w:rPr>
              <w:t>5m。</w:t>
            </w:r>
          </w:p>
        </w:tc>
        <w:tc>
          <w:tcPr>
            <w:tcW w:w="377"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根</w:t>
            </w:r>
          </w:p>
        </w:tc>
        <w:tc>
          <w:tcPr>
            <w:tcW w:w="823"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1100.00</w:t>
            </w:r>
          </w:p>
        </w:tc>
        <w:tc>
          <w:tcPr>
            <w:tcW w:w="706"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300.00</w:t>
            </w:r>
          </w:p>
        </w:tc>
        <w:tc>
          <w:tcPr>
            <w:tcW w:w="533" w:type="dxa"/>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249" w:hRule="atLeast"/>
          <w:jc w:val="center"/>
        </w:trPr>
        <w:tc>
          <w:tcPr>
            <w:tcW w:w="455"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73</w:t>
            </w:r>
          </w:p>
        </w:tc>
        <w:tc>
          <w:tcPr>
            <w:tcW w:w="67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color w:val="auto"/>
                <w:sz w:val="16"/>
                <w:szCs w:val="16"/>
                <w:lang w:eastAsia="zh-CN"/>
              </w:rPr>
            </w:pPr>
            <w:r>
              <w:rPr>
                <w:rFonts w:hint="eastAsia" w:ascii="微软雅黑" w:hAnsi="微软雅黑" w:eastAsia="微软雅黑" w:cs="微软雅黑"/>
                <w:color w:val="auto"/>
                <w:sz w:val="16"/>
                <w:szCs w:val="16"/>
                <w:lang w:eastAsia="zh-CN"/>
              </w:rPr>
              <w:t>室外设备箱</w:t>
            </w:r>
          </w:p>
        </w:tc>
        <w:tc>
          <w:tcPr>
            <w:tcW w:w="5223"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pStyle w:val="86"/>
              <w:keepNext w:val="0"/>
              <w:keepLines w:val="0"/>
              <w:pageBreakBefore w:val="0"/>
              <w:widowControl w:val="0"/>
              <w:numPr>
                <w:ilvl w:val="0"/>
                <w:numId w:val="0"/>
              </w:numPr>
              <w:kinsoku/>
              <w:wordWrap/>
              <w:overflowPunct/>
              <w:topLinePunct w:val="0"/>
              <w:autoSpaceDE/>
              <w:autoSpaceDN/>
              <w:bidi w:val="0"/>
              <w:adjustRightInd/>
              <w:snapToGrid/>
              <w:spacing w:line="180" w:lineRule="exact"/>
              <w:ind w:left="0" w:leftChars="0" w:firstLine="0" w:firstLineChars="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color w:val="auto"/>
                <w:sz w:val="16"/>
                <w:szCs w:val="16"/>
                <w:lang w:eastAsia="zh-CN"/>
              </w:rPr>
              <w:t>高：</w:t>
            </w:r>
            <w:r>
              <w:rPr>
                <w:rFonts w:hint="eastAsia" w:ascii="微软雅黑" w:hAnsi="微软雅黑" w:eastAsia="微软雅黑" w:cs="微软雅黑"/>
                <w:color w:val="auto"/>
                <w:sz w:val="16"/>
                <w:szCs w:val="16"/>
                <w:lang w:val="en-US" w:eastAsia="zh-CN"/>
              </w:rPr>
              <w:t>600mm/宽：500mm/深300mm，内置2个固定托盘、1个漏电保护器，安装辅材五金，防雨雪，防尘，防热。</w:t>
            </w:r>
          </w:p>
        </w:tc>
        <w:tc>
          <w:tcPr>
            <w:tcW w:w="377" w:type="dxa"/>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1</w:t>
            </w:r>
          </w:p>
        </w:tc>
        <w:tc>
          <w:tcPr>
            <w:tcW w:w="400"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套</w:t>
            </w:r>
          </w:p>
        </w:tc>
        <w:tc>
          <w:tcPr>
            <w:tcW w:w="823"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855.00</w:t>
            </w:r>
          </w:p>
        </w:tc>
        <w:tc>
          <w:tcPr>
            <w:tcW w:w="706"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r>
              <w:rPr>
                <w:rFonts w:hint="eastAsia" w:ascii="微软雅黑" w:hAnsi="微软雅黑" w:eastAsia="微软雅黑" w:cs="微软雅黑"/>
                <w:i w:val="0"/>
                <w:iCs w:val="0"/>
                <w:color w:val="auto"/>
                <w:kern w:val="0"/>
                <w:sz w:val="16"/>
                <w:szCs w:val="16"/>
                <w:u w:val="none"/>
                <w:lang w:val="en-US" w:eastAsia="zh-CN" w:bidi="ar"/>
              </w:rPr>
              <w:t>150.00</w:t>
            </w:r>
          </w:p>
        </w:tc>
        <w:tc>
          <w:tcPr>
            <w:tcW w:w="533" w:type="dxa"/>
            <w:vMerge w:val="continue"/>
            <w:tcBorders>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41"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c>
          <w:tcPr>
            <w:tcW w:w="769"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auto"/>
                <w:kern w:val="0"/>
                <w:sz w:val="16"/>
                <w:szCs w:val="16"/>
                <w:u w:val="none"/>
                <w:lang w:val="en-US" w:eastAsia="zh-CN" w:bidi="ar"/>
              </w:rPr>
            </w:pPr>
          </w:p>
        </w:tc>
      </w:tr>
      <w:tr>
        <w:tblPrEx>
          <w:tblCellMar>
            <w:top w:w="0" w:type="dxa"/>
            <w:left w:w="0" w:type="dxa"/>
            <w:bottom w:w="0" w:type="dxa"/>
            <w:right w:w="0" w:type="dxa"/>
          </w:tblCellMar>
        </w:tblPrEx>
        <w:trPr>
          <w:trHeight w:val="357" w:hRule="atLeast"/>
          <w:jc w:val="center"/>
        </w:trPr>
        <w:tc>
          <w:tcPr>
            <w:tcW w:w="10698" w:type="dxa"/>
            <w:gridSpan w:val="10"/>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微软雅黑" w:hAnsi="微软雅黑" w:eastAsia="微软雅黑" w:cs="微软雅黑"/>
                <w:i w:val="0"/>
                <w:color w:val="auto"/>
                <w:kern w:val="0"/>
                <w:sz w:val="16"/>
                <w:szCs w:val="16"/>
                <w:u w:val="none"/>
                <w:lang w:val="en-US" w:eastAsia="zh-CN" w:bidi="ar"/>
              </w:rPr>
            </w:pPr>
            <w:r>
              <w:rPr>
                <w:rFonts w:hint="eastAsia" w:ascii="微软雅黑" w:hAnsi="微软雅黑" w:eastAsia="微软雅黑" w:cs="微软雅黑"/>
                <w:i w:val="0"/>
                <w:color w:val="auto"/>
                <w:kern w:val="0"/>
                <w:sz w:val="16"/>
                <w:szCs w:val="16"/>
                <w:u w:val="none"/>
                <w:lang w:val="en-US" w:eastAsia="zh-CN" w:bidi="ar"/>
              </w:rPr>
              <w:t>综合合计：元（设备单价+安装）</w:t>
            </w:r>
          </w:p>
        </w:tc>
      </w:tr>
    </w:tbl>
    <w:p>
      <w:pPr>
        <w:pStyle w:val="2"/>
        <w:ind w:left="0" w:leftChars="0" w:firstLine="0" w:firstLineChars="0"/>
        <w:jc w:val="left"/>
        <w:rPr>
          <w:rFonts w:hint="eastAsia"/>
        </w:rPr>
      </w:pPr>
      <w:r>
        <w:rPr>
          <w:rFonts w:hint="eastAsia"/>
        </w:rPr>
        <w:t>报价说明：1、 所投报价应为完成本次报价需完成全部工作所发生的所有费用,并承担一切风险责任。投标单位应结合项目的特点，市场行情及投标单位自身的经济实力，合理预测风险，确定报价。</w:t>
      </w:r>
    </w:p>
    <w:p>
      <w:pPr>
        <w:pStyle w:val="2"/>
        <w:ind w:firstLine="1200" w:firstLineChars="500"/>
        <w:jc w:val="left"/>
        <w:rPr>
          <w:rFonts w:hint="eastAsia"/>
        </w:rPr>
      </w:pPr>
      <w:r>
        <w:rPr>
          <w:rFonts w:hint="eastAsia"/>
        </w:rPr>
        <w:t>2、投标报价一览表须与文件中所提交的投标报价一览表报价保持一致，如不一致则以单独密封的投标报价一览表为准。</w:t>
      </w:r>
    </w:p>
    <w:p>
      <w:pPr>
        <w:pStyle w:val="2"/>
        <w:ind w:firstLine="1200" w:firstLineChars="500"/>
        <w:jc w:val="left"/>
        <w:rPr>
          <w:rFonts w:hint="eastAsia"/>
        </w:rPr>
      </w:pPr>
      <w:r>
        <w:rPr>
          <w:rFonts w:hint="eastAsia"/>
        </w:rPr>
        <w:t>3、投标单位务必按以上格式规范填写报价及设备信息,设备参数表可自行添加</w:t>
      </w:r>
    </w:p>
    <w:p>
      <w:pPr>
        <w:jc w:val="center"/>
        <w:rPr>
          <w:rFonts w:hint="eastAsia"/>
          <w:bCs/>
          <w:sz w:val="28"/>
          <w:szCs w:val="28"/>
        </w:rPr>
      </w:pPr>
    </w:p>
    <w:p>
      <w:pPr>
        <w:spacing w:line="360" w:lineRule="auto"/>
        <w:jc w:val="left"/>
      </w:pPr>
      <w:r>
        <w:rPr>
          <w:rFonts w:hint="eastAsia" w:ascii="宋体" w:hAnsi="宋体"/>
          <w:sz w:val="24"/>
          <w:szCs w:val="24"/>
        </w:rPr>
        <w:t>投标单位公章：</w:t>
      </w:r>
    </w:p>
    <w:p>
      <w:pPr>
        <w:spacing w:line="360" w:lineRule="auto"/>
        <w:jc w:val="both"/>
        <w:rPr>
          <w:rFonts w:ascii="宋体" w:hAnsi="宋体"/>
          <w:sz w:val="24"/>
          <w:szCs w:val="24"/>
        </w:rPr>
      </w:pPr>
      <w:r>
        <w:rPr>
          <w:rFonts w:hint="eastAsia" w:ascii="宋体" w:hAnsi="宋体"/>
          <w:sz w:val="24"/>
          <w:szCs w:val="24"/>
        </w:rPr>
        <w:t>投标单位法人盖章：</w:t>
      </w:r>
    </w:p>
    <w:p>
      <w:pPr>
        <w:spacing w:line="360" w:lineRule="auto"/>
        <w:ind w:firstLine="480" w:firstLineChars="200"/>
        <w:jc w:val="left"/>
        <w:rPr>
          <w:rFonts w:ascii="宋体" w:hAnsi="宋体"/>
          <w:sz w:val="24"/>
          <w:szCs w:val="24"/>
        </w:rPr>
      </w:pPr>
    </w:p>
    <w:p>
      <w:pPr>
        <w:pStyle w:val="305"/>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p>
      <w:pPr>
        <w:jc w:val="center"/>
        <w:rPr>
          <w:rFonts w:hint="eastAsia"/>
          <w:bCs/>
          <w:sz w:val="28"/>
          <w:szCs w:val="28"/>
          <w:lang w:val="en-US" w:eastAsia="zh-Hans"/>
        </w:rPr>
      </w:pPr>
    </w:p>
    <w:p>
      <w:pPr>
        <w:pStyle w:val="2"/>
        <w:rPr>
          <w:rFonts w:hint="eastAsia"/>
          <w:bCs/>
          <w:sz w:val="28"/>
          <w:szCs w:val="28"/>
          <w:lang w:val="en-US" w:eastAsia="zh-Hans"/>
        </w:rPr>
      </w:pPr>
    </w:p>
    <w:p>
      <w:pPr>
        <w:rPr>
          <w:rFonts w:hint="eastAsia"/>
          <w:bCs/>
          <w:sz w:val="28"/>
          <w:szCs w:val="28"/>
          <w:lang w:val="en-US" w:eastAsia="zh-Hans"/>
        </w:rPr>
      </w:pPr>
    </w:p>
    <w:p>
      <w:pPr>
        <w:pStyle w:val="2"/>
        <w:rPr>
          <w:rFonts w:hint="eastAsia"/>
          <w:bCs/>
          <w:sz w:val="28"/>
          <w:szCs w:val="28"/>
          <w:lang w:val="en-US" w:eastAsia="zh-Hans"/>
        </w:rPr>
      </w:pPr>
    </w:p>
    <w:p>
      <w:pPr>
        <w:rPr>
          <w:rFonts w:hint="eastAsia"/>
          <w:lang w:val="en-US" w:eastAsia="zh-Hans"/>
        </w:rPr>
      </w:pPr>
    </w:p>
    <w:p>
      <w:pPr>
        <w:jc w:val="center"/>
        <w:rPr>
          <w:rFonts w:hint="default" w:eastAsia="宋体"/>
          <w:bCs/>
          <w:sz w:val="28"/>
          <w:szCs w:val="28"/>
          <w:lang w:val="en-US" w:eastAsia="zh-Hans"/>
        </w:rPr>
      </w:pPr>
      <w:r>
        <w:rPr>
          <w:rFonts w:hint="eastAsia"/>
          <w:bCs/>
          <w:sz w:val="28"/>
          <w:szCs w:val="28"/>
          <w:lang w:val="en-US" w:eastAsia="zh-Hans"/>
        </w:rPr>
        <w:t>设备参数表</w:t>
      </w:r>
    </w:p>
    <w:tbl>
      <w:tblPr>
        <w:tblStyle w:val="49"/>
        <w:tblW w:w="10141"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222"/>
        <w:gridCol w:w="1635"/>
        <w:gridCol w:w="1635"/>
        <w:gridCol w:w="1342"/>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center"/>
              <w:rPr>
                <w:rFonts w:hint="default" w:eastAsia="宋体"/>
                <w:bCs/>
                <w:sz w:val="28"/>
                <w:szCs w:val="28"/>
                <w:vertAlign w:val="baseline"/>
                <w:lang w:val="en-US" w:eastAsia="zh-Hans"/>
              </w:rPr>
            </w:pPr>
            <w:r>
              <w:rPr>
                <w:rFonts w:hint="eastAsia"/>
                <w:bCs/>
                <w:sz w:val="28"/>
                <w:szCs w:val="28"/>
                <w:vertAlign w:val="baseline"/>
                <w:lang w:val="en-US" w:eastAsia="zh-Hans"/>
              </w:rPr>
              <w:t>序号</w:t>
            </w:r>
          </w:p>
        </w:tc>
        <w:tc>
          <w:tcPr>
            <w:tcW w:w="2222" w:type="dxa"/>
          </w:tcPr>
          <w:p>
            <w:pPr>
              <w:jc w:val="center"/>
              <w:rPr>
                <w:rFonts w:hint="default" w:eastAsia="宋体"/>
                <w:bCs/>
                <w:sz w:val="28"/>
                <w:szCs w:val="28"/>
                <w:vertAlign w:val="baseline"/>
                <w:lang w:val="en-US" w:eastAsia="zh-Hans"/>
              </w:rPr>
            </w:pPr>
            <w:r>
              <w:rPr>
                <w:rFonts w:hint="eastAsia"/>
                <w:bCs/>
                <w:sz w:val="28"/>
                <w:szCs w:val="28"/>
                <w:vertAlign w:val="baseline"/>
                <w:lang w:val="en-US" w:eastAsia="zh-Hans"/>
              </w:rPr>
              <w:t>设备名称</w:t>
            </w:r>
          </w:p>
        </w:tc>
        <w:tc>
          <w:tcPr>
            <w:tcW w:w="1635" w:type="dxa"/>
          </w:tcPr>
          <w:p>
            <w:pPr>
              <w:jc w:val="center"/>
              <w:rPr>
                <w:rFonts w:hint="default"/>
                <w:bCs/>
                <w:sz w:val="28"/>
                <w:szCs w:val="28"/>
                <w:vertAlign w:val="baseline"/>
                <w:lang w:val="en-US" w:eastAsia="zh-Hans"/>
              </w:rPr>
            </w:pPr>
            <w:r>
              <w:rPr>
                <w:rFonts w:hint="eastAsia"/>
                <w:bCs/>
                <w:sz w:val="28"/>
                <w:szCs w:val="28"/>
                <w:vertAlign w:val="baseline"/>
                <w:lang w:val="en-US" w:eastAsia="zh-Hans"/>
              </w:rPr>
              <w:t>品牌</w:t>
            </w:r>
          </w:p>
        </w:tc>
        <w:tc>
          <w:tcPr>
            <w:tcW w:w="1635" w:type="dxa"/>
          </w:tcPr>
          <w:p>
            <w:pPr>
              <w:jc w:val="center"/>
              <w:rPr>
                <w:rFonts w:hint="default" w:eastAsia="宋体"/>
                <w:bCs/>
                <w:sz w:val="28"/>
                <w:szCs w:val="28"/>
                <w:vertAlign w:val="baseline"/>
                <w:lang w:val="en-US" w:eastAsia="zh-Hans"/>
              </w:rPr>
            </w:pPr>
            <w:r>
              <w:rPr>
                <w:rFonts w:hint="eastAsia"/>
                <w:bCs/>
                <w:sz w:val="28"/>
                <w:szCs w:val="28"/>
                <w:vertAlign w:val="baseline"/>
                <w:lang w:val="en-US" w:eastAsia="zh-Hans"/>
              </w:rPr>
              <w:t>生产厂家</w:t>
            </w:r>
          </w:p>
        </w:tc>
        <w:tc>
          <w:tcPr>
            <w:tcW w:w="1342" w:type="dxa"/>
          </w:tcPr>
          <w:p>
            <w:pPr>
              <w:jc w:val="center"/>
              <w:rPr>
                <w:rFonts w:hint="default" w:eastAsia="宋体"/>
                <w:bCs/>
                <w:sz w:val="28"/>
                <w:szCs w:val="28"/>
                <w:vertAlign w:val="baseline"/>
                <w:lang w:val="en-US" w:eastAsia="zh-Hans"/>
              </w:rPr>
            </w:pPr>
            <w:r>
              <w:rPr>
                <w:rFonts w:hint="eastAsia"/>
                <w:bCs/>
                <w:sz w:val="28"/>
                <w:szCs w:val="28"/>
                <w:vertAlign w:val="baseline"/>
                <w:lang w:val="en-US" w:eastAsia="zh-Hans"/>
              </w:rPr>
              <w:t>产地</w:t>
            </w:r>
          </w:p>
        </w:tc>
        <w:tc>
          <w:tcPr>
            <w:tcW w:w="2188" w:type="dxa"/>
          </w:tcPr>
          <w:p>
            <w:pPr>
              <w:jc w:val="center"/>
              <w:rPr>
                <w:rFonts w:hint="eastAsia" w:eastAsia="宋体"/>
                <w:bCs/>
                <w:sz w:val="28"/>
                <w:szCs w:val="28"/>
                <w:vertAlign w:val="baseline"/>
                <w:lang w:val="en-US" w:eastAsia="zh-Hans"/>
              </w:rPr>
            </w:pPr>
            <w:r>
              <w:rPr>
                <w:rFonts w:hint="eastAsia"/>
                <w:bCs/>
                <w:sz w:val="28"/>
                <w:szCs w:val="28"/>
                <w:vertAlign w:val="baseline"/>
                <w:lang w:val="en-US" w:eastAsia="zh-Hans"/>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center"/>
              <w:rPr>
                <w:rFonts w:hint="default"/>
                <w:bCs/>
                <w:sz w:val="28"/>
                <w:szCs w:val="28"/>
                <w:vertAlign w:val="baseline"/>
                <w:lang w:eastAsia="zh-Hans"/>
              </w:rPr>
            </w:pPr>
            <w:r>
              <w:rPr>
                <w:rFonts w:hint="default"/>
                <w:bCs/>
                <w:sz w:val="28"/>
                <w:szCs w:val="28"/>
                <w:vertAlign w:val="baseline"/>
                <w:lang w:eastAsia="zh-Hans"/>
              </w:rPr>
              <w:t>1</w:t>
            </w:r>
          </w:p>
        </w:tc>
        <w:tc>
          <w:tcPr>
            <w:tcW w:w="2222" w:type="dxa"/>
          </w:tcPr>
          <w:p>
            <w:pPr>
              <w:jc w:val="center"/>
              <w:rPr>
                <w:rFonts w:hint="eastAsia"/>
                <w:bCs/>
                <w:sz w:val="28"/>
                <w:szCs w:val="28"/>
                <w:vertAlign w:val="baseline"/>
                <w:lang w:val="en-US" w:eastAsia="zh-Hans"/>
              </w:rPr>
            </w:pPr>
          </w:p>
        </w:tc>
        <w:tc>
          <w:tcPr>
            <w:tcW w:w="1635" w:type="dxa"/>
          </w:tcPr>
          <w:p>
            <w:pPr>
              <w:jc w:val="center"/>
              <w:rPr>
                <w:rFonts w:hint="eastAsia"/>
                <w:bCs/>
                <w:sz w:val="28"/>
                <w:szCs w:val="28"/>
                <w:vertAlign w:val="baseline"/>
                <w:lang w:val="en-US" w:eastAsia="zh-Hans"/>
              </w:rPr>
            </w:pPr>
          </w:p>
        </w:tc>
        <w:tc>
          <w:tcPr>
            <w:tcW w:w="1635" w:type="dxa"/>
          </w:tcPr>
          <w:p>
            <w:pPr>
              <w:jc w:val="center"/>
              <w:rPr>
                <w:rFonts w:hint="eastAsia"/>
                <w:bCs/>
                <w:sz w:val="28"/>
                <w:szCs w:val="28"/>
                <w:vertAlign w:val="baseline"/>
                <w:lang w:val="en-US" w:eastAsia="zh-Hans"/>
              </w:rPr>
            </w:pPr>
          </w:p>
        </w:tc>
        <w:tc>
          <w:tcPr>
            <w:tcW w:w="1342" w:type="dxa"/>
          </w:tcPr>
          <w:p>
            <w:pPr>
              <w:jc w:val="center"/>
              <w:rPr>
                <w:rFonts w:hint="eastAsia"/>
                <w:bCs/>
                <w:sz w:val="28"/>
                <w:szCs w:val="28"/>
                <w:vertAlign w:val="baseline"/>
                <w:lang w:val="en-US" w:eastAsia="zh-Hans"/>
              </w:rPr>
            </w:pPr>
          </w:p>
        </w:tc>
        <w:tc>
          <w:tcPr>
            <w:tcW w:w="2188" w:type="dxa"/>
          </w:tcPr>
          <w:p>
            <w:pPr>
              <w:jc w:val="center"/>
              <w:rPr>
                <w:rFonts w:hint="eastAsia"/>
                <w:bCs/>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center"/>
              <w:rPr>
                <w:rFonts w:hint="default"/>
                <w:bCs/>
                <w:sz w:val="28"/>
                <w:szCs w:val="28"/>
                <w:vertAlign w:val="baseline"/>
                <w:lang w:eastAsia="zh-Hans"/>
              </w:rPr>
            </w:pPr>
            <w:r>
              <w:rPr>
                <w:rFonts w:hint="default"/>
                <w:bCs/>
                <w:sz w:val="28"/>
                <w:szCs w:val="28"/>
                <w:vertAlign w:val="baseline"/>
                <w:lang w:eastAsia="zh-Hans"/>
              </w:rPr>
              <w:t>2</w:t>
            </w:r>
          </w:p>
        </w:tc>
        <w:tc>
          <w:tcPr>
            <w:tcW w:w="2222" w:type="dxa"/>
          </w:tcPr>
          <w:p>
            <w:pPr>
              <w:jc w:val="center"/>
              <w:rPr>
                <w:rFonts w:hint="eastAsia"/>
                <w:bCs/>
                <w:sz w:val="28"/>
                <w:szCs w:val="28"/>
                <w:vertAlign w:val="baseline"/>
                <w:lang w:val="en-US" w:eastAsia="zh-Hans"/>
              </w:rPr>
            </w:pPr>
          </w:p>
        </w:tc>
        <w:tc>
          <w:tcPr>
            <w:tcW w:w="1635" w:type="dxa"/>
          </w:tcPr>
          <w:p>
            <w:pPr>
              <w:jc w:val="center"/>
              <w:rPr>
                <w:rFonts w:hint="eastAsia"/>
                <w:bCs/>
                <w:sz w:val="28"/>
                <w:szCs w:val="28"/>
                <w:vertAlign w:val="baseline"/>
                <w:lang w:val="en-US" w:eastAsia="zh-Hans"/>
              </w:rPr>
            </w:pPr>
          </w:p>
        </w:tc>
        <w:tc>
          <w:tcPr>
            <w:tcW w:w="1635" w:type="dxa"/>
          </w:tcPr>
          <w:p>
            <w:pPr>
              <w:jc w:val="center"/>
              <w:rPr>
                <w:rFonts w:hint="eastAsia"/>
                <w:bCs/>
                <w:sz w:val="28"/>
                <w:szCs w:val="28"/>
                <w:vertAlign w:val="baseline"/>
                <w:lang w:val="en-US" w:eastAsia="zh-Hans"/>
              </w:rPr>
            </w:pPr>
          </w:p>
        </w:tc>
        <w:tc>
          <w:tcPr>
            <w:tcW w:w="1342" w:type="dxa"/>
          </w:tcPr>
          <w:p>
            <w:pPr>
              <w:jc w:val="center"/>
              <w:rPr>
                <w:rFonts w:hint="eastAsia"/>
                <w:bCs/>
                <w:sz w:val="28"/>
                <w:szCs w:val="28"/>
                <w:vertAlign w:val="baseline"/>
                <w:lang w:val="en-US" w:eastAsia="zh-Hans"/>
              </w:rPr>
            </w:pPr>
          </w:p>
        </w:tc>
        <w:tc>
          <w:tcPr>
            <w:tcW w:w="2188" w:type="dxa"/>
          </w:tcPr>
          <w:p>
            <w:pPr>
              <w:jc w:val="center"/>
              <w:rPr>
                <w:rFonts w:hint="eastAsia"/>
                <w:bCs/>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jc w:val="center"/>
              <w:rPr>
                <w:rFonts w:hint="default"/>
                <w:bCs/>
                <w:sz w:val="28"/>
                <w:szCs w:val="28"/>
                <w:vertAlign w:val="baseline"/>
                <w:lang w:eastAsia="zh-Hans"/>
              </w:rPr>
            </w:pPr>
            <w:r>
              <w:rPr>
                <w:rFonts w:hint="default"/>
                <w:bCs/>
                <w:sz w:val="28"/>
                <w:szCs w:val="28"/>
                <w:vertAlign w:val="baseline"/>
                <w:lang w:eastAsia="zh-Hans"/>
              </w:rPr>
              <w:t>3</w:t>
            </w:r>
          </w:p>
        </w:tc>
        <w:tc>
          <w:tcPr>
            <w:tcW w:w="2222" w:type="dxa"/>
          </w:tcPr>
          <w:p>
            <w:pPr>
              <w:jc w:val="center"/>
              <w:rPr>
                <w:rFonts w:hint="eastAsia"/>
                <w:bCs/>
                <w:sz w:val="28"/>
                <w:szCs w:val="28"/>
                <w:vertAlign w:val="baseline"/>
                <w:lang w:val="en-US" w:eastAsia="zh-Hans"/>
              </w:rPr>
            </w:pPr>
          </w:p>
        </w:tc>
        <w:tc>
          <w:tcPr>
            <w:tcW w:w="1635" w:type="dxa"/>
          </w:tcPr>
          <w:p>
            <w:pPr>
              <w:jc w:val="center"/>
              <w:rPr>
                <w:rFonts w:hint="eastAsia"/>
                <w:bCs/>
                <w:sz w:val="28"/>
                <w:szCs w:val="28"/>
                <w:vertAlign w:val="baseline"/>
                <w:lang w:val="en-US" w:eastAsia="zh-Hans"/>
              </w:rPr>
            </w:pPr>
          </w:p>
        </w:tc>
        <w:tc>
          <w:tcPr>
            <w:tcW w:w="1635" w:type="dxa"/>
          </w:tcPr>
          <w:p>
            <w:pPr>
              <w:jc w:val="center"/>
              <w:rPr>
                <w:rFonts w:hint="eastAsia"/>
                <w:bCs/>
                <w:sz w:val="28"/>
                <w:szCs w:val="28"/>
                <w:vertAlign w:val="baseline"/>
                <w:lang w:val="en-US" w:eastAsia="zh-Hans"/>
              </w:rPr>
            </w:pPr>
          </w:p>
        </w:tc>
        <w:tc>
          <w:tcPr>
            <w:tcW w:w="1342" w:type="dxa"/>
          </w:tcPr>
          <w:p>
            <w:pPr>
              <w:jc w:val="center"/>
              <w:rPr>
                <w:rFonts w:hint="eastAsia"/>
                <w:bCs/>
                <w:sz w:val="28"/>
                <w:szCs w:val="28"/>
                <w:vertAlign w:val="baseline"/>
                <w:lang w:val="en-US" w:eastAsia="zh-Hans"/>
              </w:rPr>
            </w:pPr>
          </w:p>
        </w:tc>
        <w:tc>
          <w:tcPr>
            <w:tcW w:w="2188" w:type="dxa"/>
          </w:tcPr>
          <w:p>
            <w:pPr>
              <w:jc w:val="center"/>
              <w:rPr>
                <w:rFonts w:hint="eastAsia"/>
                <w:bCs/>
                <w:sz w:val="28"/>
                <w:szCs w:val="28"/>
                <w:vertAlign w:val="baseline"/>
                <w:lang w:val="en-US" w:eastAsia="zh-Hans"/>
              </w:rPr>
            </w:pPr>
          </w:p>
        </w:tc>
      </w:tr>
    </w:tbl>
    <w:p>
      <w:pPr>
        <w:jc w:val="center"/>
        <w:rPr>
          <w:rFonts w:hint="eastAsia"/>
          <w:bCs/>
          <w:sz w:val="28"/>
          <w:szCs w:val="28"/>
        </w:rPr>
      </w:pPr>
    </w:p>
    <w:p>
      <w:pPr>
        <w:spacing w:line="360" w:lineRule="auto"/>
        <w:jc w:val="left"/>
      </w:pPr>
      <w:r>
        <w:rPr>
          <w:rFonts w:hint="eastAsia" w:ascii="宋体" w:hAnsi="宋体"/>
          <w:sz w:val="24"/>
          <w:szCs w:val="24"/>
        </w:rPr>
        <w:t>投标单位公章：</w:t>
      </w:r>
    </w:p>
    <w:p>
      <w:pPr>
        <w:spacing w:line="360" w:lineRule="auto"/>
        <w:jc w:val="both"/>
        <w:rPr>
          <w:rFonts w:ascii="宋体" w:hAnsi="宋体"/>
          <w:sz w:val="24"/>
          <w:szCs w:val="24"/>
        </w:rPr>
      </w:pPr>
      <w:r>
        <w:rPr>
          <w:rFonts w:hint="eastAsia" w:ascii="宋体" w:hAnsi="宋体"/>
          <w:sz w:val="24"/>
          <w:szCs w:val="24"/>
        </w:rPr>
        <w:t>投标单位法人盖章：</w:t>
      </w:r>
    </w:p>
    <w:p>
      <w:pPr>
        <w:spacing w:line="360" w:lineRule="auto"/>
        <w:ind w:firstLine="480" w:firstLineChars="200"/>
        <w:jc w:val="left"/>
        <w:rPr>
          <w:rFonts w:ascii="宋体" w:hAnsi="宋体"/>
          <w:sz w:val="24"/>
          <w:szCs w:val="24"/>
        </w:rPr>
      </w:pPr>
    </w:p>
    <w:p>
      <w:pPr>
        <w:pStyle w:val="305"/>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p>
      <w:pPr>
        <w:pStyle w:val="57"/>
        <w:rPr>
          <w:rFonts w:hint="eastAsia"/>
          <w:bCs/>
          <w:sz w:val="28"/>
          <w:szCs w:val="28"/>
        </w:rPr>
      </w:pPr>
    </w:p>
    <w:p>
      <w:pPr>
        <w:pStyle w:val="4"/>
        <w:numPr>
          <w:ilvl w:val="0"/>
          <w:numId w:val="0"/>
        </w:numPr>
        <w:ind w:left="210" w:leftChars="0"/>
        <w:jc w:val="both"/>
        <w:rPr>
          <w:rFonts w:hint="eastAsia"/>
        </w:rPr>
      </w:pPr>
    </w:p>
    <w:p>
      <w:pPr>
        <w:jc w:val="both"/>
        <w:rPr>
          <w:rFonts w:hint="eastAsia"/>
          <w:bCs/>
          <w:sz w:val="28"/>
          <w:szCs w:val="28"/>
        </w:rPr>
      </w:pPr>
    </w:p>
    <w:p>
      <w:pPr>
        <w:jc w:val="center"/>
        <w:rPr>
          <w:bCs/>
          <w:sz w:val="28"/>
          <w:szCs w:val="28"/>
        </w:rPr>
      </w:pPr>
      <w:r>
        <w:rPr>
          <w:rFonts w:hint="eastAsia"/>
          <w:bCs/>
          <w:sz w:val="28"/>
          <w:szCs w:val="28"/>
        </w:rPr>
        <w:t>投标承诺书</w:t>
      </w: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rPr>
      </w:pPr>
      <w:r>
        <w:rPr>
          <w:rFonts w:hint="eastAsia"/>
          <w:sz w:val="24"/>
          <w:szCs w:val="24"/>
        </w:rPr>
        <w:t>1、根据已收到的</w:t>
      </w:r>
      <w:r>
        <w:rPr>
          <w:rFonts w:hint="eastAsia"/>
          <w:sz w:val="24"/>
          <w:szCs w:val="24"/>
          <w:u w:val="single"/>
        </w:rPr>
        <w:t xml:space="preserve">           </w:t>
      </w:r>
      <w:r>
        <w:rPr>
          <w:rFonts w:hint="eastAsia"/>
          <w:sz w:val="24"/>
          <w:szCs w:val="24"/>
        </w:rPr>
        <w:t>的谈判文件，遵照国家、地方招标投标法律法规的规定，我单位经考察现场和研究贵方的谈判文件后愿以投标文件中所报投标价格承包本招标范围内的</w:t>
      </w:r>
      <w:r>
        <w:rPr>
          <w:rFonts w:hint="eastAsia"/>
          <w:sz w:val="24"/>
          <w:szCs w:val="24"/>
          <w:lang w:eastAsia="zh-CN"/>
        </w:rPr>
        <w:t>货物</w:t>
      </w:r>
      <w:r>
        <w:rPr>
          <w:rFonts w:hint="eastAsia"/>
          <w:sz w:val="24"/>
          <w:szCs w:val="24"/>
        </w:rPr>
        <w:t>。</w:t>
      </w:r>
    </w:p>
    <w:p>
      <w:pPr>
        <w:rPr>
          <w:sz w:val="24"/>
          <w:szCs w:val="24"/>
          <w:u w:val="single"/>
        </w:rPr>
      </w:pPr>
      <w:r>
        <w:rPr>
          <w:rFonts w:hint="eastAsia"/>
          <w:sz w:val="24"/>
          <w:szCs w:val="24"/>
        </w:rPr>
        <w:t>2、一旦我方中标，我方保证在收到贵方发出中标通知单后立即</w:t>
      </w:r>
      <w:r>
        <w:rPr>
          <w:rFonts w:hint="eastAsia"/>
          <w:sz w:val="24"/>
          <w:szCs w:val="24"/>
          <w:lang w:eastAsia="zh-CN"/>
        </w:rPr>
        <w:t>供货</w:t>
      </w:r>
      <w:r>
        <w:rPr>
          <w:rFonts w:hint="eastAsia"/>
          <w:sz w:val="24"/>
          <w:szCs w:val="24"/>
        </w:rPr>
        <w:t>，并在如下</w:t>
      </w:r>
      <w:r>
        <w:rPr>
          <w:rFonts w:hint="eastAsia"/>
          <w:sz w:val="24"/>
          <w:szCs w:val="24"/>
          <w:lang w:eastAsia="zh-CN"/>
        </w:rPr>
        <w:t>供货期内完成</w:t>
      </w:r>
      <w:r>
        <w:rPr>
          <w:rFonts w:hint="eastAsia"/>
          <w:sz w:val="24"/>
          <w:szCs w:val="24"/>
        </w:rPr>
        <w:t>。</w:t>
      </w:r>
    </w:p>
    <w:p>
      <w:pPr>
        <w:rPr>
          <w:sz w:val="24"/>
          <w:szCs w:val="24"/>
          <w:u w:val="single"/>
        </w:rPr>
      </w:pPr>
      <w:r>
        <w:rPr>
          <w:rFonts w:hint="eastAsia"/>
          <w:w w:val="90"/>
          <w:kern w:val="0"/>
          <w:sz w:val="24"/>
          <w:szCs w:val="24"/>
          <w:lang w:eastAsia="zh-CN"/>
        </w:rPr>
        <w:t>供货期</w:t>
      </w:r>
      <w:r>
        <w:rPr>
          <w:rFonts w:hint="eastAsia"/>
          <w:sz w:val="24"/>
          <w:szCs w:val="24"/>
        </w:rPr>
        <w:t>：</w:t>
      </w:r>
      <w:r>
        <w:rPr>
          <w:rFonts w:hint="eastAsia"/>
          <w:sz w:val="24"/>
          <w:szCs w:val="24"/>
          <w:u w:val="single"/>
        </w:rPr>
        <w:t xml:space="preserve">              </w:t>
      </w:r>
    </w:p>
    <w:p>
      <w:pPr>
        <w:rPr>
          <w:rFonts w:hint="eastAsia" w:eastAsia="宋体"/>
          <w:sz w:val="24"/>
          <w:szCs w:val="24"/>
          <w:u w:val="single"/>
          <w:lang w:eastAsia="zh-CN"/>
        </w:rPr>
      </w:pPr>
      <w:r>
        <w:rPr>
          <w:rFonts w:hint="eastAsia"/>
          <w:sz w:val="24"/>
          <w:szCs w:val="24"/>
        </w:rPr>
        <w:t>3、</w:t>
      </w:r>
      <w:r>
        <w:rPr>
          <w:rFonts w:hint="eastAsia" w:ascii="宋体" w:hAnsi="宋体" w:cs="宋体"/>
          <w:color w:val="000000"/>
          <w:sz w:val="24"/>
        </w:rPr>
        <w:t>投标人将按谈判文件的规定履行合同责任和义务</w:t>
      </w:r>
      <w:r>
        <w:rPr>
          <w:rFonts w:hint="eastAsia" w:ascii="宋体" w:hAnsi="宋体" w:cs="宋体"/>
          <w:color w:val="000000"/>
          <w:sz w:val="24"/>
          <w:lang w:eastAsia="zh-CN"/>
        </w:rPr>
        <w:t>。</w:t>
      </w:r>
    </w:p>
    <w:p>
      <w:pPr>
        <w:rPr>
          <w:sz w:val="24"/>
          <w:szCs w:val="24"/>
        </w:rPr>
      </w:pPr>
      <w:r>
        <w:rPr>
          <w:rFonts w:hint="eastAsia"/>
          <w:sz w:val="24"/>
          <w:szCs w:val="24"/>
        </w:rPr>
        <w:t>4、如果我方中标，我方将在谈判文件规定的时间内签订承包合同。如果我方违约，除投标保证金外，另外，我方愿以合同价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%作为赔偿金，同时贵方有权终止我方中标并选择其它中标人。</w:t>
      </w:r>
    </w:p>
    <w:p>
      <w:pPr>
        <w:rPr>
          <w:sz w:val="24"/>
          <w:szCs w:val="24"/>
        </w:rPr>
      </w:pPr>
      <w:r>
        <w:rPr>
          <w:rFonts w:hint="eastAsia"/>
          <w:sz w:val="24"/>
          <w:szCs w:val="24"/>
        </w:rPr>
        <w:t>5、贵方的成交通知书和本投标文件将构成约束双方的合同一部分。</w:t>
      </w:r>
    </w:p>
    <w:p>
      <w:pPr>
        <w:rPr>
          <w:sz w:val="24"/>
          <w:szCs w:val="24"/>
        </w:rPr>
      </w:pPr>
      <w:r>
        <w:rPr>
          <w:rFonts w:hint="eastAsia"/>
          <w:sz w:val="24"/>
          <w:szCs w:val="24"/>
        </w:rPr>
        <w:t>6、如果我方未中标，贵方没有必要对我方做出任何解释和说明，我方将充分尊重和理解贵方的选择。</w:t>
      </w: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rPr>
          <w:sz w:val="24"/>
          <w:szCs w:val="24"/>
        </w:rPr>
      </w:pPr>
    </w:p>
    <w:p>
      <w:pPr>
        <w:rPr>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法定代表人身份证明书</w:t>
      </w:r>
    </w:p>
    <w:p>
      <w:pPr>
        <w:rPr>
          <w:sz w:val="24"/>
          <w:szCs w:val="24"/>
        </w:rPr>
      </w:pPr>
    </w:p>
    <w:p>
      <w:pPr>
        <w:rPr>
          <w:sz w:val="24"/>
          <w:szCs w:val="24"/>
        </w:rPr>
      </w:pPr>
    </w:p>
    <w:p>
      <w:pPr>
        <w:rPr>
          <w:bCs/>
          <w:sz w:val="24"/>
          <w:szCs w:val="24"/>
        </w:rPr>
      </w:pPr>
    </w:p>
    <w:p>
      <w:pPr>
        <w:rPr>
          <w:bCs/>
          <w:sz w:val="24"/>
          <w:szCs w:val="24"/>
          <w:u w:val="single"/>
        </w:rPr>
      </w:pPr>
      <w:r>
        <w:rPr>
          <w:rFonts w:hint="eastAsia"/>
          <w:bCs/>
          <w:sz w:val="24"/>
          <w:szCs w:val="24"/>
        </w:rPr>
        <w:t>单位名称：</w:t>
      </w:r>
      <w:r>
        <w:rPr>
          <w:rFonts w:hint="eastAsia"/>
          <w:bCs/>
          <w:sz w:val="24"/>
          <w:szCs w:val="24"/>
          <w:u w:val="single"/>
        </w:rPr>
        <w:t xml:space="preserve">                                                   </w:t>
      </w:r>
    </w:p>
    <w:p>
      <w:pPr>
        <w:rPr>
          <w:bCs/>
          <w:sz w:val="24"/>
          <w:szCs w:val="24"/>
          <w:u w:val="single"/>
        </w:rPr>
      </w:pPr>
    </w:p>
    <w:p>
      <w:pPr>
        <w:rPr>
          <w:bCs/>
          <w:sz w:val="24"/>
          <w:szCs w:val="24"/>
          <w:u w:val="single"/>
        </w:rPr>
      </w:pPr>
      <w:r>
        <w:rPr>
          <w:rFonts w:hint="eastAsia"/>
          <w:bCs/>
          <w:sz w:val="24"/>
          <w:szCs w:val="24"/>
        </w:rPr>
        <w:t>企业类型：</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地    址：</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营业期限：</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成立时间：</w:t>
      </w:r>
      <w:r>
        <w:rPr>
          <w:rFonts w:hint="eastAsia"/>
          <w:bCs/>
          <w:sz w:val="24"/>
          <w:szCs w:val="24"/>
          <w:u w:val="single"/>
        </w:rPr>
        <w:t xml:space="preserve">                                                   </w:t>
      </w:r>
    </w:p>
    <w:p>
      <w:pPr>
        <w:rPr>
          <w:bCs/>
          <w:sz w:val="24"/>
          <w:szCs w:val="24"/>
          <w:u w:val="single"/>
        </w:rPr>
      </w:pPr>
    </w:p>
    <w:p>
      <w:pPr>
        <w:rPr>
          <w:bCs/>
          <w:sz w:val="24"/>
          <w:szCs w:val="24"/>
          <w:u w:val="single"/>
        </w:rPr>
      </w:pPr>
    </w:p>
    <w:p>
      <w:pPr>
        <w:rPr>
          <w:bCs/>
          <w:sz w:val="24"/>
          <w:szCs w:val="24"/>
          <w:u w:val="single"/>
        </w:rPr>
      </w:pPr>
    </w:p>
    <w:p>
      <w:pPr>
        <w:rPr>
          <w:rFonts w:hint="eastAsia"/>
          <w:bCs/>
          <w:sz w:val="24"/>
          <w:szCs w:val="24"/>
        </w:rPr>
      </w:pPr>
      <w:r>
        <w:rPr>
          <w:rFonts w:hint="eastAsia"/>
          <w:bCs/>
          <w:sz w:val="24"/>
          <w:szCs w:val="24"/>
        </w:rPr>
        <w:t>姓名：</w:t>
      </w:r>
      <w:r>
        <w:rPr>
          <w:rFonts w:hint="eastAsia"/>
          <w:bCs/>
          <w:sz w:val="24"/>
          <w:szCs w:val="24"/>
          <w:u w:val="single"/>
        </w:rPr>
        <w:t xml:space="preserve">              </w:t>
      </w:r>
      <w:r>
        <w:rPr>
          <w:rFonts w:hint="eastAsia"/>
          <w:bCs/>
          <w:sz w:val="24"/>
          <w:szCs w:val="24"/>
        </w:rPr>
        <w:t xml:space="preserve">    性别：</w:t>
      </w:r>
      <w:r>
        <w:rPr>
          <w:rFonts w:hint="eastAsia"/>
          <w:bCs/>
          <w:sz w:val="24"/>
          <w:szCs w:val="24"/>
          <w:u w:val="single"/>
        </w:rPr>
        <w:t xml:space="preserve">              </w:t>
      </w:r>
      <w:r>
        <w:rPr>
          <w:rFonts w:hint="eastAsia"/>
          <w:bCs/>
          <w:sz w:val="24"/>
          <w:szCs w:val="24"/>
        </w:rPr>
        <w:t xml:space="preserve">   年龄：</w:t>
      </w:r>
      <w:r>
        <w:rPr>
          <w:rFonts w:hint="eastAsia"/>
          <w:bCs/>
          <w:sz w:val="24"/>
          <w:szCs w:val="24"/>
          <w:u w:val="single"/>
        </w:rPr>
        <w:t xml:space="preserve">              </w:t>
      </w:r>
      <w:r>
        <w:rPr>
          <w:rFonts w:hint="eastAsia"/>
          <w:bCs/>
          <w:sz w:val="24"/>
          <w:szCs w:val="24"/>
        </w:rPr>
        <w:t xml:space="preserve">  </w:t>
      </w:r>
    </w:p>
    <w:p>
      <w:pPr>
        <w:rPr>
          <w:bCs/>
          <w:sz w:val="24"/>
          <w:szCs w:val="24"/>
          <w:u w:val="single"/>
        </w:rPr>
      </w:pPr>
      <w:r>
        <w:rPr>
          <w:rFonts w:hint="eastAsia"/>
          <w:bCs/>
          <w:sz w:val="24"/>
          <w:szCs w:val="24"/>
        </w:rPr>
        <w:t xml:space="preserve">职务： </w:t>
      </w:r>
      <w:r>
        <w:rPr>
          <w:rFonts w:hint="eastAsia"/>
          <w:bCs/>
          <w:sz w:val="24"/>
          <w:szCs w:val="24"/>
          <w:u w:val="single"/>
        </w:rPr>
        <w:t xml:space="preserve">               </w:t>
      </w:r>
    </w:p>
    <w:p>
      <w:pPr>
        <w:rPr>
          <w:bCs/>
          <w:sz w:val="24"/>
          <w:szCs w:val="24"/>
        </w:rPr>
      </w:pPr>
      <w:r>
        <w:rPr>
          <w:rFonts w:hint="eastAsia"/>
          <w:bCs/>
          <w:sz w:val="24"/>
          <w:szCs w:val="24"/>
        </w:rPr>
        <w:t xml:space="preserve">系 </w:t>
      </w:r>
      <w:r>
        <w:rPr>
          <w:rFonts w:hint="eastAsia"/>
          <w:bCs/>
          <w:sz w:val="24"/>
          <w:szCs w:val="24"/>
          <w:u w:val="single"/>
        </w:rPr>
        <w:t xml:space="preserve">          （供应商单位名称）              </w:t>
      </w:r>
      <w:r>
        <w:rPr>
          <w:rFonts w:hint="eastAsia"/>
          <w:bCs/>
          <w:sz w:val="24"/>
          <w:szCs w:val="24"/>
        </w:rPr>
        <w:t>的法定代表人。</w:t>
      </w:r>
    </w:p>
    <w:p>
      <w:pPr>
        <w:rPr>
          <w:bCs/>
          <w:sz w:val="24"/>
          <w:szCs w:val="24"/>
        </w:rPr>
      </w:pPr>
    </w:p>
    <w:p>
      <w:pPr>
        <w:rPr>
          <w:rFonts w:hint="eastAsia" w:eastAsia="宋体"/>
          <w:bCs/>
          <w:sz w:val="24"/>
          <w:szCs w:val="24"/>
          <w:lang w:eastAsia="zh-CN"/>
        </w:rPr>
      </w:pPr>
      <w:r>
        <w:rPr>
          <w:rFonts w:hint="eastAsia"/>
          <w:bCs/>
          <w:sz w:val="24"/>
          <w:szCs w:val="24"/>
          <w:lang w:eastAsia="zh-CN"/>
        </w:rPr>
        <w:t>后附法人身份证正反面：</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r>
        <w:rPr>
          <w:rFonts w:hint="eastAsia"/>
          <w:bCs/>
          <w:sz w:val="24"/>
          <w:szCs w:val="24"/>
        </w:rPr>
        <w:t>特此证明。</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u w:val="single"/>
        </w:rPr>
      </w:pPr>
      <w:r>
        <w:rPr>
          <w:rFonts w:hint="eastAsia"/>
          <w:bCs/>
          <w:sz w:val="24"/>
          <w:szCs w:val="24"/>
        </w:rPr>
        <w:t>供应商：</w:t>
      </w:r>
      <w:r>
        <w:rPr>
          <w:rFonts w:hint="eastAsia"/>
          <w:bCs/>
          <w:sz w:val="24"/>
          <w:szCs w:val="24"/>
          <w:u w:val="single"/>
        </w:rPr>
        <w:t xml:space="preserve">                      （盖章）</w:t>
      </w:r>
    </w:p>
    <w:p>
      <w:pPr>
        <w:rPr>
          <w:bCs/>
          <w:sz w:val="24"/>
          <w:szCs w:val="24"/>
        </w:rPr>
      </w:pPr>
      <w:r>
        <w:rPr>
          <w:rFonts w:hint="eastAsia"/>
          <w:bCs/>
          <w:sz w:val="24"/>
          <w:szCs w:val="24"/>
        </w:rPr>
        <w:t>日  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授权委托书</w:t>
      </w:r>
    </w:p>
    <w:p>
      <w:pPr>
        <w:rPr>
          <w:sz w:val="24"/>
          <w:szCs w:val="24"/>
        </w:rPr>
      </w:pPr>
    </w:p>
    <w:p>
      <w:pPr>
        <w:rPr>
          <w:sz w:val="24"/>
          <w:szCs w:val="24"/>
        </w:rPr>
      </w:pPr>
    </w:p>
    <w:p>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pPr>
        <w:rPr>
          <w:sz w:val="24"/>
          <w:szCs w:val="24"/>
        </w:rPr>
      </w:pPr>
    </w:p>
    <w:p>
      <w:pPr>
        <w:rPr>
          <w:sz w:val="24"/>
          <w:szCs w:val="24"/>
        </w:rPr>
      </w:pPr>
    </w:p>
    <w:p>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pPr>
        <w:rPr>
          <w:sz w:val="24"/>
          <w:szCs w:val="24"/>
        </w:rPr>
      </w:pPr>
    </w:p>
    <w:p>
      <w:pPr>
        <w:rPr>
          <w:sz w:val="24"/>
          <w:szCs w:val="24"/>
        </w:rPr>
      </w:pPr>
      <w:r>
        <w:rPr>
          <w:rFonts w:hint="eastAsia"/>
          <w:sz w:val="24"/>
          <w:szCs w:val="24"/>
        </w:rPr>
        <w:t>单  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pPr>
        <w:rPr>
          <w:sz w:val="24"/>
          <w:szCs w:val="24"/>
        </w:rPr>
      </w:pPr>
    </w:p>
    <w:p>
      <w:pPr>
        <w:rPr>
          <w:sz w:val="24"/>
          <w:szCs w:val="24"/>
        </w:rPr>
      </w:pPr>
    </w:p>
    <w:p>
      <w:pPr>
        <w:rPr>
          <w:rFonts w:hint="eastAsia"/>
          <w:sz w:val="24"/>
          <w:szCs w:val="24"/>
        </w:rPr>
      </w:pPr>
      <w:r>
        <w:rPr>
          <w:rFonts w:hint="eastAsia"/>
          <w:sz w:val="24"/>
          <w:szCs w:val="24"/>
        </w:rPr>
        <w:t>代理人无转委权。特此委托。</w:t>
      </w:r>
    </w:p>
    <w:p>
      <w:pPr>
        <w:pStyle w:val="34"/>
        <w:rPr>
          <w:rFonts w:hint="eastAsia"/>
          <w:sz w:val="24"/>
          <w:szCs w:val="24"/>
        </w:rPr>
      </w:pPr>
    </w:p>
    <w:p>
      <w:pPr>
        <w:rPr>
          <w:rFonts w:hint="eastAsia" w:eastAsia="宋体"/>
          <w:lang w:eastAsia="zh-CN"/>
        </w:rPr>
      </w:pPr>
      <w:r>
        <w:rPr>
          <w:rFonts w:hint="eastAsia"/>
          <w:sz w:val="24"/>
          <w:szCs w:val="24"/>
          <w:lang w:eastAsia="zh-CN"/>
        </w:rPr>
        <w:t>后附法人及委托代理人身份正反面：</w:t>
      </w: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p>
    <w:p>
      <w:pPr>
        <w:rPr>
          <w:sz w:val="24"/>
          <w:szCs w:val="24"/>
        </w:rPr>
      </w:pPr>
      <w:r>
        <w:rPr>
          <w:rFonts w:hint="eastAsia"/>
          <w:sz w:val="24"/>
          <w:szCs w:val="24"/>
        </w:rPr>
        <w:t>法定代表人：（盖章）</w:t>
      </w:r>
    </w:p>
    <w:p>
      <w:pPr>
        <w:rPr>
          <w:sz w:val="24"/>
          <w:szCs w:val="24"/>
        </w:rPr>
      </w:pPr>
    </w:p>
    <w:p>
      <w:pPr>
        <w:rPr>
          <w:sz w:val="24"/>
          <w:szCs w:val="24"/>
        </w:rPr>
      </w:pP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sz w:val="24"/>
          <w:szCs w:val="24"/>
        </w:rPr>
      </w:pPr>
      <w:r>
        <w:rPr>
          <w:rFonts w:hint="eastAsia"/>
          <w:sz w:val="24"/>
          <w:szCs w:val="24"/>
        </w:rPr>
        <w:br w:type="page"/>
      </w:r>
    </w:p>
    <w:p>
      <w:pPr>
        <w:widowControl/>
        <w:spacing w:before="100" w:beforeAutospacing="1" w:after="100" w:afterAutospacing="1" w:line="360" w:lineRule="auto"/>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报价方（供应商）反商业贿赂承诺书 </w:t>
      </w:r>
    </w:p>
    <w:p>
      <w:pPr>
        <w:widowControl/>
        <w:spacing w:before="100" w:beforeAutospacing="1" w:after="100" w:afterAutospacing="1" w:line="360" w:lineRule="auto"/>
        <w:jc w:val="left"/>
        <w:rPr>
          <w:rFonts w:hint="eastAsia" w:ascii="宋体" w:hAnsi="宋体" w:eastAsia="宋体" w:cs="宋体"/>
          <w:color w:val="000000"/>
          <w:sz w:val="24"/>
        </w:rPr>
      </w:pPr>
      <w:r>
        <w:rPr>
          <w:rFonts w:hint="eastAsia" w:ascii="宋体" w:hAnsi="宋体" w:eastAsia="宋体" w:cs="宋体"/>
          <w:color w:val="000000"/>
          <w:sz w:val="24"/>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报价方（供应商）承诺书 </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我公司承诺在参加本次报价前三年内，无以下行为：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1、重大违法行为；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2、商业贿赂行为；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3、政府采购法《第七十七条》，列入不良行为记录名单的各种行为；</w:t>
      </w:r>
    </w:p>
    <w:p>
      <w:pPr>
        <w:widowControl/>
        <w:jc w:val="left"/>
        <w:rPr>
          <w:rFonts w:hint="eastAsia" w:ascii="宋体" w:hAnsi="宋体" w:eastAsia="宋体" w:cs="宋体"/>
          <w:color w:val="000000"/>
          <w:sz w:val="24"/>
        </w:rPr>
      </w:pPr>
      <w:r>
        <w:rPr>
          <w:rFonts w:hint="eastAsia" w:ascii="宋体" w:hAnsi="宋体" w:eastAsia="宋体" w:cs="宋体"/>
          <w:color w:val="000000"/>
          <w:sz w:val="24"/>
        </w:rPr>
        <w:t xml:space="preserve">如有上述行为，我公司及项目参与人员自愿放弃本次项目的报价资格，若为成交人，也自愿放弃成交资格。 </w:t>
      </w:r>
    </w:p>
    <w:p>
      <w:pPr>
        <w:pStyle w:val="47"/>
        <w:ind w:left="0" w:leftChars="0" w:firstLine="0" w:firstLineChars="0"/>
        <w:rPr>
          <w:rFonts w:hint="eastAsia" w:ascii="宋体" w:hAnsi="宋体" w:eastAsia="宋体" w:cs="宋体"/>
          <w:color w:val="000000"/>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4"/>
        <w:numPr>
          <w:ilvl w:val="0"/>
          <w:numId w:val="0"/>
        </w:numPr>
        <w:ind w:leftChars="0"/>
        <w:rPr>
          <w:rFonts w:hint="eastAsia"/>
          <w:lang w:eastAsia="zh-CN"/>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jc w:val="both"/>
        <w:rPr>
          <w:rFonts w:hint="eastAsia"/>
          <w:b/>
          <w:bCs/>
          <w:sz w:val="28"/>
          <w:szCs w:val="28"/>
        </w:rPr>
      </w:pPr>
    </w:p>
    <w:p>
      <w:pPr>
        <w:jc w:val="center"/>
        <w:rPr>
          <w:rFonts w:hint="eastAsia"/>
          <w:b/>
          <w:bCs/>
          <w:sz w:val="28"/>
          <w:szCs w:val="28"/>
          <w:lang w:eastAsia="zh-CN"/>
        </w:rPr>
      </w:pPr>
      <w:r>
        <w:rPr>
          <w:rFonts w:hint="eastAsia"/>
          <w:b/>
          <w:bCs/>
          <w:sz w:val="28"/>
          <w:szCs w:val="28"/>
        </w:rPr>
        <w:t>投标人</w:t>
      </w:r>
      <w:r>
        <w:rPr>
          <w:rFonts w:hint="eastAsia"/>
          <w:b/>
          <w:bCs/>
          <w:sz w:val="28"/>
          <w:szCs w:val="28"/>
          <w:lang w:eastAsia="zh-CN"/>
        </w:rPr>
        <w:t>资格审查</w:t>
      </w:r>
    </w:p>
    <w:p>
      <w:pPr>
        <w:pStyle w:val="305"/>
        <w:jc w:val="center"/>
        <w:outlineLvl w:val="1"/>
        <w:rPr>
          <w:rFonts w:hint="eastAsia" w:ascii="宋体" w:hAnsi="宋体" w:eastAsia="宋体" w:cs="宋体"/>
          <w:b/>
          <w:bCs/>
          <w:sz w:val="24"/>
          <w:szCs w:val="24"/>
        </w:rPr>
      </w:pPr>
      <w:r>
        <w:rPr>
          <w:rFonts w:hint="default" w:ascii="宋体" w:hAnsi="宋体" w:cs="宋体"/>
          <w:b/>
          <w:bCs/>
          <w:sz w:val="24"/>
          <w:szCs w:val="24"/>
        </w:rPr>
        <w:t xml:space="preserve">   </w:t>
      </w:r>
      <w:r>
        <w:rPr>
          <w:rFonts w:hint="eastAsia" w:ascii="宋体" w:hAnsi="宋体" w:eastAsia="宋体" w:cs="宋体"/>
          <w:b/>
          <w:bCs/>
          <w:sz w:val="24"/>
          <w:szCs w:val="24"/>
        </w:rPr>
        <w:t>资格、资质证明文件</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供应商名称</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注册地址</w:t>
            </w:r>
          </w:p>
        </w:tc>
        <w:tc>
          <w:tcPr>
            <w:tcW w:w="3722" w:type="dxa"/>
            <w:gridSpan w:val="4"/>
            <w:noWrap w:val="0"/>
            <w:vAlign w:val="center"/>
          </w:tcPr>
          <w:p>
            <w:pPr>
              <w:autoSpaceDE w:val="0"/>
              <w:autoSpaceDN w:val="0"/>
              <w:adjustRightInd w:val="0"/>
              <w:spacing w:line="400" w:lineRule="exact"/>
              <w:jc w:val="center"/>
              <w:rPr>
                <w:rFonts w:hint="eastAsia" w:hAnsi="宋体" w:cs="宋体"/>
                <w:sz w:val="21"/>
                <w:szCs w:val="21"/>
              </w:rPr>
            </w:pPr>
          </w:p>
        </w:tc>
        <w:tc>
          <w:tcPr>
            <w:tcW w:w="1425"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邮政编码</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联系方式</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联系人</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传真</w:t>
            </w:r>
          </w:p>
        </w:tc>
        <w:tc>
          <w:tcPr>
            <w:tcW w:w="2674"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网址</w:t>
            </w:r>
          </w:p>
        </w:tc>
        <w:tc>
          <w:tcPr>
            <w:tcW w:w="2430" w:type="dxa"/>
            <w:gridSpan w:val="3"/>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组织结构</w:t>
            </w:r>
          </w:p>
        </w:tc>
        <w:tc>
          <w:tcPr>
            <w:tcW w:w="7577" w:type="dxa"/>
            <w:gridSpan w:val="8"/>
            <w:noWrap w:val="0"/>
            <w:vAlign w:val="center"/>
          </w:tcPr>
          <w:p>
            <w:pPr>
              <w:autoSpaceDE w:val="0"/>
              <w:autoSpaceDN w:val="0"/>
              <w:adjustRightInd w:val="0"/>
              <w:spacing w:line="400" w:lineRule="exact"/>
              <w:jc w:val="center"/>
              <w:rPr>
                <w:rFonts w:hint="eastAsia"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法定代表人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技术负责人</w:t>
            </w:r>
          </w:p>
        </w:tc>
        <w:tc>
          <w:tcPr>
            <w:tcW w:w="1040"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姓名</w:t>
            </w:r>
          </w:p>
        </w:tc>
        <w:tc>
          <w:tcPr>
            <w:tcW w:w="1327" w:type="dxa"/>
            <w:noWrap w:val="0"/>
            <w:vAlign w:val="center"/>
          </w:tcPr>
          <w:p>
            <w:pPr>
              <w:autoSpaceDE w:val="0"/>
              <w:autoSpaceDN w:val="0"/>
              <w:adjustRightInd w:val="0"/>
              <w:spacing w:line="400" w:lineRule="exact"/>
              <w:jc w:val="center"/>
              <w:rPr>
                <w:rFonts w:hint="eastAsia" w:hAnsi="宋体" w:cs="宋体"/>
                <w:sz w:val="21"/>
                <w:szCs w:val="21"/>
              </w:rPr>
            </w:pPr>
          </w:p>
        </w:tc>
        <w:tc>
          <w:tcPr>
            <w:tcW w:w="1347"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技术职称</w:t>
            </w:r>
          </w:p>
        </w:tc>
        <w:tc>
          <w:tcPr>
            <w:tcW w:w="1433"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261" w:type="dxa"/>
            <w:gridSpan w:val="2"/>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电话</w:t>
            </w:r>
          </w:p>
        </w:tc>
        <w:tc>
          <w:tcPr>
            <w:tcW w:w="1169" w:type="dxa"/>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成立时间</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5210" w:type="dxa"/>
            <w:gridSpan w:val="6"/>
            <w:noWrap w:val="0"/>
            <w:vAlign w:val="center"/>
          </w:tcPr>
          <w:p>
            <w:pPr>
              <w:autoSpaceDE w:val="0"/>
              <w:autoSpaceDN w:val="0"/>
              <w:adjustRightInd w:val="0"/>
              <w:spacing w:line="400" w:lineRule="exact"/>
              <w:ind w:firstLine="1470" w:firstLineChars="700"/>
              <w:rPr>
                <w:rFonts w:hint="eastAsia" w:hAnsi="宋体" w:cs="宋体"/>
                <w:sz w:val="21"/>
                <w:szCs w:val="21"/>
              </w:rPr>
            </w:pPr>
            <w:r>
              <w:rPr>
                <w:rFonts w:hint="eastAsia" w:hAnsi="宋体" w:cs="宋体"/>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企业资质等级</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restart"/>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其中</w:t>
            </w: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项目经理</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营业执照号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高级职称人员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注册资金</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中级职称人员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开户银行</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初级职称人员</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账号</w:t>
            </w:r>
          </w:p>
        </w:tc>
        <w:tc>
          <w:tcPr>
            <w:tcW w:w="2367" w:type="dxa"/>
            <w:gridSpan w:val="2"/>
            <w:noWrap w:val="0"/>
            <w:vAlign w:val="center"/>
          </w:tcPr>
          <w:p>
            <w:pPr>
              <w:autoSpaceDE w:val="0"/>
              <w:autoSpaceDN w:val="0"/>
              <w:adjustRightInd w:val="0"/>
              <w:spacing w:line="400" w:lineRule="exact"/>
              <w:jc w:val="center"/>
              <w:rPr>
                <w:rFonts w:hint="eastAsia" w:hAnsi="宋体" w:cs="宋体"/>
                <w:sz w:val="21"/>
                <w:szCs w:val="21"/>
              </w:rPr>
            </w:pPr>
          </w:p>
        </w:tc>
        <w:tc>
          <w:tcPr>
            <w:tcW w:w="1347" w:type="dxa"/>
            <w:vMerge w:val="continue"/>
            <w:noWrap w:val="0"/>
            <w:vAlign w:val="center"/>
          </w:tcPr>
          <w:p>
            <w:pPr>
              <w:autoSpaceDE w:val="0"/>
              <w:autoSpaceDN w:val="0"/>
              <w:adjustRightInd w:val="0"/>
              <w:spacing w:line="400" w:lineRule="exact"/>
              <w:jc w:val="center"/>
              <w:rPr>
                <w:rFonts w:hint="eastAsia" w:hAnsi="宋体" w:cs="宋体"/>
                <w:sz w:val="21"/>
                <w:szCs w:val="21"/>
              </w:rPr>
            </w:pPr>
          </w:p>
        </w:tc>
        <w:tc>
          <w:tcPr>
            <w:tcW w:w="1605" w:type="dxa"/>
            <w:gridSpan w:val="3"/>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技工</w:t>
            </w:r>
          </w:p>
        </w:tc>
        <w:tc>
          <w:tcPr>
            <w:tcW w:w="2258" w:type="dxa"/>
            <w:gridSpan w:val="2"/>
            <w:noWrap w:val="0"/>
            <w:vAlign w:val="center"/>
          </w:tcPr>
          <w:p>
            <w:pPr>
              <w:autoSpaceDE w:val="0"/>
              <w:autoSpaceDN w:val="0"/>
              <w:adjustRightInd w:val="0"/>
              <w:spacing w:line="400" w:lineRule="exact"/>
              <w:jc w:val="center"/>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7"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经营范围</w:t>
            </w:r>
          </w:p>
        </w:tc>
        <w:tc>
          <w:tcPr>
            <w:tcW w:w="7577" w:type="dxa"/>
            <w:gridSpan w:val="8"/>
            <w:noWrap w:val="0"/>
            <w:vAlign w:val="center"/>
          </w:tcPr>
          <w:p>
            <w:pPr>
              <w:autoSpaceDE w:val="0"/>
              <w:autoSpaceDN w:val="0"/>
              <w:adjustRightInd w:val="0"/>
              <w:spacing w:line="400" w:lineRule="exact"/>
              <w:rPr>
                <w:rFonts w:hint="eastAsia" w:hAnsi="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noWrap w:val="0"/>
            <w:vAlign w:val="center"/>
          </w:tcPr>
          <w:p>
            <w:pPr>
              <w:autoSpaceDE w:val="0"/>
              <w:autoSpaceDN w:val="0"/>
              <w:adjustRightInd w:val="0"/>
              <w:spacing w:line="400" w:lineRule="exact"/>
              <w:jc w:val="center"/>
              <w:rPr>
                <w:rFonts w:hint="eastAsia" w:hAnsi="宋体" w:cs="宋体"/>
                <w:sz w:val="21"/>
                <w:szCs w:val="21"/>
              </w:rPr>
            </w:pPr>
            <w:r>
              <w:rPr>
                <w:rFonts w:hint="eastAsia" w:hAnsi="宋体" w:cs="宋体"/>
                <w:sz w:val="21"/>
                <w:szCs w:val="21"/>
              </w:rPr>
              <w:t>备  注</w:t>
            </w:r>
          </w:p>
        </w:tc>
        <w:tc>
          <w:tcPr>
            <w:tcW w:w="7577" w:type="dxa"/>
            <w:gridSpan w:val="8"/>
            <w:noWrap w:val="0"/>
            <w:vAlign w:val="top"/>
          </w:tcPr>
          <w:p>
            <w:pPr>
              <w:autoSpaceDE w:val="0"/>
              <w:autoSpaceDN w:val="0"/>
              <w:adjustRightInd w:val="0"/>
              <w:spacing w:line="400" w:lineRule="exact"/>
              <w:jc w:val="left"/>
              <w:rPr>
                <w:rFonts w:hint="eastAsia" w:hAnsi="宋体" w:cs="宋体"/>
                <w:sz w:val="21"/>
                <w:szCs w:val="21"/>
              </w:rPr>
            </w:pPr>
          </w:p>
        </w:tc>
      </w:tr>
    </w:tbl>
    <w:p>
      <w:pPr>
        <w:spacing w:line="360" w:lineRule="auto"/>
        <w:rPr>
          <w:rFonts w:hint="eastAsia" w:ascii="宋体" w:hAnsi="宋体" w:eastAsia="宋体" w:cs="宋体"/>
          <w:b/>
          <w:bCs/>
          <w:caps/>
          <w:kern w:val="2"/>
          <w:sz w:val="22"/>
          <w:szCs w:val="22"/>
          <w:lang w:val="en-US" w:eastAsia="zh-CN" w:bidi="ar-SA"/>
        </w:rPr>
      </w:pPr>
      <w:r>
        <w:rPr>
          <w:rFonts w:hint="eastAsia" w:ascii="宋体" w:hAnsi="宋体" w:eastAsia="宋体" w:cs="宋体"/>
          <w:b/>
          <w:bCs/>
          <w:caps/>
          <w:kern w:val="2"/>
          <w:sz w:val="22"/>
          <w:szCs w:val="22"/>
          <w:lang w:val="en-US" w:eastAsia="zh-CN" w:bidi="ar-SA"/>
        </w:rPr>
        <w:t>后附以下资料</w:t>
      </w:r>
    </w:p>
    <w:p>
      <w:pPr>
        <w:rPr>
          <w:rFonts w:hint="eastAsia"/>
          <w:b/>
          <w:bCs/>
          <w:sz w:val="24"/>
          <w:szCs w:val="24"/>
          <w:lang w:val="en-US" w:eastAsia="zh-CN"/>
        </w:rPr>
      </w:pPr>
      <w:r>
        <w:rPr>
          <w:rFonts w:hint="eastAsia"/>
          <w:b/>
          <w:bCs/>
          <w:sz w:val="24"/>
          <w:szCs w:val="24"/>
        </w:rPr>
        <w:t>①</w:t>
      </w:r>
      <w:r>
        <w:rPr>
          <w:rFonts w:hint="eastAsia"/>
          <w:b/>
          <w:bCs/>
          <w:sz w:val="24"/>
          <w:szCs w:val="24"/>
          <w:lang w:val="en-US" w:eastAsia="zh-CN"/>
        </w:rPr>
        <w:t>具有有效的营业执照（三证合一）;</w:t>
      </w:r>
    </w:p>
    <w:p>
      <w:pPr>
        <w:rPr>
          <w:rFonts w:hint="eastAsia"/>
          <w:b/>
          <w:bCs/>
          <w:sz w:val="24"/>
          <w:szCs w:val="24"/>
          <w:lang w:val="en-US" w:eastAsia="zh-CN"/>
        </w:rPr>
      </w:pPr>
      <w:r>
        <w:rPr>
          <w:rFonts w:hint="eastAsia" w:ascii="宋体" w:hAnsi="宋体" w:eastAsia="宋体" w:cs="宋体"/>
          <w:b/>
          <w:bCs/>
          <w:sz w:val="24"/>
          <w:szCs w:val="24"/>
          <w:lang w:val="en-US" w:eastAsia="zh-CN"/>
        </w:rPr>
        <w:t>②</w:t>
      </w:r>
      <w:r>
        <w:rPr>
          <w:rFonts w:hint="eastAsia"/>
          <w:b/>
          <w:bCs/>
          <w:sz w:val="24"/>
          <w:szCs w:val="24"/>
          <w:lang w:val="en-US" w:eastAsia="zh-CN"/>
        </w:rPr>
        <w:t>近一年任意月法人或授权委托人人员社保明细证明（新公司从成立之日起算）</w:t>
      </w:r>
      <w:r>
        <w:rPr>
          <w:rFonts w:hint="eastAsia" w:ascii="Times New Roman" w:hAnsi="Times New Roman" w:cs="Times New Roman"/>
          <w:b/>
          <w:bCs/>
          <w:kern w:val="2"/>
          <w:sz w:val="24"/>
          <w:szCs w:val="24"/>
          <w:lang w:val="en-US" w:eastAsia="zh-CN" w:bidi="ar-SA"/>
        </w:rPr>
        <w:t>；</w:t>
      </w:r>
    </w:p>
    <w:p>
      <w:pPr>
        <w:pStyle w:val="34"/>
        <w:rPr>
          <w:rFonts w:hint="eastAsia"/>
          <w:lang w:val="en-US" w:eastAsia="zh-CN"/>
        </w:rPr>
      </w:pPr>
      <w:r>
        <w:rPr>
          <w:rFonts w:hint="eastAsia" w:ascii="宋体" w:hAnsi="宋体" w:eastAsia="宋体" w:cs="宋体"/>
          <w:b/>
          <w:bCs/>
          <w:sz w:val="24"/>
          <w:szCs w:val="24"/>
          <w:lang w:val="en-US" w:eastAsia="zh-CN"/>
        </w:rPr>
        <w:t>③</w:t>
      </w:r>
      <w:r>
        <w:rPr>
          <w:rFonts w:hint="eastAsia" w:ascii="Times New Roman" w:hAnsi="Times New Roman" w:eastAsia="宋体" w:cs="Times New Roman"/>
          <w:b/>
          <w:bCs/>
          <w:kern w:val="2"/>
          <w:sz w:val="24"/>
          <w:szCs w:val="24"/>
          <w:lang w:val="en-US" w:eastAsia="zh-CN" w:bidi="ar-SA"/>
        </w:rPr>
        <w:t>须具备近一年财务审计报告或银行提供的资信证明（新公司从成立之日起算）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b/>
          <w:bCs/>
          <w:kern w:val="2"/>
          <w:sz w:val="24"/>
          <w:szCs w:val="24"/>
          <w:lang w:val="en-US" w:eastAsia="zh-CN" w:bidi="ar-SA"/>
        </w:rPr>
      </w:pPr>
      <w:r>
        <w:rPr>
          <w:rFonts w:hint="eastAsia" w:ascii="宋体" w:hAnsi="宋体" w:eastAsia="宋体" w:cs="宋体"/>
          <w:b/>
          <w:bCs/>
          <w:sz w:val="24"/>
          <w:szCs w:val="24"/>
        </w:rPr>
        <w:t>④</w:t>
      </w:r>
      <w:r>
        <w:rPr>
          <w:rFonts w:hint="eastAsia" w:ascii="Times New Roman" w:hAnsi="Times New Roman" w:eastAsia="宋体" w:cs="Times New Roman"/>
          <w:b/>
          <w:bCs/>
          <w:kern w:val="2"/>
          <w:sz w:val="24"/>
          <w:szCs w:val="24"/>
          <w:lang w:val="en-US" w:eastAsia="zh-CN" w:bidi="ar-SA"/>
        </w:rPr>
        <w:t>须具有近一年任意月纳税证明（新公司从成立之日起算）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cs="Times New Roman"/>
          <w:b/>
          <w:bCs/>
          <w:color w:val="auto"/>
          <w:sz w:val="24"/>
          <w:szCs w:val="24"/>
          <w:lang w:eastAsia="zh-CN"/>
        </w:rPr>
      </w:pPr>
      <w:r>
        <w:rPr>
          <w:rFonts w:hint="eastAsia" w:ascii="Songti SC" w:hAnsi="Songti SC" w:eastAsia="Songti SC" w:cs="Songti SC"/>
          <w:b/>
          <w:bCs/>
          <w:color w:val="auto"/>
          <w:sz w:val="24"/>
          <w:szCs w:val="24"/>
          <w:lang w:val="en-US" w:eastAsia="zh-Hans"/>
        </w:rPr>
        <w:t>⑤</w:t>
      </w:r>
      <w:r>
        <w:rPr>
          <w:rFonts w:hint="eastAsia"/>
          <w:b/>
          <w:bCs/>
          <w:color w:val="auto"/>
          <w:sz w:val="24"/>
          <w:szCs w:val="22"/>
          <w:lang w:val="en-US" w:eastAsia="zh-Hans"/>
        </w:rPr>
        <w:t>投</w:t>
      </w:r>
      <w:r>
        <w:rPr>
          <w:rFonts w:hint="eastAsia" w:cs="Times New Roman"/>
          <w:b/>
          <w:bCs/>
          <w:color w:val="auto"/>
          <w:sz w:val="24"/>
          <w:szCs w:val="24"/>
          <w:lang w:val="en-US" w:eastAsia="zh-CN"/>
        </w:rPr>
        <w:t>标单位需具备《安防工程企业资质等级证书》三级及以上资质证书</w:t>
      </w:r>
      <w:r>
        <w:rPr>
          <w:rFonts w:hint="default" w:cs="Times New Roman"/>
          <w:b/>
          <w:bCs/>
          <w:color w:val="auto"/>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r>
        <w:rPr>
          <w:rFonts w:hint="default" w:ascii="宋体" w:hAnsi="宋体"/>
          <w:sz w:val="24"/>
          <w:szCs w:val="24"/>
        </w:rPr>
        <w:t xml:space="preserve">           </w:t>
      </w:r>
      <w:r>
        <w:rPr>
          <w:rFonts w:hint="eastAsia" w:ascii="宋体" w:hAnsi="宋体"/>
          <w:sz w:val="24"/>
          <w:szCs w:val="24"/>
        </w:rPr>
        <w:t>日期：   年   月   日</w:t>
      </w:r>
    </w:p>
    <w:p>
      <w:pPr>
        <w:jc w:val="center"/>
        <w:rPr>
          <w:rFonts w:hint="eastAsia" w:ascii="Times New Roman" w:hAnsi="Times New Roman" w:eastAsia="宋体" w:cs="Times New Roman"/>
          <w:sz w:val="28"/>
          <w:szCs w:val="28"/>
          <w:lang w:eastAsia="zh-CN"/>
        </w:rPr>
      </w:pPr>
    </w:p>
    <w:p>
      <w:pPr>
        <w:jc w:val="center"/>
        <w:rPr>
          <w:rFonts w:hint="eastAsia"/>
          <w:sz w:val="28"/>
          <w:szCs w:val="28"/>
          <w:lang w:eastAsia="zh-CN"/>
        </w:rPr>
      </w:pPr>
      <w:r>
        <w:rPr>
          <w:rFonts w:hint="eastAsia" w:ascii="Times New Roman" w:hAnsi="Times New Roman" w:eastAsia="宋体" w:cs="Times New Roman"/>
          <w:sz w:val="28"/>
          <w:szCs w:val="28"/>
          <w:lang w:eastAsia="zh-CN"/>
        </w:rPr>
        <w:t>商务技术条款偏离表</w:t>
      </w: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100"/>
        <w:rPr>
          <w:rFonts w:ascii="宋体" w:hAnsi="宋体" w:cs="宋体"/>
          <w:color w:val="000000"/>
          <w:sz w:val="24"/>
        </w:rPr>
      </w:pPr>
      <w:r>
        <w:rPr>
          <w:rFonts w:ascii="宋体" w:hAnsi="宋体" w:cs="宋体"/>
          <w:color w:val="000000"/>
          <w:sz w:val="24"/>
        </w:rPr>
        <w:t>投标人名称（公章）：</w:t>
      </w:r>
      <w:r>
        <w:rPr>
          <w:rFonts w:hint="eastAsia" w:ascii="宋体" w:hAnsi="宋体" w:cs="宋体"/>
          <w:color w:val="000000"/>
          <w:sz w:val="24"/>
        </w:rPr>
        <w:t xml:space="preserve">                              </w:t>
      </w:r>
    </w:p>
    <w:tbl>
      <w:tblPr>
        <w:tblStyle w:val="48"/>
        <w:tblW w:w="0" w:type="auto"/>
        <w:jc w:val="center"/>
        <w:tblLayout w:type="fixed"/>
        <w:tblCellMar>
          <w:top w:w="0" w:type="dxa"/>
          <w:left w:w="108" w:type="dxa"/>
          <w:bottom w:w="0" w:type="dxa"/>
          <w:right w:w="108" w:type="dxa"/>
        </w:tblCellMar>
      </w:tblPr>
      <w:tblGrid>
        <w:gridCol w:w="717"/>
        <w:gridCol w:w="2360"/>
        <w:gridCol w:w="2278"/>
        <w:gridCol w:w="2029"/>
        <w:gridCol w:w="1190"/>
      </w:tblGrid>
      <w:tr>
        <w:tblPrEx>
          <w:tblCellMar>
            <w:top w:w="0" w:type="dxa"/>
            <w:left w:w="108" w:type="dxa"/>
            <w:bottom w:w="0" w:type="dxa"/>
            <w:right w:w="108" w:type="dxa"/>
          </w:tblCellMar>
        </w:tblPrEx>
        <w:trPr>
          <w:trHeight w:val="101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100"/>
              <w:jc w:val="center"/>
              <w:rPr>
                <w:rFonts w:ascii="宋体" w:hAnsi="宋体" w:cs="宋体"/>
                <w:color w:val="000000"/>
                <w:sz w:val="24"/>
              </w:rPr>
            </w:pPr>
            <w:r>
              <w:rPr>
                <w:rFonts w:ascii="宋体" w:hAnsi="宋体" w:cs="宋体"/>
                <w:color w:val="000000"/>
                <w:sz w:val="24"/>
              </w:rPr>
              <w:t>序号</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pStyle w:val="100"/>
              <w:jc w:val="center"/>
              <w:rPr>
                <w:rFonts w:ascii="宋体" w:hAnsi="宋体" w:cs="宋体"/>
                <w:color w:val="000000"/>
                <w:sz w:val="24"/>
              </w:rPr>
            </w:pPr>
            <w:r>
              <w:rPr>
                <w:rFonts w:ascii="宋体" w:hAnsi="宋体" w:cs="宋体"/>
                <w:color w:val="000000"/>
                <w:sz w:val="24"/>
              </w:rPr>
              <w:t>招标文件</w:t>
            </w:r>
          </w:p>
          <w:p>
            <w:pPr>
              <w:pStyle w:val="100"/>
              <w:jc w:val="center"/>
              <w:rPr>
                <w:rFonts w:ascii="宋体" w:hAnsi="宋体" w:cs="宋体"/>
                <w:color w:val="000000"/>
                <w:sz w:val="24"/>
              </w:rPr>
            </w:pPr>
            <w:r>
              <w:rPr>
                <w:rFonts w:ascii="宋体" w:hAnsi="宋体" w:cs="宋体"/>
                <w:color w:val="000000"/>
                <w:sz w:val="24"/>
              </w:rPr>
              <w:t>编号</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pStyle w:val="100"/>
              <w:jc w:val="center"/>
              <w:rPr>
                <w:rFonts w:ascii="宋体" w:hAnsi="宋体" w:cs="宋体"/>
                <w:color w:val="000000"/>
                <w:sz w:val="24"/>
              </w:rPr>
            </w:pPr>
            <w:r>
              <w:rPr>
                <w:rFonts w:ascii="宋体" w:hAnsi="宋体" w:cs="宋体"/>
                <w:color w:val="000000"/>
                <w:sz w:val="24"/>
              </w:rPr>
              <w:t>招标文件的商务条款</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pStyle w:val="100"/>
              <w:jc w:val="center"/>
              <w:rPr>
                <w:rFonts w:ascii="宋体" w:hAnsi="宋体" w:cs="宋体"/>
                <w:color w:val="000000"/>
                <w:sz w:val="24"/>
              </w:rPr>
            </w:pPr>
            <w:r>
              <w:rPr>
                <w:rFonts w:ascii="宋体" w:hAnsi="宋体" w:cs="宋体"/>
                <w:color w:val="000000"/>
                <w:sz w:val="24"/>
              </w:rPr>
              <w:t>投标文件的商务条款</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pStyle w:val="100"/>
              <w:jc w:val="center"/>
              <w:rPr>
                <w:rFonts w:ascii="宋体" w:hAnsi="宋体" w:cs="宋体"/>
                <w:color w:val="000000"/>
                <w:sz w:val="24"/>
              </w:rPr>
            </w:pPr>
            <w:r>
              <w:rPr>
                <w:rFonts w:ascii="宋体" w:hAnsi="宋体" w:cs="宋体"/>
                <w:color w:val="000000"/>
                <w:sz w:val="24"/>
              </w:rPr>
              <w:t>说明</w:t>
            </w:r>
          </w:p>
        </w:tc>
      </w:tr>
      <w:tr>
        <w:tblPrEx>
          <w:tblCellMar>
            <w:top w:w="0" w:type="dxa"/>
            <w:left w:w="108" w:type="dxa"/>
            <w:bottom w:w="0" w:type="dxa"/>
            <w:right w:w="108" w:type="dxa"/>
          </w:tblCellMar>
        </w:tblPrEx>
        <w:trPr>
          <w:trHeight w:val="492"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r>
      <w:tr>
        <w:tblPrEx>
          <w:tblCellMar>
            <w:top w:w="0" w:type="dxa"/>
            <w:left w:w="108" w:type="dxa"/>
            <w:bottom w:w="0" w:type="dxa"/>
            <w:right w:w="108" w:type="dxa"/>
          </w:tblCellMar>
        </w:tblPrEx>
        <w:trPr>
          <w:trHeight w:val="604"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ascii="宋体" w:hAnsi="宋体" w:cs="宋体"/>
                <w:color w:val="000000"/>
                <w:sz w:val="24"/>
              </w:rPr>
            </w:pPr>
          </w:p>
        </w:tc>
      </w:tr>
    </w:tbl>
    <w:p>
      <w:pPr>
        <w:pStyle w:val="100"/>
        <w:rPr>
          <w:rFonts w:ascii="宋体" w:hAnsi="宋体" w:cs="宋体"/>
          <w:color w:val="000000"/>
          <w:sz w:val="24"/>
        </w:rPr>
      </w:pPr>
    </w:p>
    <w:p>
      <w:pPr>
        <w:pStyle w:val="100"/>
        <w:rPr>
          <w:rFonts w:ascii="宋体" w:hAnsi="宋体" w:cs="宋体"/>
          <w:color w:val="000000"/>
          <w:sz w:val="24"/>
        </w:rPr>
      </w:pPr>
      <w:r>
        <w:rPr>
          <w:rFonts w:hint="eastAsia" w:ascii="宋体" w:hAnsi="宋体" w:cs="宋体"/>
          <w:color w:val="000000"/>
          <w:sz w:val="24"/>
        </w:rPr>
        <w:t>投标人代表签字：</w:t>
      </w:r>
    </w:p>
    <w:p>
      <w:pPr>
        <w:pStyle w:val="100"/>
        <w:rPr>
          <w:rFonts w:hint="eastAsia" w:ascii="宋体" w:hAnsi="宋体" w:cs="宋体"/>
          <w:color w:val="000000"/>
          <w:sz w:val="24"/>
        </w:rPr>
      </w:pPr>
    </w:p>
    <w:p>
      <w:pPr>
        <w:pStyle w:val="100"/>
        <w:rPr>
          <w:rFonts w:hint="eastAsia" w:ascii="宋体" w:hAnsi="宋体" w:cs="宋体"/>
          <w:color w:val="000000"/>
          <w:sz w:val="24"/>
        </w:rPr>
      </w:pPr>
    </w:p>
    <w:p>
      <w:pPr>
        <w:pStyle w:val="100"/>
        <w:rPr>
          <w:rFonts w:hint="eastAsia" w:ascii="宋体" w:hAnsi="宋体" w:cs="宋体"/>
          <w:color w:val="000000"/>
          <w:sz w:val="24"/>
        </w:rPr>
      </w:pPr>
    </w:p>
    <w:p>
      <w:pPr>
        <w:pStyle w:val="100"/>
        <w:rPr>
          <w:rFonts w:hint="eastAsia" w:ascii="宋体" w:hAnsi="宋体" w:cs="宋体"/>
          <w:color w:val="000000"/>
          <w:sz w:val="24"/>
        </w:rPr>
      </w:pPr>
      <w:r>
        <w:rPr>
          <w:rFonts w:hint="eastAsia" w:ascii="宋体" w:hAnsi="宋体" w:eastAsia="宋体" w:cs="Times New Roman"/>
          <w:b/>
          <w:bCs/>
          <w:kern w:val="2"/>
          <w:sz w:val="24"/>
          <w:szCs w:val="24"/>
          <w:lang w:val="en-US" w:eastAsia="zh-CN" w:bidi="ar-SA"/>
        </w:rPr>
        <w:t>注：本表需写清招标文件章节及条款号和投标文件章节及条款号，如本表空白则视为商务技术条款响应招标文件要求无偏差。</w:t>
      </w: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15"/>
        <w:rPr>
          <w:rFonts w:hint="eastAsia"/>
          <w:lang w:eastAsia="zh-CN"/>
        </w:rPr>
      </w:pPr>
    </w:p>
    <w:p>
      <w:pPr>
        <w:rPr>
          <w:rFonts w:hint="eastAsia"/>
          <w:lang w:eastAsia="zh-CN"/>
        </w:rPr>
      </w:pPr>
    </w:p>
    <w:p>
      <w:pPr>
        <w:rPr>
          <w:rFonts w:hint="eastAsia" w:ascii="Times New Roman" w:hAnsi="Times New Roman" w:eastAsia="宋体" w:cs="Times New Roman"/>
          <w:sz w:val="24"/>
          <w:szCs w:val="24"/>
          <w:lang w:eastAsia="zh-CN"/>
        </w:rPr>
      </w:pPr>
    </w:p>
    <w:p>
      <w:pPr>
        <w:pStyle w:val="305"/>
        <w:jc w:val="center"/>
        <w:outlineLvl w:val="1"/>
        <w:rPr>
          <w:rFonts w:hint="eastAsia" w:ascii="宋体" w:hAnsi="宋体" w:cs="宋体"/>
        </w:rPr>
      </w:pPr>
      <w:r>
        <w:rPr>
          <w:rFonts w:hint="eastAsia" w:ascii="宋体" w:hAnsi="宋体" w:eastAsia="宋体" w:cs="宋体"/>
          <w:b/>
          <w:bCs/>
          <w:sz w:val="36"/>
        </w:rPr>
        <w:t>具有履行合同所必需的设备和专业技术能力承诺函</w:t>
      </w:r>
    </w:p>
    <w:p>
      <w:pPr>
        <w:spacing w:line="480" w:lineRule="auto"/>
        <w:rPr>
          <w:rFonts w:hint="eastAsia" w:hAnsi="宋体" w:cs="宋体"/>
          <w:sz w:val="24"/>
          <w:szCs w:val="24"/>
        </w:rPr>
      </w:pPr>
    </w:p>
    <w:p>
      <w:pPr>
        <w:spacing w:line="480" w:lineRule="auto"/>
        <w:rPr>
          <w:rFonts w:hint="eastAsia" w:hAnsi="宋体" w:cs="宋体"/>
          <w:sz w:val="24"/>
          <w:szCs w:val="24"/>
        </w:rPr>
      </w:pPr>
      <w:r>
        <w:rPr>
          <w:rFonts w:hint="eastAsia" w:hAnsi="宋体" w:cs="宋体"/>
          <w:sz w:val="24"/>
          <w:szCs w:val="24"/>
          <w:lang w:eastAsia="zh-CN"/>
        </w:rPr>
        <w:t>华诚博远工程咨询有限公司</w:t>
      </w:r>
      <w:r>
        <w:rPr>
          <w:rFonts w:hint="eastAsia" w:hAnsi="宋体" w:cs="宋体"/>
          <w:sz w:val="24"/>
          <w:szCs w:val="24"/>
        </w:rPr>
        <w:t>：</w:t>
      </w:r>
    </w:p>
    <w:p>
      <w:pPr>
        <w:spacing w:line="480" w:lineRule="auto"/>
        <w:ind w:firstLine="480" w:firstLineChars="200"/>
        <w:rPr>
          <w:rFonts w:hint="eastAsia" w:hAnsi="宋体" w:cs="宋体"/>
          <w:sz w:val="24"/>
          <w:szCs w:val="24"/>
        </w:rPr>
      </w:pPr>
      <w:r>
        <w:rPr>
          <w:rFonts w:hint="eastAsia" w:hAnsi="宋体" w:cs="宋体"/>
          <w:sz w:val="24"/>
          <w:szCs w:val="24"/>
        </w:rPr>
        <w:t>本单位</w:t>
      </w:r>
      <w:r>
        <w:rPr>
          <w:rFonts w:hint="eastAsia" w:hAnsi="宋体" w:cs="宋体"/>
          <w:sz w:val="24"/>
          <w:szCs w:val="24"/>
          <w:u w:val="single"/>
        </w:rPr>
        <w:t xml:space="preserve">              </w:t>
      </w:r>
      <w:r>
        <w:rPr>
          <w:rFonts w:hint="eastAsia" w:hAnsi="宋体" w:cs="宋体"/>
          <w:sz w:val="24"/>
          <w:szCs w:val="24"/>
        </w:rPr>
        <w:t>（公司名称）参加</w:t>
      </w:r>
      <w:r>
        <w:rPr>
          <w:rFonts w:hint="eastAsia" w:hAnsi="宋体" w:cs="宋体"/>
          <w:sz w:val="24"/>
          <w:szCs w:val="24"/>
          <w:u w:val="single"/>
        </w:rPr>
        <w:t xml:space="preserve">               </w:t>
      </w:r>
      <w:r>
        <w:rPr>
          <w:rFonts w:hint="eastAsia" w:hAnsi="宋体" w:cs="宋体"/>
          <w:sz w:val="24"/>
          <w:szCs w:val="24"/>
        </w:rPr>
        <w:t>（项目名称）的</w:t>
      </w:r>
      <w:r>
        <w:rPr>
          <w:rFonts w:hint="eastAsia" w:hAnsi="宋体" w:cs="宋体"/>
          <w:sz w:val="24"/>
          <w:szCs w:val="28"/>
        </w:rPr>
        <w:t>采购</w:t>
      </w:r>
      <w:r>
        <w:rPr>
          <w:rFonts w:hint="eastAsia" w:hAnsi="宋体" w:cs="宋体"/>
          <w:sz w:val="24"/>
          <w:szCs w:val="24"/>
        </w:rPr>
        <w:t>活动，现承诺我公司具有履行合同所必需的设备和专业技术能力。</w:t>
      </w:r>
    </w:p>
    <w:p>
      <w:pPr>
        <w:spacing w:line="480" w:lineRule="auto"/>
        <w:ind w:firstLine="480" w:firstLineChars="200"/>
        <w:rPr>
          <w:rFonts w:hint="eastAsia" w:hAnsi="宋体" w:cs="宋体"/>
          <w:sz w:val="24"/>
          <w:szCs w:val="24"/>
        </w:rPr>
      </w:pPr>
      <w:r>
        <w:rPr>
          <w:rFonts w:hint="eastAsia" w:hAnsi="宋体" w:cs="宋体"/>
          <w:sz w:val="24"/>
          <w:szCs w:val="24"/>
        </w:rPr>
        <w:t>本公司对上述承诺内容事项真实性负责。如经查实上述承诺的内容事项存在虚假，我公司愿意接受以提供虚假材料谋取中标追究法律责任。</w:t>
      </w:r>
    </w:p>
    <w:p>
      <w:pPr>
        <w:pStyle w:val="20"/>
        <w:rPr>
          <w:rFonts w:hint="eastAsia" w:hAnsi="宋体" w:cs="宋体"/>
          <w:sz w:val="24"/>
          <w:szCs w:val="24"/>
        </w:rPr>
      </w:pPr>
    </w:p>
    <w:p>
      <w:pPr>
        <w:rPr>
          <w:rFonts w:hint="eastAsia" w:hAnsi="宋体" w:cs="宋体"/>
          <w:sz w:val="24"/>
          <w:szCs w:val="24"/>
        </w:rPr>
      </w:pPr>
    </w:p>
    <w:p>
      <w:pPr>
        <w:pStyle w:val="20"/>
        <w:rPr>
          <w:rFonts w:hint="eastAsia" w:hAnsi="宋体" w:cs="宋体"/>
          <w:sz w:val="24"/>
          <w:szCs w:val="24"/>
        </w:rPr>
      </w:pPr>
    </w:p>
    <w:p>
      <w:pPr>
        <w:rPr>
          <w:rFonts w:hint="eastAsia"/>
        </w:rPr>
      </w:pPr>
    </w:p>
    <w:p>
      <w:pPr>
        <w:spacing w:line="276" w:lineRule="auto"/>
        <w:ind w:firstLine="480" w:firstLineChars="200"/>
        <w:rPr>
          <w:rFonts w:hint="eastAsia" w:hAnsi="宋体" w:cs="宋体"/>
          <w:sz w:val="24"/>
        </w:rPr>
      </w:pPr>
    </w:p>
    <w:p>
      <w:pPr>
        <w:spacing w:line="360" w:lineRule="auto"/>
        <w:ind w:firstLine="480"/>
        <w:rPr>
          <w:rFonts w:ascii="宋体" w:hAnsi="宋体"/>
          <w:sz w:val="24"/>
          <w:szCs w:val="24"/>
        </w:rPr>
      </w:pPr>
      <w:r>
        <w:rPr>
          <w:rFonts w:hint="eastAsia" w:ascii="宋体" w:hAnsi="宋体"/>
          <w:sz w:val="24"/>
          <w:szCs w:val="24"/>
        </w:rPr>
        <w:t>投标单位名称：                          法人公章：</w:t>
      </w: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法定代表（或授权代表）签字：</w:t>
      </w:r>
    </w:p>
    <w:p>
      <w:pPr>
        <w:spacing w:line="360" w:lineRule="auto"/>
        <w:ind w:firstLine="480"/>
        <w:rPr>
          <w:rFonts w:ascii="宋体" w:hAnsi="宋体"/>
          <w:sz w:val="24"/>
          <w:szCs w:val="24"/>
        </w:rPr>
      </w:pPr>
    </w:p>
    <w:p>
      <w:pPr>
        <w:spacing w:line="360" w:lineRule="auto"/>
        <w:jc w:val="right"/>
        <w:rPr>
          <w:rFonts w:ascii="宋体" w:hAnsi="宋体"/>
          <w:sz w:val="28"/>
        </w:rPr>
      </w:pPr>
      <w:r>
        <w:rPr>
          <w:rFonts w:hint="eastAsia" w:ascii="宋体" w:hAnsi="宋体"/>
          <w:sz w:val="24"/>
          <w:szCs w:val="24"/>
        </w:rPr>
        <w:t>日期：   年   月   日</w:t>
      </w: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pStyle w:val="4"/>
        <w:numPr>
          <w:ilvl w:val="0"/>
          <w:numId w:val="0"/>
        </w:numPr>
        <w:ind w:leftChars="0"/>
        <w:rPr>
          <w:rFonts w:hint="eastAsia"/>
          <w:lang w:eastAsia="zh-CN"/>
        </w:rPr>
      </w:pPr>
    </w:p>
    <w:p>
      <w:pPr>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57"/>
        <w:rPr>
          <w:rFonts w:hint="eastAsia"/>
          <w:lang w:eastAsia="zh-CN"/>
        </w:rPr>
      </w:pPr>
    </w:p>
    <w:p>
      <w:pPr>
        <w:pStyle w:val="305"/>
        <w:jc w:val="center"/>
        <w:outlineLvl w:val="1"/>
        <w:rPr>
          <w:rFonts w:hint="eastAsia" w:ascii="宋体" w:cs="宋体"/>
          <w:b/>
          <w:bCs/>
          <w:sz w:val="36"/>
          <w:lang w:val="en-US" w:eastAsia="zh-CN"/>
        </w:rPr>
      </w:pPr>
      <w:r>
        <w:rPr>
          <w:rFonts w:hint="eastAsia" w:ascii="宋体" w:cs="宋体"/>
          <w:b/>
          <w:bCs/>
          <w:sz w:val="36"/>
          <w:lang w:val="en-US" w:eastAsia="zh-CN"/>
        </w:rPr>
        <w:t>技术文件</w:t>
      </w:r>
    </w:p>
    <w:p>
      <w:pPr>
        <w:pStyle w:val="4"/>
        <w:numPr>
          <w:ilvl w:val="0"/>
          <w:numId w:val="0"/>
        </w:numPr>
        <w:ind w:leftChars="0"/>
        <w:jc w:val="center"/>
        <w:rPr>
          <w:rFonts w:hint="eastAsia"/>
          <w:b/>
          <w:bCs/>
          <w:sz w:val="30"/>
          <w:szCs w:val="30"/>
        </w:rPr>
      </w:pPr>
      <w:r>
        <w:rPr>
          <w:rFonts w:hint="eastAsia"/>
          <w:b/>
          <w:bCs/>
          <w:sz w:val="30"/>
          <w:szCs w:val="30"/>
        </w:rPr>
        <w:t>主要服务内容、方案、承诺、计划等说明</w:t>
      </w:r>
    </w:p>
    <w:p>
      <w:pPr>
        <w:rPr>
          <w:rFonts w:hint="eastAsia"/>
          <w:b/>
          <w:bCs/>
          <w:sz w:val="30"/>
          <w:szCs w:val="30"/>
        </w:rPr>
      </w:pPr>
    </w:p>
    <w:p>
      <w:pPr>
        <w:pStyle w:val="4"/>
        <w:numPr>
          <w:ilvl w:val="0"/>
          <w:numId w:val="0"/>
        </w:numPr>
        <w:ind w:leftChars="0"/>
        <w:rPr>
          <w:rFonts w:hint="eastAsia"/>
          <w:lang w:eastAsia="zh-CN"/>
        </w:rPr>
      </w:pPr>
    </w:p>
    <w:p>
      <w:pPr>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7"/>
        <w:rPr>
          <w:rFonts w:hint="eastAsia"/>
          <w:b/>
          <w:bCs/>
          <w:sz w:val="30"/>
          <w:szCs w:val="30"/>
        </w:rPr>
      </w:pPr>
    </w:p>
    <w:p>
      <w:pPr>
        <w:pStyle w:val="4"/>
        <w:numPr>
          <w:ilvl w:val="0"/>
          <w:numId w:val="0"/>
        </w:numPr>
        <w:ind w:leftChars="0"/>
        <w:rPr>
          <w:rFonts w:hint="eastAsia"/>
          <w:lang w:eastAsia="zh-CN"/>
        </w:rPr>
      </w:pPr>
    </w:p>
    <w:p>
      <w:pPr>
        <w:rPr>
          <w:rFonts w:hint="eastAsia"/>
          <w:lang w:eastAsia="zh-CN"/>
        </w:rPr>
      </w:pPr>
    </w:p>
    <w:p>
      <w:pPr>
        <w:pStyle w:val="4"/>
        <w:numPr>
          <w:ilvl w:val="0"/>
          <w:numId w:val="0"/>
        </w:numPr>
        <w:ind w:leftChars="0"/>
        <w:rPr>
          <w:rFonts w:hint="eastAsia"/>
          <w:lang w:eastAsia="zh-CN"/>
        </w:rPr>
      </w:pPr>
    </w:p>
    <w:p>
      <w:pPr>
        <w:rPr>
          <w:rFonts w:hint="eastAsia"/>
          <w:lang w:eastAsia="zh-CN"/>
        </w:rPr>
      </w:pPr>
    </w:p>
    <w:p>
      <w:pPr>
        <w:pStyle w:val="4"/>
        <w:numPr>
          <w:ilvl w:val="0"/>
          <w:numId w:val="0"/>
        </w:numPr>
        <w:ind w:leftChars="0"/>
        <w:rPr>
          <w:rFonts w:hint="eastAsia"/>
          <w:lang w:eastAsia="zh-CN"/>
        </w:rPr>
      </w:pPr>
    </w:p>
    <w:p>
      <w:pPr>
        <w:rPr>
          <w:rFonts w:hint="eastAsia"/>
          <w:lang w:eastAsia="zh-CN"/>
        </w:rPr>
      </w:pPr>
    </w:p>
    <w:p>
      <w:pPr>
        <w:rPr>
          <w:rFonts w:hint="eastAsia"/>
          <w:lang w:eastAsia="zh-CN"/>
        </w:rPr>
      </w:pPr>
    </w:p>
    <w:p>
      <w:pPr>
        <w:pStyle w:val="57"/>
        <w:rPr>
          <w:rFonts w:hint="eastAsia"/>
          <w:lang w:eastAsia="zh-CN"/>
        </w:rPr>
      </w:pPr>
    </w:p>
    <w:p>
      <w:pPr>
        <w:pStyle w:val="15"/>
        <w:numPr>
          <w:ilvl w:val="0"/>
          <w:numId w:val="0"/>
        </w:numPr>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参加政府采购活动前 3 年内在经营活动中没有</w:t>
      </w:r>
    </w:p>
    <w:p>
      <w:pPr>
        <w:pStyle w:val="15"/>
        <w:numPr>
          <w:ilvl w:val="0"/>
          <w:numId w:val="0"/>
        </w:numPr>
        <w:jc w:val="center"/>
        <w:rPr>
          <w:rFonts w:hint="eastAsia" w:ascii="仿宋_GB2312" w:hAnsi="仿宋" w:eastAsia="仿宋_GB2312"/>
          <w:b/>
          <w:color w:val="000000"/>
          <w:sz w:val="30"/>
          <w:lang w:val="en-US" w:eastAsia="zh-CN"/>
        </w:rPr>
      </w:pPr>
      <w:r>
        <w:rPr>
          <w:rFonts w:hint="eastAsia" w:ascii="宋体" w:hAnsi="宋体" w:eastAsia="宋体" w:cs="宋体"/>
          <w:b/>
          <w:bCs/>
          <w:kern w:val="2"/>
          <w:sz w:val="30"/>
          <w:szCs w:val="30"/>
          <w:lang w:val="en-US" w:eastAsia="zh-CN" w:bidi="ar-SA"/>
        </w:rPr>
        <w:t>重大违法记录的书面声明</w:t>
      </w:r>
    </w:p>
    <w:p>
      <w:pPr>
        <w:pStyle w:val="23"/>
        <w:rPr>
          <w:rFonts w:hint="eastAsia"/>
          <w:lang w:val="en-US" w:eastAsia="zh-CN"/>
        </w:rPr>
      </w:pPr>
    </w:p>
    <w:p>
      <w:pPr>
        <w:spacing w:before="145" w:beforeLines="50" w:after="145" w:afterLines="50" w:line="30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szCs w:val="24"/>
        </w:rPr>
      </w:pPr>
    </w:p>
    <w:p>
      <w:pPr>
        <w:pStyle w:val="306"/>
        <w:spacing w:before="145" w:beforeLines="50" w:after="145" w:afterLines="50" w:line="300" w:lineRule="auto"/>
        <w:ind w:left="420" w:leftChars="200" w:firstLine="5280" w:firstLineChars="2200"/>
        <w:rPr>
          <w:rFonts w:hint="eastAsia" w:ascii="宋体" w:hAnsi="宋体" w:eastAsia="宋体" w:cs="宋体"/>
          <w:kern w:val="2"/>
          <w:sz w:val="24"/>
          <w:szCs w:val="24"/>
        </w:rPr>
      </w:pPr>
      <w:r>
        <w:rPr>
          <w:rFonts w:hint="eastAsia" w:ascii="宋体" w:hAnsi="宋体" w:cs="宋体"/>
          <w:kern w:val="2"/>
          <w:sz w:val="24"/>
          <w:szCs w:val="24"/>
          <w:lang w:val="en-US" w:eastAsia="zh-CN"/>
        </w:rPr>
        <w:t>供应商</w:t>
      </w:r>
      <w:r>
        <w:rPr>
          <w:rFonts w:hint="eastAsia" w:ascii="宋体" w:hAnsi="宋体" w:eastAsia="宋体" w:cs="宋体"/>
          <w:kern w:val="2"/>
          <w:sz w:val="24"/>
          <w:szCs w:val="24"/>
        </w:rPr>
        <w:t xml:space="preserve">名称（盖章）： </w:t>
      </w:r>
    </w:p>
    <w:p>
      <w:pPr>
        <w:spacing w:before="145" w:beforeLines="50" w:after="145" w:afterLines="50" w:line="300" w:lineRule="auto"/>
        <w:ind w:firstLine="5760" w:firstLineChars="2400"/>
        <w:rPr>
          <w:rFonts w:hint="eastAsia" w:ascii="宋体" w:hAnsi="宋体" w:eastAsia="宋体" w:cs="宋体"/>
          <w:bCs/>
          <w:sz w:val="24"/>
          <w:szCs w:val="24"/>
        </w:rPr>
      </w:pPr>
      <w:r>
        <w:rPr>
          <w:rFonts w:hint="eastAsia" w:ascii="宋体" w:hAnsi="宋体" w:eastAsia="宋体" w:cs="宋体"/>
          <w:sz w:val="24"/>
          <w:szCs w:val="24"/>
        </w:rPr>
        <w:t>______年____月____日</w:t>
      </w: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
        <w:numPr>
          <w:ilvl w:val="0"/>
          <w:numId w:val="0"/>
        </w:numPr>
        <w:bidi w:val="0"/>
        <w:ind w:left="210" w:leftChars="0"/>
        <w:rPr>
          <w:rFonts w:hint="eastAsia"/>
          <w:lang w:eastAsia="zh-CN"/>
        </w:rPr>
      </w:pPr>
    </w:p>
    <w:p>
      <w:pPr>
        <w:rPr>
          <w:rFonts w:hint="eastAsia"/>
          <w:lang w:eastAsia="zh-CN"/>
        </w:rPr>
      </w:pPr>
    </w:p>
    <w:p>
      <w:pPr>
        <w:pStyle w:val="4"/>
        <w:numPr>
          <w:ilvl w:val="0"/>
          <w:numId w:val="0"/>
        </w:numPr>
        <w:ind w:left="210" w:leftChars="0"/>
        <w:rPr>
          <w:rFonts w:hint="eastAsia"/>
          <w:lang w:eastAsia="zh-CN"/>
        </w:rPr>
      </w:pPr>
    </w:p>
    <w:p>
      <w:pPr>
        <w:rPr>
          <w:rFonts w:hint="eastAsia"/>
          <w:lang w:eastAsia="zh-CN"/>
        </w:rPr>
      </w:pPr>
    </w:p>
    <w:p>
      <w:pPr>
        <w:pStyle w:val="47"/>
        <w:rPr>
          <w:rFonts w:hint="eastAsia"/>
          <w:lang w:eastAsia="zh-CN"/>
        </w:rPr>
      </w:pPr>
    </w:p>
    <w:p>
      <w:pPr>
        <w:pStyle w:val="47"/>
        <w:rPr>
          <w:rFonts w:hint="eastAsia"/>
          <w:lang w:eastAsia="zh-CN"/>
        </w:rPr>
      </w:pPr>
    </w:p>
    <w:p>
      <w:pPr>
        <w:pStyle w:val="47"/>
        <w:rPr>
          <w:rFonts w:hint="eastAsia"/>
          <w:lang w:eastAsia="zh-CN"/>
        </w:rPr>
      </w:pPr>
    </w:p>
    <w:p>
      <w:pPr>
        <w:widowControl/>
        <w:spacing w:before="100" w:beforeAutospacing="1" w:after="100" w:afterAutospacing="1" w:line="360" w:lineRule="auto"/>
        <w:jc w:val="center"/>
        <w:rPr>
          <w:rFonts w:hint="eastAsia" w:ascii="宋体" w:hAnsi="宋体" w:eastAsia="宋体" w:cs="宋体"/>
          <w:color w:val="auto"/>
        </w:rPr>
      </w:pPr>
      <w:r>
        <w:rPr>
          <w:rFonts w:hint="eastAsia" w:ascii="宋体" w:hAnsi="宋体" w:eastAsia="宋体" w:cs="宋体"/>
          <w:b/>
          <w:bCs/>
          <w:kern w:val="2"/>
          <w:sz w:val="30"/>
          <w:szCs w:val="30"/>
          <w:lang w:val="en-US" w:eastAsia="zh-CN" w:bidi="ar-SA"/>
        </w:rPr>
        <w:t>中小企业声明函</w:t>
      </w:r>
    </w:p>
    <w:p>
      <w:pPr>
        <w:spacing w:line="360" w:lineRule="auto"/>
        <w:ind w:firstLine="480" w:firstLineChars="200"/>
        <w:jc w:val="left"/>
        <w:rPr>
          <w:rFonts w:hint="eastAsia" w:hAnsi="宋体" w:cs="宋体"/>
          <w:color w:val="auto"/>
          <w:sz w:val="24"/>
          <w:szCs w:val="24"/>
        </w:rPr>
      </w:pPr>
      <w:bookmarkStart w:id="50" w:name="_Hlk534965171"/>
      <w:r>
        <w:rPr>
          <w:rFonts w:hint="eastAsia" w:hAnsi="宋体" w:cs="宋体"/>
          <w:color w:val="auto"/>
          <w:sz w:val="24"/>
          <w:szCs w:val="24"/>
        </w:rPr>
        <w:t>本公司郑重声明,根据《政府采购促进中小企业发展管理办法》(财库(2020)46号)的规定,本公司参加</w:t>
      </w:r>
      <w:r>
        <w:rPr>
          <w:rFonts w:hint="eastAsia" w:hAnsi="宋体" w:cs="宋体"/>
          <w:color w:val="auto"/>
          <w:sz w:val="24"/>
          <w:szCs w:val="24"/>
          <w:u w:val="single"/>
        </w:rPr>
        <w:t>(单位名称)</w:t>
      </w:r>
      <w:r>
        <w:rPr>
          <w:rFonts w:hint="eastAsia" w:hAnsi="宋体" w:cs="宋体"/>
          <w:color w:val="auto"/>
          <w:sz w:val="24"/>
          <w:szCs w:val="24"/>
        </w:rPr>
        <w:t>的</w:t>
      </w:r>
      <w:r>
        <w:rPr>
          <w:rFonts w:hint="eastAsia" w:hAnsi="宋体" w:cs="宋体"/>
          <w:color w:val="auto"/>
          <w:sz w:val="24"/>
          <w:szCs w:val="24"/>
          <w:u w:val="single"/>
        </w:rPr>
        <w:t>(项目名称)</w:t>
      </w:r>
      <w:r>
        <w:rPr>
          <w:rFonts w:hint="eastAsia" w:hAnsi="宋体" w:cs="宋体"/>
          <w:color w:val="auto"/>
          <w:sz w:val="24"/>
          <w:szCs w:val="24"/>
        </w:rPr>
        <w:t>采购活动,服务全部由符合政策要求的中小企业承接。相关企业的具体情况如下:</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 xml:space="preserve">   </w:t>
      </w:r>
      <w:r>
        <w:rPr>
          <w:rFonts w:hint="eastAsia" w:hAnsi="宋体" w:cs="宋体"/>
          <w:color w:val="auto"/>
          <w:sz w:val="24"/>
          <w:szCs w:val="24"/>
        </w:rPr>
        <w:t>万元,属于(中型企业、小型企业、微型企业)；</w:t>
      </w:r>
    </w:p>
    <w:p>
      <w:pPr>
        <w:spacing w:line="360" w:lineRule="auto"/>
        <w:ind w:firstLine="360" w:firstLineChars="150"/>
        <w:jc w:val="left"/>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(标的名称)</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 xml:space="preserve">     </w:t>
      </w:r>
      <w:r>
        <w:rPr>
          <w:rFonts w:hint="eastAsia" w:hAnsi="宋体" w:cs="宋体"/>
          <w:color w:val="auto"/>
          <w:sz w:val="24"/>
          <w:szCs w:val="24"/>
        </w:rPr>
        <w:t>万元,资产总额 为</w:t>
      </w:r>
      <w:r>
        <w:rPr>
          <w:rFonts w:hint="eastAsia" w:hAnsi="宋体" w:cs="宋体"/>
          <w:color w:val="auto"/>
          <w:sz w:val="24"/>
          <w:szCs w:val="24"/>
          <w:u w:val="single"/>
        </w:rPr>
        <w:t xml:space="preserve">     </w:t>
      </w:r>
      <w:r>
        <w:rPr>
          <w:rFonts w:hint="eastAsia" w:hAnsi="宋体" w:cs="宋体"/>
          <w:color w:val="auto"/>
          <w:sz w:val="24"/>
          <w:szCs w:val="24"/>
        </w:rPr>
        <w:t>万元,属于</w:t>
      </w:r>
      <w:r>
        <w:rPr>
          <w:rFonts w:hint="eastAsia" w:hAnsi="宋体" w:cs="宋体"/>
          <w:color w:val="auto"/>
          <w:sz w:val="24"/>
          <w:szCs w:val="24"/>
          <w:u w:val="single"/>
        </w:rPr>
        <w:t>(中型企业、小型企业、微型企业)</w:t>
      </w: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本企业对上述声明内容的真实性负责。如有虚假,将依法承担相应责任。</w:t>
      </w:r>
    </w:p>
    <w:p>
      <w:pPr>
        <w:spacing w:line="360" w:lineRule="auto"/>
        <w:ind w:firstLine="480" w:firstLineChars="200"/>
        <w:jc w:val="left"/>
        <w:rPr>
          <w:rFonts w:hint="eastAsia" w:hAnsi="宋体" w:cs="宋体"/>
          <w:color w:val="auto"/>
          <w:sz w:val="24"/>
          <w:szCs w:val="24"/>
        </w:rPr>
      </w:pPr>
    </w:p>
    <w:p>
      <w:pPr>
        <w:spacing w:line="360" w:lineRule="auto"/>
        <w:jc w:val="center"/>
        <w:rPr>
          <w:rFonts w:hint="eastAsia" w:hAnsi="宋体" w:cs="宋体"/>
          <w:color w:val="auto"/>
          <w:sz w:val="24"/>
          <w:szCs w:val="24"/>
        </w:rPr>
      </w:pPr>
      <w:r>
        <w:rPr>
          <w:rFonts w:hint="eastAsia" w:hAnsi="宋体" w:cs="宋体"/>
          <w:color w:val="auto"/>
          <w:sz w:val="24"/>
          <w:szCs w:val="24"/>
        </w:rPr>
        <w:t xml:space="preserve">               企业名称(盖章):</w:t>
      </w:r>
    </w:p>
    <w:p>
      <w:pPr>
        <w:spacing w:line="360" w:lineRule="auto"/>
        <w:jc w:val="center"/>
        <w:rPr>
          <w:rFonts w:hint="eastAsia" w:hAnsi="宋体" w:cs="宋体"/>
          <w:color w:val="auto"/>
          <w:sz w:val="24"/>
          <w:szCs w:val="24"/>
        </w:rPr>
      </w:pPr>
      <w:r>
        <w:rPr>
          <w:rFonts w:hint="eastAsia" w:hAnsi="宋体" w:cs="宋体"/>
          <w:color w:val="auto"/>
          <w:sz w:val="24"/>
          <w:szCs w:val="24"/>
        </w:rPr>
        <w:t xml:space="preserve">     日期:</w:t>
      </w:r>
    </w:p>
    <w:p>
      <w:pPr>
        <w:jc w:val="left"/>
        <w:rPr>
          <w:rFonts w:hint="eastAsia" w:hAnsi="宋体" w:cs="宋体"/>
          <w:color w:val="auto"/>
          <w:sz w:val="18"/>
          <w:szCs w:val="18"/>
        </w:rPr>
      </w:pPr>
    </w:p>
    <w:p>
      <w:pPr>
        <w:spacing w:line="440" w:lineRule="exact"/>
        <w:rPr>
          <w:rFonts w:hint="eastAsia" w:hAnsi="宋体" w:cs="宋体"/>
          <w:color w:val="auto"/>
          <w:sz w:val="24"/>
          <w:szCs w:val="24"/>
        </w:rPr>
      </w:pPr>
      <w:r>
        <w:rPr>
          <w:rFonts w:hint="eastAsia" w:hAnsi="宋体" w:cs="宋体"/>
          <w:color w:val="auto"/>
          <w:sz w:val="24"/>
          <w:szCs w:val="24"/>
        </w:rPr>
        <w:t>注：</w:t>
      </w:r>
    </w:p>
    <w:p>
      <w:pPr>
        <w:numPr>
          <w:ilvl w:val="0"/>
          <w:numId w:val="26"/>
        </w:numPr>
        <w:spacing w:line="440" w:lineRule="exact"/>
        <w:ind w:firstLine="240" w:firstLineChars="100"/>
        <w:rPr>
          <w:rFonts w:hint="eastAsia" w:hAnsi="宋体" w:cs="宋体"/>
          <w:color w:val="auto"/>
          <w:sz w:val="24"/>
          <w:szCs w:val="24"/>
        </w:rPr>
      </w:pPr>
      <w:bookmarkStart w:id="51" w:name="_Hlk534905983"/>
      <w:r>
        <w:rPr>
          <w:rFonts w:hint="eastAsia" w:hAnsi="宋体" w:cs="宋体"/>
          <w:color w:val="auto"/>
          <w:sz w:val="24"/>
          <w:szCs w:val="24"/>
        </w:rPr>
        <w:t>此声明函根据供应商自身情况填写，自行选择是否提供，未提供则不享受价格优惠。</w:t>
      </w:r>
    </w:p>
    <w:p>
      <w:pPr>
        <w:numPr>
          <w:ilvl w:val="0"/>
          <w:numId w:val="26"/>
        </w:numPr>
        <w:spacing w:line="440" w:lineRule="exact"/>
        <w:ind w:firstLine="240" w:firstLineChars="100"/>
        <w:rPr>
          <w:rFonts w:hint="eastAsia" w:hAnsi="宋体" w:cs="宋体"/>
          <w:color w:val="auto"/>
          <w:sz w:val="24"/>
          <w:szCs w:val="24"/>
        </w:rPr>
      </w:pPr>
      <w:r>
        <w:rPr>
          <w:rFonts w:hint="eastAsia" w:hAnsi="宋体" w:cs="宋体"/>
          <w:color w:val="auto"/>
          <w:sz w:val="24"/>
          <w:szCs w:val="24"/>
        </w:rPr>
        <w:t>从业人员、营业收入，资产总额填报上一年度数据，无上一年数据的新成立企业可不填报。</w:t>
      </w:r>
    </w:p>
    <w:p>
      <w:pPr>
        <w:numPr>
          <w:ilvl w:val="0"/>
          <w:numId w:val="26"/>
        </w:numPr>
        <w:spacing w:line="440" w:lineRule="exact"/>
        <w:ind w:left="0" w:leftChars="0" w:firstLine="240" w:firstLineChars="100"/>
        <w:rPr>
          <w:rFonts w:hint="eastAsia" w:hAnsi="宋体" w:cs="宋体"/>
          <w:color w:val="auto"/>
          <w:sz w:val="24"/>
          <w:szCs w:val="24"/>
        </w:rPr>
      </w:pPr>
      <w:r>
        <w:rPr>
          <w:rFonts w:hint="eastAsia" w:hAnsi="宋体" w:cs="宋体"/>
          <w:color w:val="auto"/>
          <w:sz w:val="24"/>
          <w:szCs w:val="24"/>
        </w:rPr>
        <w:t>供应商符合《工业和信息化部、国家统计局、国家发展和改革委员会、财政部关于印发中小企业划型标准规定的通知》（工信部联企业〔2011〕300号）规定的划分标准为中小型企业适用。</w:t>
      </w:r>
    </w:p>
    <w:bookmarkEnd w:id="50"/>
    <w:bookmarkEnd w:id="51"/>
    <w:p>
      <w:pPr>
        <w:pStyle w:val="20"/>
        <w:rPr>
          <w:rFonts w:hint="eastAsia"/>
          <w:lang w:eastAsia="zh-CN"/>
        </w:rPr>
      </w:pPr>
    </w:p>
    <w:p>
      <w:pPr>
        <w:rPr>
          <w:rFonts w:hint="eastAsia"/>
          <w:lang w:eastAsia="zh-CN"/>
        </w:rPr>
      </w:pPr>
    </w:p>
    <w:p>
      <w:pPr>
        <w:pStyle w:val="20"/>
        <w:rPr>
          <w:rFonts w:hint="eastAsia"/>
          <w:lang w:eastAsia="zh-CN"/>
        </w:rPr>
      </w:pPr>
    </w:p>
    <w:p>
      <w:pPr>
        <w:rPr>
          <w:rFonts w:hint="eastAsia"/>
          <w:lang w:eastAsia="zh-CN"/>
        </w:rPr>
      </w:pPr>
    </w:p>
    <w:p>
      <w:pPr>
        <w:rPr>
          <w:rFonts w:hint="eastAsia"/>
          <w:lang w:eastAsia="zh-CN"/>
        </w:rPr>
      </w:pPr>
    </w:p>
    <w:p>
      <w:pPr>
        <w:jc w:val="center"/>
        <w:rPr>
          <w:rFonts w:hint="eastAsia" w:ascii="Times New Roman" w:hAnsi="Times New Roman" w:eastAsia="宋体" w:cs="Times New Roman"/>
          <w:sz w:val="24"/>
          <w:szCs w:val="24"/>
          <w:lang w:eastAsia="zh-CN"/>
        </w:rPr>
      </w:pPr>
      <w:r>
        <w:rPr>
          <w:rFonts w:hint="eastAsia" w:ascii="宋体" w:cs="宋体"/>
          <w:b/>
          <w:bCs/>
          <w:sz w:val="36"/>
        </w:rPr>
        <w:t>其 他</w:t>
      </w:r>
    </w:p>
    <w:p>
      <w:pPr>
        <w:spacing w:line="360" w:lineRule="auto"/>
        <w:ind w:right="-92" w:rightChars="-44"/>
        <w:rPr>
          <w:rFonts w:hint="eastAsia" w:ascii="宋体" w:hAnsi="Times New Roman" w:eastAsia="宋体" w:cs="宋体"/>
          <w:sz w:val="24"/>
          <w:lang w:val="en-US" w:eastAsia="zh-CN"/>
        </w:rPr>
      </w:pPr>
      <w:r>
        <w:rPr>
          <w:rFonts w:hint="eastAsia" w:ascii="宋体" w:cs="宋体"/>
          <w:sz w:val="24"/>
          <w:lang w:val="en-US" w:eastAsia="zh-CN"/>
        </w:rPr>
        <w:t>1、</w:t>
      </w:r>
      <w:r>
        <w:rPr>
          <w:rFonts w:hint="eastAsia" w:ascii="宋体" w:hAnsi="Times New Roman" w:eastAsia="宋体" w:cs="宋体"/>
          <w:sz w:val="24"/>
          <w:lang w:val="en-US" w:eastAsia="zh-CN"/>
        </w:rPr>
        <w:t>凡拟参加本次招标项目的供应商，如在“信用中国”网站（www.creditchina.gov.cn）和中国政府采购网（www.ccgp.gov.cn）被列入失信被执行人、</w:t>
      </w:r>
      <w:r>
        <w:rPr>
          <w:rFonts w:hint="eastAsia" w:ascii="宋体" w:cs="宋体"/>
          <w:sz w:val="24"/>
          <w:lang w:val="en-US" w:eastAsia="zh-CN"/>
        </w:rPr>
        <w:t>税收违法黑名单</w:t>
      </w:r>
      <w:r>
        <w:rPr>
          <w:rFonts w:hint="eastAsia" w:ascii="宋体" w:hAnsi="Times New Roman" w:eastAsia="宋体" w:cs="宋体"/>
          <w:sz w:val="24"/>
          <w:lang w:val="en-US" w:eastAsia="zh-CN"/>
        </w:rPr>
        <w:t>、政府采购严重违法失信行为记录名单的（尚在处罚期内的），将拒绝其参本次采购活动。</w:t>
      </w:r>
    </w:p>
    <w:p>
      <w:pPr>
        <w:spacing w:line="360" w:lineRule="auto"/>
        <w:ind w:right="-92" w:rightChars="-44"/>
        <w:rPr>
          <w:rFonts w:hint="eastAsia" w:ascii="宋体" w:hAnsi="Times New Roman" w:eastAsia="宋体" w:cs="宋体"/>
          <w:sz w:val="24"/>
          <w:lang w:val="en-US" w:eastAsia="zh-CN"/>
        </w:rPr>
      </w:pPr>
      <w:r>
        <w:rPr>
          <w:rFonts w:hint="eastAsia" w:ascii="宋体" w:hAnsi="Times New Roman" w:eastAsia="宋体" w:cs="宋体"/>
          <w:sz w:val="24"/>
          <w:lang w:val="en-US" w:eastAsia="zh-CN"/>
        </w:rPr>
        <w:t>2、投标保证金凭证。</w:t>
      </w:r>
    </w:p>
    <w:p>
      <w:pPr>
        <w:spacing w:line="360" w:lineRule="auto"/>
        <w:ind w:right="-92" w:rightChars="-44"/>
        <w:rPr>
          <w:rFonts w:hint="default" w:ascii="宋体" w:hAnsi="Times New Roman" w:eastAsia="宋体" w:cs="宋体"/>
          <w:sz w:val="24"/>
          <w:lang w:val="en-US" w:eastAsia="zh-CN"/>
        </w:rPr>
      </w:pPr>
      <w:r>
        <w:rPr>
          <w:rFonts w:hint="eastAsia" w:ascii="宋体" w:hAnsi="Times New Roman" w:eastAsia="宋体" w:cs="宋体"/>
          <w:sz w:val="24"/>
          <w:lang w:val="en-US" w:eastAsia="zh-CN"/>
        </w:rPr>
        <w:t>3、投标人认为有必要提交的其他资料。</w:t>
      </w:r>
    </w:p>
    <w:p>
      <w:pPr>
        <w:spacing w:line="360" w:lineRule="auto"/>
        <w:ind w:right="-92" w:rightChars="-44"/>
        <w:rPr>
          <w:rFonts w:hint="eastAsia" w:ascii="宋体" w:hAnsi="Times New Roman" w:eastAsia="宋体" w:cs="宋体"/>
          <w:sz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34"/>
        <w:rPr>
          <w:rFonts w:hint="eastAsia" w:ascii="Times New Roman" w:hAnsi="Times New Roman" w:eastAsia="宋体" w:cs="Times New Roman"/>
          <w:sz w:val="24"/>
          <w:szCs w:val="24"/>
          <w:lang w:eastAsia="zh-CN"/>
        </w:rPr>
      </w:pPr>
    </w:p>
    <w:p>
      <w:pPr>
        <w:rPr>
          <w:rFonts w:hint="eastAsia"/>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Songti SC">
    <w:altName w:val="宋体"/>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Page \* MERGEFORMAT </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Page \* MERGEFORMAT </w:instrText>
    </w:r>
    <w:r>
      <w:fldChar w:fldCharType="separate"/>
    </w:r>
    <w:r>
      <w:t>81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47AC2"/>
    <w:multiLevelType w:val="singleLevel"/>
    <w:tmpl w:val="8AD47AC2"/>
    <w:lvl w:ilvl="0" w:tentative="0">
      <w:start w:val="11"/>
      <w:numFmt w:val="chineseCounting"/>
      <w:suff w:val="nothing"/>
      <w:lvlText w:val="%1、"/>
      <w:lvlJc w:val="left"/>
      <w:pPr>
        <w:ind w:left="0" w:firstLine="420"/>
      </w:pPr>
      <w:rPr>
        <w:rFonts w:hint="eastAsia"/>
      </w:rPr>
    </w:lvl>
  </w:abstractNum>
  <w:abstractNum w:abstractNumId="1">
    <w:nsid w:val="98DD6EE9"/>
    <w:multiLevelType w:val="singleLevel"/>
    <w:tmpl w:val="98DD6EE9"/>
    <w:lvl w:ilvl="0" w:tentative="0">
      <w:start w:val="9"/>
      <w:numFmt w:val="chineseCounting"/>
      <w:suff w:val="nothing"/>
      <w:lvlText w:val="%1、"/>
      <w:lvlJc w:val="left"/>
      <w:pPr>
        <w:ind w:left="0" w:firstLine="420"/>
      </w:pPr>
      <w:rPr>
        <w:rFonts w:hint="eastAsia"/>
      </w:rPr>
    </w:lvl>
  </w:abstractNum>
  <w:abstractNum w:abstractNumId="2">
    <w:nsid w:val="A3C67FBB"/>
    <w:multiLevelType w:val="singleLevel"/>
    <w:tmpl w:val="A3C67FBB"/>
    <w:lvl w:ilvl="0" w:tentative="0">
      <w:start w:val="3"/>
      <w:numFmt w:val="chineseCounting"/>
      <w:suff w:val="space"/>
      <w:lvlText w:val="第%1部分"/>
      <w:lvlJc w:val="left"/>
      <w:pPr>
        <w:ind w:left="3570"/>
      </w:pPr>
      <w:rPr>
        <w:rFonts w:hint="eastAsia"/>
        <w:sz w:val="32"/>
        <w:szCs w:val="32"/>
      </w:rPr>
    </w:lvl>
  </w:abstractNum>
  <w:abstractNum w:abstractNumId="3">
    <w:nsid w:val="ABE95B2D"/>
    <w:multiLevelType w:val="singleLevel"/>
    <w:tmpl w:val="ABE95B2D"/>
    <w:lvl w:ilvl="0" w:tentative="0">
      <w:start w:val="15"/>
      <w:numFmt w:val="chineseCounting"/>
      <w:suff w:val="nothing"/>
      <w:lvlText w:val="%1、"/>
      <w:lvlJc w:val="left"/>
      <w:pPr>
        <w:ind w:left="0" w:firstLine="420"/>
      </w:pPr>
      <w:rPr>
        <w:rFonts w:hint="eastAsia"/>
      </w:rPr>
    </w:lvl>
  </w:abstractNum>
  <w:abstractNum w:abstractNumId="4">
    <w:nsid w:val="C9AD57AB"/>
    <w:multiLevelType w:val="singleLevel"/>
    <w:tmpl w:val="C9AD57AB"/>
    <w:lvl w:ilvl="0" w:tentative="0">
      <w:start w:val="1"/>
      <w:numFmt w:val="decimal"/>
      <w:suff w:val="nothing"/>
      <w:lvlText w:val="%1、"/>
      <w:lvlJc w:val="left"/>
    </w:lvl>
  </w:abstractNum>
  <w:abstractNum w:abstractNumId="5">
    <w:nsid w:val="CC17248D"/>
    <w:multiLevelType w:val="singleLevel"/>
    <w:tmpl w:val="CC17248D"/>
    <w:lvl w:ilvl="0" w:tentative="0">
      <w:start w:val="1"/>
      <w:numFmt w:val="decimal"/>
      <w:suff w:val="nothing"/>
      <w:lvlText w:val="%1．"/>
      <w:lvlJc w:val="left"/>
      <w:pPr>
        <w:ind w:left="0" w:firstLine="400"/>
      </w:pPr>
      <w:rPr>
        <w:rFonts w:hint="default"/>
      </w:rPr>
    </w:lvl>
  </w:abstractNum>
  <w:abstractNum w:abstractNumId="6">
    <w:nsid w:val="E5032D70"/>
    <w:multiLevelType w:val="singleLevel"/>
    <w:tmpl w:val="E5032D70"/>
    <w:lvl w:ilvl="0" w:tentative="0">
      <w:start w:val="6"/>
      <w:numFmt w:val="chineseCounting"/>
      <w:suff w:val="nothing"/>
      <w:lvlText w:val="%1、"/>
      <w:lvlJc w:val="left"/>
      <w:pPr>
        <w:ind w:left="0" w:firstLine="420"/>
      </w:pPr>
      <w:rPr>
        <w:rFonts w:hint="eastAsia"/>
      </w:rPr>
    </w:lvl>
  </w:abstractNum>
  <w:abstractNum w:abstractNumId="7">
    <w:nsid w:val="E6F952E6"/>
    <w:multiLevelType w:val="singleLevel"/>
    <w:tmpl w:val="E6F952E6"/>
    <w:lvl w:ilvl="0" w:tentative="0">
      <w:start w:val="1"/>
      <w:numFmt w:val="chineseCounting"/>
      <w:suff w:val="nothing"/>
      <w:lvlText w:val="%1、"/>
      <w:lvlJc w:val="left"/>
      <w:pPr>
        <w:ind w:left="0" w:firstLine="420"/>
      </w:pPr>
      <w:rPr>
        <w:rFonts w:hint="eastAsia"/>
      </w:rPr>
    </w:lvl>
  </w:abstractNum>
  <w:abstractNum w:abstractNumId="8">
    <w:nsid w:val="F6BEFFC4"/>
    <w:multiLevelType w:val="singleLevel"/>
    <w:tmpl w:val="F6BEFFC4"/>
    <w:lvl w:ilvl="0" w:tentative="0">
      <w:start w:val="10"/>
      <w:numFmt w:val="chineseCounting"/>
      <w:suff w:val="nothing"/>
      <w:lvlText w:val="%1、"/>
      <w:lvlJc w:val="left"/>
      <w:pPr>
        <w:ind w:left="0" w:firstLine="420"/>
      </w:pPr>
      <w:rPr>
        <w:rFonts w:hint="eastAsia"/>
      </w:rPr>
    </w:lvl>
  </w:abstractNum>
  <w:abstractNum w:abstractNumId="9">
    <w:nsid w:val="09D5E5F6"/>
    <w:multiLevelType w:val="singleLevel"/>
    <w:tmpl w:val="09D5E5F6"/>
    <w:lvl w:ilvl="0" w:tentative="0">
      <w:start w:val="1"/>
      <w:numFmt w:val="chineseCounting"/>
      <w:suff w:val="nothing"/>
      <w:lvlText w:val="%1、"/>
      <w:lvlJc w:val="left"/>
      <w:pPr>
        <w:ind w:left="0" w:firstLine="420"/>
      </w:pPr>
      <w:rPr>
        <w:rFonts w:hint="eastAsia"/>
      </w:rPr>
    </w:lvl>
  </w:abstractNum>
  <w:abstractNum w:abstractNumId="10">
    <w:nsid w:val="0AB27AE2"/>
    <w:multiLevelType w:val="multilevel"/>
    <w:tmpl w:val="0AB27AE2"/>
    <w:lvl w:ilvl="0" w:tentative="0">
      <w:start w:val="1"/>
      <w:numFmt w:val="decimal"/>
      <w:lvlText w:val="%1."/>
      <w:lvlJc w:val="left"/>
      <w:pPr>
        <w:tabs>
          <w:tab w:val="left" w:pos="1363"/>
        </w:tabs>
        <w:ind w:left="1363" w:hanging="825"/>
      </w:pPr>
      <w:rPr>
        <w:rFonts w:hint="default"/>
      </w:rPr>
    </w:lvl>
    <w:lvl w:ilvl="1" w:tentative="0">
      <w:start w:val="1"/>
      <w:numFmt w:val="decimal"/>
      <w:lvlText w:val="%2、"/>
      <w:lvlJc w:val="left"/>
      <w:pPr>
        <w:ind w:left="1678" w:hanging="720"/>
      </w:pPr>
      <w:rPr>
        <w:rFonts w:hint="default"/>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11">
    <w:nsid w:val="15812A10"/>
    <w:multiLevelType w:val="multilevel"/>
    <w:tmpl w:val="15812A10"/>
    <w:lvl w:ilvl="0" w:tentative="0">
      <w:start w:val="1"/>
      <w:numFmt w:val="upperLetter"/>
      <w:pStyle w:val="4"/>
      <w:lvlText w:val="%1、"/>
      <w:lvlJc w:val="left"/>
      <w:pPr>
        <w:tabs>
          <w:tab w:val="left" w:pos="360"/>
        </w:tabs>
        <w:ind w:left="570" w:hanging="360"/>
      </w:pPr>
    </w:lvl>
    <w:lvl w:ilvl="1" w:tentative="0">
      <w:start w:val="1"/>
      <w:numFmt w:val="decimal"/>
      <w:lvlText w:val="%2."/>
      <w:lvlJc w:val="left"/>
      <w:pPr>
        <w:tabs>
          <w:tab w:val="left" w:pos="780"/>
        </w:tabs>
        <w:ind w:left="990" w:hanging="360"/>
      </w:pPr>
    </w:lvl>
    <w:lvl w:ilvl="2" w:tentative="0">
      <w:start w:val="1"/>
      <w:numFmt w:val="lowerRoman"/>
      <w:lvlText w:val="%3."/>
      <w:lvlJc w:val="right"/>
      <w:pPr>
        <w:tabs>
          <w:tab w:val="left" w:pos="1260"/>
        </w:tabs>
        <w:ind w:left="1470" w:hanging="420"/>
      </w:pPr>
    </w:lvl>
    <w:lvl w:ilvl="3" w:tentative="0">
      <w:start w:val="1"/>
      <w:numFmt w:val="decimal"/>
      <w:lvlText w:val="%4."/>
      <w:lvlJc w:val="left"/>
      <w:pPr>
        <w:tabs>
          <w:tab w:val="left" w:pos="1680"/>
        </w:tabs>
        <w:ind w:left="1890" w:hanging="420"/>
      </w:pPr>
    </w:lvl>
    <w:lvl w:ilvl="4" w:tentative="0">
      <w:start w:val="1"/>
      <w:numFmt w:val="lowerLetter"/>
      <w:pStyle w:val="9"/>
      <w:lvlText w:val="%5)"/>
      <w:lvlJc w:val="left"/>
      <w:pPr>
        <w:tabs>
          <w:tab w:val="left" w:pos="2100"/>
        </w:tabs>
        <w:ind w:left="2310" w:hanging="420"/>
      </w:pPr>
    </w:lvl>
    <w:lvl w:ilvl="5" w:tentative="0">
      <w:start w:val="1"/>
      <w:numFmt w:val="lowerRoman"/>
      <w:pStyle w:val="10"/>
      <w:lvlText w:val="%6."/>
      <w:lvlJc w:val="right"/>
      <w:pPr>
        <w:tabs>
          <w:tab w:val="left" w:pos="2520"/>
        </w:tabs>
        <w:ind w:left="2730" w:hanging="420"/>
      </w:pPr>
    </w:lvl>
    <w:lvl w:ilvl="6" w:tentative="0">
      <w:start w:val="1"/>
      <w:numFmt w:val="decimal"/>
      <w:pStyle w:val="11"/>
      <w:lvlText w:val="%7."/>
      <w:lvlJc w:val="left"/>
      <w:pPr>
        <w:tabs>
          <w:tab w:val="left" w:pos="2940"/>
        </w:tabs>
        <w:ind w:left="3150" w:hanging="420"/>
      </w:pPr>
    </w:lvl>
    <w:lvl w:ilvl="7" w:tentative="0">
      <w:start w:val="1"/>
      <w:numFmt w:val="lowerLetter"/>
      <w:pStyle w:val="12"/>
      <w:lvlText w:val="%8)"/>
      <w:lvlJc w:val="left"/>
      <w:pPr>
        <w:tabs>
          <w:tab w:val="left" w:pos="3360"/>
        </w:tabs>
        <w:ind w:left="3570" w:hanging="420"/>
      </w:pPr>
    </w:lvl>
    <w:lvl w:ilvl="8" w:tentative="0">
      <w:start w:val="1"/>
      <w:numFmt w:val="lowerRoman"/>
      <w:pStyle w:val="13"/>
      <w:lvlText w:val="%9."/>
      <w:lvlJc w:val="right"/>
      <w:pPr>
        <w:tabs>
          <w:tab w:val="left" w:pos="3780"/>
        </w:tabs>
        <w:ind w:left="3990" w:hanging="420"/>
      </w:pPr>
    </w:lvl>
  </w:abstractNum>
  <w:abstractNum w:abstractNumId="12">
    <w:nsid w:val="206F0BCD"/>
    <w:multiLevelType w:val="multilevel"/>
    <w:tmpl w:val="206F0B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0C85150"/>
    <w:multiLevelType w:val="multilevel"/>
    <w:tmpl w:val="20C8515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2AE1ACD"/>
    <w:multiLevelType w:val="multilevel"/>
    <w:tmpl w:val="22AE1ACD"/>
    <w:lvl w:ilvl="0" w:tentative="0">
      <w:start w:val="1"/>
      <w:numFmt w:val="decimal"/>
      <w:lvlText w:val="%1."/>
      <w:lvlJc w:val="left"/>
      <w:pPr>
        <w:ind w:left="751" w:hanging="420"/>
      </w:pPr>
    </w:lvl>
    <w:lvl w:ilvl="1" w:tentative="0">
      <w:start w:val="1"/>
      <w:numFmt w:val="lowerLetter"/>
      <w:lvlText w:val="%2)"/>
      <w:lvlJc w:val="left"/>
      <w:pPr>
        <w:ind w:left="1171" w:hanging="420"/>
      </w:pPr>
    </w:lvl>
    <w:lvl w:ilvl="2" w:tentative="0">
      <w:start w:val="1"/>
      <w:numFmt w:val="lowerRoman"/>
      <w:lvlText w:val="%3."/>
      <w:lvlJc w:val="right"/>
      <w:pPr>
        <w:ind w:left="1591" w:hanging="420"/>
      </w:pPr>
    </w:lvl>
    <w:lvl w:ilvl="3" w:tentative="0">
      <w:start w:val="1"/>
      <w:numFmt w:val="decimal"/>
      <w:lvlText w:val="%4."/>
      <w:lvlJc w:val="left"/>
      <w:pPr>
        <w:ind w:left="2011" w:hanging="420"/>
      </w:pPr>
    </w:lvl>
    <w:lvl w:ilvl="4" w:tentative="0">
      <w:start w:val="1"/>
      <w:numFmt w:val="lowerLetter"/>
      <w:lvlText w:val="%5)"/>
      <w:lvlJc w:val="left"/>
      <w:pPr>
        <w:ind w:left="2431" w:hanging="420"/>
      </w:pPr>
    </w:lvl>
    <w:lvl w:ilvl="5" w:tentative="0">
      <w:start w:val="1"/>
      <w:numFmt w:val="lowerRoman"/>
      <w:lvlText w:val="%6."/>
      <w:lvlJc w:val="right"/>
      <w:pPr>
        <w:ind w:left="2851" w:hanging="420"/>
      </w:pPr>
    </w:lvl>
    <w:lvl w:ilvl="6" w:tentative="0">
      <w:start w:val="1"/>
      <w:numFmt w:val="decimal"/>
      <w:lvlText w:val="%7."/>
      <w:lvlJc w:val="left"/>
      <w:pPr>
        <w:ind w:left="3271" w:hanging="420"/>
      </w:pPr>
    </w:lvl>
    <w:lvl w:ilvl="7" w:tentative="0">
      <w:start w:val="1"/>
      <w:numFmt w:val="lowerLetter"/>
      <w:lvlText w:val="%8)"/>
      <w:lvlJc w:val="left"/>
      <w:pPr>
        <w:ind w:left="3691" w:hanging="420"/>
      </w:pPr>
    </w:lvl>
    <w:lvl w:ilvl="8" w:tentative="0">
      <w:start w:val="1"/>
      <w:numFmt w:val="lowerRoman"/>
      <w:lvlText w:val="%9."/>
      <w:lvlJc w:val="right"/>
      <w:pPr>
        <w:ind w:left="4111" w:hanging="420"/>
      </w:pPr>
    </w:lvl>
  </w:abstractNum>
  <w:abstractNum w:abstractNumId="15">
    <w:nsid w:val="2EC62334"/>
    <w:multiLevelType w:val="multilevel"/>
    <w:tmpl w:val="2EC62334"/>
    <w:lvl w:ilvl="0" w:tentative="0">
      <w:start w:val="1"/>
      <w:numFmt w:val="decimal"/>
      <w:lvlText w:val="%1."/>
      <w:lvlJc w:val="left"/>
      <w:pPr>
        <w:tabs>
          <w:tab w:val="left" w:pos="1363"/>
        </w:tabs>
        <w:ind w:left="1363" w:hanging="825"/>
      </w:pPr>
      <w:rPr>
        <w:rFonts w:hint="default"/>
      </w:rPr>
    </w:lvl>
    <w:lvl w:ilvl="1" w:tentative="0">
      <w:start w:val="1"/>
      <w:numFmt w:val="decimal"/>
      <w:lvlText w:val="%2、"/>
      <w:lvlJc w:val="left"/>
      <w:pPr>
        <w:ind w:left="1678" w:hanging="720"/>
      </w:pPr>
      <w:rPr>
        <w:rFonts w:hint="default"/>
      </w:r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16">
    <w:nsid w:val="30E5EB62"/>
    <w:multiLevelType w:val="singleLevel"/>
    <w:tmpl w:val="30E5EB62"/>
    <w:lvl w:ilvl="0" w:tentative="0">
      <w:start w:val="13"/>
      <w:numFmt w:val="chineseCounting"/>
      <w:suff w:val="nothing"/>
      <w:lvlText w:val="%1、"/>
      <w:lvlJc w:val="left"/>
      <w:pPr>
        <w:ind w:left="0" w:firstLine="420"/>
      </w:pPr>
      <w:rPr>
        <w:rFonts w:hint="eastAsia"/>
      </w:rPr>
    </w:lvl>
  </w:abstractNum>
  <w:abstractNum w:abstractNumId="17">
    <w:nsid w:val="3214FFE2"/>
    <w:multiLevelType w:val="singleLevel"/>
    <w:tmpl w:val="3214FFE2"/>
    <w:lvl w:ilvl="0" w:tentative="0">
      <w:start w:val="5"/>
      <w:numFmt w:val="chineseCounting"/>
      <w:suff w:val="nothing"/>
      <w:lvlText w:val="%1、"/>
      <w:lvlJc w:val="left"/>
      <w:pPr>
        <w:ind w:left="0" w:firstLine="397"/>
      </w:pPr>
      <w:rPr>
        <w:rFonts w:hint="eastAsia"/>
      </w:rPr>
    </w:lvl>
  </w:abstractNum>
  <w:abstractNum w:abstractNumId="18">
    <w:nsid w:val="3F271991"/>
    <w:multiLevelType w:val="singleLevel"/>
    <w:tmpl w:val="3F271991"/>
    <w:lvl w:ilvl="0" w:tentative="0">
      <w:start w:val="14"/>
      <w:numFmt w:val="chineseCounting"/>
      <w:suff w:val="nothing"/>
      <w:lvlText w:val="%1、"/>
      <w:lvlJc w:val="left"/>
      <w:pPr>
        <w:ind w:left="0" w:firstLine="420"/>
      </w:pPr>
      <w:rPr>
        <w:rFonts w:hint="eastAsia"/>
      </w:rPr>
    </w:lvl>
  </w:abstractNum>
  <w:abstractNum w:abstractNumId="19">
    <w:nsid w:val="4590783A"/>
    <w:multiLevelType w:val="singleLevel"/>
    <w:tmpl w:val="4590783A"/>
    <w:lvl w:ilvl="0" w:tentative="0">
      <w:start w:val="1"/>
      <w:numFmt w:val="decimal"/>
      <w:suff w:val="nothing"/>
      <w:lvlText w:val="%1．"/>
      <w:lvlJc w:val="left"/>
      <w:pPr>
        <w:ind w:left="0" w:firstLine="400"/>
      </w:pPr>
      <w:rPr>
        <w:rFonts w:hint="default"/>
      </w:rPr>
    </w:lvl>
  </w:abstractNum>
  <w:abstractNum w:abstractNumId="20">
    <w:nsid w:val="4D90CD67"/>
    <w:multiLevelType w:val="singleLevel"/>
    <w:tmpl w:val="4D90CD67"/>
    <w:lvl w:ilvl="0" w:tentative="0">
      <w:start w:val="12"/>
      <w:numFmt w:val="chineseCounting"/>
      <w:suff w:val="nothing"/>
      <w:lvlText w:val="%1、"/>
      <w:lvlJc w:val="left"/>
      <w:pPr>
        <w:ind w:left="0" w:firstLine="420"/>
      </w:pPr>
      <w:rPr>
        <w:rFonts w:hint="eastAsia"/>
      </w:rPr>
    </w:lvl>
  </w:abstractNum>
  <w:abstractNum w:abstractNumId="21">
    <w:nsid w:val="4E1A0935"/>
    <w:multiLevelType w:val="singleLevel"/>
    <w:tmpl w:val="4E1A0935"/>
    <w:lvl w:ilvl="0" w:tentative="0">
      <w:start w:val="4"/>
      <w:numFmt w:val="chineseCounting"/>
      <w:suff w:val="nothing"/>
      <w:lvlText w:val="%1、"/>
      <w:lvlJc w:val="left"/>
      <w:pPr>
        <w:ind w:left="0" w:firstLine="420"/>
      </w:pPr>
      <w:rPr>
        <w:rFonts w:hint="eastAsia"/>
      </w:rPr>
    </w:lvl>
  </w:abstractNum>
  <w:abstractNum w:abstractNumId="22">
    <w:nsid w:val="5451905F"/>
    <w:multiLevelType w:val="singleLevel"/>
    <w:tmpl w:val="5451905F"/>
    <w:lvl w:ilvl="0" w:tentative="0">
      <w:start w:val="1"/>
      <w:numFmt w:val="chineseCounting"/>
      <w:suff w:val="nothing"/>
      <w:lvlText w:val="%1、"/>
      <w:lvlJc w:val="left"/>
    </w:lvl>
  </w:abstractNum>
  <w:abstractNum w:abstractNumId="23">
    <w:nsid w:val="5ACC8048"/>
    <w:multiLevelType w:val="singleLevel"/>
    <w:tmpl w:val="5ACC8048"/>
    <w:lvl w:ilvl="0" w:tentative="0">
      <w:start w:val="1"/>
      <w:numFmt w:val="chineseCounting"/>
      <w:suff w:val="nothing"/>
      <w:lvlText w:val="%1、"/>
      <w:lvlJc w:val="left"/>
      <w:pPr>
        <w:ind w:left="-52"/>
      </w:pPr>
    </w:lvl>
  </w:abstractNum>
  <w:abstractNum w:abstractNumId="24">
    <w:nsid w:val="63C2191C"/>
    <w:multiLevelType w:val="singleLevel"/>
    <w:tmpl w:val="63C2191C"/>
    <w:lvl w:ilvl="0" w:tentative="0">
      <w:start w:val="16"/>
      <w:numFmt w:val="chineseCounting"/>
      <w:suff w:val="nothing"/>
      <w:lvlText w:val="%1、"/>
      <w:lvlJc w:val="left"/>
      <w:pPr>
        <w:ind w:left="0" w:firstLine="420"/>
      </w:pPr>
      <w:rPr>
        <w:rFonts w:hint="eastAsia"/>
      </w:rPr>
    </w:lvl>
  </w:abstractNum>
  <w:abstractNum w:abstractNumId="25">
    <w:nsid w:val="713A6135"/>
    <w:multiLevelType w:val="singleLevel"/>
    <w:tmpl w:val="713A6135"/>
    <w:lvl w:ilvl="0" w:tentative="0">
      <w:start w:val="7"/>
      <w:numFmt w:val="chineseCounting"/>
      <w:suff w:val="nothing"/>
      <w:lvlText w:val="%1、"/>
      <w:lvlJc w:val="left"/>
      <w:pPr>
        <w:ind w:left="0" w:firstLine="420"/>
      </w:pPr>
      <w:rPr>
        <w:rFonts w:hint="eastAsia"/>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
  </w:num>
  <w:num w:numId="4">
    <w:abstractNumId w:val="22"/>
  </w:num>
  <w:num w:numId="5">
    <w:abstractNumId w:val="5"/>
  </w:num>
  <w:num w:numId="6">
    <w:abstractNumId w:val="19"/>
  </w:num>
  <w:num w:numId="7">
    <w:abstractNumId w:val="7"/>
  </w:num>
  <w:num w:numId="8">
    <w:abstractNumId w:val="9"/>
  </w:num>
  <w:num w:numId="9">
    <w:abstractNumId w:val="21"/>
  </w:num>
  <w:num w:numId="10">
    <w:abstractNumId w:val="13"/>
  </w:num>
  <w:num w:numId="11">
    <w:abstractNumId w:val="17"/>
  </w:num>
  <w:num w:numId="12">
    <w:abstractNumId w:val="6"/>
  </w:num>
  <w:num w:numId="13">
    <w:abstractNumId w:val="25"/>
  </w:num>
  <w:num w:numId="14">
    <w:abstractNumId w:val="15"/>
  </w:num>
  <w:num w:numId="15">
    <w:abstractNumId w:val="1"/>
  </w:num>
  <w:num w:numId="16">
    <w:abstractNumId w:val="8"/>
  </w:num>
  <w:num w:numId="17">
    <w:abstractNumId w:val="0"/>
  </w:num>
  <w:num w:numId="18">
    <w:abstractNumId w:val="14"/>
  </w:num>
  <w:num w:numId="19">
    <w:abstractNumId w:val="20"/>
  </w:num>
  <w:num w:numId="20">
    <w:abstractNumId w:val="10"/>
  </w:num>
  <w:num w:numId="21">
    <w:abstractNumId w:val="16"/>
  </w:num>
  <w:num w:numId="22">
    <w:abstractNumId w:val="18"/>
  </w:num>
  <w:num w:numId="23">
    <w:abstractNumId w:val="3"/>
  </w:num>
  <w:num w:numId="24">
    <w:abstractNumId w:val="1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NTkxNTQxNTM2MDA2NDk1MzRmZTA0MmI1NTFjZDAifQ=="/>
  </w:docVars>
  <w:rsids>
    <w:rsidRoot w:val="0008252C"/>
    <w:rsid w:val="00027219"/>
    <w:rsid w:val="000679DE"/>
    <w:rsid w:val="00071E6E"/>
    <w:rsid w:val="0008252C"/>
    <w:rsid w:val="000A22AB"/>
    <w:rsid w:val="000A2B37"/>
    <w:rsid w:val="000B38FF"/>
    <w:rsid w:val="000C1685"/>
    <w:rsid w:val="000C736D"/>
    <w:rsid w:val="000E46F4"/>
    <w:rsid w:val="000F5EAD"/>
    <w:rsid w:val="00104565"/>
    <w:rsid w:val="00105699"/>
    <w:rsid w:val="00110D03"/>
    <w:rsid w:val="00121055"/>
    <w:rsid w:val="001233F6"/>
    <w:rsid w:val="001309FE"/>
    <w:rsid w:val="00154571"/>
    <w:rsid w:val="00173BC3"/>
    <w:rsid w:val="00175054"/>
    <w:rsid w:val="00190BBF"/>
    <w:rsid w:val="001B553E"/>
    <w:rsid w:val="001B64F0"/>
    <w:rsid w:val="001D027B"/>
    <w:rsid w:val="00217F6C"/>
    <w:rsid w:val="00247A1D"/>
    <w:rsid w:val="002529B7"/>
    <w:rsid w:val="0026275A"/>
    <w:rsid w:val="00264E14"/>
    <w:rsid w:val="0027180C"/>
    <w:rsid w:val="00292929"/>
    <w:rsid w:val="002A0A7B"/>
    <w:rsid w:val="002E1D99"/>
    <w:rsid w:val="002E7699"/>
    <w:rsid w:val="00314EDD"/>
    <w:rsid w:val="00320FE8"/>
    <w:rsid w:val="00325EF5"/>
    <w:rsid w:val="00335ABA"/>
    <w:rsid w:val="003364F5"/>
    <w:rsid w:val="00350298"/>
    <w:rsid w:val="003541BD"/>
    <w:rsid w:val="00364259"/>
    <w:rsid w:val="00374C2F"/>
    <w:rsid w:val="00375B70"/>
    <w:rsid w:val="00383F4A"/>
    <w:rsid w:val="003A07F4"/>
    <w:rsid w:val="003B4593"/>
    <w:rsid w:val="003C2A2C"/>
    <w:rsid w:val="003C79A8"/>
    <w:rsid w:val="003D2995"/>
    <w:rsid w:val="003D5A04"/>
    <w:rsid w:val="003E1A11"/>
    <w:rsid w:val="003E3C36"/>
    <w:rsid w:val="0041143E"/>
    <w:rsid w:val="00453AA7"/>
    <w:rsid w:val="00461D7D"/>
    <w:rsid w:val="00486495"/>
    <w:rsid w:val="0049332E"/>
    <w:rsid w:val="0049578C"/>
    <w:rsid w:val="004A467F"/>
    <w:rsid w:val="004B4E02"/>
    <w:rsid w:val="004B5AF2"/>
    <w:rsid w:val="004B637C"/>
    <w:rsid w:val="004B7E06"/>
    <w:rsid w:val="004C1C52"/>
    <w:rsid w:val="004D3DF0"/>
    <w:rsid w:val="004F5D65"/>
    <w:rsid w:val="005503D7"/>
    <w:rsid w:val="005537E9"/>
    <w:rsid w:val="00561F8C"/>
    <w:rsid w:val="005942A6"/>
    <w:rsid w:val="005B5EEC"/>
    <w:rsid w:val="0060004F"/>
    <w:rsid w:val="00623EB8"/>
    <w:rsid w:val="0063527A"/>
    <w:rsid w:val="00643549"/>
    <w:rsid w:val="00677362"/>
    <w:rsid w:val="006A55A4"/>
    <w:rsid w:val="006C4B80"/>
    <w:rsid w:val="006D681F"/>
    <w:rsid w:val="006E4350"/>
    <w:rsid w:val="00710774"/>
    <w:rsid w:val="0071422D"/>
    <w:rsid w:val="00720369"/>
    <w:rsid w:val="007205C2"/>
    <w:rsid w:val="00722A0C"/>
    <w:rsid w:val="00722A3A"/>
    <w:rsid w:val="0073396F"/>
    <w:rsid w:val="0073596C"/>
    <w:rsid w:val="00735FF7"/>
    <w:rsid w:val="007718E0"/>
    <w:rsid w:val="00776F38"/>
    <w:rsid w:val="007878B5"/>
    <w:rsid w:val="007D6ABB"/>
    <w:rsid w:val="007F0C5C"/>
    <w:rsid w:val="008023B5"/>
    <w:rsid w:val="00803F54"/>
    <w:rsid w:val="00804C9F"/>
    <w:rsid w:val="00810572"/>
    <w:rsid w:val="00816E0B"/>
    <w:rsid w:val="00821107"/>
    <w:rsid w:val="0085360C"/>
    <w:rsid w:val="0085540B"/>
    <w:rsid w:val="008771CA"/>
    <w:rsid w:val="00877C80"/>
    <w:rsid w:val="008960A6"/>
    <w:rsid w:val="008B64F4"/>
    <w:rsid w:val="008B7746"/>
    <w:rsid w:val="008E7CB2"/>
    <w:rsid w:val="008F33CE"/>
    <w:rsid w:val="00907CDB"/>
    <w:rsid w:val="0095302C"/>
    <w:rsid w:val="0096245C"/>
    <w:rsid w:val="00977CA5"/>
    <w:rsid w:val="00982599"/>
    <w:rsid w:val="009840AE"/>
    <w:rsid w:val="00993309"/>
    <w:rsid w:val="009A005D"/>
    <w:rsid w:val="009A674E"/>
    <w:rsid w:val="009D3121"/>
    <w:rsid w:val="009D3206"/>
    <w:rsid w:val="009D5C8B"/>
    <w:rsid w:val="009D694C"/>
    <w:rsid w:val="009E6810"/>
    <w:rsid w:val="009F3C33"/>
    <w:rsid w:val="00A05D86"/>
    <w:rsid w:val="00A17FE9"/>
    <w:rsid w:val="00A314F5"/>
    <w:rsid w:val="00A3202F"/>
    <w:rsid w:val="00A36883"/>
    <w:rsid w:val="00A4082E"/>
    <w:rsid w:val="00A57072"/>
    <w:rsid w:val="00A646A9"/>
    <w:rsid w:val="00A83BA7"/>
    <w:rsid w:val="00AB6472"/>
    <w:rsid w:val="00AB7767"/>
    <w:rsid w:val="00AD5029"/>
    <w:rsid w:val="00AD5A4E"/>
    <w:rsid w:val="00AE69E9"/>
    <w:rsid w:val="00AF4D85"/>
    <w:rsid w:val="00B11CC3"/>
    <w:rsid w:val="00B12B77"/>
    <w:rsid w:val="00B21003"/>
    <w:rsid w:val="00B40B79"/>
    <w:rsid w:val="00B42C2B"/>
    <w:rsid w:val="00B5196F"/>
    <w:rsid w:val="00B6043E"/>
    <w:rsid w:val="00B63F2B"/>
    <w:rsid w:val="00B902A9"/>
    <w:rsid w:val="00B91930"/>
    <w:rsid w:val="00B94CC6"/>
    <w:rsid w:val="00BA2507"/>
    <w:rsid w:val="00BA3FB1"/>
    <w:rsid w:val="00BA4EA9"/>
    <w:rsid w:val="00BA609B"/>
    <w:rsid w:val="00BC0A56"/>
    <w:rsid w:val="00BD6A67"/>
    <w:rsid w:val="00C00B2A"/>
    <w:rsid w:val="00C05B0A"/>
    <w:rsid w:val="00C144CC"/>
    <w:rsid w:val="00C24E60"/>
    <w:rsid w:val="00C36CE6"/>
    <w:rsid w:val="00C477FB"/>
    <w:rsid w:val="00C703E8"/>
    <w:rsid w:val="00C94EDE"/>
    <w:rsid w:val="00CC400D"/>
    <w:rsid w:val="00CD30AA"/>
    <w:rsid w:val="00CE4D7C"/>
    <w:rsid w:val="00D123AF"/>
    <w:rsid w:val="00D4051B"/>
    <w:rsid w:val="00D4540B"/>
    <w:rsid w:val="00D475DE"/>
    <w:rsid w:val="00D5335B"/>
    <w:rsid w:val="00DA1609"/>
    <w:rsid w:val="00DD0EF8"/>
    <w:rsid w:val="00DF6BF1"/>
    <w:rsid w:val="00DF6FA1"/>
    <w:rsid w:val="00E02B3F"/>
    <w:rsid w:val="00E05FEC"/>
    <w:rsid w:val="00E1531C"/>
    <w:rsid w:val="00E24051"/>
    <w:rsid w:val="00E36395"/>
    <w:rsid w:val="00E43DC8"/>
    <w:rsid w:val="00E444ED"/>
    <w:rsid w:val="00E44755"/>
    <w:rsid w:val="00E521BB"/>
    <w:rsid w:val="00EB356A"/>
    <w:rsid w:val="00EE29B1"/>
    <w:rsid w:val="00EF00A7"/>
    <w:rsid w:val="00EF66E7"/>
    <w:rsid w:val="00F2309E"/>
    <w:rsid w:val="00F30F66"/>
    <w:rsid w:val="00FA42B3"/>
    <w:rsid w:val="00FB2C99"/>
    <w:rsid w:val="00FD1066"/>
    <w:rsid w:val="00FF3934"/>
    <w:rsid w:val="01124459"/>
    <w:rsid w:val="065D3AB0"/>
    <w:rsid w:val="06C25826"/>
    <w:rsid w:val="0BD121FE"/>
    <w:rsid w:val="12F970BE"/>
    <w:rsid w:val="19B7620F"/>
    <w:rsid w:val="1A2B430A"/>
    <w:rsid w:val="20C12EBD"/>
    <w:rsid w:val="234C24B4"/>
    <w:rsid w:val="23EE7C40"/>
    <w:rsid w:val="269C5EA3"/>
    <w:rsid w:val="29B17AB5"/>
    <w:rsid w:val="2CF3692C"/>
    <w:rsid w:val="306D4644"/>
    <w:rsid w:val="31593543"/>
    <w:rsid w:val="32CD1250"/>
    <w:rsid w:val="364332F1"/>
    <w:rsid w:val="37484445"/>
    <w:rsid w:val="37FD2CDC"/>
    <w:rsid w:val="395B5A4B"/>
    <w:rsid w:val="3A6657DC"/>
    <w:rsid w:val="3A8E6BD8"/>
    <w:rsid w:val="3C222B7C"/>
    <w:rsid w:val="3ECE4B13"/>
    <w:rsid w:val="3F9CA15E"/>
    <w:rsid w:val="3FE38F80"/>
    <w:rsid w:val="4113350C"/>
    <w:rsid w:val="42F500EF"/>
    <w:rsid w:val="43406A82"/>
    <w:rsid w:val="443B5FD6"/>
    <w:rsid w:val="45801F67"/>
    <w:rsid w:val="47406D70"/>
    <w:rsid w:val="49CB792D"/>
    <w:rsid w:val="4B750BE3"/>
    <w:rsid w:val="4C3E3365"/>
    <w:rsid w:val="4D137405"/>
    <w:rsid w:val="4D6E50DD"/>
    <w:rsid w:val="4EEC09F2"/>
    <w:rsid w:val="4FDB3207"/>
    <w:rsid w:val="4FE1209A"/>
    <w:rsid w:val="50604931"/>
    <w:rsid w:val="5459799F"/>
    <w:rsid w:val="5847430A"/>
    <w:rsid w:val="59AD3F1A"/>
    <w:rsid w:val="5CF80F4F"/>
    <w:rsid w:val="5D376AF7"/>
    <w:rsid w:val="5FCE6F8F"/>
    <w:rsid w:val="5FFFD5B7"/>
    <w:rsid w:val="602108B0"/>
    <w:rsid w:val="63672390"/>
    <w:rsid w:val="63EED54B"/>
    <w:rsid w:val="65486821"/>
    <w:rsid w:val="67FD7482"/>
    <w:rsid w:val="68CF58DD"/>
    <w:rsid w:val="6D126E8D"/>
    <w:rsid w:val="6EB444EA"/>
    <w:rsid w:val="6FF90AE1"/>
    <w:rsid w:val="716A3DB9"/>
    <w:rsid w:val="7395391C"/>
    <w:rsid w:val="74753A58"/>
    <w:rsid w:val="74AB4152"/>
    <w:rsid w:val="74BC6555"/>
    <w:rsid w:val="74CA1EF1"/>
    <w:rsid w:val="766F877C"/>
    <w:rsid w:val="77775E04"/>
    <w:rsid w:val="77DFA59B"/>
    <w:rsid w:val="788A42C2"/>
    <w:rsid w:val="7AFD6973"/>
    <w:rsid w:val="7B220C94"/>
    <w:rsid w:val="7BFBA55C"/>
    <w:rsid w:val="7D815796"/>
    <w:rsid w:val="7DF7AE88"/>
    <w:rsid w:val="7EBB2EE3"/>
    <w:rsid w:val="7EFF3DA2"/>
    <w:rsid w:val="7F2A5F1A"/>
    <w:rsid w:val="7FDD6E93"/>
    <w:rsid w:val="7FEFB957"/>
    <w:rsid w:val="7FFD07B9"/>
    <w:rsid w:val="9CFA487F"/>
    <w:rsid w:val="9D595019"/>
    <w:rsid w:val="9FBB60D6"/>
    <w:rsid w:val="A5DCB558"/>
    <w:rsid w:val="A7DF96F4"/>
    <w:rsid w:val="B1FE58B8"/>
    <w:rsid w:val="BBFDD14B"/>
    <w:rsid w:val="BEF7898D"/>
    <w:rsid w:val="CB5CF496"/>
    <w:rsid w:val="E4FF76DA"/>
    <w:rsid w:val="EB7ECE3F"/>
    <w:rsid w:val="EF7F9A3C"/>
    <w:rsid w:val="F5FF7800"/>
    <w:rsid w:val="F76FA176"/>
    <w:rsid w:val="F7DF652D"/>
    <w:rsid w:val="F7F136F0"/>
    <w:rsid w:val="F7FF728A"/>
    <w:rsid w:val="F95F90BB"/>
    <w:rsid w:val="F9BD9107"/>
    <w:rsid w:val="FDAD7C84"/>
    <w:rsid w:val="FED4449C"/>
    <w:rsid w:val="FEFF2622"/>
    <w:rsid w:val="FEFF27B3"/>
    <w:rsid w:val="FFAED4B0"/>
    <w:rsid w:val="FFF8C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0"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1"/>
    <w:link w:val="243"/>
    <w:qFormat/>
    <w:uiPriority w:val="9"/>
    <w:pPr>
      <w:keepNext/>
      <w:numPr>
        <w:ilvl w:val="0"/>
        <w:numId w:val="1"/>
      </w:numPr>
      <w:outlineLvl w:val="0"/>
    </w:pPr>
  </w:style>
  <w:style w:type="paragraph" w:styleId="6">
    <w:name w:val="heading 2"/>
    <w:basedOn w:val="1"/>
    <w:next w:val="1"/>
    <w:link w:val="264"/>
    <w:unhideWhenUsed/>
    <w:qFormat/>
    <w:uiPriority w:val="9"/>
    <w:pPr>
      <w:keepNext/>
      <w:keepLines/>
      <w:spacing w:before="260" w:after="260" w:line="415" w:lineRule="auto"/>
      <w:outlineLvl w:val="1"/>
    </w:pPr>
    <w:rPr>
      <w:rFonts w:ascii="Arial" w:hAnsi="Arial" w:eastAsia="黑体"/>
      <w:b/>
      <w:sz w:val="32"/>
    </w:rPr>
  </w:style>
  <w:style w:type="paragraph" w:styleId="7">
    <w:name w:val="heading 3"/>
    <w:basedOn w:val="1"/>
    <w:next w:val="1"/>
    <w:link w:val="62"/>
    <w:unhideWhenUsed/>
    <w:qFormat/>
    <w:uiPriority w:val="0"/>
    <w:pPr>
      <w:keepNext/>
      <w:keepLines/>
      <w:spacing w:before="260" w:after="260" w:line="415" w:lineRule="auto"/>
      <w:outlineLvl w:val="2"/>
    </w:pPr>
    <w:rPr>
      <w:b/>
      <w:bCs/>
      <w:sz w:val="32"/>
      <w:szCs w:val="32"/>
    </w:rPr>
  </w:style>
  <w:style w:type="paragraph" w:styleId="8">
    <w:name w:val="heading 4"/>
    <w:basedOn w:val="1"/>
    <w:next w:val="1"/>
    <w:link w:val="63"/>
    <w:unhideWhenUsed/>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link w:val="64"/>
    <w:unhideWhenUsed/>
    <w:qFormat/>
    <w:uiPriority w:val="0"/>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10">
    <w:name w:val="heading 6"/>
    <w:basedOn w:val="1"/>
    <w:next w:val="1"/>
    <w:link w:val="65"/>
    <w:unhideWhenUsed/>
    <w:qFormat/>
    <w:uiPriority w:val="9"/>
    <w:pPr>
      <w:keepNext/>
      <w:keepLines/>
      <w:widowControl/>
      <w:numPr>
        <w:ilvl w:val="5"/>
        <w:numId w:val="1"/>
      </w:numPr>
      <w:tabs>
        <w:tab w:val="left" w:pos="1152"/>
      </w:tabs>
      <w:spacing w:before="240" w:after="64" w:line="316" w:lineRule="auto"/>
      <w:jc w:val="left"/>
      <w:outlineLvl w:val="5"/>
    </w:pPr>
    <w:rPr>
      <w:rFonts w:ascii="Arial" w:hAnsi="Arial" w:eastAsia="黑体"/>
      <w:b/>
      <w:kern w:val="0"/>
      <w:sz w:val="24"/>
    </w:rPr>
  </w:style>
  <w:style w:type="paragraph" w:styleId="11">
    <w:name w:val="heading 7"/>
    <w:basedOn w:val="1"/>
    <w:next w:val="1"/>
    <w:link w:val="66"/>
    <w:unhideWhenUsed/>
    <w:qFormat/>
    <w:uiPriority w:val="99"/>
    <w:pPr>
      <w:keepNext/>
      <w:keepLines/>
      <w:widowControl/>
      <w:numPr>
        <w:ilvl w:val="6"/>
        <w:numId w:val="1"/>
      </w:numPr>
      <w:tabs>
        <w:tab w:val="left" w:pos="1296"/>
      </w:tabs>
      <w:spacing w:before="240" w:after="64" w:line="316" w:lineRule="auto"/>
      <w:jc w:val="left"/>
      <w:outlineLvl w:val="6"/>
    </w:pPr>
    <w:rPr>
      <w:b/>
      <w:kern w:val="0"/>
      <w:sz w:val="24"/>
    </w:rPr>
  </w:style>
  <w:style w:type="paragraph" w:styleId="12">
    <w:name w:val="heading 8"/>
    <w:basedOn w:val="1"/>
    <w:next w:val="1"/>
    <w:link w:val="67"/>
    <w:unhideWhenUsed/>
    <w:qFormat/>
    <w:uiPriority w:val="99"/>
    <w:pPr>
      <w:keepNext/>
      <w:keepLines/>
      <w:widowControl/>
      <w:numPr>
        <w:ilvl w:val="7"/>
        <w:numId w:val="1"/>
      </w:numPr>
      <w:tabs>
        <w:tab w:val="left" w:pos="1440"/>
      </w:tabs>
      <w:spacing w:before="240" w:after="64" w:line="316" w:lineRule="auto"/>
      <w:jc w:val="left"/>
      <w:outlineLvl w:val="7"/>
    </w:pPr>
    <w:rPr>
      <w:rFonts w:ascii="Arial" w:hAnsi="Arial" w:eastAsia="黑体"/>
      <w:kern w:val="0"/>
      <w:sz w:val="24"/>
    </w:rPr>
  </w:style>
  <w:style w:type="paragraph" w:styleId="13">
    <w:name w:val="heading 9"/>
    <w:basedOn w:val="1"/>
    <w:next w:val="1"/>
    <w:link w:val="68"/>
    <w:unhideWhenUsed/>
    <w:qFormat/>
    <w:uiPriority w:val="99"/>
    <w:pPr>
      <w:keepNext/>
      <w:keepLines/>
      <w:widowControl/>
      <w:numPr>
        <w:ilvl w:val="8"/>
        <w:numId w:val="1"/>
      </w:numPr>
      <w:tabs>
        <w:tab w:val="left" w:pos="1584"/>
      </w:tabs>
      <w:spacing w:before="240" w:after="64" w:line="316" w:lineRule="auto"/>
      <w:jc w:val="left"/>
      <w:outlineLvl w:val="8"/>
    </w:pPr>
    <w:rPr>
      <w:rFonts w:ascii="Arial" w:hAnsi="Arial" w:eastAsia="黑体"/>
      <w:kern w:val="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link w:val="74"/>
    <w:unhideWhenUsed/>
    <w:qFormat/>
    <w:uiPriority w:val="99"/>
    <w:pPr>
      <w:ind w:firstLine="480"/>
    </w:pPr>
    <w:rPr>
      <w:rFonts w:ascii="宋体" w:hAnsi="宋体"/>
      <w:sz w:val="24"/>
    </w:rPr>
  </w:style>
  <w:style w:type="paragraph" w:styleId="5">
    <w:name w:val="Title"/>
    <w:basedOn w:val="1"/>
    <w:next w:val="1"/>
    <w:link w:val="72"/>
    <w:qFormat/>
    <w:uiPriority w:val="99"/>
    <w:pPr>
      <w:spacing w:before="240" w:after="60"/>
      <w:jc w:val="center"/>
      <w:outlineLvl w:val="0"/>
    </w:pPr>
    <w:rPr>
      <w:rFonts w:ascii="新宋体" w:hAnsi="Cambria" w:eastAsia="新宋体"/>
      <w:b/>
      <w:bCs/>
      <w:sz w:val="40"/>
      <w:szCs w:val="32"/>
    </w:rPr>
  </w:style>
  <w:style w:type="paragraph" w:styleId="14">
    <w:name w:val="toc 7"/>
    <w:basedOn w:val="1"/>
    <w:next w:val="1"/>
    <w:unhideWhenUsed/>
    <w:qFormat/>
    <w:uiPriority w:val="99"/>
    <w:pPr>
      <w:ind w:left="2520" w:leftChars="1200"/>
    </w:pPr>
    <w:rPr>
      <w:rFonts w:ascii="Calibri" w:hAnsi="Calibri"/>
      <w:szCs w:val="22"/>
    </w:rPr>
  </w:style>
  <w:style w:type="paragraph" w:styleId="15">
    <w:name w:val="Normal Indent"/>
    <w:basedOn w:val="1"/>
    <w:next w:val="1"/>
    <w:unhideWhenUsed/>
    <w:qFormat/>
    <w:uiPriority w:val="0"/>
    <w:pPr>
      <w:ind w:firstLine="420" w:firstLineChars="200"/>
    </w:pPr>
    <w:rPr>
      <w:szCs w:val="24"/>
    </w:rPr>
  </w:style>
  <w:style w:type="paragraph" w:styleId="16">
    <w:name w:val="caption"/>
    <w:basedOn w:val="1"/>
    <w:next w:val="1"/>
    <w:unhideWhenUsed/>
    <w:qFormat/>
    <w:uiPriority w:val="99"/>
    <w:rPr>
      <w:rFonts w:ascii="Arial" w:hAnsi="Arial" w:eastAsia="黑体" w:cs="Arial"/>
      <w:kern w:val="0"/>
      <w:sz w:val="20"/>
    </w:rPr>
  </w:style>
  <w:style w:type="paragraph" w:styleId="17">
    <w:name w:val="Document Map"/>
    <w:basedOn w:val="1"/>
    <w:link w:val="82"/>
    <w:unhideWhenUsed/>
    <w:qFormat/>
    <w:uiPriority w:val="99"/>
    <w:pPr>
      <w:shd w:val="clear" w:color="auto" w:fill="000080"/>
    </w:pPr>
  </w:style>
  <w:style w:type="paragraph" w:styleId="18">
    <w:name w:val="toa heading"/>
    <w:basedOn w:val="1"/>
    <w:next w:val="1"/>
    <w:qFormat/>
    <w:uiPriority w:val="0"/>
    <w:pPr>
      <w:spacing w:before="120"/>
    </w:pPr>
    <w:rPr>
      <w:rFonts w:ascii="Cambria" w:hAnsi="Cambria"/>
      <w:sz w:val="24"/>
    </w:rPr>
  </w:style>
  <w:style w:type="paragraph" w:styleId="19">
    <w:name w:val="annotation text"/>
    <w:basedOn w:val="1"/>
    <w:link w:val="280"/>
    <w:unhideWhenUsed/>
    <w:qFormat/>
    <w:uiPriority w:val="99"/>
    <w:pPr>
      <w:jc w:val="left"/>
    </w:pPr>
  </w:style>
  <w:style w:type="paragraph" w:styleId="20">
    <w:name w:val="index 6"/>
    <w:basedOn w:val="1"/>
    <w:next w:val="1"/>
    <w:qFormat/>
    <w:uiPriority w:val="99"/>
    <w:pPr>
      <w:ind w:left="2100"/>
    </w:pPr>
  </w:style>
  <w:style w:type="paragraph" w:styleId="21">
    <w:name w:val="Salutation"/>
    <w:basedOn w:val="1"/>
    <w:next w:val="1"/>
    <w:link w:val="76"/>
    <w:unhideWhenUsed/>
    <w:qFormat/>
    <w:uiPriority w:val="99"/>
    <w:rPr>
      <w:rFonts w:ascii="宋体"/>
      <w:b/>
      <w:sz w:val="28"/>
    </w:rPr>
  </w:style>
  <w:style w:type="paragraph" w:styleId="22">
    <w:name w:val="Body Text 3"/>
    <w:basedOn w:val="1"/>
    <w:link w:val="79"/>
    <w:unhideWhenUsed/>
    <w:qFormat/>
    <w:uiPriority w:val="99"/>
    <w:pPr>
      <w:spacing w:line="440" w:lineRule="exact"/>
    </w:pPr>
    <w:rPr>
      <w:color w:val="000000"/>
    </w:rPr>
  </w:style>
  <w:style w:type="paragraph" w:styleId="23">
    <w:name w:val="Body Text"/>
    <w:basedOn w:val="1"/>
    <w:link w:val="73"/>
    <w:unhideWhenUsed/>
    <w:qFormat/>
    <w:uiPriority w:val="99"/>
    <w:rPr>
      <w:rFonts w:ascii="Arial" w:hAnsi="Arial" w:cs="Arial"/>
      <w:sz w:val="24"/>
    </w:rPr>
  </w:style>
  <w:style w:type="paragraph" w:styleId="24">
    <w:name w:val="index 4"/>
    <w:basedOn w:val="1"/>
    <w:next w:val="1"/>
    <w:unhideWhenUsed/>
    <w:qFormat/>
    <w:uiPriority w:val="99"/>
    <w:pPr>
      <w:ind w:left="600" w:leftChars="600"/>
    </w:pPr>
    <w:rPr>
      <w:szCs w:val="24"/>
    </w:rPr>
  </w:style>
  <w:style w:type="paragraph" w:styleId="25">
    <w:name w:val="toc 5"/>
    <w:basedOn w:val="1"/>
    <w:next w:val="1"/>
    <w:unhideWhenUsed/>
    <w:qFormat/>
    <w:uiPriority w:val="99"/>
    <w:pPr>
      <w:ind w:left="1680" w:leftChars="800"/>
    </w:pPr>
    <w:rPr>
      <w:rFonts w:ascii="Calibri" w:hAnsi="Calibri"/>
      <w:szCs w:val="22"/>
    </w:rPr>
  </w:style>
  <w:style w:type="paragraph" w:styleId="26">
    <w:name w:val="toc 3"/>
    <w:basedOn w:val="1"/>
    <w:next w:val="1"/>
    <w:unhideWhenUsed/>
    <w:qFormat/>
    <w:uiPriority w:val="39"/>
    <w:pPr>
      <w:ind w:left="840" w:leftChars="400"/>
    </w:pPr>
  </w:style>
  <w:style w:type="paragraph" w:styleId="27">
    <w:name w:val="Plain Text"/>
    <w:basedOn w:val="1"/>
    <w:link w:val="83"/>
    <w:unhideWhenUsed/>
    <w:qFormat/>
    <w:uiPriority w:val="99"/>
    <w:rPr>
      <w:rFonts w:ascii="宋体" w:hAnsi="Courier New"/>
    </w:rPr>
  </w:style>
  <w:style w:type="paragraph" w:styleId="28">
    <w:name w:val="toc 8"/>
    <w:basedOn w:val="1"/>
    <w:next w:val="1"/>
    <w:unhideWhenUsed/>
    <w:qFormat/>
    <w:uiPriority w:val="99"/>
    <w:pPr>
      <w:ind w:left="2940" w:leftChars="1400"/>
    </w:pPr>
    <w:rPr>
      <w:rFonts w:ascii="Calibri" w:hAnsi="Calibri"/>
      <w:szCs w:val="22"/>
    </w:rPr>
  </w:style>
  <w:style w:type="paragraph" w:styleId="29">
    <w:name w:val="Date"/>
    <w:basedOn w:val="1"/>
    <w:next w:val="1"/>
    <w:link w:val="77"/>
    <w:unhideWhenUsed/>
    <w:qFormat/>
    <w:uiPriority w:val="99"/>
    <w:pPr>
      <w:ind w:left="100"/>
    </w:pPr>
    <w:rPr>
      <w:sz w:val="24"/>
    </w:rPr>
  </w:style>
  <w:style w:type="paragraph" w:styleId="30">
    <w:name w:val="Body Text Indent 2"/>
    <w:basedOn w:val="1"/>
    <w:link w:val="80"/>
    <w:unhideWhenUsed/>
    <w:qFormat/>
    <w:uiPriority w:val="99"/>
    <w:pPr>
      <w:ind w:firstLine="435"/>
    </w:pPr>
    <w:rPr>
      <w:rFonts w:ascii="宋体" w:hAnsi="宋体"/>
      <w:sz w:val="24"/>
    </w:rPr>
  </w:style>
  <w:style w:type="paragraph" w:styleId="31">
    <w:name w:val="Balloon Text"/>
    <w:basedOn w:val="1"/>
    <w:link w:val="225"/>
    <w:unhideWhenUsed/>
    <w:qFormat/>
    <w:uiPriority w:val="99"/>
    <w:rPr>
      <w:sz w:val="18"/>
      <w:szCs w:val="18"/>
    </w:rPr>
  </w:style>
  <w:style w:type="paragraph" w:styleId="32">
    <w:name w:val="footer"/>
    <w:basedOn w:val="1"/>
    <w:link w:val="59"/>
    <w:unhideWhenUsed/>
    <w:qFormat/>
    <w:uiPriority w:val="99"/>
    <w:pPr>
      <w:tabs>
        <w:tab w:val="center" w:pos="4153"/>
        <w:tab w:val="right" w:pos="8306"/>
      </w:tabs>
      <w:snapToGrid w:val="0"/>
      <w:jc w:val="left"/>
    </w:pPr>
    <w:rPr>
      <w:sz w:val="18"/>
      <w:szCs w:val="18"/>
    </w:rPr>
  </w:style>
  <w:style w:type="paragraph" w:styleId="33">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style>
  <w:style w:type="paragraph" w:styleId="35">
    <w:name w:val="toc 4"/>
    <w:basedOn w:val="1"/>
    <w:next w:val="1"/>
    <w:unhideWhenUsed/>
    <w:qFormat/>
    <w:uiPriority w:val="99"/>
    <w:pPr>
      <w:tabs>
        <w:tab w:val="left" w:pos="1890"/>
        <w:tab w:val="right" w:leader="dot" w:pos="8296"/>
      </w:tabs>
      <w:ind w:left="630" w:leftChars="300"/>
    </w:pPr>
  </w:style>
  <w:style w:type="paragraph" w:styleId="36">
    <w:name w:val="Subtitle"/>
    <w:basedOn w:val="1"/>
    <w:next w:val="1"/>
    <w:link w:val="75"/>
    <w:qFormat/>
    <w:uiPriority w:val="99"/>
    <w:pPr>
      <w:widowControl/>
      <w:spacing w:after="200" w:line="276" w:lineRule="auto"/>
      <w:jc w:val="left"/>
    </w:pPr>
    <w:rPr>
      <w:rFonts w:ascii="Cambria" w:hAnsi="Cambria"/>
      <w:i/>
      <w:iCs/>
      <w:color w:val="4F81BD"/>
      <w:spacing w:val="15"/>
      <w:kern w:val="0"/>
      <w:sz w:val="24"/>
      <w:szCs w:val="24"/>
      <w:lang w:eastAsia="en-US"/>
    </w:rPr>
  </w:style>
  <w:style w:type="paragraph" w:styleId="37">
    <w:name w:val="toc 6"/>
    <w:basedOn w:val="1"/>
    <w:next w:val="1"/>
    <w:unhideWhenUsed/>
    <w:qFormat/>
    <w:uiPriority w:val="99"/>
    <w:pPr>
      <w:ind w:left="2100" w:leftChars="1000"/>
    </w:pPr>
    <w:rPr>
      <w:rFonts w:ascii="Calibri" w:hAnsi="Calibri"/>
      <w:szCs w:val="22"/>
    </w:rPr>
  </w:style>
  <w:style w:type="paragraph" w:styleId="38">
    <w:name w:val="Body Text Indent 3"/>
    <w:basedOn w:val="1"/>
    <w:link w:val="81"/>
    <w:unhideWhenUsed/>
    <w:qFormat/>
    <w:uiPriority w:val="99"/>
    <w:pPr>
      <w:ind w:left="471" w:hanging="471" w:hangingChars="200"/>
    </w:pPr>
    <w:rPr>
      <w:rFonts w:ascii="Arial" w:hAnsi="Arial" w:cs="Arial"/>
      <w:b/>
      <w:bCs/>
      <w:sz w:val="24"/>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99"/>
    <w:pPr>
      <w:ind w:left="3360" w:leftChars="1600"/>
    </w:pPr>
    <w:rPr>
      <w:rFonts w:ascii="Calibri" w:hAnsi="Calibri"/>
      <w:szCs w:val="22"/>
    </w:rPr>
  </w:style>
  <w:style w:type="paragraph" w:styleId="41">
    <w:name w:val="Body Text 2"/>
    <w:basedOn w:val="1"/>
    <w:link w:val="78"/>
    <w:unhideWhenUsed/>
    <w:qFormat/>
    <w:uiPriority w:val="99"/>
    <w:pPr>
      <w:spacing w:line="360" w:lineRule="auto"/>
    </w:pPr>
    <w:rPr>
      <w:b/>
      <w:sz w:val="28"/>
      <w:szCs w:val="21"/>
    </w:rPr>
  </w:style>
  <w:style w:type="paragraph" w:styleId="42">
    <w:name w:val="List Continue 2"/>
    <w:basedOn w:val="1"/>
    <w:unhideWhenUsed/>
    <w:qFormat/>
    <w:uiPriority w:val="99"/>
    <w:pPr>
      <w:spacing w:after="120"/>
      <w:ind w:left="840" w:leftChars="400"/>
    </w:pPr>
  </w:style>
  <w:style w:type="paragraph" w:styleId="4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4">
    <w:name w:val="Normal (Web)"/>
    <w:basedOn w:val="1"/>
    <w:link w:val="70"/>
    <w:unhideWhenUsed/>
    <w:qFormat/>
    <w:uiPriority w:val="0"/>
    <w:pPr>
      <w:widowControl/>
      <w:spacing w:before="100" w:beforeAutospacing="1" w:after="100" w:afterAutospacing="1"/>
      <w:jc w:val="left"/>
    </w:pPr>
    <w:rPr>
      <w:rFonts w:ascii="Arial Unicode MS" w:hAnsi="Arial Unicode MS" w:eastAsia="Arial Unicode MS" w:cs="Arial Unicode MS"/>
      <w:sz w:val="24"/>
      <w:szCs w:val="24"/>
    </w:rPr>
  </w:style>
  <w:style w:type="paragraph" w:styleId="45">
    <w:name w:val="index 1"/>
    <w:basedOn w:val="1"/>
    <w:next w:val="1"/>
    <w:unhideWhenUsed/>
    <w:qFormat/>
    <w:uiPriority w:val="99"/>
  </w:style>
  <w:style w:type="paragraph" w:styleId="46">
    <w:name w:val="annotation subject"/>
    <w:basedOn w:val="19"/>
    <w:next w:val="19"/>
    <w:link w:val="84"/>
    <w:unhideWhenUsed/>
    <w:qFormat/>
    <w:uiPriority w:val="99"/>
    <w:pPr>
      <w:widowControl/>
      <w:spacing w:after="200" w:line="276" w:lineRule="auto"/>
    </w:pPr>
    <w:rPr>
      <w:rFonts w:ascii="Calibri" w:hAnsi="Calibri"/>
      <w:b/>
      <w:bCs/>
      <w:sz w:val="22"/>
      <w:szCs w:val="22"/>
      <w:lang w:eastAsia="en-US"/>
    </w:rPr>
  </w:style>
  <w:style w:type="paragraph" w:styleId="47">
    <w:name w:val="Body Text First Indent"/>
    <w:basedOn w:val="23"/>
    <w:unhideWhenUsed/>
    <w:qFormat/>
    <w:uiPriority w:val="99"/>
    <w:pPr>
      <w:spacing w:line="360" w:lineRule="auto"/>
      <w:ind w:firstLine="200" w:firstLineChars="200"/>
    </w:pPr>
    <w:rPr>
      <w:rFonts w:ascii="仿宋_GB2312" w:eastAsia="仿宋_GB2312"/>
      <w:sz w:val="30"/>
      <w:szCs w:val="30"/>
    </w:rPr>
  </w:style>
  <w:style w:type="table" w:styleId="49">
    <w:name w:val="Table Grid"/>
    <w:basedOn w:val="48"/>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99"/>
    <w:rPr>
      <w:b/>
      <w:bCs/>
      <w:kern w:val="0"/>
      <w:sz w:val="24"/>
      <w:szCs w:val="20"/>
    </w:rPr>
  </w:style>
  <w:style w:type="character" w:styleId="52">
    <w:name w:val="page number"/>
    <w:basedOn w:val="50"/>
    <w:unhideWhenUsed/>
    <w:qFormat/>
    <w:uiPriority w:val="99"/>
    <w:rPr>
      <w:kern w:val="0"/>
      <w:sz w:val="24"/>
      <w:szCs w:val="20"/>
    </w:rPr>
  </w:style>
  <w:style w:type="character" w:styleId="53">
    <w:name w:val="FollowedHyperlink"/>
    <w:unhideWhenUsed/>
    <w:qFormat/>
    <w:uiPriority w:val="0"/>
    <w:rPr>
      <w:color w:val="800080"/>
      <w:kern w:val="0"/>
      <w:sz w:val="24"/>
      <w:szCs w:val="20"/>
      <w:u w:val="single"/>
    </w:rPr>
  </w:style>
  <w:style w:type="character" w:styleId="54">
    <w:name w:val="Emphasis"/>
    <w:qFormat/>
    <w:uiPriority w:val="99"/>
    <w:rPr>
      <w:i/>
    </w:rPr>
  </w:style>
  <w:style w:type="character" w:styleId="55">
    <w:name w:val="Hyperlink"/>
    <w:unhideWhenUsed/>
    <w:qFormat/>
    <w:uiPriority w:val="99"/>
    <w:rPr>
      <w:color w:val="0000FF"/>
      <w:kern w:val="0"/>
      <w:sz w:val="24"/>
      <w:szCs w:val="20"/>
      <w:u w:val="single"/>
    </w:rPr>
  </w:style>
  <w:style w:type="character" w:styleId="56">
    <w:name w:val="annotation reference"/>
    <w:unhideWhenUsed/>
    <w:qFormat/>
    <w:uiPriority w:val="99"/>
    <w:rPr>
      <w:sz w:val="21"/>
      <w:szCs w:val="21"/>
    </w:rPr>
  </w:style>
  <w:style w:type="paragraph" w:customStyle="1" w:styleId="57">
    <w:name w:val="Default"/>
    <w:basedOn w:val="5"/>
    <w:next w:val="4"/>
    <w:qFormat/>
    <w:uiPriority w:val="99"/>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character" w:customStyle="1" w:styleId="58">
    <w:name w:val="页眉 Char"/>
    <w:basedOn w:val="50"/>
    <w:link w:val="33"/>
    <w:qFormat/>
    <w:uiPriority w:val="99"/>
    <w:rPr>
      <w:sz w:val="18"/>
      <w:szCs w:val="18"/>
    </w:rPr>
  </w:style>
  <w:style w:type="character" w:customStyle="1" w:styleId="59">
    <w:name w:val="页脚 Char"/>
    <w:basedOn w:val="50"/>
    <w:link w:val="32"/>
    <w:qFormat/>
    <w:uiPriority w:val="99"/>
    <w:rPr>
      <w:sz w:val="18"/>
      <w:szCs w:val="18"/>
    </w:rPr>
  </w:style>
  <w:style w:type="character" w:customStyle="1" w:styleId="60">
    <w:name w:val="标题 1 Char"/>
    <w:basedOn w:val="50"/>
    <w:qFormat/>
    <w:uiPriority w:val="9"/>
    <w:rPr>
      <w:rFonts w:ascii="Times New Roman" w:hAnsi="Times New Roman" w:eastAsia="宋体" w:cs="Times New Roman"/>
      <w:b/>
      <w:bCs/>
      <w:kern w:val="44"/>
      <w:sz w:val="44"/>
      <w:szCs w:val="44"/>
    </w:rPr>
  </w:style>
  <w:style w:type="character" w:customStyle="1" w:styleId="61">
    <w:name w:val="标题 2 Char"/>
    <w:basedOn w:val="50"/>
    <w:semiHidden/>
    <w:qFormat/>
    <w:uiPriority w:val="9"/>
    <w:rPr>
      <w:rFonts w:asciiTheme="majorHAnsi" w:hAnsiTheme="majorHAnsi" w:eastAsiaTheme="majorEastAsia" w:cstheme="majorBidi"/>
      <w:b/>
      <w:bCs/>
      <w:sz w:val="32"/>
      <w:szCs w:val="32"/>
    </w:rPr>
  </w:style>
  <w:style w:type="character" w:customStyle="1" w:styleId="62">
    <w:name w:val="标题 3 Char"/>
    <w:basedOn w:val="50"/>
    <w:link w:val="7"/>
    <w:qFormat/>
    <w:uiPriority w:val="0"/>
    <w:rPr>
      <w:rFonts w:ascii="Times New Roman" w:hAnsi="Times New Roman" w:eastAsia="宋体" w:cs="Times New Roman"/>
      <w:b/>
      <w:bCs/>
      <w:sz w:val="32"/>
      <w:szCs w:val="32"/>
    </w:rPr>
  </w:style>
  <w:style w:type="character" w:customStyle="1" w:styleId="63">
    <w:name w:val="标题 4 Char"/>
    <w:basedOn w:val="50"/>
    <w:link w:val="8"/>
    <w:qFormat/>
    <w:uiPriority w:val="0"/>
    <w:rPr>
      <w:rFonts w:ascii="Arial" w:hAnsi="Arial" w:eastAsia="黑体" w:cs="Times New Roman"/>
      <w:b/>
      <w:bCs/>
      <w:sz w:val="28"/>
      <w:szCs w:val="28"/>
    </w:rPr>
  </w:style>
  <w:style w:type="character" w:customStyle="1" w:styleId="64">
    <w:name w:val="标题 5 Char"/>
    <w:basedOn w:val="50"/>
    <w:link w:val="9"/>
    <w:qFormat/>
    <w:uiPriority w:val="0"/>
    <w:rPr>
      <w:rFonts w:ascii="Times New Roman" w:hAnsi="Times New Roman" w:eastAsia="Arial Unicode MS" w:cs="Times New Roman"/>
      <w:b/>
      <w:kern w:val="0"/>
      <w:sz w:val="28"/>
      <w:szCs w:val="20"/>
    </w:rPr>
  </w:style>
  <w:style w:type="character" w:customStyle="1" w:styleId="65">
    <w:name w:val="标题 6 Char"/>
    <w:basedOn w:val="50"/>
    <w:link w:val="10"/>
    <w:semiHidden/>
    <w:qFormat/>
    <w:uiPriority w:val="9"/>
    <w:rPr>
      <w:rFonts w:ascii="Arial" w:hAnsi="Arial" w:eastAsia="黑体" w:cs="Times New Roman"/>
      <w:b/>
      <w:kern w:val="0"/>
      <w:sz w:val="24"/>
      <w:szCs w:val="20"/>
    </w:rPr>
  </w:style>
  <w:style w:type="character" w:customStyle="1" w:styleId="66">
    <w:name w:val="标题 7 Char"/>
    <w:basedOn w:val="50"/>
    <w:link w:val="11"/>
    <w:semiHidden/>
    <w:qFormat/>
    <w:uiPriority w:val="99"/>
    <w:rPr>
      <w:rFonts w:ascii="Times New Roman" w:hAnsi="Times New Roman" w:eastAsia="宋体" w:cs="Times New Roman"/>
      <w:b/>
      <w:kern w:val="0"/>
      <w:sz w:val="24"/>
      <w:szCs w:val="20"/>
    </w:rPr>
  </w:style>
  <w:style w:type="character" w:customStyle="1" w:styleId="67">
    <w:name w:val="标题 8 Char"/>
    <w:basedOn w:val="50"/>
    <w:link w:val="12"/>
    <w:semiHidden/>
    <w:qFormat/>
    <w:uiPriority w:val="99"/>
    <w:rPr>
      <w:rFonts w:ascii="Arial" w:hAnsi="Arial" w:eastAsia="黑体" w:cs="Times New Roman"/>
      <w:kern w:val="0"/>
      <w:sz w:val="24"/>
      <w:szCs w:val="20"/>
    </w:rPr>
  </w:style>
  <w:style w:type="character" w:customStyle="1" w:styleId="68">
    <w:name w:val="标题 9 Char"/>
    <w:basedOn w:val="50"/>
    <w:link w:val="13"/>
    <w:semiHidden/>
    <w:qFormat/>
    <w:uiPriority w:val="99"/>
    <w:rPr>
      <w:rFonts w:ascii="Arial" w:hAnsi="Arial" w:eastAsia="黑体" w:cs="Times New Roman"/>
      <w:kern w:val="0"/>
      <w:szCs w:val="20"/>
    </w:rPr>
  </w:style>
  <w:style w:type="character" w:customStyle="1" w:styleId="69">
    <w:name w:val="HTML 预设格式 Char"/>
    <w:basedOn w:val="50"/>
    <w:link w:val="43"/>
    <w:semiHidden/>
    <w:qFormat/>
    <w:uiPriority w:val="99"/>
    <w:rPr>
      <w:rFonts w:ascii="Arial" w:hAnsi="Arial" w:eastAsia="宋体" w:cs="Times New Roman"/>
      <w:kern w:val="0"/>
      <w:sz w:val="24"/>
      <w:szCs w:val="24"/>
    </w:rPr>
  </w:style>
  <w:style w:type="character" w:customStyle="1" w:styleId="70">
    <w:name w:val="普通(网站) Char"/>
    <w:link w:val="44"/>
    <w:semiHidden/>
    <w:qFormat/>
    <w:locked/>
    <w:uiPriority w:val="99"/>
    <w:rPr>
      <w:rFonts w:ascii="Arial Unicode MS" w:hAnsi="Arial Unicode MS" w:eastAsia="Arial Unicode MS" w:cs="Arial Unicode MS"/>
      <w:sz w:val="24"/>
      <w:szCs w:val="24"/>
    </w:rPr>
  </w:style>
  <w:style w:type="character" w:customStyle="1" w:styleId="71">
    <w:name w:val="批注文字 Char"/>
    <w:basedOn w:val="50"/>
    <w:semiHidden/>
    <w:qFormat/>
    <w:uiPriority w:val="0"/>
    <w:rPr>
      <w:rFonts w:ascii="Times New Roman" w:hAnsi="Times New Roman" w:eastAsia="宋体" w:cs="Times New Roman"/>
      <w:szCs w:val="20"/>
    </w:rPr>
  </w:style>
  <w:style w:type="character" w:customStyle="1" w:styleId="72">
    <w:name w:val="标题 Char"/>
    <w:basedOn w:val="50"/>
    <w:link w:val="5"/>
    <w:qFormat/>
    <w:uiPriority w:val="99"/>
    <w:rPr>
      <w:rFonts w:ascii="新宋体" w:hAnsi="Cambria" w:eastAsia="新宋体" w:cs="Times New Roman"/>
      <w:b/>
      <w:bCs/>
      <w:sz w:val="40"/>
      <w:szCs w:val="32"/>
    </w:rPr>
  </w:style>
  <w:style w:type="character" w:customStyle="1" w:styleId="73">
    <w:name w:val="正文文本 Char"/>
    <w:basedOn w:val="50"/>
    <w:link w:val="23"/>
    <w:semiHidden/>
    <w:qFormat/>
    <w:uiPriority w:val="99"/>
    <w:rPr>
      <w:rFonts w:ascii="Arial" w:hAnsi="Arial" w:eastAsia="宋体" w:cs="Arial"/>
      <w:sz w:val="24"/>
      <w:szCs w:val="20"/>
    </w:rPr>
  </w:style>
  <w:style w:type="character" w:customStyle="1" w:styleId="74">
    <w:name w:val="正文文本缩进 Char"/>
    <w:basedOn w:val="50"/>
    <w:link w:val="3"/>
    <w:semiHidden/>
    <w:qFormat/>
    <w:uiPriority w:val="99"/>
    <w:rPr>
      <w:rFonts w:ascii="宋体" w:hAnsi="宋体" w:eastAsia="宋体" w:cs="Times New Roman"/>
      <w:sz w:val="24"/>
      <w:szCs w:val="20"/>
    </w:rPr>
  </w:style>
  <w:style w:type="character" w:customStyle="1" w:styleId="75">
    <w:name w:val="副标题 Char"/>
    <w:basedOn w:val="50"/>
    <w:link w:val="36"/>
    <w:qFormat/>
    <w:uiPriority w:val="99"/>
    <w:rPr>
      <w:rFonts w:ascii="Cambria" w:hAnsi="Cambria" w:eastAsia="宋体" w:cs="Times New Roman"/>
      <w:i/>
      <w:iCs/>
      <w:color w:val="4F81BD"/>
      <w:spacing w:val="15"/>
      <w:kern w:val="0"/>
      <w:sz w:val="24"/>
      <w:szCs w:val="24"/>
      <w:lang w:eastAsia="en-US"/>
    </w:rPr>
  </w:style>
  <w:style w:type="character" w:customStyle="1" w:styleId="76">
    <w:name w:val="称呼 Char"/>
    <w:basedOn w:val="50"/>
    <w:link w:val="21"/>
    <w:semiHidden/>
    <w:qFormat/>
    <w:uiPriority w:val="99"/>
    <w:rPr>
      <w:rFonts w:ascii="宋体" w:hAnsi="Times New Roman" w:eastAsia="宋体" w:cs="Times New Roman"/>
      <w:b/>
      <w:sz w:val="28"/>
      <w:szCs w:val="20"/>
    </w:rPr>
  </w:style>
  <w:style w:type="character" w:customStyle="1" w:styleId="77">
    <w:name w:val="日期 Char"/>
    <w:basedOn w:val="50"/>
    <w:link w:val="29"/>
    <w:semiHidden/>
    <w:qFormat/>
    <w:uiPriority w:val="99"/>
    <w:rPr>
      <w:rFonts w:ascii="Times New Roman" w:hAnsi="Times New Roman" w:eastAsia="宋体" w:cs="Times New Roman"/>
      <w:sz w:val="24"/>
      <w:szCs w:val="20"/>
    </w:rPr>
  </w:style>
  <w:style w:type="character" w:customStyle="1" w:styleId="78">
    <w:name w:val="正文文本 2 Char"/>
    <w:basedOn w:val="50"/>
    <w:link w:val="41"/>
    <w:semiHidden/>
    <w:qFormat/>
    <w:uiPriority w:val="99"/>
    <w:rPr>
      <w:rFonts w:ascii="Times New Roman" w:hAnsi="Times New Roman" w:eastAsia="宋体" w:cs="Times New Roman"/>
      <w:b/>
      <w:sz w:val="28"/>
      <w:szCs w:val="21"/>
    </w:rPr>
  </w:style>
  <w:style w:type="character" w:customStyle="1" w:styleId="79">
    <w:name w:val="正文文本 3 Char"/>
    <w:basedOn w:val="50"/>
    <w:link w:val="22"/>
    <w:semiHidden/>
    <w:qFormat/>
    <w:uiPriority w:val="99"/>
    <w:rPr>
      <w:rFonts w:ascii="Times New Roman" w:hAnsi="Times New Roman" w:eastAsia="宋体" w:cs="Times New Roman"/>
      <w:color w:val="000000"/>
      <w:szCs w:val="20"/>
    </w:rPr>
  </w:style>
  <w:style w:type="character" w:customStyle="1" w:styleId="80">
    <w:name w:val="正文文本缩进 2 Char"/>
    <w:basedOn w:val="50"/>
    <w:link w:val="30"/>
    <w:semiHidden/>
    <w:qFormat/>
    <w:uiPriority w:val="99"/>
    <w:rPr>
      <w:rFonts w:ascii="宋体" w:hAnsi="宋体" w:eastAsia="宋体" w:cs="Times New Roman"/>
      <w:sz w:val="24"/>
      <w:szCs w:val="20"/>
    </w:rPr>
  </w:style>
  <w:style w:type="character" w:customStyle="1" w:styleId="81">
    <w:name w:val="正文文本缩进 3 Char"/>
    <w:basedOn w:val="50"/>
    <w:link w:val="38"/>
    <w:semiHidden/>
    <w:qFormat/>
    <w:uiPriority w:val="99"/>
    <w:rPr>
      <w:rFonts w:ascii="Arial" w:hAnsi="Arial" w:eastAsia="宋体" w:cs="Arial"/>
      <w:b/>
      <w:bCs/>
      <w:sz w:val="24"/>
      <w:szCs w:val="20"/>
    </w:rPr>
  </w:style>
  <w:style w:type="character" w:customStyle="1" w:styleId="82">
    <w:name w:val="文档结构图 Char"/>
    <w:basedOn w:val="50"/>
    <w:link w:val="17"/>
    <w:semiHidden/>
    <w:qFormat/>
    <w:uiPriority w:val="99"/>
    <w:rPr>
      <w:rFonts w:ascii="Times New Roman" w:hAnsi="Times New Roman" w:eastAsia="宋体" w:cs="Times New Roman"/>
      <w:szCs w:val="20"/>
      <w:shd w:val="clear" w:color="auto" w:fill="000080"/>
    </w:rPr>
  </w:style>
  <w:style w:type="character" w:customStyle="1" w:styleId="83">
    <w:name w:val="纯文本 Char"/>
    <w:basedOn w:val="50"/>
    <w:link w:val="27"/>
    <w:semiHidden/>
    <w:qFormat/>
    <w:uiPriority w:val="99"/>
    <w:rPr>
      <w:rFonts w:ascii="宋体" w:hAnsi="Courier New" w:eastAsia="宋体" w:cs="Times New Roman"/>
      <w:szCs w:val="20"/>
    </w:rPr>
  </w:style>
  <w:style w:type="character" w:customStyle="1" w:styleId="84">
    <w:name w:val="批注主题 Char"/>
    <w:basedOn w:val="71"/>
    <w:link w:val="46"/>
    <w:semiHidden/>
    <w:qFormat/>
    <w:uiPriority w:val="99"/>
    <w:rPr>
      <w:rFonts w:ascii="Calibri" w:hAnsi="Calibri" w:eastAsia="宋体" w:cs="Times New Roman"/>
      <w:b/>
      <w:bCs/>
      <w:sz w:val="22"/>
      <w:szCs w:val="20"/>
      <w:lang w:eastAsia="en-US"/>
    </w:rPr>
  </w:style>
  <w:style w:type="character" w:customStyle="1" w:styleId="85">
    <w:name w:val="批注框文本 Char"/>
    <w:basedOn w:val="50"/>
    <w:semiHidden/>
    <w:qFormat/>
    <w:uiPriority w:val="99"/>
    <w:rPr>
      <w:rFonts w:ascii="Times New Roman" w:hAnsi="Times New Roman" w:eastAsia="宋体" w:cs="Times New Roman"/>
      <w:sz w:val="18"/>
      <w:szCs w:val="18"/>
    </w:rPr>
  </w:style>
  <w:style w:type="paragraph" w:customStyle="1" w:styleId="86">
    <w:name w:val="List Paragraph"/>
    <w:basedOn w:val="1"/>
    <w:qFormat/>
    <w:uiPriority w:val="34"/>
    <w:pPr>
      <w:ind w:firstLine="420" w:firstLineChars="200"/>
    </w:pPr>
  </w:style>
  <w:style w:type="paragraph" w:customStyle="1" w:styleId="87">
    <w:name w:val="TOC 标题1"/>
    <w:basedOn w:val="4"/>
    <w:next w:val="1"/>
    <w:unhideWhenUsed/>
    <w:qFormat/>
    <w:uiPriority w:val="39"/>
    <w:pPr>
      <w:keepLines/>
      <w:widowControl/>
      <w:numPr>
        <w:numId w:val="0"/>
      </w:numPr>
      <w:tabs>
        <w:tab w:val="left" w:pos="432"/>
      </w:tabs>
      <w:spacing w:before="480" w:line="276" w:lineRule="auto"/>
      <w:jc w:val="left"/>
      <w:outlineLvl w:val="9"/>
    </w:pPr>
    <w:rPr>
      <w:rFonts w:ascii="Cambria" w:hAnsi="Cambria"/>
      <w:color w:val="365F91"/>
      <w:kern w:val="0"/>
      <w:sz w:val="28"/>
      <w:szCs w:val="28"/>
    </w:rPr>
  </w:style>
  <w:style w:type="character" w:customStyle="1" w:styleId="88">
    <w:name w:val="标题5 Char Char"/>
    <w:link w:val="89"/>
    <w:qFormat/>
    <w:locked/>
    <w:uiPriority w:val="99"/>
    <w:rPr>
      <w:rFonts w:ascii="Arial" w:hAnsi="Arial" w:cs="Arial"/>
      <w:b/>
      <w:sz w:val="32"/>
    </w:rPr>
  </w:style>
  <w:style w:type="paragraph" w:customStyle="1" w:styleId="89">
    <w:name w:val="标题5"/>
    <w:basedOn w:val="7"/>
    <w:link w:val="88"/>
    <w:qFormat/>
    <w:uiPriority w:val="99"/>
    <w:pPr>
      <w:tabs>
        <w:tab w:val="left" w:pos="720"/>
      </w:tabs>
      <w:spacing w:line="412" w:lineRule="auto"/>
    </w:pPr>
    <w:rPr>
      <w:rFonts w:ascii="Arial" w:hAnsi="Arial" w:cs="Arial" w:eastAsiaTheme="minorEastAsia"/>
      <w:bCs w:val="0"/>
      <w:szCs w:val="22"/>
    </w:rPr>
  </w:style>
  <w:style w:type="paragraph" w:customStyle="1" w:styleId="9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91">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92">
    <w:name w:val="样式 标题 3 + (中文) 黑体 小四 非加粗 段前: 7.8 磅 段后: 0 磅 行距: 固定值 20 磅"/>
    <w:basedOn w:val="7"/>
    <w:qFormat/>
    <w:uiPriority w:val="99"/>
    <w:pPr>
      <w:tabs>
        <w:tab w:val="left" w:pos="720"/>
      </w:tabs>
      <w:spacing w:before="0" w:after="0" w:line="400" w:lineRule="exact"/>
    </w:pPr>
    <w:rPr>
      <w:rFonts w:eastAsia="黑体" w:cs="宋体"/>
      <w:b w:val="0"/>
      <w:bCs w:val="0"/>
      <w:sz w:val="24"/>
      <w:szCs w:val="20"/>
    </w:rPr>
  </w:style>
  <w:style w:type="paragraph" w:customStyle="1" w:styleId="93">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kern w:val="0"/>
      <w:sz w:val="24"/>
      <w:szCs w:val="24"/>
    </w:rPr>
  </w:style>
  <w:style w:type="character" w:customStyle="1" w:styleId="94">
    <w:name w:val="正文文字 Char1"/>
    <w:link w:val="95"/>
    <w:qFormat/>
    <w:locked/>
    <w:uiPriority w:val="0"/>
    <w:rPr>
      <w:rFonts w:ascii="宋体" w:hAnsi="宋体" w:eastAsia="宋体"/>
      <w:color w:val="000000"/>
      <w:sz w:val="28"/>
      <w:u w:color="000000"/>
    </w:rPr>
  </w:style>
  <w:style w:type="paragraph" w:customStyle="1" w:styleId="95">
    <w:name w:val="正文文字"/>
    <w:basedOn w:val="1"/>
    <w:link w:val="94"/>
    <w:qFormat/>
    <w:uiPriority w:val="0"/>
    <w:pPr>
      <w:widowControl/>
      <w:spacing w:line="2375" w:lineRule="atLeast"/>
      <w:ind w:firstLine="419"/>
    </w:pPr>
    <w:rPr>
      <w:rFonts w:ascii="宋体" w:hAnsi="宋体" w:cstheme="minorBidi"/>
      <w:color w:val="000000"/>
      <w:sz w:val="28"/>
      <w:szCs w:val="22"/>
      <w:u w:color="000000"/>
    </w:rPr>
  </w:style>
  <w:style w:type="paragraph" w:customStyle="1" w:styleId="96">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color w:val="000000"/>
      <w:kern w:val="0"/>
      <w:sz w:val="24"/>
      <w:szCs w:val="24"/>
    </w:rPr>
  </w:style>
  <w:style w:type="paragraph" w:customStyle="1" w:styleId="97">
    <w:name w:val="列出段落2"/>
    <w:basedOn w:val="1"/>
    <w:qFormat/>
    <w:uiPriority w:val="99"/>
    <w:pPr>
      <w:ind w:firstLine="420" w:firstLineChars="200"/>
    </w:pPr>
    <w:rPr>
      <w:rFonts w:ascii="Calibri" w:hAnsi="Calibri"/>
      <w:szCs w:val="22"/>
    </w:rPr>
  </w:style>
  <w:style w:type="character" w:customStyle="1" w:styleId="98">
    <w:name w:val="Intense Quote Char"/>
    <w:link w:val="99"/>
    <w:qFormat/>
    <w:locked/>
    <w:uiPriority w:val="99"/>
    <w:rPr>
      <w:rFonts w:ascii="Calibri" w:hAnsi="Calibri" w:cs="Calibri"/>
      <w:b/>
      <w:bCs/>
      <w:i/>
      <w:iCs/>
      <w:color w:val="4F81BD"/>
      <w:sz w:val="22"/>
      <w:lang w:eastAsia="en-US"/>
    </w:rPr>
  </w:style>
  <w:style w:type="paragraph" w:customStyle="1" w:styleId="99">
    <w:name w:val="明显引用1"/>
    <w:basedOn w:val="1"/>
    <w:next w:val="1"/>
    <w:link w:val="98"/>
    <w:qFormat/>
    <w:uiPriority w:val="99"/>
    <w:pPr>
      <w:widowControl/>
      <w:pBdr>
        <w:bottom w:val="single" w:color="4F81BD" w:sz="4" w:space="4"/>
      </w:pBdr>
      <w:spacing w:before="200" w:after="280" w:line="276" w:lineRule="auto"/>
      <w:ind w:left="936" w:right="936"/>
      <w:jc w:val="left"/>
    </w:pPr>
    <w:rPr>
      <w:rFonts w:ascii="Calibri" w:hAnsi="Calibri" w:cs="Calibri" w:eastAsiaTheme="minorEastAsia"/>
      <w:b/>
      <w:bCs/>
      <w:i/>
      <w:iCs/>
      <w:color w:val="4F81BD"/>
      <w:sz w:val="22"/>
      <w:szCs w:val="22"/>
      <w:lang w:eastAsia="en-US"/>
    </w:rPr>
  </w:style>
  <w:style w:type="paragraph" w:customStyle="1" w:styleId="100">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1 Char Char Char Char"/>
    <w:basedOn w:val="1"/>
    <w:qFormat/>
    <w:uiPriority w:val="99"/>
    <w:rPr>
      <w:rFonts w:ascii="Tahoma" w:hAnsi="Tahoma"/>
      <w:sz w:val="24"/>
    </w:rPr>
  </w:style>
  <w:style w:type="paragraph" w:customStyle="1" w:styleId="102">
    <w:name w:val="正文文字缩进 2"/>
    <w:basedOn w:val="1"/>
    <w:qFormat/>
    <w:uiPriority w:val="99"/>
    <w:pPr>
      <w:widowControl/>
      <w:spacing w:line="2375" w:lineRule="atLeast"/>
      <w:ind w:firstLine="561"/>
    </w:pPr>
    <w:rPr>
      <w:rFonts w:ascii="宋体"/>
      <w:color w:val="000000"/>
      <w:kern w:val="0"/>
      <w:sz w:val="28"/>
      <w:u w:color="000000"/>
    </w:rPr>
  </w:style>
  <w:style w:type="paragraph" w:customStyle="1" w:styleId="103">
    <w:name w:val="_Style 35"/>
    <w:basedOn w:val="1"/>
    <w:next w:val="1"/>
    <w:qFormat/>
    <w:uiPriority w:val="99"/>
    <w:pPr>
      <w:ind w:left="3360" w:leftChars="1600"/>
    </w:pPr>
    <w:rPr>
      <w:rFonts w:ascii="Calibri" w:hAnsi="Calibri"/>
      <w:szCs w:val="22"/>
    </w:rPr>
  </w:style>
  <w:style w:type="paragraph" w:customStyle="1" w:styleId="104">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05">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6">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8">
    <w:name w:val="Quote Char"/>
    <w:link w:val="109"/>
    <w:qFormat/>
    <w:locked/>
    <w:uiPriority w:val="99"/>
    <w:rPr>
      <w:rFonts w:ascii="Calibri" w:hAnsi="Calibri" w:cs="Calibri"/>
      <w:i/>
      <w:iCs/>
      <w:color w:val="000000"/>
      <w:sz w:val="22"/>
      <w:lang w:eastAsia="en-US"/>
    </w:rPr>
  </w:style>
  <w:style w:type="paragraph" w:customStyle="1" w:styleId="109">
    <w:name w:val="引用1"/>
    <w:basedOn w:val="1"/>
    <w:next w:val="1"/>
    <w:link w:val="108"/>
    <w:qFormat/>
    <w:uiPriority w:val="99"/>
    <w:pPr>
      <w:widowControl/>
      <w:spacing w:after="200" w:line="276" w:lineRule="auto"/>
      <w:jc w:val="left"/>
    </w:pPr>
    <w:rPr>
      <w:rFonts w:ascii="Calibri" w:hAnsi="Calibri" w:cs="Calibri" w:eastAsiaTheme="minorEastAsia"/>
      <w:i/>
      <w:iCs/>
      <w:color w:val="000000"/>
      <w:sz w:val="22"/>
      <w:szCs w:val="22"/>
      <w:lang w:eastAsia="en-US"/>
    </w:rPr>
  </w:style>
  <w:style w:type="paragraph" w:customStyle="1" w:styleId="110">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4"/>
      <w:szCs w:val="24"/>
    </w:rPr>
  </w:style>
  <w:style w:type="paragraph" w:customStyle="1" w:styleId="111">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12">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3">
    <w:name w:val="无间隔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4">
    <w:name w:val="_Style 24"/>
    <w:qFormat/>
    <w:uiPriority w:val="99"/>
    <w:pPr>
      <w:widowControl w:val="0"/>
      <w:jc w:val="both"/>
    </w:pPr>
    <w:rPr>
      <w:rFonts w:ascii="Times New Roman" w:hAnsi="Times New Roman" w:eastAsia="宋体" w:cs="Times New Roman"/>
      <w:szCs w:val="24"/>
      <w:lang w:val="en-US" w:eastAsia="zh-CN" w:bidi="ar-SA"/>
    </w:rPr>
  </w:style>
  <w:style w:type="paragraph" w:customStyle="1" w:styleId="115">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6">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17">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8">
    <w:name w:val="TOC 标题2"/>
    <w:basedOn w:val="4"/>
    <w:next w:val="1"/>
    <w:qFormat/>
    <w:uiPriority w:val="99"/>
    <w:pPr>
      <w:keepLines/>
      <w:numPr>
        <w:numId w:val="0"/>
      </w:numPr>
      <w:tabs>
        <w:tab w:val="left" w:pos="432"/>
      </w:tabs>
      <w:spacing w:before="340" w:after="330" w:line="576" w:lineRule="auto"/>
      <w:outlineLvl w:val="9"/>
    </w:pPr>
    <w:rPr>
      <w:rFonts w:ascii="Calibri" w:hAnsi="Calibri"/>
      <w:kern w:val="44"/>
      <w:sz w:val="44"/>
      <w:szCs w:val="44"/>
    </w:rPr>
  </w:style>
  <w:style w:type="paragraph" w:customStyle="1" w:styleId="119">
    <w:name w:val="_Style 32"/>
    <w:basedOn w:val="1"/>
    <w:qFormat/>
    <w:uiPriority w:val="99"/>
    <w:pPr>
      <w:adjustRightInd w:val="0"/>
      <w:spacing w:line="360" w:lineRule="auto"/>
    </w:pPr>
    <w:rPr>
      <w:kern w:val="0"/>
      <w:sz w:val="24"/>
    </w:rPr>
  </w:style>
  <w:style w:type="paragraph" w:customStyle="1" w:styleId="120">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1">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2">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kern w:val="0"/>
      <w:sz w:val="24"/>
      <w:szCs w:val="24"/>
    </w:rPr>
  </w:style>
  <w:style w:type="paragraph" w:customStyle="1" w:styleId="123">
    <w:name w:val="_Style 11"/>
    <w:basedOn w:val="1"/>
    <w:qFormat/>
    <w:uiPriority w:val="99"/>
    <w:rPr>
      <w:szCs w:val="24"/>
    </w:rPr>
  </w:style>
  <w:style w:type="paragraph" w:customStyle="1" w:styleId="124">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125">
    <w:name w:val="修订2"/>
    <w:qFormat/>
    <w:uiPriority w:val="99"/>
    <w:rPr>
      <w:rFonts w:ascii="Times New Roman" w:hAnsi="Times New Roman" w:eastAsia="宋体" w:cs="Times New Roman"/>
      <w:kern w:val="2"/>
      <w:sz w:val="21"/>
      <w:szCs w:val="24"/>
      <w:lang w:val="en-US" w:eastAsia="zh-CN" w:bidi="ar-SA"/>
    </w:rPr>
  </w:style>
  <w:style w:type="paragraph" w:customStyle="1" w:styleId="126">
    <w:name w:val="reader-word-layer reader-word-s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空半行"/>
    <w:basedOn w:val="1"/>
    <w:qFormat/>
    <w:uiPriority w:val="99"/>
    <w:pPr>
      <w:adjustRightInd w:val="0"/>
      <w:spacing w:line="120" w:lineRule="exact"/>
    </w:pPr>
    <w:rPr>
      <w:rFonts w:eastAsia="仿宋_GB2312"/>
      <w:color w:val="FFFFFF"/>
      <w:kern w:val="0"/>
      <w:sz w:val="30"/>
    </w:rPr>
  </w:style>
  <w:style w:type="paragraph" w:customStyle="1" w:styleId="128">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9">
    <w:name w:val="Char2"/>
    <w:basedOn w:val="1"/>
    <w:qFormat/>
    <w:uiPriority w:val="99"/>
    <w:rPr>
      <w:szCs w:val="21"/>
    </w:rPr>
  </w:style>
  <w:style w:type="paragraph" w:customStyle="1" w:styleId="1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1">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2">
    <w:name w:val="GZTB表格样式"/>
    <w:basedOn w:val="1"/>
    <w:qFormat/>
    <w:uiPriority w:val="99"/>
    <w:pPr>
      <w:spacing w:after="200" w:line="440" w:lineRule="exact"/>
    </w:pPr>
    <w:rPr>
      <w:rFonts w:ascii="新宋体" w:hAnsi="新宋体" w:eastAsia="新宋体"/>
      <w:szCs w:val="22"/>
    </w:rPr>
  </w:style>
  <w:style w:type="paragraph" w:customStyle="1" w:styleId="133">
    <w:name w:val="Char"/>
    <w:basedOn w:val="1"/>
    <w:qFormat/>
    <w:uiPriority w:val="99"/>
    <w:rPr>
      <w:szCs w:val="21"/>
    </w:rPr>
  </w:style>
  <w:style w:type="paragraph" w:customStyle="1" w:styleId="134">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5">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6">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37">
    <w:name w:val="列出段落1"/>
    <w:basedOn w:val="1"/>
    <w:qFormat/>
    <w:uiPriority w:val="99"/>
    <w:pPr>
      <w:ind w:firstLine="420" w:firstLineChars="200"/>
    </w:pPr>
    <w:rPr>
      <w:rFonts w:ascii="Calibri" w:hAnsi="Calibri"/>
      <w:szCs w:val="22"/>
    </w:rPr>
  </w:style>
  <w:style w:type="paragraph" w:customStyle="1" w:styleId="13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39">
    <w:name w:val="WPS Plain"/>
    <w:qFormat/>
    <w:uiPriority w:val="99"/>
    <w:rPr>
      <w:rFonts w:ascii="Times New Roman" w:hAnsi="Times New Roman" w:eastAsia="宋体" w:cs="Times New Roman"/>
      <w:lang w:val="en-US" w:eastAsia="zh-CN" w:bidi="ar-SA"/>
    </w:rPr>
  </w:style>
  <w:style w:type="paragraph" w:customStyle="1" w:styleId="140">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character" w:customStyle="1" w:styleId="141">
    <w:name w:val="A4 Char"/>
    <w:link w:val="142"/>
    <w:qFormat/>
    <w:locked/>
    <w:uiPriority w:val="99"/>
    <w:rPr>
      <w:rFonts w:ascii="宋体" w:hAnsi="宋体" w:eastAsia="宋体"/>
      <w:color w:val="FF0000"/>
      <w:sz w:val="24"/>
      <w:szCs w:val="24"/>
    </w:rPr>
  </w:style>
  <w:style w:type="paragraph" w:customStyle="1" w:styleId="142">
    <w:name w:val="A4"/>
    <w:basedOn w:val="97"/>
    <w:link w:val="141"/>
    <w:qFormat/>
    <w:uiPriority w:val="99"/>
    <w:pPr>
      <w:spacing w:line="360" w:lineRule="auto"/>
      <w:ind w:left="719" w:leftChars="171" w:right="210" w:hanging="360" w:hangingChars="150"/>
    </w:pPr>
    <w:rPr>
      <w:rFonts w:ascii="宋体" w:hAnsi="宋体" w:cstheme="minorBidi"/>
      <w:color w:val="FF0000"/>
      <w:sz w:val="24"/>
      <w:szCs w:val="24"/>
    </w:rPr>
  </w:style>
  <w:style w:type="paragraph" w:customStyle="1" w:styleId="14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4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45">
    <w:name w:val="样式 标题 2 + Times New Roman 四号 非加粗 段前: 5 磅 段后: 0 磅 行距: 固定值 20..."/>
    <w:basedOn w:val="6"/>
    <w:qFormat/>
    <w:uiPriority w:val="99"/>
    <w:pPr>
      <w:tabs>
        <w:tab w:val="left" w:pos="576"/>
      </w:tabs>
      <w:spacing w:before="100" w:after="0" w:line="400" w:lineRule="exact"/>
    </w:pPr>
    <w:rPr>
      <w:rFonts w:ascii="Times New Roman" w:hAnsi="Times New Roman" w:cs="宋体"/>
      <w:b w:val="0"/>
      <w:sz w:val="28"/>
    </w:rPr>
  </w:style>
  <w:style w:type="paragraph" w:customStyle="1" w:styleId="146">
    <w:name w:val="样式"/>
    <w:qFormat/>
    <w:uiPriority w:val="99"/>
    <w:pPr>
      <w:widowControl w:val="0"/>
      <w:jc w:val="both"/>
    </w:pPr>
    <w:rPr>
      <w:rFonts w:ascii="宋体" w:hAnsi="宋体" w:eastAsia="宋体" w:cs="Times New Roman"/>
      <w:kern w:val="2"/>
      <w:sz w:val="21"/>
      <w:szCs w:val="22"/>
      <w:lang w:val="en-US" w:eastAsia="zh-CN" w:bidi="ar-SA"/>
    </w:rPr>
  </w:style>
  <w:style w:type="paragraph" w:customStyle="1" w:styleId="14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48">
    <w:name w:val="xl25"/>
    <w:basedOn w:val="1"/>
    <w:qFormat/>
    <w:uiPriority w:val="99"/>
    <w:pPr>
      <w:widowControl/>
      <w:spacing w:before="100" w:beforeAutospacing="1" w:after="100" w:afterAutospacing="1"/>
    </w:pPr>
    <w:rPr>
      <w:rFonts w:ascii="宋体" w:hAnsi="宋体"/>
      <w:kern w:val="0"/>
      <w:sz w:val="18"/>
    </w:rPr>
  </w:style>
  <w:style w:type="paragraph" w:customStyle="1" w:styleId="149">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szCs w:val="24"/>
    </w:rPr>
  </w:style>
  <w:style w:type="paragraph" w:customStyle="1" w:styleId="150">
    <w:name w:val="xl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151">
    <w:name w:val="修订1"/>
    <w:qFormat/>
    <w:uiPriority w:val="99"/>
    <w:rPr>
      <w:rFonts w:ascii="Times New Roman" w:hAnsi="Times New Roman" w:eastAsia="宋体" w:cs="Times New Roman"/>
      <w:szCs w:val="24"/>
      <w:lang w:val="en-US" w:eastAsia="zh-CN" w:bidi="ar-SA"/>
    </w:rPr>
  </w:style>
  <w:style w:type="paragraph" w:customStyle="1" w:styleId="152">
    <w:name w:val="xl37"/>
    <w:basedOn w:val="1"/>
    <w:qFormat/>
    <w:uiPriority w:val="99"/>
    <w:pPr>
      <w:widowControl/>
      <w:pBdr>
        <w:left w:val="single" w:color="auto" w:sz="8" w:space="0"/>
        <w:right w:val="single" w:color="auto" w:sz="4" w:space="0"/>
      </w:pBdr>
      <w:spacing w:before="100" w:beforeAutospacing="1" w:after="100" w:afterAutospacing="1"/>
      <w:jc w:val="center"/>
    </w:pPr>
    <w:rPr>
      <w:rFonts w:ascii="宋体" w:hAnsi="宋体"/>
      <w:kern w:val="0"/>
      <w:sz w:val="18"/>
    </w:rPr>
  </w:style>
  <w:style w:type="paragraph" w:customStyle="1" w:styleId="153">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54">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5">
    <w:name w:val="表格文字"/>
    <w:basedOn w:val="1"/>
    <w:qFormat/>
    <w:uiPriority w:val="99"/>
    <w:pPr>
      <w:adjustRightInd w:val="0"/>
      <w:spacing w:line="420" w:lineRule="atLeast"/>
      <w:jc w:val="left"/>
    </w:pPr>
    <w:rPr>
      <w:kern w:val="0"/>
    </w:rPr>
  </w:style>
  <w:style w:type="paragraph" w:customStyle="1" w:styleId="156">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57">
    <w:name w:val="Char1"/>
    <w:basedOn w:val="1"/>
    <w:qFormat/>
    <w:uiPriority w:val="99"/>
    <w:rPr>
      <w:szCs w:val="21"/>
    </w:rPr>
  </w:style>
  <w:style w:type="paragraph" w:customStyle="1" w:styleId="158">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9">
    <w:name w:val="TOC 标题11"/>
    <w:basedOn w:val="4"/>
    <w:next w:val="1"/>
    <w:qFormat/>
    <w:uiPriority w:val="99"/>
    <w:pPr>
      <w:keepLines/>
      <w:numPr>
        <w:numId w:val="0"/>
      </w:numPr>
      <w:tabs>
        <w:tab w:val="left" w:pos="432"/>
      </w:tabs>
      <w:spacing w:before="340" w:after="330" w:line="576" w:lineRule="auto"/>
      <w:outlineLvl w:val="9"/>
    </w:pPr>
    <w:rPr>
      <w:rFonts w:ascii="Calibri" w:hAnsi="Calibri"/>
      <w:kern w:val="44"/>
      <w:sz w:val="44"/>
      <w:szCs w:val="44"/>
    </w:rPr>
  </w:style>
  <w:style w:type="paragraph" w:customStyle="1" w:styleId="160">
    <w:name w:val="GZTB段落样式"/>
    <w:basedOn w:val="1"/>
    <w:qFormat/>
    <w:uiPriority w:val="99"/>
    <w:pPr>
      <w:spacing w:after="200" w:line="440" w:lineRule="exact"/>
      <w:ind w:firstLine="420" w:firstLineChars="200"/>
    </w:pPr>
    <w:rPr>
      <w:rFonts w:ascii="新宋体" w:hAnsi="新宋体" w:eastAsia="新宋体"/>
      <w:szCs w:val="22"/>
    </w:rPr>
  </w:style>
  <w:style w:type="paragraph" w:customStyle="1" w:styleId="161">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kern w:val="0"/>
      <w:sz w:val="24"/>
      <w:szCs w:val="24"/>
    </w:rPr>
  </w:style>
  <w:style w:type="paragraph" w:customStyle="1" w:styleId="16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3">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64">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5">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66">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67">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8">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9">
    <w:name w:val="?y??"/>
    <w:qFormat/>
    <w:uiPriority w:val="99"/>
    <w:pPr>
      <w:widowControl w:val="0"/>
      <w:overflowPunct w:val="0"/>
      <w:autoSpaceDE w:val="0"/>
      <w:autoSpaceDN w:val="0"/>
      <w:adjustRightInd w:val="0"/>
      <w:spacing w:line="357" w:lineRule="atLeast"/>
      <w:jc w:val="both"/>
    </w:pPr>
    <w:rPr>
      <w:rFonts w:ascii="Times New Roman" w:hAnsi="Times New Roman" w:eastAsia="宋体" w:cs="Times New Roman"/>
      <w:color w:val="000000"/>
      <w:lang w:val="en-US" w:eastAsia="zh-CN" w:bidi="ar-SA"/>
    </w:rPr>
  </w:style>
  <w:style w:type="paragraph" w:customStyle="1" w:styleId="170">
    <w:name w:val="xl2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71">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72">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73">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character" w:customStyle="1" w:styleId="174">
    <w:name w:val="标题4 Char Char"/>
    <w:link w:val="175"/>
    <w:qFormat/>
    <w:locked/>
    <w:uiPriority w:val="99"/>
    <w:rPr>
      <w:rFonts w:ascii="Arial" w:hAnsi="Arial" w:cs="Arial"/>
      <w:b/>
      <w:sz w:val="32"/>
    </w:rPr>
  </w:style>
  <w:style w:type="paragraph" w:customStyle="1" w:styleId="175">
    <w:name w:val="标题4"/>
    <w:basedOn w:val="6"/>
    <w:next w:val="24"/>
    <w:link w:val="174"/>
    <w:qFormat/>
    <w:uiPriority w:val="99"/>
    <w:pPr>
      <w:tabs>
        <w:tab w:val="left" w:pos="576"/>
      </w:tabs>
      <w:spacing w:line="412" w:lineRule="auto"/>
    </w:pPr>
    <w:rPr>
      <w:rFonts w:cs="Arial" w:eastAsiaTheme="minorEastAsia"/>
      <w:szCs w:val="22"/>
    </w:rPr>
  </w:style>
  <w:style w:type="paragraph" w:customStyle="1" w:styleId="176">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77">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178">
    <w:name w:val="正文文本缩进 3 Char2"/>
    <w:qFormat/>
    <w:uiPriority w:val="99"/>
    <w:rPr>
      <w:kern w:val="2"/>
      <w:sz w:val="16"/>
    </w:rPr>
  </w:style>
  <w:style w:type="character" w:customStyle="1" w:styleId="179">
    <w:name w:val="charchar1"/>
    <w:qFormat/>
    <w:uiPriority w:val="0"/>
    <w:rPr>
      <w:rFonts w:hint="default" w:ascii="Cambria" w:hAnsi="Cambria" w:eastAsia="Cambria" w:cs="Cambria"/>
      <w:color w:val="17365D"/>
      <w:spacing w:val="5"/>
    </w:rPr>
  </w:style>
  <w:style w:type="character" w:customStyle="1" w:styleId="180">
    <w:name w:val="引用 Char2"/>
    <w:qFormat/>
    <w:uiPriority w:val="99"/>
    <w:rPr>
      <w:i/>
      <w:color w:val="000000"/>
      <w:kern w:val="2"/>
      <w:sz w:val="24"/>
    </w:rPr>
  </w:style>
  <w:style w:type="character" w:customStyle="1" w:styleId="181">
    <w:name w:val="char"/>
    <w:qFormat/>
    <w:uiPriority w:val="0"/>
    <w:rPr>
      <w:rFonts w:hint="default" w:ascii="Calibri" w:hAnsi="Calibri" w:cs="Calibri"/>
      <w:i/>
      <w:color w:val="000000"/>
    </w:rPr>
  </w:style>
  <w:style w:type="character" w:customStyle="1" w:styleId="182">
    <w:name w:val="Plain Text Char"/>
    <w:qFormat/>
    <w:locked/>
    <w:uiPriority w:val="99"/>
    <w:rPr>
      <w:rFonts w:hint="eastAsia" w:ascii="宋体" w:hAnsi="Courier New" w:eastAsia="宋体"/>
    </w:rPr>
  </w:style>
  <w:style w:type="character" w:customStyle="1" w:styleId="183">
    <w:name w:val="charchar16"/>
    <w:qFormat/>
    <w:uiPriority w:val="0"/>
    <w:rPr>
      <w:rFonts w:hint="default" w:ascii="Cambria" w:hAnsi="Cambria" w:eastAsia="Cambria" w:cs="Cambria"/>
      <w:i/>
      <w:color w:val="404040"/>
    </w:rPr>
  </w:style>
  <w:style w:type="character" w:customStyle="1" w:styleId="184">
    <w:name w:val="文档结构图 Char2"/>
    <w:qFormat/>
    <w:uiPriority w:val="99"/>
    <w:rPr>
      <w:rFonts w:hint="eastAsia" w:ascii="宋体" w:hAnsi="Times New Roman" w:eastAsia="宋体" w:cs="Times New Roman"/>
      <w:sz w:val="18"/>
      <w:szCs w:val="18"/>
    </w:rPr>
  </w:style>
  <w:style w:type="character" w:customStyle="1" w:styleId="185">
    <w:name w:val="标题 7 字符"/>
    <w:semiHidden/>
    <w:qFormat/>
    <w:uiPriority w:val="0"/>
    <w:rPr>
      <w:b/>
      <w:bCs/>
      <w:kern w:val="2"/>
      <w:sz w:val="24"/>
      <w:szCs w:val="24"/>
    </w:rPr>
  </w:style>
  <w:style w:type="character" w:customStyle="1" w:styleId="186">
    <w:name w:val="p21"/>
    <w:qFormat/>
    <w:uiPriority w:val="0"/>
    <w:rPr>
      <w:rFonts w:hint="default" w:ascii="Arial" w:hAnsi="Arial" w:cs="Arial"/>
      <w:color w:val="333333"/>
      <w:kern w:val="0"/>
      <w:sz w:val="18"/>
      <w:szCs w:val="18"/>
      <w:u w:val="none"/>
    </w:rPr>
  </w:style>
  <w:style w:type="character" w:customStyle="1" w:styleId="187">
    <w:name w:val="正文文本 3 字符"/>
    <w:qFormat/>
    <w:uiPriority w:val="0"/>
    <w:rPr>
      <w:kern w:val="2"/>
      <w:sz w:val="16"/>
      <w:szCs w:val="16"/>
    </w:rPr>
  </w:style>
  <w:style w:type="character" w:customStyle="1" w:styleId="188">
    <w:name w:val="charchar9"/>
    <w:qFormat/>
    <w:uiPriority w:val="0"/>
    <w:rPr>
      <w:rFonts w:hint="default" w:ascii="Calibri" w:hAnsi="Calibri" w:cs="Calibri"/>
    </w:rPr>
  </w:style>
  <w:style w:type="character" w:customStyle="1" w:styleId="189">
    <w:name w:val="标题 字符"/>
    <w:qFormat/>
    <w:uiPriority w:val="0"/>
    <w:rPr>
      <w:rFonts w:hint="eastAsia" w:ascii="等线 Light" w:hAnsi="等线 Light" w:eastAsia="等线 Light" w:cs="Times New Roman"/>
      <w:b/>
      <w:bCs/>
      <w:kern w:val="2"/>
      <w:sz w:val="32"/>
      <w:szCs w:val="32"/>
    </w:rPr>
  </w:style>
  <w:style w:type="character" w:customStyle="1" w:styleId="190">
    <w:name w:val="明显强调1"/>
    <w:qFormat/>
    <w:uiPriority w:val="99"/>
    <w:rPr>
      <w:b/>
      <w:i/>
      <w:color w:val="4F81BD"/>
    </w:rPr>
  </w:style>
  <w:style w:type="character" w:customStyle="1" w:styleId="191">
    <w:name w:val="10"/>
    <w:qFormat/>
    <w:uiPriority w:val="0"/>
    <w:rPr>
      <w:rFonts w:hint="default" w:ascii="Times New Roman" w:hAnsi="Times New Roman" w:cs="Times New Roman"/>
    </w:rPr>
  </w:style>
  <w:style w:type="character" w:customStyle="1" w:styleId="192">
    <w:name w:val="批注文字 字符"/>
    <w:qFormat/>
    <w:uiPriority w:val="0"/>
    <w:rPr>
      <w:kern w:val="2"/>
      <w:sz w:val="21"/>
      <w:szCs w:val="20"/>
    </w:rPr>
  </w:style>
  <w:style w:type="character" w:customStyle="1" w:styleId="193">
    <w:name w:val="批注主题 Char2"/>
    <w:qFormat/>
    <w:uiPriority w:val="99"/>
    <w:rPr>
      <w:rFonts w:hint="eastAsia" w:ascii="宋体" w:hAnsi="宋体" w:eastAsia="宋体"/>
      <w:b/>
      <w:kern w:val="2"/>
      <w:sz w:val="22"/>
    </w:rPr>
  </w:style>
  <w:style w:type="character" w:customStyle="1" w:styleId="194">
    <w:name w:val="charchar11"/>
    <w:qFormat/>
    <w:uiPriority w:val="0"/>
    <w:rPr>
      <w:rFonts w:hint="default" w:ascii="Calibri" w:hAnsi="Calibri" w:cs="Calibri"/>
    </w:rPr>
  </w:style>
  <w:style w:type="character" w:customStyle="1" w:styleId="195">
    <w:name w:val="明显参考2"/>
    <w:qFormat/>
    <w:uiPriority w:val="99"/>
    <w:rPr>
      <w:b/>
      <w:smallCaps/>
      <w:color w:val="C0504D"/>
      <w:spacing w:val="5"/>
      <w:u w:val="single"/>
    </w:rPr>
  </w:style>
  <w:style w:type="character" w:customStyle="1" w:styleId="196">
    <w:name w:val="正文文本缩进 2 Char1"/>
    <w:qFormat/>
    <w:uiPriority w:val="99"/>
    <w:rPr>
      <w:rFonts w:hint="default" w:ascii="Times New Roman" w:hAnsi="Times New Roman" w:cs="Times New Roman"/>
      <w:kern w:val="2"/>
      <w:sz w:val="24"/>
      <w:szCs w:val="24"/>
    </w:rPr>
  </w:style>
  <w:style w:type="character" w:customStyle="1" w:styleId="197">
    <w:name w:val="批注主题 字符"/>
    <w:qFormat/>
    <w:uiPriority w:val="0"/>
    <w:rPr>
      <w:b/>
      <w:bCs/>
      <w:kern w:val="2"/>
      <w:sz w:val="21"/>
      <w:szCs w:val="20"/>
    </w:rPr>
  </w:style>
  <w:style w:type="character" w:customStyle="1" w:styleId="198">
    <w:name w:val="HTML Preformatted Char1"/>
    <w:qFormat/>
    <w:locked/>
    <w:uiPriority w:val="99"/>
    <w:rPr>
      <w:rFonts w:hint="default" w:ascii="Arial" w:hAnsi="Arial" w:cs="Arial"/>
      <w:sz w:val="24"/>
      <w:szCs w:val="24"/>
    </w:rPr>
  </w:style>
  <w:style w:type="character" w:customStyle="1" w:styleId="199">
    <w:name w:val="页眉 Char1"/>
    <w:qFormat/>
    <w:uiPriority w:val="99"/>
    <w:rPr>
      <w:rFonts w:hint="default" w:ascii="Times New Roman" w:hAnsi="Times New Roman" w:cs="Times New Roman"/>
      <w:kern w:val="2"/>
      <w:sz w:val="18"/>
      <w:szCs w:val="18"/>
    </w:rPr>
  </w:style>
  <w:style w:type="character" w:customStyle="1" w:styleId="200">
    <w:name w:val="页脚 Char2"/>
    <w:qFormat/>
    <w:locked/>
    <w:uiPriority w:val="0"/>
    <w:rPr>
      <w:kern w:val="2"/>
      <w:sz w:val="18"/>
    </w:rPr>
  </w:style>
  <w:style w:type="character" w:customStyle="1" w:styleId="201">
    <w:name w:val="charchar17"/>
    <w:qFormat/>
    <w:uiPriority w:val="0"/>
    <w:rPr>
      <w:rFonts w:hint="default" w:ascii="Cambria" w:hAnsi="Cambria" w:eastAsia="Cambria" w:cs="Cambria"/>
      <w:i/>
      <w:color w:val="243F60"/>
    </w:rPr>
  </w:style>
  <w:style w:type="character" w:customStyle="1" w:styleId="202">
    <w:name w:val="书籍标题1"/>
    <w:qFormat/>
    <w:uiPriority w:val="99"/>
    <w:rPr>
      <w:b/>
      <w:smallCaps/>
      <w:spacing w:val="5"/>
    </w:rPr>
  </w:style>
  <w:style w:type="character" w:customStyle="1" w:styleId="203">
    <w:name w:val="charchar3"/>
    <w:qFormat/>
    <w:uiPriority w:val="0"/>
    <w:rPr>
      <w:rFonts w:hint="default" w:ascii="Calibri" w:hAnsi="Calibri" w:cs="Calibri"/>
      <w:color w:val="000000"/>
    </w:rPr>
  </w:style>
  <w:style w:type="character" w:customStyle="1" w:styleId="204">
    <w:name w:val="charchar13"/>
    <w:qFormat/>
    <w:uiPriority w:val="0"/>
    <w:rPr>
      <w:rFonts w:hint="eastAsia" w:ascii="宋体" w:hAnsi="宋体" w:eastAsia="宋体" w:cs="宋体"/>
    </w:rPr>
  </w:style>
  <w:style w:type="character" w:customStyle="1" w:styleId="205">
    <w:name w:val="不明显参考1"/>
    <w:qFormat/>
    <w:uiPriority w:val="99"/>
    <w:rPr>
      <w:smallCaps/>
      <w:color w:val="C0504D"/>
      <w:u w:val="single"/>
    </w:rPr>
  </w:style>
  <w:style w:type="character" w:customStyle="1" w:styleId="206">
    <w:name w:val="正文文本缩进 2 Char2"/>
    <w:qFormat/>
    <w:uiPriority w:val="99"/>
    <w:rPr>
      <w:kern w:val="2"/>
      <w:sz w:val="24"/>
    </w:rPr>
  </w:style>
  <w:style w:type="character" w:customStyle="1" w:styleId="207">
    <w:name w:val="标题 8 字符"/>
    <w:semiHidden/>
    <w:qFormat/>
    <w:uiPriority w:val="0"/>
    <w:rPr>
      <w:rFonts w:hint="eastAsia" w:ascii="等线 Light" w:hAnsi="等线 Light" w:eastAsia="等线 Light" w:cs="Times New Roman"/>
      <w:kern w:val="2"/>
      <w:sz w:val="24"/>
      <w:szCs w:val="24"/>
    </w:rPr>
  </w:style>
  <w:style w:type="character" w:customStyle="1" w:styleId="208">
    <w:name w:val="标题 5 字符"/>
    <w:qFormat/>
    <w:uiPriority w:val="0"/>
    <w:rPr>
      <w:b/>
      <w:bCs/>
      <w:kern w:val="2"/>
      <w:sz w:val="28"/>
      <w:szCs w:val="28"/>
    </w:rPr>
  </w:style>
  <w:style w:type="character" w:customStyle="1" w:styleId="209">
    <w:name w:val="标题 9 字符"/>
    <w:semiHidden/>
    <w:qFormat/>
    <w:uiPriority w:val="0"/>
    <w:rPr>
      <w:rFonts w:hint="eastAsia" w:ascii="等线 Light" w:hAnsi="等线 Light" w:eastAsia="等线 Light" w:cs="Times New Roman"/>
      <w:kern w:val="2"/>
      <w:sz w:val="21"/>
      <w:szCs w:val="21"/>
    </w:rPr>
  </w:style>
  <w:style w:type="character" w:customStyle="1" w:styleId="210">
    <w:name w:val="批注主题 Char1"/>
    <w:qFormat/>
    <w:uiPriority w:val="99"/>
    <w:rPr>
      <w:rFonts w:hint="default" w:ascii="Times New Roman" w:hAnsi="Times New Roman" w:cs="Times New Roman"/>
      <w:b/>
      <w:bCs/>
      <w:kern w:val="2"/>
      <w:sz w:val="24"/>
      <w:szCs w:val="24"/>
    </w:rPr>
  </w:style>
  <w:style w:type="character" w:customStyle="1" w:styleId="211">
    <w:name w:val="批注文字 Char1"/>
    <w:qFormat/>
    <w:uiPriority w:val="99"/>
    <w:rPr>
      <w:rFonts w:hint="default" w:ascii="Times New Roman" w:hAnsi="Times New Roman" w:eastAsia="宋体" w:cs="Times New Roman"/>
      <w:szCs w:val="20"/>
    </w:rPr>
  </w:style>
  <w:style w:type="character" w:customStyle="1" w:styleId="212">
    <w:name w:val="charchar12"/>
    <w:qFormat/>
    <w:uiPriority w:val="0"/>
    <w:rPr>
      <w:rFonts w:hint="default" w:ascii="Calibri" w:hAnsi="Calibri" w:cs="Calibri"/>
    </w:rPr>
  </w:style>
  <w:style w:type="character" w:customStyle="1" w:styleId="213">
    <w:name w:val="正文文本 3 Char2"/>
    <w:qFormat/>
    <w:uiPriority w:val="99"/>
    <w:rPr>
      <w:kern w:val="2"/>
      <w:sz w:val="16"/>
    </w:rPr>
  </w:style>
  <w:style w:type="character" w:customStyle="1" w:styleId="214">
    <w:name w:val="批注框文本 Char2"/>
    <w:qFormat/>
    <w:uiPriority w:val="99"/>
    <w:rPr>
      <w:kern w:val="2"/>
      <w:sz w:val="18"/>
    </w:rPr>
  </w:style>
  <w:style w:type="character" w:customStyle="1" w:styleId="215">
    <w:name w:val="页眉 Char2"/>
    <w:qFormat/>
    <w:locked/>
    <w:uiPriority w:val="0"/>
    <w:rPr>
      <w:kern w:val="2"/>
      <w:sz w:val="18"/>
    </w:rPr>
  </w:style>
  <w:style w:type="character" w:customStyle="1" w:styleId="216">
    <w:name w:val="char0"/>
    <w:qFormat/>
    <w:uiPriority w:val="0"/>
    <w:rPr>
      <w:rFonts w:hint="default" w:ascii="Calibri" w:hAnsi="Calibri" w:cs="Calibri"/>
      <w:b/>
      <w:i/>
      <w:color w:val="4F81BD"/>
    </w:rPr>
  </w:style>
  <w:style w:type="character" w:customStyle="1" w:styleId="217">
    <w:name w:val="不明显强调1"/>
    <w:qFormat/>
    <w:uiPriority w:val="99"/>
    <w:rPr>
      <w:i/>
      <w:color w:val="808080"/>
    </w:rPr>
  </w:style>
  <w:style w:type="character" w:customStyle="1" w:styleId="218">
    <w:name w:val="正文文本 Char1"/>
    <w:qFormat/>
    <w:uiPriority w:val="99"/>
    <w:rPr>
      <w:kern w:val="2"/>
      <w:sz w:val="22"/>
    </w:rPr>
  </w:style>
  <w:style w:type="character" w:customStyle="1" w:styleId="219">
    <w:name w:val="不明显强调2"/>
    <w:qFormat/>
    <w:uiPriority w:val="99"/>
    <w:rPr>
      <w:i/>
      <w:color w:val="808080"/>
    </w:rPr>
  </w:style>
  <w:style w:type="character" w:customStyle="1" w:styleId="220">
    <w:name w:val="charchar15"/>
    <w:qFormat/>
    <w:uiPriority w:val="0"/>
    <w:rPr>
      <w:rFonts w:hint="default" w:ascii="Cambria" w:hAnsi="Cambria" w:eastAsia="Cambria" w:cs="Cambria"/>
      <w:color w:val="4F81BD"/>
    </w:rPr>
  </w:style>
  <w:style w:type="character" w:customStyle="1" w:styleId="221">
    <w:name w:val="Date Char1"/>
    <w:qFormat/>
    <w:locked/>
    <w:uiPriority w:val="99"/>
    <w:rPr>
      <w:rFonts w:hint="default" w:ascii="Times New Roman" w:hAnsi="Times New Roman" w:cs="Times New Roman"/>
      <w:sz w:val="24"/>
      <w:szCs w:val="24"/>
    </w:rPr>
  </w:style>
  <w:style w:type="character" w:customStyle="1" w:styleId="222">
    <w:name w:val="标题 6 字符"/>
    <w:semiHidden/>
    <w:qFormat/>
    <w:uiPriority w:val="0"/>
    <w:rPr>
      <w:rFonts w:hint="eastAsia" w:ascii="等线 Light" w:hAnsi="等线 Light" w:eastAsia="等线 Light" w:cs="Times New Roman"/>
      <w:b/>
      <w:bCs/>
      <w:kern w:val="2"/>
      <w:sz w:val="24"/>
      <w:szCs w:val="24"/>
    </w:rPr>
  </w:style>
  <w:style w:type="character" w:customStyle="1" w:styleId="223">
    <w:name w:val="charchar2"/>
    <w:qFormat/>
    <w:uiPriority w:val="0"/>
    <w:rPr>
      <w:rFonts w:hint="default" w:ascii="Calibri" w:hAnsi="Calibri" w:cs="Calibri"/>
      <w:b/>
    </w:rPr>
  </w:style>
  <w:style w:type="character" w:customStyle="1" w:styleId="224">
    <w:name w:val="批注文字 Char2"/>
    <w:qFormat/>
    <w:uiPriority w:val="0"/>
    <w:rPr>
      <w:rFonts w:hint="eastAsia" w:ascii="宋体" w:hAnsi="宋体" w:eastAsia="宋体"/>
      <w:kern w:val="2"/>
      <w:sz w:val="22"/>
    </w:rPr>
  </w:style>
  <w:style w:type="character" w:customStyle="1" w:styleId="225">
    <w:name w:val="批注框文本 Char3"/>
    <w:link w:val="31"/>
    <w:semiHidden/>
    <w:qFormat/>
    <w:locked/>
    <w:uiPriority w:val="99"/>
    <w:rPr>
      <w:rFonts w:ascii="Times New Roman" w:hAnsi="Times New Roman" w:eastAsia="宋体" w:cs="Times New Roman"/>
      <w:sz w:val="18"/>
      <w:szCs w:val="18"/>
    </w:rPr>
  </w:style>
  <w:style w:type="character" w:customStyle="1" w:styleId="226">
    <w:name w:val="不明显参考2"/>
    <w:qFormat/>
    <w:uiPriority w:val="99"/>
    <w:rPr>
      <w:smallCaps/>
      <w:color w:val="C0504D"/>
      <w:u w:val="single"/>
    </w:rPr>
  </w:style>
  <w:style w:type="character" w:customStyle="1" w:styleId="227">
    <w:name w:val="批注文字 Char Char"/>
    <w:qFormat/>
    <w:uiPriority w:val="99"/>
    <w:rPr>
      <w:rFonts w:hint="eastAsia" w:ascii="宋体" w:hAnsi="Times New Roman" w:eastAsia="宋体"/>
      <w:sz w:val="20"/>
    </w:rPr>
  </w:style>
  <w:style w:type="character" w:customStyle="1" w:styleId="228">
    <w:name w:val="charchar7"/>
    <w:qFormat/>
    <w:uiPriority w:val="0"/>
    <w:rPr>
      <w:rFonts w:hint="default" w:ascii="Calibri" w:hAnsi="Calibri" w:cs="Calibri"/>
    </w:rPr>
  </w:style>
  <w:style w:type="character" w:customStyle="1" w:styleId="229">
    <w:name w:val="grame"/>
    <w:basedOn w:val="50"/>
    <w:qFormat/>
    <w:uiPriority w:val="0"/>
    <w:rPr>
      <w:kern w:val="0"/>
      <w:sz w:val="24"/>
      <w:szCs w:val="20"/>
    </w:rPr>
  </w:style>
  <w:style w:type="character" w:customStyle="1" w:styleId="230">
    <w:name w:val="15"/>
    <w:qFormat/>
    <w:uiPriority w:val="0"/>
    <w:rPr>
      <w:rFonts w:hint="default" w:ascii="Times New Roman" w:hAnsi="Times New Roman" w:cs="Times New Roman"/>
      <w:color w:val="0000FF"/>
      <w:u w:val="single"/>
    </w:rPr>
  </w:style>
  <w:style w:type="character" w:customStyle="1" w:styleId="231">
    <w:name w:val="charchar14"/>
    <w:qFormat/>
    <w:uiPriority w:val="0"/>
    <w:rPr>
      <w:rFonts w:hint="default" w:ascii="Cambria" w:hAnsi="Cambria" w:eastAsia="Cambria" w:cs="Cambria"/>
      <w:i/>
      <w:color w:val="404040"/>
    </w:rPr>
  </w:style>
  <w:style w:type="character" w:customStyle="1" w:styleId="232">
    <w:name w:val="charchar5"/>
    <w:qFormat/>
    <w:uiPriority w:val="0"/>
    <w:rPr>
      <w:rFonts w:hint="eastAsia" w:ascii="宋体" w:hAnsi="宋体" w:eastAsia="宋体" w:cs="宋体"/>
    </w:rPr>
  </w:style>
  <w:style w:type="character" w:customStyle="1" w:styleId="233">
    <w:name w:val="charchar10"/>
    <w:qFormat/>
    <w:uiPriority w:val="0"/>
    <w:rPr>
      <w:rFonts w:hint="default" w:ascii="Calibri" w:hAnsi="Calibri" w:cs="Calibri"/>
    </w:rPr>
  </w:style>
  <w:style w:type="character" w:customStyle="1" w:styleId="234">
    <w:name w:val="css21"/>
    <w:qFormat/>
    <w:uiPriority w:val="0"/>
    <w:rPr>
      <w:kern w:val="0"/>
      <w:sz w:val="18"/>
      <w:szCs w:val="18"/>
    </w:rPr>
  </w:style>
  <w:style w:type="character" w:customStyle="1" w:styleId="235">
    <w:name w:val="日期 Char2"/>
    <w:qFormat/>
    <w:uiPriority w:val="99"/>
    <w:rPr>
      <w:rFonts w:hint="eastAsia" w:ascii="宋体" w:hAnsi="宋体" w:eastAsia="宋体"/>
    </w:rPr>
  </w:style>
  <w:style w:type="character" w:customStyle="1" w:styleId="236">
    <w:name w:val="副标题 字符"/>
    <w:qFormat/>
    <w:uiPriority w:val="0"/>
    <w:rPr>
      <w:rFonts w:hint="eastAsia" w:ascii="等线 Light" w:hAnsi="等线 Light" w:eastAsia="等线 Light" w:cs="Times New Roman"/>
      <w:b/>
      <w:bCs/>
      <w:kern w:val="28"/>
      <w:sz w:val="32"/>
      <w:szCs w:val="32"/>
    </w:rPr>
  </w:style>
  <w:style w:type="character" w:customStyle="1" w:styleId="237">
    <w:name w:val="明显引用 Char2"/>
    <w:qFormat/>
    <w:uiPriority w:val="99"/>
    <w:rPr>
      <w:b/>
      <w:i/>
      <w:color w:val="4F81BD"/>
      <w:kern w:val="2"/>
      <w:sz w:val="24"/>
    </w:rPr>
  </w:style>
  <w:style w:type="character" w:customStyle="1" w:styleId="238">
    <w:name w:val="unnamed1"/>
    <w:basedOn w:val="50"/>
    <w:qFormat/>
    <w:uiPriority w:val="0"/>
    <w:rPr>
      <w:kern w:val="0"/>
      <w:sz w:val="24"/>
      <w:szCs w:val="20"/>
    </w:rPr>
  </w:style>
  <w:style w:type="character" w:customStyle="1" w:styleId="239">
    <w:name w:val="正文文本 Char2"/>
    <w:qFormat/>
    <w:uiPriority w:val="99"/>
    <w:rPr>
      <w:kern w:val="2"/>
      <w:sz w:val="24"/>
    </w:rPr>
  </w:style>
  <w:style w:type="character" w:customStyle="1" w:styleId="240">
    <w:name w:val="charchar20"/>
    <w:qFormat/>
    <w:uiPriority w:val="0"/>
    <w:rPr>
      <w:rFonts w:hint="eastAsia" w:ascii="新宋体" w:hAnsi="新宋体" w:eastAsia="新宋体" w:cs="新宋体"/>
      <w:b/>
      <w:snapToGrid/>
    </w:rPr>
  </w:style>
  <w:style w:type="character" w:customStyle="1" w:styleId="241">
    <w:name w:val="引用 Char1"/>
    <w:qFormat/>
    <w:locked/>
    <w:uiPriority w:val="99"/>
    <w:rPr>
      <w:rFonts w:hint="default" w:ascii="Calibri" w:hAnsi="Calibri" w:eastAsia="宋体" w:cs="黑体"/>
      <w:i/>
      <w:iCs/>
      <w:color w:val="000000"/>
    </w:rPr>
  </w:style>
  <w:style w:type="character" w:customStyle="1" w:styleId="242">
    <w:name w:val="纯文本 Char1"/>
    <w:qFormat/>
    <w:locked/>
    <w:uiPriority w:val="0"/>
    <w:rPr>
      <w:rFonts w:hint="eastAsia" w:ascii="宋体" w:hAnsi="Courier New" w:eastAsia="宋体"/>
      <w:kern w:val="2"/>
      <w:sz w:val="21"/>
    </w:rPr>
  </w:style>
  <w:style w:type="character" w:customStyle="1" w:styleId="243">
    <w:name w:val="标题 1 Char1"/>
    <w:link w:val="4"/>
    <w:qFormat/>
    <w:locked/>
    <w:uiPriority w:val="9"/>
    <w:rPr>
      <w:rFonts w:ascii="Times New Roman" w:hAnsi="Times New Roman" w:eastAsia="宋体" w:cs="Times New Roman"/>
      <w:b/>
      <w:szCs w:val="20"/>
    </w:rPr>
  </w:style>
  <w:style w:type="character" w:customStyle="1" w:styleId="244">
    <w:name w:val="apple-converted-space"/>
    <w:qFormat/>
    <w:uiPriority w:val="99"/>
  </w:style>
  <w:style w:type="character" w:customStyle="1" w:styleId="245">
    <w:name w:val="Plain Text Char1"/>
    <w:qFormat/>
    <w:locked/>
    <w:uiPriority w:val="99"/>
    <w:rPr>
      <w:rFonts w:hint="eastAsia" w:ascii="宋体" w:hAnsi="Courier New" w:eastAsia="宋体" w:cs="黑体"/>
    </w:rPr>
  </w:style>
  <w:style w:type="character" w:customStyle="1" w:styleId="246">
    <w:name w:val="正文文本 2 Char1"/>
    <w:qFormat/>
    <w:uiPriority w:val="99"/>
    <w:rPr>
      <w:rFonts w:hint="default" w:ascii="Times New Roman" w:hAnsi="Times New Roman" w:cs="Times New Roman"/>
      <w:kern w:val="2"/>
      <w:sz w:val="24"/>
      <w:szCs w:val="24"/>
    </w:rPr>
  </w:style>
  <w:style w:type="character" w:customStyle="1" w:styleId="247">
    <w:name w:val="charchar6"/>
    <w:qFormat/>
    <w:uiPriority w:val="0"/>
    <w:rPr>
      <w:rFonts w:hint="eastAsia" w:ascii="宋体" w:hAnsi="宋体" w:eastAsia="宋体" w:cs="宋体"/>
      <w:b/>
    </w:rPr>
  </w:style>
  <w:style w:type="character" w:customStyle="1" w:styleId="248">
    <w:name w:val="charchar18"/>
    <w:qFormat/>
    <w:uiPriority w:val="0"/>
    <w:rPr>
      <w:rFonts w:hint="default" w:ascii="Cambria" w:hAnsi="Cambria" w:eastAsia="Cambria" w:cs="Cambria"/>
      <w:color w:val="243F60"/>
    </w:rPr>
  </w:style>
  <w:style w:type="character" w:customStyle="1" w:styleId="249">
    <w:name w:val="明显参考1"/>
    <w:qFormat/>
    <w:uiPriority w:val="99"/>
    <w:rPr>
      <w:b/>
      <w:smallCaps/>
      <w:color w:val="C0504D"/>
      <w:spacing w:val="5"/>
      <w:u w:val="single"/>
    </w:rPr>
  </w:style>
  <w:style w:type="character" w:customStyle="1" w:styleId="250">
    <w:name w:val="Comment Text Char1"/>
    <w:semiHidden/>
    <w:qFormat/>
    <w:uiPriority w:val="99"/>
    <w:rPr>
      <w:kern w:val="2"/>
      <w:sz w:val="21"/>
    </w:rPr>
  </w:style>
  <w:style w:type="character" w:customStyle="1" w:styleId="251">
    <w:name w:val="Date Char"/>
    <w:qFormat/>
    <w:locked/>
    <w:uiPriority w:val="99"/>
    <w:rPr>
      <w:rFonts w:hint="eastAsia" w:ascii="宋体" w:hAnsi="宋体" w:eastAsia="宋体"/>
      <w:sz w:val="28"/>
    </w:rPr>
  </w:style>
  <w:style w:type="character" w:customStyle="1" w:styleId="252">
    <w:name w:val="charchar22"/>
    <w:qFormat/>
    <w:uiPriority w:val="0"/>
    <w:rPr>
      <w:rFonts w:hint="eastAsia" w:ascii="新宋体" w:hAnsi="新宋体" w:eastAsia="新宋体" w:cs="新宋体"/>
      <w:b/>
    </w:rPr>
  </w:style>
  <w:style w:type="character" w:customStyle="1" w:styleId="253">
    <w:name w:val="书籍标题2"/>
    <w:qFormat/>
    <w:uiPriority w:val="99"/>
    <w:rPr>
      <w:b/>
      <w:smallCaps/>
      <w:spacing w:val="5"/>
    </w:rPr>
  </w:style>
  <w:style w:type="character" w:customStyle="1" w:styleId="254">
    <w:name w:val="副标题 Char1"/>
    <w:qFormat/>
    <w:uiPriority w:val="99"/>
    <w:rPr>
      <w:rFonts w:hint="default" w:ascii="Cambria" w:hAnsi="Cambria" w:eastAsia="宋体" w:cs="黑体"/>
      <w:b/>
      <w:bCs/>
      <w:kern w:val="28"/>
      <w:sz w:val="32"/>
      <w:szCs w:val="32"/>
    </w:rPr>
  </w:style>
  <w:style w:type="character" w:customStyle="1" w:styleId="255">
    <w:name w:val="正文文本缩进 Char2"/>
    <w:qFormat/>
    <w:uiPriority w:val="99"/>
    <w:rPr>
      <w:kern w:val="2"/>
      <w:sz w:val="24"/>
    </w:rPr>
  </w:style>
  <w:style w:type="character" w:customStyle="1" w:styleId="256">
    <w:name w:val="明显强调2"/>
    <w:qFormat/>
    <w:uiPriority w:val="99"/>
    <w:rPr>
      <w:b/>
      <w:i/>
      <w:color w:val="4F81BD"/>
    </w:rPr>
  </w:style>
  <w:style w:type="character" w:customStyle="1" w:styleId="257">
    <w:name w:val="纯文本 Char2"/>
    <w:qFormat/>
    <w:uiPriority w:val="99"/>
    <w:rPr>
      <w:rFonts w:hint="eastAsia" w:ascii="宋体" w:hAnsi="Courier New" w:eastAsia="宋体"/>
      <w:sz w:val="21"/>
    </w:rPr>
  </w:style>
  <w:style w:type="character" w:customStyle="1" w:styleId="258">
    <w:name w:val="HTML 预设格式 Char2"/>
    <w:qFormat/>
    <w:uiPriority w:val="99"/>
    <w:rPr>
      <w:rFonts w:hint="default" w:ascii="Courier New" w:hAnsi="Courier New" w:eastAsia="宋体" w:cs="Courier New"/>
      <w:sz w:val="20"/>
    </w:rPr>
  </w:style>
  <w:style w:type="character" w:customStyle="1" w:styleId="259">
    <w:name w:val="charchar19"/>
    <w:qFormat/>
    <w:uiPriority w:val="0"/>
    <w:rPr>
      <w:rFonts w:hint="default" w:ascii="Cambria" w:hAnsi="Cambria" w:eastAsia="Cambria" w:cs="Cambria"/>
      <w:b/>
      <w:i/>
      <w:color w:val="4F81BD"/>
    </w:rPr>
  </w:style>
  <w:style w:type="character" w:customStyle="1" w:styleId="260">
    <w:name w:val="正文文本 2 Char2"/>
    <w:qFormat/>
    <w:uiPriority w:val="99"/>
    <w:rPr>
      <w:kern w:val="2"/>
      <w:sz w:val="24"/>
    </w:rPr>
  </w:style>
  <w:style w:type="character" w:customStyle="1" w:styleId="261">
    <w:name w:val="正文文字 Char"/>
    <w:qFormat/>
    <w:uiPriority w:val="0"/>
    <w:rPr>
      <w:rFonts w:hint="default" w:ascii="Arial" w:hAnsi="Arial" w:eastAsia="宋体" w:cs="Arial"/>
      <w:kern w:val="2"/>
      <w:sz w:val="24"/>
      <w:szCs w:val="20"/>
      <w:lang w:val="en-US" w:eastAsia="zh-CN" w:bidi="ar-SA"/>
    </w:rPr>
  </w:style>
  <w:style w:type="character" w:customStyle="1" w:styleId="262">
    <w:name w:val="charchar4"/>
    <w:qFormat/>
    <w:uiPriority w:val="0"/>
    <w:rPr>
      <w:rFonts w:hint="eastAsia" w:ascii="宋体" w:hAnsi="宋体" w:eastAsia="宋体" w:cs="宋体"/>
    </w:rPr>
  </w:style>
  <w:style w:type="character" w:customStyle="1" w:styleId="263">
    <w:name w:val="HTML Preformatted Char"/>
    <w:qFormat/>
    <w:locked/>
    <w:uiPriority w:val="99"/>
    <w:rPr>
      <w:rFonts w:hint="default" w:ascii="Arial" w:hAnsi="Arial" w:cs="Arial"/>
      <w:sz w:val="24"/>
    </w:rPr>
  </w:style>
  <w:style w:type="character" w:customStyle="1" w:styleId="264">
    <w:name w:val="标题 2 Char1"/>
    <w:link w:val="6"/>
    <w:qFormat/>
    <w:locked/>
    <w:uiPriority w:val="9"/>
    <w:rPr>
      <w:rFonts w:ascii="Arial" w:hAnsi="Arial" w:eastAsia="黑体" w:cs="Times New Roman"/>
      <w:b/>
      <w:sz w:val="32"/>
      <w:szCs w:val="20"/>
    </w:rPr>
  </w:style>
  <w:style w:type="character" w:customStyle="1" w:styleId="265">
    <w:name w:val="s"/>
    <w:basedOn w:val="50"/>
    <w:qFormat/>
    <w:uiPriority w:val="0"/>
    <w:rPr>
      <w:kern w:val="0"/>
      <w:sz w:val="24"/>
      <w:szCs w:val="20"/>
    </w:rPr>
  </w:style>
  <w:style w:type="character" w:customStyle="1" w:styleId="266">
    <w:name w:val="charchar8"/>
    <w:qFormat/>
    <w:uiPriority w:val="0"/>
    <w:rPr>
      <w:rFonts w:hint="default" w:ascii="Calibri" w:hAnsi="Calibri" w:cs="Calibri"/>
    </w:rPr>
  </w:style>
  <w:style w:type="character" w:customStyle="1" w:styleId="267">
    <w:name w:val="正文文本 3 Char1"/>
    <w:qFormat/>
    <w:uiPriority w:val="99"/>
    <w:rPr>
      <w:rFonts w:hint="default" w:ascii="Times New Roman" w:hAnsi="Times New Roman" w:cs="Times New Roman"/>
      <w:kern w:val="2"/>
      <w:sz w:val="16"/>
      <w:szCs w:val="16"/>
    </w:rPr>
  </w:style>
  <w:style w:type="character" w:customStyle="1" w:styleId="268">
    <w:name w:val="标题 Char1"/>
    <w:qFormat/>
    <w:uiPriority w:val="99"/>
    <w:rPr>
      <w:rFonts w:hint="default" w:ascii="Cambria" w:hAnsi="Cambria" w:eastAsia="宋体" w:cs="黑体"/>
      <w:b/>
      <w:bCs/>
      <w:sz w:val="32"/>
      <w:szCs w:val="32"/>
    </w:rPr>
  </w:style>
  <w:style w:type="character" w:customStyle="1" w:styleId="269">
    <w:name w:val="文档结构图 Char1"/>
    <w:qFormat/>
    <w:uiPriority w:val="99"/>
    <w:rPr>
      <w:rFonts w:hint="eastAsia" w:ascii="宋体" w:hAnsi="宋体" w:eastAsia="宋体"/>
      <w:kern w:val="2"/>
      <w:sz w:val="18"/>
    </w:rPr>
  </w:style>
  <w:style w:type="character" w:customStyle="1" w:styleId="270">
    <w:name w:val="正文文本缩进 3 Char1"/>
    <w:qFormat/>
    <w:uiPriority w:val="99"/>
    <w:rPr>
      <w:rFonts w:hint="default" w:ascii="Times New Roman" w:hAnsi="Times New Roman" w:cs="Times New Roman"/>
      <w:kern w:val="2"/>
      <w:sz w:val="16"/>
      <w:szCs w:val="16"/>
    </w:rPr>
  </w:style>
  <w:style w:type="character" w:customStyle="1" w:styleId="271">
    <w:name w:val="tcnt2"/>
    <w:qFormat/>
    <w:uiPriority w:val="99"/>
    <w:rPr>
      <w:rFonts w:hint="default" w:ascii="Times New Roman" w:hAnsi="Times New Roman" w:cs="Times New Roman"/>
    </w:rPr>
  </w:style>
  <w:style w:type="character" w:customStyle="1" w:styleId="272">
    <w:name w:val="正文文本缩进 Char1"/>
    <w:qFormat/>
    <w:uiPriority w:val="99"/>
    <w:rPr>
      <w:rFonts w:hint="default" w:ascii="Times New Roman" w:hAnsi="Times New Roman" w:cs="Times New Roman"/>
      <w:kern w:val="2"/>
      <w:sz w:val="24"/>
      <w:szCs w:val="24"/>
    </w:rPr>
  </w:style>
  <w:style w:type="character" w:customStyle="1" w:styleId="273">
    <w:name w:val="charchar"/>
    <w:qFormat/>
    <w:uiPriority w:val="0"/>
    <w:rPr>
      <w:rFonts w:hint="default" w:ascii="Cambria" w:hAnsi="Cambria" w:eastAsia="Cambria" w:cs="Cambria"/>
      <w:i/>
      <w:color w:val="4F81BD"/>
      <w:spacing w:val="15"/>
    </w:rPr>
  </w:style>
  <w:style w:type="character" w:customStyle="1" w:styleId="274">
    <w:name w:val="明显引用 Char1"/>
    <w:qFormat/>
    <w:locked/>
    <w:uiPriority w:val="99"/>
    <w:rPr>
      <w:rFonts w:hint="default" w:ascii="Calibri" w:hAnsi="Calibri" w:eastAsia="宋体" w:cs="黑体"/>
      <w:b/>
      <w:bCs/>
      <w:i/>
      <w:iCs/>
      <w:color w:val="4F81BD"/>
    </w:rPr>
  </w:style>
  <w:style w:type="character" w:customStyle="1" w:styleId="275">
    <w:name w:val="textcontents"/>
    <w:qFormat/>
    <w:uiPriority w:val="99"/>
  </w:style>
  <w:style w:type="character" w:customStyle="1" w:styleId="276">
    <w:name w:val="批注框文本 Char1"/>
    <w:qFormat/>
    <w:uiPriority w:val="99"/>
    <w:rPr>
      <w:rFonts w:hint="default" w:ascii="Times New Roman" w:hAnsi="Times New Roman" w:cs="Times New Roman"/>
      <w:kern w:val="2"/>
      <w:sz w:val="18"/>
      <w:szCs w:val="18"/>
    </w:rPr>
  </w:style>
  <w:style w:type="character" w:customStyle="1" w:styleId="277">
    <w:name w:val="charchar21"/>
    <w:qFormat/>
    <w:uiPriority w:val="0"/>
    <w:rPr>
      <w:rFonts w:hint="eastAsia" w:ascii="新宋体" w:hAnsi="新宋体" w:eastAsia="新宋体" w:cs="新宋体"/>
      <w:b/>
    </w:rPr>
  </w:style>
  <w:style w:type="character" w:customStyle="1" w:styleId="278">
    <w:name w:val="页脚 Char1"/>
    <w:qFormat/>
    <w:uiPriority w:val="0"/>
    <w:rPr>
      <w:kern w:val="2"/>
      <w:sz w:val="18"/>
    </w:rPr>
  </w:style>
  <w:style w:type="character" w:customStyle="1" w:styleId="279">
    <w:name w:val="HTML 预设格式 字符"/>
    <w:qFormat/>
    <w:uiPriority w:val="99"/>
    <w:rPr>
      <w:rFonts w:hint="default" w:ascii="Courier New" w:hAnsi="Courier New" w:cs="Courier New"/>
      <w:kern w:val="2"/>
      <w:sz w:val="24"/>
      <w:szCs w:val="20"/>
    </w:rPr>
  </w:style>
  <w:style w:type="character" w:customStyle="1" w:styleId="280">
    <w:name w:val="批注文字 Char3"/>
    <w:basedOn w:val="50"/>
    <w:link w:val="19"/>
    <w:semiHidden/>
    <w:qFormat/>
    <w:locked/>
    <w:uiPriority w:val="99"/>
    <w:rPr>
      <w:rFonts w:ascii="Times New Roman" w:hAnsi="Times New Roman" w:eastAsia="宋体" w:cs="Times New Roman"/>
      <w:szCs w:val="20"/>
    </w:rPr>
  </w:style>
  <w:style w:type="character" w:customStyle="1" w:styleId="281">
    <w:name w:val="批注主题 Char3"/>
    <w:basedOn w:val="280"/>
    <w:semiHidden/>
    <w:qFormat/>
    <w:uiPriority w:val="99"/>
    <w:rPr>
      <w:rFonts w:ascii="Times New Roman" w:hAnsi="Times New Roman" w:eastAsia="宋体" w:cs="Times New Roman"/>
      <w:b/>
      <w:bCs/>
      <w:szCs w:val="20"/>
    </w:rPr>
  </w:style>
  <w:style w:type="character" w:customStyle="1" w:styleId="282">
    <w:name w:val="文档结构图 Char3"/>
    <w:basedOn w:val="50"/>
    <w:semiHidden/>
    <w:qFormat/>
    <w:uiPriority w:val="99"/>
    <w:rPr>
      <w:rFonts w:hint="eastAsia" w:ascii="宋体" w:hAnsi="宋体" w:eastAsia="宋体"/>
      <w:kern w:val="2"/>
      <w:sz w:val="18"/>
      <w:szCs w:val="18"/>
    </w:rPr>
  </w:style>
  <w:style w:type="character" w:customStyle="1" w:styleId="283">
    <w:name w:val="正文文本 3 Char3"/>
    <w:basedOn w:val="50"/>
    <w:semiHidden/>
    <w:qFormat/>
    <w:uiPriority w:val="99"/>
    <w:rPr>
      <w:kern w:val="2"/>
      <w:sz w:val="16"/>
      <w:szCs w:val="16"/>
    </w:rPr>
  </w:style>
  <w:style w:type="character" w:customStyle="1" w:styleId="284">
    <w:name w:val="正文文本 Char3"/>
    <w:basedOn w:val="50"/>
    <w:semiHidden/>
    <w:qFormat/>
    <w:uiPriority w:val="99"/>
    <w:rPr>
      <w:kern w:val="2"/>
      <w:sz w:val="21"/>
      <w:szCs w:val="20"/>
    </w:rPr>
  </w:style>
  <w:style w:type="character" w:customStyle="1" w:styleId="285">
    <w:name w:val="正文文本缩进 Char3"/>
    <w:basedOn w:val="50"/>
    <w:semiHidden/>
    <w:qFormat/>
    <w:uiPriority w:val="99"/>
    <w:rPr>
      <w:kern w:val="2"/>
      <w:sz w:val="21"/>
      <w:szCs w:val="20"/>
    </w:rPr>
  </w:style>
  <w:style w:type="character" w:customStyle="1" w:styleId="286">
    <w:name w:val="HTML 预设格式 Char1"/>
    <w:basedOn w:val="50"/>
    <w:semiHidden/>
    <w:qFormat/>
    <w:uiPriority w:val="99"/>
    <w:rPr>
      <w:rFonts w:hint="default" w:ascii="Courier New" w:hAnsi="Courier New" w:cs="Courier New"/>
      <w:kern w:val="2"/>
      <w:sz w:val="24"/>
      <w:szCs w:val="20"/>
    </w:rPr>
  </w:style>
  <w:style w:type="character" w:customStyle="1" w:styleId="287">
    <w:name w:val="正文文本 2 Char3"/>
    <w:basedOn w:val="50"/>
    <w:semiHidden/>
    <w:qFormat/>
    <w:uiPriority w:val="99"/>
    <w:rPr>
      <w:kern w:val="2"/>
      <w:sz w:val="21"/>
      <w:szCs w:val="20"/>
    </w:rPr>
  </w:style>
  <w:style w:type="character" w:customStyle="1" w:styleId="288">
    <w:name w:val="副标题 Char2"/>
    <w:basedOn w:val="50"/>
    <w:qFormat/>
    <w:uiPriority w:val="11"/>
    <w:rPr>
      <w:rFonts w:hint="default" w:asciiTheme="majorHAnsi" w:hAnsiTheme="majorHAnsi" w:cstheme="majorBidi"/>
      <w:b/>
      <w:bCs/>
      <w:kern w:val="28"/>
      <w:sz w:val="32"/>
      <w:szCs w:val="32"/>
    </w:rPr>
  </w:style>
  <w:style w:type="character" w:customStyle="1" w:styleId="289">
    <w:name w:val="标题 Char2"/>
    <w:basedOn w:val="50"/>
    <w:qFormat/>
    <w:uiPriority w:val="10"/>
    <w:rPr>
      <w:rFonts w:hint="default" w:asciiTheme="majorHAnsi" w:hAnsiTheme="majorHAnsi" w:cstheme="majorBidi"/>
      <w:b/>
      <w:bCs/>
      <w:kern w:val="2"/>
      <w:sz w:val="32"/>
      <w:szCs w:val="32"/>
    </w:rPr>
  </w:style>
  <w:style w:type="character" w:customStyle="1" w:styleId="290">
    <w:name w:val="纯文本 Char3"/>
    <w:basedOn w:val="50"/>
    <w:semiHidden/>
    <w:qFormat/>
    <w:uiPriority w:val="99"/>
    <w:rPr>
      <w:rFonts w:hint="eastAsia" w:ascii="宋体" w:hAnsi="Courier New" w:eastAsia="宋体" w:cs="Courier New"/>
      <w:kern w:val="2"/>
      <w:sz w:val="21"/>
      <w:szCs w:val="21"/>
    </w:rPr>
  </w:style>
  <w:style w:type="character" w:customStyle="1" w:styleId="291">
    <w:name w:val="批注框文本 Char4"/>
    <w:basedOn w:val="50"/>
    <w:semiHidden/>
    <w:qFormat/>
    <w:uiPriority w:val="99"/>
    <w:rPr>
      <w:kern w:val="2"/>
      <w:sz w:val="18"/>
      <w:szCs w:val="18"/>
    </w:rPr>
  </w:style>
  <w:style w:type="character" w:customStyle="1" w:styleId="292">
    <w:name w:val="正文文本缩进 3 Char3"/>
    <w:basedOn w:val="50"/>
    <w:semiHidden/>
    <w:qFormat/>
    <w:uiPriority w:val="99"/>
    <w:rPr>
      <w:kern w:val="2"/>
      <w:sz w:val="16"/>
      <w:szCs w:val="16"/>
    </w:rPr>
  </w:style>
  <w:style w:type="character" w:customStyle="1" w:styleId="293">
    <w:name w:val="页眉 Char3"/>
    <w:basedOn w:val="50"/>
    <w:semiHidden/>
    <w:qFormat/>
    <w:uiPriority w:val="99"/>
    <w:rPr>
      <w:kern w:val="2"/>
      <w:sz w:val="18"/>
      <w:szCs w:val="18"/>
    </w:rPr>
  </w:style>
  <w:style w:type="character" w:customStyle="1" w:styleId="294">
    <w:name w:val="日期 Char1"/>
    <w:basedOn w:val="50"/>
    <w:semiHidden/>
    <w:qFormat/>
    <w:uiPriority w:val="99"/>
    <w:rPr>
      <w:kern w:val="2"/>
      <w:sz w:val="21"/>
      <w:szCs w:val="20"/>
    </w:rPr>
  </w:style>
  <w:style w:type="character" w:customStyle="1" w:styleId="295">
    <w:name w:val="页脚 Char3"/>
    <w:basedOn w:val="50"/>
    <w:semiHidden/>
    <w:qFormat/>
    <w:uiPriority w:val="99"/>
    <w:rPr>
      <w:kern w:val="2"/>
      <w:sz w:val="18"/>
      <w:szCs w:val="18"/>
    </w:rPr>
  </w:style>
  <w:style w:type="character" w:customStyle="1" w:styleId="296">
    <w:name w:val="正文文本缩进 2 Char3"/>
    <w:basedOn w:val="50"/>
    <w:semiHidden/>
    <w:qFormat/>
    <w:uiPriority w:val="99"/>
    <w:rPr>
      <w:kern w:val="2"/>
      <w:sz w:val="21"/>
      <w:szCs w:val="20"/>
    </w:rPr>
  </w:style>
  <w:style w:type="character" w:customStyle="1" w:styleId="297">
    <w:name w:val="NormalCharacter"/>
    <w:qFormat/>
    <w:uiPriority w:val="0"/>
  </w:style>
  <w:style w:type="paragraph" w:customStyle="1" w:styleId="298">
    <w:name w:val="UserStyle_51"/>
    <w:basedOn w:val="1"/>
    <w:next w:val="1"/>
    <w:qFormat/>
    <w:uiPriority w:val="0"/>
    <w:pPr>
      <w:spacing w:line="500" w:lineRule="exact"/>
    </w:pPr>
    <w:rPr>
      <w:rFonts w:ascii="黑体" w:hAnsi="Cambria" w:eastAsia="黑体"/>
      <w:b/>
      <w:bCs/>
      <w:szCs w:val="32"/>
    </w:rPr>
  </w:style>
  <w:style w:type="paragraph" w:customStyle="1" w:styleId="299">
    <w:name w:val="_Style 2"/>
    <w:basedOn w:val="4"/>
    <w:next w:val="1"/>
    <w:qFormat/>
    <w:uiPriority w:val="39"/>
    <w:pPr>
      <w:keepLines/>
      <w:numPr>
        <w:numId w:val="0"/>
      </w:numPr>
      <w:spacing w:before="480" w:line="276" w:lineRule="auto"/>
      <w:jc w:val="center"/>
      <w:outlineLvl w:val="9"/>
    </w:pPr>
    <w:rPr>
      <w:rFonts w:ascii="仿宋" w:hAnsi="仿宋" w:eastAsia="仿宋"/>
      <w:color w:val="000000"/>
      <w:kern w:val="0"/>
      <w:sz w:val="32"/>
      <w:szCs w:val="32"/>
    </w:rPr>
  </w:style>
  <w:style w:type="paragraph" w:customStyle="1" w:styleId="300">
    <w:name w:val="Heading1"/>
    <w:basedOn w:val="1"/>
    <w:next w:val="1"/>
    <w:qFormat/>
    <w:uiPriority w:val="0"/>
    <w:pPr>
      <w:keepNext/>
      <w:keepLines/>
      <w:spacing w:line="500" w:lineRule="exact"/>
      <w:jc w:val="center"/>
    </w:pPr>
    <w:rPr>
      <w:rFonts w:ascii="华文中宋" w:eastAsia="华文中宋"/>
      <w:b/>
      <w:bCs/>
      <w:kern w:val="44"/>
      <w:sz w:val="28"/>
      <w:szCs w:val="44"/>
    </w:rPr>
  </w:style>
  <w:style w:type="paragraph" w:customStyle="1" w:styleId="301">
    <w:name w:val="UserStyle_49"/>
    <w:basedOn w:val="1"/>
    <w:next w:val="1"/>
    <w:qFormat/>
    <w:uiPriority w:val="0"/>
    <w:pPr>
      <w:jc w:val="center"/>
    </w:pPr>
    <w:rPr>
      <w:rFonts w:ascii="黑体" w:eastAsia="黑体"/>
      <w:b/>
      <w:iCs/>
      <w:color w:val="000000"/>
      <w:szCs w:val="22"/>
    </w:rPr>
  </w:style>
  <w:style w:type="paragraph" w:customStyle="1" w:styleId="302">
    <w:name w:val="列表段落1"/>
    <w:basedOn w:val="1"/>
    <w:qFormat/>
    <w:uiPriority w:val="34"/>
    <w:pPr>
      <w:ind w:firstLine="420" w:firstLineChars="200"/>
    </w:pPr>
    <w:rPr>
      <w:rFonts w:ascii="Calibri" w:hAnsi="Calibri"/>
      <w:szCs w:val="22"/>
    </w:rPr>
  </w:style>
  <w:style w:type="character" w:customStyle="1" w:styleId="303">
    <w:name w:val="font41"/>
    <w:basedOn w:val="50"/>
    <w:qFormat/>
    <w:uiPriority w:val="0"/>
    <w:rPr>
      <w:rFonts w:hint="eastAsia" w:ascii="宋体" w:hAnsi="宋体" w:eastAsia="宋体" w:cs="宋体"/>
      <w:color w:val="000000"/>
      <w:sz w:val="24"/>
      <w:szCs w:val="24"/>
      <w:u w:val="none"/>
    </w:rPr>
  </w:style>
  <w:style w:type="character" w:customStyle="1" w:styleId="304">
    <w:name w:val="font81"/>
    <w:basedOn w:val="50"/>
    <w:qFormat/>
    <w:uiPriority w:val="0"/>
    <w:rPr>
      <w:rFonts w:hint="default" w:ascii="Times New Roman" w:hAnsi="Times New Roman" w:cs="Times New Roman"/>
      <w:color w:val="000000"/>
      <w:sz w:val="24"/>
      <w:szCs w:val="24"/>
      <w:u w:val="none"/>
    </w:rPr>
  </w:style>
  <w:style w:type="paragraph" w:customStyle="1" w:styleId="305">
    <w:name w:val="È±Ê¡ÎÄ±¾"/>
    <w:basedOn w:val="1"/>
    <w:qFormat/>
    <w:uiPriority w:val="0"/>
    <w:pPr>
      <w:widowControl/>
      <w:overflowPunct w:val="0"/>
      <w:autoSpaceDE w:val="0"/>
      <w:autoSpaceDN w:val="0"/>
      <w:adjustRightInd w:val="0"/>
      <w:jc w:val="left"/>
    </w:pPr>
    <w:rPr>
      <w:kern w:val="0"/>
      <w:sz w:val="24"/>
    </w:rPr>
  </w:style>
  <w:style w:type="paragraph" w:customStyle="1" w:styleId="306">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character" w:customStyle="1" w:styleId="307">
    <w:name w:val="font31"/>
    <w:basedOn w:val="50"/>
    <w:qFormat/>
    <w:uiPriority w:val="0"/>
    <w:rPr>
      <w:rFonts w:hint="eastAsia" w:ascii="微软雅黑" w:hAnsi="微软雅黑" w:eastAsia="微软雅黑" w:cs="微软雅黑"/>
      <w:color w:val="000000"/>
      <w:sz w:val="16"/>
      <w:szCs w:val="16"/>
      <w:u w:val="none"/>
    </w:rPr>
  </w:style>
  <w:style w:type="character" w:customStyle="1" w:styleId="308">
    <w:name w:val="font01"/>
    <w:basedOn w:val="5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37559</Words>
  <Characters>45533</Characters>
  <Lines>347</Lines>
  <Paragraphs>97</Paragraphs>
  <TotalTime>19</TotalTime>
  <ScaleCrop>false</ScaleCrop>
  <LinksUpToDate>false</LinksUpToDate>
  <CharactersWithSpaces>48210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2020-05-23T22:06:00Z</dcterms:created>
  <dc:creator>许瑞</dc:creator>
  <cp:lastModifiedBy>Gin</cp:lastModifiedBy>
  <cp:lastPrinted>2022-12-23T08:41:00Z</cp:lastPrinted>
  <dcterms:modified xsi:type="dcterms:W3CDTF">2022-12-29T05:17:27Z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F808792F22830881EF3B7A63ED4EC187</vt:lpwstr>
  </property>
</Properties>
</file>