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仿宋" w:hAnsi="仿宋" w:eastAsia="仿宋" w:cs="仿宋"/>
          <w:b/>
          <w:bCs/>
          <w:color w:val="auto"/>
          <w:sz w:val="44"/>
          <w:szCs w:val="44"/>
          <w:highlight w:val="none"/>
        </w:rPr>
      </w:pPr>
      <w:r>
        <w:rPr>
          <w:rFonts w:hint="eastAsia" w:ascii="仿宋" w:hAnsi="仿宋" w:eastAsia="仿宋" w:cs="仿宋"/>
          <w:color w:val="auto"/>
        </w:rPr>
        <w:drawing>
          <wp:anchor distT="0" distB="0" distL="114300" distR="114300" simplePos="0" relativeHeight="251659264" behindDoc="0" locked="0" layoutInCell="1" allowOverlap="1">
            <wp:simplePos x="0" y="0"/>
            <wp:positionH relativeFrom="column">
              <wp:posOffset>5284470</wp:posOffset>
            </wp:positionH>
            <wp:positionV relativeFrom="paragraph">
              <wp:posOffset>96520</wp:posOffset>
            </wp:positionV>
            <wp:extent cx="517525" cy="677545"/>
            <wp:effectExtent l="0" t="0" r="15875" b="825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17525" cy="6775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right="-319" w:rightChars="-152"/>
        <w:jc w:val="center"/>
        <w:textAlignment w:val="auto"/>
        <w:rPr>
          <w:rFonts w:hint="eastAsia" w:ascii="仿宋" w:hAnsi="仿宋" w:eastAsia="仿宋" w:cs="仿宋"/>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84" w:rightChars="40" w:firstLine="0" w:firstLineChars="0"/>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独山子区污水处理厂委托第三方检测机构监测排放污染物项目(二次)</w:t>
      </w:r>
    </w:p>
    <w:p>
      <w:pPr>
        <w:keepNext w:val="0"/>
        <w:keepLines w:val="0"/>
        <w:pageBreakBefore w:val="0"/>
        <w:widowControl w:val="0"/>
        <w:kinsoku/>
        <w:wordWrap/>
        <w:overflowPunct/>
        <w:topLinePunct w:val="0"/>
        <w:autoSpaceDE/>
        <w:autoSpaceDN/>
        <w:bidi w:val="0"/>
        <w:adjustRightInd/>
        <w:snapToGrid/>
        <w:spacing w:line="720" w:lineRule="auto"/>
        <w:ind w:left="0" w:leftChars="0" w:right="84" w:rightChars="40" w:firstLine="0" w:firstLineChars="0"/>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val="en-US" w:eastAsia="zh-CN"/>
        </w:rPr>
        <w:t>竞争性谈判</w:t>
      </w:r>
      <w:r>
        <w:rPr>
          <w:rFonts w:hint="eastAsia" w:ascii="仿宋" w:hAnsi="仿宋" w:eastAsia="仿宋" w:cs="仿宋"/>
          <w:b/>
          <w:bCs/>
          <w:color w:val="auto"/>
          <w:sz w:val="44"/>
          <w:szCs w:val="44"/>
          <w:highlight w:val="none"/>
        </w:rPr>
        <w:t>文件</w:t>
      </w:r>
    </w:p>
    <w:p>
      <w:pPr>
        <w:spacing w:line="660" w:lineRule="exact"/>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项目</w:t>
      </w:r>
      <w:r>
        <w:rPr>
          <w:rFonts w:hint="eastAsia" w:ascii="仿宋" w:hAnsi="仿宋" w:eastAsia="仿宋" w:cs="仿宋"/>
          <w:b/>
          <w:color w:val="auto"/>
          <w:sz w:val="28"/>
          <w:szCs w:val="28"/>
          <w:highlight w:val="none"/>
        </w:rPr>
        <w:t>编号：</w:t>
      </w:r>
      <w:r>
        <w:rPr>
          <w:rFonts w:hint="eastAsia" w:ascii="仿宋" w:hAnsi="仿宋" w:eastAsia="仿宋" w:cs="仿宋"/>
          <w:b/>
          <w:bCs/>
          <w:color w:val="auto"/>
          <w:w w:val="95"/>
          <w:sz w:val="30"/>
          <w:szCs w:val="30"/>
        </w:rPr>
        <w:t>QZX【</w:t>
      </w:r>
      <w:r>
        <w:rPr>
          <w:rFonts w:hint="eastAsia" w:ascii="仿宋" w:hAnsi="仿宋" w:eastAsia="仿宋" w:cs="仿宋"/>
          <w:b/>
          <w:bCs/>
          <w:color w:val="auto"/>
          <w:w w:val="95"/>
          <w:sz w:val="30"/>
          <w:szCs w:val="30"/>
          <w:lang w:val="en-US" w:eastAsia="zh-CN"/>
        </w:rPr>
        <w:t>ZC</w:t>
      </w: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3</w:t>
      </w:r>
      <w:r>
        <w:rPr>
          <w:rFonts w:hint="eastAsia" w:ascii="仿宋" w:hAnsi="仿宋" w:eastAsia="仿宋" w:cs="仿宋"/>
          <w:b/>
          <w:bCs/>
          <w:color w:val="auto"/>
          <w:w w:val="95"/>
          <w:sz w:val="30"/>
          <w:szCs w:val="30"/>
        </w:rPr>
        <w:t>-</w:t>
      </w:r>
      <w:r>
        <w:rPr>
          <w:rFonts w:hint="eastAsia" w:ascii="仿宋" w:hAnsi="仿宋" w:eastAsia="仿宋" w:cs="仿宋"/>
          <w:b/>
          <w:bCs/>
          <w:color w:val="auto"/>
          <w:w w:val="95"/>
          <w:sz w:val="30"/>
          <w:szCs w:val="30"/>
          <w:lang w:val="en-US" w:eastAsia="zh-CN"/>
        </w:rPr>
        <w:t>03-1</w:t>
      </w:r>
      <w:r>
        <w:rPr>
          <w:rFonts w:hint="eastAsia" w:ascii="仿宋" w:hAnsi="仿宋" w:eastAsia="仿宋" w:cs="仿宋"/>
          <w:b/>
          <w:color w:val="auto"/>
          <w:sz w:val="28"/>
          <w:szCs w:val="28"/>
          <w:highlight w:val="none"/>
        </w:rPr>
        <w:t>）</w:t>
      </w:r>
    </w:p>
    <w:p>
      <w:pPr>
        <w:pStyle w:val="9"/>
        <w:rPr>
          <w:rFonts w:hint="eastAsia" w:ascii="仿宋" w:hAnsi="仿宋" w:eastAsia="仿宋" w:cs="仿宋"/>
          <w:b/>
          <w:bCs/>
          <w:color w:val="auto"/>
          <w:sz w:val="32"/>
          <w:szCs w:val="32"/>
          <w:highlight w:val="none"/>
        </w:rPr>
      </w:pPr>
    </w:p>
    <w:p>
      <w:pPr>
        <w:pStyle w:val="9"/>
        <w:rPr>
          <w:rFonts w:hint="eastAsia" w:ascii="仿宋" w:hAnsi="仿宋" w:eastAsia="仿宋" w:cs="仿宋"/>
          <w:color w:val="auto"/>
          <w:highlight w:val="none"/>
        </w:rPr>
      </w:pPr>
    </w:p>
    <w:p>
      <w:pPr>
        <w:pStyle w:val="9"/>
        <w:rPr>
          <w:rFonts w:hint="eastAsia" w:ascii="仿宋" w:hAnsi="仿宋" w:eastAsia="仿宋" w:cs="仿宋"/>
          <w:color w:val="auto"/>
          <w:highlight w:val="none"/>
        </w:rPr>
      </w:pPr>
    </w:p>
    <w:p>
      <w:pPr>
        <w:pStyle w:val="9"/>
        <w:rPr>
          <w:rFonts w:hint="eastAsia" w:ascii="仿宋" w:hAnsi="仿宋" w:eastAsia="仿宋" w:cs="仿宋"/>
          <w:color w:val="auto"/>
          <w:highlight w:val="none"/>
        </w:rPr>
      </w:pPr>
    </w:p>
    <w:p>
      <w:pPr>
        <w:pStyle w:val="9"/>
        <w:rPr>
          <w:rFonts w:hint="eastAsia" w:ascii="仿宋" w:hAnsi="仿宋" w:eastAsia="仿宋" w:cs="仿宋"/>
          <w:color w:val="auto"/>
          <w:highlight w:val="none"/>
        </w:rPr>
      </w:pPr>
    </w:p>
    <w:p>
      <w:pPr>
        <w:spacing w:line="480" w:lineRule="auto"/>
        <w:ind w:firstLine="1124" w:firstLineChars="4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采 购 人：克拉玛依市独山子区住房和建设局</w:t>
      </w:r>
    </w:p>
    <w:p>
      <w:pPr>
        <w:spacing w:line="480" w:lineRule="auto"/>
        <w:ind w:firstLine="1124" w:firstLineChars="4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联 系 人：</w:t>
      </w:r>
      <w:r>
        <w:rPr>
          <w:rFonts w:hint="eastAsia" w:ascii="仿宋" w:hAnsi="仿宋" w:eastAsia="仿宋" w:cs="仿宋"/>
          <w:b/>
          <w:bCs/>
          <w:color w:val="auto"/>
          <w:sz w:val="28"/>
          <w:szCs w:val="28"/>
          <w:highlight w:val="none"/>
          <w:lang w:eastAsia="zh-CN"/>
        </w:rPr>
        <w:t>路彬</w:t>
      </w:r>
      <w:r>
        <w:rPr>
          <w:rFonts w:hint="eastAsia" w:ascii="仿宋" w:hAnsi="仿宋" w:eastAsia="仿宋" w:cs="仿宋"/>
          <w:b/>
          <w:bCs/>
          <w:color w:val="auto"/>
          <w:sz w:val="28"/>
          <w:szCs w:val="28"/>
          <w:highlight w:val="none"/>
          <w:lang w:val="en-US" w:eastAsia="zh-CN"/>
        </w:rPr>
        <w:t xml:space="preserve">    0992-7273437</w:t>
      </w:r>
    </w:p>
    <w:p>
      <w:pPr>
        <w:spacing w:line="360" w:lineRule="auto"/>
        <w:ind w:firstLine="1124" w:firstLineChars="400"/>
        <w:rPr>
          <w:rFonts w:hint="eastAsia" w:ascii="仿宋" w:hAnsi="仿宋" w:eastAsia="仿宋" w:cs="仿宋"/>
          <w:b/>
          <w:color w:val="auto"/>
          <w:sz w:val="28"/>
          <w:szCs w:val="28"/>
        </w:rPr>
      </w:pPr>
      <w:r>
        <w:rPr>
          <w:rFonts w:hint="eastAsia" w:ascii="仿宋" w:hAnsi="仿宋" w:eastAsia="仿宋" w:cs="仿宋"/>
          <w:b/>
          <w:bCs/>
          <w:color w:val="auto"/>
          <w:sz w:val="28"/>
          <w:szCs w:val="28"/>
          <w:highlight w:val="none"/>
        </w:rPr>
        <w:t>代理机构：</w:t>
      </w:r>
      <w:r>
        <w:rPr>
          <w:rFonts w:hint="eastAsia" w:ascii="仿宋" w:hAnsi="仿宋" w:eastAsia="仿宋" w:cs="仿宋"/>
          <w:b/>
          <w:color w:val="auto"/>
          <w:sz w:val="28"/>
          <w:szCs w:val="28"/>
        </w:rPr>
        <w:t xml:space="preserve">新疆秦之玺工程咨询有限责任公司 </w:t>
      </w:r>
    </w:p>
    <w:p>
      <w:pPr>
        <w:spacing w:line="48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联 系 人：巴冀彩  0990-6222280</w:t>
      </w:r>
    </w:p>
    <w:p>
      <w:pPr>
        <w:spacing w:line="48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 xml:space="preserve">        </w:t>
      </w:r>
    </w:p>
    <w:p>
      <w:pPr>
        <w:spacing w:line="360" w:lineRule="auto"/>
        <w:jc w:val="center"/>
        <w:rPr>
          <w:rFonts w:hint="eastAsia" w:ascii="仿宋" w:hAnsi="仿宋" w:eastAsia="仿宋" w:cs="仿宋"/>
          <w:b/>
          <w:color w:val="auto"/>
          <w:sz w:val="28"/>
          <w:szCs w:val="28"/>
          <w:highlight w:val="none"/>
        </w:rPr>
      </w:pPr>
    </w:p>
    <w:p>
      <w:pPr>
        <w:pStyle w:val="9"/>
        <w:rPr>
          <w:rFonts w:hint="eastAsia" w:ascii="仿宋" w:hAnsi="仿宋" w:eastAsia="仿宋" w:cs="仿宋"/>
          <w:color w:val="auto"/>
          <w:highlight w:val="none"/>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rPr>
        <w:t>二零二</w:t>
      </w:r>
      <w:r>
        <w:rPr>
          <w:rFonts w:hint="eastAsia" w:ascii="仿宋" w:hAnsi="仿宋" w:eastAsia="仿宋" w:cs="仿宋"/>
          <w:b/>
          <w:color w:val="auto"/>
          <w:sz w:val="24"/>
          <w:szCs w:val="24"/>
          <w:lang w:val="en-US" w:eastAsia="zh-CN"/>
        </w:rPr>
        <w:t>三</w:t>
      </w:r>
      <w:r>
        <w:rPr>
          <w:rFonts w:hint="eastAsia" w:ascii="仿宋" w:hAnsi="仿宋" w:eastAsia="仿宋" w:cs="仿宋"/>
          <w:b/>
          <w:color w:val="auto"/>
          <w:sz w:val="24"/>
          <w:szCs w:val="24"/>
        </w:rPr>
        <w:t>年</w:t>
      </w:r>
      <w:r>
        <w:rPr>
          <w:rFonts w:hint="eastAsia" w:ascii="仿宋" w:hAnsi="仿宋" w:eastAsia="仿宋" w:cs="仿宋"/>
          <w:b/>
          <w:color w:val="auto"/>
          <w:sz w:val="24"/>
          <w:szCs w:val="24"/>
          <w:lang w:eastAsia="zh-CN"/>
        </w:rPr>
        <w:t>一</w:t>
      </w:r>
      <w:r>
        <w:rPr>
          <w:rFonts w:hint="eastAsia" w:ascii="仿宋" w:hAnsi="仿宋" w:eastAsia="仿宋" w:cs="仿宋"/>
          <w:b/>
          <w:color w:val="auto"/>
          <w:sz w:val="24"/>
          <w:szCs w:val="24"/>
        </w:rPr>
        <w:t>月</w:t>
      </w:r>
    </w:p>
    <w:p>
      <w:pPr>
        <w:pageBreakBefore/>
        <w:spacing w:line="500" w:lineRule="exact"/>
        <w:jc w:val="center"/>
        <w:rPr>
          <w:rFonts w:hint="eastAsia" w:ascii="仿宋" w:hAnsi="仿宋" w:eastAsia="仿宋" w:cs="仿宋"/>
          <w:b/>
          <w:bCs/>
          <w:color w:val="auto"/>
          <w:sz w:val="32"/>
          <w:szCs w:val="32"/>
          <w:highlight w:val="none"/>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hint="eastAsia" w:ascii="仿宋" w:hAnsi="仿宋" w:eastAsia="仿宋" w:cs="仿宋"/>
          <w:b/>
          <w:color w:val="auto"/>
          <w:kern w:val="2"/>
          <w:sz w:val="24"/>
          <w:szCs w:val="24"/>
          <w:highlight w:val="none"/>
        </w:rPr>
      </w:pPr>
      <w:r>
        <w:rPr>
          <w:rFonts w:hint="eastAsia" w:ascii="仿宋" w:hAnsi="仿宋" w:eastAsia="仿宋" w:cs="仿宋"/>
          <w:b/>
          <w:bCs/>
          <w:color w:val="auto"/>
          <w:sz w:val="32"/>
          <w:szCs w:val="32"/>
          <w:highlight w:val="none"/>
        </w:rPr>
        <w:t>总  目  录</w:t>
      </w:r>
    </w:p>
    <w:p>
      <w:pPr>
        <w:pStyle w:val="25"/>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第一章、</w:t>
      </w:r>
      <w:r>
        <w:rPr>
          <w:rFonts w:hint="eastAsia" w:ascii="仿宋" w:hAnsi="仿宋" w:eastAsia="仿宋" w:cs="仿宋"/>
          <w:b/>
          <w:color w:val="auto"/>
          <w:kern w:val="2"/>
          <w:sz w:val="28"/>
          <w:szCs w:val="28"/>
          <w:highlight w:val="none"/>
          <w:lang w:val="en-US" w:eastAsia="zh-CN"/>
        </w:rPr>
        <w:t>竞争性谈判采购</w:t>
      </w:r>
      <w:r>
        <w:rPr>
          <w:rFonts w:hint="eastAsia" w:ascii="仿宋" w:hAnsi="仿宋" w:eastAsia="仿宋" w:cs="仿宋"/>
          <w:b/>
          <w:color w:val="auto"/>
          <w:kern w:val="2"/>
          <w:sz w:val="28"/>
          <w:szCs w:val="28"/>
          <w:highlight w:val="none"/>
        </w:rPr>
        <w:t>公告</w:t>
      </w:r>
    </w:p>
    <w:p>
      <w:pPr>
        <w:pStyle w:val="25"/>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第二章、供应商须知</w:t>
      </w:r>
    </w:p>
    <w:p>
      <w:pPr>
        <w:pStyle w:val="25"/>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第三章、项目采购需求</w:t>
      </w:r>
    </w:p>
    <w:p>
      <w:pPr>
        <w:pStyle w:val="25"/>
        <w:tabs>
          <w:tab w:val="right" w:leader="dot" w:pos="9185"/>
        </w:tabs>
        <w:spacing w:line="60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第四章、合同协议书</w:t>
      </w:r>
    </w:p>
    <w:p>
      <w:pPr>
        <w:pStyle w:val="25"/>
        <w:tabs>
          <w:tab w:val="right" w:leader="dot" w:pos="9185"/>
        </w:tabs>
        <w:spacing w:line="60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第五章、</w:t>
      </w:r>
      <w:r>
        <w:rPr>
          <w:rFonts w:hint="eastAsia" w:ascii="仿宋" w:hAnsi="仿宋" w:eastAsia="仿宋" w:cs="仿宋"/>
          <w:b/>
          <w:color w:val="auto"/>
          <w:kern w:val="2"/>
          <w:sz w:val="28"/>
          <w:szCs w:val="28"/>
          <w:highlight w:val="none"/>
          <w:lang w:eastAsia="zh-CN"/>
        </w:rPr>
        <w:t>响应文件</w:t>
      </w:r>
      <w:r>
        <w:rPr>
          <w:rFonts w:hint="eastAsia" w:ascii="仿宋" w:hAnsi="仿宋" w:eastAsia="仿宋" w:cs="仿宋"/>
          <w:b/>
          <w:color w:val="auto"/>
          <w:kern w:val="2"/>
          <w:sz w:val="28"/>
          <w:szCs w:val="28"/>
          <w:highlight w:val="none"/>
        </w:rPr>
        <w:t>格式</w:t>
      </w:r>
    </w:p>
    <w:p>
      <w:pPr>
        <w:pStyle w:val="25"/>
        <w:tabs>
          <w:tab w:val="right" w:leader="dot" w:pos="9185"/>
        </w:tabs>
        <w:spacing w:line="600" w:lineRule="auto"/>
        <w:rPr>
          <w:rFonts w:hint="default"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第六章、</w:t>
      </w:r>
      <w:r>
        <w:rPr>
          <w:rFonts w:hint="eastAsia" w:ascii="仿宋" w:hAnsi="仿宋" w:eastAsia="仿宋" w:cs="仿宋"/>
          <w:b/>
          <w:color w:val="auto"/>
          <w:kern w:val="2"/>
          <w:sz w:val="28"/>
          <w:szCs w:val="28"/>
          <w:highlight w:val="none"/>
          <w:lang w:val="en-US" w:eastAsia="zh-CN"/>
        </w:rPr>
        <w:t>评审标准</w:t>
      </w: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numPr>
          <w:ilvl w:val="0"/>
          <w:numId w:val="2"/>
        </w:numPr>
        <w:tabs>
          <w:tab w:val="left" w:pos="1230"/>
          <w:tab w:val="left" w:pos="1275"/>
        </w:tabs>
        <w:spacing w:line="3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招标</w:t>
      </w:r>
      <w:r>
        <w:rPr>
          <w:rFonts w:hint="eastAsia" w:ascii="仿宋" w:hAnsi="仿宋" w:eastAsia="仿宋" w:cs="仿宋"/>
          <w:b/>
          <w:bCs/>
          <w:color w:val="auto"/>
          <w:sz w:val="32"/>
          <w:szCs w:val="32"/>
          <w:highlight w:val="none"/>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rPr>
      </w:pPr>
      <w:bookmarkStart w:id="0" w:name="_Toc28359089"/>
      <w:bookmarkStart w:id="1" w:name="_Toc28359012"/>
      <w:bookmarkStart w:id="2" w:name="_Toc35393629"/>
      <w:bookmarkStart w:id="3" w:name="_Toc35393798"/>
      <w:bookmarkStart w:id="4" w:name="_Toc19876_WPSOffice_Level1"/>
      <w:r>
        <w:rPr>
          <w:rFonts w:hint="eastAsia" w:ascii="仿宋" w:hAnsi="仿宋" w:eastAsia="仿宋" w:cs="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独山子区污水处理厂委托第三方检测机构监测排放污染物项目(二次)</w:t>
      </w:r>
      <w:r>
        <w:rPr>
          <w:rFonts w:hint="eastAsia" w:ascii="仿宋" w:hAnsi="仿宋" w:eastAsia="仿宋" w:cs="仿宋"/>
          <w:color w:val="auto"/>
          <w:sz w:val="24"/>
          <w:szCs w:val="24"/>
        </w:rPr>
        <w:t>采购项目的潜在供应商应在</w:t>
      </w:r>
      <w:r>
        <w:rPr>
          <w:rFonts w:hint="eastAsia" w:ascii="仿宋" w:hAnsi="仿宋" w:eastAsia="仿宋" w:cs="仿宋"/>
          <w:color w:val="auto"/>
          <w:sz w:val="24"/>
          <w:szCs w:val="24"/>
          <w:u w:val="single"/>
        </w:rPr>
        <w:t>新疆政府采购网</w:t>
      </w:r>
      <w:r>
        <w:rPr>
          <w:rFonts w:hint="eastAsia" w:ascii="仿宋" w:hAnsi="仿宋" w:eastAsia="仿宋" w:cs="仿宋"/>
          <w:color w:val="auto"/>
          <w:sz w:val="24"/>
          <w:szCs w:val="24"/>
        </w:rPr>
        <w:t>获取采购文件，并于</w:t>
      </w:r>
      <w:r>
        <w:rPr>
          <w:rFonts w:hint="eastAsia" w:ascii="仿宋" w:hAnsi="仿宋" w:eastAsia="仿宋" w:cs="仿宋"/>
          <w:b/>
          <w:bCs/>
          <w:color w:val="0000FF"/>
          <w:sz w:val="24"/>
          <w:szCs w:val="24"/>
          <w:highlight w:val="none"/>
          <w:u w:val="single"/>
        </w:rPr>
        <w:t xml:space="preserve"> </w:t>
      </w:r>
      <w:r>
        <w:rPr>
          <w:rFonts w:hint="eastAsia" w:ascii="仿宋" w:hAnsi="仿宋" w:eastAsia="仿宋" w:cs="仿宋"/>
          <w:b/>
          <w:bCs/>
          <w:color w:val="0000FF"/>
          <w:sz w:val="24"/>
          <w:szCs w:val="24"/>
          <w:highlight w:val="none"/>
          <w:u w:val="single"/>
          <w:lang w:val="en-US" w:eastAsia="zh-CN"/>
        </w:rPr>
        <w:t>2023</w:t>
      </w:r>
      <w:r>
        <w:rPr>
          <w:rFonts w:hint="eastAsia" w:ascii="仿宋" w:hAnsi="仿宋" w:eastAsia="仿宋" w:cs="仿宋"/>
          <w:b/>
          <w:bCs/>
          <w:color w:val="0000FF"/>
          <w:sz w:val="24"/>
          <w:szCs w:val="24"/>
          <w:highlight w:val="none"/>
          <w:u w:val="single"/>
        </w:rPr>
        <w:t>年</w:t>
      </w:r>
      <w:r>
        <w:rPr>
          <w:rFonts w:hint="eastAsia" w:ascii="仿宋" w:hAnsi="仿宋" w:eastAsia="仿宋" w:cs="仿宋"/>
          <w:b/>
          <w:bCs/>
          <w:color w:val="0000FF"/>
          <w:sz w:val="24"/>
          <w:szCs w:val="24"/>
          <w:highlight w:val="none"/>
          <w:u w:val="single"/>
          <w:lang w:val="en-US" w:eastAsia="zh-CN"/>
        </w:rPr>
        <w:t>1</w:t>
      </w:r>
      <w:r>
        <w:rPr>
          <w:rFonts w:hint="eastAsia" w:ascii="仿宋" w:hAnsi="仿宋" w:eastAsia="仿宋" w:cs="仿宋"/>
          <w:b/>
          <w:bCs/>
          <w:color w:val="0000FF"/>
          <w:sz w:val="24"/>
          <w:szCs w:val="24"/>
          <w:highlight w:val="none"/>
          <w:u w:val="single"/>
        </w:rPr>
        <w:t>月</w:t>
      </w:r>
      <w:r>
        <w:rPr>
          <w:rFonts w:hint="eastAsia" w:ascii="仿宋" w:hAnsi="仿宋" w:eastAsia="仿宋" w:cs="仿宋"/>
          <w:b/>
          <w:bCs/>
          <w:color w:val="0000FF"/>
          <w:sz w:val="24"/>
          <w:szCs w:val="24"/>
          <w:highlight w:val="none"/>
          <w:u w:val="single"/>
          <w:lang w:val="en-US" w:eastAsia="zh-CN"/>
        </w:rPr>
        <w:t>18</w:t>
      </w:r>
      <w:r>
        <w:rPr>
          <w:rFonts w:hint="eastAsia" w:ascii="仿宋" w:hAnsi="仿宋" w:eastAsia="仿宋" w:cs="仿宋"/>
          <w:b/>
          <w:bCs/>
          <w:color w:val="0000FF"/>
          <w:sz w:val="24"/>
          <w:szCs w:val="24"/>
          <w:highlight w:val="none"/>
          <w:u w:val="single"/>
        </w:rPr>
        <w:t>日</w:t>
      </w:r>
      <w:r>
        <w:rPr>
          <w:rFonts w:hint="eastAsia" w:ascii="仿宋" w:hAnsi="仿宋" w:eastAsia="仿宋" w:cs="仿宋"/>
          <w:b/>
          <w:bCs/>
          <w:color w:val="0000FF"/>
          <w:sz w:val="24"/>
          <w:szCs w:val="24"/>
          <w:highlight w:val="none"/>
          <w:u w:val="single"/>
          <w:lang w:val="en-US" w:eastAsia="zh-CN"/>
        </w:rPr>
        <w:t>17</w:t>
      </w:r>
      <w:r>
        <w:rPr>
          <w:rFonts w:hint="eastAsia" w:ascii="仿宋" w:hAnsi="仿宋" w:eastAsia="仿宋" w:cs="仿宋"/>
          <w:b/>
          <w:bCs/>
          <w:color w:val="0000FF"/>
          <w:sz w:val="24"/>
          <w:szCs w:val="24"/>
          <w:highlight w:val="none"/>
          <w:u w:val="single"/>
        </w:rPr>
        <w:t>点</w:t>
      </w:r>
      <w:r>
        <w:rPr>
          <w:rFonts w:hint="eastAsia" w:ascii="仿宋" w:hAnsi="仿宋" w:eastAsia="仿宋" w:cs="仿宋"/>
          <w:b/>
          <w:bCs/>
          <w:color w:val="0000FF"/>
          <w:sz w:val="24"/>
          <w:szCs w:val="24"/>
          <w:highlight w:val="none"/>
          <w:u w:val="single"/>
          <w:lang w:val="en-US" w:eastAsia="zh-CN"/>
        </w:rPr>
        <w:t>00</w:t>
      </w:r>
      <w:r>
        <w:rPr>
          <w:rFonts w:hint="eastAsia" w:ascii="仿宋" w:hAnsi="仿宋" w:eastAsia="仿宋" w:cs="仿宋"/>
          <w:b/>
          <w:bCs/>
          <w:color w:val="0000FF"/>
          <w:sz w:val="24"/>
          <w:szCs w:val="24"/>
          <w:highlight w:val="none"/>
          <w:u w:val="single"/>
        </w:rPr>
        <w:t>分</w:t>
      </w:r>
      <w:r>
        <w:rPr>
          <w:rFonts w:hint="eastAsia" w:ascii="仿宋" w:hAnsi="仿宋" w:eastAsia="仿宋" w:cs="仿宋"/>
          <w:bCs/>
          <w:color w:val="auto"/>
          <w:sz w:val="24"/>
          <w:szCs w:val="24"/>
        </w:rPr>
        <w:t>（北京时间）前提交响应文件</w:t>
      </w:r>
      <w:r>
        <w:rPr>
          <w:rFonts w:hint="eastAsia" w:ascii="仿宋" w:hAnsi="仿宋" w:eastAsia="仿宋" w:cs="仿宋"/>
          <w:color w:val="auto"/>
          <w:sz w:val="24"/>
          <w:szCs w:val="24"/>
        </w:rPr>
        <w:t>。</w:t>
      </w:r>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项目编号：QZX[ZC]202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03-1</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独山子区污水处理厂委托第三方检测机构监测排放污染物项目(二次)</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/年</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最高限价（如有）：</w:t>
      </w:r>
      <w:r>
        <w:rPr>
          <w:rFonts w:hint="eastAsia" w:ascii="仿宋" w:hAnsi="仿宋" w:eastAsia="仿宋" w:cs="仿宋"/>
          <w:color w:val="auto"/>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采购需求：</w:t>
      </w:r>
      <w:r>
        <w:rPr>
          <w:rFonts w:hint="eastAsia" w:ascii="仿宋" w:hAnsi="仿宋" w:eastAsia="仿宋" w:cs="仿宋"/>
          <w:color w:val="auto"/>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合同履行期限：详见</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w:t>
      </w: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5" w:name="_Toc35393799"/>
      <w:bookmarkStart w:id="6" w:name="_Toc28359090"/>
      <w:bookmarkStart w:id="7" w:name="_Toc28359013"/>
      <w:bookmarkStart w:id="8" w:name="_Toc35393630"/>
      <w:r>
        <w:rPr>
          <w:rFonts w:hint="eastAsia" w:ascii="仿宋" w:hAnsi="仿宋" w:eastAsia="仿宋" w:cs="仿宋"/>
          <w:b w:val="0"/>
          <w:color w:val="auto"/>
          <w:sz w:val="24"/>
          <w:szCs w:val="24"/>
        </w:rPr>
        <w:t>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lang w:eastAsia="zh-CN"/>
        </w:rPr>
      </w:pPr>
      <w:bookmarkStart w:id="9" w:name="_Toc28359091"/>
      <w:bookmarkStart w:id="10" w:name="_Toc28359014"/>
      <w:r>
        <w:rPr>
          <w:rFonts w:hint="eastAsia" w:ascii="仿宋" w:hAnsi="仿宋" w:eastAsia="仿宋" w:cs="仿宋"/>
          <w:color w:val="auto"/>
          <w:sz w:val="24"/>
          <w:szCs w:val="24"/>
          <w:highlight w:val="none"/>
        </w:rPr>
        <w:t>2.落实政府采购政策需满足的资格要求：供应商为中小企业/小微企业。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lang w:val="en-US" w:eastAsia="zh-CN"/>
        </w:rPr>
        <w:t>在中华人民共和国境内注册，</w:t>
      </w:r>
      <w:r>
        <w:rPr>
          <w:rFonts w:hint="eastAsia" w:ascii="仿宋" w:hAnsi="仿宋" w:eastAsia="仿宋" w:cs="仿宋"/>
          <w:color w:val="auto"/>
          <w:kern w:val="0"/>
          <w:sz w:val="24"/>
          <w:highlight w:val="none"/>
          <w:lang w:bidi="ar"/>
        </w:rPr>
        <w:t>具有独立法人资格并依法取得营业执照</w:t>
      </w:r>
      <w:r>
        <w:rPr>
          <w:rFonts w:hint="eastAsia" w:ascii="仿宋" w:hAnsi="仿宋" w:eastAsia="仿宋" w:cs="仿宋"/>
          <w:color w:val="auto"/>
          <w:kern w:val="0"/>
          <w:sz w:val="24"/>
          <w:highlight w:val="none"/>
          <w:lang w:val="en-US" w:eastAsia="zh-CN" w:bidi="ar"/>
        </w:rPr>
        <w:t>且</w:t>
      </w:r>
      <w:r>
        <w:rPr>
          <w:rFonts w:hint="eastAsia" w:ascii="仿宋" w:hAnsi="仿宋" w:eastAsia="仿宋" w:cs="仿宋"/>
          <w:color w:val="auto"/>
          <w:kern w:val="0"/>
          <w:sz w:val="24"/>
          <w:highlight w:val="none"/>
          <w:lang w:bidi="ar"/>
        </w:rPr>
        <w:t>营业执照在有效期内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并</w:t>
      </w:r>
      <w:r>
        <w:rPr>
          <w:rFonts w:hint="eastAsia" w:ascii="仿宋" w:hAnsi="仿宋" w:eastAsia="仿宋" w:cs="仿宋"/>
          <w:color w:val="auto"/>
          <w:sz w:val="24"/>
          <w:szCs w:val="24"/>
          <w:lang w:val="en-US" w:eastAsia="zh-CN"/>
        </w:rPr>
        <w:t>具有相应的经营范围；</w:t>
      </w:r>
    </w:p>
    <w:p>
      <w:pPr>
        <w:keepNext w:val="0"/>
        <w:keepLines w:val="0"/>
        <w:pageBreakBefore w:val="0"/>
        <w:widowControl w:val="0"/>
        <w:numPr>
          <w:ilvl w:val="0"/>
          <w:numId w:val="0"/>
        </w:numPr>
        <w:tabs>
          <w:tab w:val="left" w:pos="1230"/>
          <w:tab w:val="left" w:pos="1275"/>
        </w:tabs>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（2）须具有计量认证证书及与证书相符的检测能力，需同时具有水质检测、噪声检测、废气及污泥检测的能力；</w:t>
      </w:r>
    </w:p>
    <w:p>
      <w:pPr>
        <w:keepNext w:val="0"/>
        <w:keepLines w:val="0"/>
        <w:pageBreakBefore w:val="0"/>
        <w:widowControl w:val="0"/>
        <w:numPr>
          <w:ilvl w:val="0"/>
          <w:numId w:val="0"/>
        </w:numPr>
        <w:tabs>
          <w:tab w:val="left" w:pos="1230"/>
          <w:tab w:val="left" w:pos="1275"/>
        </w:tabs>
        <w:kinsoku/>
        <w:wordWrap/>
        <w:overflowPunct/>
        <w:topLinePunct w:val="0"/>
        <w:autoSpaceDE/>
        <w:autoSpaceDN/>
        <w:bidi w:val="0"/>
        <w:adjustRightInd/>
        <w:snapToGrid/>
        <w:spacing w:line="37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（3）拟派的项目负责人须具有环境或化工类中级及以上职称证书</w:t>
      </w:r>
      <w:r>
        <w:rPr>
          <w:rFonts w:hint="eastAsia" w:ascii="仿宋" w:hAnsi="仿宋" w:eastAsia="仿宋" w:cs="仿宋"/>
          <w:color w:val="auto"/>
          <w:sz w:val="24"/>
          <w:szCs w:val="24"/>
          <w:lang w:eastAsia="zh-CN"/>
        </w:rPr>
        <w:t>；</w:t>
      </w:r>
    </w:p>
    <w:p>
      <w:pPr>
        <w:keepNext w:val="0"/>
        <w:keepLines w:val="0"/>
        <w:pageBreakBefore w:val="0"/>
        <w:widowControl w:val="0"/>
        <w:numPr>
          <w:ilvl w:val="0"/>
          <w:numId w:val="0"/>
        </w:numPr>
        <w:tabs>
          <w:tab w:val="left" w:pos="1230"/>
          <w:tab w:val="left" w:pos="1275"/>
        </w:tabs>
        <w:kinsoku/>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采购活动前三年内，在经营活动中没有重大违法记录(受行政主管部门的处罚不能参加投标)，及“信用中国”网站（www.creditchina.gov.cn）中国政府采购网（www.ccgp.gov.cn）无违法违规行为的查询纪录</w:t>
      </w:r>
      <w:r>
        <w:rPr>
          <w:rFonts w:hint="eastAsia" w:ascii="仿宋" w:hAnsi="仿宋" w:eastAsia="仿宋" w:cs="仿宋"/>
          <w:color w:val="auto"/>
          <w:sz w:val="24"/>
          <w:szCs w:val="24"/>
          <w:highlight w:val="none"/>
          <w:lang w:eastAsia="zh-CN"/>
        </w:rPr>
        <w:t>。</w:t>
      </w:r>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highlight w:val="none"/>
        </w:rPr>
      </w:pPr>
      <w:bookmarkStart w:id="11" w:name="_Toc35393631"/>
      <w:bookmarkStart w:id="12" w:name="_Toc35393800"/>
      <w:r>
        <w:rPr>
          <w:rFonts w:hint="eastAsia" w:ascii="仿宋" w:hAnsi="仿宋" w:eastAsia="仿宋" w:cs="仿宋"/>
          <w:b w:val="0"/>
          <w:color w:val="auto"/>
          <w:sz w:val="24"/>
          <w:szCs w:val="24"/>
          <w:highlight w:val="none"/>
        </w:rPr>
        <w:t>三、获取采购文件</w:t>
      </w:r>
      <w:bookmarkEnd w:id="9"/>
      <w:bookmarkEnd w:id="10"/>
      <w:bookmarkEnd w:id="11"/>
      <w:bookmarkEnd w:id="12"/>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13:00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19:00</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方式：</w:t>
      </w:r>
      <w:r>
        <w:rPr>
          <w:rFonts w:hint="eastAsia" w:ascii="仿宋" w:hAnsi="仿宋" w:eastAsia="仿宋" w:cs="仿宋"/>
          <w:b w:val="0"/>
          <w:color w:val="auto"/>
          <w:sz w:val="24"/>
          <w:szCs w:val="24"/>
          <w:lang w:eastAsia="zh-CN"/>
        </w:rPr>
        <w:t>网上下载</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rPr>
        <w:t>售价：</w:t>
      </w:r>
      <w:r>
        <w:rPr>
          <w:rFonts w:hint="eastAsia" w:ascii="仿宋" w:hAnsi="仿宋" w:eastAsia="仿宋" w:cs="仿宋"/>
          <w:b w:val="0"/>
          <w:color w:val="auto"/>
          <w:sz w:val="24"/>
          <w:szCs w:val="24"/>
          <w:highlight w:val="none"/>
          <w:lang w:val="en-US" w:eastAsia="zh-CN"/>
        </w:rPr>
        <w:t>0元</w:t>
      </w:r>
      <w:bookmarkStart w:id="13" w:name="_Toc28359015"/>
      <w:bookmarkStart w:id="14" w:name="_Toc28359092"/>
      <w:bookmarkStart w:id="15" w:name="_Toc35393801"/>
      <w:bookmarkStart w:id="16" w:name="_Toc35393632"/>
    </w:p>
    <w:p>
      <w:pPr>
        <w:pageBreakBefore w:val="0"/>
        <w:widowControl w:val="0"/>
        <w:numPr>
          <w:ilvl w:val="0"/>
          <w:numId w:val="4"/>
        </w:numPr>
        <w:kinsoku/>
        <w:wordWrap/>
        <w:overflowPunct/>
        <w:topLinePunct w:val="0"/>
        <w:autoSpaceDE/>
        <w:autoSpaceDN/>
        <w:bidi w:val="0"/>
        <w:adjustRightInd/>
        <w:snapToGrid/>
        <w:spacing w:line="390" w:lineRule="exact"/>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响应文件提交</w:t>
      </w:r>
      <w:bookmarkEnd w:id="13"/>
      <w:bookmarkEnd w:id="14"/>
      <w:bookmarkEnd w:id="15"/>
      <w:bookmarkEnd w:id="16"/>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截止时</w:t>
      </w:r>
      <w:r>
        <w:rPr>
          <w:rFonts w:hint="eastAsia" w:ascii="仿宋" w:hAnsi="仿宋" w:eastAsia="仿宋" w:cs="仿宋"/>
          <w:b w:val="0"/>
          <w:color w:val="auto"/>
          <w:sz w:val="24"/>
          <w:szCs w:val="24"/>
          <w:highlight w:val="none"/>
        </w:rPr>
        <w:t>间：</w:t>
      </w:r>
      <w:r>
        <w:rPr>
          <w:rFonts w:hint="eastAsia" w:ascii="仿宋" w:hAnsi="仿宋" w:eastAsia="仿宋" w:cs="仿宋"/>
          <w:b w:val="0"/>
          <w:color w:val="auto"/>
          <w:sz w:val="24"/>
          <w:szCs w:val="24"/>
          <w:highlight w:val="none"/>
          <w:lang w:val="en-US" w:eastAsia="zh-CN"/>
        </w:rPr>
        <w:t>2023</w:t>
      </w:r>
      <w:r>
        <w:rPr>
          <w:rFonts w:hint="eastAsia" w:ascii="仿宋" w:hAnsi="仿宋" w:eastAsia="仿宋" w:cs="仿宋"/>
          <w:b w:val="0"/>
          <w:color w:val="auto"/>
          <w:sz w:val="24"/>
          <w:szCs w:val="24"/>
          <w:highlight w:val="none"/>
        </w:rPr>
        <w:t>年</w:t>
      </w:r>
      <w:r>
        <w:rPr>
          <w:rFonts w:hint="eastAsia" w:ascii="仿宋" w:hAnsi="仿宋" w:eastAsia="仿宋" w:cs="仿宋"/>
          <w:b w:val="0"/>
          <w:color w:val="auto"/>
          <w:sz w:val="24"/>
          <w:szCs w:val="24"/>
          <w:highlight w:val="none"/>
          <w:lang w:val="en-US" w:eastAsia="zh-CN"/>
        </w:rPr>
        <w:t>1</w:t>
      </w:r>
      <w:r>
        <w:rPr>
          <w:rFonts w:hint="eastAsia" w:ascii="仿宋" w:hAnsi="仿宋" w:eastAsia="仿宋" w:cs="仿宋"/>
          <w:b w:val="0"/>
          <w:color w:val="auto"/>
          <w:sz w:val="24"/>
          <w:szCs w:val="24"/>
          <w:highlight w:val="none"/>
        </w:rPr>
        <w:t>月</w:t>
      </w:r>
      <w:r>
        <w:rPr>
          <w:rFonts w:hint="eastAsia" w:ascii="仿宋" w:hAnsi="仿宋" w:eastAsia="仿宋" w:cs="仿宋"/>
          <w:b w:val="0"/>
          <w:color w:val="auto"/>
          <w:sz w:val="24"/>
          <w:szCs w:val="24"/>
          <w:highlight w:val="none"/>
          <w:lang w:val="en-US" w:eastAsia="zh-CN"/>
        </w:rPr>
        <w:t>18</w:t>
      </w:r>
      <w:r>
        <w:rPr>
          <w:rFonts w:hint="eastAsia" w:ascii="仿宋" w:hAnsi="仿宋" w:eastAsia="仿宋" w:cs="仿宋"/>
          <w:b w:val="0"/>
          <w:color w:val="auto"/>
          <w:sz w:val="24"/>
          <w:szCs w:val="24"/>
          <w:highlight w:val="none"/>
        </w:rPr>
        <w:t>日</w:t>
      </w:r>
      <w:r>
        <w:rPr>
          <w:rFonts w:hint="eastAsia" w:ascii="仿宋" w:hAnsi="仿宋" w:eastAsia="仿宋" w:cs="仿宋"/>
          <w:b w:val="0"/>
          <w:color w:val="auto"/>
          <w:sz w:val="24"/>
          <w:szCs w:val="24"/>
          <w:highlight w:val="none"/>
          <w:lang w:val="en-US" w:eastAsia="zh-CN"/>
        </w:rPr>
        <w:t>17</w:t>
      </w:r>
      <w:r>
        <w:rPr>
          <w:rFonts w:hint="eastAsia" w:ascii="仿宋" w:hAnsi="仿宋" w:eastAsia="仿宋" w:cs="仿宋"/>
          <w:b w:val="0"/>
          <w:color w:val="auto"/>
          <w:sz w:val="24"/>
          <w:szCs w:val="24"/>
          <w:highlight w:val="none"/>
        </w:rPr>
        <w:t>点</w:t>
      </w:r>
      <w:r>
        <w:rPr>
          <w:rFonts w:hint="eastAsia" w:ascii="仿宋" w:hAnsi="仿宋" w:eastAsia="仿宋" w:cs="仿宋"/>
          <w:b w:val="0"/>
          <w:color w:val="auto"/>
          <w:sz w:val="24"/>
          <w:szCs w:val="24"/>
          <w:highlight w:val="none"/>
          <w:lang w:val="en-US" w:eastAsia="zh-CN"/>
        </w:rPr>
        <w:t>00</w:t>
      </w:r>
      <w:r>
        <w:rPr>
          <w:rFonts w:hint="eastAsia" w:ascii="仿宋" w:hAnsi="仿宋" w:eastAsia="仿宋" w:cs="仿宋"/>
          <w:b w:val="0"/>
          <w:color w:val="auto"/>
          <w:sz w:val="24"/>
          <w:szCs w:val="24"/>
          <w:highlight w:val="none"/>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color w:val="auto"/>
          <w:sz w:val="24"/>
          <w:szCs w:val="24"/>
          <w:highlight w:val="yellow"/>
        </w:rPr>
      </w:pPr>
      <w:r>
        <w:rPr>
          <w:rFonts w:hint="eastAsia" w:ascii="仿宋" w:hAnsi="仿宋" w:eastAsia="仿宋" w:cs="仿宋"/>
          <w:b w:val="0"/>
          <w:color w:val="auto"/>
          <w:sz w:val="24"/>
          <w:szCs w:val="24"/>
        </w:rPr>
        <w:t>地点：</w:t>
      </w:r>
      <w:r>
        <w:rPr>
          <w:rFonts w:hint="eastAsia" w:ascii="仿宋" w:hAnsi="仿宋" w:eastAsia="仿宋" w:cs="仿宋"/>
          <w:b w:val="0"/>
          <w:bCs w:val="0"/>
          <w:sz w:val="24"/>
          <w:szCs w:val="24"/>
        </w:rPr>
        <w:t>新疆政府采购网政采云平台（www.zcygov.cn）</w:t>
      </w:r>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17" w:name="_Toc28359093"/>
      <w:bookmarkStart w:id="18" w:name="_Toc35393633"/>
      <w:bookmarkStart w:id="19" w:name="_Toc28359016"/>
      <w:bookmarkStart w:id="20" w:name="_Toc35393802"/>
      <w:r>
        <w:rPr>
          <w:rFonts w:hint="eastAsia" w:ascii="仿宋" w:hAnsi="仿宋" w:eastAsia="仿宋" w:cs="仿宋"/>
          <w:b w:val="0"/>
          <w:color w:val="auto"/>
          <w:sz w:val="24"/>
          <w:szCs w:val="24"/>
        </w:rPr>
        <w:t>五、开启</w:t>
      </w:r>
      <w:bookmarkEnd w:id="17"/>
      <w:bookmarkEnd w:id="18"/>
      <w:bookmarkEnd w:id="19"/>
      <w:bookmarkEnd w:id="20"/>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bCs/>
          <w:color w:val="auto"/>
          <w:sz w:val="24"/>
          <w:szCs w:val="24"/>
          <w:highlight w:val="none"/>
          <w:u w:val="single"/>
        </w:rPr>
        <w:t>年</w:t>
      </w:r>
      <w:r>
        <w:rPr>
          <w:rFonts w:hint="eastAsia" w:ascii="仿宋" w:hAnsi="仿宋" w:eastAsia="仿宋" w:cs="仿宋"/>
          <w:b w:val="0"/>
          <w:color w:val="auto"/>
          <w:sz w:val="24"/>
          <w:szCs w:val="24"/>
          <w:highlight w:val="none"/>
          <w:lang w:val="en-US" w:eastAsia="zh-CN"/>
        </w:rPr>
        <w:t>1</w:t>
      </w:r>
      <w:r>
        <w:rPr>
          <w:rFonts w:hint="eastAsia" w:ascii="仿宋" w:hAnsi="仿宋" w:eastAsia="仿宋" w:cs="仿宋"/>
          <w:b w:val="0"/>
          <w:color w:val="auto"/>
          <w:sz w:val="24"/>
          <w:szCs w:val="24"/>
          <w:highlight w:val="none"/>
        </w:rPr>
        <w:t>月</w:t>
      </w:r>
      <w:r>
        <w:rPr>
          <w:rFonts w:hint="eastAsia" w:ascii="仿宋" w:hAnsi="仿宋" w:eastAsia="仿宋" w:cs="仿宋"/>
          <w:b w:val="0"/>
          <w:color w:val="auto"/>
          <w:sz w:val="24"/>
          <w:szCs w:val="24"/>
          <w:highlight w:val="none"/>
          <w:lang w:val="en-US" w:eastAsia="zh-CN"/>
        </w:rPr>
        <w:t>18</w:t>
      </w:r>
      <w:r>
        <w:rPr>
          <w:rFonts w:hint="eastAsia" w:ascii="仿宋" w:hAnsi="仿宋" w:eastAsia="仿宋" w:cs="仿宋"/>
          <w:b w:val="0"/>
          <w:color w:val="auto"/>
          <w:sz w:val="24"/>
          <w:szCs w:val="24"/>
          <w:highlight w:val="none"/>
        </w:rPr>
        <w:t>日</w:t>
      </w:r>
      <w:r>
        <w:rPr>
          <w:rFonts w:hint="eastAsia" w:ascii="仿宋" w:hAnsi="仿宋" w:eastAsia="仿宋" w:cs="仿宋"/>
          <w:b w:val="0"/>
          <w:color w:val="auto"/>
          <w:sz w:val="24"/>
          <w:szCs w:val="24"/>
          <w:highlight w:val="none"/>
          <w:lang w:val="en-US" w:eastAsia="zh-CN"/>
        </w:rPr>
        <w:t>17</w:t>
      </w:r>
      <w:r>
        <w:rPr>
          <w:rFonts w:hint="eastAsia" w:ascii="仿宋" w:hAnsi="仿宋" w:eastAsia="仿宋" w:cs="仿宋"/>
          <w:b w:val="0"/>
          <w:color w:val="auto"/>
          <w:sz w:val="24"/>
          <w:szCs w:val="24"/>
          <w:highlight w:val="none"/>
        </w:rPr>
        <w:t>点</w:t>
      </w:r>
      <w:r>
        <w:rPr>
          <w:rFonts w:hint="eastAsia" w:ascii="仿宋" w:hAnsi="仿宋" w:eastAsia="仿宋" w:cs="仿宋"/>
          <w:b w:val="0"/>
          <w:color w:val="auto"/>
          <w:sz w:val="24"/>
          <w:szCs w:val="24"/>
          <w:highlight w:val="none"/>
          <w:lang w:val="en-US" w:eastAsia="zh-CN"/>
        </w:rPr>
        <w:t>00</w:t>
      </w:r>
      <w:r>
        <w:rPr>
          <w:rFonts w:hint="eastAsia" w:ascii="仿宋" w:hAnsi="仿宋" w:eastAsia="仿宋" w:cs="仿宋"/>
          <w:b w:val="0"/>
          <w:color w:val="auto"/>
          <w:sz w:val="24"/>
          <w:szCs w:val="24"/>
          <w:highlight w:val="none"/>
        </w:rPr>
        <w:t>分</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val="0"/>
          <w:color w:val="auto"/>
          <w:kern w:val="0"/>
          <w:sz w:val="24"/>
          <w:szCs w:val="24"/>
          <w:lang w:val="en-US" w:eastAsia="zh-CN" w:bidi="ar-SA"/>
        </w:rPr>
        <w:t>地点：</w:t>
      </w:r>
      <w:bookmarkStart w:id="21" w:name="_Toc28359017"/>
      <w:bookmarkStart w:id="22" w:name="_Toc35393803"/>
      <w:bookmarkStart w:id="23" w:name="_Toc35393634"/>
      <w:bookmarkStart w:id="24" w:name="_Toc28359094"/>
      <w:r>
        <w:rPr>
          <w:rFonts w:hint="eastAsia" w:ascii="仿宋" w:hAnsi="仿宋" w:eastAsia="仿宋" w:cs="仿宋"/>
          <w:b w:val="0"/>
          <w:bCs w:val="0"/>
          <w:sz w:val="24"/>
          <w:szCs w:val="24"/>
        </w:rPr>
        <w:t>新疆政府采购网政采云平台（www.zcygov.cn）</w:t>
      </w:r>
    </w:p>
    <w:p>
      <w:pPr>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六、公告期限</w:t>
      </w:r>
      <w:bookmarkEnd w:id="21"/>
      <w:bookmarkEnd w:id="22"/>
      <w:bookmarkEnd w:id="23"/>
      <w:bookmarkEnd w:id="24"/>
    </w:p>
    <w:p>
      <w:pPr>
        <w:pStyle w:val="5"/>
        <w:keepNext/>
        <w:keepLines/>
        <w:pageBreakBefore w:val="0"/>
        <w:widowControl w:val="0"/>
        <w:kinsoku/>
        <w:wordWrap/>
        <w:overflowPunct/>
        <w:topLinePunct w:val="0"/>
        <w:autoSpaceDE/>
        <w:autoSpaceDN/>
        <w:bidi w:val="0"/>
        <w:adjustRightInd/>
        <w:snapToGrid/>
        <w:spacing w:before="0" w:after="0" w:line="39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自本公告发布之日起</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个工作日。</w:t>
      </w:r>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bCs/>
          <w:color w:val="auto"/>
          <w:sz w:val="24"/>
          <w:szCs w:val="24"/>
        </w:rPr>
      </w:pPr>
      <w:bookmarkStart w:id="25" w:name="_Toc35393635"/>
      <w:bookmarkStart w:id="26" w:name="_Toc35393804"/>
      <w:r>
        <w:rPr>
          <w:rFonts w:hint="eastAsia" w:ascii="仿宋" w:hAnsi="仿宋" w:eastAsia="仿宋" w:cs="仿宋"/>
          <w:b w:val="0"/>
          <w:bCs/>
          <w:color w:val="auto"/>
          <w:sz w:val="24"/>
          <w:szCs w:val="24"/>
        </w:rPr>
        <w:t>七、其他补充事宜</w:t>
      </w:r>
      <w:bookmarkEnd w:id="25"/>
      <w:bookmarkEnd w:id="26"/>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1.本项目为电子招投标项目，供应商需要使用 CA 加密设备，凡参加本项目供应商可通过新疆数字证书认证中心官网（https://www.xjca.com.cn/）或下载“新疆政务通”APP 自行进行线上申领，或前往新疆克拉玛依市克拉玛依区迎宾路 75 号（中国银行大厦11楼营业部）或新疆克拉玛依市独山子区大庆东路3039号（市民服务中心三楼大厅）进行线下办理。如有操作性问题可与政采云在线客服进行咨询，咨询电话：400-881-7190。 </w:t>
      </w:r>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2.本项目实行网上投标，采用电子响应文件，若供应商参与谈判，应自行承担谈判一切费用。</w:t>
      </w:r>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3.供应商应在谈判前应确保成为新疆政府采购网正式注册入库供应商，并完成 CA 数字证书申领。因未注册入库、未办理CA数字证书等原因造成无法投标或投标失败等后果由供应商自行承担。 </w:t>
      </w:r>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 务热线 400-881-7190 进行咨询。 </w:t>
      </w:r>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5.供应商应当在递交响应文件截止时间前，将生成的“电子加密响应文件”上传递交至“政 府采购云平台”，递交响应文件截止时间后上传递交的响应文件将被“政府采购云平台”拒收。 </w:t>
      </w:r>
    </w:p>
    <w:p>
      <w:pPr>
        <w:pStyle w:val="5"/>
        <w:keepNext/>
        <w:keepLines/>
        <w:pageBreakBefore w:val="0"/>
        <w:widowControl w:val="0"/>
        <w:kinsoku/>
        <w:wordWrap/>
        <w:overflowPunct/>
        <w:topLinePunct w:val="0"/>
        <w:autoSpaceDE/>
        <w:autoSpaceDN/>
        <w:bidi w:val="0"/>
        <w:adjustRightInd/>
        <w:snapToGrid/>
        <w:spacing w:before="0" w:after="0" w:line="37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6.供应商登录政采云平台，在开标时间后15分钟内用“项目采购-开标评标”功能进行解密响应文件。若供应商在规定时间内未按时解密的，视为无效响应。解密与加密响应文件须使用同一个CA。</w:t>
      </w:r>
    </w:p>
    <w:p>
      <w:pPr>
        <w:pStyle w:val="5"/>
        <w:keepNext/>
        <w:keepLines/>
        <w:pageBreakBefore w:val="0"/>
        <w:widowControl w:val="0"/>
        <w:kinsoku/>
        <w:wordWrap/>
        <w:overflowPunct/>
        <w:topLinePunct w:val="0"/>
        <w:autoSpaceDE/>
        <w:autoSpaceDN/>
        <w:bidi w:val="0"/>
        <w:adjustRightInd/>
        <w:snapToGrid/>
        <w:spacing w:before="0" w:after="0" w:line="37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特别提示：</w:t>
      </w:r>
    </w:p>
    <w:p>
      <w:pPr>
        <w:pStyle w:val="5"/>
        <w:keepNext/>
        <w:keepLines/>
        <w:pageBreakBefore w:val="0"/>
        <w:widowControl w:val="0"/>
        <w:kinsoku/>
        <w:wordWrap/>
        <w:overflowPunct/>
        <w:topLinePunct w:val="0"/>
        <w:autoSpaceDE/>
        <w:autoSpaceDN/>
        <w:bidi w:val="0"/>
        <w:adjustRightInd/>
        <w:snapToGrid/>
        <w:spacing w:before="0" w:after="0" w:line="37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keepLines/>
        <w:pageBreakBefore w:val="0"/>
        <w:widowControl w:val="0"/>
        <w:kinsoku/>
        <w:wordWrap/>
        <w:overflowPunct/>
        <w:topLinePunct w:val="0"/>
        <w:autoSpaceDE/>
        <w:autoSpaceDN/>
        <w:bidi w:val="0"/>
        <w:adjustRightInd/>
        <w:snapToGrid/>
        <w:spacing w:before="0" w:after="0" w:line="37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对于未预留份额专门面向中小企业的采购项目，以及预留份额项目中的非预留部分采购包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采购人、采购代理机构应当对符合规定的小微企业报价给予10%~20%（工程项目为 6%~10%）的扣除，用扣除后的价格参加评审。适用招标投标法的政府采购工程建设项目，采用 综合</w:t>
      </w:r>
      <w:r>
        <w:rPr>
          <w:rFonts w:hint="eastAsia" w:ascii="仿宋" w:hAnsi="仿宋" w:eastAsia="仿宋" w:cs="仿宋"/>
          <w:b w:val="0"/>
          <w:bCs/>
          <w:sz w:val="24"/>
          <w:szCs w:val="24"/>
          <w:highlight w:val="none"/>
        </w:rPr>
        <w:t>评估法</w:t>
      </w:r>
      <w:r>
        <w:rPr>
          <w:rFonts w:hint="eastAsia" w:ascii="仿宋" w:hAnsi="仿宋" w:eastAsia="仿宋" w:cs="仿宋"/>
          <w:b w:val="0"/>
          <w:bCs/>
          <w:sz w:val="24"/>
          <w:szCs w:val="24"/>
        </w:rPr>
        <w:t>但未采用低价优先法计算价格分的，评标时应当在采用原报价进行评分的基础上增 加其价格得分的 6%~10%作为其价格分。</w:t>
      </w:r>
    </w:p>
    <w:p>
      <w:pPr>
        <w:pageBreakBefore w:val="0"/>
        <w:widowControl w:val="0"/>
        <w:kinsoku/>
        <w:wordWrap/>
        <w:overflowPunct/>
        <w:topLinePunct w:val="0"/>
        <w:autoSpaceDE/>
        <w:autoSpaceDN/>
        <w:bidi w:val="0"/>
        <w:adjustRightInd/>
        <w:snapToGrid/>
        <w:spacing w:line="390" w:lineRule="exact"/>
        <w:textAlignment w:val="auto"/>
        <w:rPr>
          <w:rFonts w:hint="eastAsia" w:ascii="仿宋" w:hAnsi="仿宋" w:eastAsia="仿宋" w:cs="仿宋"/>
          <w:color w:val="auto"/>
          <w:kern w:val="0"/>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接受大中型企业与小微企业组成联合体或者允许大中型企业向一家或者多家小微企业分包的采购项目，对于联合协议或者分包意向协议约定小微企业的合同份额占到合同总金额 40% 以上的，采购人、采购代理机构应当对联合体或者大中型企业的报价给予4%~6%（工程项目为 2%~4%）的扣除，用扣除后的价格参加评审。适用招标投标法的政府采购工程建设项目，采用综</w:t>
      </w:r>
      <w:r>
        <w:rPr>
          <w:rFonts w:hint="eastAsia" w:ascii="仿宋" w:hAnsi="仿宋" w:eastAsia="仿宋" w:cs="仿宋"/>
          <w:b w:val="0"/>
          <w:bCs/>
          <w:sz w:val="24"/>
          <w:szCs w:val="24"/>
          <w:highlight w:val="none"/>
        </w:rPr>
        <w:t>合评估法</w:t>
      </w:r>
      <w:r>
        <w:rPr>
          <w:rFonts w:hint="eastAsia" w:ascii="仿宋" w:hAnsi="仿宋" w:eastAsia="仿宋" w:cs="仿宋"/>
          <w:b w:val="0"/>
          <w:bCs/>
          <w:sz w:val="24"/>
          <w:szCs w:val="24"/>
        </w:rPr>
        <w:t>但未采用低价优先法计算价格分的，评标时应当在采用原报价进行评分的基础上增加其价格得分的 2%~4%作为其价格分。</w:t>
      </w:r>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color w:val="auto"/>
          <w:sz w:val="24"/>
          <w:szCs w:val="24"/>
        </w:rPr>
      </w:pPr>
      <w:bookmarkStart w:id="27" w:name="_Toc35393636"/>
      <w:bookmarkStart w:id="28" w:name="_Toc28359095"/>
      <w:bookmarkStart w:id="29" w:name="_Toc28359018"/>
      <w:bookmarkStart w:id="30" w:name="_Toc35393805"/>
      <w:r>
        <w:rPr>
          <w:rFonts w:hint="eastAsia" w:ascii="仿宋" w:hAnsi="仿宋" w:eastAsia="仿宋" w:cs="仿宋"/>
          <w:b/>
          <w:bCs w:val="0"/>
          <w:color w:val="auto"/>
          <w:sz w:val="24"/>
          <w:szCs w:val="24"/>
        </w:rPr>
        <w:t>八、凡对本次采购提出询问，请按以下方式联系。</w:t>
      </w:r>
      <w:bookmarkEnd w:id="27"/>
      <w:bookmarkEnd w:id="28"/>
      <w:bookmarkEnd w:id="29"/>
      <w:bookmarkEnd w:id="30"/>
    </w:p>
    <w:p>
      <w:pPr>
        <w:pStyle w:val="5"/>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31" w:name="_Toc35393637"/>
      <w:bookmarkStart w:id="32" w:name="_Toc28359019"/>
      <w:bookmarkStart w:id="33" w:name="_Toc28359096"/>
      <w:bookmarkStart w:id="34" w:name="_Toc35393806"/>
      <w:r>
        <w:rPr>
          <w:rFonts w:hint="eastAsia" w:ascii="仿宋" w:hAnsi="仿宋" w:eastAsia="仿宋" w:cs="仿宋"/>
          <w:b w:val="0"/>
          <w:color w:val="auto"/>
          <w:sz w:val="24"/>
          <w:szCs w:val="24"/>
        </w:rPr>
        <w:t>1.采购人信息</w:t>
      </w:r>
      <w:bookmarkEnd w:id="31"/>
      <w:bookmarkEnd w:id="32"/>
      <w:bookmarkEnd w:id="33"/>
      <w:bookmarkEnd w:id="34"/>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 xml:space="preserve"> 克拉玛依市独山子区住房和建设局 </w:t>
      </w:r>
    </w:p>
    <w:p>
      <w:pPr>
        <w:pStyle w:val="2"/>
        <w:ind w:left="0" w:leftChars="0" w:firstLine="0" w:firstLine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highlight w:val="none"/>
          <w:u w:val="none"/>
          <w:lang w:val="en-US" w:eastAsia="zh-CN"/>
        </w:rPr>
        <w:t>地    址：</w:t>
      </w:r>
      <w:r>
        <w:rPr>
          <w:rFonts w:hint="eastAsia" w:ascii="仿宋" w:hAnsi="仿宋" w:eastAsia="仿宋" w:cs="仿宋"/>
          <w:color w:val="auto"/>
          <w:sz w:val="24"/>
          <w:szCs w:val="24"/>
          <w:highlight w:val="none"/>
          <w:u w:val="single"/>
          <w:lang w:val="en-US" w:eastAsia="zh-CN"/>
        </w:rPr>
        <w:t xml:space="preserve"> 独山子区昆山路2726号</w:t>
      </w:r>
      <w:r>
        <w:rPr>
          <w:rFonts w:hint="eastAsia" w:ascii="仿宋" w:hAnsi="仿宋" w:eastAsia="仿宋" w:cs="仿宋"/>
          <w:color w:val="auto"/>
          <w:sz w:val="24"/>
          <w:szCs w:val="24"/>
          <w:u w:val="single"/>
          <w:lang w:val="en-US" w:eastAsia="zh-CN"/>
        </w:rPr>
        <w:t xml:space="preserve">  </w:t>
      </w:r>
    </w:p>
    <w:p>
      <w:pPr>
        <w:pStyle w:val="2"/>
        <w:ind w:left="0" w:leftChars="0" w:firstLine="0" w:firstLine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联系电话：</w:t>
      </w:r>
      <w:r>
        <w:rPr>
          <w:rFonts w:hint="eastAsia" w:ascii="仿宋" w:hAnsi="仿宋" w:eastAsia="仿宋" w:cs="仿宋"/>
          <w:color w:val="auto"/>
          <w:sz w:val="24"/>
          <w:szCs w:val="24"/>
          <w:u w:val="single"/>
          <w:lang w:val="en-US" w:eastAsia="zh-CN"/>
        </w:rPr>
        <w:t xml:space="preserve"> 0992-7273437 </w:t>
      </w:r>
    </w:p>
    <w:p>
      <w:pPr>
        <w:pStyle w:val="5"/>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b w:val="0"/>
          <w:color w:val="auto"/>
          <w:sz w:val="24"/>
          <w:szCs w:val="24"/>
        </w:rPr>
      </w:pPr>
      <w:bookmarkStart w:id="35" w:name="_Toc28359020"/>
      <w:bookmarkStart w:id="36" w:name="_Toc35393638"/>
      <w:bookmarkStart w:id="37" w:name="_Toc35393807"/>
      <w:bookmarkStart w:id="38" w:name="_Toc28359097"/>
      <w:r>
        <w:rPr>
          <w:rFonts w:hint="eastAsia" w:ascii="仿宋" w:hAnsi="仿宋" w:eastAsia="仿宋" w:cs="仿宋"/>
          <w:b w:val="0"/>
          <w:color w:val="auto"/>
          <w:sz w:val="24"/>
          <w:szCs w:val="24"/>
        </w:rPr>
        <w:t>2.采购代理机构信息</w:t>
      </w:r>
      <w:bookmarkEnd w:id="35"/>
      <w:bookmarkEnd w:id="36"/>
      <w:bookmarkEnd w:id="37"/>
      <w:bookmarkEnd w:id="38"/>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新疆秦之玺工程咨询有限责任公司　　</w:t>
      </w:r>
      <w:r>
        <w:rPr>
          <w:rFonts w:hint="eastAsia" w:ascii="仿宋" w:hAnsi="仿宋" w:eastAsia="仿宋" w:cs="仿宋"/>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sz w:val="24"/>
          <w:szCs w:val="24"/>
          <w:u w:val="single"/>
        </w:rPr>
        <w:t>克拉玛依市广源路恒隆广场B座501</w:t>
      </w:r>
    </w:p>
    <w:p>
      <w:pPr>
        <w:pStyle w:val="2"/>
        <w:numPr>
          <w:ilvl w:val="0"/>
          <w:numId w:val="5"/>
        </w:numPr>
        <w:ind w:left="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项目联系方式</w:t>
      </w:r>
    </w:p>
    <w:p>
      <w:pPr>
        <w:pStyle w:val="2"/>
        <w:numPr>
          <w:ilvl w:val="0"/>
          <w:numId w:val="0"/>
        </w:numPr>
        <w:ind w:left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项目联系人：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巴冀彩</w:t>
      </w:r>
      <w:r>
        <w:rPr>
          <w:rFonts w:hint="eastAsia" w:ascii="仿宋" w:hAnsi="仿宋" w:eastAsia="仿宋" w:cs="仿宋"/>
          <w:color w:val="auto"/>
          <w:sz w:val="24"/>
          <w:szCs w:val="24"/>
          <w:u w:val="single"/>
          <w:lang w:val="en-US" w:eastAsia="zh-CN"/>
        </w:rPr>
        <w:t xml:space="preserve">、徐静  </w:t>
      </w:r>
    </w:p>
    <w:p>
      <w:pPr>
        <w:pStyle w:val="2"/>
        <w:numPr>
          <w:ilvl w:val="0"/>
          <w:numId w:val="0"/>
        </w:numPr>
        <w:ind w:leftChars="0"/>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电      话：</w:t>
      </w:r>
      <w:r>
        <w:rPr>
          <w:rFonts w:hint="eastAsia" w:ascii="仿宋" w:hAnsi="仿宋" w:eastAsia="仿宋" w:cs="仿宋"/>
          <w:color w:val="auto"/>
          <w:sz w:val="24"/>
          <w:szCs w:val="24"/>
          <w:u w:val="single"/>
          <w:lang w:val="en-US" w:eastAsia="zh-CN"/>
        </w:rPr>
        <w:t xml:space="preserve"> 0990-6222280  18196001677</w:t>
      </w:r>
    </w:p>
    <w:p>
      <w:pPr>
        <w:rPr>
          <w:rFonts w:hint="eastAsia" w:ascii="仿宋" w:hAnsi="仿宋" w:eastAsia="仿宋" w:cs="仿宋"/>
          <w:color w:val="auto"/>
          <w:sz w:val="24"/>
          <w:szCs w:val="24"/>
          <w:u w:val="single"/>
          <w:lang w:val="en-US" w:eastAsia="zh-CN"/>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前</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附</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表</w:t>
      </w:r>
      <w:bookmarkEnd w:id="4"/>
    </w:p>
    <w:tbl>
      <w:tblPr>
        <w:tblStyle w:val="19"/>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bookmarkStart w:id="39" w:name="_Toc17277_WPSOffice_Level1"/>
            <w:r>
              <w:rPr>
                <w:rFonts w:hint="eastAsia" w:ascii="仿宋" w:hAnsi="仿宋" w:eastAsia="仿宋" w:cs="仿宋"/>
                <w:color w:val="auto"/>
                <w:highlight w:val="none"/>
              </w:rPr>
              <w:t>项号</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highlight w:val="none"/>
              </w:rPr>
              <w:t>项目名称：独山子区污水处理厂委托第三方检测机构监测排放污染物项目</w:t>
            </w:r>
          </w:p>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文件编号：QZX</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ZC</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9397" w:type="dxa"/>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采购人：克拉玛依市独山子区住房和建设局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联系人：路彬</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联系电话：0992-7273437</w:t>
            </w:r>
          </w:p>
          <w:p>
            <w:pPr>
              <w:pStyle w:val="16"/>
              <w:keepNext w:val="0"/>
              <w:keepLines w:val="0"/>
              <w:pageBreakBefore w:val="0"/>
              <w:kinsoku/>
              <w:wordWrap/>
              <w:overflowPunct/>
              <w:topLinePunct w:val="0"/>
              <w:autoSpaceDE/>
              <w:autoSpaceDN/>
              <w:bidi w:val="0"/>
              <w:adjustRightInd/>
              <w:snapToGrid/>
              <w:spacing w:before="75" w:beforeAutospacing="0" w:after="75" w:afterAutospacing="0" w:line="38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地址：独山子区昆山路2726号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9397" w:type="dxa"/>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采购代理机构：新疆秦之玺工程咨询有限责任公司 </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联系人：巴冀彩、</w:t>
            </w:r>
            <w:r>
              <w:rPr>
                <w:rFonts w:hint="eastAsia" w:ascii="仿宋" w:hAnsi="仿宋" w:eastAsia="仿宋" w:cs="仿宋"/>
                <w:color w:val="auto"/>
                <w:szCs w:val="21"/>
                <w:highlight w:val="none"/>
                <w:lang w:eastAsia="zh-CN"/>
              </w:rPr>
              <w:t>徐静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联系电话：0990-6222280  18196001677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地址：克拉玛依市广源路恒隆广场B座501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b w:val="0"/>
                <w:bCs/>
                <w:color w:val="auto"/>
                <w:highlight w:val="none"/>
                <w:lang w:val="en-US" w:eastAsia="zh-CN"/>
              </w:rPr>
              <w:t>响应文件</w:t>
            </w:r>
            <w:r>
              <w:rPr>
                <w:rFonts w:hint="eastAsia" w:ascii="仿宋" w:hAnsi="仿宋" w:eastAsia="仿宋" w:cs="仿宋"/>
                <w:color w:val="auto"/>
                <w:highlight w:val="none"/>
              </w:rPr>
              <w:t>有效期：递交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响应文件采用电子文档。响应文件应编制完整的页码、目录（编制上传响应文件与相应模块对应）。供应商不论成交与否，</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后需将纸质版响应文件按要求递交至采购代理机构。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yellow"/>
                <w:lang w:val="en-US" w:eastAsia="zh-CN"/>
              </w:rPr>
            </w:pPr>
            <w:r>
              <w:rPr>
                <w:rFonts w:hint="eastAsia" w:ascii="仿宋" w:hAnsi="仿宋" w:eastAsia="仿宋" w:cs="仿宋"/>
                <w:color w:val="auto"/>
                <w:highlight w:val="none"/>
                <w:lang w:val="en-US" w:eastAsia="zh-CN"/>
              </w:rPr>
              <w:t>递交响应文件截止时间：2023年1月18日 17:00</w:t>
            </w:r>
          </w:p>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递交响应文件地点：新疆政府采购网政采云平台（www.zcygov.cn）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yellow"/>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年1月18日 17:00</w:t>
            </w:r>
          </w:p>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文件的份数：一式叁份，其中正本壹份，副本贰份，电子文件（光盘或U盘）一式贰份（</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highlight w:val="none"/>
              </w:rPr>
              <w:t>采购项目</w:t>
            </w:r>
            <w:r>
              <w:rPr>
                <w:rFonts w:hint="eastAsia" w:ascii="仿宋" w:hAnsi="仿宋" w:eastAsia="仿宋" w:cs="仿宋"/>
                <w:b/>
                <w:bCs/>
                <w:color w:val="auto"/>
                <w:highlight w:val="none"/>
                <w:lang w:val="en-US" w:eastAsia="zh-CN"/>
              </w:rPr>
              <w:t>总预算为¥30万元/年（大写：人民币叁拾万元整每年）；</w:t>
            </w:r>
            <w:r>
              <w:rPr>
                <w:rFonts w:hint="eastAsia" w:ascii="仿宋" w:hAnsi="仿宋" w:eastAsia="仿宋" w:cs="仿宋"/>
                <w:b/>
                <w:bCs/>
                <w:color w:val="auto"/>
                <w:highlight w:val="none"/>
              </w:rPr>
              <w:t>供应商的商务报价如超过采购预算，则该供应商的</w:t>
            </w:r>
            <w:r>
              <w:rPr>
                <w:rFonts w:hint="eastAsia" w:ascii="仿宋" w:hAnsi="仿宋" w:eastAsia="仿宋" w:cs="仿宋"/>
                <w:b/>
                <w:bCs/>
                <w:color w:val="auto"/>
                <w:highlight w:val="none"/>
                <w:lang w:val="en-US" w:eastAsia="zh-CN"/>
              </w:rPr>
              <w:t>响应文件</w:t>
            </w:r>
            <w:r>
              <w:rPr>
                <w:rFonts w:hint="eastAsia" w:ascii="仿宋" w:hAnsi="仿宋" w:eastAsia="仿宋" w:cs="仿宋"/>
                <w:b/>
                <w:bCs/>
                <w:color w:val="auto"/>
                <w:highlight w:val="none"/>
              </w:rPr>
              <w:t>作</w:t>
            </w:r>
            <w:r>
              <w:rPr>
                <w:rFonts w:hint="eastAsia" w:ascii="仿宋" w:hAnsi="仿宋" w:eastAsia="仿宋" w:cs="仿宋"/>
                <w:b/>
                <w:bCs/>
                <w:color w:val="auto"/>
                <w:highlight w:val="none"/>
                <w:lang w:val="en-US" w:eastAsia="zh-CN"/>
              </w:rPr>
              <w:t>无效响应</w:t>
            </w:r>
            <w:r>
              <w:rPr>
                <w:rFonts w:hint="eastAsia" w:ascii="仿宋" w:hAnsi="仿宋" w:eastAsia="仿宋" w:cs="仿宋"/>
                <w:b/>
                <w:bCs/>
                <w:color w:val="auto"/>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662" w:type="dxa"/>
            <w:vAlign w:val="center"/>
          </w:tcPr>
          <w:p>
            <w:pPr>
              <w:pStyle w:val="10"/>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9397" w:type="dxa"/>
            <w:vAlign w:val="center"/>
          </w:tcPr>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采购代理费：经与采购人协商，本项目采购代理服务费由成交供应商在领取成交通知书同时向采购代理机构支付，采购代理服务费为￥0.292万元（大写：人民币贰仟玖佰贰拾元整）。</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highlight w:val="none"/>
                <w:lang w:val="en-US" w:eastAsia="zh-CN"/>
              </w:rPr>
              <w:t>采购代理费由供应商自行考虑计入本次投标报价中，不因供应商漏报或忽略而后期追加费用。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单位名称：</w:t>
            </w:r>
            <w:r>
              <w:rPr>
                <w:rFonts w:hint="eastAsia" w:ascii="仿宋" w:hAnsi="仿宋" w:eastAsia="仿宋" w:cs="仿宋"/>
                <w:b/>
                <w:sz w:val="21"/>
                <w:szCs w:val="21"/>
              </w:rPr>
              <w:t>新疆秦之玺工程咨询有限责任公司克拉玛依分公司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yellow"/>
              </w:rPr>
            </w:pPr>
            <w:r>
              <w:rPr>
                <w:rFonts w:hint="eastAsia" w:ascii="仿宋" w:hAnsi="仿宋" w:eastAsia="仿宋" w:cs="仿宋"/>
                <w:sz w:val="21"/>
                <w:szCs w:val="21"/>
              </w:rPr>
              <w:t>开</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户</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行：</w:t>
            </w:r>
            <w:r>
              <w:rPr>
                <w:rFonts w:hint="eastAsia" w:ascii="仿宋" w:hAnsi="仿宋" w:eastAsia="仿宋" w:cs="仿宋"/>
                <w:b/>
                <w:sz w:val="21"/>
                <w:szCs w:val="21"/>
              </w:rPr>
              <w:t>中国工商银行股份有限公司克拉玛依南泉支行</w:t>
            </w:r>
          </w:p>
          <w:p>
            <w:pPr>
              <w:pStyle w:val="10"/>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sz w:val="21"/>
                <w:szCs w:val="21"/>
              </w:rPr>
              <w:t>银行账号：</w:t>
            </w:r>
            <w:r>
              <w:rPr>
                <w:rFonts w:hint="eastAsia" w:ascii="仿宋" w:hAnsi="仿宋" w:eastAsia="仿宋" w:cs="仿宋"/>
                <w:b/>
                <w:sz w:val="21"/>
                <w:szCs w:val="21"/>
              </w:rPr>
              <w:t>3003024909100046811</w:t>
            </w:r>
          </w:p>
        </w:tc>
      </w:tr>
    </w:tbl>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pPr>
        <w:pStyle w:val="2"/>
        <w:numPr>
          <w:ilvl w:val="0"/>
          <w:numId w:val="0"/>
        </w:numPr>
        <w:ind w:leftChars="0"/>
        <w:jc w:val="center"/>
        <w:rPr>
          <w:rFonts w:hint="eastAsia" w:ascii="仿宋" w:hAnsi="仿宋" w:eastAsia="仿宋" w:cs="仿宋"/>
          <w:b/>
          <w:bCs/>
          <w:color w:val="auto"/>
          <w:sz w:val="24"/>
          <w:highlight w:val="none"/>
        </w:rPr>
      </w:pPr>
      <w:r>
        <w:rPr>
          <w:rFonts w:hint="eastAsia" w:ascii="仿宋" w:hAnsi="仿宋" w:eastAsia="仿宋" w:cs="仿宋"/>
          <w:b/>
          <w:bCs/>
          <w:color w:val="auto"/>
          <w:sz w:val="30"/>
          <w:szCs w:val="30"/>
          <w:highlight w:val="none"/>
        </w:rPr>
        <w:t>第二章、供应商须知</w:t>
      </w:r>
      <w:bookmarkEnd w:id="39"/>
    </w:p>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一、说明</w:t>
      </w:r>
    </w:p>
    <w:p>
      <w:pPr>
        <w:pStyle w:val="10"/>
        <w:spacing w:line="360" w:lineRule="auto"/>
        <w:ind w:firstLine="480" w:firstLineChars="200"/>
        <w:outlineLvl w:val="1"/>
        <w:rPr>
          <w:rFonts w:hint="eastAsia" w:ascii="仿宋" w:hAnsi="仿宋" w:eastAsia="仿宋" w:cs="仿宋"/>
          <w:color w:val="auto"/>
          <w:sz w:val="24"/>
          <w:highlight w:val="none"/>
        </w:rPr>
      </w:pPr>
      <w:bookmarkStart w:id="40" w:name="_Toc233274811"/>
      <w:bookmarkStart w:id="41" w:name="_Toc246216180"/>
      <w:bookmarkStart w:id="42" w:name="_Toc243906311"/>
      <w:bookmarkStart w:id="43" w:name="_Toc243907571"/>
      <w:bookmarkStart w:id="44" w:name="_Toc6629"/>
      <w:r>
        <w:rPr>
          <w:rFonts w:hint="eastAsia" w:ascii="仿宋" w:hAnsi="仿宋" w:eastAsia="仿宋" w:cs="仿宋"/>
          <w:color w:val="auto"/>
          <w:sz w:val="24"/>
          <w:highlight w:val="none"/>
        </w:rPr>
        <w:t>1、适用范围</w:t>
      </w:r>
      <w:bookmarkEnd w:id="40"/>
      <w:bookmarkEnd w:id="41"/>
      <w:bookmarkEnd w:id="42"/>
      <w:bookmarkEnd w:id="43"/>
      <w:r>
        <w:rPr>
          <w:rFonts w:hint="eastAsia" w:ascii="仿宋" w:hAnsi="仿宋" w:eastAsia="仿宋" w:cs="仿宋"/>
          <w:color w:val="auto"/>
          <w:sz w:val="24"/>
          <w:highlight w:val="none"/>
        </w:rPr>
        <w:t>及</w:t>
      </w:r>
      <w:bookmarkEnd w:id="44"/>
      <w:r>
        <w:rPr>
          <w:rFonts w:hint="eastAsia" w:ascii="仿宋" w:hAnsi="仿宋" w:eastAsia="仿宋" w:cs="仿宋"/>
          <w:color w:val="auto"/>
          <w:sz w:val="24"/>
          <w:highlight w:val="none"/>
        </w:rPr>
        <w:t>竞争性谈判依据</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适用范围</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仅适用于</w:t>
      </w:r>
      <w:r>
        <w:rPr>
          <w:rFonts w:hint="eastAsia" w:ascii="仿宋" w:hAnsi="仿宋" w:eastAsia="仿宋" w:cs="仿宋"/>
          <w:color w:val="0000FF"/>
          <w:sz w:val="24"/>
          <w:highlight w:val="none"/>
        </w:rPr>
        <w:t>独山子区污水处理厂委托第三方检测机构监测排放污染物项目</w:t>
      </w:r>
      <w:r>
        <w:rPr>
          <w:rFonts w:hint="eastAsia" w:ascii="仿宋" w:hAnsi="仿宋" w:eastAsia="仿宋" w:cs="仿宋"/>
          <w:color w:val="0000FF"/>
          <w:sz w:val="24"/>
          <w:highlight w:val="none"/>
          <w:lang w:eastAsia="zh-CN"/>
        </w:rPr>
        <w:t>(二次)</w:t>
      </w:r>
      <w:r>
        <w:rPr>
          <w:rFonts w:hint="eastAsia" w:ascii="仿宋" w:hAnsi="仿宋" w:eastAsia="仿宋" w:cs="仿宋"/>
          <w:color w:val="auto"/>
          <w:sz w:val="24"/>
          <w:szCs w:val="24"/>
          <w:highlight w:val="none"/>
        </w:rPr>
        <w:t>。</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eastAsia="zh-CN"/>
        </w:rPr>
        <w:t>竞争性谈判</w:t>
      </w:r>
      <w:r>
        <w:rPr>
          <w:rFonts w:hint="eastAsia" w:ascii="仿宋" w:hAnsi="仿宋" w:eastAsia="仿宋" w:cs="仿宋"/>
          <w:color w:val="auto"/>
          <w:sz w:val="24"/>
          <w:highlight w:val="none"/>
        </w:rPr>
        <w:t>依据</w:t>
      </w:r>
    </w:p>
    <w:p>
      <w:pPr>
        <w:widowControl/>
        <w:spacing w:line="360" w:lineRule="auto"/>
        <w:ind w:firstLine="480" w:firstLineChars="200"/>
        <w:rPr>
          <w:rFonts w:hint="eastAsia" w:ascii="仿宋" w:hAnsi="仿宋" w:eastAsia="仿宋" w:cs="仿宋"/>
          <w:color w:val="auto"/>
          <w:kern w:val="2"/>
          <w:sz w:val="24"/>
          <w:szCs w:val="21"/>
          <w:highlight w:val="none"/>
          <w:lang w:val="en-US" w:eastAsia="zh-CN" w:bidi="ar-SA"/>
        </w:rPr>
      </w:pPr>
      <w:bookmarkStart w:id="45" w:name="_Toc246216181"/>
      <w:bookmarkStart w:id="46" w:name="_Toc233274812"/>
      <w:bookmarkStart w:id="47" w:name="_Toc20877"/>
      <w:bookmarkStart w:id="48" w:name="_Toc243906312"/>
      <w:bookmarkStart w:id="49" w:name="_Toc243907572"/>
      <w:r>
        <w:rPr>
          <w:rFonts w:hint="eastAsia" w:ascii="仿宋" w:hAnsi="仿宋" w:eastAsia="仿宋" w:cs="仿宋"/>
          <w:color w:val="auto"/>
          <w:kern w:val="2"/>
          <w:sz w:val="24"/>
          <w:szCs w:val="21"/>
          <w:highlight w:val="none"/>
          <w:lang w:val="en-US" w:eastAsia="zh-CN" w:bidi="ar-SA"/>
        </w:rPr>
        <w:t>根据《中华人民共和国政府采购法》、《中华人民共和国政府采购法实施条例》、《政府采购货物和服务招标投标管理办法》（财政部令第87号）及有关法律、法规。</w:t>
      </w:r>
    </w:p>
    <w:p>
      <w:pPr>
        <w:pStyle w:val="10"/>
        <w:spacing w:line="360" w:lineRule="auto"/>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2、定义</w:t>
      </w:r>
      <w:bookmarkEnd w:id="45"/>
      <w:bookmarkEnd w:id="46"/>
      <w:bookmarkEnd w:id="47"/>
      <w:bookmarkEnd w:id="48"/>
      <w:bookmarkEnd w:id="49"/>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“采购人”系指克拉玛依市独山子区住房和建设局，在签订和执行合同阶段称“</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highlight w:val="none"/>
        </w:rPr>
        <w:t>系指</w:t>
      </w:r>
      <w:r>
        <w:rPr>
          <w:rFonts w:hint="eastAsia" w:ascii="仿宋" w:hAnsi="仿宋" w:eastAsia="仿宋" w:cs="仿宋"/>
          <w:color w:val="auto"/>
          <w:sz w:val="24"/>
        </w:rPr>
        <w:t>新疆秦之玺工程咨询有限责任公司</w:t>
      </w:r>
      <w:r>
        <w:rPr>
          <w:rFonts w:hint="eastAsia" w:ascii="仿宋" w:hAnsi="仿宋" w:eastAsia="仿宋" w:cs="仿宋"/>
          <w:color w:val="auto"/>
          <w:sz w:val="24"/>
          <w:highlight w:val="none"/>
        </w:rPr>
        <w:t>。</w:t>
      </w:r>
    </w:p>
    <w:p>
      <w:pPr>
        <w:pStyle w:val="10"/>
        <w:spacing w:line="360" w:lineRule="auto"/>
        <w:ind w:firstLine="480" w:firstLineChars="200"/>
        <w:rPr>
          <w:rFonts w:hint="eastAsia" w:ascii="仿宋" w:hAnsi="仿宋" w:eastAsia="仿宋" w:cs="仿宋"/>
          <w:color w:val="auto"/>
          <w:sz w:val="24"/>
          <w:highlight w:val="none"/>
          <w:lang w:val="zh-CN"/>
        </w:rPr>
      </w:pPr>
      <w:bookmarkStart w:id="50" w:name="_Toc243906313"/>
      <w:bookmarkStart w:id="51" w:name="_Toc246216182"/>
      <w:bookmarkStart w:id="52" w:name="_Toc233274813"/>
      <w:bookmarkStart w:id="53" w:name="_Toc243907573"/>
      <w:r>
        <w:rPr>
          <w:rFonts w:hint="eastAsia" w:ascii="仿宋" w:hAnsi="仿宋" w:eastAsia="仿宋" w:cs="仿宋"/>
          <w:color w:val="auto"/>
          <w:sz w:val="24"/>
          <w:highlight w:val="none"/>
          <w:lang w:val="zh-CN"/>
        </w:rPr>
        <w:t>2.3 “供应商”系指具备资格并响应竞争性谈判文件要求提交响应文件的法人，供应商若成交，在签订和执行合同阶段称“</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lang w:val="zh-CN"/>
        </w:rPr>
        <w:t>”。</w:t>
      </w:r>
    </w:p>
    <w:p>
      <w:pPr>
        <w:pStyle w:val="1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2.4 “竞争性谈判文件”系指由采购人向供应商发出的本采购项目的全部文件（包括修改文件、项目采购需求、补充文件、答疑纪要、各种通知和附件等）。</w:t>
      </w:r>
    </w:p>
    <w:p>
      <w:pPr>
        <w:pStyle w:val="10"/>
        <w:spacing w:line="360" w:lineRule="auto"/>
        <w:ind w:firstLine="480" w:firstLineChars="200"/>
        <w:rPr>
          <w:rFonts w:hint="eastAsia" w:ascii="仿宋" w:hAnsi="仿宋" w:eastAsia="仿宋" w:cs="仿宋"/>
          <w:color w:val="auto"/>
          <w:sz w:val="24"/>
          <w:highlight w:val="none"/>
          <w:shd w:val="clear" w:color="FFFFFF" w:fill="D9D9D9"/>
          <w:lang w:val="zh-CN"/>
        </w:rPr>
      </w:pPr>
      <w:r>
        <w:rPr>
          <w:rFonts w:hint="eastAsia" w:ascii="仿宋" w:hAnsi="仿宋" w:eastAsia="仿宋" w:cs="仿宋"/>
          <w:color w:val="auto"/>
          <w:sz w:val="24"/>
          <w:highlight w:val="none"/>
          <w:lang w:val="zh-CN"/>
        </w:rPr>
        <w:t>2.5 “响应文件”系指供应商根据竞争性谈判文件提交的所有文件及电子文档（</w:t>
      </w:r>
      <w:r>
        <w:rPr>
          <w:rFonts w:hint="eastAsia" w:ascii="仿宋" w:hAnsi="仿宋" w:eastAsia="仿宋" w:cs="仿宋"/>
          <w:color w:val="auto"/>
          <w:sz w:val="24"/>
          <w:highlight w:val="none"/>
          <w:lang w:val="en-US" w:eastAsia="zh-CN"/>
        </w:rPr>
        <w:t>不加密光盘或U盘</w:t>
      </w:r>
      <w:r>
        <w:rPr>
          <w:rFonts w:hint="eastAsia" w:ascii="仿宋" w:hAnsi="仿宋" w:eastAsia="仿宋" w:cs="仿宋"/>
          <w:color w:val="auto"/>
          <w:sz w:val="24"/>
          <w:highlight w:val="none"/>
          <w:lang w:val="zh-CN"/>
        </w:rPr>
        <w:t>）。</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lang w:val="en-US" w:eastAsia="zh-CN"/>
        </w:rPr>
        <w:t>2.6</w:t>
      </w:r>
      <w:r>
        <w:rPr>
          <w:rFonts w:hint="eastAsia" w:ascii="仿宋" w:hAnsi="仿宋" w:eastAsia="仿宋" w:cs="仿宋"/>
          <w:color w:val="auto"/>
          <w:sz w:val="24"/>
          <w:lang w:val="zh-CN"/>
        </w:rPr>
        <w:t>“合同货物”系指按合同条款、技术规范及标准、项目采购需求、本竞争性</w:t>
      </w:r>
      <w:r>
        <w:rPr>
          <w:rFonts w:hint="eastAsia" w:ascii="仿宋" w:hAnsi="仿宋" w:eastAsia="仿宋" w:cs="仿宋"/>
          <w:color w:val="auto"/>
          <w:sz w:val="24"/>
          <w:lang w:val="en-US" w:eastAsia="zh-CN"/>
        </w:rPr>
        <w:t>谈判</w:t>
      </w:r>
      <w:r>
        <w:rPr>
          <w:rFonts w:hint="eastAsia" w:ascii="仿宋" w:hAnsi="仿宋" w:eastAsia="仿宋" w:cs="仿宋"/>
          <w:color w:val="auto"/>
          <w:sz w:val="24"/>
          <w:lang w:val="zh-CN"/>
        </w:rPr>
        <w:t>文件规定，</w:t>
      </w:r>
      <w:r>
        <w:rPr>
          <w:rFonts w:hint="eastAsia" w:ascii="仿宋" w:hAnsi="仿宋" w:eastAsia="仿宋" w:cs="仿宋"/>
          <w:color w:val="auto"/>
          <w:sz w:val="24"/>
          <w:highlight w:val="none"/>
          <w:lang w:val="zh-CN"/>
        </w:rPr>
        <w:t>成交</w:t>
      </w:r>
      <w:r>
        <w:rPr>
          <w:rFonts w:hint="eastAsia" w:ascii="仿宋" w:hAnsi="仿宋" w:eastAsia="仿宋" w:cs="仿宋"/>
          <w:color w:val="auto"/>
          <w:sz w:val="24"/>
          <w:highlight w:val="none"/>
        </w:rPr>
        <w:t>供应商须向采购人提供服务。</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2.7 </w:t>
      </w:r>
      <w:r>
        <w:rPr>
          <w:rFonts w:hint="eastAsia" w:ascii="仿宋" w:hAnsi="仿宋" w:eastAsia="仿宋" w:cs="仿宋"/>
          <w:b/>
          <w:bCs/>
          <w:color w:val="auto"/>
          <w:sz w:val="24"/>
          <w:highlight w:val="none"/>
          <w:lang w:val="zh-CN"/>
        </w:rPr>
        <w:t>“服务”</w:t>
      </w:r>
      <w:r>
        <w:rPr>
          <w:rFonts w:hint="eastAsia" w:ascii="仿宋" w:hAnsi="仿宋" w:eastAsia="仿宋" w:cs="仿宋"/>
          <w:b/>
          <w:bCs/>
          <w:color w:val="auto"/>
          <w:sz w:val="24"/>
          <w:highlight w:val="none"/>
        </w:rPr>
        <w:t>系指按合同条款、技术规范及标准、项目采购需求、本</w:t>
      </w:r>
      <w:r>
        <w:rPr>
          <w:rFonts w:hint="eastAsia" w:ascii="仿宋" w:hAnsi="仿宋" w:eastAsia="仿宋" w:cs="仿宋"/>
          <w:b/>
          <w:bCs/>
          <w:color w:val="auto"/>
          <w:sz w:val="24"/>
          <w:highlight w:val="none"/>
          <w:lang w:eastAsia="zh-CN"/>
        </w:rPr>
        <w:t>招标</w:t>
      </w:r>
      <w:r>
        <w:rPr>
          <w:rFonts w:hint="eastAsia" w:ascii="仿宋" w:hAnsi="仿宋" w:eastAsia="仿宋" w:cs="仿宋"/>
          <w:b/>
          <w:bCs/>
          <w:color w:val="auto"/>
          <w:sz w:val="24"/>
          <w:highlight w:val="none"/>
        </w:rPr>
        <w:t>文件规定，</w:t>
      </w:r>
      <w:r>
        <w:rPr>
          <w:rFonts w:hint="eastAsia" w:ascii="仿宋" w:hAnsi="仿宋" w:eastAsia="仿宋" w:cs="仿宋"/>
          <w:b/>
          <w:bCs/>
          <w:color w:val="auto"/>
          <w:sz w:val="24"/>
          <w:highlight w:val="none"/>
          <w:lang w:val="zh-CN"/>
        </w:rPr>
        <w:t>成交</w:t>
      </w:r>
      <w:r>
        <w:rPr>
          <w:rFonts w:hint="eastAsia" w:ascii="仿宋" w:hAnsi="仿宋" w:eastAsia="仿宋" w:cs="仿宋"/>
          <w:b/>
          <w:bCs/>
          <w:color w:val="auto"/>
          <w:sz w:val="24"/>
          <w:highlight w:val="none"/>
          <w:lang w:eastAsia="zh-CN"/>
        </w:rPr>
        <w:t>供应商负责独山子区污水处理厂委托第三方检测机构监测排放污染物项目包含的全部内容并配合采购人完成与此服务相关的全部工作。</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 xml:space="preserve">8 </w:t>
      </w:r>
      <w:r>
        <w:rPr>
          <w:rFonts w:hint="eastAsia" w:ascii="仿宋" w:hAnsi="仿宋" w:eastAsia="仿宋" w:cs="仿宋"/>
          <w:color w:val="auto"/>
          <w:sz w:val="24"/>
          <w:highlight w:val="none"/>
          <w:lang w:val="zh-CN"/>
        </w:rPr>
        <w:t>凡提及的“天、日期、星期、月份和年份”系指公历日历的日历天、日期、星期、月份和年份。</w:t>
      </w:r>
      <w:r>
        <w:rPr>
          <w:rFonts w:hint="eastAsia" w:ascii="仿宋" w:hAnsi="仿宋" w:eastAsia="仿宋" w:cs="仿宋"/>
          <w:color w:val="auto"/>
          <w:sz w:val="24"/>
          <w:highlight w:val="none"/>
        </w:rPr>
        <w:t>3、</w:t>
      </w:r>
      <w:bookmarkEnd w:id="50"/>
      <w:bookmarkEnd w:id="51"/>
      <w:bookmarkEnd w:id="52"/>
      <w:bookmarkEnd w:id="53"/>
      <w:r>
        <w:rPr>
          <w:rFonts w:hint="eastAsia" w:ascii="仿宋" w:hAnsi="仿宋" w:eastAsia="仿宋" w:cs="仿宋"/>
          <w:color w:val="auto"/>
          <w:sz w:val="24"/>
          <w:highlight w:val="none"/>
        </w:rPr>
        <w:t>采购范围及服务期限</w:t>
      </w:r>
    </w:p>
    <w:p>
      <w:pPr>
        <w:spacing w:line="360" w:lineRule="auto"/>
        <w:ind w:firstLine="482" w:firstLineChars="200"/>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3.1采购范围</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lang w:val="en-US" w:eastAsia="zh-CN"/>
        </w:rPr>
        <w:t>针对独山子区污水处理厂委托第三方检测机构监测排放污染物项目包含的全部内容并配合采购人完成与此服务相关的全部工作。</w:t>
      </w:r>
    </w:p>
    <w:p>
      <w:pPr>
        <w:spacing w:line="360" w:lineRule="auto"/>
        <w:ind w:firstLine="482" w:firstLineChars="200"/>
        <w:rPr>
          <w:rFonts w:hint="eastAsia" w:ascii="仿宋" w:hAnsi="仿宋" w:eastAsia="仿宋" w:cs="仿宋"/>
          <w:b/>
          <w:bCs/>
          <w:color w:val="auto"/>
          <w:sz w:val="24"/>
          <w:szCs w:val="24"/>
          <w:highlight w:val="yellow"/>
        </w:rPr>
      </w:pPr>
      <w:r>
        <w:rPr>
          <w:rFonts w:hint="eastAsia" w:ascii="仿宋" w:hAnsi="仿宋" w:eastAsia="仿宋" w:cs="仿宋"/>
          <w:b/>
          <w:bCs/>
          <w:color w:val="auto"/>
          <w:sz w:val="24"/>
          <w:highlight w:val="none"/>
          <w:lang w:val="en-US" w:eastAsia="zh-CN"/>
        </w:rPr>
        <w:t>注：</w:t>
      </w:r>
      <w:r>
        <w:rPr>
          <w:rFonts w:hint="eastAsia" w:ascii="仿宋" w:hAnsi="仿宋" w:eastAsia="仿宋" w:cs="仿宋"/>
          <w:b/>
          <w:bCs/>
          <w:color w:val="auto"/>
          <w:sz w:val="24"/>
          <w:szCs w:val="24"/>
          <w:highlight w:val="none"/>
        </w:rPr>
        <w:t>若投标单位对部分污染物无检测资质，可自行委托具备资质的检测机构进行检测（须书面提交申请并经甲方同意后方可进行），但自行无法检测污染物项目不得超过4项。</w:t>
      </w:r>
    </w:p>
    <w:p>
      <w:pPr>
        <w:pStyle w:val="9"/>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4"/>
          <w:highlight w:val="none"/>
          <w:lang w:val="en-US" w:eastAsia="zh-CN" w:bidi="ar-SA"/>
        </w:rPr>
        <w:t>3.2</w:t>
      </w:r>
      <w:r>
        <w:rPr>
          <w:rFonts w:hint="eastAsia" w:ascii="仿宋" w:hAnsi="仿宋" w:eastAsia="仿宋" w:cs="仿宋"/>
          <w:b/>
          <w:bCs/>
          <w:color w:val="auto"/>
          <w:sz w:val="24"/>
          <w:szCs w:val="24"/>
          <w:highlight w:val="none"/>
          <w:lang w:val="en-US" w:eastAsia="zh-CN"/>
        </w:rPr>
        <w:t>服务期限</w:t>
      </w:r>
      <w:r>
        <w:rPr>
          <w:rFonts w:hint="eastAsia" w:ascii="仿宋" w:hAnsi="仿宋" w:eastAsia="仿宋" w:cs="仿宋"/>
          <w:b/>
          <w:bCs/>
          <w:color w:val="auto"/>
          <w:sz w:val="24"/>
          <w:highlight w:val="none"/>
        </w:rPr>
        <w:t>：自签订合同之日起为期三年，合同一年一签</w:t>
      </w:r>
      <w:r>
        <w:rPr>
          <w:rFonts w:hint="eastAsia" w:ascii="仿宋" w:hAnsi="仿宋" w:eastAsia="仿宋" w:cs="仿宋"/>
          <w:b/>
          <w:bCs/>
          <w:color w:val="auto"/>
          <w:sz w:val="24"/>
          <w:highlight w:val="none"/>
          <w:lang w:val="en-US" w:eastAsia="zh-CN"/>
        </w:rPr>
        <w:t>。</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、合格供应商资格要求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4.1详见第一章“竞争性谈判采购公告”中的供应商资格要求。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4.2采购有关规定</w:t>
      </w:r>
    </w:p>
    <w:p>
      <w:pPr>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4.2.1供应商负责人为同一人或者存在直接控股、管理关系的不同供应商，不得参加同一合同项下的政府采购活动。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4.2.2为采购项目提供整体设计、规范编制或者项目管理、监理、检测等服务的供应商，不得再参加该采购项目的其他采购活动。</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5、回避。政府采购活动中，采购人员及相关人员与供应商有下列利害关系之一的，应当回避：</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5.1参加采购活动前3年内与供应商存在劳动关系；</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5.2参加采购活动前3年内担任供应商的董事、监事；</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5.3参加采购活动前3年内是供应商的控股股东或者实际控制人；</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5.4与供应商的法定代表人或者负责人有夫妻、直系血亲、三代以内旁系血亲或者近姻亲关系；</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5.5与供应商有其他可能影响政府采购活动公平、公正进行的关系。</w:t>
      </w:r>
    </w:p>
    <w:p>
      <w:pPr>
        <w:pStyle w:val="32"/>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 w:hAnsi="仿宋" w:eastAsia="仿宋" w:cs="仿宋"/>
          <w:color w:val="auto"/>
          <w:kern w:val="2"/>
          <w:sz w:val="24"/>
          <w:szCs w:val="24"/>
          <w:highlight w:val="none"/>
          <w:lang w:eastAsia="zh-CN"/>
        </w:rPr>
        <w:t>谈判</w:t>
      </w:r>
      <w:r>
        <w:rPr>
          <w:rFonts w:hint="eastAsia" w:ascii="仿宋" w:hAnsi="仿宋" w:eastAsia="仿宋" w:cs="仿宋"/>
          <w:color w:val="auto"/>
          <w:kern w:val="2"/>
          <w:sz w:val="24"/>
          <w:szCs w:val="24"/>
          <w:highlight w:val="none"/>
        </w:rPr>
        <w:t>小组成员。</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0"/>
        <w:spacing w:line="360" w:lineRule="auto"/>
        <w:ind w:firstLine="480" w:firstLineChars="200"/>
        <w:rPr>
          <w:rFonts w:hint="eastAsia" w:ascii="仿宋" w:hAnsi="仿宋" w:eastAsia="仿宋" w:cs="仿宋"/>
          <w:color w:val="auto"/>
          <w:sz w:val="24"/>
          <w:highlight w:val="none"/>
        </w:rPr>
      </w:pPr>
      <w:bookmarkStart w:id="54" w:name="_Toc233274816"/>
      <w:bookmarkStart w:id="55" w:name="_Toc243906316"/>
      <w:bookmarkStart w:id="56" w:name="_Toc245897276"/>
      <w:bookmarkStart w:id="57" w:name="_Toc243907576"/>
      <w:r>
        <w:rPr>
          <w:rFonts w:hint="eastAsia" w:ascii="仿宋" w:hAnsi="仿宋" w:eastAsia="仿宋" w:cs="仿宋"/>
          <w:color w:val="auto"/>
          <w:sz w:val="24"/>
          <w:highlight w:val="none"/>
        </w:rPr>
        <w:t>6、</w:t>
      </w:r>
      <w:r>
        <w:rPr>
          <w:rFonts w:hint="eastAsia" w:ascii="仿宋" w:hAnsi="仿宋" w:eastAsia="仿宋" w:cs="仿宋"/>
          <w:b/>
          <w:bCs/>
          <w:color w:val="auto"/>
          <w:sz w:val="24"/>
          <w:highlight w:val="none"/>
        </w:rPr>
        <w:t>实地考察和费用</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6.1实地考察</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采购人不统一组织勘察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和实施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有关的必要资料及信息。实地考察所发生的任何费用均由供应商自理。</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6.2参与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费用</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6.2.1供应商应承担所有与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准备和</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有关的全部费用，不论</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结果如何，采购人和采购代理机构无义务和责任承担供应商所发生的一切费用。</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6.2.2供应商在</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准备、实地考察和</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的全过程中，如果发生人身伤亡、财物或其它任何损失，不论何种原因所造成，均由供应商自行承担全部责任和损失。</w:t>
      </w:r>
    </w:p>
    <w:p>
      <w:pPr>
        <w:pStyle w:val="1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、法律适用</w:t>
      </w:r>
      <w:bookmarkEnd w:id="54"/>
      <w:bookmarkEnd w:id="55"/>
      <w:bookmarkEnd w:id="56"/>
      <w:bookmarkEnd w:id="57"/>
    </w:p>
    <w:p>
      <w:pPr>
        <w:pStyle w:val="1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.1本次</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rPr>
        <w:t>活动及由本次</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rPr>
        <w:t>产生的合同受中国法律制约和保护。</w:t>
      </w:r>
    </w:p>
    <w:p>
      <w:pPr>
        <w:pStyle w:val="10"/>
        <w:spacing w:line="360" w:lineRule="auto"/>
        <w:ind w:firstLine="480" w:firstLineChars="200"/>
        <w:rPr>
          <w:rFonts w:hint="eastAsia" w:ascii="仿宋" w:hAnsi="仿宋" w:eastAsia="仿宋" w:cs="仿宋"/>
          <w:color w:val="auto"/>
          <w:sz w:val="24"/>
          <w:highlight w:val="none"/>
          <w:lang w:val="zh-CN"/>
        </w:rPr>
      </w:pPr>
      <w:bookmarkStart w:id="58" w:name="_Toc243907577"/>
      <w:bookmarkStart w:id="59" w:name="_Toc233274817"/>
      <w:bookmarkStart w:id="60" w:name="_Toc245897277"/>
      <w:bookmarkStart w:id="61" w:name="_Toc243906317"/>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、竞争性谈判文件的约束力</w:t>
      </w:r>
      <w:bookmarkEnd w:id="58"/>
      <w:bookmarkEnd w:id="59"/>
      <w:bookmarkEnd w:id="60"/>
      <w:bookmarkEnd w:id="61"/>
    </w:p>
    <w:p>
      <w:pPr>
        <w:pStyle w:val="1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.1供应商若成交，即被认为接受了本竞争性谈判文件中的所有条件和规定。是采购人与成交供应商签订合同的依据且是合同的组成部分。</w:t>
      </w:r>
    </w:p>
    <w:p>
      <w:pPr>
        <w:pStyle w:val="10"/>
        <w:spacing w:line="360" w:lineRule="auto"/>
        <w:jc w:val="center"/>
        <w:rPr>
          <w:rFonts w:hint="eastAsia" w:ascii="仿宋" w:hAnsi="仿宋" w:eastAsia="仿宋" w:cs="仿宋"/>
          <w:b/>
          <w:bCs/>
          <w:color w:val="auto"/>
          <w:sz w:val="28"/>
          <w:szCs w:val="28"/>
          <w:highlight w:val="none"/>
        </w:rPr>
      </w:pPr>
    </w:p>
    <w:p>
      <w:pPr>
        <w:pStyle w:val="1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eastAsia="zh-CN"/>
        </w:rPr>
        <w:t>竞争性谈判文件</w:t>
      </w:r>
    </w:p>
    <w:p>
      <w:pPr>
        <w:pStyle w:val="10"/>
        <w:spacing w:line="360" w:lineRule="auto"/>
        <w:ind w:firstLine="480" w:firstLineChars="200"/>
        <w:rPr>
          <w:rFonts w:hint="eastAsia" w:ascii="仿宋" w:hAnsi="仿宋" w:eastAsia="仿宋" w:cs="仿宋"/>
          <w:color w:val="auto"/>
          <w:sz w:val="24"/>
          <w:highlight w:val="none"/>
        </w:rPr>
      </w:pPr>
      <w:bookmarkStart w:id="62" w:name="_Toc233274819"/>
      <w:bookmarkStart w:id="63" w:name="_Toc243907579"/>
      <w:bookmarkStart w:id="64" w:name="_Toc246216188"/>
      <w:bookmarkStart w:id="65" w:name="_Toc243906319"/>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的组成</w:t>
      </w:r>
      <w:bookmarkEnd w:id="62"/>
      <w:bookmarkEnd w:id="63"/>
      <w:bookmarkEnd w:id="64"/>
      <w:bookmarkEnd w:id="65"/>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 本</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是对</w:t>
      </w:r>
      <w:r>
        <w:rPr>
          <w:rFonts w:hint="eastAsia" w:ascii="仿宋" w:hAnsi="仿宋" w:eastAsia="仿宋" w:cs="仿宋"/>
          <w:color w:val="0000FF"/>
          <w:sz w:val="24"/>
          <w:highlight w:val="none"/>
          <w:lang w:eastAsia="zh-CN"/>
        </w:rPr>
        <w:t>独山子区污水处理厂委托第三方检测机构监测排放污染物项目(二次)</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程序、合同条款进行说明。</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包括下列内容：</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w:t>
      </w:r>
      <w:r>
        <w:rPr>
          <w:rFonts w:hint="eastAsia" w:ascii="仿宋" w:hAnsi="仿宋" w:eastAsia="仿宋" w:cs="仿宋"/>
          <w:color w:val="auto"/>
          <w:sz w:val="24"/>
          <w:highlight w:val="none"/>
          <w:lang w:val="en-US" w:eastAsia="zh-CN"/>
        </w:rPr>
        <w:t>竞争性谈判</w:t>
      </w:r>
      <w:r>
        <w:rPr>
          <w:rFonts w:hint="eastAsia" w:ascii="仿宋" w:hAnsi="仿宋" w:eastAsia="仿宋" w:cs="仿宋"/>
          <w:color w:val="auto"/>
          <w:sz w:val="24"/>
          <w:highlight w:val="none"/>
        </w:rPr>
        <w:t>公告</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第二章、供应商须知</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第三章、项目采购需求</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第四章、合同协议书</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标准</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9.2 </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以中文编印，以中文文本为准。</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 除非有特殊要求，</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不单独提供采购项目使用地的自然环境、气候条件、劳动力及公用设施等情况，供应商被视为熟悉上述条件或若</w:t>
      </w:r>
      <w:r>
        <w:rPr>
          <w:rFonts w:hint="eastAsia" w:ascii="仿宋" w:hAnsi="仿宋" w:eastAsia="仿宋" w:cs="仿宋"/>
          <w:color w:val="auto"/>
          <w:sz w:val="24"/>
          <w:highlight w:val="none"/>
          <w:lang w:val="zh-CN"/>
        </w:rPr>
        <w:t>成交</w:t>
      </w:r>
      <w:r>
        <w:rPr>
          <w:rFonts w:hint="eastAsia" w:ascii="仿宋" w:hAnsi="仿宋" w:eastAsia="仿宋" w:cs="仿宋"/>
          <w:color w:val="auto"/>
          <w:sz w:val="24"/>
          <w:highlight w:val="none"/>
        </w:rPr>
        <w:t>履行合同有关的一切情况。</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9.4采购人向供应商提供的有关数据和资料，是采购人现有的能被供应商利用的资料，供应商对此做出的推论、理解和结论自行负责。</w:t>
      </w:r>
    </w:p>
    <w:p>
      <w:pPr>
        <w:pStyle w:val="10"/>
        <w:spacing w:line="360" w:lineRule="auto"/>
        <w:ind w:firstLine="480" w:firstLineChars="200"/>
        <w:rPr>
          <w:rFonts w:hint="eastAsia" w:ascii="仿宋" w:hAnsi="仿宋" w:eastAsia="仿宋" w:cs="仿宋"/>
          <w:color w:val="auto"/>
          <w:sz w:val="24"/>
          <w:highlight w:val="none"/>
        </w:rPr>
      </w:pPr>
      <w:bookmarkStart w:id="66" w:name="_Toc243907580"/>
      <w:bookmarkStart w:id="67" w:name="_Toc243906320"/>
      <w:bookmarkStart w:id="68" w:name="_Toc245897280"/>
      <w:bookmarkStart w:id="69" w:name="_Toc233274820"/>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的澄清</w:t>
      </w:r>
      <w:bookmarkEnd w:id="66"/>
      <w:bookmarkEnd w:id="67"/>
      <w:bookmarkEnd w:id="68"/>
      <w:bookmarkEnd w:id="69"/>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供应商对</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如有疑问，可要求澄清，应按</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“供应商须知前附表第6条”以书面形式（必须加盖供应商公章）送达或传真至采购代理机构（同时将疑问电子版发至</w:t>
      </w:r>
      <w:r>
        <w:rPr>
          <w:rFonts w:hint="eastAsia" w:ascii="仿宋" w:hAnsi="仿宋" w:eastAsia="仿宋" w:cs="仿宋"/>
          <w:color w:val="auto"/>
          <w:sz w:val="24"/>
          <w:highlight w:val="none"/>
          <w:lang w:val="en-US" w:eastAsia="zh-CN"/>
        </w:rPr>
        <w:t>516600376@qq.com</w:t>
      </w:r>
      <w:r>
        <w:rPr>
          <w:rFonts w:hint="eastAsia" w:ascii="仿宋" w:hAnsi="仿宋" w:eastAsia="仿宋" w:cs="仿宋"/>
          <w:color w:val="auto"/>
          <w:sz w:val="24"/>
          <w:highlight w:val="none"/>
        </w:rPr>
        <w:t>）。采购人和采购代理机构将视情况予以答复，并发至</w:t>
      </w:r>
      <w:r>
        <w:rPr>
          <w:rFonts w:hint="eastAsia" w:ascii="仿宋" w:hAnsi="仿宋" w:eastAsia="仿宋" w:cs="仿宋"/>
          <w:color w:val="auto"/>
          <w:sz w:val="24"/>
          <w:highlight w:val="none"/>
          <w:lang w:val="en-US" w:eastAsia="zh-CN"/>
        </w:rPr>
        <w:t>新疆政府采购网</w:t>
      </w:r>
      <w:r>
        <w:rPr>
          <w:rFonts w:hint="eastAsia" w:ascii="仿宋" w:hAnsi="仿宋" w:eastAsia="仿宋" w:cs="仿宋"/>
          <w:color w:val="auto"/>
          <w:sz w:val="24"/>
          <w:highlight w:val="none"/>
          <w:lang w:eastAsia="zh-CN"/>
        </w:rPr>
        <w:t>各</w:t>
      </w:r>
      <w:r>
        <w:rPr>
          <w:rFonts w:hint="eastAsia" w:ascii="仿宋" w:hAnsi="仿宋" w:eastAsia="仿宋" w:cs="仿宋"/>
          <w:color w:val="auto"/>
          <w:sz w:val="24"/>
          <w:highlight w:val="none"/>
        </w:rPr>
        <w:t>位供应商</w:t>
      </w:r>
      <w:r>
        <w:rPr>
          <w:rFonts w:hint="eastAsia" w:ascii="仿宋" w:hAnsi="仿宋" w:eastAsia="仿宋" w:cs="仿宋"/>
          <w:color w:val="auto"/>
          <w:sz w:val="24"/>
          <w:highlight w:val="none"/>
          <w:lang w:val="en-US" w:eastAsia="zh-CN"/>
        </w:rPr>
        <w:t>自行登录网站查阅。</w:t>
      </w:r>
      <w:r>
        <w:rPr>
          <w:rFonts w:hint="eastAsia" w:ascii="仿宋" w:hAnsi="仿宋" w:eastAsia="仿宋" w:cs="仿宋"/>
          <w:color w:val="auto"/>
          <w:sz w:val="24"/>
          <w:highlight w:val="none"/>
        </w:rPr>
        <w:t>答复中包括所提问题，但不包括问题的来源。</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 如果上述答复涉及对</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的修改或补充，则它将被视为</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的组成部分。凡原先所发</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中的内容与答复中的内容不一致之处，以最后</w:t>
      </w:r>
      <w:r>
        <w:rPr>
          <w:rFonts w:hint="eastAsia" w:ascii="仿宋" w:hAnsi="仿宋" w:eastAsia="仿宋" w:cs="仿宋"/>
          <w:color w:val="auto"/>
          <w:sz w:val="24"/>
          <w:highlight w:val="none"/>
          <w:lang w:eastAsia="zh-CN"/>
        </w:rPr>
        <w:t>发布</w:t>
      </w:r>
      <w:r>
        <w:rPr>
          <w:rFonts w:hint="eastAsia" w:ascii="仿宋" w:hAnsi="仿宋" w:eastAsia="仿宋" w:cs="仿宋"/>
          <w:color w:val="auto"/>
          <w:sz w:val="24"/>
          <w:highlight w:val="none"/>
        </w:rPr>
        <w:t>答复为准。任何电话或口头咨询和答复的意思解释均不具有法律约束力。</w:t>
      </w:r>
    </w:p>
    <w:p>
      <w:pPr>
        <w:pStyle w:val="10"/>
        <w:spacing w:line="360" w:lineRule="auto"/>
        <w:ind w:firstLine="480" w:firstLineChars="200"/>
        <w:rPr>
          <w:rFonts w:hint="default" w:ascii="仿宋" w:hAnsi="仿宋" w:eastAsia="仿宋" w:cs="仿宋"/>
          <w:color w:val="auto"/>
          <w:sz w:val="24"/>
          <w:highlight w:val="none"/>
          <w:lang w:val="en-US" w:eastAsia="zh-CN"/>
        </w:rPr>
      </w:pPr>
      <w:bookmarkStart w:id="70" w:name="_Toc243907581"/>
      <w:bookmarkStart w:id="71" w:name="_Toc245897281"/>
      <w:bookmarkStart w:id="72" w:name="_Toc243906321"/>
      <w:bookmarkStart w:id="73" w:name="_Toc233274821"/>
      <w:r>
        <w:rPr>
          <w:rFonts w:hint="eastAsia" w:ascii="仿宋" w:hAnsi="仿宋" w:eastAsia="仿宋" w:cs="仿宋"/>
          <w:color w:val="auto"/>
          <w:sz w:val="24"/>
          <w:highlight w:val="none"/>
          <w:lang w:val="en-US" w:eastAsia="zh-CN"/>
        </w:rPr>
        <w:t>10.3各供应商随时关注新疆政府采购网发布的更正、变更通知等。</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的修改和补充</w:t>
      </w:r>
      <w:bookmarkEnd w:id="70"/>
      <w:bookmarkEnd w:id="71"/>
      <w:bookmarkEnd w:id="72"/>
      <w:bookmarkEnd w:id="73"/>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11.1在递交响应文件截止日期3个工作日前的任何时候，采购人可主动地或依据供应商要求澄清的疑问而修改、补充竞争性谈判文件，采购代理机构将对修改和补充的内容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采购代理机构将在新疆政府采购网政采云平台（www.zcygov.cn）发布，补充文件将作为</w:t>
      </w:r>
      <w:r>
        <w:rPr>
          <w:rFonts w:hint="eastAsia" w:ascii="仿宋" w:hAnsi="仿宋" w:eastAsia="仿宋" w:cs="仿宋"/>
          <w:color w:val="auto"/>
          <w:sz w:val="24"/>
          <w:lang w:eastAsia="zh-CN"/>
        </w:rPr>
        <w:t>谈判</w:t>
      </w:r>
      <w:r>
        <w:rPr>
          <w:rFonts w:hint="eastAsia" w:ascii="仿宋" w:hAnsi="仿宋" w:eastAsia="仿宋" w:cs="仿宋"/>
          <w:color w:val="auto"/>
          <w:sz w:val="24"/>
        </w:rPr>
        <w:t>文件的组成部分，对所有供应商具有约束力</w:t>
      </w:r>
      <w:r>
        <w:rPr>
          <w:rFonts w:hint="eastAsia" w:ascii="仿宋" w:hAnsi="仿宋" w:eastAsia="仿宋" w:cs="仿宋"/>
          <w:color w:val="auto"/>
          <w:sz w:val="24"/>
          <w:highlight w:val="none"/>
        </w:rPr>
        <w:t xml:space="preserve">。 </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.2为使供应商在准备响应文件时有合理的时间考虑竞争性谈判文件的修改和/或补充，采购代理机构可延长递交响应文件截止时间和开启时间，但至少应当在规定的递交响应文件的截止时间 3 个工作日前，以书面形式通知所有获取竞争性谈判文件的每位供应商。 </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.3供应商在每次收到采购代理机构发至的书面文件后，应在收到后24小时内以书面形式并加盖供应商公章予以确认。</w:t>
      </w:r>
    </w:p>
    <w:p>
      <w:pPr>
        <w:pStyle w:val="1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 供应商如未提交疑问（疑问范围包含采购文件、采购文件附件、答疑、补遗、通知及其他资料等）则视为供应商完全接受、认可并理解采购文件、采购文件附件、答疑、补遗、通知及其他资料等的所有条款及内容的各项约定、要求及条件，项目</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后，如对采购文件、采购文件附件、答疑、补遗、通知及其他资料等提出质疑、异议、歧义、解释的，采购人及采购代理机构均不予接受、回复、答复。</w:t>
      </w:r>
    </w:p>
    <w:p>
      <w:pPr>
        <w:pStyle w:val="10"/>
        <w:numPr>
          <w:ilvl w:val="0"/>
          <w:numId w:val="0"/>
        </w:numPr>
        <w:spacing w:line="360" w:lineRule="auto"/>
        <w:jc w:val="both"/>
        <w:rPr>
          <w:rFonts w:hint="eastAsia" w:ascii="仿宋" w:hAnsi="仿宋" w:eastAsia="仿宋" w:cs="仿宋"/>
          <w:b/>
          <w:bCs/>
          <w:color w:val="auto"/>
          <w:sz w:val="28"/>
          <w:szCs w:val="28"/>
          <w:highlight w:val="none"/>
        </w:rPr>
      </w:pPr>
    </w:p>
    <w:p>
      <w:pPr>
        <w:pStyle w:val="10"/>
        <w:numPr>
          <w:ilvl w:val="0"/>
          <w:numId w:val="6"/>
        </w:num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响应文件</w:t>
      </w:r>
      <w:r>
        <w:rPr>
          <w:rFonts w:hint="eastAsia" w:ascii="仿宋" w:hAnsi="仿宋" w:eastAsia="仿宋" w:cs="仿宋"/>
          <w:b/>
          <w:bCs/>
          <w:color w:val="auto"/>
          <w:sz w:val="28"/>
          <w:szCs w:val="28"/>
          <w:highlight w:val="none"/>
        </w:rPr>
        <w:t>的编写</w:t>
      </w:r>
    </w:p>
    <w:p>
      <w:pPr>
        <w:pStyle w:val="10"/>
        <w:spacing w:line="360" w:lineRule="auto"/>
        <w:ind w:firstLine="480" w:firstLineChars="200"/>
        <w:outlineLvl w:val="1"/>
        <w:rPr>
          <w:rFonts w:hint="eastAsia" w:ascii="仿宋" w:hAnsi="仿宋" w:eastAsia="仿宋" w:cs="仿宋"/>
          <w:color w:val="auto"/>
          <w:sz w:val="24"/>
          <w:szCs w:val="24"/>
          <w:highlight w:val="none"/>
        </w:rPr>
      </w:pPr>
      <w:bookmarkStart w:id="74" w:name="_Toc233274823"/>
      <w:bookmarkStart w:id="75" w:name="_Toc243907583"/>
      <w:bookmarkStart w:id="76" w:name="_Toc245897283"/>
      <w:bookmarkStart w:id="77" w:name="_Toc243906323"/>
      <w:bookmarkStart w:id="78" w:name="_Toc24796"/>
      <w:r>
        <w:rPr>
          <w:rFonts w:hint="eastAsia" w:ascii="仿宋" w:hAnsi="仿宋" w:eastAsia="仿宋" w:cs="仿宋"/>
          <w:color w:val="auto"/>
          <w:sz w:val="24"/>
          <w:szCs w:val="24"/>
          <w:highlight w:val="none"/>
        </w:rPr>
        <w:t>1</w:t>
      </w:r>
      <w:bookmarkEnd w:id="74"/>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的编写</w:t>
      </w:r>
      <w:bookmarkEnd w:id="75"/>
      <w:bookmarkEnd w:id="76"/>
      <w:bookmarkEnd w:id="77"/>
    </w:p>
    <w:p>
      <w:pPr>
        <w:spacing w:line="360" w:lineRule="auto"/>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12.1供应商必须详细阅读</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的章、节、条款、格式等所有内容，按</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的要求提交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，并保证所提供的全部文件及相关资料的真实性，以使其对</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做出实质性响应。供应商应仔细阅读并充分理解</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、技术规范及标准、项目采购需求、合同条款后</w:t>
      </w:r>
      <w:r>
        <w:rPr>
          <w:rFonts w:hint="eastAsia" w:ascii="仿宋" w:hAnsi="仿宋" w:eastAsia="仿宋" w:cs="仿宋"/>
          <w:b/>
          <w:bCs/>
          <w:color w:val="auto"/>
          <w:sz w:val="24"/>
          <w:highlight w:val="none"/>
        </w:rPr>
        <w:t>编制</w:t>
      </w:r>
      <w:r>
        <w:rPr>
          <w:rFonts w:hint="eastAsia" w:ascii="仿宋" w:hAnsi="仿宋" w:eastAsia="仿宋" w:cs="仿宋"/>
          <w:b/>
          <w:bCs/>
          <w:color w:val="auto"/>
          <w:sz w:val="24"/>
          <w:highlight w:val="none"/>
          <w:lang w:eastAsia="zh-CN"/>
        </w:rPr>
        <w:t>响应文件</w:t>
      </w:r>
      <w:r>
        <w:rPr>
          <w:rFonts w:hint="eastAsia" w:ascii="仿宋" w:hAnsi="仿宋" w:eastAsia="仿宋" w:cs="仿宋"/>
          <w:color w:val="auto"/>
          <w:sz w:val="24"/>
          <w:highlight w:val="none"/>
        </w:rPr>
        <w:t>。</w:t>
      </w:r>
    </w:p>
    <w:p>
      <w:pPr>
        <w:pStyle w:val="10"/>
        <w:spacing w:line="360" w:lineRule="auto"/>
        <w:ind w:firstLine="480" w:firstLineChars="200"/>
        <w:outlineLvl w:val="1"/>
        <w:rPr>
          <w:rFonts w:hint="eastAsia" w:ascii="仿宋" w:hAnsi="仿宋" w:eastAsia="仿宋" w:cs="仿宋"/>
          <w:color w:val="auto"/>
          <w:sz w:val="24"/>
          <w:szCs w:val="24"/>
          <w:highlight w:val="none"/>
        </w:rPr>
      </w:pPr>
      <w:bookmarkStart w:id="79" w:name="_Toc245897284"/>
      <w:bookmarkStart w:id="80" w:name="_Toc243907584"/>
      <w:bookmarkStart w:id="81" w:name="_Toc233274824"/>
      <w:bookmarkStart w:id="82" w:name="_Toc243906324"/>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的语言及计量单位</w:t>
      </w:r>
      <w:bookmarkEnd w:id="79"/>
      <w:bookmarkEnd w:id="80"/>
      <w:bookmarkEnd w:id="81"/>
      <w:bookmarkEnd w:id="82"/>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及供应商和采购人及采购代理机构就有关</w:t>
      </w:r>
      <w:r>
        <w:rPr>
          <w:rFonts w:hint="eastAsia" w:ascii="仿宋" w:hAnsi="仿宋" w:eastAsia="仿宋" w:cs="仿宋"/>
          <w:color w:val="auto"/>
          <w:sz w:val="24"/>
          <w:szCs w:val="24"/>
          <w:highlight w:val="none"/>
          <w:lang w:eastAsia="zh-CN"/>
        </w:rPr>
        <w:t>发布</w:t>
      </w:r>
      <w:r>
        <w:rPr>
          <w:rFonts w:hint="eastAsia" w:ascii="仿宋" w:hAnsi="仿宋" w:eastAsia="仿宋" w:cs="仿宋"/>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除在</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14、知识产权</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采购人享有本项目实施过程中产生的知识成果及知识产权。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14.3供应商如欲在项目实施过程中采用自有知识成果，需在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中声明，并提供相关知识产权证明文件。使用该知识成果后，供应商需承诺提供无限期技术支持，采购人享有永久使用权。</w:t>
      </w:r>
    </w:p>
    <w:p>
      <w:pPr>
        <w:spacing w:line="360" w:lineRule="auto"/>
        <w:ind w:firstLine="460" w:firstLineChars="192"/>
        <w:rPr>
          <w:rFonts w:hint="eastAsia" w:ascii="仿宋" w:hAnsi="仿宋" w:eastAsia="仿宋" w:cs="仿宋"/>
          <w:color w:val="auto"/>
          <w:sz w:val="24"/>
          <w:highlight w:val="none"/>
        </w:rPr>
      </w:pPr>
      <w:r>
        <w:rPr>
          <w:rFonts w:hint="eastAsia" w:ascii="仿宋" w:hAnsi="仿宋" w:eastAsia="仿宋" w:cs="仿宋"/>
          <w:color w:val="auto"/>
          <w:sz w:val="24"/>
          <w:highlight w:val="none"/>
        </w:rPr>
        <w:t>14.4 供应商如采用其所不拥有的知识产权，则在其</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 xml:space="preserve">中必须包括合法获取该知识产权的相关费用。 </w:t>
      </w:r>
    </w:p>
    <w:p>
      <w:pPr>
        <w:pStyle w:val="10"/>
        <w:spacing w:line="360" w:lineRule="auto"/>
        <w:ind w:firstLine="480" w:firstLineChars="200"/>
        <w:outlineLvl w:val="1"/>
        <w:rPr>
          <w:rFonts w:hint="eastAsia" w:ascii="仿宋" w:hAnsi="仿宋" w:eastAsia="仿宋" w:cs="仿宋"/>
          <w:color w:val="auto"/>
          <w:sz w:val="24"/>
          <w:szCs w:val="24"/>
          <w:highlight w:val="none"/>
        </w:rPr>
      </w:pPr>
      <w:bookmarkStart w:id="83" w:name="_Toc243907585"/>
      <w:bookmarkStart w:id="84" w:name="_Toc233274825"/>
      <w:bookmarkStart w:id="85" w:name="_Toc245897285"/>
      <w:bookmarkStart w:id="86" w:name="_Toc243906325"/>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w:t>
      </w:r>
      <w:bookmarkEnd w:id="83"/>
      <w:bookmarkEnd w:id="84"/>
      <w:bookmarkEnd w:id="85"/>
      <w:bookmarkEnd w:id="86"/>
    </w:p>
    <w:p>
      <w:pPr>
        <w:pStyle w:val="10"/>
        <w:spacing w:line="360" w:lineRule="auto"/>
        <w:ind w:firstLine="482" w:firstLineChars="200"/>
        <w:outlineLvl w:val="1"/>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采用电子文档，</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应编制完整的页码、目录（编制上传</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与相应模块对应）</w:t>
      </w:r>
      <w:r>
        <w:rPr>
          <w:rFonts w:hint="eastAsia" w:ascii="仿宋" w:hAnsi="仿宋" w:eastAsia="仿宋" w:cs="仿宋"/>
          <w:b/>
          <w:bCs/>
          <w:color w:val="auto"/>
          <w:sz w:val="24"/>
          <w:highlight w:val="none"/>
        </w:rPr>
        <w:t>。</w:t>
      </w:r>
    </w:p>
    <w:p>
      <w:pPr>
        <w:pStyle w:val="10"/>
        <w:spacing w:line="360" w:lineRule="auto"/>
        <w:ind w:firstLine="482" w:firstLineChars="20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需编制目录及页码。</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包括但不限于以下内容，各供应商应对照“第三章、</w:t>
      </w:r>
      <w:r>
        <w:rPr>
          <w:rFonts w:hint="eastAsia" w:ascii="仿宋" w:hAnsi="仿宋" w:eastAsia="仿宋" w:cs="仿宋"/>
          <w:b/>
          <w:bCs/>
          <w:sz w:val="24"/>
          <w:lang w:eastAsia="zh-CN"/>
        </w:rPr>
        <w:t>项目采购需求及合同条款</w:t>
      </w:r>
      <w:r>
        <w:rPr>
          <w:rFonts w:hint="eastAsia" w:ascii="仿宋" w:hAnsi="仿宋" w:eastAsia="仿宋" w:cs="仿宋"/>
          <w:b/>
          <w:color w:val="auto"/>
          <w:sz w:val="24"/>
          <w:szCs w:val="24"/>
          <w:highlight w:val="none"/>
        </w:rPr>
        <w:t>”及“第</w:t>
      </w: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章、评标标准（综合评</w:t>
      </w:r>
      <w:r>
        <w:rPr>
          <w:rFonts w:hint="eastAsia" w:ascii="仿宋" w:hAnsi="仿宋" w:eastAsia="仿宋" w:cs="仿宋"/>
          <w:b/>
          <w:color w:val="auto"/>
          <w:sz w:val="24"/>
          <w:szCs w:val="24"/>
          <w:highlight w:val="none"/>
          <w:lang w:val="en-US" w:eastAsia="zh-CN"/>
        </w:rPr>
        <w:t>分</w:t>
      </w:r>
      <w:r>
        <w:rPr>
          <w:rFonts w:hint="eastAsia" w:ascii="仿宋" w:hAnsi="仿宋" w:eastAsia="仿宋" w:cs="仿宋"/>
          <w:b/>
          <w:color w:val="auto"/>
          <w:sz w:val="24"/>
          <w:szCs w:val="24"/>
          <w:highlight w:val="none"/>
        </w:rPr>
        <w:t>法）”提供相关的证明资料：</w:t>
      </w:r>
    </w:p>
    <w:p>
      <w:pPr>
        <w:numPr>
          <w:ilvl w:val="0"/>
          <w:numId w:val="7"/>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封面；</w:t>
      </w:r>
    </w:p>
    <w:p>
      <w:pPr>
        <w:numPr>
          <w:ilvl w:val="0"/>
          <w:numId w:val="7"/>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函（详见格式1）；</w:t>
      </w:r>
    </w:p>
    <w:p>
      <w:pPr>
        <w:numPr>
          <w:ilvl w:val="0"/>
          <w:numId w:val="7"/>
        </w:num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商务报价一览表（详见格式</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分项报价明细表（详见格式</w:t>
      </w:r>
      <w:r>
        <w:rPr>
          <w:rFonts w:hint="eastAsia" w:ascii="仿宋" w:hAnsi="仿宋" w:eastAsia="仿宋" w:cs="仿宋"/>
          <w:b/>
          <w:bCs/>
          <w:color w:val="auto"/>
          <w:sz w:val="24"/>
          <w:highlight w:val="none"/>
          <w:lang w:val="en-US" w:eastAsia="zh-CN"/>
        </w:rPr>
        <w:t>2-1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法定代表人资格证明书（详见格式</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法定代表人授权书（详见格式</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供应商资格声明（详见格式</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中小企业声明函（详见格式</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诚信声明（详见格式</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有效期内的企业营业执照（复印件）</w:t>
      </w:r>
      <w:r>
        <w:rPr>
          <w:rStyle w:val="22"/>
          <w:rFonts w:hint="eastAsia" w:ascii="仿宋" w:hAnsi="仿宋" w:eastAsia="仿宋" w:cs="仿宋"/>
          <w:b w:val="0"/>
          <w:bCs/>
          <w:color w:val="auto"/>
          <w:sz w:val="24"/>
          <w:highlight w:val="none"/>
        </w:rPr>
        <w:t>；</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主要人员汇总表（格式详见附表</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近三年（自20</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月1日至今）同类项目业绩表（详见格式</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服务响应/偏离表</w:t>
      </w:r>
      <w:r>
        <w:rPr>
          <w:rFonts w:hint="eastAsia" w:ascii="仿宋" w:hAnsi="仿宋" w:eastAsia="仿宋" w:cs="仿宋"/>
          <w:color w:val="auto"/>
          <w:sz w:val="24"/>
          <w:highlight w:val="none"/>
          <w:lang w:eastAsia="zh-CN"/>
        </w:rPr>
        <w:t>（详见格式</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提供上一年度的财务报表/财务报告（包括资产负债表、损益表、利润表、现金流量表及财务状况说明书，新成立的公司提供情况说明）；</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sz w:val="24"/>
        </w:rPr>
        <w:t>近三个月依法缴纳税收和社会保障资金的良好记录的证明材料</w:t>
      </w:r>
      <w:r>
        <w:rPr>
          <w:rFonts w:hint="eastAsia" w:ascii="仿宋" w:hAnsi="仿宋" w:eastAsia="仿宋" w:cs="仿宋"/>
          <w:color w:val="auto"/>
          <w:sz w:val="24"/>
          <w:highlight w:val="none"/>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质量保证及售后服务承诺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其它与本项目有关的能证明企业实力的各项证明资料；</w:t>
      </w:r>
    </w:p>
    <w:p>
      <w:pPr>
        <w:numPr>
          <w:ilvl w:val="0"/>
          <w:numId w:val="7"/>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资格性/符合性自查表（详见格式</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w:t>
      </w:r>
    </w:p>
    <w:p>
      <w:pPr>
        <w:numPr>
          <w:ilvl w:val="0"/>
          <w:numId w:val="7"/>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文件要求提供的其它材料以及供应商认为需要提交的材料。</w:t>
      </w:r>
    </w:p>
    <w:p>
      <w:pPr>
        <w:pStyle w:val="1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特别说明：①上述各种证件、证书复印件须加盖供应商公章。如未按要求加盖供应商公章者，可能导致其</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无效。</w:t>
      </w:r>
    </w:p>
    <w:p>
      <w:pPr>
        <w:pStyle w:val="1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②供应商应如实提供资料，并保证真实可靠，不得弄虚作假。如供应商隐瞒事实真相、弄虚作假，一经查实，取消该供应商的</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资格，若</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的，取消其</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资格。</w:t>
      </w:r>
    </w:p>
    <w:p>
      <w:pPr>
        <w:pStyle w:val="10"/>
        <w:spacing w:line="360" w:lineRule="auto"/>
        <w:ind w:firstLine="480"/>
        <w:outlineLvl w:val="1"/>
        <w:rPr>
          <w:rFonts w:hint="eastAsia" w:ascii="仿宋" w:hAnsi="仿宋" w:eastAsia="仿宋" w:cs="仿宋"/>
          <w:color w:val="auto"/>
          <w:sz w:val="24"/>
          <w:szCs w:val="24"/>
          <w:highlight w:val="none"/>
        </w:rPr>
      </w:pPr>
      <w:bookmarkStart w:id="87" w:name="_Toc245897286"/>
      <w:bookmarkStart w:id="88" w:name="_Toc246216196"/>
      <w:bookmarkStart w:id="89" w:name="_Toc233274827"/>
      <w:bookmarkStart w:id="90" w:name="_Toc243907587"/>
      <w:bookmarkStart w:id="91" w:name="_Toc243906326"/>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bookmarkEnd w:id="87"/>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16.1供应商应按</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提供的格式及</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说明完整地填写所提供的合同货物、服务以及单价等内容。</w:t>
      </w:r>
    </w:p>
    <w:p>
      <w:pPr>
        <w:pStyle w:val="10"/>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w:t>
      </w:r>
      <w:bookmarkEnd w:id="88"/>
      <w:bookmarkEnd w:id="89"/>
      <w:bookmarkEnd w:id="90"/>
      <w:bookmarkEnd w:id="91"/>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17.1供应商的</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应是为采购人提供全部服务，并保证技术规范及标准、项目采购需求及合同条款、本</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约定的所有费用的总和。</w:t>
      </w:r>
    </w:p>
    <w:p>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任何因供应商忽视或误解采购范围、技术规范及标准、项目采购需求、合同条款和项目现场情况，若</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，采购人将不予批准由此而产生的索赔或服务期限延长申请。</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投标报价</w:t>
      </w:r>
      <w:r>
        <w:rPr>
          <w:rFonts w:hint="eastAsia" w:ascii="仿宋" w:hAnsi="仿宋" w:eastAsia="仿宋" w:cs="仿宋"/>
          <w:b/>
          <w:bCs/>
          <w:color w:val="auto"/>
          <w:sz w:val="24"/>
          <w:highlight w:val="none"/>
        </w:rPr>
        <w:t>中不得包含技术规范及标准、项目采购需求及合同条款、本</w:t>
      </w:r>
      <w:r>
        <w:rPr>
          <w:rFonts w:hint="eastAsia" w:ascii="仿宋" w:hAnsi="仿宋" w:eastAsia="仿宋" w:cs="仿宋"/>
          <w:b/>
          <w:bCs/>
          <w:color w:val="auto"/>
          <w:sz w:val="24"/>
          <w:highlight w:val="none"/>
          <w:lang w:eastAsia="zh-CN"/>
        </w:rPr>
        <w:t>竞争性谈判文件</w:t>
      </w:r>
      <w:r>
        <w:rPr>
          <w:rFonts w:hint="eastAsia" w:ascii="仿宋" w:hAnsi="仿宋" w:eastAsia="仿宋" w:cs="仿宋"/>
          <w:b/>
          <w:bCs/>
          <w:color w:val="auto"/>
          <w:sz w:val="24"/>
          <w:highlight w:val="none"/>
        </w:rPr>
        <w:t>要求以外的其他内容。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总价应包括的内容和计价因素</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w:t>
      </w:r>
      <w:r>
        <w:rPr>
          <w:rFonts w:hint="eastAsia" w:ascii="仿宋" w:hAnsi="仿宋" w:eastAsia="仿宋" w:cs="仿宋"/>
          <w:b/>
          <w:bCs/>
          <w:color w:val="auto"/>
          <w:sz w:val="24"/>
          <w:highlight w:val="none"/>
          <w:lang w:val="en-US" w:eastAsia="zh-CN"/>
        </w:rPr>
        <w:t>为独山子区污水处理厂委托第三方检测机构监测排放污染物项目包含的全部内容并配合采购人完成与此服务相关的全部工作内容的责任和义务。</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lang w:val="en-US" w:eastAsia="zh-CN"/>
        </w:rPr>
        <w:t>（2）</w:t>
      </w:r>
      <w:r>
        <w:rPr>
          <w:rFonts w:hint="eastAsia" w:ascii="仿宋" w:hAnsi="仿宋" w:eastAsia="仿宋" w:cs="仿宋"/>
          <w:bCs/>
          <w:color w:val="auto"/>
          <w:sz w:val="24"/>
          <w:highlight w:val="none"/>
        </w:rPr>
        <w:t>供应商根据对本</w:t>
      </w:r>
      <w:r>
        <w:rPr>
          <w:rFonts w:hint="eastAsia" w:ascii="仿宋" w:hAnsi="仿宋" w:eastAsia="仿宋" w:cs="仿宋"/>
          <w:bCs/>
          <w:color w:val="auto"/>
          <w:sz w:val="24"/>
          <w:highlight w:val="none"/>
          <w:lang w:eastAsia="zh-CN"/>
        </w:rPr>
        <w:t>竞争性谈判文件</w:t>
      </w:r>
      <w:r>
        <w:rPr>
          <w:rFonts w:hint="eastAsia" w:ascii="仿宋" w:hAnsi="仿宋" w:eastAsia="仿宋" w:cs="仿宋"/>
          <w:bCs/>
          <w:color w:val="auto"/>
          <w:sz w:val="24"/>
          <w:highlight w:val="none"/>
        </w:rPr>
        <w:t>、技术规范和标准、项目采购需求、合同条款的理解，应达到的技术指标、检验及验收标准等要求，结合市场情况进行</w:t>
      </w:r>
      <w:r>
        <w:rPr>
          <w:rFonts w:hint="eastAsia" w:ascii="仿宋" w:hAnsi="仿宋" w:eastAsia="仿宋" w:cs="仿宋"/>
          <w:bCs/>
          <w:color w:val="auto"/>
          <w:sz w:val="24"/>
          <w:highlight w:val="none"/>
          <w:lang w:eastAsia="zh-CN"/>
        </w:rPr>
        <w:t>投标报价</w:t>
      </w:r>
      <w:r>
        <w:rPr>
          <w:rFonts w:hint="eastAsia" w:ascii="仿宋" w:hAnsi="仿宋" w:eastAsia="仿宋" w:cs="仿宋"/>
          <w:bCs/>
          <w:color w:val="auto"/>
          <w:sz w:val="24"/>
          <w:highlight w:val="none"/>
        </w:rPr>
        <w:t>。供应商应充分考虑合同执行期内的市场风险和国家政策性调整风险等因素对</w:t>
      </w:r>
      <w:r>
        <w:rPr>
          <w:rFonts w:hint="eastAsia" w:ascii="仿宋" w:hAnsi="仿宋" w:eastAsia="仿宋" w:cs="仿宋"/>
          <w:bCs/>
          <w:color w:val="auto"/>
          <w:sz w:val="24"/>
          <w:highlight w:val="none"/>
          <w:lang w:eastAsia="zh-CN"/>
        </w:rPr>
        <w:t>投标报价</w:t>
      </w:r>
      <w:r>
        <w:rPr>
          <w:rFonts w:hint="eastAsia" w:ascii="仿宋" w:hAnsi="仿宋" w:eastAsia="仿宋" w:cs="仿宋"/>
          <w:bCs/>
          <w:color w:val="auto"/>
          <w:sz w:val="24"/>
          <w:highlight w:val="none"/>
        </w:rPr>
        <w:t>的影响。</w:t>
      </w:r>
    </w:p>
    <w:p>
      <w:pPr>
        <w:spacing w:line="360" w:lineRule="auto"/>
        <w:ind w:firstLine="480" w:firstLineChars="200"/>
        <w:rPr>
          <w:rFonts w:hint="eastAsia" w:ascii="仿宋" w:hAnsi="仿宋" w:eastAsia="仿宋" w:cs="仿宋"/>
          <w:color w:val="auto"/>
          <w:sz w:val="24"/>
          <w:highlight w:val="none"/>
        </w:rPr>
      </w:pPr>
      <w:bookmarkStart w:id="92" w:name="_Toc246216197"/>
      <w:bookmarkStart w:id="93" w:name="_Toc243906327"/>
      <w:bookmarkStart w:id="94" w:name="_Toc233274828"/>
      <w:bookmarkStart w:id="95" w:name="_Toc243907588"/>
      <w:r>
        <w:rPr>
          <w:rFonts w:hint="eastAsia" w:ascii="仿宋" w:hAnsi="仿宋" w:eastAsia="仿宋" w:cs="仿宋"/>
          <w:color w:val="auto"/>
          <w:sz w:val="24"/>
          <w:highlight w:val="none"/>
        </w:rPr>
        <w:t>17.3供应商应按照</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所附的格式完整地填写</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一览表。</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应对招标范围内的全部服务内容进行报价</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供应商若</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，不得以任何理由在合同执行期间予以价格调整。任何包含价格调整的要求将被认为是非响应而予以拒绝。</w:t>
      </w:r>
    </w:p>
    <w:bookmarkEnd w:id="92"/>
    <w:bookmarkEnd w:id="93"/>
    <w:bookmarkEnd w:id="94"/>
    <w:bookmarkEnd w:id="95"/>
    <w:p>
      <w:pPr>
        <w:pStyle w:val="10"/>
        <w:spacing w:line="360" w:lineRule="auto"/>
        <w:ind w:firstLine="480" w:firstLineChars="200"/>
        <w:rPr>
          <w:rFonts w:hint="eastAsia" w:ascii="仿宋" w:hAnsi="仿宋" w:eastAsia="仿宋" w:cs="仿宋"/>
          <w:color w:val="auto"/>
          <w:sz w:val="24"/>
          <w:szCs w:val="24"/>
          <w:highlight w:val="none"/>
        </w:rPr>
      </w:pPr>
      <w:bookmarkStart w:id="96" w:name="_Toc245897288"/>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货币</w:t>
      </w:r>
      <w:bookmarkEnd w:id="96"/>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一览表和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中的所有报价一律使用人民币（RMB）填报。</w:t>
      </w:r>
    </w:p>
    <w:p>
      <w:pPr>
        <w:pStyle w:val="10"/>
        <w:spacing w:line="360" w:lineRule="auto"/>
        <w:ind w:firstLine="480" w:firstLineChars="200"/>
        <w:rPr>
          <w:rFonts w:hint="eastAsia" w:ascii="仿宋" w:hAnsi="仿宋" w:eastAsia="仿宋" w:cs="仿宋"/>
          <w:color w:val="auto"/>
          <w:sz w:val="24"/>
          <w:szCs w:val="24"/>
          <w:highlight w:val="none"/>
        </w:rPr>
      </w:pPr>
      <w:bookmarkStart w:id="97" w:name="_Toc233274829"/>
      <w:bookmarkStart w:id="98" w:name="_Toc245897289"/>
      <w:bookmarkStart w:id="99" w:name="_Toc243907589"/>
      <w:bookmarkStart w:id="100" w:name="_Toc243906328"/>
      <w:r>
        <w:rPr>
          <w:rFonts w:hint="eastAsia" w:ascii="仿宋" w:hAnsi="仿宋" w:eastAsia="仿宋" w:cs="仿宋"/>
          <w:color w:val="auto"/>
          <w:sz w:val="24"/>
          <w:szCs w:val="24"/>
          <w:highlight w:val="none"/>
        </w:rPr>
        <w:t>19、供应商资格证明文件</w:t>
      </w:r>
      <w:bookmarkEnd w:id="97"/>
      <w:bookmarkEnd w:id="98"/>
      <w:bookmarkEnd w:id="99"/>
      <w:bookmarkEnd w:id="100"/>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供应商必须提交证明其有资格参加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后有能力履行合同的文件。</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19.2供应商须提交证明其拟供货物和服务符合</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、技术规范及标准、项目采购需求规定的技术</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的一部分。</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19.3上述文件可以是文字资料、图纸和数据，并须提供主要技术性能的详细描述及设备清单和所提供服务的详细说明；</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19.4供应商应逐条对</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、项目采购需求、合同条款等进行仔细阅读，提出自己提供的服务是否对其做出了实质性的响应。</w:t>
      </w:r>
    </w:p>
    <w:p>
      <w:pPr>
        <w:pStyle w:val="10"/>
        <w:spacing w:line="360" w:lineRule="auto"/>
        <w:ind w:firstLine="480" w:firstLineChars="200"/>
        <w:rPr>
          <w:rFonts w:hint="eastAsia" w:ascii="仿宋" w:hAnsi="仿宋" w:eastAsia="仿宋" w:cs="仿宋"/>
          <w:color w:val="auto"/>
          <w:sz w:val="24"/>
          <w:szCs w:val="24"/>
          <w:highlight w:val="none"/>
        </w:rPr>
      </w:pPr>
      <w:bookmarkStart w:id="101" w:name="_Toc233274831"/>
      <w:bookmarkStart w:id="102" w:name="_Toc243907591"/>
      <w:bookmarkStart w:id="103" w:name="_Toc245897291"/>
      <w:bookmarkStart w:id="104" w:name="_Toc243906330"/>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w:t>
      </w:r>
      <w:bookmarkEnd w:id="101"/>
      <w:bookmarkEnd w:id="102"/>
      <w:bookmarkEnd w:id="103"/>
      <w:bookmarkEnd w:id="104"/>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有效期为递交</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截止之日起60天（日历日）。供应商的</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有效期比规定的有效期短的，</w:t>
      </w:r>
      <w:r>
        <w:rPr>
          <w:rFonts w:hint="eastAsia" w:ascii="仿宋" w:hAnsi="仿宋" w:eastAsia="仿宋" w:cs="仿宋"/>
          <w:b/>
          <w:bCs/>
          <w:color w:val="auto"/>
          <w:sz w:val="24"/>
          <w:szCs w:val="24"/>
          <w:highlight w:val="none"/>
        </w:rPr>
        <w:t>将被视为非响应而予以拒绝</w:t>
      </w:r>
      <w:r>
        <w:rPr>
          <w:rFonts w:hint="eastAsia" w:ascii="仿宋" w:hAnsi="仿宋" w:eastAsia="仿宋" w:cs="仿宋"/>
          <w:color w:val="auto"/>
          <w:sz w:val="24"/>
          <w:szCs w:val="24"/>
          <w:highlight w:val="none"/>
        </w:rPr>
        <w:t>。</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特殊情况下，在原有效期届满之前，采购人可征得供应商的同意延长其有效期，这种要求与答复均应以书面形式。供应商拒绝延长的，其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失效。同意延长有效期的供应商，既不要求也不允许其修改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的签署及规定</w:t>
      </w:r>
    </w:p>
    <w:p>
      <w:pPr>
        <w:pStyle w:val="10"/>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.1供应商应提交本须知第1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条规定的加密电子版响应文件。响应文件应编制完整的页码、目录（编制上传响应文件与相应模块对应）</w:t>
      </w:r>
      <w:r>
        <w:rPr>
          <w:rFonts w:hint="eastAsia" w:ascii="仿宋" w:hAnsi="仿宋" w:eastAsia="仿宋" w:cs="仿宋"/>
          <w:color w:val="auto"/>
          <w:sz w:val="24"/>
          <w:highlight w:val="none"/>
          <w:lang w:eastAsia="zh-CN"/>
        </w:rPr>
        <w:t>。</w:t>
      </w:r>
    </w:p>
    <w:p>
      <w:pPr>
        <w:pStyle w:val="10"/>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w:t>
      </w:r>
      <w:r>
        <w:rPr>
          <w:rFonts w:hint="eastAsia" w:ascii="仿宋" w:hAnsi="仿宋" w:eastAsia="仿宋" w:cs="仿宋"/>
          <w:b w:val="0"/>
          <w:bCs w:val="0"/>
          <w:color w:val="auto"/>
          <w:sz w:val="24"/>
          <w:szCs w:val="24"/>
        </w:rPr>
        <w:t>加密电子版</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应按照</w:t>
      </w:r>
      <w:r>
        <w:rPr>
          <w:rFonts w:hint="eastAsia" w:ascii="仿宋" w:hAnsi="仿宋" w:eastAsia="仿宋" w:cs="仿宋"/>
          <w:b w:val="0"/>
          <w:bCs w:val="0"/>
          <w:color w:val="auto"/>
          <w:sz w:val="24"/>
          <w:szCs w:val="24"/>
          <w:lang w:val="en-US" w:eastAsia="zh-CN"/>
        </w:rPr>
        <w:t>采购</w:t>
      </w:r>
      <w:r>
        <w:rPr>
          <w:rFonts w:hint="eastAsia" w:ascii="仿宋" w:hAnsi="仿宋" w:eastAsia="仿宋" w:cs="仿宋"/>
          <w:b w:val="0"/>
          <w:bCs w:val="0"/>
          <w:color w:val="auto"/>
          <w:sz w:val="24"/>
          <w:szCs w:val="24"/>
        </w:rPr>
        <w:t>文件</w:t>
      </w:r>
      <w:r>
        <w:rPr>
          <w:rFonts w:hint="eastAsia" w:ascii="仿宋" w:hAnsi="仿宋" w:eastAsia="仿宋" w:cs="仿宋"/>
          <w:b w:val="0"/>
          <w:bCs w:val="0"/>
          <w:color w:val="auto"/>
          <w:sz w:val="24"/>
          <w:szCs w:val="24"/>
          <w:highlight w:val="none"/>
        </w:rPr>
        <w:t>“第</w:t>
      </w:r>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章 响应文件格式”</w:t>
      </w:r>
      <w:r>
        <w:rPr>
          <w:rFonts w:hint="eastAsia" w:ascii="仿宋" w:hAnsi="仿宋" w:eastAsia="仿宋" w:cs="仿宋"/>
          <w:b w:val="0"/>
          <w:bCs w:val="0"/>
          <w:color w:val="auto"/>
          <w:sz w:val="24"/>
          <w:szCs w:val="24"/>
        </w:rPr>
        <w:t>中规定签字、盖章的地方必须按规定签字盖章。</w:t>
      </w:r>
    </w:p>
    <w:p>
      <w:pPr>
        <w:pStyle w:val="10"/>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 除供应商对错误做必要修改外，</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中不许有增删、涂改或改写。若确有修改必须由签署</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的委托代理人签字或盖章。</w:t>
      </w:r>
    </w:p>
    <w:p>
      <w:pPr>
        <w:pStyle w:val="10"/>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.4采购人概不接受电报、电传、电话、邮寄以及电子邮件等方式的的竞争性谈判响应。</w:t>
      </w:r>
    </w:p>
    <w:p>
      <w:pPr>
        <w:pStyle w:val="10"/>
        <w:spacing w:line="360" w:lineRule="auto"/>
        <w:jc w:val="center"/>
        <w:outlineLvl w:val="1"/>
        <w:rPr>
          <w:rFonts w:hint="eastAsia" w:ascii="仿宋" w:hAnsi="仿宋" w:eastAsia="仿宋" w:cs="仿宋"/>
          <w:b/>
          <w:bCs/>
          <w:color w:val="auto"/>
          <w:sz w:val="28"/>
          <w:szCs w:val="28"/>
          <w:highlight w:val="none"/>
        </w:rPr>
      </w:pPr>
    </w:p>
    <w:p>
      <w:pPr>
        <w:pStyle w:val="10"/>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w:t>
      </w:r>
      <w:r>
        <w:rPr>
          <w:rFonts w:hint="eastAsia" w:ascii="仿宋" w:hAnsi="仿宋" w:eastAsia="仿宋" w:cs="仿宋"/>
          <w:b/>
          <w:bCs/>
          <w:color w:val="auto"/>
          <w:sz w:val="28"/>
          <w:szCs w:val="28"/>
          <w:highlight w:val="none"/>
          <w:lang w:eastAsia="zh-CN"/>
        </w:rPr>
        <w:t>响应文件</w:t>
      </w:r>
      <w:r>
        <w:rPr>
          <w:rFonts w:hint="eastAsia" w:ascii="仿宋" w:hAnsi="仿宋" w:eastAsia="仿宋" w:cs="仿宋"/>
          <w:b/>
          <w:bCs/>
          <w:color w:val="auto"/>
          <w:sz w:val="28"/>
          <w:szCs w:val="28"/>
          <w:highlight w:val="none"/>
        </w:rPr>
        <w:t>的递交、修改和撤回</w:t>
      </w:r>
      <w:bookmarkEnd w:id="78"/>
    </w:p>
    <w:p>
      <w:pPr>
        <w:spacing w:line="360" w:lineRule="auto"/>
        <w:ind w:firstLine="480" w:firstLineChars="200"/>
        <w:outlineLvl w:val="1"/>
        <w:rPr>
          <w:rFonts w:hint="eastAsia" w:ascii="仿宋" w:hAnsi="仿宋" w:eastAsia="仿宋" w:cs="仿宋"/>
          <w:color w:val="auto"/>
          <w:sz w:val="24"/>
          <w:highlight w:val="none"/>
        </w:rPr>
      </w:pPr>
      <w:bookmarkStart w:id="105" w:name="_Toc243906334"/>
      <w:bookmarkStart w:id="106" w:name="_Toc233274835"/>
      <w:bookmarkStart w:id="107" w:name="_Toc245897295"/>
      <w:bookmarkStart w:id="108" w:name="_Toc243907595"/>
      <w:bookmarkStart w:id="109" w:name="_Toc233274840"/>
      <w:bookmarkStart w:id="110" w:name="_Toc243906339"/>
      <w:bookmarkStart w:id="111" w:name="_Toc243907600"/>
      <w:bookmarkStart w:id="112" w:name="_Toc246216209"/>
      <w:bookmarkStart w:id="113" w:name="_Toc19823"/>
      <w:r>
        <w:rPr>
          <w:rFonts w:hint="eastAsia" w:ascii="仿宋" w:hAnsi="仿宋" w:eastAsia="仿宋" w:cs="仿宋"/>
          <w:color w:val="auto"/>
          <w:sz w:val="24"/>
          <w:highlight w:val="none"/>
        </w:rPr>
        <w:t>22、</w:t>
      </w:r>
      <w:bookmarkEnd w:id="105"/>
      <w:bookmarkEnd w:id="106"/>
      <w:bookmarkEnd w:id="107"/>
      <w:bookmarkEnd w:id="108"/>
      <w:r>
        <w:rPr>
          <w:rFonts w:hint="eastAsia" w:ascii="仿宋" w:hAnsi="仿宋" w:eastAsia="仿宋" w:cs="仿宋"/>
          <w:b/>
          <w:bCs/>
          <w:color w:val="auto"/>
          <w:sz w:val="24"/>
        </w:rPr>
        <w:t>递交响应文件截止时间</w:t>
      </w:r>
    </w:p>
    <w:p>
      <w:pPr>
        <w:spacing w:line="360" w:lineRule="auto"/>
        <w:ind w:firstLine="480" w:firstLineChars="200"/>
        <w:outlineLvl w:val="1"/>
        <w:rPr>
          <w:rFonts w:hint="eastAsia" w:ascii="仿宋" w:hAnsi="仿宋" w:eastAsia="仿宋" w:cs="仿宋"/>
          <w:b/>
          <w:color w:val="auto"/>
          <w:sz w:val="24"/>
          <w:highlight w:val="none"/>
        </w:rPr>
      </w:pPr>
      <w:r>
        <w:rPr>
          <w:rFonts w:hint="eastAsia" w:ascii="仿宋" w:hAnsi="仿宋" w:eastAsia="仿宋" w:cs="仿宋"/>
          <w:color w:val="auto"/>
          <w:sz w:val="24"/>
          <w:highlight w:val="none"/>
        </w:rPr>
        <w:t>22.1</w:t>
      </w:r>
      <w:r>
        <w:rPr>
          <w:rFonts w:hint="eastAsia" w:ascii="仿宋" w:hAnsi="仿宋" w:eastAsia="仿宋" w:cs="仿宋"/>
          <w:b/>
          <w:bCs/>
          <w:color w:val="0000FF"/>
          <w:sz w:val="24"/>
        </w:rPr>
        <w:t>所有加密电子版响应文件都必须按采购文件供应商须知前附表中规定的递交响应文件截止时间之前上传至新疆政府采购网政采云平台（www.zcygov.cn）</w:t>
      </w:r>
      <w:r>
        <w:rPr>
          <w:rFonts w:hint="eastAsia" w:ascii="仿宋" w:hAnsi="仿宋" w:eastAsia="仿宋" w:cs="仿宋"/>
          <w:b/>
          <w:color w:val="auto"/>
          <w:sz w:val="24"/>
          <w:highlight w:val="none"/>
        </w:rPr>
        <w:t>。</w:t>
      </w:r>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14" w:name="_Toc29459"/>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bookmarkEnd w:id="114"/>
      <w:r>
        <w:rPr>
          <w:rFonts w:hint="eastAsia" w:ascii="仿宋" w:hAnsi="仿宋" w:eastAsia="仿宋" w:cs="仿宋"/>
          <w:b w:val="0"/>
          <w:bCs w:val="0"/>
          <w:color w:val="auto"/>
          <w:sz w:val="24"/>
        </w:rPr>
        <w:t>出现因</w:t>
      </w:r>
      <w:r>
        <w:rPr>
          <w:rFonts w:hint="eastAsia" w:ascii="仿宋" w:hAnsi="仿宋" w:eastAsia="仿宋" w:cs="仿宋"/>
          <w:b w:val="0"/>
          <w:bCs w:val="0"/>
          <w:color w:val="auto"/>
          <w:sz w:val="24"/>
          <w:lang w:eastAsia="zh-CN"/>
        </w:rPr>
        <w:t>谈判</w:t>
      </w:r>
      <w:r>
        <w:rPr>
          <w:rFonts w:hint="eastAsia" w:ascii="仿宋" w:hAnsi="仿宋" w:eastAsia="仿宋" w:cs="仿宋"/>
          <w:b w:val="0"/>
          <w:bCs w:val="0"/>
          <w:color w:val="auto"/>
          <w:sz w:val="24"/>
        </w:rPr>
        <w:t>文件的修改推迟截止日期时，则按采购代理机构修改通知规定的时间</w:t>
      </w:r>
      <w:r>
        <w:rPr>
          <w:rFonts w:hint="eastAsia" w:ascii="仿宋" w:hAnsi="仿宋" w:eastAsia="仿宋" w:cs="仿宋"/>
          <w:color w:val="auto"/>
          <w:sz w:val="24"/>
          <w:highlight w:val="none"/>
        </w:rPr>
        <w:t>递交加密电子版响应文件。在此情况下，采购人和采购代理机构与供应商之间受截止期制约的所有权利和义务应延长至新的截止期。</w:t>
      </w:r>
    </w:p>
    <w:p>
      <w:pPr>
        <w:widowControl/>
        <w:spacing w:line="360" w:lineRule="auto"/>
        <w:ind w:firstLine="482" w:firstLineChars="200"/>
        <w:rPr>
          <w:rFonts w:hint="eastAsia" w:ascii="仿宋" w:hAnsi="仿宋" w:eastAsia="仿宋" w:cs="仿宋"/>
          <w:b/>
          <w:bCs/>
          <w:color w:val="auto"/>
          <w:sz w:val="24"/>
          <w:highlight w:val="none"/>
          <w:lang w:val="en-US" w:eastAsia="zh-CN"/>
        </w:rPr>
      </w:pPr>
      <w:bookmarkStart w:id="115" w:name="_Toc233274836"/>
      <w:bookmarkStart w:id="116" w:name="_Toc245897296"/>
      <w:bookmarkStart w:id="117" w:name="_Toc243906335"/>
      <w:bookmarkStart w:id="118" w:name="_Toc243907596"/>
      <w:r>
        <w:rPr>
          <w:rFonts w:hint="eastAsia" w:ascii="仿宋" w:hAnsi="仿宋" w:eastAsia="仿宋" w:cs="仿宋"/>
          <w:b/>
          <w:bCs/>
          <w:color w:val="auto"/>
          <w:sz w:val="24"/>
          <w:highlight w:val="none"/>
          <w:lang w:val="en-US" w:eastAsia="zh-CN"/>
        </w:rPr>
        <w:t>22.3供应商提交的响应文件必须唯一有效，响应文件内要求有盖章及签字的必须有盖章签字，所盖章必须是红章。</w:t>
      </w:r>
    </w:p>
    <w:p>
      <w:pPr>
        <w:widowControl/>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w:t>
      </w:r>
      <w:bookmarkEnd w:id="115"/>
      <w:bookmarkEnd w:id="116"/>
      <w:bookmarkEnd w:id="117"/>
      <w:bookmarkEnd w:id="118"/>
      <w:r>
        <w:rPr>
          <w:rFonts w:hint="eastAsia" w:ascii="仿宋" w:hAnsi="仿宋" w:eastAsia="仿宋" w:cs="仿宋"/>
          <w:color w:val="auto"/>
          <w:sz w:val="24"/>
          <w:highlight w:val="none"/>
        </w:rPr>
        <w:t>迟交的</w:t>
      </w:r>
      <w:r>
        <w:rPr>
          <w:rFonts w:hint="eastAsia" w:ascii="仿宋" w:hAnsi="仿宋" w:eastAsia="仿宋" w:cs="仿宋"/>
          <w:color w:val="auto"/>
          <w:sz w:val="24"/>
          <w:highlight w:val="none"/>
          <w:lang w:eastAsia="zh-CN"/>
        </w:rPr>
        <w:t>响应文件</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.1 </w:t>
      </w:r>
      <w:r>
        <w:rPr>
          <w:rFonts w:hint="eastAsia" w:ascii="仿宋" w:hAnsi="仿宋" w:eastAsia="仿宋" w:cs="仿宋"/>
          <w:b w:val="0"/>
          <w:bCs w:val="0"/>
          <w:color w:val="auto"/>
          <w:sz w:val="24"/>
        </w:rPr>
        <w:t>采购人将拒绝接收在规定的递交响应文件截止时间后上传至新疆政府采购网政采云平台（www.zcygov.cn）的加密电子版响应文件</w:t>
      </w:r>
      <w:r>
        <w:rPr>
          <w:rFonts w:hint="eastAsia" w:ascii="仿宋" w:hAnsi="仿宋" w:eastAsia="仿宋" w:cs="仿宋"/>
          <w:color w:val="auto"/>
          <w:sz w:val="24"/>
          <w:highlight w:val="none"/>
        </w:rPr>
        <w:t>。</w:t>
      </w:r>
    </w:p>
    <w:p>
      <w:pPr>
        <w:widowControl/>
        <w:spacing w:line="360" w:lineRule="auto"/>
        <w:ind w:firstLine="480" w:firstLineChars="200"/>
        <w:rPr>
          <w:rFonts w:hint="eastAsia" w:ascii="仿宋" w:hAnsi="仿宋" w:eastAsia="仿宋" w:cs="仿宋"/>
          <w:color w:val="auto"/>
          <w:sz w:val="24"/>
          <w:highlight w:val="none"/>
          <w:lang w:eastAsia="zh-CN"/>
        </w:rPr>
      </w:pPr>
      <w:bookmarkStart w:id="119" w:name="_Toc243906338"/>
      <w:bookmarkStart w:id="120" w:name="_Toc233274839"/>
      <w:bookmarkStart w:id="121" w:name="_Toc243907599"/>
      <w:bookmarkStart w:id="122" w:name="_Toc245897299"/>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、递交</w:t>
      </w:r>
      <w:bookmarkEnd w:id="119"/>
      <w:bookmarkEnd w:id="120"/>
      <w:bookmarkEnd w:id="121"/>
      <w:bookmarkEnd w:id="122"/>
      <w:r>
        <w:rPr>
          <w:rFonts w:hint="eastAsia" w:ascii="仿宋" w:hAnsi="仿宋" w:eastAsia="仿宋" w:cs="仿宋"/>
          <w:color w:val="auto"/>
          <w:sz w:val="24"/>
          <w:highlight w:val="none"/>
          <w:lang w:eastAsia="zh-CN"/>
        </w:rPr>
        <w:t>响应文件</w:t>
      </w:r>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23" w:name="_Toc28405"/>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w:t>
      </w:r>
      <w:bookmarkEnd w:id="123"/>
      <w:r>
        <w:rPr>
          <w:rFonts w:hint="eastAsia" w:ascii="仿宋" w:hAnsi="仿宋" w:eastAsia="仿宋" w:cs="仿宋"/>
          <w:color w:val="auto"/>
          <w:sz w:val="24"/>
          <w:szCs w:val="24"/>
          <w:highlight w:val="none"/>
        </w:rPr>
        <w:t>供应商应按本供应商须知前附表规定的时间及地点上传加密电子版响应文件。</w:t>
      </w:r>
    </w:p>
    <w:p>
      <w:pPr>
        <w:spacing w:line="360" w:lineRule="auto"/>
        <w:jc w:val="center"/>
        <w:outlineLvl w:val="1"/>
        <w:rPr>
          <w:rFonts w:hint="eastAsia" w:ascii="仿宋" w:hAnsi="仿宋" w:eastAsia="仿宋" w:cs="仿宋"/>
          <w:b/>
          <w:bCs/>
          <w:color w:val="auto"/>
          <w:sz w:val="28"/>
          <w:szCs w:val="28"/>
          <w:highlight w:val="none"/>
        </w:rPr>
      </w:pPr>
    </w:p>
    <w:p>
      <w:pPr>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w:t>
      </w:r>
      <w:bookmarkEnd w:id="109"/>
      <w:bookmarkEnd w:id="110"/>
      <w:bookmarkEnd w:id="111"/>
      <w:bookmarkEnd w:id="112"/>
      <w:bookmarkEnd w:id="113"/>
      <w:r>
        <w:rPr>
          <w:rFonts w:hint="eastAsia" w:ascii="仿宋" w:hAnsi="仿宋" w:eastAsia="仿宋" w:cs="仿宋"/>
          <w:b/>
          <w:bCs/>
          <w:color w:val="auto"/>
          <w:sz w:val="28"/>
          <w:szCs w:val="28"/>
          <w:highlight w:val="none"/>
        </w:rPr>
        <w:t>竞争性谈判、评审、确定成交供应商</w:t>
      </w:r>
    </w:p>
    <w:p>
      <w:pPr>
        <w:spacing w:line="360" w:lineRule="auto"/>
        <w:ind w:firstLine="480" w:firstLineChars="200"/>
        <w:outlineLvl w:val="1"/>
        <w:rPr>
          <w:rFonts w:hint="eastAsia" w:ascii="仿宋" w:hAnsi="仿宋" w:eastAsia="仿宋" w:cs="仿宋"/>
          <w:color w:val="auto"/>
          <w:sz w:val="24"/>
          <w:highlight w:val="none"/>
        </w:rPr>
      </w:pPr>
      <w:bookmarkStart w:id="124" w:name="_Toc243906340"/>
      <w:bookmarkStart w:id="125" w:name="_Toc233274841"/>
      <w:bookmarkStart w:id="126" w:name="_Toc245897301"/>
      <w:bookmarkStart w:id="127" w:name="_Toc243907601"/>
      <w:bookmarkStart w:id="128" w:name="_Toc243906348"/>
      <w:bookmarkStart w:id="129" w:name="_Toc245897308"/>
      <w:bookmarkStart w:id="130" w:name="_Toc233274847"/>
      <w:bookmarkStart w:id="131" w:name="_Toc243907609"/>
      <w:bookmarkStart w:id="132" w:name="_Toc22731"/>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bookmarkEnd w:id="124"/>
      <w:bookmarkEnd w:id="125"/>
      <w:bookmarkEnd w:id="126"/>
      <w:bookmarkEnd w:id="127"/>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会议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采购人在本供应商须知前附表规定的时间和地点组织谈判会议。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本次采用网上评审，供应商在线参加谈判（不需到现场参加谈判）。谈判前供应商完成设备测试，保证摄像头及麦克风正常使用。自谈判时间起至评审结束，供应商须登录新疆政府采购平台并保持网络畅通，随时答复评标委员会的疑问。若供应商未在规定时间内答复的，由此产生的后果将由供应商自行承担。</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.3 供应商登录政采云平台，在谈判时间后</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分钟内用“项目采购-开标评标”功能进行解密响应文件。若供应商在规定时间内未按时解密的，视为无效响应。解密与加密电子版响应文件须使用同一个CA。</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.4 谈判会议由采购代理机构组织并主持。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 在谈判过程中，工作人员如发现响应文件组成部分不齐全，由谈判小组认定其有效性。谈判小组认定的无效响应文件将不进入谈判、评审阶段。</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、谈判小组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 谈判小组成员组成：按照《中华人民共和国政府采购法》、《中华人民共和国政府采购实施条例》、《政府采购非招标采购方式管理办法》（中华人民共和国财政部令第 74 号）及相关法律、法规规定组建，由采购人代表和评审专家组成。谈判小组将负责对供应商提交的响应文件进行谈判、评审，确保谈判、评审过程公正、合法、保密，并向采购人推荐成交候选供应商。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、谈判</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.1 谈判小组所有成员集中与单一供应商分别进行谈判。供应商应由法定代表人或法定代表人授权的供应商代表及专业技术人员参与谈判。供应商所作的重要答复均应以书面形式予以补充，并经法定代表人或授权人签署，作为响应文件的一部分，对供应商具有约束力，但不得对谈判内容进行实质性修改。在谈判中，谈判的任何一方不得透露与谈判有关的其他供应商的技术资料和其他信息。</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.2 在谈判小组与各供应商进行了相同轮次的谈判后，为了更好地实现采购目标，谈判小组可以修改谈判文件，但涉及实质性变动的，将以书面形式通知所有参加谈判的供应商。供应商收到修改谈判文件的通知后，可以决定是否继续参加谈判活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.3 供应商应当按照谈判文件的变动情况和谈判小组的要求重新提交响应文件，并由其法定代表人或委托代理人签字或者加盖公章。由委托代理人签字的，应当附法定代表人授权书。</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.4 谈判文件能够详细列明采购标的的技术、服务要求的，谈判小组在谈判结束后，谈判小组应当要求所有实质性响应的供应商在规定时间内提交最后报价，最后报价是供应商响应文件的有效组成部分。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.5 谈判文件不能详细列明采购标的的技术、服务要求，需经谈判由供应商提供最终设计方案或解决方案的，谈判结束后，谈判小组应当按照少数服从多数的原则投票推荐 3 家以上供应商的设计方案或解决方案，并要求其在规定时间内提交最后报价。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.6 已提交响应文件的供应商，在提交最后报价之前，可以根据谈判情况退出谈判。</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.7 谈判小组判断响应文件的响应性仅基于响应文件本身而不依靠任何外部证据，但响应文件有不真实、不正确的内容除外。</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.8 如果响应文件实质上没有响应谈判文件的要求，谈判小组将予以拒绝，供应商不得通过修正或撤消不符合要求的偏离或保留，而使其成为实质上响应。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、商务报价错误的修正</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如果发现商务报价存在计算或表达上错误，则按下列原则进行修正：</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（1）用数字表示的数额与用文字表示的数额不一致时，以文字数额为准；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（2）单价与工程量的乘积与总价之间不一致时，以单价为准。若单价有明显小数点错位，应以总价为准，并修改单价。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谈判小组将按第31条原则修正商务报价，并要求供应商进行确认。确认后的报价和文件将对供应商具有约束力。并以修正后的报价作为评审的依据。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、响应文件的澄清</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 为有助于对响应文件的审查、评价和比较，谈判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.2 供应商法定代表人或委托代理人在评审过程中应保证随时接受谈判小组质询。若供应商法定代表人或委托代理人因故不能接受质询，其响应文件仍有效，但应视为供应商已默认谈判小组对缺席的质询所作出的结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.3 谈判小组允许供应商通过澄清答复修正其最后报价中不构成重大偏离的、微小的、非正规的、不一致的或不规范的地方，但这些修正不能影响任何供应商的相关名次排列。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29</w:t>
      </w:r>
      <w:r>
        <w:rPr>
          <w:rFonts w:hint="eastAsia" w:ascii="仿宋" w:hAnsi="仿宋" w:eastAsia="仿宋" w:cs="仿宋"/>
          <w:b/>
          <w:bCs/>
          <w:color w:val="auto"/>
          <w:sz w:val="24"/>
          <w:highlight w:val="none"/>
        </w:rPr>
        <w:t>.4 如果供应商在响应文件中未对谈判文件、技术规格及标准、项目采购需求及合同条款等提出偏离意见或澄清，将视同供应商同意上述文件的全部条款和要求。</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、重大偏离</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重大偏离是指实质上影响合同的采购范围、质量和性能、服务期限等，或者实质上不满足竞争性谈判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、无效响应文件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响应文件有下列情形之一的，由谈判小组评审后按无效响应文件处理：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 供应商的商务报价高于采购预算；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 响应文件附有采购人不能接受条件的；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 出现重大偏离的；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 对竞争性谈判文件提出的实质性要求和条件未能实质性响应；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 供应商法定代表人委托代理人不是本企业人员的；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.6 </w:t>
      </w:r>
      <w:r>
        <w:rPr>
          <w:rFonts w:hint="eastAsia" w:ascii="仿宋" w:hAnsi="仿宋" w:eastAsia="仿宋" w:cs="仿宋"/>
          <w:b/>
          <w:bCs/>
          <w:color w:val="auto"/>
          <w:sz w:val="24"/>
          <w:highlight w:val="none"/>
        </w:rPr>
        <w:t>响应文件未按照规定加密的；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.7 </w:t>
      </w:r>
      <w:r>
        <w:rPr>
          <w:rFonts w:hint="eastAsia" w:ascii="仿宋" w:hAnsi="仿宋" w:eastAsia="仿宋" w:cs="仿宋"/>
          <w:b/>
          <w:bCs/>
          <w:color w:val="auto"/>
          <w:sz w:val="24"/>
          <w:highlight w:val="none"/>
        </w:rPr>
        <w:t>因供应商自身原因造成响应文件无法解密的；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.8《中华人民共和国政府采购法》、《中华人民共和国政府采购法实施条例》、《政府采购非招标采购方式管理办法》及相关法律法规及竞争性谈判文件明确规定可以作无效响应文件的其他情形。</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、评审标准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 本项目评审严格按照谈判文件的要求和条件进行。</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 信用查询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.2.1 按照《财政部关于在政府采购活动中查询及使用信用记录有关问题的通知》（财库〔2016〕125 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 响应文件初审。初审分为资格性审查和符合性审查。响应文件初审由谈判小组根据各供应商响应文件进行评审，初审内容详见第五章，未通过初审的供应商其响应文件按照无效响应文件处理。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.3.1 资格性审查。依据法律法规和谈判文件的规定，对响应文件中的资格证明等进行审查，以确定供应商是否具备谈判资格。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.3.2 符合性审查。依据谈判文件的规定，从响应文件的有效性、完整性和对谈判文件的响应程度进行审查，以确定是否对谈判文件的实质性要求作出响应。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.4 澄清有关问题。对响应文件中含义不明确、同类问题表述不一致或者有明显文字和计算错误的内容，谈判小组可以书面形式要求供应商作出必要的澄清、说明或者纠正。供应商的澄清、说明或者补正应当采用书面形式，由其法定代表人或委托代理人签字或盖章，并不得超出响应文件的范围或者改变响应文件的实质性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.5 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.6 比较与评价。谈判小组按谈判文件中规定的评审方法和标准，对资格性检查和符合性检查合格的响应文件进行商务和技术评估，综合比较与评价。对材料、设备技术规格、质量、价格等进行比较，并与谈判文件、项目需求及技术要求和采购人的实际需要进行比较和评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.8 推荐成交候选供应商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.8.1 谈判小组应当从质量和服务均能满足采购文件实质性响应要求的供应商中，按照报价由低到高的顺序提出3名成交候选供应商。如报价相同，则按照技术指标优劣顺序推荐，并编写评审报告。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.9 谈判小组复核。谈判结束后，谈判小组应当进行评审复核，对拟推荐为成交候选供应商的、报价最低的、供应商资格审查未通过的、供应商响应文件作无效处理的重点复核。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.10 确定成交供应商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.10.1 采购代理机构应当在评审结束后 2 个工作日内将评审报告送采购人确认。</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.10.2 采购人应当在收到评审报告后 5 个工作日内，从评审报告提出的成交候选供应商中，根据质量和服务均能满足采购文件实质性响应要求且报价最低的原则确定成交供应商，也可以书面授权谈判小组直接确定成交供应商。采购人逾期未确定成交供应商且不提出异议的，视为确定评审报告提出的最后报价最低的供应商为成交供应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、采购人依法接受和拒绝任一或所有供应商的权力</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、成交通知书</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.2《成交通知书》将是合同的组成部分。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 采购人将通知其他未成交的供应商。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、纪律与保密事项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凡参与谈判工作的有关人员均应自觉接受有关主管部门的监督，不得向他人透露可能影响公平竞争的有关谈判的其他情况。</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领取本谈判文件及其它相关资料者，应对文件进行保密，不得用作本次谈判以外的任何用途。由采购人向供应商提供的技术资料和所有其它资料，均视为保密资料，除非得到采购人的同意，不得向第三方透露。</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.3 供应商不得与采购人串通谈判，不得向采购人或者谈判小组成员行贿谋取成交，不得以他人名义参与谈判或者以其它任何方式弄虚作假骗取参与谈判。供应商不得以任何方式干扰、影响评审工作。</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.4 供应商不得在谈判过程中互相串通、结盟、损害谈判的公正性和竞争性，或以任何方式影响其他供应商参与正当谈判。扰乱谈判市场，破坏公平竞争原则。如供应商在谈判过程中互相串通，一经查实，将取消谈判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 谈判之日起直至授予成交供应商合同为止，凡属于对响应文件的审查、澄清、评价、比较有关的资料和成交候选人的推荐情况及与评审有关的其他任何情况均严格保密。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.6 从谈判之日起至授予合同期间，供应商试图向谈判小组、采购代理机构施加任何影响或对采购人的比较及授予合同的决定进行影响，都可能导致其响应文件被拒绝。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.7 除供应商被要求对响应文件进行澄清外，从谈判之时起至授予合同期间，供应商不得就与其响应文件有关的事项主动与谈判小组、采购代理机构以及采购人联系。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.8 成交供应商确定后，采购人不对未成交供应商就评审过程以及未能成交原因作出任何解释，未成交供应商不得向谈判小组或其他有关人员询问评审过程的情况和索取评审过程的资料。</w:t>
      </w:r>
    </w:p>
    <w:bookmarkEnd w:id="128"/>
    <w:bookmarkEnd w:id="129"/>
    <w:bookmarkEnd w:id="130"/>
    <w:bookmarkEnd w:id="131"/>
    <w:p>
      <w:pPr>
        <w:pStyle w:val="10"/>
        <w:spacing w:line="360" w:lineRule="auto"/>
        <w:jc w:val="center"/>
        <w:outlineLvl w:val="1"/>
        <w:rPr>
          <w:rFonts w:hint="eastAsia" w:ascii="仿宋" w:hAnsi="仿宋" w:eastAsia="仿宋" w:cs="仿宋"/>
          <w:b/>
          <w:bCs/>
          <w:color w:val="auto"/>
          <w:sz w:val="28"/>
          <w:szCs w:val="28"/>
          <w:highlight w:val="none"/>
        </w:rPr>
      </w:pPr>
    </w:p>
    <w:p>
      <w:pPr>
        <w:pStyle w:val="10"/>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六、授予合同</w:t>
      </w:r>
      <w:bookmarkEnd w:id="132"/>
      <w:bookmarkStart w:id="133" w:name="_Toc243906355"/>
      <w:bookmarkStart w:id="134" w:name="_Toc245897315"/>
      <w:bookmarkStart w:id="135" w:name="_Toc233274853"/>
      <w:bookmarkStart w:id="136" w:name="_Toc243907618"/>
    </w:p>
    <w:bookmarkEnd w:id="133"/>
    <w:bookmarkEnd w:id="134"/>
    <w:bookmarkEnd w:id="135"/>
    <w:bookmarkEnd w:id="136"/>
    <w:p>
      <w:pPr>
        <w:pStyle w:val="10"/>
        <w:spacing w:line="360" w:lineRule="auto"/>
        <w:ind w:firstLine="480" w:firstLineChars="200"/>
        <w:outlineLvl w:val="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36</w:t>
      </w:r>
      <w:r>
        <w:rPr>
          <w:rFonts w:hint="eastAsia" w:ascii="仿宋" w:hAnsi="仿宋" w:eastAsia="仿宋" w:cs="仿宋"/>
          <w:bCs/>
          <w:color w:val="auto"/>
          <w:sz w:val="24"/>
          <w:szCs w:val="24"/>
          <w:highlight w:val="none"/>
        </w:rPr>
        <w:t>、授予合同标准</w:t>
      </w:r>
    </w:p>
    <w:p>
      <w:pPr>
        <w:pStyle w:val="1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36</w:t>
      </w:r>
      <w:r>
        <w:rPr>
          <w:rFonts w:hint="eastAsia" w:ascii="仿宋" w:hAnsi="仿宋" w:eastAsia="仿宋" w:cs="仿宋"/>
          <w:bCs/>
          <w:color w:val="auto"/>
          <w:sz w:val="24"/>
          <w:szCs w:val="24"/>
          <w:highlight w:val="none"/>
        </w:rPr>
        <w:t>.1本采购项目的采购合同将授予按本须知第3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条所确定</w:t>
      </w:r>
      <w:r>
        <w:rPr>
          <w:rFonts w:hint="eastAsia" w:ascii="仿宋" w:hAnsi="仿宋" w:eastAsia="仿宋" w:cs="仿宋"/>
          <w:bCs/>
          <w:color w:val="auto"/>
          <w:sz w:val="24"/>
          <w:szCs w:val="24"/>
          <w:highlight w:val="none"/>
          <w:lang w:eastAsia="zh-CN"/>
        </w:rPr>
        <w:t>成交</w:t>
      </w:r>
      <w:r>
        <w:rPr>
          <w:rFonts w:hint="eastAsia" w:ascii="仿宋" w:hAnsi="仿宋" w:eastAsia="仿宋" w:cs="仿宋"/>
          <w:bCs/>
          <w:color w:val="auto"/>
          <w:sz w:val="24"/>
          <w:szCs w:val="24"/>
          <w:highlight w:val="none"/>
        </w:rPr>
        <w:t>供应商。</w:t>
      </w:r>
    </w:p>
    <w:p>
      <w:pPr>
        <w:pStyle w:val="10"/>
        <w:spacing w:line="360" w:lineRule="auto"/>
        <w:ind w:firstLine="480" w:firstLineChars="200"/>
        <w:outlineLvl w:val="1"/>
        <w:rPr>
          <w:rFonts w:hint="eastAsia" w:ascii="仿宋" w:hAnsi="仿宋" w:eastAsia="仿宋" w:cs="仿宋"/>
          <w:color w:val="auto"/>
          <w:sz w:val="24"/>
          <w:szCs w:val="24"/>
          <w:highlight w:val="none"/>
        </w:rPr>
      </w:pPr>
      <w:bookmarkStart w:id="137" w:name="_Toc243907620"/>
      <w:bookmarkStart w:id="138" w:name="_Toc243906357"/>
      <w:bookmarkStart w:id="139" w:name="_Toc233274855"/>
      <w:bookmarkStart w:id="140" w:name="_Toc245897317"/>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、签订合同</w:t>
      </w:r>
      <w:bookmarkEnd w:id="137"/>
      <w:bookmarkEnd w:id="138"/>
      <w:bookmarkEnd w:id="139"/>
      <w:bookmarkEnd w:id="140"/>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41" w:name="_Toc28470"/>
      <w:bookmarkStart w:id="142" w:name="_Toc245897318"/>
      <w:bookmarkStart w:id="143" w:name="_Toc243907621"/>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.1采购人应当</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交通知书发出之日起三十日内，按照</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供应商不得要求订立背离本</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合同条款等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实质性内容的其他协议。</w:t>
      </w:r>
      <w:bookmarkEnd w:id="141"/>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44" w:name="_Toc10011"/>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及其技术规范及标准、项目需求及技术要求、本</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（含修改文件或补充文件）及答疑纪要等，均为签订合同的依据。</w:t>
      </w:r>
      <w:bookmarkEnd w:id="144"/>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45" w:name="_Toc31200"/>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.3采购人如不按本须知第</w:t>
      </w: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.1条规定与</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供应商签订合同，或者采购人、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供应商签订背离合同实质性内容的协议，由监督管理部门责令其改正。</w:t>
      </w:r>
      <w:bookmarkEnd w:id="145"/>
    </w:p>
    <w:p>
      <w:pPr>
        <w:pStyle w:val="10"/>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46" w:name="_Toc17125"/>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供应商如不按本须知第</w:t>
      </w: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.1条规定与采购人签订合同，则按违约处理，采购人将有权取消</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供应商资格，给采购人造成损失，还应当予以赔偿，同时依法承担相应的法律责任。</w:t>
      </w:r>
      <w:bookmarkEnd w:id="146"/>
    </w:p>
    <w:p>
      <w:pPr>
        <w:pStyle w:val="10"/>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bCs/>
          <w:color w:val="auto"/>
          <w:sz w:val="24"/>
          <w:szCs w:val="24"/>
          <w:highlight w:val="none"/>
        </w:rPr>
      </w:pPr>
      <w:bookmarkStart w:id="147" w:name="_Toc20940"/>
      <w:r>
        <w:rPr>
          <w:rFonts w:hint="eastAsia" w:ascii="仿宋" w:hAnsi="仿宋" w:eastAsia="仿宋" w:cs="仿宋"/>
          <w:b/>
          <w:bCs/>
          <w:color w:val="auto"/>
          <w:sz w:val="24"/>
          <w:szCs w:val="24"/>
          <w:highlight w:val="none"/>
          <w:lang w:val="en-US" w:eastAsia="zh-CN"/>
        </w:rPr>
        <w:t>38</w:t>
      </w:r>
      <w:r>
        <w:rPr>
          <w:rFonts w:hint="eastAsia" w:ascii="仿宋" w:hAnsi="仿宋" w:eastAsia="仿宋" w:cs="仿宋"/>
          <w:b/>
          <w:bCs/>
          <w:color w:val="auto"/>
          <w:sz w:val="24"/>
          <w:szCs w:val="24"/>
          <w:highlight w:val="none"/>
        </w:rPr>
        <w:t>.5</w:t>
      </w:r>
      <w:bookmarkEnd w:id="147"/>
      <w:r>
        <w:rPr>
          <w:rFonts w:hint="eastAsia" w:ascii="仿宋" w:hAnsi="仿宋" w:eastAsia="仿宋" w:cs="仿宋"/>
          <w:b/>
          <w:bCs/>
          <w:color w:val="auto"/>
          <w:sz w:val="24"/>
          <w:szCs w:val="24"/>
          <w:highlight w:val="none"/>
        </w:rPr>
        <w:t>采购人如遇成交供应商违约，采购人可从成交候选供应商中重新选定成交供应商，并组织重新选定的成交供应商和采购人签订合同或重新开展采购活动。</w:t>
      </w:r>
    </w:p>
    <w:p>
      <w:pPr>
        <w:spacing w:line="360" w:lineRule="auto"/>
        <w:ind w:firstLine="480" w:firstLineChars="200"/>
        <w:outlineLvl w:val="1"/>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bCs/>
          <w:color w:val="auto"/>
          <w:sz w:val="24"/>
          <w:highlight w:val="none"/>
        </w:rPr>
        <w:t>、合同的签订准则</w:t>
      </w:r>
      <w:bookmarkEnd w:id="142"/>
      <w:bookmarkEnd w:id="143"/>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39</w:t>
      </w:r>
      <w:r>
        <w:rPr>
          <w:rFonts w:hint="eastAsia" w:ascii="仿宋" w:hAnsi="仿宋" w:eastAsia="仿宋" w:cs="仿宋"/>
          <w:bCs/>
          <w:color w:val="auto"/>
          <w:sz w:val="24"/>
          <w:highlight w:val="none"/>
        </w:rPr>
        <w:t>.1合同签订必须由采购人、</w:t>
      </w:r>
      <w:r>
        <w:rPr>
          <w:rFonts w:hint="eastAsia" w:ascii="仿宋" w:hAnsi="仿宋" w:eastAsia="仿宋" w:cs="仿宋"/>
          <w:bCs/>
          <w:color w:val="auto"/>
          <w:sz w:val="24"/>
          <w:highlight w:val="none"/>
          <w:lang w:eastAsia="zh-CN"/>
        </w:rPr>
        <w:t>成交</w:t>
      </w:r>
      <w:r>
        <w:rPr>
          <w:rFonts w:hint="eastAsia" w:ascii="仿宋" w:hAnsi="仿宋" w:eastAsia="仿宋" w:cs="仿宋"/>
          <w:bCs/>
          <w:color w:val="auto"/>
          <w:sz w:val="24"/>
          <w:highlight w:val="none"/>
        </w:rPr>
        <w:t>供应商双方法定代表人或其委托代理人签署并加盖法人公章后方能生效。</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39</w:t>
      </w:r>
      <w:r>
        <w:rPr>
          <w:rFonts w:hint="eastAsia" w:ascii="仿宋" w:hAnsi="仿宋" w:eastAsia="仿宋" w:cs="仿宋"/>
          <w:bCs/>
          <w:color w:val="auto"/>
          <w:sz w:val="24"/>
          <w:highlight w:val="none"/>
        </w:rPr>
        <w:t>.2合同转包（实质性要求）</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本采购项目严禁</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供应商将任何采购合同义务转包。本项目所称转包，是指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供应商将采购合同义务转让给第三人，并退出现有采购合同当事人双方的权利义务关系，受让人（即第三人）成为采购合同的另一方当事人的行为</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成交</w:t>
      </w:r>
      <w:r>
        <w:rPr>
          <w:rFonts w:hint="eastAsia" w:ascii="仿宋" w:hAnsi="仿宋" w:eastAsia="仿宋" w:cs="仿宋"/>
          <w:bCs/>
          <w:color w:val="auto"/>
          <w:sz w:val="24"/>
          <w:highlight w:val="none"/>
        </w:rPr>
        <w:t>供应商转包的，视同拒绝履行政府采购合同义务，将依法追究法律责任。</w:t>
      </w:r>
    </w:p>
    <w:p>
      <w:pPr>
        <w:spacing w:line="360" w:lineRule="auto"/>
        <w:ind w:firstLine="482" w:firstLineChars="200"/>
        <w:rPr>
          <w:rFonts w:hint="eastAsia" w:ascii="仿宋" w:hAnsi="仿宋" w:eastAsia="仿宋" w:cs="仿宋"/>
          <w:b/>
          <w:bCs w:val="0"/>
          <w:color w:val="auto"/>
          <w:sz w:val="24"/>
          <w:highlight w:val="none"/>
          <w:lang w:eastAsia="zh-CN"/>
        </w:rPr>
      </w:pPr>
      <w:r>
        <w:rPr>
          <w:rFonts w:hint="eastAsia" w:ascii="仿宋" w:hAnsi="仿宋" w:eastAsia="仿宋" w:cs="仿宋"/>
          <w:b/>
          <w:bCs w:val="0"/>
          <w:color w:val="auto"/>
          <w:sz w:val="24"/>
          <w:highlight w:val="none"/>
          <w:lang w:val="en-US" w:eastAsia="zh-CN"/>
        </w:rPr>
        <w:t>39</w:t>
      </w:r>
      <w:r>
        <w:rPr>
          <w:rFonts w:hint="eastAsia" w:ascii="仿宋" w:hAnsi="仿宋" w:eastAsia="仿宋" w:cs="仿宋"/>
          <w:b/>
          <w:bCs w:val="0"/>
          <w:color w:val="auto"/>
          <w:sz w:val="24"/>
          <w:highlight w:val="none"/>
        </w:rPr>
        <w:t>.3补充合同</w:t>
      </w:r>
    </w:p>
    <w:p>
      <w:pPr>
        <w:spacing w:line="360" w:lineRule="auto"/>
        <w:ind w:firstLine="482" w:firstLineChars="200"/>
        <w:rPr>
          <w:rFonts w:hint="eastAsia" w:ascii="仿宋" w:hAnsi="仿宋" w:eastAsia="仿宋" w:cs="仿宋"/>
          <w:b/>
          <w:bCs w:val="0"/>
          <w:color w:val="auto"/>
          <w:highlight w:val="none"/>
        </w:rPr>
      </w:pPr>
      <w:r>
        <w:rPr>
          <w:rFonts w:hint="eastAsia" w:ascii="仿宋" w:hAnsi="仿宋" w:eastAsia="仿宋" w:cs="仿宋"/>
          <w:b/>
          <w:bCs w:val="0"/>
          <w:color w:val="auto"/>
          <w:sz w:val="24"/>
          <w:highlight w:val="none"/>
        </w:rPr>
        <w:t>采购合同履行过程中，采购人需要追加与合同标的相同的货物或者服务的，在不改变合同其他条款的前提下，可以与</w:t>
      </w:r>
      <w:r>
        <w:rPr>
          <w:rFonts w:hint="eastAsia" w:ascii="仿宋" w:hAnsi="仿宋" w:eastAsia="仿宋" w:cs="仿宋"/>
          <w:b/>
          <w:bCs w:val="0"/>
          <w:color w:val="auto"/>
          <w:sz w:val="24"/>
          <w:highlight w:val="none"/>
          <w:lang w:eastAsia="zh-CN"/>
        </w:rPr>
        <w:t>成交</w:t>
      </w:r>
      <w:r>
        <w:rPr>
          <w:rFonts w:hint="eastAsia" w:ascii="仿宋" w:hAnsi="仿宋" w:eastAsia="仿宋" w:cs="仿宋"/>
          <w:b/>
          <w:bCs w:val="0"/>
          <w:color w:val="auto"/>
          <w:sz w:val="24"/>
          <w:highlight w:val="none"/>
        </w:rPr>
        <w:t>供应商协商签订补充合同，但所有补充合同的采购金额不得超过</w:t>
      </w:r>
      <w:r>
        <w:rPr>
          <w:rFonts w:hint="eastAsia" w:ascii="仿宋" w:hAnsi="仿宋" w:eastAsia="仿宋" w:cs="仿宋"/>
          <w:b/>
          <w:bCs w:val="0"/>
          <w:color w:val="auto"/>
          <w:kern w:val="2"/>
          <w:sz w:val="24"/>
          <w:szCs w:val="24"/>
          <w:highlight w:val="none"/>
          <w:lang w:val="en-US" w:eastAsia="zh-CN" w:bidi="ar-SA"/>
        </w:rPr>
        <w:t>原合同采购金额的百分之十</w:t>
      </w:r>
      <w:r>
        <w:rPr>
          <w:rFonts w:hint="eastAsia" w:ascii="仿宋" w:hAnsi="仿宋" w:eastAsia="仿宋" w:cs="仿宋"/>
          <w:b/>
          <w:bCs w:val="0"/>
          <w:color w:val="auto"/>
          <w:sz w:val="24"/>
          <w:highlight w:val="none"/>
        </w:rPr>
        <w:t xml:space="preserve">，该补充合同应当在原政府采购合同履行过程中，不得在原政府采购合同履行结束后，且采购货物、工程和服务的名称、价格、履约方式、验收标准等必须与原政府采购合同一致。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2" w:firstLineChars="20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4</w:t>
      </w:r>
      <w:r>
        <w:rPr>
          <w:rFonts w:hint="eastAsia" w:ascii="仿宋" w:hAnsi="仿宋" w:eastAsia="仿宋" w:cs="仿宋"/>
          <w:b/>
          <w:bCs w:val="0"/>
          <w:color w:val="auto"/>
          <w:sz w:val="24"/>
          <w:highlight w:val="none"/>
          <w:lang w:val="en-US" w:eastAsia="zh-CN"/>
        </w:rPr>
        <w:t>0</w:t>
      </w:r>
      <w:r>
        <w:rPr>
          <w:rFonts w:hint="eastAsia" w:ascii="仿宋" w:hAnsi="仿宋" w:eastAsia="仿宋" w:cs="仿宋"/>
          <w:b/>
          <w:bCs w:val="0"/>
          <w:color w:val="auto"/>
          <w:sz w:val="24"/>
          <w:highlight w:val="none"/>
        </w:rPr>
        <w:t>、验收</w:t>
      </w:r>
    </w:p>
    <w:p>
      <w:pPr>
        <w:spacing w:line="360" w:lineRule="auto"/>
        <w:ind w:firstLine="482" w:firstLineChars="20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4</w:t>
      </w:r>
      <w:r>
        <w:rPr>
          <w:rFonts w:hint="eastAsia" w:ascii="仿宋" w:hAnsi="仿宋" w:eastAsia="仿宋" w:cs="仿宋"/>
          <w:b/>
          <w:bCs w:val="0"/>
          <w:color w:val="auto"/>
          <w:sz w:val="24"/>
          <w:highlight w:val="none"/>
          <w:lang w:val="en-US" w:eastAsia="zh-CN"/>
        </w:rPr>
        <w:t>0</w:t>
      </w:r>
      <w:r>
        <w:rPr>
          <w:rFonts w:hint="eastAsia" w:ascii="仿宋" w:hAnsi="仿宋" w:eastAsia="仿宋" w:cs="仿宋"/>
          <w:b/>
          <w:bCs w:val="0"/>
          <w:color w:val="auto"/>
          <w:sz w:val="24"/>
          <w:highlight w:val="none"/>
        </w:rPr>
        <w:t>.1本项目采购人将严格按照政府采购相关法律法规以及《克拉玛依市政府采购项目需求论证和履约验收管理办法》（克财发〔2016〕9号）的要求进行验收。</w:t>
      </w:r>
    </w:p>
    <w:p>
      <w:pPr>
        <w:pStyle w:val="10"/>
        <w:spacing w:line="360" w:lineRule="auto"/>
        <w:jc w:val="center"/>
        <w:outlineLvl w:val="1"/>
        <w:rPr>
          <w:rFonts w:hint="eastAsia" w:ascii="仿宋" w:hAnsi="仿宋" w:eastAsia="仿宋" w:cs="仿宋"/>
          <w:b/>
          <w:bCs/>
          <w:color w:val="auto"/>
          <w:sz w:val="28"/>
          <w:szCs w:val="28"/>
          <w:highlight w:val="none"/>
        </w:rPr>
      </w:pPr>
    </w:p>
    <w:p>
      <w:pPr>
        <w:pStyle w:val="10"/>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七、询问、质疑、投诉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、询问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 供应商认为</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.2供应商如对</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.3上述应知其权益受到损害之日是指：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提出质疑的，为</w:t>
      </w:r>
      <w:r>
        <w:rPr>
          <w:rFonts w:hint="eastAsia" w:ascii="仿宋" w:hAnsi="仿宋" w:eastAsia="仿宋" w:cs="仿宋"/>
          <w:color w:val="auto"/>
          <w:sz w:val="24"/>
          <w:highlight w:val="none"/>
          <w:lang w:eastAsia="zh-CN"/>
        </w:rPr>
        <w:t>竞争性谈判文件</w:t>
      </w:r>
      <w:r>
        <w:rPr>
          <w:rFonts w:hint="eastAsia" w:ascii="仿宋" w:hAnsi="仿宋" w:eastAsia="仿宋" w:cs="仿宋"/>
          <w:color w:val="auto"/>
          <w:sz w:val="24"/>
          <w:highlight w:val="none"/>
        </w:rPr>
        <w:t xml:space="preserve">公告期限届满之日起计算；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（2）对采购过程提出质疑的，自采购程序环节结束之日起计算；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结果提出质疑的，自</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结果公告期限届满之日起计算。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.4质疑供应商在法定质疑期内应当一次性提出针对同一采购环节提出质疑。</w:t>
      </w:r>
    </w:p>
    <w:p>
      <w:pPr>
        <w:pStyle w:val="32"/>
        <w:spacing w:line="360" w:lineRule="auto"/>
        <w:ind w:left="1" w:firstLine="482" w:firstLineChars="200"/>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4</w:t>
      </w:r>
      <w:r>
        <w:rPr>
          <w:rFonts w:hint="eastAsia" w:ascii="仿宋" w:hAnsi="仿宋" w:eastAsia="仿宋" w:cs="仿宋"/>
          <w:b/>
          <w:bCs/>
          <w:color w:val="auto"/>
          <w:kern w:val="2"/>
          <w:sz w:val="24"/>
          <w:szCs w:val="24"/>
          <w:highlight w:val="none"/>
          <w:lang w:val="en-US" w:eastAsia="zh-CN"/>
        </w:rPr>
        <w:t>2</w:t>
      </w:r>
      <w:r>
        <w:rPr>
          <w:rFonts w:hint="eastAsia" w:ascii="仿宋" w:hAnsi="仿宋" w:eastAsia="仿宋" w:cs="仿宋"/>
          <w:b/>
          <w:bCs/>
          <w:color w:val="auto"/>
          <w:kern w:val="2"/>
          <w:sz w:val="24"/>
          <w:szCs w:val="24"/>
          <w:highlight w:val="none"/>
        </w:rPr>
        <w:t>.5质疑文件应包括以下主要内容，并按照“谁主张、谁举证”的原则，附上相关证明材料。否则，采购代理机构不予受理【财政部发布了《政府采购</w:t>
      </w:r>
      <w:r>
        <w:rPr>
          <w:rFonts w:hint="eastAsia" w:ascii="仿宋" w:hAnsi="仿宋" w:eastAsia="仿宋" w:cs="仿宋"/>
          <w:b/>
          <w:bCs/>
          <w:color w:val="auto"/>
          <w:kern w:val="2"/>
          <w:sz w:val="24"/>
          <w:szCs w:val="24"/>
          <w:highlight w:val="none"/>
          <w:lang w:eastAsia="zh-CN"/>
        </w:rPr>
        <w:t>供应商</w:t>
      </w:r>
      <w:r>
        <w:rPr>
          <w:rFonts w:hint="eastAsia" w:ascii="仿宋" w:hAnsi="仿宋" w:eastAsia="仿宋" w:cs="仿宋"/>
          <w:b/>
          <w:bCs/>
          <w:color w:val="auto"/>
          <w:kern w:val="2"/>
          <w:sz w:val="24"/>
          <w:szCs w:val="24"/>
          <w:highlight w:val="none"/>
        </w:rPr>
        <w:t>质疑函范本》和《政府采购</w:t>
      </w:r>
      <w:r>
        <w:rPr>
          <w:rFonts w:hint="eastAsia" w:ascii="仿宋" w:hAnsi="仿宋" w:eastAsia="仿宋" w:cs="仿宋"/>
          <w:b/>
          <w:bCs/>
          <w:color w:val="auto"/>
          <w:kern w:val="2"/>
          <w:sz w:val="24"/>
          <w:szCs w:val="24"/>
          <w:highlight w:val="none"/>
          <w:lang w:eastAsia="zh-CN"/>
        </w:rPr>
        <w:t>供应商</w:t>
      </w:r>
      <w:r>
        <w:rPr>
          <w:rFonts w:hint="eastAsia" w:ascii="仿宋" w:hAnsi="仿宋" w:eastAsia="仿宋" w:cs="仿宋"/>
          <w:b/>
          <w:bCs/>
          <w:color w:val="auto"/>
          <w:kern w:val="2"/>
          <w:sz w:val="24"/>
          <w:szCs w:val="24"/>
          <w:highlight w:val="none"/>
        </w:rPr>
        <w:t>投诉书范本》，两范本指</w:t>
      </w:r>
      <w:r>
        <w:rPr>
          <w:rFonts w:hint="eastAsia" w:ascii="仿宋" w:hAnsi="仿宋" w:eastAsia="仿宋" w:cs="仿宋"/>
          <w:b/>
          <w:bCs/>
          <w:color w:val="auto"/>
          <w:kern w:val="2"/>
          <w:sz w:val="24"/>
          <w:szCs w:val="24"/>
          <w:highlight w:val="none"/>
          <w:lang w:eastAsia="zh-CN"/>
        </w:rPr>
        <w:t>供应商</w:t>
      </w:r>
      <w:r>
        <w:rPr>
          <w:rFonts w:hint="eastAsia" w:ascii="仿宋" w:hAnsi="仿宋" w:eastAsia="仿宋" w:cs="仿宋"/>
          <w:b/>
          <w:bCs/>
          <w:color w:val="auto"/>
          <w:kern w:val="2"/>
          <w:sz w:val="24"/>
          <w:szCs w:val="24"/>
          <w:highlight w:val="none"/>
        </w:rPr>
        <w:t>（供应商）提出质疑、投诉人提起投诉时，应提交的质疑函、投诉书和必要的证明材料（下载路径：中国政府采购网→下载专区）】：　　</w:t>
      </w:r>
      <w:r>
        <w:rPr>
          <w:rFonts w:hint="eastAsia" w:ascii="仿宋" w:hAnsi="仿宋" w:eastAsia="仿宋" w:cs="仿宋"/>
          <w:color w:val="auto"/>
          <w:kern w:val="2"/>
          <w:sz w:val="24"/>
          <w:szCs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（1）供应商的姓名或者名称、地址、邮编、联系人及联系电话（包括座机、手机、传真号码等）；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（2）质疑项目的名称、项目编号、包号、采购公告发布时间、递交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 xml:space="preserve">截止时间；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（3）具体、明确的质疑事项和与质疑事项相关的请求；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（5）必要的法律依据；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（6）提起质疑的日期；</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（8）供应商委托代理质疑的，应当提交授权委托书，并载明代理人的姓名或者名称、代理事项、 具体权限、期限和相关事项。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.2供应商投诉的事项不得超出已质疑事项的范围，但基于质疑答复内容提出的投诉事项除外。</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、诚实信用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napToGrid w:val="0"/>
        <w:spacing w:line="360" w:lineRule="auto"/>
        <w:jc w:val="center"/>
        <w:rPr>
          <w:rFonts w:hint="eastAsia" w:ascii="仿宋" w:hAnsi="仿宋" w:eastAsia="仿宋" w:cs="仿宋"/>
          <w:b/>
          <w:bCs/>
          <w:color w:val="auto"/>
          <w:sz w:val="28"/>
          <w:szCs w:val="28"/>
          <w:highlight w:val="none"/>
        </w:rPr>
      </w:pP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八、义务、工作纪律</w:t>
      </w:r>
    </w:p>
    <w:p>
      <w:pPr>
        <w:tabs>
          <w:tab w:val="left" w:pos="7665"/>
        </w:tabs>
        <w:spacing w:line="360" w:lineRule="auto"/>
        <w:ind w:firstLine="482" w:firstLineChars="200"/>
        <w:rPr>
          <w:rFonts w:hint="eastAsia" w:ascii="仿宋" w:hAnsi="仿宋" w:eastAsia="仿宋" w:cs="仿宋"/>
          <w:color w:val="auto"/>
          <w:sz w:val="24"/>
          <w:highlight w:val="none"/>
        </w:rPr>
      </w:pPr>
      <w:bookmarkStart w:id="148" w:name="_Toc28505_WPSOffice_Level1"/>
      <w:r>
        <w:rPr>
          <w:rFonts w:hint="eastAsia" w:ascii="仿宋" w:hAnsi="仿宋" w:eastAsia="仿宋" w:cs="仿宋"/>
          <w:b/>
          <w:bCs/>
          <w:color w:val="auto"/>
          <w:sz w:val="24"/>
          <w:highlight w:val="none"/>
        </w:rPr>
        <w:t>4</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、谈判小组在政府采购活动中承担以下义务：</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（一）遵守评审工作纪律；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（二）按照客观、公正、审慎的原则，根据谈判文件规定的评审程序、评审方法和评审标准进行独立评审；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（三）不得泄露评审文件、评审情况和在评审过程中获悉的商业秘密；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（四）及时向财政部门报告评审过程中发现的采购人、采购代理机构向评审专家做倾向性、误导性的解释或者说明，以及供应商行贿、提供虚假材料或者串通等违法行为；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（五）发现谈判文件内容违反国家有关强制性规定或者谈判文件存在歧义、重大缺陷导致评审工作无法进行时，停止评审并向采购人或者采购代理机构书面说明情况；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（六）及时向财政、监察等部门举报在评审过程中受到非法干预的情况；</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（七）配合答复处理供应商的询问、质疑和投诉等事项； </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（八）法律、法规和规章规定的其他义务。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47</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评审专家</w:t>
      </w:r>
      <w:r>
        <w:rPr>
          <w:rFonts w:hint="eastAsia" w:ascii="仿宋" w:hAnsi="仿宋" w:eastAsia="仿宋" w:cs="仿宋"/>
          <w:bCs/>
          <w:color w:val="auto"/>
          <w:sz w:val="24"/>
          <w:highlight w:val="none"/>
        </w:rPr>
        <w:t>在政府采购活动中应当遵守以下工作纪律：</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bCs/>
          <w:color w:val="auto"/>
          <w:sz w:val="24"/>
          <w:highlight w:val="none"/>
        </w:rPr>
        <w:t>不得参加与自己有《中华人民共和国政府采购法实施条例》第九条规定的利害关系的政府采购项目的</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活动。发现参加了与自己有利害关系的评审活动，须主动提出回避，退出评审；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评审前，应当将通讯工具或者相关电子设备交由采购代理机构统一保管；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（三）</w:t>
      </w:r>
      <w:r>
        <w:rPr>
          <w:rFonts w:hint="eastAsia" w:ascii="仿宋" w:hAnsi="仿宋" w:eastAsia="仿宋" w:cs="仿宋"/>
          <w:bCs/>
          <w:color w:val="auto"/>
          <w:sz w:val="24"/>
          <w:highlight w:val="none"/>
        </w:rPr>
        <w:t>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四</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评审过程中，不得发表影响评审公正的倾向性、歧视性言论，不得征询或者接受采购人的倾向性意见，不得明示或暗示供应商在澄清时表达与其</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原义不同的意见，不得以</w:t>
      </w:r>
      <w:r>
        <w:rPr>
          <w:rFonts w:hint="eastAsia" w:ascii="仿宋" w:hAnsi="仿宋" w:eastAsia="仿宋" w:cs="仿宋"/>
          <w:bCs/>
          <w:color w:val="auto"/>
          <w:sz w:val="24"/>
          <w:highlight w:val="none"/>
          <w:lang w:eastAsia="zh-CN"/>
        </w:rPr>
        <w:t>竞争性谈判文件</w:t>
      </w:r>
      <w:r>
        <w:rPr>
          <w:rFonts w:hint="eastAsia" w:ascii="仿宋" w:hAnsi="仿宋" w:eastAsia="仿宋" w:cs="仿宋"/>
          <w:bCs/>
          <w:color w:val="auto"/>
          <w:sz w:val="24"/>
          <w:highlight w:val="none"/>
        </w:rPr>
        <w:t>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（五）</w:t>
      </w:r>
      <w:r>
        <w:rPr>
          <w:rFonts w:hint="eastAsia" w:ascii="仿宋" w:hAnsi="仿宋" w:eastAsia="仿宋" w:cs="仿宋"/>
          <w:bCs/>
          <w:color w:val="auto"/>
          <w:sz w:val="24"/>
          <w:highlight w:val="none"/>
        </w:rPr>
        <w:t>在评审过程中和评审结束后，不得记录、复制或带走任何评审资料，不得向外界透露评审内容；</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（六）</w:t>
      </w:r>
      <w:r>
        <w:rPr>
          <w:rFonts w:hint="eastAsia" w:ascii="仿宋" w:hAnsi="仿宋" w:eastAsia="仿宋" w:cs="仿宋"/>
          <w:bCs/>
          <w:color w:val="auto"/>
          <w:sz w:val="24"/>
          <w:highlight w:val="none"/>
        </w:rPr>
        <w:t>评审现场服从采购代理机构工作人员的管理，接受现场监督人员的合法监督；</w:t>
      </w:r>
    </w:p>
    <w:p>
      <w:pPr>
        <w:tabs>
          <w:tab w:val="left" w:pos="7665"/>
        </w:tabs>
        <w:spacing w:line="360" w:lineRule="auto"/>
        <w:ind w:firstLine="480" w:firstLineChars="200"/>
        <w:rPr>
          <w:rFonts w:hint="eastAsia" w:ascii="仿宋" w:hAnsi="仿宋" w:eastAsia="仿宋" w:cs="仿宋"/>
          <w:b/>
          <w:color w:val="auto"/>
          <w:kern w:val="2"/>
          <w:sz w:val="30"/>
          <w:szCs w:val="30"/>
          <w:highlight w:val="none"/>
          <w:lang w:val="en-US" w:eastAsia="zh-CN" w:bidi="ar-SA"/>
        </w:rPr>
      </w:pPr>
      <w:r>
        <w:rPr>
          <w:rFonts w:hint="eastAsia" w:ascii="仿宋" w:hAnsi="仿宋" w:eastAsia="仿宋" w:cs="仿宋"/>
          <w:bCs/>
          <w:color w:val="auto"/>
          <w:sz w:val="24"/>
          <w:highlight w:val="none"/>
          <w:lang w:val="en-US" w:eastAsia="zh-CN"/>
        </w:rPr>
        <w:t>（七）</w:t>
      </w:r>
      <w:r>
        <w:rPr>
          <w:rFonts w:hint="eastAsia" w:ascii="仿宋" w:hAnsi="仿宋" w:eastAsia="仿宋" w:cs="仿宋"/>
          <w:bCs/>
          <w:color w:val="auto"/>
          <w:sz w:val="24"/>
          <w:highlight w:val="none"/>
        </w:rPr>
        <w:t>遵守有关廉洁自律规定，不得私下接触供应商，不得收受供应商及有关业务单位和个人的财物或好处，不得接受采购代理机构的请托。</w:t>
      </w:r>
      <w:bookmarkEnd w:id="148"/>
      <w:bookmarkStart w:id="149" w:name="_Toc14014_WPSOffice_Level1"/>
    </w:p>
    <w:p>
      <w:pPr>
        <w:pStyle w:val="9"/>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t>第三章、项目采购需求</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、总则</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1.1本章条款仅限于</w:t>
      </w:r>
      <w:r>
        <w:rPr>
          <w:rFonts w:hint="eastAsia" w:ascii="仿宋" w:hAnsi="仿宋" w:eastAsia="仿宋" w:cs="仿宋"/>
          <w:color w:val="0000FF"/>
          <w:sz w:val="24"/>
          <w:highlight w:val="none"/>
        </w:rPr>
        <w:t>独山子区污水处理厂委托第三方检测机构监测排放污染物项目</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1.2本章条款提出的是最低限度的技术要求，并未对一切技术细节做出规定，也未引述有关规范条文，</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不得以本文件未提出要求为理由而规避国家和行业强制规范、标准的规定，</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应保证提供符合本章条款和相关标准的服务。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1.3如果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没有以书面形式对本章条款提出异议，</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人就可以认为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中，应对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中的服务进行详细的说明。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1.5在签订合同之后，</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人有权提出因规范标准有变化而产生的一些补充要求。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1.6本章条款使用标准如与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所执行标准发生矛盾时，按较高标准执行。</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二</w:t>
      </w:r>
      <w:r>
        <w:rPr>
          <w:rFonts w:hint="eastAsia" w:ascii="仿宋" w:hAnsi="仿宋" w:eastAsia="仿宋" w:cs="仿宋"/>
          <w:b/>
          <w:bCs/>
          <w:color w:val="auto"/>
          <w:sz w:val="24"/>
          <w:highlight w:val="none"/>
        </w:rPr>
        <w:t>、执行的规范和标准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本项目必须遵循国家规范和标准并应按最新版本执行，若标准、规范出现矛盾时，以最新、最高标准规范执行。</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三、主要污染物检测项目及要求</w:t>
      </w:r>
    </w:p>
    <w:p>
      <w:pPr>
        <w:spacing w:line="360" w:lineRule="auto"/>
        <w:ind w:firstLine="482"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1、独山子区污水处理厂废水污染物检测项目一览表</w:t>
      </w:r>
    </w:p>
    <w:tbl>
      <w:tblPr>
        <w:tblStyle w:val="19"/>
        <w:tblpPr w:leftFromText="180" w:rightFromText="180" w:vertAnchor="text" w:horzAnchor="page" w:tblpXSpec="center" w:tblpY="151"/>
        <w:tblOverlap w:val="never"/>
        <w:tblW w:w="10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53"/>
        <w:gridCol w:w="1255"/>
        <w:gridCol w:w="1854"/>
        <w:gridCol w:w="1732"/>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dxa"/>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类别</w:t>
            </w:r>
          </w:p>
        </w:tc>
        <w:tc>
          <w:tcPr>
            <w:tcW w:w="653" w:type="dxa"/>
            <w:shd w:val="clear" w:color="auto" w:fill="auto"/>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rPr>
              <w:t>监测</w:t>
            </w:r>
            <w:r>
              <w:rPr>
                <w:rFonts w:hint="eastAsia" w:ascii="仿宋" w:hAnsi="仿宋" w:eastAsia="仿宋" w:cs="仿宋"/>
                <w:color w:val="auto"/>
                <w:kern w:val="0"/>
                <w:lang w:eastAsia="zh-CN"/>
              </w:rPr>
              <w:t>对象</w:t>
            </w:r>
          </w:p>
        </w:tc>
        <w:tc>
          <w:tcPr>
            <w:tcW w:w="1255" w:type="dxa"/>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rPr>
              <w:t>监测</w:t>
            </w:r>
            <w:r>
              <w:rPr>
                <w:rFonts w:hint="eastAsia" w:ascii="仿宋" w:hAnsi="仿宋" w:eastAsia="仿宋" w:cs="仿宋"/>
                <w:color w:val="auto"/>
                <w:kern w:val="0"/>
                <w:lang w:eastAsia="zh-CN"/>
              </w:rPr>
              <w:t>点位</w:t>
            </w:r>
          </w:p>
        </w:tc>
        <w:tc>
          <w:tcPr>
            <w:tcW w:w="1854" w:type="dxa"/>
            <w:shd w:val="clear" w:color="auto" w:fill="auto"/>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监测项目</w:t>
            </w:r>
          </w:p>
        </w:tc>
        <w:tc>
          <w:tcPr>
            <w:tcW w:w="1732" w:type="dxa"/>
            <w:shd w:val="clear" w:color="auto" w:fill="auto"/>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标准</w:t>
            </w:r>
          </w:p>
        </w:tc>
        <w:tc>
          <w:tcPr>
            <w:tcW w:w="4734" w:type="dxa"/>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jc w:val="center"/>
        </w:trPr>
        <w:tc>
          <w:tcPr>
            <w:tcW w:w="492" w:type="dxa"/>
            <w:vMerge w:val="restart"/>
            <w:vAlign w:val="center"/>
          </w:tcPr>
          <w:p>
            <w:pPr>
              <w:jc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eastAsia="zh-CN"/>
              </w:rPr>
              <w:t>污水</w:t>
            </w:r>
          </w:p>
        </w:tc>
        <w:tc>
          <w:tcPr>
            <w:tcW w:w="653" w:type="dxa"/>
            <w:vAlign w:val="center"/>
          </w:tcPr>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进口</w:t>
            </w:r>
          </w:p>
        </w:tc>
        <w:tc>
          <w:tcPr>
            <w:tcW w:w="1255" w:type="dxa"/>
            <w:vAlign w:val="center"/>
          </w:tcPr>
          <w:p>
            <w:pPr>
              <w:widowControl/>
              <w:adjustRightInd w:val="0"/>
              <w:snapToGrid w:val="0"/>
              <w:jc w:val="center"/>
              <w:rPr>
                <w:rFonts w:hint="eastAsia" w:ascii="仿宋" w:hAnsi="仿宋" w:eastAsia="仿宋" w:cs="仿宋"/>
                <w:color w:val="auto"/>
                <w:lang w:val="en-US" w:eastAsia="zh-CN"/>
              </w:rPr>
            </w:pPr>
            <w:r>
              <w:rPr>
                <w:rFonts w:hint="eastAsia" w:ascii="仿宋" w:hAnsi="仿宋" w:eastAsia="仿宋" w:cs="仿宋"/>
                <w:color w:val="auto"/>
                <w:kern w:val="0"/>
                <w:szCs w:val="21"/>
                <w:lang w:eastAsia="zh-CN"/>
              </w:rPr>
              <w:t>区污水处理厂除渣机房进口</w:t>
            </w:r>
          </w:p>
        </w:tc>
        <w:tc>
          <w:tcPr>
            <w:tcW w:w="1854" w:type="dxa"/>
            <w:vAlign w:val="center"/>
          </w:tcPr>
          <w:p>
            <w:pPr>
              <w:widowControl/>
              <w:adjustRightInd w:val="0"/>
              <w:snapToGrid w:val="0"/>
              <w:jc w:val="center"/>
              <w:rPr>
                <w:rFonts w:hint="eastAsia" w:ascii="仿宋" w:hAnsi="仿宋" w:eastAsia="仿宋" w:cs="仿宋"/>
                <w:color w:val="auto"/>
                <w:kern w:val="0"/>
                <w:szCs w:val="21"/>
                <w:lang w:val="en-US"/>
              </w:rPr>
            </w:pPr>
            <w:r>
              <w:rPr>
                <w:rFonts w:hint="eastAsia" w:ascii="仿宋" w:hAnsi="仿宋" w:eastAsia="仿宋" w:cs="仿宋"/>
                <w:color w:val="auto"/>
                <w:kern w:val="0"/>
                <w:szCs w:val="24"/>
                <w:lang w:val="en-US" w:eastAsia="zh-CN"/>
              </w:rPr>
              <w:t>《污水排入城镇下水道水质标准》（GB/T31962-2015)A级标准中要求检测的46项水质指标、</w:t>
            </w:r>
            <w:r>
              <w:rPr>
                <w:rFonts w:hint="eastAsia" w:ascii="仿宋" w:hAnsi="仿宋" w:eastAsia="仿宋" w:cs="仿宋"/>
                <w:color w:val="auto"/>
                <w:kern w:val="0"/>
                <w:szCs w:val="21"/>
                <w:lang w:eastAsia="zh-CN"/>
              </w:rPr>
              <w:t>粪大肠杆菌群</w:t>
            </w:r>
          </w:p>
        </w:tc>
        <w:tc>
          <w:tcPr>
            <w:tcW w:w="1732" w:type="dxa"/>
            <w:vAlign w:val="center"/>
          </w:tcPr>
          <w:p>
            <w:pPr>
              <w:jc w:val="left"/>
              <w:rPr>
                <w:rFonts w:hint="eastAsia" w:ascii="仿宋" w:hAnsi="仿宋" w:eastAsia="仿宋" w:cs="仿宋"/>
                <w:color w:val="auto"/>
                <w:kern w:val="0"/>
                <w:szCs w:val="24"/>
              </w:rPr>
            </w:pPr>
            <w:r>
              <w:rPr>
                <w:rFonts w:hint="eastAsia" w:ascii="仿宋" w:hAnsi="仿宋" w:eastAsia="仿宋" w:cs="仿宋"/>
                <w:color w:val="auto"/>
                <w:kern w:val="0"/>
                <w:szCs w:val="24"/>
              </w:rPr>
              <w:t>《污水排入城镇下水道水质标准》</w:t>
            </w:r>
            <w:r>
              <w:rPr>
                <w:rFonts w:hint="eastAsia" w:ascii="仿宋" w:hAnsi="仿宋" w:eastAsia="仿宋" w:cs="仿宋"/>
                <w:color w:val="auto"/>
                <w:kern w:val="0"/>
                <w:szCs w:val="24"/>
                <w:lang w:val="en-US" w:eastAsia="zh-CN"/>
              </w:rPr>
              <w:t>GB/T31962-2015及相关水质标准</w:t>
            </w:r>
          </w:p>
        </w:tc>
        <w:tc>
          <w:tcPr>
            <w:tcW w:w="4734" w:type="dxa"/>
          </w:tcPr>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1、需按照《污水排入城镇下水道水质标准》（GB/T31962-2015)，对表1污水排入城镇下水道水质控制项目限值A级标准列中的第1项至16项控制项目和</w:t>
            </w:r>
            <w:r>
              <w:rPr>
                <w:rFonts w:hint="eastAsia" w:ascii="仿宋" w:hAnsi="仿宋" w:eastAsia="仿宋" w:cs="仿宋"/>
                <w:color w:val="auto"/>
                <w:kern w:val="0"/>
                <w:szCs w:val="21"/>
                <w:lang w:eastAsia="zh-CN"/>
              </w:rPr>
              <w:t>粪大肠杆菌群</w:t>
            </w:r>
            <w:r>
              <w:rPr>
                <w:rFonts w:hint="eastAsia" w:ascii="仿宋" w:hAnsi="仿宋" w:eastAsia="仿宋" w:cs="仿宋"/>
                <w:color w:val="auto"/>
                <w:kern w:val="0"/>
                <w:szCs w:val="24"/>
                <w:lang w:val="en-US" w:eastAsia="zh-CN"/>
              </w:rPr>
              <w:t>，每月基本检测一次，</w:t>
            </w:r>
            <w:r>
              <w:rPr>
                <w:rFonts w:hint="eastAsia" w:ascii="仿宋" w:hAnsi="仿宋" w:eastAsia="仿宋" w:cs="仿宋"/>
                <w:b/>
                <w:bCs w:val="0"/>
                <w:color w:val="auto"/>
                <w:sz w:val="24"/>
                <w:szCs w:val="24"/>
              </w:rPr>
              <w:t>并出具</w:t>
            </w:r>
            <w:r>
              <w:rPr>
                <w:rFonts w:hint="eastAsia" w:ascii="仿宋" w:hAnsi="仿宋" w:eastAsia="仿宋" w:cs="仿宋"/>
                <w:b/>
                <w:bCs w:val="0"/>
                <w:color w:val="auto"/>
                <w:sz w:val="24"/>
                <w:szCs w:val="24"/>
                <w:lang w:eastAsia="zh-CN"/>
              </w:rPr>
              <w:t>检测</w:t>
            </w:r>
            <w:r>
              <w:rPr>
                <w:rFonts w:hint="eastAsia" w:ascii="仿宋" w:hAnsi="仿宋" w:eastAsia="仿宋" w:cs="仿宋"/>
                <w:b/>
                <w:bCs w:val="0"/>
                <w:color w:val="auto"/>
                <w:sz w:val="24"/>
                <w:szCs w:val="24"/>
              </w:rPr>
              <w:t>报告</w:t>
            </w:r>
            <w:r>
              <w:rPr>
                <w:rFonts w:hint="eastAsia" w:ascii="仿宋" w:hAnsi="仿宋" w:eastAsia="仿宋" w:cs="仿宋"/>
                <w:b w:val="0"/>
                <w:bCs/>
                <w:color w:val="auto"/>
                <w:sz w:val="24"/>
                <w:szCs w:val="24"/>
              </w:rPr>
              <w:t>。</w:t>
            </w:r>
          </w:p>
          <w:p>
            <w:pPr>
              <w:numPr>
                <w:ilvl w:val="0"/>
                <w:numId w:val="0"/>
              </w:numPr>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Cs w:val="24"/>
                <w:lang w:val="en-US" w:eastAsia="zh-CN"/>
              </w:rPr>
              <w:t>2、需按照《污水排入城镇下水道水质标准》（GB/T31962-2015)，对表1污水排入城镇下水道水质控制项目限值A级标准列中的第17项至46项控制项目，每季度基本检测一次，</w:t>
            </w:r>
            <w:r>
              <w:rPr>
                <w:rFonts w:hint="eastAsia" w:ascii="仿宋" w:hAnsi="仿宋" w:eastAsia="仿宋" w:cs="仿宋"/>
                <w:b/>
                <w:bCs w:val="0"/>
                <w:color w:val="auto"/>
                <w:sz w:val="24"/>
                <w:szCs w:val="24"/>
              </w:rPr>
              <w:t>并出具</w:t>
            </w:r>
            <w:r>
              <w:rPr>
                <w:rFonts w:hint="eastAsia" w:ascii="仿宋" w:hAnsi="仿宋" w:eastAsia="仿宋" w:cs="仿宋"/>
                <w:b/>
                <w:bCs w:val="0"/>
                <w:color w:val="auto"/>
                <w:sz w:val="24"/>
                <w:szCs w:val="24"/>
                <w:lang w:eastAsia="zh-CN"/>
              </w:rPr>
              <w:t>检测</w:t>
            </w:r>
            <w:r>
              <w:rPr>
                <w:rFonts w:hint="eastAsia" w:ascii="仿宋" w:hAnsi="仿宋" w:eastAsia="仿宋" w:cs="仿宋"/>
                <w:b/>
                <w:bCs w:val="0"/>
                <w:color w:val="auto"/>
                <w:sz w:val="24"/>
                <w:szCs w:val="24"/>
              </w:rPr>
              <w:t>报告</w:t>
            </w:r>
            <w:r>
              <w:rPr>
                <w:rFonts w:hint="eastAsia" w:ascii="仿宋" w:hAnsi="仿宋" w:eastAsia="仿宋" w:cs="仿宋"/>
                <w:b w:val="0"/>
                <w:bCs/>
                <w:color w:val="auto"/>
                <w:sz w:val="24"/>
                <w:szCs w:val="24"/>
              </w:rPr>
              <w:t>。</w:t>
            </w:r>
          </w:p>
          <w:p>
            <w:pPr>
              <w:numPr>
                <w:ilvl w:val="0"/>
                <w:numId w:val="0"/>
              </w:numPr>
              <w:jc w:val="left"/>
              <w:rPr>
                <w:rFonts w:hint="eastAsia" w:ascii="仿宋" w:hAnsi="仿宋" w:eastAsia="仿宋" w:cs="仿宋"/>
                <w:b/>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bCs w:val="0"/>
                <w:color w:val="auto"/>
                <w:sz w:val="24"/>
                <w:szCs w:val="24"/>
                <w:lang w:val="en-US" w:eastAsia="zh-CN"/>
              </w:rPr>
              <w:t>以上检测频次为基本要求，如遇进水突发事件、上级部门要求等情况，需加密检测频次，则由成交单位承担检测工作，相关检测费用包含在投标单位总包价中，甲方不再另行支付。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jc w:val="center"/>
        </w:trPr>
        <w:tc>
          <w:tcPr>
            <w:tcW w:w="492" w:type="dxa"/>
            <w:vMerge w:val="continue"/>
          </w:tcPr>
          <w:p>
            <w:pPr>
              <w:widowControl/>
              <w:jc w:val="left"/>
              <w:rPr>
                <w:rFonts w:hint="eastAsia" w:ascii="仿宋" w:hAnsi="仿宋" w:eastAsia="仿宋" w:cs="仿宋"/>
                <w:color w:val="auto"/>
                <w:kern w:val="0"/>
                <w:szCs w:val="21"/>
              </w:rPr>
            </w:pPr>
          </w:p>
        </w:tc>
        <w:tc>
          <w:tcPr>
            <w:tcW w:w="653" w:type="dxa"/>
            <w:vAlign w:val="center"/>
          </w:tcPr>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排口</w:t>
            </w:r>
          </w:p>
        </w:tc>
        <w:tc>
          <w:tcPr>
            <w:tcW w:w="1255" w:type="dxa"/>
            <w:vAlign w:val="center"/>
          </w:tcPr>
          <w:p>
            <w:pPr>
              <w:widowControl/>
              <w:jc w:val="cente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1处，</w:t>
            </w:r>
            <w:r>
              <w:rPr>
                <w:rFonts w:hint="eastAsia" w:ascii="仿宋" w:hAnsi="仿宋" w:eastAsia="仿宋" w:cs="仿宋"/>
                <w:color w:val="auto"/>
                <w:kern w:val="0"/>
                <w:szCs w:val="21"/>
                <w:lang w:eastAsia="zh-CN"/>
              </w:rPr>
              <w:t>区污水处理厂</w:t>
            </w:r>
            <w:r>
              <w:rPr>
                <w:rFonts w:hint="eastAsia" w:ascii="仿宋" w:hAnsi="仿宋" w:eastAsia="仿宋" w:cs="仿宋"/>
                <w:color w:val="auto"/>
                <w:kern w:val="0"/>
                <w:szCs w:val="21"/>
                <w:lang w:val="en-US" w:eastAsia="zh-CN"/>
              </w:rPr>
              <w:t>消毒接触池</w:t>
            </w:r>
          </w:p>
        </w:tc>
        <w:tc>
          <w:tcPr>
            <w:tcW w:w="1854" w:type="dxa"/>
            <w:vAlign w:val="center"/>
          </w:tcPr>
          <w:p>
            <w:pPr>
              <w:widowControl/>
              <w:jc w:val="cente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4"/>
              </w:rPr>
              <w:t>《城镇污水处理厂水污染物排放标准》（GB/T18918-2002）一级A标准</w:t>
            </w:r>
            <w:r>
              <w:rPr>
                <w:rFonts w:hint="eastAsia" w:ascii="仿宋" w:hAnsi="仿宋" w:eastAsia="仿宋" w:cs="仿宋"/>
                <w:color w:val="auto"/>
                <w:kern w:val="0"/>
                <w:szCs w:val="24"/>
                <w:lang w:eastAsia="zh-CN"/>
              </w:rPr>
              <w:t>中</w:t>
            </w:r>
            <w:r>
              <w:rPr>
                <w:rFonts w:hint="eastAsia" w:ascii="仿宋" w:hAnsi="仿宋" w:eastAsia="仿宋" w:cs="仿宋"/>
                <w:color w:val="auto"/>
                <w:kern w:val="0"/>
                <w:szCs w:val="24"/>
                <w:lang w:val="en-US" w:eastAsia="zh-CN"/>
              </w:rPr>
              <w:t>要求检测的19项水质指标、选择控制项目的43项、余氯</w:t>
            </w:r>
          </w:p>
        </w:tc>
        <w:tc>
          <w:tcPr>
            <w:tcW w:w="1732" w:type="dxa"/>
            <w:vAlign w:val="center"/>
          </w:tcPr>
          <w:p>
            <w:pPr>
              <w:jc w:val="left"/>
              <w:rPr>
                <w:rFonts w:hint="eastAsia" w:ascii="仿宋" w:hAnsi="仿宋" w:eastAsia="仿宋" w:cs="仿宋"/>
                <w:color w:val="auto"/>
                <w:kern w:val="0"/>
                <w:szCs w:val="24"/>
              </w:rPr>
            </w:pPr>
            <w:r>
              <w:rPr>
                <w:rFonts w:hint="eastAsia" w:ascii="仿宋" w:hAnsi="仿宋" w:eastAsia="仿宋" w:cs="仿宋"/>
                <w:color w:val="auto"/>
                <w:kern w:val="0"/>
                <w:szCs w:val="24"/>
              </w:rPr>
              <w:t>《城镇污水处理厂水污染物排放标准》（GB/T18918-2002）一级A标准</w:t>
            </w:r>
            <w:r>
              <w:rPr>
                <w:rFonts w:hint="eastAsia" w:ascii="仿宋" w:hAnsi="仿宋" w:eastAsia="仿宋" w:cs="仿宋"/>
                <w:color w:val="auto"/>
                <w:kern w:val="0"/>
                <w:szCs w:val="24"/>
                <w:lang w:val="en-US" w:eastAsia="zh-CN"/>
              </w:rPr>
              <w:t>及相关水质标准</w:t>
            </w:r>
          </w:p>
        </w:tc>
        <w:tc>
          <w:tcPr>
            <w:tcW w:w="4734" w:type="dxa"/>
          </w:tcPr>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1、需按照</w:t>
            </w: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val="en-US" w:eastAsia="zh-CN"/>
              </w:rPr>
              <w:t>，对表1基本控制项目最高允许排放浓度（日均值）一级A标准列中的第1项至12项控制项目、表2部分一类污染物最高允许排放浓度（日均值）中第1项至第7项控制项目、</w:t>
            </w:r>
            <w:r>
              <w:rPr>
                <w:rFonts w:hint="eastAsia" w:ascii="仿宋" w:hAnsi="仿宋" w:eastAsia="仿宋" w:cs="仿宋"/>
                <w:color w:val="auto"/>
                <w:kern w:val="0"/>
                <w:szCs w:val="21"/>
                <w:lang w:eastAsia="zh-CN"/>
              </w:rPr>
              <w:t>余氯等指标</w:t>
            </w:r>
            <w:r>
              <w:rPr>
                <w:rFonts w:hint="eastAsia" w:ascii="仿宋" w:hAnsi="仿宋" w:eastAsia="仿宋" w:cs="仿宋"/>
                <w:color w:val="auto"/>
                <w:kern w:val="0"/>
                <w:szCs w:val="24"/>
                <w:lang w:val="en-US" w:eastAsia="zh-CN"/>
              </w:rPr>
              <w:t>，每月基本检测一次，</w:t>
            </w:r>
            <w:r>
              <w:rPr>
                <w:rFonts w:hint="eastAsia" w:ascii="仿宋" w:hAnsi="仿宋" w:eastAsia="仿宋" w:cs="仿宋"/>
                <w:b w:val="0"/>
                <w:bCs/>
                <w:color w:val="auto"/>
                <w:sz w:val="24"/>
                <w:szCs w:val="24"/>
              </w:rPr>
              <w:t>并出具</w:t>
            </w:r>
            <w:r>
              <w:rPr>
                <w:rFonts w:hint="eastAsia" w:ascii="仿宋" w:hAnsi="仿宋" w:eastAsia="仿宋" w:cs="仿宋"/>
                <w:b w:val="0"/>
                <w:bCs/>
                <w:color w:val="auto"/>
                <w:sz w:val="24"/>
                <w:szCs w:val="24"/>
                <w:lang w:eastAsia="zh-CN"/>
              </w:rPr>
              <w:t>检测</w:t>
            </w:r>
            <w:r>
              <w:rPr>
                <w:rFonts w:hint="eastAsia" w:ascii="仿宋" w:hAnsi="仿宋" w:eastAsia="仿宋" w:cs="仿宋"/>
                <w:b w:val="0"/>
                <w:bCs/>
                <w:color w:val="auto"/>
                <w:sz w:val="24"/>
                <w:szCs w:val="24"/>
              </w:rPr>
              <w:t>报告。</w:t>
            </w:r>
          </w:p>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2、需按照</w:t>
            </w: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val="en-US" w:eastAsia="zh-CN"/>
              </w:rPr>
              <w:t>，对表3选择控制项目最高允许排放浓度（日均值）第1项至43项控制项目，每季度基本检测一次，</w:t>
            </w:r>
            <w:r>
              <w:rPr>
                <w:rFonts w:hint="eastAsia" w:ascii="仿宋" w:hAnsi="仿宋" w:eastAsia="仿宋" w:cs="仿宋"/>
                <w:b w:val="0"/>
                <w:bCs/>
                <w:color w:val="auto"/>
                <w:sz w:val="24"/>
                <w:szCs w:val="24"/>
              </w:rPr>
              <w:t>并出具</w:t>
            </w:r>
            <w:r>
              <w:rPr>
                <w:rFonts w:hint="eastAsia" w:ascii="仿宋" w:hAnsi="仿宋" w:eastAsia="仿宋" w:cs="仿宋"/>
                <w:b w:val="0"/>
                <w:bCs/>
                <w:color w:val="auto"/>
                <w:sz w:val="24"/>
                <w:szCs w:val="24"/>
                <w:lang w:eastAsia="zh-CN"/>
              </w:rPr>
              <w:t>检测</w:t>
            </w:r>
            <w:r>
              <w:rPr>
                <w:rFonts w:hint="eastAsia" w:ascii="仿宋" w:hAnsi="仿宋" w:eastAsia="仿宋" w:cs="仿宋"/>
                <w:b w:val="0"/>
                <w:bCs/>
                <w:color w:val="auto"/>
                <w:sz w:val="24"/>
                <w:szCs w:val="24"/>
              </w:rPr>
              <w:t>报告。</w:t>
            </w:r>
          </w:p>
          <w:p>
            <w:pPr>
              <w:numPr>
                <w:ilvl w:val="0"/>
                <w:numId w:val="0"/>
              </w:numPr>
              <w:jc w:val="left"/>
              <w:rPr>
                <w:rFonts w:hint="eastAsia" w:ascii="仿宋" w:hAnsi="仿宋" w:eastAsia="仿宋" w:cs="仿宋"/>
                <w:b/>
                <w:color w:val="auto"/>
                <w:sz w:val="28"/>
                <w:szCs w:val="28"/>
              </w:rPr>
            </w:pPr>
            <w:r>
              <w:rPr>
                <w:rFonts w:hint="eastAsia" w:ascii="仿宋" w:hAnsi="仿宋" w:eastAsia="仿宋" w:cs="仿宋"/>
                <w:b w:val="0"/>
                <w:bCs/>
                <w:color w:val="auto"/>
                <w:sz w:val="24"/>
                <w:szCs w:val="24"/>
                <w:lang w:val="en-US" w:eastAsia="zh-CN"/>
              </w:rPr>
              <w:t>3、</w:t>
            </w:r>
            <w:r>
              <w:rPr>
                <w:rFonts w:hint="eastAsia" w:ascii="仿宋" w:hAnsi="仿宋" w:eastAsia="仿宋" w:cs="仿宋"/>
                <w:b/>
                <w:bCs w:val="0"/>
                <w:color w:val="auto"/>
                <w:sz w:val="24"/>
                <w:szCs w:val="24"/>
                <w:lang w:val="en-US" w:eastAsia="zh-CN"/>
              </w:rPr>
              <w:t>以上检测频次为基本要求，如遇进水突发事件、上级部门要求等情况，需加密检测频次，则有成交单位承担检测工作，相关检测费用包含在投标单位总包价中，甲方不再另行支付。</w:t>
            </w:r>
          </w:p>
        </w:tc>
      </w:tr>
    </w:tbl>
    <w:p>
      <w:pPr>
        <w:keepNext w:val="0"/>
        <w:keepLines w:val="0"/>
        <w:pageBreakBefore/>
        <w:widowControl w:val="0"/>
        <w:numPr>
          <w:ilvl w:val="0"/>
          <w:numId w:val="0"/>
        </w:numPr>
        <w:tabs>
          <w:tab w:val="left" w:pos="7665"/>
        </w:tabs>
        <w:kinsoku/>
        <w:wordWrap/>
        <w:overflowPunct/>
        <w:topLinePunct w:val="0"/>
        <w:autoSpaceDE/>
        <w:autoSpaceDN/>
        <w:bidi w:val="0"/>
        <w:adjustRightInd/>
        <w:snapToGrid/>
        <w:spacing w:line="360" w:lineRule="auto"/>
        <w:jc w:val="both"/>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w:t>
      </w:r>
      <w:r>
        <w:rPr>
          <w:rFonts w:hint="eastAsia" w:ascii="仿宋_GB2312" w:hAnsi="仿宋_GB2312" w:eastAsia="仿宋_GB2312" w:cs="仿宋_GB2312"/>
          <w:b/>
          <w:bCs w:val="0"/>
          <w:color w:val="auto"/>
          <w:sz w:val="24"/>
          <w:szCs w:val="24"/>
        </w:rPr>
        <w:t>独山子区污水处理厂噪声</w:t>
      </w:r>
      <w:r>
        <w:rPr>
          <w:rFonts w:hint="eastAsia" w:ascii="仿宋_GB2312" w:hAnsi="仿宋_GB2312" w:eastAsia="仿宋_GB2312" w:cs="仿宋_GB2312"/>
          <w:b/>
          <w:bCs w:val="0"/>
          <w:color w:val="auto"/>
          <w:sz w:val="24"/>
          <w:szCs w:val="24"/>
          <w:lang w:eastAsia="zh-CN"/>
        </w:rPr>
        <w:t>检测项目</w:t>
      </w:r>
      <w:r>
        <w:rPr>
          <w:rFonts w:hint="eastAsia" w:ascii="仿宋_GB2312" w:hAnsi="仿宋_GB2312" w:eastAsia="仿宋_GB2312" w:cs="仿宋_GB2312"/>
          <w:b/>
          <w:bCs w:val="0"/>
          <w:color w:val="auto"/>
          <w:sz w:val="24"/>
          <w:szCs w:val="24"/>
        </w:rPr>
        <w:t>一览表</w:t>
      </w:r>
    </w:p>
    <w:tbl>
      <w:tblPr>
        <w:tblStyle w:val="19"/>
        <w:tblpPr w:leftFromText="180" w:rightFromText="180" w:vertAnchor="text" w:horzAnchor="page" w:tblpXSpec="center" w:tblpY="82"/>
        <w:tblOverlap w:val="never"/>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76"/>
        <w:gridCol w:w="1134"/>
        <w:gridCol w:w="1898"/>
        <w:gridCol w:w="2638"/>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类别</w:t>
            </w:r>
          </w:p>
        </w:tc>
        <w:tc>
          <w:tcPr>
            <w:tcW w:w="1276" w:type="dxa"/>
            <w:vAlign w:val="center"/>
          </w:tcPr>
          <w:p>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监测</w:t>
            </w:r>
            <w:r>
              <w:rPr>
                <w:rFonts w:hint="eastAsia" w:ascii="仿宋_GB2312" w:hAnsi="仿宋_GB2312" w:eastAsia="仿宋_GB2312" w:cs="仿宋_GB2312"/>
                <w:color w:val="auto"/>
                <w:szCs w:val="21"/>
                <w:lang w:eastAsia="zh-CN"/>
              </w:rPr>
              <w:t>范围</w:t>
            </w:r>
          </w:p>
        </w:tc>
        <w:tc>
          <w:tcPr>
            <w:tcW w:w="1134"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监测点位</w:t>
            </w:r>
          </w:p>
        </w:tc>
        <w:tc>
          <w:tcPr>
            <w:tcW w:w="1898"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监测频次</w:t>
            </w:r>
          </w:p>
        </w:tc>
        <w:tc>
          <w:tcPr>
            <w:tcW w:w="2638" w:type="dxa"/>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执行标准</w:t>
            </w:r>
          </w:p>
        </w:tc>
        <w:tc>
          <w:tcPr>
            <w:tcW w:w="2789"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8" w:hRule="atLeast"/>
          <w:jc w:val="center"/>
        </w:trPr>
        <w:tc>
          <w:tcPr>
            <w:tcW w:w="730"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噪声</w:t>
            </w:r>
          </w:p>
        </w:tc>
        <w:tc>
          <w:tcPr>
            <w:tcW w:w="1276"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区污水处理厂</w:t>
            </w:r>
            <w:r>
              <w:rPr>
                <w:rFonts w:hint="eastAsia" w:ascii="仿宋_GB2312" w:hAnsi="仿宋_GB2312" w:eastAsia="仿宋_GB2312" w:cs="仿宋_GB2312"/>
                <w:color w:val="auto"/>
                <w:szCs w:val="21"/>
              </w:rPr>
              <w:t>厂界</w:t>
            </w:r>
          </w:p>
        </w:tc>
        <w:tc>
          <w:tcPr>
            <w:tcW w:w="1134"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按规范取点（</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处点位，分昼夜检测）</w:t>
            </w:r>
          </w:p>
        </w:tc>
        <w:tc>
          <w:tcPr>
            <w:tcW w:w="1898"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b w:val="0"/>
                <w:bCs w:val="0"/>
                <w:color w:val="auto"/>
                <w:szCs w:val="21"/>
              </w:rPr>
              <w:t>检测单位</w:t>
            </w:r>
            <w:r>
              <w:rPr>
                <w:rFonts w:hint="eastAsia" w:ascii="仿宋_GB2312" w:hAnsi="仿宋_GB2312" w:eastAsia="仿宋_GB2312" w:cs="仿宋_GB2312"/>
                <w:b w:val="0"/>
                <w:bCs w:val="0"/>
                <w:color w:val="auto"/>
                <w:sz w:val="24"/>
                <w:szCs w:val="24"/>
              </w:rPr>
              <w:t>每</w:t>
            </w:r>
            <w:r>
              <w:rPr>
                <w:rFonts w:hint="eastAsia" w:ascii="仿宋_GB2312" w:hAnsi="仿宋_GB2312" w:eastAsia="仿宋_GB2312" w:cs="仿宋_GB2312"/>
                <w:b w:val="0"/>
                <w:bCs w:val="0"/>
                <w:color w:val="auto"/>
                <w:sz w:val="24"/>
                <w:szCs w:val="24"/>
                <w:lang w:eastAsia="zh-CN"/>
              </w:rPr>
              <w:t>季度</w:t>
            </w:r>
            <w:r>
              <w:rPr>
                <w:rFonts w:hint="eastAsia" w:ascii="仿宋_GB2312" w:hAnsi="仿宋_GB2312" w:eastAsia="仿宋_GB2312" w:cs="仿宋_GB2312"/>
                <w:b w:val="0"/>
                <w:bCs w:val="0"/>
                <w:color w:val="auto"/>
                <w:szCs w:val="21"/>
              </w:rPr>
              <w:t>监测一次，并出具监测报告</w:t>
            </w:r>
          </w:p>
        </w:tc>
        <w:tc>
          <w:tcPr>
            <w:tcW w:w="2638" w:type="dxa"/>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 w:val="21"/>
                <w:szCs w:val="21"/>
              </w:rPr>
              <w:t>《工业企业厂界环境噪声标准》（GB12348-2008）中</w:t>
            </w:r>
            <w:r>
              <w:rPr>
                <w:rFonts w:hint="eastAsia" w:ascii="仿宋_GB2312" w:hAnsi="仿宋_GB2312" w:eastAsia="仿宋_GB2312" w:cs="仿宋_GB2312"/>
                <w:color w:val="auto"/>
                <w:sz w:val="21"/>
                <w:szCs w:val="21"/>
                <w:lang w:eastAsia="zh-CN"/>
              </w:rPr>
              <w:t>相关</w:t>
            </w:r>
            <w:r>
              <w:rPr>
                <w:rFonts w:hint="eastAsia" w:ascii="仿宋_GB2312" w:hAnsi="仿宋_GB2312" w:eastAsia="仿宋_GB2312" w:cs="仿宋_GB2312"/>
                <w:color w:val="auto"/>
                <w:sz w:val="21"/>
                <w:szCs w:val="21"/>
              </w:rPr>
              <w:t>标准限值</w:t>
            </w:r>
          </w:p>
        </w:tc>
        <w:tc>
          <w:tcPr>
            <w:tcW w:w="2789" w:type="dxa"/>
            <w:vAlign w:val="center"/>
          </w:tcPr>
          <w:p>
            <w:pPr>
              <w:numPr>
                <w:ilvl w:val="0"/>
                <w:numId w:val="8"/>
              </w:num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需按照</w:t>
            </w:r>
            <w:r>
              <w:rPr>
                <w:rFonts w:hint="eastAsia" w:ascii="仿宋_GB2312" w:hAnsi="仿宋_GB2312" w:eastAsia="仿宋_GB2312" w:cs="仿宋_GB2312"/>
                <w:color w:val="auto"/>
                <w:sz w:val="21"/>
                <w:szCs w:val="21"/>
              </w:rPr>
              <w:t>《工业企业厂界环境噪声标准》（GB12348-2008）</w:t>
            </w:r>
            <w:r>
              <w:rPr>
                <w:rFonts w:hint="eastAsia" w:ascii="仿宋_GB2312" w:hAnsi="仿宋_GB2312" w:eastAsia="仿宋_GB2312" w:cs="仿宋_GB2312"/>
                <w:color w:val="auto"/>
                <w:sz w:val="21"/>
                <w:szCs w:val="21"/>
                <w:lang w:eastAsia="zh-CN"/>
              </w:rPr>
              <w:t>，对表</w:t>
            </w:r>
            <w:r>
              <w:rPr>
                <w:rFonts w:hint="eastAsia" w:ascii="仿宋_GB2312" w:hAnsi="仿宋_GB2312" w:eastAsia="仿宋_GB2312" w:cs="仿宋_GB2312"/>
                <w:color w:val="auto"/>
                <w:sz w:val="21"/>
                <w:szCs w:val="21"/>
                <w:lang w:val="en-US" w:eastAsia="zh-CN"/>
              </w:rPr>
              <w:t>1工业企业厂界环境噪声排放限制中</w:t>
            </w:r>
            <w:r>
              <w:rPr>
                <w:rFonts w:hint="eastAsia" w:ascii="仿宋_GB2312" w:hAnsi="仿宋_GB2312" w:eastAsia="仿宋_GB2312" w:cs="仿宋_GB2312"/>
                <w:color w:val="auto"/>
                <w:sz w:val="21"/>
                <w:szCs w:val="21"/>
                <w:lang w:eastAsia="zh-CN"/>
              </w:rPr>
              <w:t>类别</w:t>
            </w:r>
            <w:r>
              <w:rPr>
                <w:rFonts w:hint="eastAsia" w:ascii="仿宋_GB2312" w:hAnsi="仿宋_GB2312" w:eastAsia="仿宋_GB2312" w:cs="仿宋_GB2312"/>
                <w:color w:val="auto"/>
                <w:sz w:val="21"/>
                <w:szCs w:val="21"/>
                <w:lang w:val="en-US" w:eastAsia="zh-CN"/>
              </w:rPr>
              <w:t>3的</w:t>
            </w:r>
            <w:r>
              <w:rPr>
                <w:rFonts w:hint="eastAsia" w:ascii="仿宋_GB2312" w:hAnsi="仿宋_GB2312" w:eastAsia="仿宋_GB2312" w:cs="仿宋_GB2312"/>
                <w:color w:val="auto"/>
                <w:sz w:val="21"/>
                <w:szCs w:val="21"/>
              </w:rPr>
              <w:t>限值</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4"/>
                <w:szCs w:val="24"/>
              </w:rPr>
              <w:t>每</w:t>
            </w:r>
            <w:r>
              <w:rPr>
                <w:rFonts w:hint="eastAsia" w:ascii="仿宋_GB2312" w:hAnsi="仿宋_GB2312" w:eastAsia="仿宋_GB2312" w:cs="仿宋_GB2312"/>
                <w:color w:val="auto"/>
                <w:sz w:val="24"/>
                <w:szCs w:val="24"/>
                <w:lang w:eastAsia="zh-CN"/>
              </w:rPr>
              <w:t>季度检测</w:t>
            </w:r>
            <w:r>
              <w:rPr>
                <w:rFonts w:hint="eastAsia" w:ascii="仿宋_GB2312" w:hAnsi="仿宋_GB2312" w:eastAsia="仿宋_GB2312" w:cs="仿宋_GB2312"/>
                <w:color w:val="auto"/>
                <w:sz w:val="24"/>
                <w:szCs w:val="24"/>
              </w:rPr>
              <w:t>一次，并出具</w:t>
            </w:r>
            <w:r>
              <w:rPr>
                <w:rFonts w:hint="eastAsia" w:ascii="仿宋_GB2312" w:hAnsi="仿宋_GB2312" w:eastAsia="仿宋_GB2312" w:cs="仿宋_GB2312"/>
                <w:color w:val="auto"/>
                <w:sz w:val="24"/>
                <w:szCs w:val="24"/>
                <w:lang w:eastAsia="zh-CN"/>
              </w:rPr>
              <w:t>检测</w:t>
            </w:r>
            <w:r>
              <w:rPr>
                <w:rFonts w:hint="eastAsia" w:ascii="仿宋_GB2312" w:hAnsi="仿宋_GB2312" w:eastAsia="仿宋_GB2312" w:cs="仿宋_GB2312"/>
                <w:color w:val="auto"/>
                <w:sz w:val="24"/>
                <w:szCs w:val="24"/>
              </w:rPr>
              <w:t>报告。</w:t>
            </w:r>
            <w:r>
              <w:rPr>
                <w:rFonts w:hint="eastAsia" w:ascii="仿宋_GB2312" w:hAnsi="仿宋_GB2312" w:eastAsia="仿宋_GB2312" w:cs="仿宋_GB2312"/>
                <w:color w:val="auto"/>
                <w:sz w:val="24"/>
                <w:szCs w:val="24"/>
                <w:lang w:val="en-US" w:eastAsia="zh-CN"/>
              </w:rPr>
              <w:t xml:space="preserve">               </w:t>
            </w:r>
          </w:p>
          <w:p>
            <w:pPr>
              <w:numPr>
                <w:ilvl w:val="0"/>
                <w:numId w:val="0"/>
              </w:numPr>
              <w:jc w:val="left"/>
              <w:rPr>
                <w:rFonts w:hint="eastAsia" w:ascii="仿宋_GB2312" w:hAnsi="仿宋_GB2312" w:eastAsia="仿宋_GB2312" w:cs="仿宋_GB2312"/>
                <w:color w:val="auto"/>
                <w:szCs w:val="21"/>
              </w:rPr>
            </w:pPr>
            <w:r>
              <w:rPr>
                <w:rFonts w:hint="eastAsia" w:ascii="仿宋_GB2312" w:hAnsi="仿宋_GB2312" w:eastAsia="仿宋_GB2312" w:cs="仿宋_GB2312"/>
                <w:b w:val="0"/>
                <w:bCs/>
                <w:color w:val="auto"/>
                <w:sz w:val="24"/>
                <w:szCs w:val="24"/>
                <w:lang w:val="en-US" w:eastAsia="zh-CN"/>
              </w:rPr>
              <w:t>2、以上检测频次为基本要求，如遇突发事件、上级部门要求等情况，需加密检测频次，则有成交单位承担检测工作，相关检测费用包含在投标单位总包价中，甲方不再另行支付。</w:t>
            </w:r>
          </w:p>
        </w:tc>
      </w:tr>
    </w:tbl>
    <w:p>
      <w:pPr>
        <w:rPr>
          <w:rFonts w:hint="eastAsia" w:ascii="仿宋" w:hAnsi="仿宋" w:eastAsia="仿宋" w:cs="仿宋"/>
          <w:color w:val="auto"/>
          <w:sz w:val="24"/>
          <w:szCs w:val="24"/>
          <w:lang w:val="en-US" w:eastAsia="zh-CN"/>
        </w:rPr>
      </w:pPr>
    </w:p>
    <w:p>
      <w:pPr>
        <w:rPr>
          <w:rFonts w:hint="eastAsia" w:ascii="仿宋" w:hAnsi="仿宋" w:eastAsia="仿宋" w:cs="仿宋"/>
          <w:color w:val="auto"/>
          <w:sz w:val="24"/>
          <w:szCs w:val="24"/>
          <w:lang w:val="en-US" w:eastAsia="zh-CN"/>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独山子区污水处理厂</w:t>
      </w:r>
      <w:r>
        <w:rPr>
          <w:rFonts w:hint="eastAsia" w:ascii="仿宋" w:hAnsi="仿宋" w:eastAsia="仿宋" w:cs="仿宋"/>
          <w:b/>
          <w:bCs/>
          <w:color w:val="auto"/>
          <w:sz w:val="24"/>
          <w:szCs w:val="24"/>
          <w:lang w:eastAsia="zh-CN"/>
        </w:rPr>
        <w:t>废气</w:t>
      </w:r>
      <w:r>
        <w:rPr>
          <w:rFonts w:hint="eastAsia" w:ascii="仿宋" w:hAnsi="仿宋" w:eastAsia="仿宋" w:cs="仿宋"/>
          <w:b/>
          <w:bCs/>
          <w:color w:val="auto"/>
          <w:sz w:val="24"/>
          <w:szCs w:val="24"/>
        </w:rPr>
        <w:t>污染物检测项目一览表</w:t>
      </w:r>
    </w:p>
    <w:tbl>
      <w:tblPr>
        <w:tblStyle w:val="19"/>
        <w:tblpPr w:leftFromText="180" w:rightFromText="180" w:vertAnchor="text" w:horzAnchor="page" w:tblpXSpec="center" w:tblpY="151"/>
        <w:tblOverlap w:val="never"/>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46"/>
        <w:gridCol w:w="1110"/>
        <w:gridCol w:w="1781"/>
        <w:gridCol w:w="2544"/>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类别</w:t>
            </w:r>
          </w:p>
        </w:tc>
        <w:tc>
          <w:tcPr>
            <w:tcW w:w="1146" w:type="dxa"/>
            <w:shd w:val="clear" w:color="auto" w:fill="auto"/>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rPr>
              <w:t>监测</w:t>
            </w:r>
            <w:r>
              <w:rPr>
                <w:rFonts w:hint="eastAsia" w:ascii="仿宋" w:hAnsi="仿宋" w:eastAsia="仿宋" w:cs="仿宋"/>
                <w:color w:val="auto"/>
                <w:kern w:val="0"/>
                <w:lang w:eastAsia="zh-CN"/>
              </w:rPr>
              <w:t>范围</w:t>
            </w:r>
          </w:p>
        </w:tc>
        <w:tc>
          <w:tcPr>
            <w:tcW w:w="1110" w:type="dxa"/>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rPr>
              <w:t>监测</w:t>
            </w:r>
            <w:r>
              <w:rPr>
                <w:rFonts w:hint="eastAsia" w:ascii="仿宋" w:hAnsi="仿宋" w:eastAsia="仿宋" w:cs="仿宋"/>
                <w:color w:val="auto"/>
                <w:kern w:val="0"/>
                <w:lang w:eastAsia="zh-CN"/>
              </w:rPr>
              <w:t>点位</w:t>
            </w:r>
          </w:p>
        </w:tc>
        <w:tc>
          <w:tcPr>
            <w:tcW w:w="1781" w:type="dxa"/>
            <w:shd w:val="clear" w:color="auto" w:fill="auto"/>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监测项目</w:t>
            </w:r>
          </w:p>
        </w:tc>
        <w:tc>
          <w:tcPr>
            <w:tcW w:w="2544" w:type="dxa"/>
            <w:shd w:val="clear" w:color="auto" w:fill="auto"/>
            <w:vAlign w:val="center"/>
          </w:tcPr>
          <w:p>
            <w:pPr>
              <w:pStyle w:val="40"/>
              <w:jc w:val="center"/>
              <w:rPr>
                <w:rFonts w:hint="eastAsia" w:ascii="仿宋" w:hAnsi="仿宋" w:eastAsia="仿宋" w:cs="仿宋"/>
                <w:color w:val="auto"/>
                <w:kern w:val="0"/>
              </w:rPr>
            </w:pPr>
            <w:r>
              <w:rPr>
                <w:rFonts w:hint="eastAsia" w:ascii="仿宋" w:hAnsi="仿宋" w:eastAsia="仿宋" w:cs="仿宋"/>
                <w:color w:val="auto"/>
                <w:kern w:val="0"/>
              </w:rPr>
              <w:t>标准</w:t>
            </w:r>
          </w:p>
        </w:tc>
        <w:tc>
          <w:tcPr>
            <w:tcW w:w="2803" w:type="dxa"/>
            <w:vAlign w:val="center"/>
          </w:tcPr>
          <w:p>
            <w:pPr>
              <w:pStyle w:val="4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9" w:hRule="atLeast"/>
          <w:jc w:val="center"/>
        </w:trPr>
        <w:tc>
          <w:tcPr>
            <w:tcW w:w="758" w:type="dxa"/>
            <w:vMerge w:val="restart"/>
            <w:vAlign w:val="center"/>
          </w:tcPr>
          <w:p>
            <w:pPr>
              <w:jc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eastAsia="zh-CN"/>
              </w:rPr>
              <w:t>废气</w:t>
            </w:r>
          </w:p>
        </w:tc>
        <w:tc>
          <w:tcPr>
            <w:tcW w:w="1146" w:type="dxa"/>
            <w:vAlign w:val="center"/>
          </w:tcPr>
          <w:p>
            <w:pPr>
              <w:jc w:val="left"/>
              <w:rPr>
                <w:rFonts w:hint="eastAsia" w:ascii="仿宋" w:hAnsi="仿宋" w:eastAsia="仿宋" w:cs="仿宋"/>
                <w:color w:val="auto"/>
                <w:kern w:val="0"/>
                <w:szCs w:val="21"/>
                <w:lang w:val="en-US" w:eastAsia="zh-CN"/>
              </w:rPr>
            </w:pPr>
            <w:r>
              <w:rPr>
                <w:rFonts w:hint="eastAsia" w:ascii="仿宋" w:hAnsi="仿宋" w:eastAsia="仿宋" w:cs="仿宋"/>
                <w:color w:val="auto"/>
                <w:szCs w:val="21"/>
                <w:lang w:eastAsia="zh-CN"/>
              </w:rPr>
              <w:t>区污水处理厂</w:t>
            </w:r>
            <w:r>
              <w:rPr>
                <w:rFonts w:hint="eastAsia" w:ascii="仿宋" w:hAnsi="仿宋" w:eastAsia="仿宋" w:cs="仿宋"/>
                <w:color w:val="auto"/>
                <w:szCs w:val="21"/>
              </w:rPr>
              <w:t>厂界</w:t>
            </w:r>
            <w:r>
              <w:rPr>
                <w:rFonts w:hint="eastAsia" w:ascii="仿宋" w:hAnsi="仿宋" w:eastAsia="仿宋" w:cs="仿宋"/>
                <w:color w:val="auto"/>
                <w:szCs w:val="21"/>
                <w:lang w:val="en-US" w:eastAsia="zh-CN"/>
              </w:rPr>
              <w:t>无组织废气</w:t>
            </w:r>
          </w:p>
        </w:tc>
        <w:tc>
          <w:tcPr>
            <w:tcW w:w="111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按规范</w:t>
            </w:r>
          </w:p>
          <w:p>
            <w:pPr>
              <w:jc w:val="center"/>
              <w:rPr>
                <w:rFonts w:hint="eastAsia" w:ascii="仿宋" w:hAnsi="仿宋" w:eastAsia="仿宋" w:cs="仿宋"/>
                <w:color w:val="auto"/>
                <w:szCs w:val="21"/>
              </w:rPr>
            </w:pPr>
            <w:r>
              <w:rPr>
                <w:rFonts w:hint="eastAsia" w:ascii="仿宋" w:hAnsi="仿宋" w:eastAsia="仿宋" w:cs="仿宋"/>
                <w:color w:val="auto"/>
                <w:szCs w:val="21"/>
              </w:rPr>
              <w:t>取点</w:t>
            </w:r>
          </w:p>
          <w:p>
            <w:pPr>
              <w:widowControl/>
              <w:adjustRightInd w:val="0"/>
              <w:snapToGrid w:val="0"/>
              <w:jc w:val="center"/>
              <w:rPr>
                <w:rFonts w:hint="eastAsia" w:ascii="仿宋" w:hAnsi="仿宋" w:eastAsia="仿宋" w:cs="仿宋"/>
                <w:color w:val="auto"/>
                <w:lang w:val="en-US" w:eastAsia="zh-CN"/>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处点位）</w:t>
            </w:r>
          </w:p>
        </w:tc>
        <w:tc>
          <w:tcPr>
            <w:tcW w:w="1781" w:type="dxa"/>
            <w:vAlign w:val="center"/>
          </w:tcPr>
          <w:p>
            <w:pPr>
              <w:widowControl/>
              <w:adjustRightInd w:val="0"/>
              <w:snapToGrid w:val="0"/>
              <w:jc w:val="center"/>
              <w:rPr>
                <w:rFonts w:hint="eastAsia" w:ascii="仿宋" w:hAnsi="仿宋" w:eastAsia="仿宋" w:cs="仿宋"/>
                <w:color w:val="auto"/>
                <w:kern w:val="0"/>
                <w:szCs w:val="21"/>
                <w:lang w:val="en-US"/>
              </w:rPr>
            </w:pP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eastAsia="zh-CN"/>
              </w:rPr>
              <w:t>标准中的废气排放</w:t>
            </w:r>
            <w:r>
              <w:rPr>
                <w:rFonts w:hint="eastAsia" w:ascii="仿宋" w:hAnsi="仿宋" w:eastAsia="仿宋" w:cs="仿宋"/>
                <w:color w:val="auto"/>
                <w:kern w:val="0"/>
                <w:szCs w:val="24"/>
                <w:lang w:val="en-US" w:eastAsia="zh-CN"/>
              </w:rPr>
              <w:t>4项控制项目</w:t>
            </w:r>
          </w:p>
        </w:tc>
        <w:tc>
          <w:tcPr>
            <w:tcW w:w="2544" w:type="dxa"/>
            <w:vAlign w:val="center"/>
          </w:tcPr>
          <w:p>
            <w:pPr>
              <w:jc w:val="left"/>
              <w:rPr>
                <w:rFonts w:hint="eastAsia" w:ascii="仿宋" w:hAnsi="仿宋" w:eastAsia="仿宋" w:cs="仿宋"/>
                <w:color w:val="auto"/>
                <w:kern w:val="0"/>
                <w:szCs w:val="24"/>
                <w:lang w:eastAsia="zh-CN"/>
              </w:rPr>
            </w:pPr>
            <w:r>
              <w:rPr>
                <w:rFonts w:hint="eastAsia" w:ascii="仿宋" w:hAnsi="仿宋" w:eastAsia="仿宋" w:cs="仿宋"/>
                <w:color w:val="auto"/>
                <w:szCs w:val="21"/>
                <w:lang w:eastAsia="zh-CN"/>
              </w:rPr>
              <w:t>《</w:t>
            </w: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eastAsia="zh-CN"/>
              </w:rPr>
              <w:t>中相关的</w:t>
            </w:r>
            <w:r>
              <w:rPr>
                <w:rFonts w:hint="eastAsia" w:ascii="仿宋" w:hAnsi="仿宋" w:eastAsia="仿宋" w:cs="仿宋"/>
                <w:color w:val="auto"/>
                <w:kern w:val="0"/>
                <w:szCs w:val="24"/>
                <w:lang w:val="en-US" w:eastAsia="zh-CN"/>
              </w:rPr>
              <w:t>二级标准或三级标准</w:t>
            </w:r>
          </w:p>
        </w:tc>
        <w:tc>
          <w:tcPr>
            <w:tcW w:w="2803" w:type="dxa"/>
          </w:tcPr>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1、需按照</w:t>
            </w: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val="en-US" w:eastAsia="zh-CN"/>
              </w:rPr>
              <w:t>，表4厂界（防护带边缘）废气排放最高允许排放浓度中二级标准或三级标准中4个控制项目，</w:t>
            </w:r>
            <w:r>
              <w:rPr>
                <w:rFonts w:hint="eastAsia" w:ascii="仿宋" w:hAnsi="仿宋" w:eastAsia="仿宋" w:cs="仿宋"/>
                <w:b/>
                <w:bCs w:val="0"/>
                <w:color w:val="auto"/>
                <w:sz w:val="24"/>
                <w:szCs w:val="24"/>
                <w:lang w:val="en-US" w:eastAsia="zh-CN"/>
              </w:rPr>
              <w:t>每半年</w:t>
            </w:r>
            <w:r>
              <w:rPr>
                <w:rFonts w:hint="eastAsia" w:ascii="仿宋" w:hAnsi="仿宋" w:eastAsia="仿宋" w:cs="仿宋"/>
                <w:b w:val="0"/>
                <w:bCs/>
                <w:color w:val="auto"/>
                <w:sz w:val="24"/>
                <w:szCs w:val="24"/>
                <w:lang w:val="en-US" w:eastAsia="zh-CN"/>
              </w:rPr>
              <w:t>基本检测一次，</w:t>
            </w:r>
            <w:r>
              <w:rPr>
                <w:rFonts w:hint="eastAsia" w:ascii="仿宋" w:hAnsi="仿宋" w:eastAsia="仿宋" w:cs="仿宋"/>
                <w:b w:val="0"/>
                <w:bCs/>
                <w:color w:val="auto"/>
                <w:sz w:val="24"/>
                <w:szCs w:val="24"/>
                <w:lang w:eastAsia="zh-CN"/>
              </w:rPr>
              <w:t>并</w:t>
            </w:r>
            <w:r>
              <w:rPr>
                <w:rFonts w:hint="eastAsia" w:ascii="仿宋" w:hAnsi="仿宋" w:eastAsia="仿宋" w:cs="仿宋"/>
                <w:b w:val="0"/>
                <w:bCs/>
                <w:color w:val="auto"/>
                <w:sz w:val="24"/>
                <w:szCs w:val="24"/>
              </w:rPr>
              <w:t>出具</w:t>
            </w:r>
            <w:r>
              <w:rPr>
                <w:rFonts w:hint="eastAsia" w:ascii="仿宋" w:hAnsi="仿宋" w:eastAsia="仿宋" w:cs="仿宋"/>
                <w:b w:val="0"/>
                <w:bCs/>
                <w:color w:val="auto"/>
                <w:sz w:val="24"/>
                <w:szCs w:val="24"/>
                <w:lang w:eastAsia="zh-CN"/>
              </w:rPr>
              <w:t>检测</w:t>
            </w:r>
            <w:r>
              <w:rPr>
                <w:rFonts w:hint="eastAsia" w:ascii="仿宋" w:hAnsi="仿宋" w:eastAsia="仿宋" w:cs="仿宋"/>
                <w:b w:val="0"/>
                <w:bCs/>
                <w:color w:val="auto"/>
                <w:sz w:val="24"/>
                <w:szCs w:val="24"/>
              </w:rPr>
              <w:t>报告。</w:t>
            </w:r>
          </w:p>
          <w:p>
            <w:pPr>
              <w:numPr>
                <w:ilvl w:val="0"/>
                <w:numId w:val="0"/>
              </w:numPr>
              <w:jc w:val="left"/>
              <w:rPr>
                <w:rFonts w:hint="eastAsia" w:ascii="仿宋" w:hAnsi="仿宋" w:eastAsia="仿宋" w:cs="仿宋"/>
                <w:b/>
                <w:color w:val="auto"/>
                <w:sz w:val="24"/>
                <w:szCs w:val="24"/>
              </w:rPr>
            </w:pPr>
            <w:r>
              <w:rPr>
                <w:rFonts w:hint="eastAsia" w:ascii="仿宋" w:hAnsi="仿宋" w:eastAsia="仿宋" w:cs="仿宋"/>
                <w:color w:val="auto"/>
                <w:kern w:val="0"/>
                <w:szCs w:val="24"/>
                <w:lang w:val="en-US" w:eastAsia="zh-CN"/>
              </w:rPr>
              <w:t>2、</w:t>
            </w:r>
            <w:r>
              <w:rPr>
                <w:rFonts w:hint="eastAsia" w:ascii="仿宋" w:hAnsi="仿宋" w:eastAsia="仿宋" w:cs="仿宋"/>
                <w:b w:val="0"/>
                <w:bCs/>
                <w:color w:val="auto"/>
                <w:sz w:val="24"/>
                <w:szCs w:val="24"/>
                <w:lang w:val="en-US" w:eastAsia="zh-CN"/>
              </w:rPr>
              <w:t>以上检测频次为基本要求，如遇突发事件、上级部门要求等情况，需加密检测频次，则有成交单位承担检测工作，相关检测费用包含在投标单位总包价中，甲方不再另行支付。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9" w:hRule="atLeast"/>
          <w:jc w:val="center"/>
        </w:trPr>
        <w:tc>
          <w:tcPr>
            <w:tcW w:w="758" w:type="dxa"/>
            <w:vMerge w:val="continue"/>
            <w:vAlign w:val="center"/>
          </w:tcPr>
          <w:p>
            <w:pPr>
              <w:jc w:val="center"/>
              <w:rPr>
                <w:rFonts w:hint="eastAsia" w:ascii="仿宋" w:hAnsi="仿宋" w:eastAsia="仿宋" w:cs="仿宋"/>
                <w:color w:val="auto"/>
                <w:kern w:val="0"/>
                <w:szCs w:val="21"/>
                <w:lang w:eastAsia="zh-CN"/>
              </w:rPr>
            </w:pPr>
          </w:p>
        </w:tc>
        <w:tc>
          <w:tcPr>
            <w:tcW w:w="1146" w:type="dxa"/>
            <w:vAlign w:val="center"/>
          </w:tcPr>
          <w:p>
            <w:pPr>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区污水处理厂</w:t>
            </w:r>
            <w:r>
              <w:rPr>
                <w:rFonts w:hint="eastAsia" w:ascii="仿宋" w:hAnsi="仿宋" w:eastAsia="仿宋" w:cs="仿宋"/>
                <w:color w:val="auto"/>
                <w:szCs w:val="21"/>
                <w:lang w:val="en-US" w:eastAsia="zh-CN"/>
              </w:rPr>
              <w:t>除臭系统有组织废气</w:t>
            </w:r>
          </w:p>
        </w:tc>
        <w:tc>
          <w:tcPr>
            <w:tcW w:w="111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按规范</w:t>
            </w:r>
          </w:p>
          <w:p>
            <w:pPr>
              <w:jc w:val="center"/>
              <w:rPr>
                <w:rFonts w:hint="eastAsia" w:ascii="仿宋" w:hAnsi="仿宋" w:eastAsia="仿宋" w:cs="仿宋"/>
                <w:color w:val="auto"/>
                <w:szCs w:val="21"/>
              </w:rPr>
            </w:pPr>
            <w:r>
              <w:rPr>
                <w:rFonts w:hint="eastAsia" w:ascii="仿宋" w:hAnsi="仿宋" w:eastAsia="仿宋" w:cs="仿宋"/>
                <w:color w:val="auto"/>
                <w:szCs w:val="21"/>
              </w:rPr>
              <w:t>取点</w:t>
            </w:r>
          </w:p>
          <w:p>
            <w:pPr>
              <w:widowControl/>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rPr>
              <w:t>处点位）</w:t>
            </w:r>
          </w:p>
        </w:tc>
        <w:tc>
          <w:tcPr>
            <w:tcW w:w="1781" w:type="dxa"/>
            <w:vAlign w:val="center"/>
          </w:tcPr>
          <w:p>
            <w:pPr>
              <w:widowControl/>
              <w:adjustRightInd w:val="0"/>
              <w:snapToGrid w:val="0"/>
              <w:jc w:val="center"/>
              <w:rPr>
                <w:rFonts w:hint="eastAsia" w:ascii="仿宋" w:hAnsi="仿宋" w:eastAsia="仿宋" w:cs="仿宋"/>
                <w:color w:val="auto"/>
                <w:kern w:val="0"/>
                <w:szCs w:val="24"/>
              </w:rPr>
            </w:pP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eastAsia="zh-CN"/>
              </w:rPr>
              <w:t>标准中的废气排放</w:t>
            </w:r>
            <w:r>
              <w:rPr>
                <w:rFonts w:hint="eastAsia" w:ascii="仿宋" w:hAnsi="仿宋" w:eastAsia="仿宋" w:cs="仿宋"/>
                <w:color w:val="auto"/>
                <w:kern w:val="0"/>
                <w:szCs w:val="24"/>
                <w:lang w:val="en-US" w:eastAsia="zh-CN"/>
              </w:rPr>
              <w:t>4项控制项目</w:t>
            </w:r>
          </w:p>
        </w:tc>
        <w:tc>
          <w:tcPr>
            <w:tcW w:w="2544" w:type="dxa"/>
            <w:vAlign w:val="center"/>
          </w:tcPr>
          <w:p>
            <w:pPr>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区污水处理厂排污许可证</w:t>
            </w:r>
            <w:r>
              <w:rPr>
                <w:rFonts w:hint="eastAsia" w:ascii="仿宋" w:hAnsi="仿宋" w:eastAsia="仿宋" w:cs="仿宋"/>
                <w:color w:val="auto"/>
                <w:kern w:val="0"/>
                <w:szCs w:val="24"/>
                <w:lang w:eastAsia="zh-CN"/>
              </w:rPr>
              <w:t>中的废气排放</w:t>
            </w:r>
            <w:r>
              <w:rPr>
                <w:rFonts w:hint="eastAsia" w:ascii="仿宋" w:hAnsi="仿宋" w:eastAsia="仿宋" w:cs="仿宋"/>
                <w:color w:val="auto"/>
                <w:kern w:val="0"/>
                <w:szCs w:val="24"/>
                <w:lang w:val="en-US" w:eastAsia="zh-CN"/>
              </w:rPr>
              <w:t>4项控制项</w:t>
            </w:r>
          </w:p>
        </w:tc>
        <w:tc>
          <w:tcPr>
            <w:tcW w:w="2803" w:type="dxa"/>
          </w:tcPr>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1、需按照</w:t>
            </w:r>
            <w:r>
              <w:rPr>
                <w:rFonts w:hint="eastAsia" w:ascii="仿宋" w:hAnsi="仿宋" w:eastAsia="仿宋" w:cs="仿宋"/>
                <w:color w:val="auto"/>
                <w:kern w:val="0"/>
                <w:szCs w:val="24"/>
              </w:rPr>
              <w:t>《城镇污水处理厂水污染物排放标准》（GB/T18918-2002）</w:t>
            </w:r>
            <w:r>
              <w:rPr>
                <w:rFonts w:hint="eastAsia" w:ascii="仿宋" w:hAnsi="仿宋" w:eastAsia="仿宋" w:cs="仿宋"/>
                <w:color w:val="auto"/>
                <w:kern w:val="0"/>
                <w:szCs w:val="24"/>
                <w:lang w:val="en-US" w:eastAsia="zh-CN"/>
              </w:rPr>
              <w:t>，表4厂界（防护带边缘）废气排放最高允许排放浓度中二级标准或三级标准中4个控制项目，</w:t>
            </w:r>
            <w:r>
              <w:rPr>
                <w:rFonts w:hint="eastAsia" w:ascii="仿宋" w:hAnsi="仿宋" w:eastAsia="仿宋" w:cs="仿宋"/>
                <w:b/>
                <w:bCs w:val="0"/>
                <w:color w:val="auto"/>
                <w:sz w:val="24"/>
                <w:szCs w:val="24"/>
                <w:lang w:val="en-US" w:eastAsia="zh-CN"/>
              </w:rPr>
              <w:t>每半年</w:t>
            </w:r>
            <w:r>
              <w:rPr>
                <w:rFonts w:hint="eastAsia" w:ascii="仿宋" w:hAnsi="仿宋" w:eastAsia="仿宋" w:cs="仿宋"/>
                <w:b w:val="0"/>
                <w:bCs/>
                <w:color w:val="auto"/>
                <w:sz w:val="24"/>
                <w:szCs w:val="24"/>
                <w:lang w:val="en-US" w:eastAsia="zh-CN"/>
              </w:rPr>
              <w:t>基本检测一次，</w:t>
            </w:r>
            <w:r>
              <w:rPr>
                <w:rFonts w:hint="eastAsia" w:ascii="仿宋" w:hAnsi="仿宋" w:eastAsia="仿宋" w:cs="仿宋"/>
                <w:b w:val="0"/>
                <w:bCs/>
                <w:color w:val="auto"/>
                <w:sz w:val="24"/>
                <w:szCs w:val="24"/>
                <w:lang w:eastAsia="zh-CN"/>
              </w:rPr>
              <w:t>并</w:t>
            </w:r>
            <w:r>
              <w:rPr>
                <w:rFonts w:hint="eastAsia" w:ascii="仿宋" w:hAnsi="仿宋" w:eastAsia="仿宋" w:cs="仿宋"/>
                <w:b w:val="0"/>
                <w:bCs/>
                <w:color w:val="auto"/>
                <w:sz w:val="24"/>
                <w:szCs w:val="24"/>
              </w:rPr>
              <w:t>出具</w:t>
            </w:r>
            <w:r>
              <w:rPr>
                <w:rFonts w:hint="eastAsia" w:ascii="仿宋" w:hAnsi="仿宋" w:eastAsia="仿宋" w:cs="仿宋"/>
                <w:b w:val="0"/>
                <w:bCs/>
                <w:color w:val="auto"/>
                <w:sz w:val="24"/>
                <w:szCs w:val="24"/>
                <w:lang w:eastAsia="zh-CN"/>
              </w:rPr>
              <w:t>检测</w:t>
            </w:r>
            <w:r>
              <w:rPr>
                <w:rFonts w:hint="eastAsia" w:ascii="仿宋" w:hAnsi="仿宋" w:eastAsia="仿宋" w:cs="仿宋"/>
                <w:b w:val="0"/>
                <w:bCs/>
                <w:color w:val="auto"/>
                <w:sz w:val="24"/>
                <w:szCs w:val="24"/>
              </w:rPr>
              <w:t>报告。</w:t>
            </w:r>
          </w:p>
          <w:p>
            <w:pPr>
              <w:numPr>
                <w:ilvl w:val="0"/>
                <w:numId w:val="0"/>
              </w:numPr>
              <w:jc w:val="left"/>
              <w:rPr>
                <w:rFonts w:hint="eastAsia" w:ascii="仿宋" w:hAnsi="仿宋" w:eastAsia="仿宋" w:cs="仿宋"/>
                <w:color w:val="auto"/>
                <w:kern w:val="0"/>
                <w:szCs w:val="24"/>
                <w:lang w:val="en-US" w:eastAsia="zh-CN"/>
              </w:rPr>
            </w:pPr>
            <w:r>
              <w:rPr>
                <w:rFonts w:hint="eastAsia" w:ascii="仿宋" w:hAnsi="仿宋" w:eastAsia="仿宋" w:cs="仿宋"/>
                <w:color w:val="auto"/>
                <w:kern w:val="0"/>
                <w:szCs w:val="24"/>
                <w:lang w:val="en-US" w:eastAsia="zh-CN"/>
              </w:rPr>
              <w:t>2、</w:t>
            </w:r>
            <w:r>
              <w:rPr>
                <w:rFonts w:hint="eastAsia" w:ascii="仿宋" w:hAnsi="仿宋" w:eastAsia="仿宋" w:cs="仿宋"/>
                <w:b w:val="0"/>
                <w:bCs/>
                <w:color w:val="auto"/>
                <w:sz w:val="24"/>
                <w:szCs w:val="24"/>
                <w:lang w:val="en-US" w:eastAsia="zh-CN"/>
              </w:rPr>
              <w:t>以上检测频次为基本要求，如遇突发事件、上级部门要求等情况，需加密检测频次，则有成交单位承担检测工作，相关检测费用包含在投标单位总包价中，甲方不再另行支付。</w:t>
            </w:r>
          </w:p>
        </w:tc>
      </w:tr>
    </w:tbl>
    <w:p>
      <w:pPr>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val="en-US" w:eastAsia="zh-CN"/>
        </w:rPr>
      </w:pPr>
    </w:p>
    <w:p>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lang w:eastAsia="zh-CN"/>
        </w:rPr>
        <w:t>独山子区污水处理厂污泥污染物检测项目一览表</w:t>
      </w:r>
    </w:p>
    <w:tbl>
      <w:tblPr>
        <w:tblStyle w:val="19"/>
        <w:tblpPr w:leftFromText="180" w:rightFromText="180" w:vertAnchor="text" w:horzAnchor="page" w:tblpXSpec="center" w:tblpY="151"/>
        <w:tblOverlap w:val="never"/>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06"/>
        <w:gridCol w:w="2497"/>
        <w:gridCol w:w="2383"/>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pStyle w:val="40"/>
              <w:jc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类别</w:t>
            </w:r>
          </w:p>
        </w:tc>
        <w:tc>
          <w:tcPr>
            <w:tcW w:w="1106" w:type="dxa"/>
            <w:shd w:val="clear" w:color="auto" w:fill="auto"/>
            <w:vAlign w:val="center"/>
          </w:tcPr>
          <w:p>
            <w:pPr>
              <w:pStyle w:val="40"/>
              <w:jc w:val="center"/>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rPr>
              <w:t>监测</w:t>
            </w:r>
            <w:r>
              <w:rPr>
                <w:rFonts w:hint="eastAsia" w:ascii="仿宋_GB2312" w:hAnsi="仿宋_GB2312" w:eastAsia="仿宋_GB2312" w:cs="仿宋_GB2312"/>
                <w:color w:val="auto"/>
                <w:kern w:val="0"/>
                <w:lang w:eastAsia="zh-CN"/>
              </w:rPr>
              <w:t>范围</w:t>
            </w:r>
          </w:p>
        </w:tc>
        <w:tc>
          <w:tcPr>
            <w:tcW w:w="2497" w:type="dxa"/>
            <w:vAlign w:val="center"/>
          </w:tcPr>
          <w:p>
            <w:pPr>
              <w:pStyle w:val="40"/>
              <w:jc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监测项目</w:t>
            </w:r>
          </w:p>
        </w:tc>
        <w:tc>
          <w:tcPr>
            <w:tcW w:w="2383" w:type="dxa"/>
            <w:shd w:val="clear" w:color="auto" w:fill="auto"/>
            <w:vAlign w:val="center"/>
          </w:tcPr>
          <w:p>
            <w:pPr>
              <w:pStyle w:val="40"/>
              <w:jc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标准</w:t>
            </w:r>
          </w:p>
        </w:tc>
        <w:tc>
          <w:tcPr>
            <w:tcW w:w="3023" w:type="dxa"/>
            <w:vAlign w:val="center"/>
          </w:tcPr>
          <w:p>
            <w:pPr>
              <w:pStyle w:val="40"/>
              <w:jc w:val="center"/>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6" w:hRule="atLeast"/>
          <w:jc w:val="center"/>
        </w:trPr>
        <w:tc>
          <w:tcPr>
            <w:tcW w:w="758" w:type="dxa"/>
            <w:vAlign w:val="center"/>
          </w:tcPr>
          <w:p>
            <w:pPr>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污泥</w:t>
            </w:r>
          </w:p>
        </w:tc>
        <w:tc>
          <w:tcPr>
            <w:tcW w:w="1106" w:type="dxa"/>
            <w:vAlign w:val="center"/>
          </w:tcPr>
          <w:p>
            <w:pPr>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szCs w:val="21"/>
                <w:lang w:eastAsia="zh-CN"/>
              </w:rPr>
              <w:t>区污水处理厂脱水间产的污泥</w:t>
            </w:r>
          </w:p>
        </w:tc>
        <w:tc>
          <w:tcPr>
            <w:tcW w:w="2497" w:type="dxa"/>
            <w:vAlign w:val="center"/>
          </w:tcPr>
          <w:p>
            <w:pPr>
              <w:widowControl/>
              <w:adjustRightInd w:val="0"/>
              <w:snapToGrid w:val="0"/>
              <w:jc w:val="center"/>
              <w:rPr>
                <w:rFonts w:hint="eastAsia" w:ascii="仿宋_GB2312" w:hAnsi="仿宋_GB2312" w:eastAsia="仿宋_GB2312" w:cs="仿宋_GB2312"/>
                <w:color w:val="auto"/>
                <w:kern w:val="0"/>
                <w:szCs w:val="21"/>
                <w:lang w:val="en-US"/>
              </w:rPr>
            </w:pPr>
            <w:r>
              <w:rPr>
                <w:rFonts w:hint="eastAsia" w:ascii="仿宋_GB2312" w:hAnsi="仿宋_GB2312" w:eastAsia="仿宋_GB2312" w:cs="仿宋_GB2312"/>
                <w:color w:val="auto"/>
                <w:kern w:val="0"/>
                <w:szCs w:val="24"/>
              </w:rPr>
              <w:t>城镇污水处理厂水污染物排放标准》（GB/T18918-2002）</w:t>
            </w:r>
            <w:r>
              <w:rPr>
                <w:rFonts w:hint="eastAsia" w:ascii="仿宋_GB2312" w:hAnsi="仿宋_GB2312" w:eastAsia="仿宋_GB2312" w:cs="仿宋_GB2312"/>
                <w:color w:val="auto"/>
                <w:kern w:val="0"/>
                <w:szCs w:val="24"/>
                <w:lang w:eastAsia="zh-CN"/>
              </w:rPr>
              <w:t>标准中的相关</w:t>
            </w:r>
            <w:r>
              <w:rPr>
                <w:rFonts w:hint="eastAsia" w:ascii="仿宋_GB2312" w:hAnsi="仿宋_GB2312" w:eastAsia="仿宋_GB2312" w:cs="仿宋_GB2312"/>
                <w:color w:val="auto"/>
                <w:kern w:val="0"/>
                <w:szCs w:val="24"/>
                <w:lang w:val="en-US" w:eastAsia="zh-CN"/>
              </w:rPr>
              <w:t>控制项目</w:t>
            </w:r>
          </w:p>
        </w:tc>
        <w:tc>
          <w:tcPr>
            <w:tcW w:w="2383" w:type="dxa"/>
            <w:vAlign w:val="center"/>
          </w:tcPr>
          <w:p>
            <w:pPr>
              <w:jc w:val="left"/>
              <w:rPr>
                <w:rFonts w:hint="eastAsia" w:ascii="仿宋_GB2312" w:hAnsi="仿宋_GB2312" w:eastAsia="仿宋_GB2312" w:cs="仿宋_GB2312"/>
                <w:color w:val="auto"/>
                <w:kern w:val="0"/>
                <w:szCs w:val="24"/>
                <w:lang w:eastAsia="zh-CN"/>
              </w:rPr>
            </w:pP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kern w:val="0"/>
                <w:szCs w:val="24"/>
              </w:rPr>
              <w:t>城镇污水处理厂水污染物排放标准》（GB/T18918-2002）</w:t>
            </w:r>
            <w:r>
              <w:rPr>
                <w:rFonts w:hint="eastAsia" w:ascii="仿宋_GB2312" w:hAnsi="仿宋_GB2312" w:eastAsia="仿宋_GB2312" w:cs="仿宋_GB2312"/>
                <w:color w:val="auto"/>
                <w:kern w:val="0"/>
                <w:szCs w:val="24"/>
                <w:lang w:eastAsia="zh-CN"/>
              </w:rPr>
              <w:t>中相关指标</w:t>
            </w:r>
          </w:p>
        </w:tc>
        <w:tc>
          <w:tcPr>
            <w:tcW w:w="3023" w:type="dxa"/>
          </w:tcPr>
          <w:p>
            <w:pPr>
              <w:numPr>
                <w:ilvl w:val="0"/>
                <w:numId w:val="0"/>
              </w:numPr>
              <w:jc w:val="left"/>
              <w:rPr>
                <w:rFonts w:hint="eastAsia" w:ascii="仿宋_GB2312" w:hAnsi="仿宋_GB2312" w:eastAsia="仿宋_GB2312" w:cs="仿宋_GB2312"/>
                <w:color w:val="auto"/>
                <w:kern w:val="0"/>
                <w:szCs w:val="24"/>
                <w:lang w:val="en-US" w:eastAsia="zh-CN"/>
              </w:rPr>
            </w:pPr>
            <w:r>
              <w:rPr>
                <w:rFonts w:hint="eastAsia" w:ascii="仿宋_GB2312" w:hAnsi="仿宋_GB2312" w:eastAsia="仿宋_GB2312" w:cs="仿宋_GB2312"/>
                <w:color w:val="auto"/>
                <w:kern w:val="0"/>
                <w:szCs w:val="24"/>
                <w:lang w:val="en-US" w:eastAsia="zh-CN"/>
              </w:rPr>
              <w:t>1、需按照</w:t>
            </w:r>
            <w:r>
              <w:rPr>
                <w:rFonts w:hint="eastAsia" w:ascii="仿宋_GB2312" w:hAnsi="仿宋_GB2312" w:eastAsia="仿宋_GB2312" w:cs="仿宋_GB2312"/>
                <w:color w:val="auto"/>
                <w:kern w:val="0"/>
                <w:szCs w:val="24"/>
              </w:rPr>
              <w:t>《城镇污水处理厂水污染物排放标准》（GB/T18918-2002）</w:t>
            </w:r>
            <w:r>
              <w:rPr>
                <w:rFonts w:hint="eastAsia" w:ascii="仿宋_GB2312" w:hAnsi="仿宋_GB2312" w:eastAsia="仿宋_GB2312" w:cs="仿宋_GB2312"/>
                <w:color w:val="auto"/>
                <w:kern w:val="0"/>
                <w:szCs w:val="24"/>
                <w:lang w:eastAsia="zh-CN"/>
              </w:rPr>
              <w:t>及污泥处置单位需求</w:t>
            </w:r>
            <w:r>
              <w:rPr>
                <w:rFonts w:hint="eastAsia" w:ascii="仿宋_GB2312" w:hAnsi="仿宋_GB2312" w:eastAsia="仿宋_GB2312" w:cs="仿宋_GB2312"/>
                <w:color w:val="auto"/>
                <w:kern w:val="0"/>
                <w:szCs w:val="24"/>
                <w:lang w:val="en-US" w:eastAsia="zh-CN"/>
              </w:rPr>
              <w:t>对污泥含水率，每月基本检测一次，</w:t>
            </w:r>
            <w:r>
              <w:rPr>
                <w:rFonts w:hint="eastAsia" w:ascii="仿宋_GB2312" w:hAnsi="仿宋_GB2312" w:eastAsia="仿宋_GB2312" w:cs="仿宋_GB2312"/>
                <w:b w:val="0"/>
                <w:bCs/>
                <w:color w:val="auto"/>
                <w:sz w:val="24"/>
                <w:szCs w:val="24"/>
              </w:rPr>
              <w:t>并出具</w:t>
            </w:r>
            <w:r>
              <w:rPr>
                <w:rFonts w:hint="eastAsia" w:ascii="仿宋_GB2312" w:hAnsi="仿宋_GB2312" w:eastAsia="仿宋_GB2312" w:cs="仿宋_GB2312"/>
                <w:b w:val="0"/>
                <w:bCs/>
                <w:color w:val="auto"/>
                <w:sz w:val="24"/>
                <w:szCs w:val="24"/>
                <w:lang w:eastAsia="zh-CN"/>
              </w:rPr>
              <w:t>检测</w:t>
            </w:r>
            <w:r>
              <w:rPr>
                <w:rFonts w:hint="eastAsia" w:ascii="仿宋_GB2312" w:hAnsi="仿宋_GB2312" w:eastAsia="仿宋_GB2312" w:cs="仿宋_GB2312"/>
                <w:b w:val="0"/>
                <w:bCs/>
                <w:color w:val="auto"/>
                <w:sz w:val="24"/>
                <w:szCs w:val="24"/>
              </w:rPr>
              <w:t>报告。</w:t>
            </w:r>
          </w:p>
          <w:p>
            <w:pPr>
              <w:numPr>
                <w:ilvl w:val="0"/>
                <w:numId w:val="0"/>
              </w:numPr>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Cs w:val="24"/>
                <w:lang w:val="en-US" w:eastAsia="zh-CN"/>
              </w:rPr>
              <w:t>2、</w:t>
            </w:r>
            <w:r>
              <w:rPr>
                <w:rFonts w:hint="eastAsia" w:ascii="仿宋_GB2312" w:hAnsi="仿宋_GB2312" w:eastAsia="仿宋_GB2312" w:cs="仿宋_GB2312"/>
                <w:b w:val="0"/>
                <w:bCs/>
                <w:color w:val="auto"/>
                <w:sz w:val="24"/>
                <w:szCs w:val="24"/>
                <w:lang w:val="en-US" w:eastAsia="zh-CN"/>
              </w:rPr>
              <w:t>以上检测频次为基本要求，如遇突发事件、上级部门要求等情况，需加密检测频次，则有成交单位承担检测工作，相关检测费用包含在投标单位总包价中，甲方不再另行支付。</w:t>
            </w:r>
          </w:p>
        </w:tc>
      </w:tr>
    </w:tbl>
    <w:p>
      <w:pPr>
        <w:spacing w:line="360" w:lineRule="auto"/>
        <w:ind w:firstLine="480" w:firstLineChars="200"/>
        <w:rPr>
          <w:rFonts w:hint="eastAsia" w:ascii="仿宋" w:hAnsi="仿宋" w:eastAsia="仿宋" w:cs="仿宋"/>
          <w:b w:val="0"/>
          <w:bCs/>
          <w:color w:val="auto"/>
          <w:sz w:val="24"/>
          <w:szCs w:val="24"/>
          <w:highlight w:val="none"/>
          <w:lang w:val="en-US" w:eastAsia="zh-CN"/>
        </w:rPr>
      </w:pPr>
    </w:p>
    <w:p>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备注：</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、投标单位每月按照合同约定的时间出具检测报告，并提交给甲方；同时提交化验室检测原始记录表。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投标单位提供甲方化验室人员相关业务培训服务，需委派本单位已取得相关化验员资质人员1名（委派人员需具有五年以上化验室水质检测工作经验，本单位缴纳社保2年以上，提供相关证明材料），每月累计5个工作日以上，进驻甲方化验室进行相关业务指导服务及开展相关污染物化验检测工作。</w:t>
      </w:r>
    </w:p>
    <w:p>
      <w:pPr>
        <w:keepNext w:val="0"/>
        <w:keepLines w:val="0"/>
        <w:pageBreakBefore/>
        <w:widowControl w:val="0"/>
        <w:numPr>
          <w:ilvl w:val="0"/>
          <w:numId w:val="9"/>
        </w:numPr>
        <w:tabs>
          <w:tab w:val="left" w:pos="7665"/>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合同协议书（主要内容）</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lang w:val="en-US" w:eastAsia="zh-CN"/>
        </w:rPr>
        <w:t>发包人</w:t>
      </w:r>
      <w:r>
        <w:rPr>
          <w:rFonts w:hint="eastAsia" w:ascii="仿宋" w:hAnsi="仿宋" w:eastAsia="仿宋" w:cs="仿宋"/>
          <w:b/>
          <w:color w:val="auto"/>
          <w:szCs w:val="21"/>
          <w:highlight w:val="none"/>
        </w:rPr>
        <w:t>（全称）：</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承包人（全称）：</w:t>
      </w:r>
    </w:p>
    <w:p>
      <w:pPr>
        <w:keepLines w:val="0"/>
        <w:pageBreakBefore w:val="0"/>
        <w:widowControl w:val="0"/>
        <w:kinsoku/>
        <w:wordWrap/>
        <w:overflowPunct/>
        <w:topLinePunct w:val="0"/>
        <w:autoSpaceDE/>
        <w:autoSpaceDN/>
        <w:bidi w:val="0"/>
        <w:adjustRightInd/>
        <w:snapToGrid/>
        <w:spacing w:line="460" w:lineRule="exact"/>
        <w:ind w:firstLine="424" w:firstLineChars="20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根据 </w:t>
      </w:r>
      <w:r>
        <w:rPr>
          <w:rFonts w:hint="eastAsia" w:ascii="仿宋" w:hAnsi="仿宋" w:eastAsia="仿宋" w:cs="仿宋"/>
          <w:color w:val="auto"/>
          <w:sz w:val="21"/>
          <w:szCs w:val="21"/>
          <w:highlight w:val="none"/>
          <w:u w:val="single"/>
        </w:rPr>
        <w:t xml:space="preserve">              项目</w:t>
      </w:r>
      <w:r>
        <w:rPr>
          <w:rFonts w:hint="eastAsia" w:ascii="仿宋" w:hAnsi="仿宋" w:eastAsia="仿宋" w:cs="仿宋"/>
          <w:color w:val="auto"/>
          <w:sz w:val="21"/>
          <w:szCs w:val="21"/>
          <w:highlight w:val="none"/>
        </w:rPr>
        <w:t>的采购结果，按照《中华人民共和国政府采购法》、《合同法》的规定，</w:t>
      </w:r>
      <w:r>
        <w:rPr>
          <w:rFonts w:hint="eastAsia" w:ascii="仿宋" w:hAnsi="仿宋" w:eastAsia="仿宋" w:cs="仿宋"/>
          <w:color w:val="auto"/>
          <w:kern w:val="28"/>
          <w:sz w:val="21"/>
          <w:szCs w:val="21"/>
          <w:highlight w:val="none"/>
        </w:rPr>
        <w:t>经双方协商，</w:t>
      </w:r>
      <w:r>
        <w:rPr>
          <w:rFonts w:hint="eastAsia" w:ascii="仿宋" w:hAnsi="仿宋" w:eastAsia="仿宋" w:cs="仿宋"/>
          <w:color w:val="auto"/>
          <w:sz w:val="21"/>
          <w:szCs w:val="21"/>
          <w:highlight w:val="none"/>
        </w:rPr>
        <w:t>本着平等互利和诚实信用的原则，</w:t>
      </w:r>
      <w:r>
        <w:rPr>
          <w:rFonts w:hint="eastAsia" w:ascii="仿宋" w:hAnsi="仿宋" w:eastAsia="仿宋" w:cs="仿宋"/>
          <w:color w:val="auto"/>
          <w:kern w:val="28"/>
          <w:sz w:val="21"/>
          <w:szCs w:val="21"/>
          <w:highlight w:val="none"/>
        </w:rPr>
        <w:t>一致同意签订本合同如下。</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一、</w:t>
      </w:r>
      <w:r>
        <w:rPr>
          <w:rFonts w:hint="eastAsia" w:ascii="仿宋" w:hAnsi="仿宋" w:eastAsia="仿宋" w:cs="仿宋"/>
          <w:b/>
          <w:color w:val="auto"/>
          <w:sz w:val="21"/>
          <w:szCs w:val="21"/>
          <w:highlight w:val="none"/>
        </w:rPr>
        <w:t>服务内容</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二、</w:t>
      </w:r>
      <w:r>
        <w:rPr>
          <w:rFonts w:hint="eastAsia" w:ascii="仿宋" w:hAnsi="仿宋" w:eastAsia="仿宋" w:cs="仿宋"/>
          <w:b/>
          <w:color w:val="auto"/>
          <w:sz w:val="21"/>
          <w:szCs w:val="21"/>
          <w:highlight w:val="none"/>
        </w:rPr>
        <w:t>合同金额</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Cs w:val="21"/>
          <w:highlight w:val="none"/>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合同金额为（大写）：_________________元（￥_______________元）人民币。</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三、</w:t>
      </w:r>
      <w:r>
        <w:rPr>
          <w:rFonts w:hint="eastAsia" w:ascii="仿宋" w:hAnsi="仿宋" w:eastAsia="仿宋" w:cs="仿宋"/>
          <w:b/>
          <w:color w:val="auto"/>
          <w:sz w:val="21"/>
          <w:szCs w:val="21"/>
          <w:highlight w:val="none"/>
        </w:rPr>
        <w:t>服务要求及标准</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四、</w:t>
      </w:r>
      <w:r>
        <w:rPr>
          <w:rFonts w:hint="eastAsia" w:ascii="仿宋" w:hAnsi="仿宋" w:eastAsia="仿宋" w:cs="仿宋"/>
          <w:b/>
          <w:color w:val="auto"/>
          <w:sz w:val="21"/>
          <w:szCs w:val="21"/>
          <w:highlight w:val="none"/>
        </w:rPr>
        <w:t>服务期限、服务地点</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服务期限：</w:t>
      </w:r>
      <w:r>
        <w:rPr>
          <w:rFonts w:hint="eastAsia" w:ascii="仿宋" w:hAnsi="仿宋" w:eastAsia="仿宋" w:cs="仿宋"/>
          <w:color w:val="auto"/>
          <w:szCs w:val="21"/>
          <w:highlight w:val="none"/>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服务地点：</w:t>
      </w:r>
      <w:r>
        <w:rPr>
          <w:rFonts w:hint="eastAsia" w:ascii="仿宋" w:hAnsi="仿宋" w:eastAsia="仿宋" w:cs="仿宋"/>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1476" w:leftChars="0" w:hanging="1476" w:hangingChars="7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五、</w:t>
      </w:r>
      <w:r>
        <w:rPr>
          <w:rFonts w:hint="eastAsia" w:ascii="仿宋" w:hAnsi="仿宋" w:eastAsia="仿宋" w:cs="仿宋"/>
          <w:b/>
          <w:color w:val="auto"/>
          <w:sz w:val="21"/>
          <w:szCs w:val="21"/>
          <w:highlight w:val="none"/>
        </w:rPr>
        <w:t>付款方式</w:t>
      </w:r>
      <w:r>
        <w:rPr>
          <w:rFonts w:hint="eastAsia" w:ascii="仿宋" w:hAnsi="仿宋" w:eastAsia="仿宋" w:cs="仿宋"/>
          <w:b/>
          <w:color w:val="auto"/>
          <w:sz w:val="21"/>
          <w:szCs w:val="21"/>
          <w:highlight w:val="none"/>
          <w:lang w:eastAsia="zh-CN"/>
        </w:rPr>
        <w:t>：</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六、</w:t>
      </w:r>
      <w:r>
        <w:rPr>
          <w:rFonts w:hint="eastAsia" w:ascii="仿宋" w:hAnsi="仿宋" w:eastAsia="仿宋" w:cs="仿宋"/>
          <w:b/>
          <w:bCs/>
          <w:color w:val="auto"/>
          <w:sz w:val="21"/>
          <w:szCs w:val="21"/>
          <w:highlight w:val="none"/>
        </w:rPr>
        <w:t>服务考核办法</w:t>
      </w:r>
      <w:r>
        <w:rPr>
          <w:rFonts w:hint="eastAsia" w:ascii="仿宋" w:hAnsi="仿宋" w:eastAsia="仿宋" w:cs="仿宋"/>
          <w:b/>
          <w:bCs/>
          <w:color w:val="auto"/>
          <w:sz w:val="21"/>
          <w:szCs w:val="21"/>
          <w:highlight w:val="none"/>
          <w:lang w:eastAsia="zh-CN"/>
        </w:rPr>
        <w:t>：</w:t>
      </w:r>
      <w:r>
        <w:rPr>
          <w:rFonts w:hint="eastAsia" w:ascii="仿宋" w:hAnsi="仿宋" w:eastAsia="仿宋" w:cs="仿宋"/>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七、</w:t>
      </w:r>
      <w:r>
        <w:rPr>
          <w:rFonts w:hint="eastAsia" w:ascii="仿宋" w:hAnsi="仿宋" w:eastAsia="仿宋" w:cs="仿宋"/>
          <w:b/>
          <w:color w:val="auto"/>
          <w:sz w:val="21"/>
          <w:szCs w:val="21"/>
          <w:highlight w:val="none"/>
        </w:rPr>
        <w:t>违约责任与赔偿损失</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八、</w:t>
      </w:r>
      <w:r>
        <w:rPr>
          <w:rFonts w:hint="eastAsia" w:ascii="仿宋" w:hAnsi="仿宋" w:eastAsia="仿宋" w:cs="仿宋"/>
          <w:b/>
          <w:color w:val="auto"/>
          <w:sz w:val="21"/>
          <w:szCs w:val="21"/>
          <w:highlight w:val="none"/>
        </w:rPr>
        <w:t>争议的解决</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合同执行过程中发生的任何争议，如双方不能通过友好协商解决，按相关法律法规处理(合同双方一致同意提请克拉玛依区仲裁委员会仲裁或向甲方所在地的人民法院提起诉讼)。</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九、</w:t>
      </w:r>
      <w:r>
        <w:rPr>
          <w:rFonts w:hint="eastAsia" w:ascii="仿宋" w:hAnsi="仿宋" w:eastAsia="仿宋" w:cs="仿宋"/>
          <w:b/>
          <w:color w:val="auto"/>
          <w:sz w:val="21"/>
          <w:szCs w:val="21"/>
          <w:highlight w:val="none"/>
        </w:rPr>
        <w:t>不可抗力</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十、</w:t>
      </w:r>
      <w:r>
        <w:rPr>
          <w:rFonts w:hint="eastAsia" w:ascii="仿宋" w:hAnsi="仿宋" w:eastAsia="仿宋" w:cs="仿宋"/>
          <w:b/>
          <w:color w:val="auto"/>
          <w:sz w:val="21"/>
          <w:szCs w:val="21"/>
          <w:highlight w:val="none"/>
        </w:rPr>
        <w:t>税费</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在中国境内、外发生的与本合同执行有关的一切税费均由乙方负担。</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十一、</w:t>
      </w:r>
      <w:r>
        <w:rPr>
          <w:rFonts w:hint="eastAsia" w:ascii="仿宋" w:hAnsi="仿宋" w:eastAsia="仿宋" w:cs="仿宋"/>
          <w:b/>
          <w:color w:val="auto"/>
          <w:sz w:val="21"/>
          <w:szCs w:val="21"/>
          <w:highlight w:val="none"/>
        </w:rPr>
        <w:t>其它</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本合同所有附件、</w:t>
      </w:r>
      <w:r>
        <w:rPr>
          <w:rFonts w:hint="eastAsia" w:ascii="仿宋" w:hAnsi="仿宋" w:eastAsia="仿宋" w:cs="仿宋"/>
          <w:color w:val="auto"/>
          <w:sz w:val="21"/>
          <w:szCs w:val="21"/>
          <w:highlight w:val="none"/>
          <w:lang w:eastAsia="zh-CN"/>
        </w:rPr>
        <w:t>竞争性谈判文件</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通知书均为合同的有效组成部分，与本合同具有同等法律效力。</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在执行本合同的过程中，所有经双方签署确认的文件（包括会议纪要、补充协议、往来信函）即成为本合同的有效组成部分。</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如一方地址、电话、传真号码有变更，应在变更当日内书面通知对方，否则，应承担相应责任。</w:t>
      </w:r>
    </w:p>
    <w:p>
      <w:pPr>
        <w:pStyle w:val="7"/>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 w:val="21"/>
          <w:szCs w:val="21"/>
          <w:highlight w:val="none"/>
        </w:rPr>
      </w:pPr>
      <w:bookmarkStart w:id="150" w:name="_Toc351203489"/>
      <w:r>
        <w:rPr>
          <w:rFonts w:hint="eastAsia" w:ascii="仿宋" w:hAnsi="仿宋" w:eastAsia="仿宋" w:cs="仿宋"/>
          <w:b/>
          <w:color w:val="auto"/>
          <w:sz w:val="21"/>
          <w:szCs w:val="21"/>
          <w:highlight w:val="none"/>
          <w:lang w:val="en-US" w:eastAsia="zh-CN"/>
        </w:rPr>
        <w:t>十二</w:t>
      </w:r>
      <w:r>
        <w:rPr>
          <w:rFonts w:hint="eastAsia" w:ascii="仿宋" w:hAnsi="仿宋" w:eastAsia="仿宋" w:cs="仿宋"/>
          <w:b/>
          <w:color w:val="auto"/>
          <w:sz w:val="21"/>
          <w:szCs w:val="21"/>
          <w:highlight w:val="none"/>
        </w:rPr>
        <w:t>、签订时间</w:t>
      </w:r>
      <w:bookmarkEnd w:id="150"/>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本合同于</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u w:val="none"/>
        </w:rPr>
        <w:t>年</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日签订。</w:t>
      </w:r>
    </w:p>
    <w:p>
      <w:pPr>
        <w:pStyle w:val="7"/>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 w:val="21"/>
          <w:szCs w:val="21"/>
          <w:highlight w:val="none"/>
        </w:rPr>
      </w:pPr>
      <w:bookmarkStart w:id="151" w:name="_Toc351203490"/>
      <w:r>
        <w:rPr>
          <w:rFonts w:hint="eastAsia" w:ascii="仿宋" w:hAnsi="仿宋" w:eastAsia="仿宋" w:cs="仿宋"/>
          <w:b/>
          <w:color w:val="auto"/>
          <w:sz w:val="21"/>
          <w:szCs w:val="21"/>
          <w:highlight w:val="none"/>
        </w:rPr>
        <w:t>十</w:t>
      </w:r>
      <w:r>
        <w:rPr>
          <w:rFonts w:hint="eastAsia" w:ascii="仿宋" w:hAnsi="仿宋" w:eastAsia="仿宋" w:cs="仿宋"/>
          <w:b/>
          <w:color w:val="auto"/>
          <w:sz w:val="21"/>
          <w:szCs w:val="21"/>
          <w:highlight w:val="none"/>
          <w:lang w:val="en-US" w:eastAsia="zh-CN"/>
        </w:rPr>
        <w:t>三</w:t>
      </w:r>
      <w:r>
        <w:rPr>
          <w:rFonts w:hint="eastAsia" w:ascii="仿宋" w:hAnsi="仿宋" w:eastAsia="仿宋" w:cs="仿宋"/>
          <w:b/>
          <w:color w:val="auto"/>
          <w:sz w:val="21"/>
          <w:szCs w:val="21"/>
          <w:highlight w:val="none"/>
        </w:rPr>
        <w:t>、签订地点</w:t>
      </w:r>
      <w:bookmarkEnd w:id="151"/>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本合同在</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签订。</w:t>
      </w:r>
    </w:p>
    <w:p>
      <w:pPr>
        <w:pStyle w:val="7"/>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 w:val="21"/>
          <w:szCs w:val="21"/>
          <w:highlight w:val="none"/>
        </w:rPr>
      </w:pPr>
      <w:bookmarkStart w:id="152" w:name="_Toc351203491"/>
      <w:r>
        <w:rPr>
          <w:rFonts w:hint="eastAsia" w:ascii="仿宋" w:hAnsi="仿宋" w:eastAsia="仿宋" w:cs="仿宋"/>
          <w:b/>
          <w:color w:val="auto"/>
          <w:sz w:val="21"/>
          <w:szCs w:val="21"/>
          <w:highlight w:val="none"/>
        </w:rPr>
        <w:t>十</w:t>
      </w:r>
      <w:r>
        <w:rPr>
          <w:rFonts w:hint="eastAsia" w:ascii="仿宋" w:hAnsi="仿宋" w:eastAsia="仿宋" w:cs="仿宋"/>
          <w:b/>
          <w:color w:val="auto"/>
          <w:sz w:val="21"/>
          <w:szCs w:val="21"/>
          <w:highlight w:val="none"/>
          <w:lang w:val="en-US" w:eastAsia="zh-CN"/>
        </w:rPr>
        <w:t>四</w:t>
      </w:r>
      <w:r>
        <w:rPr>
          <w:rFonts w:hint="eastAsia" w:ascii="仿宋" w:hAnsi="仿宋" w:eastAsia="仿宋" w:cs="仿宋"/>
          <w:b/>
          <w:color w:val="auto"/>
          <w:sz w:val="21"/>
          <w:szCs w:val="21"/>
          <w:highlight w:val="none"/>
        </w:rPr>
        <w:t>、补充协议</w:t>
      </w:r>
      <w:bookmarkEnd w:id="152"/>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合同未尽事宜，合同当事人另行签订补充协议，补充协议是合同的组成部分。</w:t>
      </w:r>
    </w:p>
    <w:p>
      <w:pPr>
        <w:pStyle w:val="7"/>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 w:val="21"/>
          <w:szCs w:val="21"/>
          <w:highlight w:val="none"/>
        </w:rPr>
      </w:pPr>
      <w:bookmarkStart w:id="153" w:name="_Toc351203492"/>
      <w:r>
        <w:rPr>
          <w:rFonts w:hint="eastAsia" w:ascii="仿宋" w:hAnsi="仿宋" w:eastAsia="仿宋" w:cs="仿宋"/>
          <w:b/>
          <w:color w:val="auto"/>
          <w:sz w:val="21"/>
          <w:szCs w:val="21"/>
          <w:highlight w:val="none"/>
        </w:rPr>
        <w:t>十</w:t>
      </w:r>
      <w:r>
        <w:rPr>
          <w:rFonts w:hint="eastAsia" w:ascii="仿宋" w:hAnsi="仿宋" w:eastAsia="仿宋" w:cs="仿宋"/>
          <w:b/>
          <w:color w:val="auto"/>
          <w:sz w:val="21"/>
          <w:szCs w:val="21"/>
          <w:highlight w:val="none"/>
          <w:lang w:val="en-US" w:eastAsia="zh-CN"/>
        </w:rPr>
        <w:t>五</w:t>
      </w:r>
      <w:r>
        <w:rPr>
          <w:rFonts w:hint="eastAsia" w:ascii="仿宋" w:hAnsi="仿宋" w:eastAsia="仿宋" w:cs="仿宋"/>
          <w:b/>
          <w:color w:val="auto"/>
          <w:sz w:val="21"/>
          <w:szCs w:val="21"/>
          <w:highlight w:val="none"/>
        </w:rPr>
        <w:t>、合同生效</w:t>
      </w:r>
      <w:bookmarkEnd w:id="153"/>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本合同自生效。</w:t>
      </w:r>
    </w:p>
    <w:p>
      <w:pPr>
        <w:pStyle w:val="7"/>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 w:val="21"/>
          <w:szCs w:val="21"/>
          <w:highlight w:val="none"/>
        </w:rPr>
      </w:pPr>
      <w:bookmarkStart w:id="154" w:name="_Toc351203493"/>
      <w:r>
        <w:rPr>
          <w:rFonts w:hint="eastAsia" w:ascii="仿宋" w:hAnsi="仿宋" w:eastAsia="仿宋" w:cs="仿宋"/>
          <w:b/>
          <w:color w:val="auto"/>
          <w:sz w:val="21"/>
          <w:szCs w:val="21"/>
          <w:highlight w:val="none"/>
        </w:rPr>
        <w:t>十</w:t>
      </w:r>
      <w:r>
        <w:rPr>
          <w:rFonts w:hint="eastAsia" w:ascii="仿宋" w:hAnsi="仿宋" w:eastAsia="仿宋" w:cs="仿宋"/>
          <w:b/>
          <w:color w:val="auto"/>
          <w:sz w:val="21"/>
          <w:szCs w:val="21"/>
          <w:highlight w:val="none"/>
          <w:lang w:val="en-US" w:eastAsia="zh-CN"/>
        </w:rPr>
        <w:t>六</w:t>
      </w:r>
      <w:r>
        <w:rPr>
          <w:rFonts w:hint="eastAsia" w:ascii="仿宋" w:hAnsi="仿宋" w:eastAsia="仿宋" w:cs="仿宋"/>
          <w:b/>
          <w:color w:val="auto"/>
          <w:sz w:val="21"/>
          <w:szCs w:val="21"/>
          <w:highlight w:val="none"/>
        </w:rPr>
        <w:t>、合同份数</w:t>
      </w:r>
      <w:bookmarkEnd w:id="154"/>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本合同一式</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份，均具有同等法律效力，发包人执</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份，承包人执</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份。</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color w:val="auto"/>
          <w:szCs w:val="21"/>
          <w:highlight w:val="none"/>
        </w:rPr>
      </w:pP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发包人</w:t>
      </w:r>
      <w:r>
        <w:rPr>
          <w:rFonts w:hint="eastAsia" w:ascii="仿宋" w:hAnsi="仿宋" w:eastAsia="仿宋" w:cs="仿宋"/>
          <w:color w:val="auto"/>
          <w:szCs w:val="21"/>
          <w:highlight w:val="none"/>
        </w:rPr>
        <w:t xml:space="preserve">：  (公章)                       </w:t>
      </w:r>
      <w:r>
        <w:rPr>
          <w:rFonts w:hint="eastAsia" w:ascii="仿宋" w:hAnsi="仿宋" w:eastAsia="仿宋" w:cs="仿宋"/>
          <w:bCs/>
          <w:color w:val="auto"/>
          <w:szCs w:val="21"/>
          <w:highlight w:val="none"/>
        </w:rPr>
        <w:t>承包人</w:t>
      </w:r>
      <w:r>
        <w:rPr>
          <w:rFonts w:hint="eastAsia" w:ascii="仿宋" w:hAnsi="仿宋" w:eastAsia="仿宋" w:cs="仿宋"/>
          <w:color w:val="auto"/>
          <w:szCs w:val="21"/>
          <w:highlight w:val="none"/>
        </w:rPr>
        <w:t>：  (公章)</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u w:val="single"/>
        </w:rPr>
      </w:pP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           法定代表人或其委托代理人：</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                            （签字）</w:t>
      </w:r>
    </w:p>
    <w:p>
      <w:pPr>
        <w:keepLines w:val="0"/>
        <w:pageBreakBefore w:val="0"/>
        <w:widowControl w:val="0"/>
        <w:tabs>
          <w:tab w:val="left" w:pos="4410"/>
        </w:tabs>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组织机构代码：</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xml:space="preserve">          组织机构代码：</w:t>
      </w:r>
      <w:r>
        <w:rPr>
          <w:rFonts w:hint="eastAsia" w:ascii="仿宋" w:hAnsi="仿宋" w:eastAsia="仿宋" w:cs="仿宋"/>
          <w:color w:val="auto"/>
          <w:szCs w:val="21"/>
          <w:highlight w:val="none"/>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xml:space="preserve">         地  址：</w:t>
      </w:r>
      <w:r>
        <w:rPr>
          <w:rFonts w:hint="eastAsia" w:ascii="仿宋" w:hAnsi="仿宋" w:eastAsia="仿宋" w:cs="仿宋"/>
          <w:color w:val="auto"/>
          <w:szCs w:val="21"/>
          <w:highlight w:val="none"/>
          <w:u w:val="single"/>
        </w:rPr>
        <w:t xml:space="preserve">  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     </w:t>
      </w:r>
      <w:r>
        <w:rPr>
          <w:rFonts w:hint="eastAsia" w:ascii="仿宋" w:hAnsi="仿宋" w:eastAsia="仿宋" w:cs="仿宋"/>
          <w:color w:val="auto"/>
          <w:szCs w:val="21"/>
          <w:highlight w:val="none"/>
        </w:rPr>
        <w:t xml:space="preserve">         邮政编码：</w:t>
      </w:r>
      <w:r>
        <w:rPr>
          <w:rFonts w:hint="eastAsia" w:ascii="仿宋" w:hAnsi="仿宋" w:eastAsia="仿宋" w:cs="仿宋"/>
          <w:color w:val="auto"/>
          <w:szCs w:val="21"/>
          <w:highlight w:val="none"/>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xml:space="preserve">          法定代表人：</w:t>
      </w:r>
      <w:r>
        <w:rPr>
          <w:rFonts w:hint="eastAsia" w:ascii="仿宋" w:hAnsi="仿宋" w:eastAsia="仿宋" w:cs="仿宋"/>
          <w:color w:val="auto"/>
          <w:szCs w:val="21"/>
          <w:highlight w:val="none"/>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委托代理人：</w:t>
      </w:r>
      <w:r>
        <w:rPr>
          <w:rFonts w:hint="eastAsia" w:ascii="仿宋" w:hAnsi="仿宋" w:eastAsia="仿宋" w:cs="仿宋"/>
          <w:color w:val="auto"/>
          <w:szCs w:val="21"/>
          <w:highlight w:val="none"/>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电  话：</w:t>
      </w:r>
      <w:r>
        <w:rPr>
          <w:rFonts w:hint="eastAsia" w:ascii="仿宋" w:hAnsi="仿宋" w:eastAsia="仿宋" w:cs="仿宋"/>
          <w:color w:val="auto"/>
          <w:szCs w:val="21"/>
          <w:highlight w:val="none"/>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传  真：</w:t>
      </w:r>
      <w:r>
        <w:rPr>
          <w:rFonts w:hint="eastAsia" w:ascii="仿宋" w:hAnsi="仿宋" w:eastAsia="仿宋" w:cs="仿宋"/>
          <w:color w:val="auto"/>
          <w:szCs w:val="21"/>
          <w:highlight w:val="none"/>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电子信箱：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电子信箱：</w:t>
      </w:r>
      <w:r>
        <w:rPr>
          <w:rFonts w:hint="eastAsia" w:ascii="仿宋" w:hAnsi="仿宋" w:eastAsia="仿宋" w:cs="仿宋"/>
          <w:color w:val="auto"/>
          <w:szCs w:val="21"/>
          <w:highlight w:val="none"/>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开户银行：             开户银行：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  号：                 账  号：</w:t>
      </w:r>
    </w:p>
    <w:p>
      <w:pPr>
        <w:pageBreakBefore/>
        <w:tabs>
          <w:tab w:val="left" w:pos="7665"/>
        </w:tabs>
        <w:spacing w:line="360" w:lineRule="auto"/>
        <w:ind w:firstLine="301" w:firstLineChars="100"/>
        <w:jc w:val="center"/>
        <w:rPr>
          <w:rFonts w:hint="eastAsia" w:ascii="仿宋" w:hAnsi="仿宋" w:eastAsia="仿宋" w:cs="仿宋"/>
          <w:color w:val="auto"/>
          <w:sz w:val="24"/>
          <w:highlight w:val="none"/>
        </w:rPr>
      </w:pPr>
      <w:r>
        <w:rPr>
          <w:rFonts w:hint="eastAsia" w:ascii="仿宋" w:hAnsi="仿宋" w:eastAsia="仿宋" w:cs="仿宋"/>
          <w:b/>
          <w:bCs/>
          <w:color w:val="auto"/>
          <w:sz w:val="30"/>
          <w:szCs w:val="30"/>
          <w:highlight w:val="none"/>
        </w:rPr>
        <w:t>第五章、</w:t>
      </w:r>
      <w:bookmarkEnd w:id="149"/>
      <w:r>
        <w:rPr>
          <w:rFonts w:hint="eastAsia" w:ascii="仿宋" w:hAnsi="仿宋" w:eastAsia="仿宋" w:cs="仿宋"/>
          <w:b/>
          <w:bCs/>
          <w:color w:val="auto"/>
          <w:sz w:val="30"/>
          <w:szCs w:val="30"/>
          <w:highlight w:val="none"/>
          <w:lang w:eastAsia="zh-CN"/>
        </w:rPr>
        <w:t>响应文件</w:t>
      </w:r>
      <w:r>
        <w:rPr>
          <w:rFonts w:hint="eastAsia" w:ascii="仿宋" w:hAnsi="仿宋" w:eastAsia="仿宋" w:cs="仿宋"/>
          <w:b/>
          <w:bCs/>
          <w:color w:val="auto"/>
          <w:sz w:val="30"/>
          <w:szCs w:val="30"/>
          <w:highlight w:val="none"/>
        </w:rPr>
        <w:t>格式</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封面</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函</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商务报价一览表</w:t>
      </w:r>
    </w:p>
    <w:p>
      <w:pPr>
        <w:pStyle w:val="10"/>
        <w:numPr>
          <w:ilvl w:val="0"/>
          <w:numId w:val="0"/>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1、分项报价明细表</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法定代表人资格证明书</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法定代表人授权书</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资格声明</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w:t>
      </w:r>
    </w:p>
    <w:p>
      <w:pPr>
        <w:pStyle w:val="10"/>
        <w:numPr>
          <w:ilvl w:val="0"/>
          <w:numId w:val="10"/>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诚信声明</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项目负责人简历表</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近三年（自20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月1日至今）同类项目业绩表</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服务响应/偏离表</w:t>
      </w:r>
    </w:p>
    <w:p>
      <w:pPr>
        <w:pStyle w:val="10"/>
        <w:numPr>
          <w:ilvl w:val="0"/>
          <w:numId w:val="1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资格性/符合性自查表</w:t>
      </w:r>
    </w:p>
    <w:p>
      <w:pPr>
        <w:pStyle w:val="18"/>
        <w:spacing w:line="312" w:lineRule="auto"/>
        <w:ind w:left="-85" w:firstLine="482" w:firstLineChars="200"/>
        <w:jc w:val="center"/>
        <w:rPr>
          <w:rFonts w:hint="eastAsia" w:ascii="仿宋" w:hAnsi="仿宋" w:eastAsia="仿宋" w:cs="仿宋"/>
          <w:b/>
          <w:bCs/>
          <w:color w:val="auto"/>
          <w:sz w:val="24"/>
          <w:szCs w:val="24"/>
          <w:highlight w:val="none"/>
        </w:rPr>
      </w:pPr>
    </w:p>
    <w:p>
      <w:pPr>
        <w:pStyle w:val="18"/>
        <w:spacing w:line="312" w:lineRule="auto"/>
        <w:ind w:left="-85" w:firstLine="562" w:firstLineChars="200"/>
        <w:jc w:val="center"/>
        <w:rPr>
          <w:rFonts w:hint="eastAsia" w:ascii="仿宋" w:hAnsi="仿宋" w:eastAsia="仿宋" w:cs="仿宋"/>
          <w:b/>
          <w:bCs/>
          <w:color w:val="auto"/>
          <w:sz w:val="28"/>
          <w:szCs w:val="28"/>
          <w:highlight w:val="none"/>
        </w:rPr>
      </w:pPr>
    </w:p>
    <w:p>
      <w:pPr>
        <w:pStyle w:val="18"/>
        <w:spacing w:line="312" w:lineRule="auto"/>
        <w:ind w:left="-85" w:firstLine="562" w:firstLineChars="200"/>
        <w:jc w:val="center"/>
        <w:rPr>
          <w:rFonts w:hint="eastAsia" w:ascii="仿宋" w:hAnsi="仿宋" w:eastAsia="仿宋" w:cs="仿宋"/>
          <w:b/>
          <w:bCs/>
          <w:color w:val="auto"/>
          <w:sz w:val="28"/>
          <w:szCs w:val="28"/>
          <w:highlight w:val="none"/>
        </w:rPr>
      </w:pPr>
    </w:p>
    <w:p>
      <w:pPr>
        <w:pStyle w:val="18"/>
        <w:spacing w:line="312" w:lineRule="auto"/>
        <w:ind w:left="-85" w:firstLine="562" w:firstLineChars="200"/>
        <w:jc w:val="center"/>
        <w:rPr>
          <w:rFonts w:hint="eastAsia" w:ascii="仿宋" w:hAnsi="仿宋" w:eastAsia="仿宋" w:cs="仿宋"/>
          <w:b/>
          <w:bCs/>
          <w:color w:val="auto"/>
          <w:sz w:val="28"/>
          <w:szCs w:val="28"/>
          <w:highlight w:val="none"/>
        </w:rPr>
      </w:pPr>
    </w:p>
    <w:p>
      <w:pPr>
        <w:spacing w:line="10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1000" w:lineRule="exact"/>
        <w:jc w:val="center"/>
        <w:rPr>
          <w:rFonts w:hint="eastAsia" w:ascii="仿宋" w:hAnsi="仿宋" w:eastAsia="仿宋" w:cs="仿宋"/>
          <w:b/>
          <w:bCs/>
          <w:color w:val="auto"/>
          <w:sz w:val="44"/>
          <w:szCs w:val="44"/>
          <w:highlight w:val="none"/>
        </w:rPr>
      </w:pPr>
    </w:p>
    <w:p>
      <w:pPr>
        <w:pStyle w:val="6"/>
        <w:rPr>
          <w:rFonts w:hint="eastAsia"/>
          <w:color w:val="auto"/>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544" w:rightChars="259" w:firstLine="420" w:firstLineChars="95"/>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独山子区污水处理厂委托第三方检测机构监测排放污染物项目(二次)</w:t>
      </w:r>
    </w:p>
    <w:p>
      <w:pPr>
        <w:keepNext w:val="0"/>
        <w:keepLines w:val="0"/>
        <w:pageBreakBefore w:val="0"/>
        <w:widowControl w:val="0"/>
        <w:kinsoku/>
        <w:wordWrap/>
        <w:overflowPunct/>
        <w:topLinePunct w:val="0"/>
        <w:autoSpaceDE/>
        <w:autoSpaceDN/>
        <w:bidi w:val="0"/>
        <w:adjustRightInd/>
        <w:snapToGrid/>
        <w:spacing w:line="1200" w:lineRule="exact"/>
        <w:ind w:right="-319" w:rightChars="-152"/>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响应文件</w:t>
      </w:r>
    </w:p>
    <w:p>
      <w:pPr>
        <w:snapToGrid w:val="0"/>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竞争性谈判文件</w:t>
      </w:r>
      <w:r>
        <w:rPr>
          <w:rFonts w:hint="eastAsia" w:ascii="仿宋" w:hAnsi="仿宋" w:eastAsia="仿宋" w:cs="仿宋"/>
          <w:b/>
          <w:color w:val="auto"/>
          <w:sz w:val="30"/>
          <w:szCs w:val="30"/>
          <w:highlight w:val="none"/>
        </w:rPr>
        <w:t>编号：QZX[ZC]202</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03-1</w:t>
      </w:r>
      <w:r>
        <w:rPr>
          <w:rFonts w:hint="eastAsia" w:ascii="仿宋" w:hAnsi="仿宋" w:eastAsia="仿宋" w:cs="仿宋"/>
          <w:b/>
          <w:color w:val="auto"/>
          <w:sz w:val="30"/>
          <w:szCs w:val="30"/>
          <w:highlight w:val="none"/>
        </w:rPr>
        <w:t>）</w:t>
      </w:r>
    </w:p>
    <w:p>
      <w:pPr>
        <w:snapToGrid w:val="0"/>
        <w:spacing w:line="374" w:lineRule="atLeast"/>
        <w:jc w:val="center"/>
        <w:rPr>
          <w:rFonts w:hint="eastAsia" w:ascii="仿宋" w:hAnsi="仿宋" w:eastAsia="仿宋" w:cs="仿宋"/>
          <w:b/>
          <w:color w:val="auto"/>
          <w:sz w:val="30"/>
          <w:highlight w:val="none"/>
        </w:rPr>
      </w:pPr>
    </w:p>
    <w:p>
      <w:pPr>
        <w:spacing w:line="360" w:lineRule="auto"/>
        <w:rPr>
          <w:rFonts w:hint="eastAsia" w:ascii="仿宋" w:hAnsi="仿宋" w:eastAsia="仿宋" w:cs="仿宋"/>
          <w:b/>
          <w:color w:val="auto"/>
          <w:highlight w:val="none"/>
        </w:rPr>
      </w:pPr>
    </w:p>
    <w:p>
      <w:pPr>
        <w:spacing w:line="360" w:lineRule="auto"/>
        <w:ind w:firstLine="60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 （单位名称）盖章</w:t>
      </w:r>
    </w:p>
    <w:p>
      <w:pPr>
        <w:spacing w:line="360" w:lineRule="auto"/>
        <w:rPr>
          <w:rFonts w:hint="eastAsia" w:ascii="仿宋" w:hAnsi="仿宋" w:eastAsia="仿宋" w:cs="仿宋"/>
          <w:b/>
          <w:color w:val="auto"/>
          <w:sz w:val="30"/>
          <w:szCs w:val="30"/>
          <w:highlight w:val="none"/>
        </w:rPr>
      </w:pPr>
    </w:p>
    <w:p>
      <w:pPr>
        <w:spacing w:line="360" w:lineRule="auto"/>
        <w:ind w:firstLine="60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单位地址：</w:t>
      </w:r>
    </w:p>
    <w:p>
      <w:pPr>
        <w:spacing w:line="360" w:lineRule="auto"/>
        <w:ind w:firstLine="602"/>
        <w:rPr>
          <w:rFonts w:hint="eastAsia" w:ascii="仿宋" w:hAnsi="仿宋" w:eastAsia="仿宋" w:cs="仿宋"/>
          <w:b/>
          <w:color w:val="auto"/>
          <w:sz w:val="30"/>
          <w:szCs w:val="30"/>
          <w:highlight w:val="none"/>
        </w:rPr>
      </w:pPr>
    </w:p>
    <w:p>
      <w:pPr>
        <w:pStyle w:val="10"/>
        <w:ind w:firstLine="596" w:firstLineChars="198"/>
        <w:outlineLvl w:val="0"/>
        <w:rPr>
          <w:rFonts w:hint="eastAsia" w:ascii="仿宋" w:hAnsi="仿宋" w:eastAsia="仿宋" w:cs="仿宋"/>
          <w:color w:val="auto"/>
          <w:sz w:val="24"/>
          <w:highlight w:val="none"/>
        </w:rPr>
      </w:pPr>
      <w:r>
        <w:rPr>
          <w:rFonts w:hint="eastAsia" w:ascii="仿宋" w:hAnsi="仿宋" w:eastAsia="仿宋" w:cs="仿宋"/>
          <w:b/>
          <w:color w:val="auto"/>
          <w:sz w:val="30"/>
          <w:szCs w:val="30"/>
          <w:highlight w:val="none"/>
        </w:rPr>
        <w:t>联系人：                   联系电话：</w:t>
      </w:r>
    </w:p>
    <w:p>
      <w:pPr>
        <w:spacing w:line="360" w:lineRule="auto"/>
        <w:rPr>
          <w:rFonts w:hint="eastAsia" w:ascii="仿宋" w:hAnsi="仿宋" w:eastAsia="仿宋" w:cs="仿宋"/>
          <w:b/>
          <w:color w:val="auto"/>
          <w:sz w:val="28"/>
          <w:szCs w:val="28"/>
          <w:highlight w:val="none"/>
        </w:rPr>
      </w:pPr>
    </w:p>
    <w:p>
      <w:pPr>
        <w:pStyle w:val="9"/>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
          <w:color w:val="auto"/>
          <w:sz w:val="28"/>
          <w:szCs w:val="28"/>
          <w:highlight w:val="none"/>
        </w:rPr>
        <w:t xml:space="preserve">1、 </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rPr>
        <w:t>函</w:t>
      </w:r>
    </w:p>
    <w:p>
      <w:pPr>
        <w:pStyle w:val="12"/>
        <w:ind w:left="0" w:firstLine="480" w:firstLineChars="200"/>
        <w:rPr>
          <w:rFonts w:hint="eastAsia" w:ascii="仿宋" w:hAnsi="仿宋" w:eastAsia="仿宋" w:cs="仿宋"/>
          <w:b w:val="0"/>
          <w:bCs/>
          <w:color w:val="auto"/>
          <w:highlight w:val="none"/>
        </w:rPr>
      </w:pPr>
    </w:p>
    <w:p>
      <w:pPr>
        <w:pStyle w:val="12"/>
        <w:ind w:left="0" w:firstLine="480" w:firstLineChars="200"/>
        <w:rPr>
          <w:rFonts w:hint="default" w:ascii="仿宋" w:hAnsi="仿宋" w:eastAsia="仿宋" w:cs="仿宋"/>
          <w:b w:val="0"/>
          <w:bCs/>
          <w:color w:val="auto"/>
          <w:highlight w:val="none"/>
          <w:u w:val="single"/>
          <w:lang w:val="en-US" w:eastAsia="zh-CN"/>
        </w:rPr>
      </w:pPr>
      <w:r>
        <w:rPr>
          <w:rFonts w:hint="eastAsia" w:ascii="仿宋" w:hAnsi="仿宋" w:eastAsia="仿宋" w:cs="仿宋"/>
          <w:b w:val="0"/>
          <w:bCs/>
          <w:color w:val="auto"/>
          <w:highlight w:val="none"/>
          <w:u w:val="single"/>
          <w:lang w:val="en-US" w:eastAsia="zh-CN"/>
        </w:rPr>
        <w:t xml:space="preserve">        （采购人名称）  </w:t>
      </w:r>
    </w:p>
    <w:p>
      <w:pPr>
        <w:pStyle w:val="12"/>
        <w:ind w:left="0" w:firstLine="480" w:firstLineChars="200"/>
        <w:rPr>
          <w:rFonts w:hint="eastAsia" w:ascii="仿宋" w:hAnsi="仿宋" w:eastAsia="仿宋" w:cs="仿宋"/>
          <w:b w:val="0"/>
          <w:bCs/>
          <w:color w:val="auto"/>
        </w:rPr>
      </w:pPr>
      <w:r>
        <w:rPr>
          <w:rFonts w:hint="eastAsia" w:ascii="仿宋" w:hAnsi="仿宋" w:eastAsia="仿宋" w:cs="仿宋"/>
          <w:b w:val="0"/>
          <w:bCs/>
          <w:color w:val="auto"/>
        </w:rPr>
        <w:t>我方全面研究了 “</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”项目竞争性</w:t>
      </w:r>
      <w:r>
        <w:rPr>
          <w:rFonts w:hint="eastAsia" w:ascii="仿宋" w:hAnsi="仿宋" w:eastAsia="仿宋" w:cs="仿宋"/>
          <w:b w:val="0"/>
          <w:bCs/>
          <w:color w:val="auto"/>
          <w:lang w:eastAsia="zh-CN"/>
        </w:rPr>
        <w:t>谈判</w:t>
      </w:r>
      <w:r>
        <w:rPr>
          <w:rFonts w:hint="eastAsia" w:ascii="仿宋" w:hAnsi="仿宋" w:eastAsia="仿宋" w:cs="仿宋"/>
          <w:b w:val="0"/>
          <w:bCs/>
          <w:color w:val="auto"/>
        </w:rPr>
        <w:t>文件（文件编号：</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），决定参加本项目</w:t>
      </w:r>
      <w:r>
        <w:rPr>
          <w:rFonts w:hint="eastAsia" w:ascii="仿宋" w:hAnsi="仿宋" w:eastAsia="仿宋" w:cs="仿宋"/>
          <w:b w:val="0"/>
          <w:bCs/>
          <w:color w:val="auto"/>
          <w:lang w:eastAsia="zh-CN"/>
        </w:rPr>
        <w:t>谈判</w:t>
      </w:r>
      <w:r>
        <w:rPr>
          <w:rFonts w:hint="eastAsia" w:ascii="仿宋" w:hAnsi="仿宋" w:eastAsia="仿宋" w:cs="仿宋"/>
          <w:b w:val="0"/>
          <w:bCs/>
          <w:color w:val="auto"/>
        </w:rPr>
        <w:t>。我方授权</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（姓名、职务）代表我方</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w:t>
      </w:r>
      <w:r>
        <w:rPr>
          <w:rFonts w:hint="eastAsia" w:ascii="仿宋" w:hAnsi="仿宋" w:eastAsia="仿宋" w:cs="仿宋"/>
          <w:b w:val="0"/>
          <w:bCs/>
          <w:color w:val="auto"/>
          <w:lang w:eastAsia="zh-CN"/>
        </w:rPr>
        <w:t>供应商</w:t>
      </w:r>
      <w:r>
        <w:rPr>
          <w:rFonts w:hint="eastAsia" w:ascii="仿宋" w:hAnsi="仿宋" w:eastAsia="仿宋" w:cs="仿宋"/>
          <w:b w:val="0"/>
          <w:bCs/>
          <w:color w:val="auto"/>
        </w:rPr>
        <w:t>的名称）全权处理本项目</w:t>
      </w:r>
      <w:r>
        <w:rPr>
          <w:rFonts w:hint="eastAsia" w:ascii="仿宋" w:hAnsi="仿宋" w:eastAsia="仿宋" w:cs="仿宋"/>
          <w:b w:val="0"/>
          <w:bCs/>
          <w:color w:val="auto"/>
          <w:lang w:eastAsia="zh-CN"/>
        </w:rPr>
        <w:t>谈判</w:t>
      </w:r>
      <w:r>
        <w:rPr>
          <w:rFonts w:hint="eastAsia" w:ascii="仿宋" w:hAnsi="仿宋" w:eastAsia="仿宋" w:cs="仿宋"/>
          <w:b w:val="0"/>
          <w:bCs/>
          <w:color w:val="auto"/>
        </w:rPr>
        <w:t>的有关事宜并提交按采购文件所要求的加密电子版响应文件及开标后提供的纸质版响应文件。</w:t>
      </w:r>
    </w:p>
    <w:p>
      <w:pPr>
        <w:pStyle w:val="12"/>
        <w:numPr>
          <w:ilvl w:val="0"/>
          <w:numId w:val="11"/>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我方自愿按照</w:t>
      </w:r>
      <w:r>
        <w:rPr>
          <w:rFonts w:hint="eastAsia" w:ascii="仿宋" w:hAnsi="仿宋" w:eastAsia="仿宋" w:cs="仿宋"/>
          <w:b w:val="0"/>
          <w:bCs/>
          <w:color w:val="auto"/>
          <w:lang w:eastAsia="zh-CN"/>
        </w:rPr>
        <w:t>谈判</w:t>
      </w:r>
      <w:r>
        <w:rPr>
          <w:rFonts w:hint="eastAsia" w:ascii="仿宋" w:hAnsi="仿宋" w:eastAsia="仿宋" w:cs="仿宋"/>
          <w:b w:val="0"/>
          <w:bCs/>
          <w:color w:val="auto"/>
        </w:rPr>
        <w:t>文件规定的各项要求向采购人提供所需工作内容。</w:t>
      </w:r>
    </w:p>
    <w:p>
      <w:pPr>
        <w:pStyle w:val="12"/>
        <w:numPr>
          <w:ilvl w:val="0"/>
          <w:numId w:val="11"/>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若我方成交，我方将严格履行合同规定的责任和义务，保证按采购人要求及我方承诺完成所需服务及应尽义务。</w:t>
      </w:r>
    </w:p>
    <w:p>
      <w:pPr>
        <w:pStyle w:val="12"/>
        <w:ind w:left="0" w:firstLine="480" w:firstLineChars="200"/>
        <w:rPr>
          <w:rFonts w:hint="eastAsia" w:ascii="仿宋" w:hAnsi="仿宋" w:eastAsia="仿宋" w:cs="仿宋"/>
          <w:b/>
          <w:bCs w:val="0"/>
          <w:color w:val="auto"/>
        </w:rPr>
      </w:pPr>
      <w:r>
        <w:rPr>
          <w:rFonts w:hint="eastAsia" w:ascii="仿宋" w:hAnsi="仿宋" w:eastAsia="仿宋" w:cs="仿宋"/>
          <w:b w:val="0"/>
          <w:bCs/>
          <w:color w:val="auto"/>
          <w:lang w:val="en-US" w:eastAsia="zh-CN"/>
        </w:rPr>
        <w:t>3、</w:t>
      </w:r>
      <w:r>
        <w:rPr>
          <w:rFonts w:hint="eastAsia" w:ascii="仿宋" w:hAnsi="仿宋" w:eastAsia="仿宋" w:cs="仿宋"/>
          <w:b/>
          <w:bCs w:val="0"/>
          <w:color w:val="auto"/>
        </w:rPr>
        <w:t>其投标自递交响应文件截止之日起有效期为</w:t>
      </w:r>
      <w:r>
        <w:rPr>
          <w:rFonts w:hint="eastAsia" w:ascii="仿宋" w:hAnsi="仿宋" w:eastAsia="仿宋" w:cs="仿宋"/>
          <w:b/>
          <w:bCs w:val="0"/>
          <w:color w:val="auto"/>
          <w:lang w:val="en-US" w:eastAsia="zh-CN"/>
        </w:rPr>
        <w:t>60</w:t>
      </w:r>
      <w:r>
        <w:rPr>
          <w:rFonts w:hint="eastAsia" w:ascii="仿宋" w:hAnsi="仿宋" w:eastAsia="仿宋" w:cs="仿宋"/>
          <w:b/>
          <w:bCs w:val="0"/>
          <w:color w:val="auto"/>
        </w:rPr>
        <w:t xml:space="preserve"> 个日历日。如果我们的投标被接受，则至合同生效时止，本投标始终有效，我们将按服务协议、投标承诺及采购文件的规定履行合同责任和义务。</w:t>
      </w:r>
    </w:p>
    <w:p>
      <w:pPr>
        <w:pStyle w:val="12"/>
        <w:ind w:left="0" w:firstLine="482" w:firstLineChars="200"/>
        <w:rPr>
          <w:rFonts w:hint="eastAsia" w:ascii="仿宋" w:hAnsi="仿宋" w:eastAsia="仿宋" w:cs="仿宋"/>
          <w:b/>
          <w:bCs w:val="0"/>
          <w:color w:val="auto"/>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val="0"/>
          <w:bCs/>
          <w:color w:val="auto"/>
        </w:rPr>
        <w:t>我方愿意提供</w:t>
      </w:r>
      <w:r>
        <w:rPr>
          <w:rFonts w:hint="eastAsia" w:ascii="仿宋" w:hAnsi="仿宋" w:eastAsia="仿宋" w:cs="仿宋"/>
          <w:b w:val="0"/>
          <w:bCs/>
          <w:color w:val="auto"/>
          <w:lang w:eastAsia="zh-CN"/>
        </w:rPr>
        <w:t>采购人</w:t>
      </w:r>
      <w:r>
        <w:rPr>
          <w:rFonts w:hint="eastAsia" w:ascii="仿宋" w:hAnsi="仿宋" w:eastAsia="仿宋" w:cs="仿宋"/>
          <w:b w:val="0"/>
          <w:bCs/>
          <w:color w:val="auto"/>
        </w:rPr>
        <w:t>可能另外要求的，与</w:t>
      </w:r>
      <w:r>
        <w:rPr>
          <w:rFonts w:hint="eastAsia" w:ascii="仿宋" w:hAnsi="仿宋" w:eastAsia="仿宋" w:cs="仿宋"/>
          <w:b w:val="0"/>
          <w:bCs/>
          <w:color w:val="auto"/>
          <w:lang w:eastAsia="zh-CN"/>
        </w:rPr>
        <w:t>谈判</w:t>
      </w:r>
      <w:r>
        <w:rPr>
          <w:rFonts w:hint="eastAsia" w:ascii="仿宋" w:hAnsi="仿宋" w:eastAsia="仿宋" w:cs="仿宋"/>
          <w:b w:val="0"/>
          <w:bCs/>
          <w:color w:val="auto"/>
        </w:rPr>
        <w:t>有关的文件资料，并保证我方已提供和将要提供的文件资料是真实、准确的。</w:t>
      </w:r>
    </w:p>
    <w:p>
      <w:pPr>
        <w:pStyle w:val="12"/>
        <w:ind w:left="0" w:firstLine="480" w:firstLineChars="200"/>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lang w:val="en-US" w:eastAsia="zh-CN"/>
        </w:rPr>
        <w:t>5</w:t>
      </w:r>
      <w:r>
        <w:rPr>
          <w:rFonts w:hint="eastAsia" w:ascii="仿宋" w:hAnsi="仿宋" w:eastAsia="仿宋" w:cs="仿宋"/>
          <w:b w:val="0"/>
          <w:bCs/>
          <w:color w:val="auto"/>
        </w:rPr>
        <w:t>、</w:t>
      </w:r>
      <w:r>
        <w:rPr>
          <w:rFonts w:hint="eastAsia" w:ascii="仿宋" w:hAnsi="仿宋" w:eastAsia="仿宋" w:cs="仿宋"/>
          <w:b w:val="0"/>
          <w:bCs/>
          <w:color w:val="auto"/>
          <w:highlight w:val="none"/>
        </w:rPr>
        <w:t>我方完全理解</w:t>
      </w:r>
      <w:r>
        <w:rPr>
          <w:rFonts w:hint="eastAsia" w:ascii="仿宋" w:hAnsi="仿宋" w:eastAsia="仿宋" w:cs="仿宋"/>
          <w:b w:val="0"/>
          <w:bCs/>
          <w:color w:val="auto"/>
          <w:highlight w:val="none"/>
          <w:lang w:eastAsia="zh-CN"/>
        </w:rPr>
        <w:t>采购人</w:t>
      </w:r>
      <w:r>
        <w:rPr>
          <w:rFonts w:hint="eastAsia" w:ascii="仿宋" w:hAnsi="仿宋" w:eastAsia="仿宋" w:cs="仿宋"/>
          <w:b w:val="0"/>
          <w:bCs/>
          <w:color w:val="auto"/>
          <w:highlight w:val="none"/>
        </w:rPr>
        <w:t>不一定将合同授予最低报价的</w:t>
      </w: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的行为。</w:t>
      </w:r>
    </w:p>
    <w:p>
      <w:pPr>
        <w:pStyle w:val="12"/>
        <w:ind w:left="852" w:firstLine="480" w:firstLineChars="200"/>
        <w:jc w:val="left"/>
        <w:rPr>
          <w:rFonts w:hint="eastAsia" w:ascii="仿宋" w:hAnsi="仿宋" w:eastAsia="仿宋" w:cs="仿宋"/>
          <w:b w:val="0"/>
          <w:bCs/>
          <w:color w:val="auto"/>
          <w:highlight w:val="none"/>
        </w:rPr>
      </w:pPr>
    </w:p>
    <w:p>
      <w:pPr>
        <w:pStyle w:val="12"/>
        <w:ind w:left="852" w:firstLine="480" w:firstLineChars="200"/>
        <w:jc w:val="left"/>
        <w:rPr>
          <w:rFonts w:hint="eastAsia" w:ascii="仿宋" w:hAnsi="仿宋" w:eastAsia="仿宋" w:cs="仿宋"/>
          <w:b w:val="0"/>
          <w:bCs/>
          <w:color w:val="auto"/>
          <w:highlight w:val="none"/>
        </w:rPr>
      </w:pPr>
    </w:p>
    <w:p>
      <w:pPr>
        <w:pStyle w:val="12"/>
        <w:ind w:left="852" w:firstLine="480" w:firstLineChars="200"/>
        <w:jc w:val="left"/>
        <w:rPr>
          <w:rFonts w:hint="eastAsia" w:ascii="仿宋" w:hAnsi="仿宋" w:eastAsia="仿宋" w:cs="仿宋"/>
          <w:b w:val="0"/>
          <w:bCs/>
          <w:color w:val="auto"/>
          <w:highlight w:val="none"/>
        </w:rPr>
      </w:pPr>
    </w:p>
    <w:p>
      <w:pPr>
        <w:pStyle w:val="12"/>
        <w:ind w:left="852" w:hanging="852"/>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名称：（盖章）</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代表人或授权代表（签字或盖章）：</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通讯地址：</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邮政编码：</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联系电话：</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传    真：</w:t>
      </w:r>
    </w:p>
    <w:p>
      <w:pPr>
        <w:pStyle w:val="12"/>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日    期：    年  月  日</w:t>
      </w:r>
    </w:p>
    <w:p>
      <w:pPr>
        <w:pStyle w:val="12"/>
        <w:ind w:left="0" w:firstLine="0" w:firstLineChars="0"/>
        <w:jc w:val="left"/>
        <w:rPr>
          <w:rFonts w:hint="eastAsia" w:ascii="仿宋" w:hAnsi="仿宋" w:eastAsia="仿宋" w:cs="仿宋"/>
          <w:b w:val="0"/>
          <w:bCs/>
          <w:color w:val="auto"/>
          <w:highlight w:val="none"/>
        </w:rPr>
      </w:pPr>
    </w:p>
    <w:p>
      <w:pPr>
        <w:pStyle w:val="12"/>
        <w:ind w:left="0" w:firstLine="0" w:firstLineChars="0"/>
        <w:jc w:val="left"/>
        <w:rPr>
          <w:rFonts w:hint="eastAsia" w:ascii="仿宋" w:hAnsi="仿宋" w:eastAsia="仿宋" w:cs="仿宋"/>
          <w:b w:val="0"/>
          <w:bCs/>
          <w:color w:val="auto"/>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投标报价</w:t>
      </w:r>
      <w:r>
        <w:rPr>
          <w:rFonts w:hint="eastAsia" w:ascii="仿宋" w:hAnsi="仿宋" w:eastAsia="仿宋" w:cs="仿宋"/>
          <w:b/>
          <w:color w:val="auto"/>
          <w:sz w:val="28"/>
          <w:szCs w:val="28"/>
          <w:highlight w:val="none"/>
        </w:rPr>
        <w:t>一览表</w:t>
      </w: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币种：人民币</w:t>
      </w:r>
    </w:p>
    <w:tbl>
      <w:tblPr>
        <w:tblStyle w:val="19"/>
        <w:tblW w:w="1006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2432"/>
        <w:gridCol w:w="841"/>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36" w:type="dxa"/>
            <w:tcBorders>
              <w:top w:val="single" w:color="000000" w:sz="2" w:space="0"/>
              <w:left w:val="single" w:color="000000" w:sz="2" w:space="0"/>
              <w:right w:val="single" w:color="000000" w:sz="2" w:space="0"/>
            </w:tcBorders>
            <w:noWrap/>
            <w:vAlign w:val="center"/>
          </w:tcPr>
          <w:p>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32" w:type="dxa"/>
            <w:tcBorders>
              <w:top w:val="single" w:color="000000" w:sz="2" w:space="0"/>
              <w:left w:val="single" w:color="auto" w:sz="4" w:space="0"/>
              <w:right w:val="single" w:color="000000" w:sz="2" w:space="0"/>
            </w:tcBorders>
            <w:noWrap/>
            <w:vAlign w:val="center"/>
          </w:tcPr>
          <w:p>
            <w:pPr>
              <w:widowControl/>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7097" w:type="dxa"/>
            <w:gridSpan w:val="2"/>
            <w:tcBorders>
              <w:top w:val="single" w:color="000000" w:sz="2" w:space="0"/>
              <w:left w:val="single" w:color="auto" w:sz="4" w:space="0"/>
              <w:right w:val="single" w:color="000000" w:sz="2" w:space="0"/>
            </w:tcBorders>
            <w:noWrap/>
            <w:vAlign w:val="center"/>
          </w:tcPr>
          <w:p>
            <w:pPr>
              <w:widowControl/>
              <w:spacing w:line="48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536" w:type="dxa"/>
            <w:vMerge w:val="restart"/>
            <w:tcBorders>
              <w:left w:val="single" w:color="000000" w:sz="2" w:space="0"/>
              <w:right w:val="single" w:color="000000" w:sz="2" w:space="0"/>
            </w:tcBorders>
            <w:noWrap/>
            <w:vAlign w:val="center"/>
          </w:tcPr>
          <w:p>
            <w:pPr>
              <w:spacing w:line="48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2432" w:type="dxa"/>
            <w:vMerge w:val="restart"/>
            <w:tcBorders>
              <w:top w:val="single" w:color="auto" w:sz="4" w:space="0"/>
              <w:left w:val="single" w:color="auto" w:sz="4" w:space="0"/>
              <w:right w:val="single" w:color="000000" w:sz="2"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投标报价（万元/年）</w:t>
            </w:r>
          </w:p>
        </w:tc>
        <w:tc>
          <w:tcPr>
            <w:tcW w:w="84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小写</w:t>
            </w:r>
          </w:p>
        </w:tc>
        <w:tc>
          <w:tcPr>
            <w:tcW w:w="6256"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536" w:type="dxa"/>
            <w:vMerge w:val="continue"/>
            <w:tcBorders>
              <w:left w:val="single" w:color="000000" w:sz="2" w:space="0"/>
              <w:right w:val="single" w:color="000000" w:sz="2" w:space="0"/>
            </w:tcBorders>
            <w:noWrap/>
            <w:vAlign w:val="center"/>
          </w:tcPr>
          <w:p>
            <w:pPr>
              <w:spacing w:line="480" w:lineRule="auto"/>
              <w:jc w:val="center"/>
              <w:rPr>
                <w:rFonts w:hint="eastAsia" w:ascii="仿宋" w:hAnsi="仿宋" w:eastAsia="仿宋" w:cs="仿宋"/>
                <w:color w:val="auto"/>
                <w:sz w:val="24"/>
                <w:highlight w:val="none"/>
              </w:rPr>
            </w:pPr>
          </w:p>
        </w:tc>
        <w:tc>
          <w:tcPr>
            <w:tcW w:w="2432" w:type="dxa"/>
            <w:vMerge w:val="continue"/>
            <w:tcBorders>
              <w:left w:val="single" w:color="auto" w:sz="4" w:space="0"/>
              <w:bottom w:val="single" w:color="000000" w:sz="2" w:space="0"/>
              <w:right w:val="single" w:color="000000" w:sz="2"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highlight w:val="none"/>
              </w:rPr>
            </w:pPr>
          </w:p>
        </w:tc>
        <w:tc>
          <w:tcPr>
            <w:tcW w:w="841" w:type="dxa"/>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6256" w:type="dxa"/>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服务期限</w:t>
            </w:r>
          </w:p>
        </w:tc>
        <w:tc>
          <w:tcPr>
            <w:tcW w:w="7097" w:type="dxa"/>
            <w:gridSpan w:val="2"/>
            <w:tcBorders>
              <w:top w:val="single" w:color="auto" w:sz="4" w:space="0"/>
              <w:left w:val="single" w:color="auto" w:sz="4" w:space="0"/>
              <w:bottom w:val="single" w:color="000000" w:sz="2" w:space="0"/>
              <w:right w:val="single" w:color="000000" w:sz="2" w:space="0"/>
            </w:tcBorders>
            <w:noWrap/>
            <w:vAlign w:val="center"/>
          </w:tcPr>
          <w:p>
            <w:pPr>
              <w:spacing w:line="480" w:lineRule="auto"/>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自签订合同之日起为期三年，合同一年一签。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项目负责人</w:t>
            </w:r>
          </w:p>
        </w:tc>
        <w:tc>
          <w:tcPr>
            <w:tcW w:w="7097" w:type="dxa"/>
            <w:gridSpan w:val="2"/>
            <w:tcBorders>
              <w:top w:val="single" w:color="auto" w:sz="4" w:space="0"/>
              <w:left w:val="single" w:color="auto" w:sz="4" w:space="0"/>
              <w:bottom w:val="single" w:color="000000" w:sz="2" w:space="0"/>
              <w:right w:val="single" w:color="000000" w:sz="2" w:space="0"/>
            </w:tcBorders>
            <w:noWrap/>
            <w:vAlign w:val="center"/>
          </w:tcPr>
          <w:p>
            <w:pPr>
              <w:spacing w:line="480" w:lineRule="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供应商其它说明（由各供应商根据本采购项目要求自行列出需说明及承诺内容）</w:t>
            </w:r>
          </w:p>
        </w:tc>
        <w:tc>
          <w:tcPr>
            <w:tcW w:w="7097" w:type="dxa"/>
            <w:gridSpan w:val="2"/>
            <w:tcBorders>
              <w:top w:val="single" w:color="auto" w:sz="4" w:space="0"/>
              <w:left w:val="single" w:color="auto" w:sz="4" w:space="0"/>
              <w:bottom w:val="single" w:color="000000" w:sz="2" w:space="0"/>
              <w:right w:val="single" w:color="000000" w:sz="2" w:space="0"/>
            </w:tcBorders>
            <w:noWrap/>
            <w:vAlign w:val="center"/>
          </w:tcPr>
          <w:p>
            <w:pPr>
              <w:spacing w:line="48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2" w:hRule="atLeast"/>
        </w:trPr>
        <w:tc>
          <w:tcPr>
            <w:tcW w:w="10065" w:type="dxa"/>
            <w:gridSpan w:val="4"/>
            <w:tcBorders>
              <w:top w:val="single" w:color="auto" w:sz="4" w:space="0"/>
              <w:left w:val="single" w:color="000000" w:sz="2" w:space="0"/>
              <w:bottom w:val="single" w:color="000000" w:sz="2" w:space="0"/>
              <w:right w:val="single" w:color="000000" w:sz="2" w:space="0"/>
            </w:tcBorders>
            <w:noWrap/>
            <w:vAlign w:val="center"/>
          </w:tcPr>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b w:val="0"/>
                <w:bCs/>
                <w:color w:val="auto"/>
                <w:sz w:val="24"/>
                <w:szCs w:val="24"/>
                <w:highlight w:val="none"/>
              </w:rPr>
              <w:t>投标报价应</w:t>
            </w:r>
            <w:r>
              <w:rPr>
                <w:rFonts w:hint="eastAsia" w:ascii="仿宋" w:hAnsi="仿宋" w:eastAsia="仿宋" w:cs="仿宋"/>
                <w:color w:val="auto"/>
                <w:kern w:val="2"/>
                <w:sz w:val="24"/>
                <w:szCs w:val="24"/>
                <w:highlight w:val="none"/>
                <w:lang w:val="en-US" w:eastAsia="zh-CN" w:bidi="ar-SA"/>
              </w:rPr>
              <w:t>包含</w:t>
            </w:r>
            <w:r>
              <w:rPr>
                <w:rFonts w:hint="eastAsia" w:ascii="仿宋" w:hAnsi="仿宋" w:eastAsia="仿宋" w:cs="仿宋"/>
                <w:b w:val="0"/>
                <w:bCs/>
                <w:color w:val="auto"/>
                <w:sz w:val="24"/>
                <w:szCs w:val="24"/>
                <w:highlight w:val="none"/>
              </w:rPr>
              <w:t>服务、税金、人工、材料等全部费用</w:t>
            </w:r>
            <w:r>
              <w:rPr>
                <w:rFonts w:hint="eastAsia" w:ascii="仿宋" w:hAnsi="仿宋" w:eastAsia="仿宋" w:cs="仿宋"/>
                <w:b w:val="0"/>
                <w:bCs/>
                <w:color w:val="auto"/>
                <w:sz w:val="24"/>
                <w:szCs w:val="24"/>
                <w:highlight w:val="none"/>
                <w:lang w:val="en-US" w:eastAsia="zh-CN"/>
              </w:rPr>
              <w:t>以及</w:t>
            </w:r>
            <w:r>
              <w:rPr>
                <w:rFonts w:hint="eastAsia" w:ascii="仿宋" w:hAnsi="仿宋" w:eastAsia="仿宋" w:cs="仿宋"/>
                <w:color w:val="auto"/>
                <w:kern w:val="2"/>
                <w:sz w:val="24"/>
                <w:szCs w:val="24"/>
                <w:highlight w:val="none"/>
                <w:lang w:val="en-US" w:eastAsia="zh-CN" w:bidi="ar-SA"/>
              </w:rPr>
              <w:t>合同条款、技术规范及标准、项目采购需求、本招标文件约定的全部内容并配合采购人完成与此服务相关的全部工作内容及责任和义务。</w:t>
            </w:r>
          </w:p>
        </w:tc>
      </w:tr>
    </w:tbl>
    <w:p>
      <w:pPr>
        <w:spacing w:line="360" w:lineRule="auto"/>
        <w:rPr>
          <w:rFonts w:hint="eastAsia" w:ascii="仿宋" w:hAnsi="仿宋" w:eastAsia="仿宋" w:cs="仿宋"/>
          <w:color w:val="auto"/>
          <w:sz w:val="24"/>
          <w:highlight w:val="none"/>
        </w:rPr>
      </w:pPr>
    </w:p>
    <w:p>
      <w:pPr>
        <w:ind w:firstLine="435"/>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color w:val="auto"/>
          <w:sz w:val="24"/>
          <w:highlight w:val="none"/>
        </w:rPr>
        <w:t>供应商须按本商务报价一览表格式制作“最后报价表”，经</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后由各供应商填写最后报价及报价明细。</w:t>
      </w:r>
    </w:p>
    <w:p>
      <w:pPr>
        <w:spacing w:line="240" w:lineRule="auto"/>
        <w:ind w:firstLine="435"/>
        <w:rPr>
          <w:rFonts w:hint="eastAsia" w:ascii="仿宋" w:hAnsi="仿宋" w:eastAsia="仿宋" w:cs="仿宋"/>
          <w:color w:val="auto"/>
          <w:sz w:val="24"/>
          <w:highlight w:val="none"/>
        </w:rPr>
      </w:pPr>
    </w:p>
    <w:p>
      <w:pPr>
        <w:spacing w:line="240" w:lineRule="auto"/>
        <w:ind w:firstLine="435"/>
        <w:rPr>
          <w:rFonts w:hint="eastAsia" w:ascii="仿宋" w:hAnsi="仿宋" w:eastAsia="仿宋" w:cs="仿宋"/>
          <w:color w:val="auto"/>
          <w:sz w:val="24"/>
          <w:highlight w:val="none"/>
        </w:rPr>
      </w:pPr>
    </w:p>
    <w:p>
      <w:pPr>
        <w:spacing w:line="24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spacing w:line="240" w:lineRule="auto"/>
        <w:ind w:firstLine="435"/>
        <w:rPr>
          <w:rFonts w:hint="eastAsia" w:ascii="仿宋" w:hAnsi="仿宋" w:eastAsia="仿宋" w:cs="仿宋"/>
          <w:color w:val="auto"/>
          <w:sz w:val="24"/>
          <w:highlight w:val="none"/>
        </w:rPr>
      </w:pPr>
    </w:p>
    <w:p>
      <w:pPr>
        <w:spacing w:line="24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法定代表人或委托代理人签字或盖章：          </w:t>
      </w:r>
    </w:p>
    <w:p>
      <w:pPr>
        <w:spacing w:line="240" w:lineRule="auto"/>
        <w:ind w:firstLine="480" w:firstLineChars="200"/>
        <w:jc w:val="left"/>
        <w:rPr>
          <w:rFonts w:hint="eastAsia" w:ascii="仿宋" w:hAnsi="仿宋" w:eastAsia="仿宋" w:cs="仿宋"/>
          <w:color w:val="auto"/>
          <w:sz w:val="24"/>
          <w:highlight w:val="none"/>
        </w:rPr>
      </w:pPr>
    </w:p>
    <w:p>
      <w:pPr>
        <w:spacing w:line="240" w:lineRule="auto"/>
        <w:ind w:firstLine="480" w:firstLineChars="200"/>
        <w:jc w:val="right"/>
        <w:rPr>
          <w:rFonts w:hint="eastAsia" w:ascii="仿宋" w:hAnsi="仿宋" w:eastAsia="仿宋" w:cs="仿宋"/>
          <w:color w:val="auto"/>
          <w:sz w:val="24"/>
          <w:highlight w:val="none"/>
        </w:rPr>
        <w:sectPr>
          <w:footerReference r:id="rId5" w:type="default"/>
          <w:pgSz w:w="11906" w:h="16838"/>
          <w:pgMar w:top="567" w:right="850" w:bottom="567" w:left="850" w:header="851" w:footer="992" w:gutter="0"/>
          <w:pgNumType w:fmt="numberInDash"/>
          <w:cols w:space="0" w:num="1"/>
          <w:rtlGutter w:val="0"/>
          <w:docGrid w:type="lines" w:linePitch="314" w:charSpace="0"/>
        </w:sectPr>
      </w:pPr>
      <w:r>
        <w:rPr>
          <w:rFonts w:hint="eastAsia" w:ascii="仿宋" w:hAnsi="仿宋" w:eastAsia="仿宋" w:cs="仿宋"/>
          <w:color w:val="auto"/>
          <w:sz w:val="24"/>
          <w:highlight w:val="none"/>
        </w:rPr>
        <w:t>年    月    日</w:t>
      </w:r>
    </w:p>
    <w:p>
      <w:pPr>
        <w:pStyle w:val="33"/>
        <w:ind w:firstLine="480"/>
        <w:rPr>
          <w:highlight w:val="none"/>
        </w:rPr>
      </w:pPr>
      <w:r>
        <w:rPr>
          <w:rFonts w:hint="eastAsia"/>
          <w:highlight w:val="none"/>
          <w:lang w:eastAsia="zh-CN"/>
        </w:rPr>
        <w:t>招标</w:t>
      </w:r>
      <w:r>
        <w:rPr>
          <w:rFonts w:hint="eastAsia"/>
          <w:highlight w:val="none"/>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445"/>
        <w:gridCol w:w="1605"/>
        <w:gridCol w:w="193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890" w:type="dxa"/>
            <w:tcBorders>
              <w:left w:val="single" w:color="auto" w:sz="4" w:space="0"/>
            </w:tcBorders>
            <w:noWrap w:val="0"/>
            <w:vAlign w:val="center"/>
          </w:tcPr>
          <w:p>
            <w:pPr>
              <w:ind w:firstLine="0" w:firstLineChars="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序号</w:t>
            </w:r>
          </w:p>
        </w:tc>
        <w:tc>
          <w:tcPr>
            <w:tcW w:w="2445" w:type="dxa"/>
            <w:noWrap w:val="0"/>
            <w:vAlign w:val="center"/>
          </w:tcPr>
          <w:p>
            <w:pPr>
              <w:ind w:firstLine="0" w:firstLineChars="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分项名称</w:t>
            </w:r>
          </w:p>
        </w:tc>
        <w:tc>
          <w:tcPr>
            <w:tcW w:w="1605" w:type="dxa"/>
            <w:noWrap w:val="0"/>
            <w:vAlign w:val="center"/>
          </w:tcPr>
          <w:p>
            <w:pPr>
              <w:ind w:firstLine="0" w:firstLineChars="0"/>
              <w:jc w:val="center"/>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w:t>
            </w:r>
          </w:p>
        </w:tc>
        <w:tc>
          <w:tcPr>
            <w:tcW w:w="1935" w:type="dxa"/>
            <w:tcBorders>
              <w:right w:val="single" w:color="auto" w:sz="4" w:space="0"/>
            </w:tcBorders>
            <w:noWrap w:val="0"/>
            <w:vAlign w:val="center"/>
          </w:tcPr>
          <w:p>
            <w:pPr>
              <w:ind w:firstLine="0" w:firstLineChars="0"/>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sz w:val="24"/>
                <w:szCs w:val="24"/>
                <w:highlight w:val="none"/>
              </w:rPr>
              <w:t>单价</w:t>
            </w:r>
          </w:p>
        </w:tc>
        <w:tc>
          <w:tcPr>
            <w:tcW w:w="1739" w:type="dxa"/>
            <w:tcBorders>
              <w:right w:val="single" w:color="auto" w:sz="4" w:space="0"/>
            </w:tcBorders>
            <w:noWrap w:val="0"/>
            <w:vAlign w:val="center"/>
          </w:tcPr>
          <w:p>
            <w:pPr>
              <w:ind w:firstLine="0" w:firstLineChars="0"/>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890" w:type="dxa"/>
            <w:tcBorders>
              <w:left w:val="single" w:color="auto" w:sz="4" w:space="0"/>
            </w:tcBorders>
            <w:noWrap w:val="0"/>
            <w:vAlign w:val="center"/>
          </w:tcPr>
          <w:p>
            <w:pPr>
              <w:ind w:left="1785" w:firstLine="0" w:firstLineChars="0"/>
              <w:jc w:val="center"/>
              <w:rPr>
                <w:rFonts w:ascii="仿宋" w:hAnsi="仿宋" w:eastAsia="仿宋"/>
                <w:color w:val="000000"/>
                <w:sz w:val="24"/>
                <w:szCs w:val="24"/>
              </w:rPr>
            </w:pPr>
          </w:p>
        </w:tc>
        <w:tc>
          <w:tcPr>
            <w:tcW w:w="2445" w:type="dxa"/>
            <w:noWrap w:val="0"/>
            <w:vAlign w:val="center"/>
          </w:tcPr>
          <w:p>
            <w:pPr>
              <w:ind w:firstLine="0" w:firstLineChars="0"/>
              <w:jc w:val="center"/>
              <w:rPr>
                <w:rFonts w:ascii="仿宋" w:hAnsi="仿宋" w:eastAsia="仿宋"/>
                <w:bCs/>
                <w:color w:val="000000"/>
                <w:sz w:val="24"/>
                <w:szCs w:val="24"/>
              </w:rPr>
            </w:pPr>
          </w:p>
        </w:tc>
        <w:tc>
          <w:tcPr>
            <w:tcW w:w="1605" w:type="dxa"/>
            <w:noWrap w:val="0"/>
            <w:vAlign w:val="center"/>
          </w:tcPr>
          <w:p>
            <w:pPr>
              <w:ind w:firstLine="0" w:firstLineChars="0"/>
              <w:jc w:val="center"/>
              <w:rPr>
                <w:rFonts w:ascii="仿宋" w:hAnsi="仿宋" w:eastAsia="仿宋"/>
                <w:bCs/>
                <w:color w:val="000000"/>
                <w:sz w:val="24"/>
                <w:szCs w:val="24"/>
              </w:rPr>
            </w:pPr>
          </w:p>
        </w:tc>
        <w:tc>
          <w:tcPr>
            <w:tcW w:w="1935"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c>
          <w:tcPr>
            <w:tcW w:w="1739"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890" w:type="dxa"/>
            <w:tcBorders>
              <w:left w:val="single" w:color="auto" w:sz="4" w:space="0"/>
            </w:tcBorders>
            <w:noWrap w:val="0"/>
            <w:vAlign w:val="center"/>
          </w:tcPr>
          <w:p>
            <w:pPr>
              <w:ind w:left="1785" w:firstLine="0" w:firstLineChars="0"/>
              <w:jc w:val="center"/>
              <w:rPr>
                <w:rFonts w:ascii="仿宋" w:hAnsi="仿宋" w:eastAsia="仿宋"/>
                <w:color w:val="000000"/>
                <w:sz w:val="24"/>
                <w:szCs w:val="24"/>
              </w:rPr>
            </w:pPr>
          </w:p>
        </w:tc>
        <w:tc>
          <w:tcPr>
            <w:tcW w:w="2445" w:type="dxa"/>
            <w:noWrap w:val="0"/>
            <w:vAlign w:val="center"/>
          </w:tcPr>
          <w:p>
            <w:pPr>
              <w:ind w:firstLine="0" w:firstLineChars="0"/>
              <w:jc w:val="center"/>
              <w:rPr>
                <w:rFonts w:ascii="仿宋" w:hAnsi="仿宋" w:eastAsia="仿宋"/>
                <w:bCs/>
                <w:color w:val="000000"/>
                <w:sz w:val="24"/>
                <w:szCs w:val="24"/>
              </w:rPr>
            </w:pPr>
          </w:p>
        </w:tc>
        <w:tc>
          <w:tcPr>
            <w:tcW w:w="1605" w:type="dxa"/>
            <w:noWrap w:val="0"/>
            <w:vAlign w:val="center"/>
          </w:tcPr>
          <w:p>
            <w:pPr>
              <w:ind w:firstLine="0" w:firstLineChars="0"/>
              <w:jc w:val="center"/>
              <w:rPr>
                <w:rFonts w:ascii="仿宋" w:hAnsi="仿宋" w:eastAsia="仿宋"/>
                <w:bCs/>
                <w:color w:val="000000"/>
                <w:sz w:val="24"/>
                <w:szCs w:val="24"/>
              </w:rPr>
            </w:pPr>
          </w:p>
        </w:tc>
        <w:tc>
          <w:tcPr>
            <w:tcW w:w="1935"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c>
          <w:tcPr>
            <w:tcW w:w="1739"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890" w:type="dxa"/>
            <w:tcBorders>
              <w:left w:val="single" w:color="auto" w:sz="4" w:space="0"/>
            </w:tcBorders>
            <w:noWrap w:val="0"/>
            <w:vAlign w:val="center"/>
          </w:tcPr>
          <w:p>
            <w:pPr>
              <w:ind w:left="1785" w:firstLine="0" w:firstLineChars="0"/>
              <w:jc w:val="center"/>
              <w:rPr>
                <w:rFonts w:ascii="仿宋" w:hAnsi="仿宋" w:eastAsia="仿宋"/>
                <w:color w:val="000000"/>
                <w:sz w:val="24"/>
                <w:szCs w:val="24"/>
              </w:rPr>
            </w:pPr>
          </w:p>
        </w:tc>
        <w:tc>
          <w:tcPr>
            <w:tcW w:w="2445" w:type="dxa"/>
            <w:noWrap w:val="0"/>
            <w:vAlign w:val="center"/>
          </w:tcPr>
          <w:p>
            <w:pPr>
              <w:ind w:firstLine="0" w:firstLineChars="0"/>
              <w:jc w:val="center"/>
              <w:rPr>
                <w:rFonts w:ascii="仿宋" w:hAnsi="仿宋" w:eastAsia="仿宋"/>
                <w:bCs/>
                <w:color w:val="000000"/>
                <w:sz w:val="24"/>
                <w:szCs w:val="24"/>
              </w:rPr>
            </w:pPr>
          </w:p>
        </w:tc>
        <w:tc>
          <w:tcPr>
            <w:tcW w:w="1605" w:type="dxa"/>
            <w:noWrap w:val="0"/>
            <w:vAlign w:val="center"/>
          </w:tcPr>
          <w:p>
            <w:pPr>
              <w:ind w:firstLine="0" w:firstLineChars="0"/>
              <w:jc w:val="center"/>
              <w:rPr>
                <w:rFonts w:ascii="仿宋" w:hAnsi="仿宋" w:eastAsia="仿宋"/>
                <w:bCs/>
                <w:color w:val="000000"/>
                <w:sz w:val="24"/>
                <w:szCs w:val="24"/>
              </w:rPr>
            </w:pPr>
          </w:p>
        </w:tc>
        <w:tc>
          <w:tcPr>
            <w:tcW w:w="1935"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c>
          <w:tcPr>
            <w:tcW w:w="1739"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4335" w:type="dxa"/>
            <w:gridSpan w:val="2"/>
            <w:tcBorders>
              <w:left w:val="single" w:color="auto" w:sz="4" w:space="0"/>
            </w:tcBorders>
            <w:noWrap w:val="0"/>
            <w:vAlign w:val="center"/>
          </w:tcPr>
          <w:p>
            <w:pPr>
              <w:ind w:firstLine="0" w:firstLineChars="0"/>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总价</w:t>
            </w:r>
          </w:p>
        </w:tc>
        <w:tc>
          <w:tcPr>
            <w:tcW w:w="1605" w:type="dxa"/>
            <w:noWrap w:val="0"/>
            <w:vAlign w:val="center"/>
          </w:tcPr>
          <w:p>
            <w:pPr>
              <w:ind w:firstLine="0" w:firstLineChars="0"/>
              <w:jc w:val="center"/>
              <w:rPr>
                <w:rFonts w:ascii="仿宋" w:hAnsi="仿宋" w:eastAsia="仿宋"/>
                <w:bCs/>
                <w:color w:val="000000"/>
                <w:sz w:val="24"/>
                <w:szCs w:val="24"/>
              </w:rPr>
            </w:pPr>
          </w:p>
        </w:tc>
        <w:tc>
          <w:tcPr>
            <w:tcW w:w="1935"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c>
          <w:tcPr>
            <w:tcW w:w="1739" w:type="dxa"/>
            <w:tcBorders>
              <w:right w:val="single" w:color="auto" w:sz="4" w:space="0"/>
            </w:tcBorders>
            <w:noWrap w:val="0"/>
            <w:vAlign w:val="center"/>
          </w:tcPr>
          <w:p>
            <w:pPr>
              <w:ind w:firstLine="0" w:firstLineChars="0"/>
              <w:jc w:val="center"/>
              <w:rPr>
                <w:rFonts w:ascii="仿宋" w:hAnsi="仿宋" w:eastAsia="仿宋"/>
                <w:bCs/>
                <w:color w:val="000000"/>
                <w:sz w:val="24"/>
                <w:szCs w:val="24"/>
              </w:rPr>
            </w:pPr>
          </w:p>
        </w:tc>
      </w:tr>
    </w:tbl>
    <w:p>
      <w:pPr>
        <w:pStyle w:val="33"/>
        <w:ind w:firstLine="480"/>
        <w:rPr>
          <w:lang w:val="en-GB"/>
        </w:rPr>
      </w:pPr>
      <w:r>
        <w:rPr>
          <w:rFonts w:hint="eastAsia"/>
        </w:rPr>
        <w:t>注：1)</w:t>
      </w:r>
      <w:r>
        <w:rPr>
          <w:rFonts w:hint="eastAsia"/>
          <w:lang w:val="en-GB"/>
        </w:rPr>
        <w:t>以上内容必须与《</w:t>
      </w:r>
      <w:r>
        <w:rPr>
          <w:rFonts w:hint="eastAsia"/>
          <w:lang w:val="en-GB" w:eastAsia="zh-CN"/>
        </w:rPr>
        <w:t>商务报价</w:t>
      </w:r>
      <w:r>
        <w:rPr>
          <w:rFonts w:hint="eastAsia"/>
          <w:lang w:val="en-GB"/>
        </w:rPr>
        <w:t>一览表》一致；</w:t>
      </w:r>
    </w:p>
    <w:p>
      <w:pPr>
        <w:pStyle w:val="33"/>
        <w:ind w:firstLine="960" w:firstLineChars="400"/>
        <w:rPr>
          <w:lang w:val="en-GB"/>
        </w:rPr>
      </w:pPr>
      <w:r>
        <w:rPr>
          <w:rFonts w:hint="eastAsia"/>
          <w:kern w:val="0"/>
        </w:rPr>
        <w:t>2)对于</w:t>
      </w:r>
      <w:r>
        <w:rPr>
          <w:rFonts w:hint="eastAsia"/>
          <w:snapToGrid w:val="0"/>
          <w:kern w:val="0"/>
        </w:rPr>
        <w:t>报价免费的项目必须标明“免费”；</w:t>
      </w:r>
    </w:p>
    <w:p>
      <w:pPr>
        <w:pStyle w:val="33"/>
        <w:ind w:left="1198" w:leftChars="456" w:hanging="240" w:hangingChars="100"/>
        <w:rPr>
          <w:lang w:val="en-GB"/>
        </w:rPr>
      </w:pPr>
      <w:r>
        <w:rPr>
          <w:rFonts w:hint="eastAsia"/>
          <w:snapToGrid w:val="0"/>
          <w:kern w:val="0"/>
        </w:rPr>
        <w:t>3)所有根据合同或其它原因应由供应商支付的税款和其它应交纳的费用都要包括在供应商提交的投标价格中；</w:t>
      </w:r>
    </w:p>
    <w:p>
      <w:pPr>
        <w:pStyle w:val="33"/>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33"/>
        <w:ind w:firstLine="480"/>
        <w:rPr>
          <w:rFonts w:hint="eastAsia"/>
        </w:rPr>
      </w:pPr>
      <w:r>
        <w:rPr>
          <w:rFonts w:hint="eastAsia"/>
        </w:rPr>
        <w:t>供应商名称（盖章）：</w:t>
      </w:r>
    </w:p>
    <w:p>
      <w:pPr>
        <w:pStyle w:val="33"/>
        <w:ind w:firstLine="480"/>
        <w:rPr>
          <w:rFonts w:hint="eastAsia" w:cs="Times New Roman"/>
        </w:rPr>
      </w:pPr>
      <w:r>
        <w:rPr>
          <w:rFonts w:hint="eastAsia" w:cs="Times New Roman"/>
        </w:rPr>
        <w:t>法定代表人或委托代理人（签字或盖章）：</w:t>
      </w:r>
    </w:p>
    <w:p>
      <w:pPr>
        <w:spacing w:line="360" w:lineRule="auto"/>
        <w:ind w:firstLine="480" w:firstLineChars="200"/>
        <w:jc w:val="both"/>
        <w:rPr>
          <w:rFonts w:hint="eastAsia" w:ascii="仿宋" w:hAnsi="仿宋" w:eastAsia="仿宋" w:cs="Times New Roman"/>
          <w:kern w:val="2"/>
          <w:sz w:val="24"/>
          <w:szCs w:val="24"/>
          <w:lang w:val="en-US" w:eastAsia="zh-CN" w:bidi="ar-SA"/>
        </w:rPr>
      </w:pPr>
    </w:p>
    <w:p>
      <w:pPr>
        <w:spacing w:line="360" w:lineRule="auto"/>
        <w:ind w:firstLine="480" w:firstLineChars="200"/>
        <w:jc w:val="both"/>
        <w:rPr>
          <w:rFonts w:hint="eastAsia" w:ascii="仿宋" w:hAnsi="仿宋" w:eastAsia="仿宋" w:cs="仿宋"/>
          <w:color w:val="auto"/>
          <w:sz w:val="24"/>
          <w:highlight w:val="none"/>
        </w:rPr>
        <w:sectPr>
          <w:footerReference r:id="rId6" w:type="default"/>
          <w:pgSz w:w="11906" w:h="16838"/>
          <w:pgMar w:top="1440" w:right="1083" w:bottom="1440" w:left="1083" w:header="851" w:footer="992" w:gutter="0"/>
          <w:pgNumType w:fmt="numberInDash"/>
          <w:cols w:space="0" w:num="1"/>
          <w:rtlGutter w:val="0"/>
          <w:docGrid w:type="lines" w:linePitch="314" w:charSpace="0"/>
        </w:sectPr>
      </w:pPr>
      <w:r>
        <w:rPr>
          <w:rFonts w:hint="eastAsia" w:ascii="仿宋" w:hAnsi="仿宋" w:eastAsia="仿宋" w:cs="Times New Roman"/>
          <w:kern w:val="2"/>
          <w:sz w:val="24"/>
          <w:szCs w:val="24"/>
          <w:lang w:val="en-US" w:eastAsia="zh-CN" w:bidi="ar-SA"/>
        </w:rPr>
        <w:t>日期：   年   月    日</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、法定代表人资格证明书</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tabs>
          <w:tab w:val="left" w:pos="360"/>
          <w:tab w:val="left" w:pos="720"/>
          <w:tab w:val="left" w:pos="90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职务： </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单位）的法定代表人。</w:t>
      </w:r>
    </w:p>
    <w:p>
      <w:pPr>
        <w:tabs>
          <w:tab w:val="left" w:pos="360"/>
          <w:tab w:val="left" w:pos="1800"/>
        </w:tabs>
        <w:spacing w:line="360" w:lineRule="auto"/>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360" w:lineRule="auto"/>
        <w:ind w:firstLine="6000" w:firstLineChars="2500"/>
        <w:rPr>
          <w:rFonts w:hint="eastAsia" w:ascii="仿宋" w:hAnsi="仿宋" w:eastAsia="仿宋" w:cs="仿宋"/>
          <w:bCs/>
          <w:color w:val="auto"/>
          <w:sz w:val="24"/>
          <w:highlight w:val="none"/>
        </w:rPr>
      </w:pPr>
    </w:p>
    <w:tbl>
      <w:tblPr>
        <w:tblStyle w:val="1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1" w:hRule="atLeast"/>
          <w:jc w:val="center"/>
        </w:trPr>
        <w:tc>
          <w:tcPr>
            <w:tcW w:w="6952" w:type="dxa"/>
            <w:noWrap w:val="0"/>
            <w:vAlign w:val="top"/>
          </w:tcPr>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法定代表人身份证复印件或扫描件（正、反两面）</w:t>
            </w:r>
          </w:p>
        </w:tc>
      </w:tr>
    </w:tbl>
    <w:p>
      <w:pPr>
        <w:tabs>
          <w:tab w:val="left" w:pos="360"/>
          <w:tab w:val="left" w:pos="1800"/>
        </w:tabs>
        <w:spacing w:line="48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注：法定代表人身份证复印件应反映出证件有效期等所载内容。</w:t>
      </w:r>
    </w:p>
    <w:p>
      <w:pPr>
        <w:tabs>
          <w:tab w:val="left" w:pos="360"/>
          <w:tab w:val="left" w:pos="1800"/>
        </w:tabs>
        <w:spacing w:line="480" w:lineRule="exact"/>
        <w:ind w:left="1980" w:firstLine="1080"/>
        <w:rPr>
          <w:rFonts w:hint="eastAsia" w:ascii="仿宋" w:hAnsi="仿宋" w:eastAsia="仿宋" w:cs="仿宋"/>
          <w:bCs/>
          <w:color w:val="auto"/>
          <w:highlight w:val="none"/>
        </w:rPr>
      </w:pPr>
    </w:p>
    <w:p>
      <w:pPr>
        <w:tabs>
          <w:tab w:val="left" w:pos="360"/>
          <w:tab w:val="left" w:pos="1800"/>
        </w:tabs>
        <w:spacing w:line="480" w:lineRule="exact"/>
        <w:jc w:val="center"/>
        <w:rPr>
          <w:rFonts w:hint="eastAsia" w:ascii="仿宋" w:hAnsi="仿宋" w:eastAsia="仿宋" w:cs="仿宋"/>
          <w:b/>
          <w:bCs/>
          <w:color w:val="auto"/>
          <w:sz w:val="24"/>
          <w:highlight w:val="none"/>
        </w:rPr>
      </w:pPr>
    </w:p>
    <w:p>
      <w:pPr>
        <w:tabs>
          <w:tab w:val="left" w:pos="360"/>
          <w:tab w:val="left" w:pos="1800"/>
        </w:tabs>
        <w:spacing w:line="480" w:lineRule="exact"/>
        <w:ind w:left="1980" w:firstLine="1080"/>
        <w:rPr>
          <w:rFonts w:hint="eastAsia" w:ascii="仿宋" w:hAnsi="仿宋" w:eastAsia="仿宋" w:cs="仿宋"/>
          <w:bCs/>
          <w:color w:val="auto"/>
          <w:highlight w:val="none"/>
        </w:rPr>
      </w:pPr>
    </w:p>
    <w:p>
      <w:pPr>
        <w:spacing w:line="360" w:lineRule="auto"/>
        <w:ind w:firstLine="573"/>
        <w:jc w:val="center"/>
        <w:rPr>
          <w:rFonts w:hint="eastAsia" w:ascii="仿宋" w:hAnsi="仿宋" w:eastAsia="仿宋" w:cs="仿宋"/>
          <w:b/>
          <w:color w:val="auto"/>
          <w:sz w:val="28"/>
          <w:szCs w:val="28"/>
          <w:highlight w:val="none"/>
        </w:rPr>
      </w:pPr>
    </w:p>
    <w:p>
      <w:pPr>
        <w:tabs>
          <w:tab w:val="left" w:pos="360"/>
          <w:tab w:val="left" w:pos="1800"/>
        </w:tabs>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、法定代表人授权委托书</w:t>
      </w:r>
    </w:p>
    <w:p>
      <w:pPr>
        <w:tabs>
          <w:tab w:val="left" w:pos="360"/>
          <w:tab w:val="left" w:pos="1800"/>
        </w:tabs>
        <w:spacing w:line="480" w:lineRule="exact"/>
        <w:ind w:left="239" w:leftChars="114" w:firstLine="240" w:firstLineChars="100"/>
        <w:rPr>
          <w:rFonts w:hint="eastAsia" w:ascii="仿宋" w:hAnsi="仿宋" w:eastAsia="仿宋" w:cs="仿宋"/>
          <w:color w:val="auto"/>
          <w:sz w:val="24"/>
          <w:highlight w:val="none"/>
        </w:rPr>
      </w:pPr>
    </w:p>
    <w:p>
      <w:pPr>
        <w:tabs>
          <w:tab w:val="left" w:pos="360"/>
          <w:tab w:val="left" w:pos="1800"/>
        </w:tabs>
        <w:spacing w:line="480" w:lineRule="exact"/>
        <w:ind w:left="239" w:leftChars="114" w:firstLine="240" w:firstLineChars="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（姓名），其身份证号为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为我供应商代理人，以本供应商的名义参加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项目名称）的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活动。</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代理人在递交响应文件、</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、合同谈判过程中所签署的一切文件和处理与之有关的一切事务，我均予以承认。</w:t>
      </w:r>
    </w:p>
    <w:p>
      <w:pPr>
        <w:tabs>
          <w:tab w:val="left" w:pos="360"/>
          <w:tab w:val="left" w:pos="1800"/>
        </w:tabs>
        <w:spacing w:line="4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本授权委托书期限自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委托代理人无转委权。特此委托。</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            性别：           年龄：</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委托代理人：（签字或盖章）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480" w:lineRule="exact"/>
        <w:ind w:firstLine="3600"/>
        <w:rPr>
          <w:rFonts w:hint="eastAsia" w:ascii="仿宋" w:hAnsi="仿宋" w:eastAsia="仿宋" w:cs="仿宋"/>
          <w:color w:val="auto"/>
          <w:sz w:val="24"/>
          <w:highlight w:val="none"/>
        </w:rPr>
      </w:pPr>
    </w:p>
    <w:tbl>
      <w:tblPr>
        <w:tblStyle w:val="1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4" w:hRule="atLeast"/>
          <w:jc w:val="center"/>
        </w:trPr>
        <w:tc>
          <w:tcPr>
            <w:tcW w:w="6952" w:type="dxa"/>
            <w:noWrap w:val="0"/>
            <w:vAlign w:val="top"/>
          </w:tcPr>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委托代理人身份证复印件或扫描件（正、反两面）</w:t>
            </w:r>
          </w:p>
        </w:tc>
      </w:tr>
    </w:tbl>
    <w:p>
      <w:pPr>
        <w:spacing w:line="360" w:lineRule="auto"/>
        <w:ind w:firstLine="573"/>
        <w:jc w:val="center"/>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val="en-US" w:eastAsia="zh-CN"/>
        </w:rPr>
        <w:t>委托代理人身份证</w:t>
      </w:r>
      <w:r>
        <w:rPr>
          <w:rFonts w:hint="eastAsia" w:ascii="仿宋" w:hAnsi="仿宋" w:eastAsia="仿宋" w:cs="仿宋"/>
          <w:b/>
          <w:bCs/>
          <w:color w:val="auto"/>
          <w:sz w:val="24"/>
          <w:highlight w:val="none"/>
        </w:rPr>
        <w:t>复印件应反映出证件有效期等所载内容。</w:t>
      </w:r>
    </w:p>
    <w:p>
      <w:pPr>
        <w:tabs>
          <w:tab w:val="left" w:pos="360"/>
          <w:tab w:val="left" w:pos="1800"/>
        </w:tabs>
        <w:spacing w:line="480" w:lineRule="exact"/>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tabs>
          <w:tab w:val="left" w:pos="360"/>
          <w:tab w:val="left" w:pos="1800"/>
        </w:tabs>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 xml:space="preserve">、供应商资格声明 </w:t>
      </w:r>
    </w:p>
    <w:tbl>
      <w:tblPr>
        <w:tblStyle w:val="1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16"/>
        <w:gridCol w:w="1121"/>
        <w:gridCol w:w="1500"/>
        <w:gridCol w:w="1499"/>
        <w:gridCol w:w="153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tc>
        <w:tc>
          <w:tcPr>
            <w:tcW w:w="7428" w:type="dxa"/>
            <w:gridSpan w:val="6"/>
            <w:vAlign w:val="center"/>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vAlign w:val="center"/>
          </w:tcPr>
          <w:p>
            <w:pPr>
              <w:spacing w:line="46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 址</w:t>
            </w:r>
          </w:p>
        </w:tc>
        <w:tc>
          <w:tcPr>
            <w:tcW w:w="7428" w:type="dxa"/>
            <w:gridSpan w:val="6"/>
            <w:vAlign w:val="center"/>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72" w:type="dxa"/>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主管部门</w:t>
            </w:r>
          </w:p>
        </w:tc>
        <w:tc>
          <w:tcPr>
            <w:tcW w:w="1337" w:type="dxa"/>
            <w:gridSpan w:val="2"/>
            <w:vAlign w:val="center"/>
          </w:tcPr>
          <w:p>
            <w:pPr>
              <w:spacing w:line="460" w:lineRule="exact"/>
              <w:rPr>
                <w:rFonts w:hint="eastAsia" w:ascii="仿宋" w:hAnsi="仿宋" w:eastAsia="仿宋" w:cs="仿宋"/>
                <w:bCs/>
                <w:color w:val="auto"/>
                <w:sz w:val="24"/>
                <w:highlight w:val="none"/>
              </w:rPr>
            </w:pPr>
          </w:p>
        </w:tc>
        <w:tc>
          <w:tcPr>
            <w:tcW w:w="1500" w:type="dxa"/>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w:t>
            </w:r>
          </w:p>
        </w:tc>
        <w:tc>
          <w:tcPr>
            <w:tcW w:w="1499" w:type="dxa"/>
            <w:vAlign w:val="center"/>
          </w:tcPr>
          <w:p>
            <w:pPr>
              <w:spacing w:line="460" w:lineRule="exact"/>
              <w:rPr>
                <w:rFonts w:hint="eastAsia" w:ascii="仿宋" w:hAnsi="仿宋" w:eastAsia="仿宋" w:cs="仿宋"/>
                <w:bCs/>
                <w:color w:val="auto"/>
                <w:sz w:val="24"/>
                <w:highlight w:val="none"/>
              </w:rPr>
            </w:pPr>
          </w:p>
        </w:tc>
        <w:tc>
          <w:tcPr>
            <w:tcW w:w="1534" w:type="dxa"/>
            <w:vAlign w:val="center"/>
          </w:tcPr>
          <w:p>
            <w:pPr>
              <w:spacing w:line="4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务</w:t>
            </w:r>
          </w:p>
        </w:tc>
        <w:tc>
          <w:tcPr>
            <w:tcW w:w="1558" w:type="dxa"/>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72" w:type="dxa"/>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注册时间</w:t>
            </w:r>
          </w:p>
        </w:tc>
        <w:tc>
          <w:tcPr>
            <w:tcW w:w="2837" w:type="dxa"/>
            <w:gridSpan w:val="3"/>
          </w:tcPr>
          <w:p>
            <w:pPr>
              <w:spacing w:line="460" w:lineRule="exact"/>
              <w:rPr>
                <w:rFonts w:hint="eastAsia" w:ascii="仿宋" w:hAnsi="仿宋" w:eastAsia="仿宋" w:cs="仿宋"/>
                <w:bCs/>
                <w:color w:val="auto"/>
                <w:sz w:val="24"/>
                <w:highlight w:val="none"/>
              </w:rPr>
            </w:pPr>
          </w:p>
        </w:tc>
        <w:tc>
          <w:tcPr>
            <w:tcW w:w="1499" w:type="dxa"/>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经济类型</w:t>
            </w:r>
          </w:p>
        </w:tc>
        <w:tc>
          <w:tcPr>
            <w:tcW w:w="3092" w:type="dxa"/>
            <w:gridSpan w:val="2"/>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509" w:type="dxa"/>
            <w:gridSpan w:val="4"/>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营业执照号</w:t>
            </w:r>
          </w:p>
        </w:tc>
        <w:tc>
          <w:tcPr>
            <w:tcW w:w="4591" w:type="dxa"/>
            <w:gridSpan w:val="3"/>
            <w:vAlign w:val="center"/>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4509" w:type="dxa"/>
            <w:gridSpan w:val="4"/>
            <w:vAlign w:val="center"/>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近三年内（20</w:t>
            </w: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val="en-US" w:eastAsia="zh-CN"/>
              </w:rPr>
              <w:t>今</w:t>
            </w:r>
            <w:r>
              <w:rPr>
                <w:rFonts w:hint="eastAsia" w:ascii="仿宋" w:hAnsi="仿宋" w:eastAsia="仿宋" w:cs="仿宋"/>
                <w:bCs/>
                <w:color w:val="auto"/>
                <w:sz w:val="24"/>
                <w:highlight w:val="none"/>
              </w:rPr>
              <w:t>）经营活动中有无重大违法纪录</w:t>
            </w:r>
          </w:p>
        </w:tc>
        <w:tc>
          <w:tcPr>
            <w:tcW w:w="4591" w:type="dxa"/>
            <w:gridSpan w:val="3"/>
            <w:vAlign w:val="center"/>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888" w:type="dxa"/>
            <w:gridSpan w:val="2"/>
            <w:vAlign w:val="center"/>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是否依法缴纳税收</w:t>
            </w:r>
          </w:p>
        </w:tc>
        <w:tc>
          <w:tcPr>
            <w:tcW w:w="2621" w:type="dxa"/>
            <w:gridSpan w:val="2"/>
          </w:tcPr>
          <w:p>
            <w:pPr>
              <w:spacing w:line="240" w:lineRule="auto"/>
              <w:rPr>
                <w:rFonts w:hint="eastAsia" w:ascii="仿宋" w:hAnsi="仿宋" w:eastAsia="仿宋" w:cs="仿宋"/>
                <w:bCs/>
                <w:color w:val="auto"/>
                <w:sz w:val="24"/>
                <w:highlight w:val="none"/>
              </w:rPr>
            </w:pPr>
          </w:p>
        </w:tc>
        <w:tc>
          <w:tcPr>
            <w:tcW w:w="1499" w:type="dxa"/>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是否依法缴纳社会保障资金</w:t>
            </w:r>
          </w:p>
        </w:tc>
        <w:tc>
          <w:tcPr>
            <w:tcW w:w="3092" w:type="dxa"/>
            <w:gridSpan w:val="2"/>
          </w:tcPr>
          <w:p>
            <w:pPr>
              <w:spacing w:line="24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888" w:type="dxa"/>
            <w:gridSpan w:val="2"/>
            <w:vMerge w:val="restart"/>
            <w:vAlign w:val="center"/>
          </w:tcPr>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单</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位</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概</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况</w:t>
            </w:r>
          </w:p>
        </w:tc>
        <w:tc>
          <w:tcPr>
            <w:tcW w:w="1121" w:type="dxa"/>
            <w:vAlign w:val="center"/>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w:t>
            </w:r>
          </w:p>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资本</w:t>
            </w:r>
          </w:p>
        </w:tc>
        <w:tc>
          <w:tcPr>
            <w:tcW w:w="1500" w:type="dxa"/>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万元</w:t>
            </w:r>
          </w:p>
        </w:tc>
        <w:tc>
          <w:tcPr>
            <w:tcW w:w="1499" w:type="dxa"/>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占地面积</w:t>
            </w:r>
          </w:p>
        </w:tc>
        <w:tc>
          <w:tcPr>
            <w:tcW w:w="3092" w:type="dxa"/>
            <w:gridSpan w:val="2"/>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888" w:type="dxa"/>
            <w:gridSpan w:val="2"/>
            <w:vMerge w:val="continue"/>
          </w:tcPr>
          <w:p>
            <w:pPr>
              <w:spacing w:line="240" w:lineRule="auto"/>
              <w:rPr>
                <w:rFonts w:hint="eastAsia" w:ascii="仿宋" w:hAnsi="仿宋" w:eastAsia="仿宋" w:cs="仿宋"/>
                <w:bCs/>
                <w:color w:val="auto"/>
                <w:sz w:val="24"/>
                <w:highlight w:val="none"/>
              </w:rPr>
            </w:pPr>
          </w:p>
        </w:tc>
        <w:tc>
          <w:tcPr>
            <w:tcW w:w="1121" w:type="dxa"/>
            <w:vAlign w:val="center"/>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职工</w:t>
            </w:r>
          </w:p>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总数</w:t>
            </w:r>
          </w:p>
        </w:tc>
        <w:tc>
          <w:tcPr>
            <w:tcW w:w="1500" w:type="dxa"/>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人</w:t>
            </w:r>
          </w:p>
        </w:tc>
        <w:tc>
          <w:tcPr>
            <w:tcW w:w="1499" w:type="dxa"/>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建筑面积</w:t>
            </w:r>
          </w:p>
        </w:tc>
        <w:tc>
          <w:tcPr>
            <w:tcW w:w="3092" w:type="dxa"/>
            <w:gridSpan w:val="2"/>
          </w:tcPr>
          <w:p>
            <w:pPr>
              <w:spacing w:line="240" w:lineRule="auto"/>
              <w:ind w:firstLine="1800" w:firstLineChars="7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Pr>
          <w:p>
            <w:pPr>
              <w:spacing w:line="240" w:lineRule="auto"/>
              <w:rPr>
                <w:rFonts w:hint="eastAsia" w:ascii="仿宋" w:hAnsi="仿宋" w:eastAsia="仿宋" w:cs="仿宋"/>
                <w:bCs/>
                <w:color w:val="auto"/>
                <w:sz w:val="24"/>
                <w:highlight w:val="none"/>
              </w:rPr>
            </w:pPr>
          </w:p>
        </w:tc>
        <w:tc>
          <w:tcPr>
            <w:tcW w:w="1121" w:type="dxa"/>
            <w:vMerge w:val="restart"/>
            <w:vAlign w:val="center"/>
          </w:tcPr>
          <w:p>
            <w:pPr>
              <w:spacing w:line="240" w:lineRule="auto"/>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资产</w:t>
            </w:r>
          </w:p>
          <w:p>
            <w:pPr>
              <w:spacing w:line="240" w:lineRule="auto"/>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情况</w:t>
            </w:r>
          </w:p>
        </w:tc>
        <w:tc>
          <w:tcPr>
            <w:tcW w:w="2999" w:type="dxa"/>
            <w:gridSpan w:val="2"/>
            <w:vAlign w:val="center"/>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净资产：        万元</w:t>
            </w:r>
          </w:p>
        </w:tc>
        <w:tc>
          <w:tcPr>
            <w:tcW w:w="3092" w:type="dxa"/>
            <w:gridSpan w:val="2"/>
            <w:vMerge w:val="restart"/>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固定资产原值 ：      万元</w:t>
            </w:r>
          </w:p>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vMerge w:val="continue"/>
          </w:tcPr>
          <w:p>
            <w:pPr>
              <w:spacing w:line="240" w:lineRule="auto"/>
              <w:rPr>
                <w:rFonts w:hint="eastAsia" w:ascii="仿宋" w:hAnsi="仿宋" w:eastAsia="仿宋" w:cs="仿宋"/>
                <w:bCs/>
                <w:color w:val="auto"/>
                <w:sz w:val="24"/>
                <w:highlight w:val="none"/>
              </w:rPr>
            </w:pPr>
          </w:p>
        </w:tc>
        <w:tc>
          <w:tcPr>
            <w:tcW w:w="1121" w:type="dxa"/>
            <w:vMerge w:val="continue"/>
          </w:tcPr>
          <w:p>
            <w:pPr>
              <w:spacing w:line="240" w:lineRule="auto"/>
              <w:rPr>
                <w:rFonts w:hint="eastAsia" w:ascii="仿宋" w:hAnsi="仿宋" w:eastAsia="仿宋" w:cs="仿宋"/>
                <w:bCs/>
                <w:color w:val="auto"/>
                <w:sz w:val="24"/>
                <w:highlight w:val="none"/>
              </w:rPr>
            </w:pPr>
          </w:p>
        </w:tc>
        <w:tc>
          <w:tcPr>
            <w:tcW w:w="2999" w:type="dxa"/>
            <w:gridSpan w:val="2"/>
            <w:vAlign w:val="center"/>
          </w:tcPr>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负 债：         万元</w:t>
            </w:r>
          </w:p>
        </w:tc>
        <w:tc>
          <w:tcPr>
            <w:tcW w:w="3092" w:type="dxa"/>
            <w:gridSpan w:val="2"/>
            <w:vMerge w:val="continue"/>
          </w:tcPr>
          <w:p>
            <w:pPr>
              <w:spacing w:line="24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888" w:type="dxa"/>
            <w:gridSpan w:val="2"/>
            <w:vMerge w:val="restart"/>
            <w:vAlign w:val="center"/>
          </w:tcPr>
          <w:p>
            <w:pPr>
              <w:spacing w:line="240" w:lineRule="auto"/>
              <w:ind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财务状况</w:t>
            </w:r>
          </w:p>
          <w:p>
            <w:pPr>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（最近三年20</w:t>
            </w:r>
            <w:r>
              <w:rPr>
                <w:rFonts w:hint="eastAsia" w:ascii="仿宋" w:hAnsi="仿宋" w:eastAsia="仿宋" w:cs="仿宋"/>
                <w:bCs/>
                <w:color w:val="auto"/>
                <w:sz w:val="24"/>
                <w:highlight w:val="none"/>
                <w:lang w:val="en-US" w:eastAsia="zh-CN"/>
              </w:rPr>
              <w:t>19</w:t>
            </w:r>
            <w:r>
              <w:rPr>
                <w:rFonts w:hint="eastAsia" w:ascii="仿宋" w:hAnsi="仿宋" w:eastAsia="仿宋" w:cs="仿宋"/>
                <w:bCs/>
                <w:color w:val="auto"/>
                <w:sz w:val="24"/>
                <w:highlight w:val="none"/>
              </w:rPr>
              <w:t>年至20</w:t>
            </w:r>
            <w:r>
              <w:rPr>
                <w:rFonts w:hint="eastAsia" w:ascii="仿宋" w:hAnsi="仿宋" w:eastAsia="仿宋" w:cs="仿宋"/>
                <w:bCs/>
                <w:color w:val="auto"/>
                <w:sz w:val="24"/>
                <w:highlight w:val="none"/>
                <w:lang w:val="en-US" w:eastAsia="zh-CN"/>
              </w:rPr>
              <w:t>21</w:t>
            </w:r>
            <w:r>
              <w:rPr>
                <w:rFonts w:hint="eastAsia" w:ascii="仿宋" w:hAnsi="仿宋" w:eastAsia="仿宋" w:cs="仿宋"/>
                <w:bCs/>
                <w:color w:val="auto"/>
                <w:sz w:val="24"/>
                <w:highlight w:val="none"/>
              </w:rPr>
              <w:t>年）</w:t>
            </w:r>
          </w:p>
        </w:tc>
        <w:tc>
          <w:tcPr>
            <w:tcW w:w="1121" w:type="dxa"/>
            <w:vAlign w:val="center"/>
          </w:tcPr>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年份</w:t>
            </w:r>
          </w:p>
        </w:tc>
        <w:tc>
          <w:tcPr>
            <w:tcW w:w="1500" w:type="dxa"/>
            <w:vAlign w:val="center"/>
          </w:tcPr>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主营收入</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499" w:type="dxa"/>
            <w:vAlign w:val="center"/>
          </w:tcPr>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收入总额</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534" w:type="dxa"/>
            <w:vAlign w:val="center"/>
          </w:tcPr>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利润总额</w:t>
            </w:r>
          </w:p>
          <w:p>
            <w:pPr>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558" w:type="dxa"/>
            <w:vAlign w:val="center"/>
          </w:tcPr>
          <w:p>
            <w:pPr>
              <w:spacing w:line="240" w:lineRule="auto"/>
              <w:ind w:firstLine="240" w:firstLineChars="1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净利润</w:t>
            </w:r>
          </w:p>
          <w:p>
            <w:pPr>
              <w:spacing w:line="240" w:lineRule="auto"/>
              <w:ind w:firstLine="240" w:firstLineChars="1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888" w:type="dxa"/>
            <w:gridSpan w:val="2"/>
            <w:vMerge w:val="continue"/>
            <w:vAlign w:val="center"/>
          </w:tcPr>
          <w:p>
            <w:pPr>
              <w:spacing w:line="240" w:lineRule="auto"/>
              <w:rPr>
                <w:rFonts w:hint="eastAsia" w:ascii="仿宋" w:hAnsi="仿宋" w:eastAsia="仿宋" w:cs="仿宋"/>
                <w:bCs/>
                <w:color w:val="auto"/>
                <w:sz w:val="24"/>
                <w:highlight w:val="none"/>
              </w:rPr>
            </w:pPr>
          </w:p>
        </w:tc>
        <w:tc>
          <w:tcPr>
            <w:tcW w:w="1121" w:type="dxa"/>
            <w:vAlign w:val="center"/>
          </w:tcPr>
          <w:p>
            <w:pPr>
              <w:spacing w:line="240" w:lineRule="auto"/>
              <w:rPr>
                <w:rFonts w:hint="eastAsia" w:ascii="仿宋" w:hAnsi="仿宋" w:eastAsia="仿宋" w:cs="仿宋"/>
                <w:bCs/>
                <w:color w:val="auto"/>
                <w:sz w:val="24"/>
                <w:highlight w:val="none"/>
              </w:rPr>
            </w:pPr>
          </w:p>
        </w:tc>
        <w:tc>
          <w:tcPr>
            <w:tcW w:w="1500" w:type="dxa"/>
            <w:vAlign w:val="center"/>
          </w:tcPr>
          <w:p>
            <w:pPr>
              <w:spacing w:line="240" w:lineRule="auto"/>
              <w:rPr>
                <w:rFonts w:hint="eastAsia" w:ascii="仿宋" w:hAnsi="仿宋" w:eastAsia="仿宋" w:cs="仿宋"/>
                <w:bCs/>
                <w:color w:val="auto"/>
                <w:sz w:val="24"/>
                <w:highlight w:val="none"/>
              </w:rPr>
            </w:pPr>
          </w:p>
        </w:tc>
        <w:tc>
          <w:tcPr>
            <w:tcW w:w="1499" w:type="dxa"/>
            <w:vAlign w:val="center"/>
          </w:tcPr>
          <w:p>
            <w:pPr>
              <w:spacing w:line="240" w:lineRule="auto"/>
              <w:rPr>
                <w:rFonts w:hint="eastAsia" w:ascii="仿宋" w:hAnsi="仿宋" w:eastAsia="仿宋" w:cs="仿宋"/>
                <w:bCs/>
                <w:color w:val="auto"/>
                <w:sz w:val="24"/>
                <w:highlight w:val="none"/>
              </w:rPr>
            </w:pPr>
          </w:p>
        </w:tc>
        <w:tc>
          <w:tcPr>
            <w:tcW w:w="1534" w:type="dxa"/>
            <w:vAlign w:val="center"/>
          </w:tcPr>
          <w:p>
            <w:pPr>
              <w:spacing w:line="240" w:lineRule="auto"/>
              <w:rPr>
                <w:rFonts w:hint="eastAsia" w:ascii="仿宋" w:hAnsi="仿宋" w:eastAsia="仿宋" w:cs="仿宋"/>
                <w:bCs/>
                <w:color w:val="auto"/>
                <w:sz w:val="24"/>
                <w:highlight w:val="none"/>
              </w:rPr>
            </w:pPr>
          </w:p>
        </w:tc>
        <w:tc>
          <w:tcPr>
            <w:tcW w:w="1558" w:type="dxa"/>
            <w:vAlign w:val="center"/>
          </w:tcPr>
          <w:p>
            <w:pPr>
              <w:spacing w:line="24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888" w:type="dxa"/>
            <w:gridSpan w:val="2"/>
            <w:vMerge w:val="continue"/>
            <w:vAlign w:val="center"/>
          </w:tcPr>
          <w:p>
            <w:pPr>
              <w:spacing w:line="240" w:lineRule="auto"/>
              <w:rPr>
                <w:rFonts w:hint="eastAsia" w:ascii="仿宋" w:hAnsi="仿宋" w:eastAsia="仿宋" w:cs="仿宋"/>
                <w:bCs/>
                <w:color w:val="auto"/>
                <w:sz w:val="24"/>
                <w:highlight w:val="none"/>
              </w:rPr>
            </w:pPr>
          </w:p>
        </w:tc>
        <w:tc>
          <w:tcPr>
            <w:tcW w:w="1121" w:type="dxa"/>
            <w:vAlign w:val="center"/>
          </w:tcPr>
          <w:p>
            <w:pPr>
              <w:spacing w:line="240" w:lineRule="auto"/>
              <w:rPr>
                <w:rFonts w:hint="eastAsia" w:ascii="仿宋" w:hAnsi="仿宋" w:eastAsia="仿宋" w:cs="仿宋"/>
                <w:bCs/>
                <w:color w:val="auto"/>
                <w:sz w:val="24"/>
                <w:highlight w:val="none"/>
              </w:rPr>
            </w:pPr>
          </w:p>
        </w:tc>
        <w:tc>
          <w:tcPr>
            <w:tcW w:w="1500" w:type="dxa"/>
            <w:vAlign w:val="center"/>
          </w:tcPr>
          <w:p>
            <w:pPr>
              <w:spacing w:line="240" w:lineRule="auto"/>
              <w:rPr>
                <w:rFonts w:hint="eastAsia" w:ascii="仿宋" w:hAnsi="仿宋" w:eastAsia="仿宋" w:cs="仿宋"/>
                <w:bCs/>
                <w:color w:val="auto"/>
                <w:sz w:val="24"/>
                <w:highlight w:val="none"/>
              </w:rPr>
            </w:pPr>
          </w:p>
        </w:tc>
        <w:tc>
          <w:tcPr>
            <w:tcW w:w="1499" w:type="dxa"/>
            <w:vAlign w:val="center"/>
          </w:tcPr>
          <w:p>
            <w:pPr>
              <w:spacing w:line="240" w:lineRule="auto"/>
              <w:rPr>
                <w:rFonts w:hint="eastAsia" w:ascii="仿宋" w:hAnsi="仿宋" w:eastAsia="仿宋" w:cs="仿宋"/>
                <w:bCs/>
                <w:color w:val="auto"/>
                <w:sz w:val="24"/>
                <w:highlight w:val="none"/>
              </w:rPr>
            </w:pPr>
          </w:p>
        </w:tc>
        <w:tc>
          <w:tcPr>
            <w:tcW w:w="1534" w:type="dxa"/>
            <w:vAlign w:val="center"/>
          </w:tcPr>
          <w:p>
            <w:pPr>
              <w:spacing w:line="240" w:lineRule="auto"/>
              <w:rPr>
                <w:rFonts w:hint="eastAsia" w:ascii="仿宋" w:hAnsi="仿宋" w:eastAsia="仿宋" w:cs="仿宋"/>
                <w:bCs/>
                <w:color w:val="auto"/>
                <w:sz w:val="24"/>
                <w:highlight w:val="none"/>
              </w:rPr>
            </w:pPr>
          </w:p>
        </w:tc>
        <w:tc>
          <w:tcPr>
            <w:tcW w:w="1558" w:type="dxa"/>
            <w:vAlign w:val="center"/>
          </w:tcPr>
          <w:p>
            <w:pPr>
              <w:spacing w:line="24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888" w:type="dxa"/>
            <w:gridSpan w:val="2"/>
            <w:vMerge w:val="continue"/>
          </w:tcPr>
          <w:p>
            <w:pPr>
              <w:spacing w:line="240" w:lineRule="auto"/>
              <w:rPr>
                <w:rFonts w:hint="eastAsia" w:ascii="仿宋" w:hAnsi="仿宋" w:eastAsia="仿宋" w:cs="仿宋"/>
                <w:bCs/>
                <w:color w:val="auto"/>
                <w:sz w:val="24"/>
                <w:highlight w:val="none"/>
              </w:rPr>
            </w:pPr>
          </w:p>
        </w:tc>
        <w:tc>
          <w:tcPr>
            <w:tcW w:w="1121" w:type="dxa"/>
            <w:vAlign w:val="center"/>
          </w:tcPr>
          <w:p>
            <w:pPr>
              <w:spacing w:line="240" w:lineRule="auto"/>
              <w:rPr>
                <w:rFonts w:hint="eastAsia" w:ascii="仿宋" w:hAnsi="仿宋" w:eastAsia="仿宋" w:cs="仿宋"/>
                <w:bCs/>
                <w:color w:val="auto"/>
                <w:sz w:val="24"/>
                <w:highlight w:val="none"/>
              </w:rPr>
            </w:pPr>
          </w:p>
        </w:tc>
        <w:tc>
          <w:tcPr>
            <w:tcW w:w="1500" w:type="dxa"/>
          </w:tcPr>
          <w:p>
            <w:pPr>
              <w:spacing w:line="240" w:lineRule="auto"/>
              <w:rPr>
                <w:rFonts w:hint="eastAsia" w:ascii="仿宋" w:hAnsi="仿宋" w:eastAsia="仿宋" w:cs="仿宋"/>
                <w:bCs/>
                <w:color w:val="auto"/>
                <w:sz w:val="24"/>
                <w:highlight w:val="none"/>
              </w:rPr>
            </w:pPr>
          </w:p>
        </w:tc>
        <w:tc>
          <w:tcPr>
            <w:tcW w:w="1499" w:type="dxa"/>
          </w:tcPr>
          <w:p>
            <w:pPr>
              <w:spacing w:line="240" w:lineRule="auto"/>
              <w:rPr>
                <w:rFonts w:hint="eastAsia" w:ascii="仿宋" w:hAnsi="仿宋" w:eastAsia="仿宋" w:cs="仿宋"/>
                <w:bCs/>
                <w:color w:val="auto"/>
                <w:sz w:val="24"/>
                <w:highlight w:val="none"/>
              </w:rPr>
            </w:pPr>
          </w:p>
        </w:tc>
        <w:tc>
          <w:tcPr>
            <w:tcW w:w="1534" w:type="dxa"/>
          </w:tcPr>
          <w:p>
            <w:pPr>
              <w:spacing w:line="240" w:lineRule="auto"/>
              <w:rPr>
                <w:rFonts w:hint="eastAsia" w:ascii="仿宋" w:hAnsi="仿宋" w:eastAsia="仿宋" w:cs="仿宋"/>
                <w:bCs/>
                <w:color w:val="auto"/>
                <w:sz w:val="24"/>
                <w:highlight w:val="none"/>
              </w:rPr>
            </w:pPr>
          </w:p>
        </w:tc>
        <w:tc>
          <w:tcPr>
            <w:tcW w:w="1558" w:type="dxa"/>
          </w:tcPr>
          <w:p>
            <w:pPr>
              <w:spacing w:line="24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888" w:type="dxa"/>
            <w:gridSpan w:val="2"/>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经营范围</w:t>
            </w:r>
          </w:p>
        </w:tc>
        <w:tc>
          <w:tcPr>
            <w:tcW w:w="7212" w:type="dxa"/>
            <w:gridSpan w:val="5"/>
            <w:vAlign w:val="center"/>
          </w:tcPr>
          <w:p>
            <w:pPr>
              <w:spacing w:line="4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88" w:type="dxa"/>
            <w:gridSpan w:val="2"/>
          </w:tcPr>
          <w:p>
            <w:pPr>
              <w:spacing w:line="4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备注 </w:t>
            </w:r>
          </w:p>
        </w:tc>
        <w:tc>
          <w:tcPr>
            <w:tcW w:w="7212" w:type="dxa"/>
            <w:gridSpan w:val="5"/>
            <w:vAlign w:val="center"/>
          </w:tcPr>
          <w:p>
            <w:pPr>
              <w:spacing w:line="460" w:lineRule="exact"/>
              <w:rPr>
                <w:rFonts w:hint="eastAsia" w:ascii="仿宋" w:hAnsi="仿宋" w:eastAsia="仿宋" w:cs="仿宋"/>
                <w:bCs/>
                <w:color w:val="auto"/>
                <w:sz w:val="24"/>
                <w:highlight w:val="none"/>
              </w:rPr>
            </w:pPr>
          </w:p>
        </w:tc>
      </w:tr>
    </w:tbl>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我们保证上述声明中的资料和数据是真实的、正确的，我们同意如贵方要求，可以出示相关证明文件。 </w:t>
      </w:r>
    </w:p>
    <w:p>
      <w:pPr>
        <w:rPr>
          <w:rFonts w:hint="eastAsia" w:ascii="仿宋" w:hAnsi="仿宋" w:eastAsia="仿宋" w:cs="仿宋"/>
          <w:b w:val="0"/>
          <w:bCs/>
          <w:color w:val="auto"/>
          <w:sz w:val="24"/>
          <w:szCs w:val="24"/>
          <w:highlight w:val="none"/>
          <w:lang w:val="en-US" w:eastAsia="zh-CN"/>
        </w:rPr>
      </w:pPr>
    </w:p>
    <w:p>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供应商（盖章）： </w:t>
      </w:r>
    </w:p>
    <w:p>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法定代表人或委托代理人（签字或盖章）： </w:t>
      </w:r>
    </w:p>
    <w:p>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电话号和传真号： </w:t>
      </w:r>
    </w:p>
    <w:p>
      <w:pPr>
        <w:spacing w:line="36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val="0"/>
          <w:bCs/>
          <w:color w:val="auto"/>
          <w:sz w:val="24"/>
          <w:szCs w:val="24"/>
          <w:highlight w:val="none"/>
          <w:lang w:val="en-US" w:eastAsia="zh-CN"/>
        </w:rPr>
        <w:t>日期： 年 月 日</w:t>
      </w:r>
      <w:r>
        <w:rPr>
          <w:rFonts w:hint="eastAsia" w:ascii="仿宋" w:hAnsi="仿宋" w:eastAsia="仿宋" w:cs="仿宋"/>
          <w:b/>
          <w:color w:val="auto"/>
          <w:sz w:val="28"/>
          <w:szCs w:val="28"/>
          <w:highlight w:val="none"/>
          <w:lang w:val="en-US" w:eastAsia="zh-CN"/>
        </w:rPr>
        <w:br w:type="page"/>
      </w:r>
    </w:p>
    <w:p>
      <w:pPr>
        <w:tabs>
          <w:tab w:val="left" w:pos="360"/>
          <w:tab w:val="left" w:pos="1800"/>
        </w:tabs>
        <w:spacing w:line="48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、中小企业声明函</w:t>
      </w:r>
    </w:p>
    <w:p>
      <w:pPr>
        <w:pStyle w:val="9"/>
        <w:rPr>
          <w:rFonts w:hint="eastAsia" w:ascii="仿宋" w:hAnsi="仿宋" w:eastAsia="仿宋" w:cs="仿宋"/>
          <w:color w:val="auto"/>
          <w:highlight w:val="yellow"/>
        </w:rPr>
      </w:pPr>
    </w:p>
    <w:p>
      <w:pPr>
        <w:tabs>
          <w:tab w:val="left" w:pos="6300"/>
        </w:tabs>
        <w:snapToGrid w:val="0"/>
        <w:spacing w:line="500" w:lineRule="exact"/>
        <w:ind w:firstLine="480" w:firstLineChars="200"/>
        <w:outlineLvl w:val="0"/>
        <w:rPr>
          <w:rFonts w:hint="eastAsia" w:ascii="仿宋" w:hAnsi="仿宋" w:eastAsia="仿宋" w:cs="仿宋"/>
          <w:color w:val="auto"/>
          <w:sz w:val="24"/>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本公司（联合体）郑重声明，根据《政府采购促进中小企业发展管理办法》（财库 ﹝2020﹞46 号）的规定，本公司（联合体）参加</w:t>
      </w:r>
      <w:r>
        <w:rPr>
          <w:rFonts w:hint="eastAsia" w:ascii="仿宋" w:hAnsi="仿宋" w:eastAsia="仿宋" w:cs="仿宋"/>
          <w:b w:val="0"/>
          <w:bCs/>
          <w:sz w:val="24"/>
          <w:szCs w:val="24"/>
          <w:u w:val="single"/>
          <w:lang w:val="en-US" w:eastAsia="zh-CN"/>
        </w:rPr>
        <w:t xml:space="preserve"> （单位名称）</w:t>
      </w:r>
      <w:r>
        <w:rPr>
          <w:rFonts w:hint="eastAsia" w:ascii="仿宋" w:hAnsi="仿宋" w:eastAsia="仿宋" w:cs="仿宋"/>
          <w:b w:val="0"/>
          <w:bCs/>
          <w:sz w:val="24"/>
          <w:szCs w:val="24"/>
          <w:lang w:val="en-US" w:eastAsia="zh-CN"/>
        </w:rPr>
        <w:t xml:space="preserve"> 的 </w:t>
      </w:r>
      <w:r>
        <w:rPr>
          <w:rFonts w:hint="eastAsia" w:ascii="仿宋" w:hAnsi="仿宋" w:eastAsia="仿宋" w:cs="仿宋"/>
          <w:b w:val="0"/>
          <w:bCs/>
          <w:sz w:val="24"/>
          <w:szCs w:val="24"/>
          <w:u w:val="single"/>
          <w:lang w:val="en-US" w:eastAsia="zh-CN"/>
        </w:rPr>
        <w:t>（项目名称）</w:t>
      </w:r>
      <w:r>
        <w:rPr>
          <w:rFonts w:hint="eastAsia" w:ascii="仿宋" w:hAnsi="仿宋" w:eastAsia="仿宋" w:cs="仿宋"/>
          <w:b w:val="0"/>
          <w:bCs/>
          <w:sz w:val="24"/>
          <w:szCs w:val="24"/>
          <w:lang w:val="en-US" w:eastAsia="zh-CN"/>
        </w:rPr>
        <w:t xml:space="preserve"> 采购活动，提供的货物全部由符合政策要求的中小企业制造。相关企业（含联合体中的中小企业、签订分包意向协议的中小企业）的具体情况如下： </w:t>
      </w:r>
    </w:p>
    <w:p>
      <w:pPr>
        <w:pageBreakBefore w:val="0"/>
        <w:tabs>
          <w:tab w:val="left" w:pos="360"/>
          <w:tab w:val="left" w:pos="18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sz w:val="24"/>
          <w:szCs w:val="24"/>
          <w:u w:val="single"/>
          <w:lang w:val="en-US" w:eastAsia="zh-CN"/>
        </w:rPr>
        <w:t>（标的名称）</w:t>
      </w:r>
      <w:r>
        <w:rPr>
          <w:rFonts w:hint="eastAsia" w:ascii="仿宋" w:hAnsi="仿宋" w:eastAsia="仿宋" w:cs="仿宋"/>
          <w:b w:val="0"/>
          <w:bCs/>
          <w:sz w:val="24"/>
          <w:szCs w:val="24"/>
          <w:lang w:val="en-US" w:eastAsia="zh-CN"/>
        </w:rPr>
        <w:t xml:space="preserve"> ，属于</w:t>
      </w:r>
      <w:r>
        <w:rPr>
          <w:rFonts w:hint="eastAsia" w:ascii="仿宋" w:hAnsi="仿宋" w:eastAsia="仿宋" w:cs="仿宋"/>
          <w:b w:val="0"/>
          <w:bCs/>
          <w:sz w:val="24"/>
          <w:szCs w:val="24"/>
          <w:u w:val="single"/>
          <w:lang w:val="en-US" w:eastAsia="zh-CN"/>
        </w:rPr>
        <w:t>租赁和商务服务业（采购文件中明确的所属行业）</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val="0"/>
          <w:color w:val="auto"/>
          <w:sz w:val="24"/>
          <w:szCs w:val="24"/>
          <w:highlight w:val="none"/>
        </w:rPr>
        <w:t>制造商为</w:t>
      </w:r>
      <w:r>
        <w:rPr>
          <w:rFonts w:hint="eastAsia" w:ascii="仿宋" w:hAnsi="仿宋" w:eastAsia="仿宋" w:cs="仿宋"/>
          <w:b w:val="0"/>
          <w:bCs w:val="0"/>
          <w:color w:val="auto"/>
          <w:sz w:val="24"/>
          <w:szCs w:val="24"/>
          <w:highlight w:val="none"/>
          <w:u w:val="single"/>
        </w:rPr>
        <w:t>（企业名称）</w:t>
      </w:r>
      <w:r>
        <w:rPr>
          <w:rFonts w:hint="eastAsia" w:ascii="仿宋" w:hAnsi="仿宋" w:eastAsia="仿宋" w:cs="仿宋"/>
          <w:b w:val="0"/>
          <w:bCs w:val="0"/>
          <w:color w:val="auto"/>
          <w:sz w:val="24"/>
          <w:szCs w:val="24"/>
          <w:highlight w:val="none"/>
        </w:rPr>
        <w:t xml:space="preserve"> ，从业人员</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人，营业收入为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万元，资产总额为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 ，属于</w:t>
      </w:r>
      <w:r>
        <w:rPr>
          <w:rFonts w:hint="eastAsia" w:ascii="仿宋" w:hAnsi="仿宋" w:eastAsia="仿宋" w:cs="仿宋"/>
          <w:b w:val="0"/>
          <w:bCs w:val="0"/>
          <w:color w:val="auto"/>
          <w:sz w:val="24"/>
          <w:szCs w:val="24"/>
          <w:highlight w:val="none"/>
          <w:u w:val="single"/>
        </w:rPr>
        <w:t xml:space="preserve"> （中型企业、小型企业、微型企业）</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u w:val="single"/>
        </w:rPr>
        <w:t>（标的名称）</w:t>
      </w:r>
      <w:r>
        <w:rPr>
          <w:rFonts w:hint="eastAsia" w:ascii="仿宋" w:hAnsi="仿宋" w:eastAsia="仿宋" w:cs="仿宋"/>
          <w:b w:val="0"/>
          <w:bCs w:val="0"/>
          <w:color w:val="auto"/>
          <w:sz w:val="24"/>
          <w:szCs w:val="24"/>
          <w:highlight w:val="none"/>
        </w:rPr>
        <w:t xml:space="preserve"> ，属于</w:t>
      </w:r>
      <w:r>
        <w:rPr>
          <w:rFonts w:hint="eastAsia" w:ascii="仿宋" w:hAnsi="仿宋" w:eastAsia="仿宋" w:cs="仿宋"/>
          <w:b w:val="0"/>
          <w:bCs w:val="0"/>
          <w:color w:val="auto"/>
          <w:sz w:val="24"/>
          <w:szCs w:val="24"/>
          <w:highlight w:val="none"/>
          <w:u w:val="single"/>
        </w:rPr>
        <w:t xml:space="preserve"> （采购文件中明确的所属行业）行业 </w:t>
      </w:r>
      <w:r>
        <w:rPr>
          <w:rFonts w:hint="eastAsia" w:ascii="仿宋" w:hAnsi="仿宋" w:eastAsia="仿宋" w:cs="仿宋"/>
          <w:b w:val="0"/>
          <w:bCs w:val="0"/>
          <w:color w:val="auto"/>
          <w:sz w:val="24"/>
          <w:szCs w:val="24"/>
          <w:highlight w:val="none"/>
        </w:rPr>
        <w:t>；制造商为</w:t>
      </w:r>
      <w:r>
        <w:rPr>
          <w:rFonts w:hint="eastAsia" w:ascii="仿宋" w:hAnsi="仿宋" w:eastAsia="仿宋" w:cs="仿宋"/>
          <w:b w:val="0"/>
          <w:bCs w:val="0"/>
          <w:color w:val="auto"/>
          <w:sz w:val="24"/>
          <w:szCs w:val="24"/>
          <w:highlight w:val="none"/>
          <w:u w:val="single"/>
        </w:rPr>
        <w:t>（企业名称）</w:t>
      </w:r>
      <w:r>
        <w:rPr>
          <w:rFonts w:hint="eastAsia" w:ascii="仿宋" w:hAnsi="仿宋" w:eastAsia="仿宋" w:cs="仿宋"/>
          <w:b w:val="0"/>
          <w:bCs w:val="0"/>
          <w:color w:val="auto"/>
          <w:sz w:val="24"/>
          <w:szCs w:val="24"/>
          <w:highlight w:val="none"/>
        </w:rPr>
        <w:t xml:space="preserve"> ，从业人员</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人，营业收入为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万元，资产总额为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万元，属于</w:t>
      </w:r>
      <w:r>
        <w:rPr>
          <w:rFonts w:hint="eastAsia" w:ascii="仿宋" w:hAnsi="仿宋" w:eastAsia="仿宋" w:cs="仿宋"/>
          <w:b w:val="0"/>
          <w:bCs w:val="0"/>
          <w:color w:val="auto"/>
          <w:sz w:val="24"/>
          <w:szCs w:val="24"/>
          <w:highlight w:val="none"/>
          <w:u w:val="single"/>
        </w:rPr>
        <w:t xml:space="preserve"> （中型企业、小型企业、微型企业）</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以上企业，不属于大企业的分支机构，不存在控股股东为大企业的情形，也不存在 与大企业的负责人为同一人的情形。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日 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tabs>
          <w:tab w:val="left" w:pos="6300"/>
        </w:tabs>
        <w:snapToGrid w:val="0"/>
        <w:spacing w:line="500" w:lineRule="exact"/>
        <w:rPr>
          <w:rFonts w:hint="eastAsia" w:ascii="仿宋" w:hAnsi="仿宋" w:eastAsia="仿宋" w:cs="仿宋"/>
          <w:b/>
          <w:color w:val="auto"/>
          <w:sz w:val="28"/>
          <w:szCs w:val="28"/>
          <w:highlight w:val="none"/>
        </w:rPr>
      </w:pPr>
      <w:r>
        <w:rPr>
          <w:rFonts w:hint="eastAsia" w:ascii="仿宋" w:hAnsi="仿宋" w:eastAsia="仿宋" w:cs="仿宋"/>
          <w:b w:val="0"/>
          <w:bCs/>
          <w:sz w:val="24"/>
          <w:szCs w:val="24"/>
          <w:lang w:val="en-US" w:eastAsia="zh-CN"/>
        </w:rPr>
        <w:t>注：从业人员、营业收入、资产总额填报上一年度数据，无上一年度数据的新成立企业 可不填报。</w:t>
      </w:r>
    </w:p>
    <w:p>
      <w:pPr>
        <w:spacing w:line="360" w:lineRule="auto"/>
        <w:rPr>
          <w:rFonts w:hint="eastAsia" w:ascii="仿宋" w:eastAsia="仿宋"/>
          <w:sz w:val="24"/>
          <w:szCs w:val="24"/>
        </w:rPr>
      </w:pPr>
    </w:p>
    <w:p>
      <w:pPr>
        <w:tabs>
          <w:tab w:val="left" w:pos="6300"/>
        </w:tabs>
        <w:snapToGrid w:val="0"/>
        <w:spacing w:line="500" w:lineRule="exact"/>
        <w:jc w:val="cente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tabs>
          <w:tab w:val="left" w:pos="6300"/>
        </w:tabs>
        <w:snapToGrid w:val="0"/>
        <w:spacing w:line="5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诚信声明</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right="42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pPr>
        <w:tabs>
          <w:tab w:val="left" w:pos="6300"/>
        </w:tabs>
        <w:snapToGrid w:val="0"/>
        <w:spacing w:line="500" w:lineRule="exact"/>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10"/>
        <w:spacing w:line="360" w:lineRule="auto"/>
        <w:ind w:right="86"/>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numPr>
          <w:ilvl w:val="0"/>
          <w:numId w:val="13"/>
        </w:num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主要人员汇总表</w:t>
      </w:r>
    </w:p>
    <w:p>
      <w:pPr>
        <w:pStyle w:val="9"/>
        <w:numPr>
          <w:ilvl w:val="0"/>
          <w:numId w:val="0"/>
        </w:numPr>
        <w:rPr>
          <w:rFonts w:hint="eastAsia"/>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353"/>
        <w:gridCol w:w="1515"/>
        <w:gridCol w:w="1007"/>
        <w:gridCol w:w="100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220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职责分工</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姓名</w:t>
            </w:r>
          </w:p>
        </w:tc>
        <w:tc>
          <w:tcPr>
            <w:tcW w:w="1515" w:type="dxa"/>
            <w:tcBorders>
              <w:top w:val="single" w:color="auto" w:sz="4" w:space="0"/>
              <w:left w:val="single" w:color="auto" w:sz="4" w:space="0"/>
              <w:bottom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现职务</w:t>
            </w:r>
          </w:p>
        </w:tc>
        <w:tc>
          <w:tcPr>
            <w:tcW w:w="1007" w:type="dxa"/>
            <w:tcBorders>
              <w:top w:val="single" w:color="auto" w:sz="4" w:space="0"/>
              <w:bottom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职称</w:t>
            </w:r>
          </w:p>
        </w:tc>
        <w:tc>
          <w:tcPr>
            <w:tcW w:w="100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专业</w:t>
            </w:r>
          </w:p>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工龄</w:t>
            </w:r>
          </w:p>
        </w:tc>
        <w:tc>
          <w:tcPr>
            <w:tcW w:w="226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2207"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项目负责人</w:t>
            </w:r>
          </w:p>
        </w:tc>
        <w:tc>
          <w:tcPr>
            <w:tcW w:w="1353"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515" w:type="dxa"/>
            <w:tcBorders>
              <w:top w:val="single" w:color="auto" w:sz="4" w:space="0"/>
              <w:left w:val="single" w:color="auto" w:sz="4" w:space="0"/>
              <w:bottom w:val="nil"/>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007" w:type="dxa"/>
            <w:tcBorders>
              <w:top w:val="single" w:color="auto" w:sz="4" w:space="0"/>
              <w:bottom w:val="nil"/>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00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226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restart"/>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其他主要人员</w:t>
            </w: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val="0"/>
                <w:bCs/>
                <w:sz w:val="24"/>
                <w:szCs w:val="24"/>
                <w:lang w:val="en-US" w:eastAsia="zh-CN"/>
              </w:rPr>
            </w:pPr>
          </w:p>
        </w:tc>
      </w:tr>
    </w:tbl>
    <w:p>
      <w:pPr>
        <w:numPr>
          <w:ilvl w:val="0"/>
          <w:numId w:val="0"/>
        </w:numPr>
        <w:jc w:val="both"/>
        <w:rPr>
          <w:rFonts w:hint="eastAsia" w:ascii="仿宋" w:hAnsi="仿宋" w:eastAsia="仿宋" w:cs="仿宋"/>
          <w:b w:val="0"/>
          <w:bCs/>
          <w:sz w:val="24"/>
          <w:szCs w:val="24"/>
          <w:lang w:val="en-GB" w:eastAsia="zh-CN"/>
        </w:rPr>
      </w:pPr>
    </w:p>
    <w:p>
      <w:pPr>
        <w:numPr>
          <w:ilvl w:val="0"/>
          <w:numId w:val="0"/>
        </w:numPr>
        <w:jc w:val="both"/>
        <w:rPr>
          <w:rFonts w:hint="eastAsia" w:ascii="仿宋" w:hAnsi="仿宋" w:eastAsia="仿宋" w:cs="仿宋"/>
          <w:b w:val="0"/>
          <w:bCs/>
          <w:sz w:val="24"/>
          <w:szCs w:val="24"/>
          <w:lang w:val="en-GB" w:eastAsia="zh-CN"/>
        </w:rPr>
      </w:pPr>
      <w:r>
        <w:rPr>
          <w:rFonts w:hint="eastAsia" w:ascii="仿宋" w:hAnsi="仿宋" w:eastAsia="仿宋" w:cs="仿宋"/>
          <w:b w:val="0"/>
          <w:bCs/>
          <w:sz w:val="24"/>
          <w:szCs w:val="24"/>
          <w:lang w:val="en-GB" w:eastAsia="zh-CN"/>
        </w:rPr>
        <w:t>注：</w:t>
      </w:r>
      <w:r>
        <w:rPr>
          <w:rFonts w:hint="eastAsia" w:ascii="仿宋" w:hAnsi="仿宋" w:eastAsia="仿宋" w:cs="仿宋"/>
          <w:color w:val="auto"/>
          <w:sz w:val="24"/>
          <w:highlight w:val="none"/>
          <w:lang w:val="en-US" w:eastAsia="zh-CN"/>
        </w:rPr>
        <w:t>须</w:t>
      </w:r>
      <w:r>
        <w:rPr>
          <w:rFonts w:hint="eastAsia" w:ascii="仿宋" w:hAnsi="仿宋" w:eastAsia="仿宋" w:cs="仿宋"/>
          <w:b w:val="0"/>
          <w:bCs/>
          <w:sz w:val="24"/>
          <w:szCs w:val="24"/>
          <w:lang w:val="en-US" w:eastAsia="zh-CN"/>
        </w:rPr>
        <w:t>提供</w:t>
      </w:r>
      <w:r>
        <w:rPr>
          <w:rFonts w:hint="eastAsia" w:ascii="仿宋" w:hAnsi="仿宋" w:eastAsia="仿宋" w:cs="仿宋"/>
          <w:b w:val="0"/>
          <w:bCs/>
          <w:sz w:val="24"/>
          <w:szCs w:val="24"/>
          <w:lang w:val="en-GB" w:eastAsia="zh-CN"/>
        </w:rPr>
        <w:t>相应</w:t>
      </w:r>
      <w:r>
        <w:rPr>
          <w:rFonts w:hint="eastAsia" w:ascii="仿宋" w:hAnsi="仿宋" w:eastAsia="仿宋" w:cs="仿宋"/>
          <w:b w:val="0"/>
          <w:bCs/>
          <w:sz w:val="24"/>
          <w:szCs w:val="24"/>
          <w:lang w:val="en-US" w:eastAsia="zh-CN"/>
        </w:rPr>
        <w:t>证书</w:t>
      </w:r>
      <w:r>
        <w:rPr>
          <w:rFonts w:hint="eastAsia" w:ascii="仿宋" w:hAnsi="仿宋" w:eastAsia="仿宋" w:cs="仿宋"/>
          <w:color w:val="auto"/>
          <w:sz w:val="24"/>
          <w:highlight w:val="none"/>
          <w:lang w:val="en-US" w:eastAsia="zh-CN"/>
        </w:rPr>
        <w:t>及社保缴纳证明等相关证明材料。</w:t>
      </w:r>
    </w:p>
    <w:p>
      <w:pPr>
        <w:rPr>
          <w:rFonts w:hint="eastAsia" w:ascii="仿宋" w:hAnsi="仿宋" w:eastAsia="仿宋" w:cs="仿宋"/>
          <w:color w:val="auto"/>
          <w:szCs w:val="21"/>
          <w:highlight w:val="none"/>
        </w:rPr>
      </w:pPr>
    </w:p>
    <w:p>
      <w:pPr>
        <w:pStyle w:val="9"/>
        <w:rPr>
          <w:rFonts w:hint="eastAsia" w:ascii="仿宋" w:hAnsi="仿宋" w:eastAsia="仿宋" w:cs="仿宋"/>
          <w:color w:val="auto"/>
          <w:szCs w:val="21"/>
          <w:highlight w:val="none"/>
        </w:rPr>
      </w:pPr>
    </w:p>
    <w:p>
      <w:pPr>
        <w:tabs>
          <w:tab w:val="left" w:pos="1875"/>
        </w:tabs>
        <w:rPr>
          <w:rFonts w:hint="eastAsia" w:ascii="仿宋" w:hAnsi="仿宋" w:eastAsia="仿宋" w:cs="仿宋"/>
          <w:color w:val="auto"/>
          <w:szCs w:val="21"/>
          <w:highlight w:val="none"/>
        </w:rPr>
      </w:pPr>
    </w:p>
    <w:p>
      <w:pPr>
        <w:tabs>
          <w:tab w:val="left" w:pos="1875"/>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供应商：（盖章） </w:t>
      </w:r>
    </w:p>
    <w:p>
      <w:pPr>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法定代表人或授权代理人：（签字或盖章）                 </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    年    月    日</w:t>
      </w:r>
    </w:p>
    <w:p>
      <w:pPr>
        <w:pStyle w:val="10"/>
        <w:spacing w:line="360" w:lineRule="auto"/>
        <w:ind w:right="86"/>
        <w:jc w:val="center"/>
        <w:outlineLvl w:val="0"/>
        <w:rPr>
          <w:rFonts w:hint="eastAsia" w:ascii="仿宋" w:hAnsi="仿宋" w:eastAsia="仿宋" w:cs="仿宋"/>
          <w:color w:val="auto"/>
          <w:sz w:val="24"/>
          <w:szCs w:val="24"/>
          <w:highlight w:val="none"/>
        </w:rPr>
      </w:pPr>
    </w:p>
    <w:p>
      <w:pPr>
        <w:pStyle w:val="10"/>
        <w:spacing w:line="360" w:lineRule="auto"/>
        <w:ind w:right="86"/>
        <w:jc w:val="center"/>
        <w:outlineLvl w:val="0"/>
        <w:rPr>
          <w:rFonts w:hint="eastAsia" w:ascii="仿宋" w:hAnsi="仿宋" w:eastAsia="仿宋" w:cs="仿宋"/>
          <w:b/>
          <w:color w:val="auto"/>
          <w:sz w:val="24"/>
          <w:szCs w:val="24"/>
          <w:highlight w:val="none"/>
        </w:rPr>
      </w:pPr>
    </w:p>
    <w:p>
      <w:pPr>
        <w:pStyle w:val="10"/>
        <w:spacing w:line="360" w:lineRule="auto"/>
        <w:ind w:right="86"/>
        <w:jc w:val="center"/>
        <w:outlineLvl w:val="0"/>
        <w:rPr>
          <w:rFonts w:hint="eastAsia" w:ascii="仿宋" w:hAnsi="仿宋" w:eastAsia="仿宋" w:cs="仿宋"/>
          <w:b/>
          <w:color w:val="auto"/>
          <w:sz w:val="24"/>
          <w:szCs w:val="24"/>
          <w:highlight w:val="none"/>
        </w:rPr>
      </w:pPr>
    </w:p>
    <w:p>
      <w:pPr>
        <w:pStyle w:val="10"/>
        <w:spacing w:line="360" w:lineRule="auto"/>
        <w:ind w:right="86"/>
        <w:jc w:val="center"/>
        <w:outlineLvl w:val="0"/>
        <w:rPr>
          <w:rFonts w:hint="eastAsia" w:ascii="仿宋" w:hAnsi="仿宋" w:eastAsia="仿宋" w:cs="仿宋"/>
          <w:b/>
          <w:color w:val="auto"/>
          <w:sz w:val="24"/>
          <w:szCs w:val="24"/>
          <w:highlight w:val="none"/>
        </w:rPr>
      </w:pPr>
    </w:p>
    <w:p>
      <w:pPr>
        <w:pStyle w:val="10"/>
        <w:spacing w:line="360" w:lineRule="auto"/>
        <w:ind w:right="86"/>
        <w:jc w:val="center"/>
        <w:outlineLvl w:val="0"/>
        <w:rPr>
          <w:rFonts w:hint="eastAsia" w:ascii="仿宋" w:hAnsi="仿宋" w:eastAsia="仿宋" w:cs="仿宋"/>
          <w:b/>
          <w:color w:val="auto"/>
          <w:sz w:val="24"/>
          <w:szCs w:val="24"/>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pStyle w:val="10"/>
        <w:spacing w:line="360" w:lineRule="auto"/>
        <w:ind w:right="86"/>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9</w:t>
      </w:r>
      <w:r>
        <w:rPr>
          <w:rFonts w:hint="eastAsia" w:ascii="仿宋" w:hAnsi="仿宋" w:eastAsia="仿宋" w:cs="仿宋"/>
          <w:b/>
          <w:color w:val="auto"/>
          <w:sz w:val="28"/>
          <w:szCs w:val="28"/>
          <w:highlight w:val="none"/>
        </w:rPr>
        <w:t>、近三年（自20</w:t>
      </w: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月1日至今）同类项目业绩表</w:t>
      </w:r>
    </w:p>
    <w:tbl>
      <w:tblPr>
        <w:tblStyle w:val="19"/>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1285"/>
        <w:gridCol w:w="1079"/>
        <w:gridCol w:w="976"/>
        <w:gridCol w:w="245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940"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285"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合同实施日期</w:t>
            </w:r>
          </w:p>
        </w:tc>
        <w:tc>
          <w:tcPr>
            <w:tcW w:w="1079"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976"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用户</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451"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用户联系人及联系电话</w:t>
            </w:r>
          </w:p>
        </w:tc>
        <w:tc>
          <w:tcPr>
            <w:tcW w:w="806"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40" w:type="dxa"/>
          </w:tcPr>
          <w:p>
            <w:pPr>
              <w:rPr>
                <w:rFonts w:hint="eastAsia" w:ascii="仿宋" w:hAnsi="仿宋" w:eastAsia="仿宋" w:cs="仿宋"/>
                <w:color w:val="auto"/>
                <w:szCs w:val="21"/>
                <w:highlight w:val="none"/>
              </w:rPr>
            </w:pPr>
          </w:p>
        </w:tc>
        <w:tc>
          <w:tcPr>
            <w:tcW w:w="1285" w:type="dxa"/>
          </w:tcPr>
          <w:p>
            <w:pPr>
              <w:rPr>
                <w:rFonts w:hint="eastAsia" w:ascii="仿宋" w:hAnsi="仿宋" w:eastAsia="仿宋" w:cs="仿宋"/>
                <w:color w:val="auto"/>
                <w:szCs w:val="21"/>
                <w:highlight w:val="none"/>
              </w:rPr>
            </w:pPr>
          </w:p>
        </w:tc>
        <w:tc>
          <w:tcPr>
            <w:tcW w:w="1079" w:type="dxa"/>
          </w:tcPr>
          <w:p>
            <w:pPr>
              <w:rPr>
                <w:rFonts w:hint="eastAsia" w:ascii="仿宋" w:hAnsi="仿宋" w:eastAsia="仿宋" w:cs="仿宋"/>
                <w:color w:val="auto"/>
                <w:szCs w:val="21"/>
                <w:highlight w:val="none"/>
              </w:rPr>
            </w:pPr>
          </w:p>
        </w:tc>
        <w:tc>
          <w:tcPr>
            <w:tcW w:w="976" w:type="dxa"/>
          </w:tcPr>
          <w:p>
            <w:pPr>
              <w:rPr>
                <w:rFonts w:hint="eastAsia" w:ascii="仿宋" w:hAnsi="仿宋" w:eastAsia="仿宋" w:cs="仿宋"/>
                <w:color w:val="auto"/>
                <w:szCs w:val="21"/>
                <w:highlight w:val="none"/>
              </w:rPr>
            </w:pPr>
          </w:p>
        </w:tc>
        <w:tc>
          <w:tcPr>
            <w:tcW w:w="2451" w:type="dxa"/>
          </w:tcPr>
          <w:p>
            <w:pPr>
              <w:rPr>
                <w:rFonts w:hint="eastAsia" w:ascii="仿宋" w:hAnsi="仿宋" w:eastAsia="仿宋" w:cs="仿宋"/>
                <w:color w:val="auto"/>
                <w:szCs w:val="21"/>
                <w:highlight w:val="none"/>
              </w:rPr>
            </w:pPr>
          </w:p>
        </w:tc>
        <w:tc>
          <w:tcPr>
            <w:tcW w:w="806" w:type="dxa"/>
          </w:tcPr>
          <w:p>
            <w:pPr>
              <w:rPr>
                <w:rFonts w:hint="eastAsia" w:ascii="仿宋" w:hAnsi="仿宋" w:eastAsia="仿宋" w:cs="仿宋"/>
                <w:color w:val="auto"/>
                <w:szCs w:val="21"/>
                <w:highlight w:val="none"/>
              </w:rPr>
            </w:pPr>
          </w:p>
        </w:tc>
      </w:tr>
    </w:tbl>
    <w:p>
      <w:pPr>
        <w:pStyle w:val="10"/>
        <w:spacing w:line="360" w:lineRule="auto"/>
        <w:ind w:right="86"/>
        <w:outlineLvl w:val="0"/>
        <w:rPr>
          <w:rFonts w:hint="eastAsia" w:ascii="仿宋" w:hAnsi="仿宋" w:eastAsia="仿宋" w:cs="仿宋"/>
          <w:b/>
          <w:color w:val="auto"/>
          <w:sz w:val="24"/>
          <w:szCs w:val="24"/>
          <w:highlight w:val="none"/>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注：（仅限于供应商自身实施的项目）以上业绩需提供有关书面证明材料复印件（</w:t>
      </w:r>
      <w:r>
        <w:rPr>
          <w:rFonts w:hint="eastAsia" w:ascii="仿宋" w:hAnsi="仿宋" w:eastAsia="仿宋" w:cs="仿宋"/>
          <w:color w:val="auto"/>
          <w:sz w:val="24"/>
          <w:highlight w:val="none"/>
          <w:lang w:val="en-US" w:eastAsia="zh-CN"/>
        </w:rPr>
        <w:t>如</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协议书、</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w:t>
      </w:r>
    </w:p>
    <w:p>
      <w:pPr>
        <w:spacing w:line="400" w:lineRule="exact"/>
        <w:rPr>
          <w:rFonts w:hint="eastAsia" w:ascii="仿宋" w:hAnsi="仿宋" w:eastAsia="仿宋" w:cs="仿宋"/>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adjustRightInd w:val="0"/>
        <w:spacing w:line="400" w:lineRule="exact"/>
        <w:ind w:firstLine="480" w:firstLineChars="200"/>
        <w:jc w:val="left"/>
        <w:rPr>
          <w:rFonts w:hint="eastAsia" w:ascii="仿宋" w:hAnsi="仿宋" w:eastAsia="仿宋" w:cs="仿宋"/>
          <w:color w:val="auto"/>
          <w:sz w:val="24"/>
          <w:highlight w:val="none"/>
        </w:rPr>
      </w:pPr>
    </w:p>
    <w:p>
      <w:pPr>
        <w:spacing w:line="400" w:lineRule="exact"/>
        <w:ind w:right="480"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法定代表人或授权委托人（签字或盖章）：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    年    月    日</w:t>
      </w:r>
    </w:p>
    <w:p>
      <w:pPr>
        <w:spacing w:line="420" w:lineRule="exact"/>
        <w:rPr>
          <w:rFonts w:hint="eastAsia" w:ascii="仿宋" w:hAnsi="仿宋" w:eastAsia="仿宋" w:cs="仿宋"/>
          <w:b/>
          <w:bCs/>
          <w:color w:val="auto"/>
          <w:sz w:val="28"/>
          <w:szCs w:val="28"/>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rPr>
          <w:rFonts w:hint="eastAsia" w:ascii="黑体" w:hAnsi="黑体" w:eastAsia="黑体"/>
          <w:b/>
          <w:bCs/>
          <w:color w:val="auto"/>
          <w:sz w:val="32"/>
          <w:szCs w:val="32"/>
        </w:rPr>
      </w:pPr>
      <w:r>
        <w:rPr>
          <w:rFonts w:hint="eastAsia" w:ascii="黑体" w:hAnsi="黑体" w:eastAsia="黑体"/>
          <w:b/>
          <w:bCs/>
          <w:color w:val="auto"/>
          <w:sz w:val="32"/>
          <w:szCs w:val="32"/>
        </w:rPr>
        <w:br w:type="page"/>
      </w: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服务响应/偏离表</w:t>
      </w:r>
    </w:p>
    <w:p>
      <w:pPr>
        <w:spacing w:line="560" w:lineRule="exact"/>
        <w:rPr>
          <w:rFonts w:hint="eastAsia" w:ascii="仿宋" w:hAnsi="仿宋" w:eastAsia="仿宋" w:cs="仿宋"/>
          <w:color w:val="auto"/>
          <w:sz w:val="28"/>
          <w:szCs w:val="28"/>
        </w:rPr>
      </w:pPr>
    </w:p>
    <w:tbl>
      <w:tblPr>
        <w:tblStyle w:val="1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690"/>
        <w:gridCol w:w="26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690" w:type="dxa"/>
            <w:noWrap w:val="0"/>
            <w:vAlign w:val="center"/>
          </w:tcPr>
          <w:p>
            <w:p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招标文件要求</w:t>
            </w:r>
          </w:p>
        </w:tc>
        <w:tc>
          <w:tcPr>
            <w:tcW w:w="2647" w:type="dxa"/>
            <w:noWrap w:val="0"/>
            <w:vAlign w:val="center"/>
          </w:tcPr>
          <w:p>
            <w:p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投标响应/偏离情况</w:t>
            </w:r>
          </w:p>
        </w:tc>
        <w:tc>
          <w:tcPr>
            <w:tcW w:w="2693" w:type="dxa"/>
            <w:noWrap w:val="0"/>
            <w:vAlign w:val="center"/>
          </w:tcPr>
          <w:p>
            <w:p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pStyle w:val="41"/>
              <w:keepNext w:val="0"/>
              <w:adjustRightInd/>
              <w:spacing w:before="0" w:after="0" w:line="560" w:lineRule="exact"/>
              <w:textAlignment w:val="auto"/>
              <w:rPr>
                <w:rFonts w:hint="eastAsia" w:ascii="仿宋" w:hAnsi="仿宋" w:eastAsia="仿宋" w:cs="仿宋"/>
                <w:snapToGrid/>
                <w:color w:val="auto"/>
                <w:spacing w:val="0"/>
                <w:kern w:val="2"/>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pStyle w:val="41"/>
              <w:keepNext w:val="0"/>
              <w:adjustRightInd/>
              <w:spacing w:before="0" w:after="0" w:line="560" w:lineRule="exact"/>
              <w:textAlignment w:val="auto"/>
              <w:rPr>
                <w:rFonts w:hint="eastAsia" w:ascii="仿宋" w:hAnsi="仿宋" w:eastAsia="仿宋" w:cs="仿宋"/>
                <w:snapToGrid/>
                <w:color w:val="auto"/>
                <w:spacing w:val="0"/>
                <w:kern w:val="2"/>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690" w:type="dxa"/>
            <w:noWrap w:val="0"/>
            <w:vAlign w:val="center"/>
          </w:tcPr>
          <w:p>
            <w:pPr>
              <w:spacing w:line="560" w:lineRule="exact"/>
              <w:rPr>
                <w:rFonts w:hint="eastAsia" w:ascii="仿宋" w:hAnsi="仿宋" w:eastAsia="仿宋" w:cs="仿宋"/>
                <w:i/>
                <w:iCs/>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ind w:right="-35"/>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ind w:firstLine="140" w:firstLineChars="50"/>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51"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690" w:type="dxa"/>
            <w:noWrap w:val="0"/>
            <w:vAlign w:val="center"/>
          </w:tcPr>
          <w:p>
            <w:pPr>
              <w:spacing w:line="560" w:lineRule="exact"/>
              <w:rPr>
                <w:rFonts w:hint="eastAsia" w:ascii="仿宋" w:hAnsi="仿宋" w:eastAsia="仿宋" w:cs="仿宋"/>
                <w:color w:val="auto"/>
                <w:sz w:val="28"/>
                <w:szCs w:val="28"/>
              </w:rPr>
            </w:pPr>
          </w:p>
        </w:tc>
        <w:tc>
          <w:tcPr>
            <w:tcW w:w="2647" w:type="dxa"/>
            <w:noWrap w:val="0"/>
            <w:vAlign w:val="center"/>
          </w:tcPr>
          <w:p>
            <w:pPr>
              <w:spacing w:line="560" w:lineRule="exact"/>
              <w:jc w:val="center"/>
              <w:rPr>
                <w:rFonts w:hint="eastAsia" w:ascii="仿宋" w:hAnsi="仿宋" w:eastAsia="仿宋" w:cs="仿宋"/>
                <w:color w:val="auto"/>
                <w:sz w:val="28"/>
                <w:szCs w:val="28"/>
              </w:rPr>
            </w:pPr>
          </w:p>
        </w:tc>
        <w:tc>
          <w:tcPr>
            <w:tcW w:w="2693" w:type="dxa"/>
            <w:noWrap w:val="0"/>
            <w:vAlign w:val="center"/>
          </w:tcPr>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见招标文件（）页</w:t>
            </w:r>
          </w:p>
        </w:tc>
      </w:tr>
    </w:tbl>
    <w:p>
      <w:pPr>
        <w:adjustRightInd w:val="0"/>
        <w:snapToGrid w:val="0"/>
        <w:spacing w:line="560" w:lineRule="exact"/>
        <w:jc w:val="center"/>
        <w:rPr>
          <w:rFonts w:hint="eastAsia" w:ascii="仿宋" w:hAnsi="仿宋" w:eastAsia="仿宋" w:cs="仿宋"/>
          <w:color w:val="auto"/>
          <w:sz w:val="28"/>
          <w:szCs w:val="28"/>
        </w:rPr>
      </w:pPr>
    </w:p>
    <w:p>
      <w:pPr>
        <w:spacing w:line="560" w:lineRule="exact"/>
        <w:ind w:left="560" w:leftChars="0" w:hanging="560" w:hangingChars="200"/>
        <w:jc w:val="left"/>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注：投标供应商响应采购需求应具体、明确，含糊不清、不确切或伪造、变造证明材料的，按照不完全响应或者完全不响应处理。</w:t>
      </w:r>
      <w:r>
        <w:rPr>
          <w:rFonts w:hint="eastAsia" w:ascii="仿宋" w:hAnsi="仿宋" w:eastAsia="仿宋" w:cs="仿宋"/>
          <w:color w:val="auto"/>
          <w:sz w:val="28"/>
          <w:szCs w:val="28"/>
          <w:highlight w:val="none"/>
        </w:rPr>
        <w:t>构成提供虚假材料的，移送监管部门查处。</w:t>
      </w:r>
    </w:p>
    <w:p>
      <w:pPr>
        <w:jc w:val="left"/>
        <w:rPr>
          <w:rFonts w:hint="eastAsia" w:ascii="仿宋" w:hAnsi="仿宋" w:eastAsia="仿宋" w:cs="仿宋"/>
          <w:color w:val="auto"/>
          <w:sz w:val="28"/>
          <w:szCs w:val="28"/>
          <w:highlight w:val="none"/>
        </w:rPr>
      </w:pPr>
    </w:p>
    <w:p>
      <w:pPr>
        <w:pageBreakBefore/>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、资格性/符合性自查表</w:t>
      </w:r>
    </w:p>
    <w:tbl>
      <w:tblPr>
        <w:tblStyle w:val="19"/>
        <w:tblW w:w="916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lang w:eastAsia="zh-CN"/>
              </w:rPr>
              <w:t>招标</w:t>
            </w:r>
            <w:r>
              <w:rPr>
                <w:rFonts w:hint="eastAsia" w:ascii="仿宋" w:hAnsi="仿宋" w:eastAsia="仿宋" w:cs="仿宋"/>
                <w:b/>
                <w:bCs/>
                <w:color w:val="auto"/>
                <w:spacing w:val="10"/>
                <w:sz w:val="24"/>
                <w:highlight w:val="none"/>
              </w:rPr>
              <w:t>文件要求</w:t>
            </w:r>
            <w:r>
              <w:rPr>
                <w:rFonts w:hint="eastAsia" w:ascii="仿宋" w:hAnsi="仿宋" w:eastAsia="仿宋" w:cs="仿宋"/>
                <w:color w:val="auto"/>
                <w:highlight w:val="none"/>
              </w:rPr>
              <w:br w:type="textWrapping"/>
            </w:r>
            <w:r>
              <w:rPr>
                <w:rFonts w:hint="eastAsia" w:ascii="仿宋" w:hAnsi="仿宋" w:eastAsia="仿宋" w:cs="仿宋"/>
                <w:color w:val="auto"/>
                <w:sz w:val="24"/>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资格性</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第（）页</w:t>
            </w:r>
          </w:p>
        </w:tc>
      </w:tr>
    </w:tbl>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注：1、以上材料将作为</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供应商有效性审核的重要内容之一，供应商必须严格按照其内容及序列要求在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中对应如实提供，对资格性和符合性证明文件的任何缺漏和不符合项将会直接导致</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无效！供应商根据自查结论在对应的□打“√”。</w:t>
      </w:r>
    </w:p>
    <w:p>
      <w:pPr>
        <w:spacing w:line="360" w:lineRule="auto"/>
        <w:ind w:firstLine="48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2、各供应商按此表格式填写，表格不够时可自行添加。</w:t>
      </w:r>
    </w:p>
    <w:p>
      <w:pPr>
        <w:spacing w:line="360" w:lineRule="auto"/>
        <w:rPr>
          <w:rFonts w:hint="eastAsia" w:ascii="仿宋" w:hAnsi="仿宋" w:eastAsia="仿宋" w:cs="仿宋"/>
          <w:b/>
          <w:bCs/>
          <w:color w:val="auto"/>
          <w:sz w:val="30"/>
          <w:szCs w:val="30"/>
          <w:highlight w:val="none"/>
        </w:rPr>
      </w:pPr>
    </w:p>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第六章、评标标准（综合评</w:t>
      </w:r>
      <w:r>
        <w:rPr>
          <w:rFonts w:hint="eastAsia" w:ascii="仿宋" w:hAnsi="仿宋" w:eastAsia="仿宋" w:cs="仿宋"/>
          <w:b/>
          <w:bCs/>
          <w:color w:val="auto"/>
          <w:sz w:val="30"/>
          <w:szCs w:val="30"/>
          <w:highlight w:val="none"/>
          <w:lang w:val="en-US" w:eastAsia="zh-CN"/>
        </w:rPr>
        <w:t>分</w:t>
      </w:r>
      <w:r>
        <w:rPr>
          <w:rFonts w:hint="eastAsia" w:ascii="仿宋" w:hAnsi="仿宋" w:eastAsia="仿宋" w:cs="仿宋"/>
          <w:b/>
          <w:bCs/>
          <w:color w:val="auto"/>
          <w:sz w:val="30"/>
          <w:szCs w:val="30"/>
          <w:highlight w:val="none"/>
        </w:rPr>
        <w:t>法）</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一、初审</w:t>
      </w:r>
    </w:p>
    <w:p>
      <w:pPr>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、资格性审查</w:t>
      </w:r>
    </w:p>
    <w:tbl>
      <w:tblPr>
        <w:tblStyle w:val="19"/>
        <w:tblW w:w="10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140"/>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140"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评审因素</w:t>
            </w:r>
          </w:p>
        </w:tc>
        <w:tc>
          <w:tcPr>
            <w:tcW w:w="3418"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6140"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供应商须符合《中华人民共和国政府采购法》第二十二条</w:t>
            </w:r>
          </w:p>
        </w:tc>
        <w:tc>
          <w:tcPr>
            <w:tcW w:w="3418"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符合谈判文件规定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6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在中华人民共和国境内注册，具有独立法人资格并依法取得营业执照且营业执照在有效期内，并具有相应的经营范围；</w:t>
            </w:r>
          </w:p>
        </w:tc>
        <w:tc>
          <w:tcPr>
            <w:tcW w:w="3418" w:type="dxa"/>
            <w:noWrap w:val="0"/>
            <w:vAlign w:val="center"/>
          </w:tcPr>
          <w:p>
            <w:pPr>
              <w:spacing w:line="240" w:lineRule="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符合本</w:t>
            </w:r>
            <w:r>
              <w:rPr>
                <w:rFonts w:hint="eastAsia" w:ascii="仿宋" w:hAnsi="仿宋" w:eastAsia="仿宋" w:cs="仿宋"/>
                <w:color w:val="auto"/>
                <w:sz w:val="21"/>
                <w:szCs w:val="21"/>
                <w:highlight w:val="none"/>
                <w:lang w:val="en-US" w:eastAsia="zh-CN"/>
              </w:rPr>
              <w:t>谈判文件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07" w:type="dxa"/>
            <w:noWrap w:val="0"/>
            <w:vAlign w:val="center"/>
          </w:tcPr>
          <w:p>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6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须具有计量认证证书及与证书相符的检测能力，需同时具有水质检测、噪声检测、废气及污泥检测的能力；</w:t>
            </w:r>
          </w:p>
        </w:tc>
        <w:tc>
          <w:tcPr>
            <w:tcW w:w="3418"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w:t>
            </w:r>
            <w:r>
              <w:rPr>
                <w:rFonts w:hint="eastAsia" w:ascii="仿宋" w:hAnsi="仿宋" w:eastAsia="仿宋" w:cs="仿宋"/>
                <w:color w:val="auto"/>
                <w:sz w:val="21"/>
                <w:szCs w:val="21"/>
                <w:highlight w:val="none"/>
                <w:lang w:val="en-US" w:eastAsia="zh-CN"/>
              </w:rPr>
              <w:t>谈判文件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707" w:type="dxa"/>
            <w:noWrap w:val="0"/>
            <w:vAlign w:val="center"/>
          </w:tcPr>
          <w:p>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6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拟派的项目负责人须具有环境或化工类中级</w:t>
            </w:r>
            <w:bookmarkStart w:id="155" w:name="_GoBack"/>
            <w:bookmarkEnd w:id="155"/>
            <w:r>
              <w:rPr>
                <w:rFonts w:hint="eastAsia" w:ascii="仿宋" w:hAnsi="仿宋" w:eastAsia="仿宋" w:cs="仿宋"/>
                <w:color w:val="auto"/>
                <w:sz w:val="21"/>
                <w:szCs w:val="21"/>
                <w:highlight w:val="none"/>
                <w:lang w:val="zh-CN"/>
              </w:rPr>
              <w:t>及以上职称证书；</w:t>
            </w:r>
          </w:p>
        </w:tc>
        <w:tc>
          <w:tcPr>
            <w:tcW w:w="3418" w:type="dxa"/>
            <w:noWrap w:val="0"/>
            <w:vAlign w:val="center"/>
          </w:tcPr>
          <w:p>
            <w:pPr>
              <w:spacing w:line="240" w:lineRule="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符合本</w:t>
            </w:r>
            <w:r>
              <w:rPr>
                <w:rFonts w:hint="eastAsia" w:ascii="仿宋" w:hAnsi="仿宋" w:eastAsia="仿宋" w:cs="仿宋"/>
                <w:color w:val="auto"/>
                <w:sz w:val="21"/>
                <w:szCs w:val="21"/>
                <w:highlight w:val="none"/>
                <w:lang w:val="en-US" w:eastAsia="zh-CN"/>
              </w:rPr>
              <w:t>谈判文件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707" w:type="dxa"/>
            <w:noWrap w:val="0"/>
            <w:vAlign w:val="center"/>
          </w:tcPr>
          <w:p>
            <w:pPr>
              <w:spacing w:line="24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6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供应商为中小企业/小微企业</w:t>
            </w:r>
          </w:p>
        </w:tc>
        <w:tc>
          <w:tcPr>
            <w:tcW w:w="3418" w:type="dxa"/>
            <w:noWrap w:val="0"/>
            <w:vAlign w:val="center"/>
          </w:tcPr>
          <w:p>
            <w:pPr>
              <w:spacing w:line="240" w:lineRule="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707" w:type="dxa"/>
            <w:noWrap w:val="0"/>
            <w:vAlign w:val="center"/>
          </w:tcPr>
          <w:p>
            <w:pPr>
              <w:spacing w:line="24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6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采购活动前三年内，在经营活动中没有重大违法记录(受行政主管部门的处罚不能参加投标)，及“信用中国”网站（www.creditchina.gov.cn）中国政府采购网（www.ccgp.gov.cn）无违法违规行为的查询纪录</w:t>
            </w:r>
          </w:p>
        </w:tc>
        <w:tc>
          <w:tcPr>
            <w:tcW w:w="3418"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w:t>
            </w:r>
            <w:r>
              <w:rPr>
                <w:rFonts w:hint="eastAsia" w:ascii="仿宋" w:hAnsi="仿宋" w:eastAsia="仿宋" w:cs="仿宋"/>
                <w:color w:val="auto"/>
                <w:sz w:val="21"/>
                <w:szCs w:val="21"/>
                <w:highlight w:val="none"/>
                <w:lang w:val="en-US" w:eastAsia="zh-CN"/>
              </w:rPr>
              <w:t>谈判文件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p>
        </w:tc>
        <w:tc>
          <w:tcPr>
            <w:tcW w:w="6140" w:type="dxa"/>
            <w:noWrap w:val="0"/>
            <w:vAlign w:val="center"/>
          </w:tcPr>
          <w:p>
            <w:pPr>
              <w:spacing w:line="240" w:lineRule="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联合体</w:t>
            </w:r>
          </w:p>
        </w:tc>
        <w:tc>
          <w:tcPr>
            <w:tcW w:w="3418" w:type="dxa"/>
            <w:noWrap w:val="0"/>
            <w:vAlign w:val="center"/>
          </w:tcPr>
          <w:p>
            <w:pPr>
              <w:spacing w:line="240" w:lineRule="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不接受联合体供应商</w:t>
            </w:r>
          </w:p>
        </w:tc>
      </w:tr>
    </w:tbl>
    <w:p>
      <w:pPr>
        <w:pStyle w:val="5"/>
        <w:keepNext/>
        <w:keepLines/>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2、符合性审查</w:t>
      </w:r>
    </w:p>
    <w:tbl>
      <w:tblPr>
        <w:tblStyle w:val="19"/>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53"/>
        <w:gridCol w:w="197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7" w:type="dxa"/>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3027" w:type="dxa"/>
            <w:gridSpan w:val="2"/>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评审因素</w:t>
            </w:r>
          </w:p>
        </w:tc>
        <w:tc>
          <w:tcPr>
            <w:tcW w:w="6514" w:type="dxa"/>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05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有效性审查</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响应文件</w:t>
            </w:r>
            <w:r>
              <w:rPr>
                <w:rFonts w:hint="eastAsia" w:ascii="仿宋" w:hAnsi="仿宋" w:eastAsia="仿宋" w:cs="仿宋"/>
                <w:color w:val="auto"/>
                <w:szCs w:val="21"/>
                <w:highlight w:val="none"/>
              </w:rPr>
              <w:t>签署</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响应文件</w:t>
            </w:r>
            <w:r>
              <w:rPr>
                <w:rFonts w:hint="eastAsia" w:ascii="仿宋" w:hAnsi="仿宋" w:eastAsia="仿宋" w:cs="仿宋"/>
                <w:color w:val="auto"/>
                <w:szCs w:val="21"/>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Cs w:val="21"/>
                <w:highlight w:val="none"/>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法定代表人身份证明及授权委托书</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rPr>
              <w:t>法定代表人身份证明及授权委托书有效，且符合竞争性</w:t>
            </w:r>
            <w:r>
              <w:rPr>
                <w:rFonts w:hint="eastAsia" w:ascii="仿宋" w:hAnsi="仿宋" w:eastAsia="仿宋" w:cs="仿宋"/>
                <w:color w:val="auto"/>
                <w:szCs w:val="21"/>
                <w:lang w:eastAsia="zh-CN"/>
              </w:rPr>
              <w:t>谈判</w:t>
            </w:r>
            <w:r>
              <w:rPr>
                <w:rFonts w:hint="eastAsia" w:ascii="仿宋" w:hAnsi="仿宋" w:eastAsia="仿宋" w:cs="仿宋"/>
                <w:color w:val="auto"/>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7"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05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完整性审查</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响应文件份数</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lang w:val="zh-CN"/>
              </w:rPr>
              <w:t>响应文件电子响应文件数量符合</w:t>
            </w:r>
            <w:r>
              <w:rPr>
                <w:rFonts w:hint="eastAsia" w:ascii="仿宋" w:hAnsi="仿宋" w:eastAsia="仿宋" w:cs="仿宋"/>
                <w:color w:val="auto"/>
                <w:kern w:val="0"/>
                <w:szCs w:val="21"/>
              </w:rPr>
              <w:t>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w:t>
            </w:r>
            <w:r>
              <w:rPr>
                <w:rFonts w:hint="eastAsia" w:ascii="仿宋" w:hAnsi="仿宋" w:eastAsia="仿宋" w:cs="仿宋"/>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Cs w:val="21"/>
                <w:highlight w:val="none"/>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响应文件内容</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7"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05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Cs w:val="21"/>
                <w:highlight w:val="none"/>
                <w:lang w:val="zh-CN"/>
              </w:rPr>
            </w:pPr>
            <w:r>
              <w:rPr>
                <w:rFonts w:hint="eastAsia" w:ascii="仿宋" w:hAnsi="仿宋" w:eastAsia="仿宋" w:cs="仿宋"/>
                <w:color w:val="auto"/>
                <w:kern w:val="0"/>
                <w:szCs w:val="21"/>
              </w:rPr>
              <w:t>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文件的响应程度审查</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响应文件</w:t>
            </w:r>
            <w:r>
              <w:rPr>
                <w:rFonts w:hint="eastAsia" w:ascii="仿宋" w:hAnsi="仿宋" w:eastAsia="仿宋" w:cs="仿宋"/>
                <w:color w:val="auto"/>
                <w:kern w:val="0"/>
                <w:szCs w:val="21"/>
                <w:highlight w:val="none"/>
              </w:rPr>
              <w:t>内容</w:t>
            </w:r>
          </w:p>
        </w:tc>
        <w:tc>
          <w:tcPr>
            <w:tcW w:w="6514" w:type="dxa"/>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rPr>
              <w:t>对竞争性</w:t>
            </w:r>
            <w:r>
              <w:rPr>
                <w:rFonts w:hint="eastAsia" w:ascii="仿宋" w:hAnsi="仿宋" w:eastAsia="仿宋" w:cs="仿宋"/>
                <w:color w:val="auto"/>
                <w:kern w:val="0"/>
                <w:sz w:val="21"/>
                <w:szCs w:val="21"/>
                <w:lang w:eastAsia="zh-CN"/>
              </w:rPr>
              <w:t>谈判</w:t>
            </w:r>
            <w:r>
              <w:rPr>
                <w:rFonts w:hint="eastAsia" w:ascii="仿宋" w:hAnsi="仿宋" w:eastAsia="仿宋" w:cs="仿宋"/>
                <w:color w:val="auto"/>
                <w:kern w:val="0"/>
                <w:sz w:val="21"/>
                <w:szCs w:val="21"/>
              </w:rPr>
              <w:t>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spacing w:line="500" w:lineRule="exact"/>
              <w:rPr>
                <w:rFonts w:hint="eastAsia" w:ascii="仿宋" w:hAnsi="仿宋" w:eastAsia="仿宋" w:cs="仿宋"/>
                <w:color w:val="auto"/>
                <w:kern w:val="0"/>
                <w:szCs w:val="21"/>
                <w:highlight w:val="none"/>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质量技术</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rPr>
              <w:t>满足竞争性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spacing w:line="500" w:lineRule="exact"/>
              <w:rPr>
                <w:rFonts w:hint="eastAsia" w:ascii="仿宋" w:hAnsi="仿宋" w:eastAsia="仿宋" w:cs="仿宋"/>
                <w:color w:val="auto"/>
                <w:kern w:val="0"/>
                <w:szCs w:val="21"/>
                <w:highlight w:val="none"/>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完成期限</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rPr>
              <w:t>满足竞争性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spacing w:line="500" w:lineRule="exact"/>
              <w:rPr>
                <w:rFonts w:hint="eastAsia" w:ascii="仿宋" w:hAnsi="仿宋" w:eastAsia="仿宋" w:cs="仿宋"/>
                <w:color w:val="auto"/>
                <w:kern w:val="0"/>
                <w:szCs w:val="21"/>
                <w:highlight w:val="none"/>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rPr>
              <w:t>满足竞争性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7"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vAlign w:val="center"/>
          </w:tcPr>
          <w:p>
            <w:pPr>
              <w:spacing w:line="500" w:lineRule="exact"/>
              <w:rPr>
                <w:rFonts w:hint="eastAsia" w:ascii="仿宋" w:hAnsi="仿宋" w:eastAsia="仿宋" w:cs="仿宋"/>
                <w:color w:val="auto"/>
                <w:szCs w:val="21"/>
                <w:highlight w:val="none"/>
                <w:lang w:val="zh-CN"/>
              </w:rPr>
            </w:pP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响应文件</w:t>
            </w:r>
            <w:r>
              <w:rPr>
                <w:rFonts w:hint="eastAsia" w:ascii="仿宋" w:hAnsi="仿宋" w:eastAsia="仿宋" w:cs="仿宋"/>
                <w:color w:val="auto"/>
                <w:kern w:val="0"/>
                <w:szCs w:val="21"/>
                <w:highlight w:val="none"/>
              </w:rPr>
              <w:t>有效期</w:t>
            </w:r>
          </w:p>
        </w:tc>
        <w:tc>
          <w:tcPr>
            <w:tcW w:w="651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rPr>
              <w:t>满足竞争性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7" w:type="dxa"/>
            <w:vMerge w:val="continue"/>
            <w:tcBorders>
              <w:bottom w:val="single" w:color="auto" w:sz="4" w:space="0"/>
            </w:tcBorders>
            <w:vAlign w:val="center"/>
          </w:tcPr>
          <w:p>
            <w:pPr>
              <w:spacing w:line="500" w:lineRule="exact"/>
              <w:jc w:val="center"/>
              <w:rPr>
                <w:rFonts w:hint="eastAsia" w:ascii="仿宋" w:hAnsi="仿宋" w:eastAsia="仿宋" w:cs="仿宋"/>
                <w:color w:val="auto"/>
                <w:kern w:val="0"/>
                <w:szCs w:val="21"/>
                <w:highlight w:val="none"/>
              </w:rPr>
            </w:pPr>
          </w:p>
        </w:tc>
        <w:tc>
          <w:tcPr>
            <w:tcW w:w="1053" w:type="dxa"/>
            <w:vMerge w:val="continue"/>
            <w:tcBorders>
              <w:bottom w:val="single" w:color="auto" w:sz="4" w:space="0"/>
            </w:tcBorders>
            <w:vAlign w:val="center"/>
          </w:tcPr>
          <w:p>
            <w:pPr>
              <w:spacing w:line="500" w:lineRule="exact"/>
              <w:rPr>
                <w:rFonts w:hint="eastAsia" w:ascii="仿宋" w:hAnsi="仿宋" w:eastAsia="仿宋" w:cs="仿宋"/>
                <w:color w:val="auto"/>
                <w:szCs w:val="21"/>
                <w:highlight w:val="none"/>
                <w:lang w:val="zh-CN"/>
              </w:rPr>
            </w:pPr>
          </w:p>
        </w:tc>
        <w:tc>
          <w:tcPr>
            <w:tcW w:w="1974" w:type="dxa"/>
            <w:tcBorders>
              <w:bottom w:val="single" w:color="auto" w:sz="4" w:space="0"/>
            </w:tcBorders>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w:t>
            </w:r>
          </w:p>
        </w:tc>
        <w:tc>
          <w:tcPr>
            <w:tcW w:w="6514" w:type="dxa"/>
            <w:tcBorders>
              <w:bottom w:val="single" w:color="auto" w:sz="4" w:space="0"/>
            </w:tcBorders>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rPr>
              <w:t>满足竞争性</w:t>
            </w:r>
            <w:r>
              <w:rPr>
                <w:rFonts w:hint="eastAsia" w:ascii="仿宋" w:hAnsi="仿宋" w:eastAsia="仿宋" w:cs="仿宋"/>
                <w:color w:val="auto"/>
                <w:kern w:val="0"/>
                <w:szCs w:val="21"/>
                <w:lang w:eastAsia="zh-CN"/>
              </w:rPr>
              <w:t>谈判</w:t>
            </w:r>
            <w:r>
              <w:rPr>
                <w:rFonts w:hint="eastAsia" w:ascii="仿宋" w:hAnsi="仿宋" w:eastAsia="仿宋" w:cs="仿宋"/>
                <w:color w:val="auto"/>
                <w:kern w:val="0"/>
                <w:szCs w:val="21"/>
              </w:rPr>
              <w:t>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bl>
    <w:p>
      <w:pPr>
        <w:rPr>
          <w:rFonts w:hint="eastAsia" w:ascii="仿宋" w:hAnsi="仿宋" w:eastAsia="仿宋" w:cs="仿宋"/>
          <w:b/>
          <w:color w:val="auto"/>
          <w:sz w:val="21"/>
          <w:szCs w:val="21"/>
          <w:highlight w:val="none"/>
        </w:rPr>
        <w:sectPr>
          <w:footerReference r:id="rId7" w:type="default"/>
          <w:pgSz w:w="11906" w:h="16838"/>
          <w:pgMar w:top="1440" w:right="1083" w:bottom="1440" w:left="1083" w:header="851" w:footer="992" w:gutter="0"/>
          <w:pgNumType w:fmt="numberInDash"/>
          <w:cols w:space="0" w:num="1"/>
          <w:rtlGutter w:val="0"/>
          <w:docGrid w:type="lines" w:linePitch="314" w:charSpace="0"/>
        </w:sectPr>
      </w:pPr>
      <w:r>
        <w:rPr>
          <w:rFonts w:hint="eastAsia" w:ascii="仿宋" w:hAnsi="仿宋" w:eastAsia="仿宋" w:cs="仿宋"/>
          <w:b/>
          <w:color w:val="auto"/>
          <w:sz w:val="21"/>
          <w:szCs w:val="21"/>
          <w:highlight w:val="none"/>
        </w:rPr>
        <w:t>注：以上评审内容，有一项不通过者，视为供应商初步评审不通过，未通过初审的其</w:t>
      </w:r>
      <w:r>
        <w:rPr>
          <w:rFonts w:hint="eastAsia" w:ascii="仿宋" w:hAnsi="仿宋" w:eastAsia="仿宋" w:cs="仿宋"/>
          <w:b/>
          <w:color w:val="auto"/>
          <w:sz w:val="21"/>
          <w:szCs w:val="21"/>
          <w:highlight w:val="none"/>
          <w:lang w:eastAsia="zh-CN"/>
        </w:rPr>
        <w:t>响应文件</w:t>
      </w:r>
      <w:r>
        <w:rPr>
          <w:rFonts w:hint="eastAsia" w:ascii="仿宋" w:hAnsi="仿宋" w:eastAsia="仿宋" w:cs="仿宋"/>
          <w:b/>
          <w:color w:val="auto"/>
          <w:sz w:val="21"/>
          <w:szCs w:val="21"/>
          <w:highlight w:val="none"/>
        </w:rPr>
        <w:t>将按照无效</w:t>
      </w:r>
      <w:r>
        <w:rPr>
          <w:rFonts w:hint="eastAsia" w:ascii="仿宋" w:hAnsi="仿宋" w:eastAsia="仿宋" w:cs="仿宋"/>
          <w:b/>
          <w:color w:val="auto"/>
          <w:sz w:val="21"/>
          <w:szCs w:val="21"/>
          <w:highlight w:val="none"/>
          <w:lang w:eastAsia="zh-CN"/>
        </w:rPr>
        <w:t>投标</w:t>
      </w:r>
      <w:r>
        <w:rPr>
          <w:rFonts w:hint="eastAsia" w:ascii="仿宋" w:hAnsi="仿宋" w:eastAsia="仿宋" w:cs="仿宋"/>
          <w:b/>
          <w:color w:val="auto"/>
          <w:sz w:val="21"/>
          <w:szCs w:val="21"/>
          <w:highlight w:val="none"/>
        </w:rPr>
        <w:t>处理。</w:t>
      </w:r>
    </w:p>
    <w:p>
      <w:pPr>
        <w:spacing w:line="24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关于中小企业： </w:t>
      </w:r>
    </w:p>
    <w:p>
      <w:pPr>
        <w:spacing w:line="24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在政府采购活动中，供应商提供的货物、工程或者服务符合下列情形的，享受本办法(《财政部工业和信息化部关于印发&lt;政府采购促进中小企业发展管理办法&gt;的通知》（财库〔2020〕46号）)规定的中小企业扶持政策： </w:t>
      </w:r>
    </w:p>
    <w:p>
      <w:pPr>
        <w:numPr>
          <w:ilvl w:val="0"/>
          <w:numId w:val="0"/>
        </w:numPr>
        <w:spacing w:line="24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（一）</w:t>
      </w:r>
      <w:r>
        <w:rPr>
          <w:rFonts w:hint="eastAsia" w:ascii="仿宋" w:hAnsi="仿宋" w:eastAsia="仿宋" w:cs="仿宋"/>
          <w:b/>
          <w:color w:val="auto"/>
          <w:sz w:val="24"/>
          <w:szCs w:val="24"/>
          <w:highlight w:val="none"/>
        </w:rPr>
        <w:t xml:space="preserve">在货物采购项目中，货物由中小企业制造，即货物由中小企业生产且使用该中小企业商号或者注册商标； </w:t>
      </w:r>
    </w:p>
    <w:p>
      <w:pPr>
        <w:numPr>
          <w:ilvl w:val="0"/>
          <w:numId w:val="0"/>
        </w:numPr>
        <w:spacing w:line="240" w:lineRule="auto"/>
        <w:ind w:leftChars="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在工程采购项目中，工程由中小企业承建，即工程施工单位为中小企业； </w:t>
      </w:r>
    </w:p>
    <w:p>
      <w:pPr>
        <w:numPr>
          <w:ilvl w:val="0"/>
          <w:numId w:val="0"/>
        </w:numPr>
        <w:spacing w:line="240" w:lineRule="auto"/>
        <w:ind w:leftChars="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在服务采购项目中，服务由中小企业承接，即提供服务的人员为中小企业依照《中华人民共和国劳动合同法》订立劳动合同的从业人员。</w:t>
      </w:r>
    </w:p>
    <w:p>
      <w:pPr>
        <w:numPr>
          <w:ilvl w:val="0"/>
          <w:numId w:val="0"/>
        </w:numPr>
        <w:spacing w:line="240" w:lineRule="auto"/>
        <w:ind w:leftChars="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在货物采购项目中，供应商提供的货物既有中小企业制造货物，也有大型企业制造货物的， 不享受本办法规定的中小企业扶持政策。</w:t>
      </w:r>
    </w:p>
    <w:p>
      <w:pPr>
        <w:numPr>
          <w:ilvl w:val="0"/>
          <w:numId w:val="0"/>
        </w:numPr>
        <w:spacing w:line="240" w:lineRule="auto"/>
        <w:ind w:leftChars="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联合体形式参加政府采购活动，联合体各方均为中小企业的，联合体视同中小企业。其中，联合体各方均为小微企业的，联合体视同小微企业。中小企业划型标准详见《工业和信息化部、国家统计局、国家发展和改革委员会、财政部 关于印发中小企业划型标准规定的通知》（工信部联企业〔2011〕300 号）。</w:t>
      </w:r>
    </w:p>
    <w:p>
      <w:pPr>
        <w:pStyle w:val="6"/>
        <w:rPr>
          <w:rFonts w:hint="eastAsia"/>
          <w:color w:val="auto"/>
          <w:sz w:val="24"/>
          <w:szCs w:val="24"/>
          <w:lang w:val="zh-CN" w:eastAsia="zh-CN"/>
        </w:rPr>
      </w:pPr>
    </w:p>
    <w:p>
      <w:pPr>
        <w:pStyle w:val="6"/>
        <w:rPr>
          <w:rFonts w:hint="eastAsia" w:ascii="仿宋" w:hAnsi="仿宋" w:eastAsia="仿宋" w:cs="仿宋"/>
          <w:color w:val="auto"/>
          <w:highlight w:val="none"/>
        </w:rPr>
      </w:pPr>
    </w:p>
    <w:sectPr>
      <w:headerReference r:id="rId8" w:type="default"/>
      <w:footerReference r:id="rId9"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WF+skBAACa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VYX6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5x18c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XGW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nHXx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JX8sk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FeUOG5x4pfv3y4/fl1+fiXL&#10;l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Ilfy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078A3"/>
    <w:multiLevelType w:val="singleLevel"/>
    <w:tmpl w:val="912078A3"/>
    <w:lvl w:ilvl="0" w:tentative="0">
      <w:start w:val="4"/>
      <w:numFmt w:val="chineseCounting"/>
      <w:suff w:val="nothing"/>
      <w:lvlText w:val="%1、"/>
      <w:lvlJc w:val="left"/>
      <w:rPr>
        <w:rFonts w:hint="eastAsia"/>
      </w:rPr>
    </w:lvl>
  </w:abstractNum>
  <w:abstractNum w:abstractNumId="1">
    <w:nsid w:val="937FFC84"/>
    <w:multiLevelType w:val="singleLevel"/>
    <w:tmpl w:val="937FFC84"/>
    <w:lvl w:ilvl="0" w:tentative="0">
      <w:start w:val="1"/>
      <w:numFmt w:val="chineseCounting"/>
      <w:suff w:val="nothing"/>
      <w:lvlText w:val="第%1章、"/>
      <w:lvlJc w:val="left"/>
      <w:rPr>
        <w:rFonts w:hint="eastAsia"/>
      </w:rPr>
    </w:lvl>
  </w:abstractNum>
  <w:abstractNum w:abstractNumId="2">
    <w:nsid w:val="BBB82AD8"/>
    <w:multiLevelType w:val="singleLevel"/>
    <w:tmpl w:val="BBB82AD8"/>
    <w:lvl w:ilvl="0" w:tentative="0">
      <w:start w:val="1"/>
      <w:numFmt w:val="decimal"/>
      <w:suff w:val="nothing"/>
      <w:lvlText w:val="%1、"/>
      <w:lvlJc w:val="left"/>
      <w:pPr>
        <w:ind w:left="150"/>
      </w:pPr>
    </w:lvl>
  </w:abstractNum>
  <w:abstractNum w:abstractNumId="3">
    <w:nsid w:val="D775F30B"/>
    <w:multiLevelType w:val="singleLevel"/>
    <w:tmpl w:val="D775F30B"/>
    <w:lvl w:ilvl="0" w:tentative="0">
      <w:start w:val="2"/>
      <w:numFmt w:val="chineseCounting"/>
      <w:suff w:val="nothing"/>
      <w:lvlText w:val="%1、"/>
      <w:lvlJc w:val="left"/>
      <w:rPr>
        <w:rFonts w:hint="eastAsia"/>
      </w:rPr>
    </w:lvl>
  </w:abstractNum>
  <w:abstractNum w:abstractNumId="4">
    <w:nsid w:val="0C543391"/>
    <w:multiLevelType w:val="singleLevel"/>
    <w:tmpl w:val="0C543391"/>
    <w:lvl w:ilvl="0" w:tentative="0">
      <w:start w:val="1"/>
      <w:numFmt w:val="decimal"/>
      <w:suff w:val="space"/>
      <w:lvlText w:val="%1."/>
      <w:lvlJc w:val="left"/>
    </w:lvl>
  </w:abstractNum>
  <w:abstractNum w:abstractNumId="5">
    <w:nsid w:val="1801958B"/>
    <w:multiLevelType w:val="singleLevel"/>
    <w:tmpl w:val="1801958B"/>
    <w:lvl w:ilvl="0" w:tentative="0">
      <w:start w:val="8"/>
      <w:numFmt w:val="decimal"/>
      <w:suff w:val="nothing"/>
      <w:lvlText w:val="%1、"/>
      <w:lvlJc w:val="left"/>
    </w:lvl>
  </w:abstractNum>
  <w:abstractNum w:abstractNumId="6">
    <w:nsid w:val="183C604A"/>
    <w:multiLevelType w:val="singleLevel"/>
    <w:tmpl w:val="183C604A"/>
    <w:lvl w:ilvl="0" w:tentative="0">
      <w:start w:val="1"/>
      <w:numFmt w:val="japaneseCounting"/>
      <w:pStyle w:val="37"/>
      <w:lvlText w:val="%1、"/>
      <w:lvlJc w:val="left"/>
      <w:pPr>
        <w:tabs>
          <w:tab w:val="left" w:pos="960"/>
        </w:tabs>
        <w:ind w:left="960" w:hanging="480"/>
      </w:pPr>
      <w:rPr>
        <w:rFonts w:hint="eastAsia"/>
        <w:b/>
      </w:rPr>
    </w:lvl>
  </w:abstractNum>
  <w:abstractNum w:abstractNumId="7">
    <w:nsid w:val="28F3D0F5"/>
    <w:multiLevelType w:val="singleLevel"/>
    <w:tmpl w:val="28F3D0F5"/>
    <w:lvl w:ilvl="0" w:tentative="0">
      <w:start w:val="4"/>
      <w:numFmt w:val="chineseCounting"/>
      <w:suff w:val="nothing"/>
      <w:lvlText w:val="第%1章、"/>
      <w:lvlJc w:val="left"/>
      <w:rPr>
        <w:rFonts w:hint="eastAsia"/>
      </w:rPr>
    </w:lvl>
  </w:abstractNum>
  <w:abstractNum w:abstractNumId="8">
    <w:nsid w:val="2C20E420"/>
    <w:multiLevelType w:val="singleLevel"/>
    <w:tmpl w:val="2C20E420"/>
    <w:lvl w:ilvl="0" w:tentative="0">
      <w:start w:val="3"/>
      <w:numFmt w:val="decimal"/>
      <w:lvlText w:val="%1."/>
      <w:lvlJc w:val="left"/>
      <w:pPr>
        <w:tabs>
          <w:tab w:val="left" w:pos="312"/>
        </w:tabs>
      </w:pPr>
    </w:lvl>
  </w:abstractNum>
  <w:abstractNum w:abstractNumId="9">
    <w:nsid w:val="3287E947"/>
    <w:multiLevelType w:val="singleLevel"/>
    <w:tmpl w:val="3287E947"/>
    <w:lvl w:ilvl="0" w:tentative="0">
      <w:start w:val="3"/>
      <w:numFmt w:val="chineseCounting"/>
      <w:suff w:val="nothing"/>
      <w:lvlText w:val="%1、"/>
      <w:lvlJc w:val="left"/>
      <w:rPr>
        <w:rFonts w:hint="eastAsia"/>
      </w:rPr>
    </w:lvl>
  </w:abstractNum>
  <w:abstractNum w:abstractNumId="10">
    <w:nsid w:val="53E33577"/>
    <w:multiLevelType w:val="singleLevel"/>
    <w:tmpl w:val="53E33577"/>
    <w:lvl w:ilvl="0" w:tentative="0">
      <w:start w:val="1"/>
      <w:numFmt w:val="decimal"/>
      <w:suff w:val="nothing"/>
      <w:lvlText w:val="%1、"/>
      <w:lvlJc w:val="left"/>
    </w:lvl>
  </w:abstractNum>
  <w:abstractNum w:abstractNumId="11">
    <w:nsid w:val="591526C9"/>
    <w:multiLevelType w:val="singleLevel"/>
    <w:tmpl w:val="591526C9"/>
    <w:lvl w:ilvl="0" w:tentative="0">
      <w:start w:val="1"/>
      <w:numFmt w:val="decimal"/>
      <w:suff w:val="nothing"/>
      <w:lvlText w:val="（%1）"/>
      <w:lvlJc w:val="left"/>
      <w:pPr>
        <w:ind w:left="0" w:firstLine="420"/>
      </w:pPr>
      <w:rPr>
        <w:rFonts w:hint="default"/>
      </w:rPr>
    </w:lvl>
  </w:abstractNum>
  <w:abstractNum w:abstractNumId="12">
    <w:nsid w:val="692941D2"/>
    <w:multiLevelType w:val="singleLevel"/>
    <w:tmpl w:val="692941D2"/>
    <w:lvl w:ilvl="0" w:tentative="0">
      <w:start w:val="1"/>
      <w:numFmt w:val="decimal"/>
      <w:suff w:val="nothing"/>
      <w:lvlText w:val="%1、"/>
      <w:lvlJc w:val="left"/>
    </w:lvl>
  </w:abstractNum>
  <w:num w:numId="1">
    <w:abstractNumId w:val="6"/>
  </w:num>
  <w:num w:numId="2">
    <w:abstractNumId w:val="1"/>
  </w:num>
  <w:num w:numId="3">
    <w:abstractNumId w:val="3"/>
  </w:num>
  <w:num w:numId="4">
    <w:abstractNumId w:val="0"/>
  </w:num>
  <w:num w:numId="5">
    <w:abstractNumId w:val="8"/>
  </w:num>
  <w:num w:numId="6">
    <w:abstractNumId w:val="9"/>
  </w:num>
  <w:num w:numId="7">
    <w:abstractNumId w:val="11"/>
  </w:num>
  <w:num w:numId="8">
    <w:abstractNumId w:val="12"/>
  </w:num>
  <w:num w:numId="9">
    <w:abstractNumId w:val="7"/>
  </w:num>
  <w:num w:numId="10">
    <w:abstractNumId w:val="10"/>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RiMGI3ZjQ5YTJjYzY5M2I4ODMyNTE4NzdhYWUifQ=="/>
  </w:docVars>
  <w:rsids>
    <w:rsidRoot w:val="50004A95"/>
    <w:rsid w:val="000326EB"/>
    <w:rsid w:val="00044DD5"/>
    <w:rsid w:val="0004637B"/>
    <w:rsid w:val="000C1451"/>
    <w:rsid w:val="00145F98"/>
    <w:rsid w:val="0019566A"/>
    <w:rsid w:val="00202FA0"/>
    <w:rsid w:val="0020615F"/>
    <w:rsid w:val="002B66EF"/>
    <w:rsid w:val="002C6FCE"/>
    <w:rsid w:val="00381ACB"/>
    <w:rsid w:val="003913B3"/>
    <w:rsid w:val="004543AC"/>
    <w:rsid w:val="00472BA6"/>
    <w:rsid w:val="004C4556"/>
    <w:rsid w:val="007276F2"/>
    <w:rsid w:val="008214B2"/>
    <w:rsid w:val="008A75C7"/>
    <w:rsid w:val="008D4526"/>
    <w:rsid w:val="009364C7"/>
    <w:rsid w:val="0099201E"/>
    <w:rsid w:val="009B3ACF"/>
    <w:rsid w:val="00A3305D"/>
    <w:rsid w:val="00B068A1"/>
    <w:rsid w:val="00B174BB"/>
    <w:rsid w:val="00B4267B"/>
    <w:rsid w:val="00BD1062"/>
    <w:rsid w:val="00C6593F"/>
    <w:rsid w:val="00C82A1E"/>
    <w:rsid w:val="00CD1E3B"/>
    <w:rsid w:val="00CD7C0E"/>
    <w:rsid w:val="00D24806"/>
    <w:rsid w:val="00D4613E"/>
    <w:rsid w:val="00DE3FBC"/>
    <w:rsid w:val="00DF2520"/>
    <w:rsid w:val="00E30219"/>
    <w:rsid w:val="00F735C3"/>
    <w:rsid w:val="00FC2C02"/>
    <w:rsid w:val="00FD01EA"/>
    <w:rsid w:val="010704F4"/>
    <w:rsid w:val="011E260D"/>
    <w:rsid w:val="011E7592"/>
    <w:rsid w:val="01366D71"/>
    <w:rsid w:val="01463B4E"/>
    <w:rsid w:val="01480530"/>
    <w:rsid w:val="014E595C"/>
    <w:rsid w:val="01571C2A"/>
    <w:rsid w:val="01594349"/>
    <w:rsid w:val="016D484A"/>
    <w:rsid w:val="01743C05"/>
    <w:rsid w:val="01837790"/>
    <w:rsid w:val="018E78D6"/>
    <w:rsid w:val="01947EDD"/>
    <w:rsid w:val="019E7CAE"/>
    <w:rsid w:val="01D15279"/>
    <w:rsid w:val="01DA3851"/>
    <w:rsid w:val="01DF7FBF"/>
    <w:rsid w:val="01EA6D9C"/>
    <w:rsid w:val="01F757DA"/>
    <w:rsid w:val="01FE6394"/>
    <w:rsid w:val="02025C15"/>
    <w:rsid w:val="020533DA"/>
    <w:rsid w:val="02073EE0"/>
    <w:rsid w:val="020F6F98"/>
    <w:rsid w:val="02131738"/>
    <w:rsid w:val="021A142D"/>
    <w:rsid w:val="022015EB"/>
    <w:rsid w:val="02215FDE"/>
    <w:rsid w:val="02254726"/>
    <w:rsid w:val="023379D3"/>
    <w:rsid w:val="023E5477"/>
    <w:rsid w:val="02467A5F"/>
    <w:rsid w:val="0248531A"/>
    <w:rsid w:val="024A5721"/>
    <w:rsid w:val="024C2043"/>
    <w:rsid w:val="025026DA"/>
    <w:rsid w:val="025C4B56"/>
    <w:rsid w:val="026F19EA"/>
    <w:rsid w:val="02705CCA"/>
    <w:rsid w:val="0273150F"/>
    <w:rsid w:val="0296303F"/>
    <w:rsid w:val="02972CC3"/>
    <w:rsid w:val="029B419A"/>
    <w:rsid w:val="029D09FE"/>
    <w:rsid w:val="02A953FB"/>
    <w:rsid w:val="02AD62A7"/>
    <w:rsid w:val="02B17140"/>
    <w:rsid w:val="02B46D8D"/>
    <w:rsid w:val="02D42EBE"/>
    <w:rsid w:val="02DB6483"/>
    <w:rsid w:val="02E46A30"/>
    <w:rsid w:val="02FA37F6"/>
    <w:rsid w:val="02FF1BA6"/>
    <w:rsid w:val="03125D1A"/>
    <w:rsid w:val="03202D4E"/>
    <w:rsid w:val="0324414F"/>
    <w:rsid w:val="03306BD1"/>
    <w:rsid w:val="033345D4"/>
    <w:rsid w:val="0342435F"/>
    <w:rsid w:val="03487F26"/>
    <w:rsid w:val="034C7867"/>
    <w:rsid w:val="034F16AD"/>
    <w:rsid w:val="03577520"/>
    <w:rsid w:val="035B3C5B"/>
    <w:rsid w:val="035C4450"/>
    <w:rsid w:val="0363786B"/>
    <w:rsid w:val="03715449"/>
    <w:rsid w:val="0374734A"/>
    <w:rsid w:val="03796B08"/>
    <w:rsid w:val="037D4B14"/>
    <w:rsid w:val="037F3802"/>
    <w:rsid w:val="03911CEB"/>
    <w:rsid w:val="039B58CD"/>
    <w:rsid w:val="03A86FE5"/>
    <w:rsid w:val="03AB14DF"/>
    <w:rsid w:val="03C93517"/>
    <w:rsid w:val="03CF244B"/>
    <w:rsid w:val="03D24025"/>
    <w:rsid w:val="03D47C0C"/>
    <w:rsid w:val="03E10DFD"/>
    <w:rsid w:val="03F624A2"/>
    <w:rsid w:val="04113DB2"/>
    <w:rsid w:val="0428512F"/>
    <w:rsid w:val="042B5900"/>
    <w:rsid w:val="04345468"/>
    <w:rsid w:val="043641EE"/>
    <w:rsid w:val="043C5E4E"/>
    <w:rsid w:val="044400C3"/>
    <w:rsid w:val="0444114C"/>
    <w:rsid w:val="044F1106"/>
    <w:rsid w:val="04573DDB"/>
    <w:rsid w:val="04675B95"/>
    <w:rsid w:val="047168CE"/>
    <w:rsid w:val="047934EF"/>
    <w:rsid w:val="0499065C"/>
    <w:rsid w:val="04AD62B3"/>
    <w:rsid w:val="04B2078A"/>
    <w:rsid w:val="04B24ECF"/>
    <w:rsid w:val="04D270A7"/>
    <w:rsid w:val="04E233F3"/>
    <w:rsid w:val="04ED03BC"/>
    <w:rsid w:val="05136066"/>
    <w:rsid w:val="05140EB1"/>
    <w:rsid w:val="052355BD"/>
    <w:rsid w:val="052B5239"/>
    <w:rsid w:val="05372F35"/>
    <w:rsid w:val="0539586B"/>
    <w:rsid w:val="053A2376"/>
    <w:rsid w:val="054927BA"/>
    <w:rsid w:val="055503F5"/>
    <w:rsid w:val="055F4D8F"/>
    <w:rsid w:val="05615144"/>
    <w:rsid w:val="0567110B"/>
    <w:rsid w:val="056754D2"/>
    <w:rsid w:val="05694D1B"/>
    <w:rsid w:val="056D3C15"/>
    <w:rsid w:val="05722181"/>
    <w:rsid w:val="05842425"/>
    <w:rsid w:val="058916B8"/>
    <w:rsid w:val="058E05E6"/>
    <w:rsid w:val="05954FA3"/>
    <w:rsid w:val="05A81488"/>
    <w:rsid w:val="05A8388B"/>
    <w:rsid w:val="05A857EB"/>
    <w:rsid w:val="05B0386F"/>
    <w:rsid w:val="05C40521"/>
    <w:rsid w:val="05C63BC0"/>
    <w:rsid w:val="05D62E8D"/>
    <w:rsid w:val="05E1620A"/>
    <w:rsid w:val="05F32219"/>
    <w:rsid w:val="05F81255"/>
    <w:rsid w:val="05FD21BA"/>
    <w:rsid w:val="060338AA"/>
    <w:rsid w:val="06055D29"/>
    <w:rsid w:val="060572BB"/>
    <w:rsid w:val="060B1C93"/>
    <w:rsid w:val="06114D70"/>
    <w:rsid w:val="06165A35"/>
    <w:rsid w:val="0621399A"/>
    <w:rsid w:val="063C2227"/>
    <w:rsid w:val="063C3093"/>
    <w:rsid w:val="063F384F"/>
    <w:rsid w:val="06464B1D"/>
    <w:rsid w:val="064F790C"/>
    <w:rsid w:val="06620544"/>
    <w:rsid w:val="06640DE3"/>
    <w:rsid w:val="0675449C"/>
    <w:rsid w:val="06773CD6"/>
    <w:rsid w:val="068B2214"/>
    <w:rsid w:val="06BB746F"/>
    <w:rsid w:val="06BF3675"/>
    <w:rsid w:val="06C6119F"/>
    <w:rsid w:val="06D07D5A"/>
    <w:rsid w:val="06D91289"/>
    <w:rsid w:val="06DA1A9B"/>
    <w:rsid w:val="06DE1E85"/>
    <w:rsid w:val="06E60F80"/>
    <w:rsid w:val="06E650DE"/>
    <w:rsid w:val="06E810FC"/>
    <w:rsid w:val="06EE4C18"/>
    <w:rsid w:val="06F357D1"/>
    <w:rsid w:val="06F9233E"/>
    <w:rsid w:val="06FA3997"/>
    <w:rsid w:val="06FA41C0"/>
    <w:rsid w:val="07002692"/>
    <w:rsid w:val="0704190E"/>
    <w:rsid w:val="073379EF"/>
    <w:rsid w:val="07475F02"/>
    <w:rsid w:val="074E57A7"/>
    <w:rsid w:val="075E7BE2"/>
    <w:rsid w:val="077735E7"/>
    <w:rsid w:val="078119DB"/>
    <w:rsid w:val="07864F73"/>
    <w:rsid w:val="078652A6"/>
    <w:rsid w:val="078C01E4"/>
    <w:rsid w:val="0791492A"/>
    <w:rsid w:val="07945321"/>
    <w:rsid w:val="079575A1"/>
    <w:rsid w:val="07993E2C"/>
    <w:rsid w:val="07997108"/>
    <w:rsid w:val="079B59C4"/>
    <w:rsid w:val="07B22191"/>
    <w:rsid w:val="07B3454C"/>
    <w:rsid w:val="07BE3EE0"/>
    <w:rsid w:val="07CA18BF"/>
    <w:rsid w:val="07CB5F82"/>
    <w:rsid w:val="07CE52E1"/>
    <w:rsid w:val="07D41D6C"/>
    <w:rsid w:val="07DF436F"/>
    <w:rsid w:val="07EE2807"/>
    <w:rsid w:val="07F007CE"/>
    <w:rsid w:val="07F14174"/>
    <w:rsid w:val="07FD6C65"/>
    <w:rsid w:val="080462C5"/>
    <w:rsid w:val="0812475C"/>
    <w:rsid w:val="081456CF"/>
    <w:rsid w:val="081E38B6"/>
    <w:rsid w:val="08263EFD"/>
    <w:rsid w:val="082C19AD"/>
    <w:rsid w:val="08386501"/>
    <w:rsid w:val="083B104E"/>
    <w:rsid w:val="084B4067"/>
    <w:rsid w:val="085612E9"/>
    <w:rsid w:val="08933571"/>
    <w:rsid w:val="089F49D3"/>
    <w:rsid w:val="08BE1F7C"/>
    <w:rsid w:val="08CC47DB"/>
    <w:rsid w:val="08CD154C"/>
    <w:rsid w:val="08CF1D93"/>
    <w:rsid w:val="08D20336"/>
    <w:rsid w:val="08D76ACB"/>
    <w:rsid w:val="08DA4640"/>
    <w:rsid w:val="08E7079B"/>
    <w:rsid w:val="08F30C67"/>
    <w:rsid w:val="08FE375C"/>
    <w:rsid w:val="091431C0"/>
    <w:rsid w:val="091D3147"/>
    <w:rsid w:val="092265AB"/>
    <w:rsid w:val="09270C87"/>
    <w:rsid w:val="092C2843"/>
    <w:rsid w:val="09320D22"/>
    <w:rsid w:val="093570FD"/>
    <w:rsid w:val="093B4776"/>
    <w:rsid w:val="093F76AF"/>
    <w:rsid w:val="09463EBF"/>
    <w:rsid w:val="09472EE3"/>
    <w:rsid w:val="094812A8"/>
    <w:rsid w:val="09540D33"/>
    <w:rsid w:val="095549BD"/>
    <w:rsid w:val="0964585E"/>
    <w:rsid w:val="096545A8"/>
    <w:rsid w:val="096B4D1A"/>
    <w:rsid w:val="096E7CD8"/>
    <w:rsid w:val="09710848"/>
    <w:rsid w:val="097E0211"/>
    <w:rsid w:val="097E79AC"/>
    <w:rsid w:val="098B32FC"/>
    <w:rsid w:val="099124C9"/>
    <w:rsid w:val="09A807B8"/>
    <w:rsid w:val="09B21903"/>
    <w:rsid w:val="09B35434"/>
    <w:rsid w:val="09B87492"/>
    <w:rsid w:val="09CB025C"/>
    <w:rsid w:val="09D3109A"/>
    <w:rsid w:val="09DB0EED"/>
    <w:rsid w:val="0A0474FC"/>
    <w:rsid w:val="0A1E6A0D"/>
    <w:rsid w:val="0A2936FA"/>
    <w:rsid w:val="0A5075F2"/>
    <w:rsid w:val="0A5E744E"/>
    <w:rsid w:val="0A725A71"/>
    <w:rsid w:val="0A730821"/>
    <w:rsid w:val="0A7C341E"/>
    <w:rsid w:val="0A802980"/>
    <w:rsid w:val="0A8729A8"/>
    <w:rsid w:val="0A88373C"/>
    <w:rsid w:val="0A890FD1"/>
    <w:rsid w:val="0A8C2AE7"/>
    <w:rsid w:val="0A920A71"/>
    <w:rsid w:val="0A9D1EE3"/>
    <w:rsid w:val="0AA2391D"/>
    <w:rsid w:val="0AB367C5"/>
    <w:rsid w:val="0AD16AC7"/>
    <w:rsid w:val="0ADF42DF"/>
    <w:rsid w:val="0AE1397F"/>
    <w:rsid w:val="0AF21749"/>
    <w:rsid w:val="0AF270C8"/>
    <w:rsid w:val="0AF5551D"/>
    <w:rsid w:val="0B073E1A"/>
    <w:rsid w:val="0B0E0726"/>
    <w:rsid w:val="0B16329F"/>
    <w:rsid w:val="0B1845FE"/>
    <w:rsid w:val="0B2475F1"/>
    <w:rsid w:val="0B252ACD"/>
    <w:rsid w:val="0B2A4D8B"/>
    <w:rsid w:val="0B3F32A4"/>
    <w:rsid w:val="0B416D3C"/>
    <w:rsid w:val="0B4A0E16"/>
    <w:rsid w:val="0B5851DD"/>
    <w:rsid w:val="0B632CA7"/>
    <w:rsid w:val="0B673047"/>
    <w:rsid w:val="0B7863E5"/>
    <w:rsid w:val="0B8E7B48"/>
    <w:rsid w:val="0B8F5E30"/>
    <w:rsid w:val="0B9959F8"/>
    <w:rsid w:val="0B9E4CF4"/>
    <w:rsid w:val="0BAF49D6"/>
    <w:rsid w:val="0BC6579A"/>
    <w:rsid w:val="0BC73AC2"/>
    <w:rsid w:val="0BD63383"/>
    <w:rsid w:val="0BE37048"/>
    <w:rsid w:val="0BED7AC5"/>
    <w:rsid w:val="0BF27574"/>
    <w:rsid w:val="0BF541CC"/>
    <w:rsid w:val="0BFD12ED"/>
    <w:rsid w:val="0BFE70FF"/>
    <w:rsid w:val="0C0A156B"/>
    <w:rsid w:val="0C1F324C"/>
    <w:rsid w:val="0C3A6D73"/>
    <w:rsid w:val="0C402F20"/>
    <w:rsid w:val="0C4619CC"/>
    <w:rsid w:val="0C485A59"/>
    <w:rsid w:val="0C4A238F"/>
    <w:rsid w:val="0C4C4758"/>
    <w:rsid w:val="0C516B57"/>
    <w:rsid w:val="0C580C01"/>
    <w:rsid w:val="0C5B233E"/>
    <w:rsid w:val="0C5B5B49"/>
    <w:rsid w:val="0C630E99"/>
    <w:rsid w:val="0C702DA2"/>
    <w:rsid w:val="0C717FB9"/>
    <w:rsid w:val="0C7C7A51"/>
    <w:rsid w:val="0C924A55"/>
    <w:rsid w:val="0C9662E2"/>
    <w:rsid w:val="0C995AEA"/>
    <w:rsid w:val="0CAC35E8"/>
    <w:rsid w:val="0CB4133E"/>
    <w:rsid w:val="0CB95CA7"/>
    <w:rsid w:val="0CBE2E03"/>
    <w:rsid w:val="0CC85E5C"/>
    <w:rsid w:val="0CC950D4"/>
    <w:rsid w:val="0CCC323C"/>
    <w:rsid w:val="0CCD2C73"/>
    <w:rsid w:val="0CD44C39"/>
    <w:rsid w:val="0CE34C34"/>
    <w:rsid w:val="0CFA5D89"/>
    <w:rsid w:val="0CFF69EC"/>
    <w:rsid w:val="0D0023EB"/>
    <w:rsid w:val="0D0071CD"/>
    <w:rsid w:val="0D1C537A"/>
    <w:rsid w:val="0D1E152F"/>
    <w:rsid w:val="0D204D74"/>
    <w:rsid w:val="0D257764"/>
    <w:rsid w:val="0D2A7456"/>
    <w:rsid w:val="0D335317"/>
    <w:rsid w:val="0D3B4FB7"/>
    <w:rsid w:val="0D3D15F3"/>
    <w:rsid w:val="0D454706"/>
    <w:rsid w:val="0D47378E"/>
    <w:rsid w:val="0D484BB5"/>
    <w:rsid w:val="0D4E775C"/>
    <w:rsid w:val="0D571EA4"/>
    <w:rsid w:val="0D855638"/>
    <w:rsid w:val="0D86241A"/>
    <w:rsid w:val="0D887384"/>
    <w:rsid w:val="0D912A5A"/>
    <w:rsid w:val="0DA5091D"/>
    <w:rsid w:val="0DA562C2"/>
    <w:rsid w:val="0DAC6279"/>
    <w:rsid w:val="0DB50C5B"/>
    <w:rsid w:val="0DBF1698"/>
    <w:rsid w:val="0DD90E2A"/>
    <w:rsid w:val="0DE41035"/>
    <w:rsid w:val="0DE73D26"/>
    <w:rsid w:val="0DF70154"/>
    <w:rsid w:val="0E0855CB"/>
    <w:rsid w:val="0E0B58F1"/>
    <w:rsid w:val="0E1441CE"/>
    <w:rsid w:val="0E155115"/>
    <w:rsid w:val="0E17011C"/>
    <w:rsid w:val="0E185C8C"/>
    <w:rsid w:val="0E19492C"/>
    <w:rsid w:val="0E1A6CCC"/>
    <w:rsid w:val="0E3E78BB"/>
    <w:rsid w:val="0E5476D6"/>
    <w:rsid w:val="0E5B12B7"/>
    <w:rsid w:val="0E5D22D5"/>
    <w:rsid w:val="0E5E0B9E"/>
    <w:rsid w:val="0E64533D"/>
    <w:rsid w:val="0E781379"/>
    <w:rsid w:val="0E836001"/>
    <w:rsid w:val="0E8D27BF"/>
    <w:rsid w:val="0E907564"/>
    <w:rsid w:val="0E974DD1"/>
    <w:rsid w:val="0EA93B4E"/>
    <w:rsid w:val="0EB2394C"/>
    <w:rsid w:val="0EBE26B7"/>
    <w:rsid w:val="0EC16B2F"/>
    <w:rsid w:val="0EC401C9"/>
    <w:rsid w:val="0ECF0130"/>
    <w:rsid w:val="0ED1228F"/>
    <w:rsid w:val="0ED15AE5"/>
    <w:rsid w:val="0ED51FD4"/>
    <w:rsid w:val="0EEA1C0B"/>
    <w:rsid w:val="0EF240F7"/>
    <w:rsid w:val="0EFA7D62"/>
    <w:rsid w:val="0EFD0CBE"/>
    <w:rsid w:val="0EFF6E1C"/>
    <w:rsid w:val="0F0811EB"/>
    <w:rsid w:val="0F1105D9"/>
    <w:rsid w:val="0F2C27D3"/>
    <w:rsid w:val="0F3D13DF"/>
    <w:rsid w:val="0F451A79"/>
    <w:rsid w:val="0F4A6B5A"/>
    <w:rsid w:val="0F5E1D4E"/>
    <w:rsid w:val="0F677A31"/>
    <w:rsid w:val="0F6861F3"/>
    <w:rsid w:val="0F6E79CD"/>
    <w:rsid w:val="0F734444"/>
    <w:rsid w:val="0F7D63F1"/>
    <w:rsid w:val="0F7E56D2"/>
    <w:rsid w:val="0F8960AD"/>
    <w:rsid w:val="0F940C54"/>
    <w:rsid w:val="0F975DF1"/>
    <w:rsid w:val="0F98500F"/>
    <w:rsid w:val="0F995918"/>
    <w:rsid w:val="0F9F15F1"/>
    <w:rsid w:val="0FB02B1B"/>
    <w:rsid w:val="0FBB74C6"/>
    <w:rsid w:val="0FC06022"/>
    <w:rsid w:val="0FCC60E0"/>
    <w:rsid w:val="0FD14447"/>
    <w:rsid w:val="0FD34215"/>
    <w:rsid w:val="0FED0C72"/>
    <w:rsid w:val="0FF37B00"/>
    <w:rsid w:val="0FFC5A4C"/>
    <w:rsid w:val="10035E7A"/>
    <w:rsid w:val="1017288D"/>
    <w:rsid w:val="101F4203"/>
    <w:rsid w:val="102A3851"/>
    <w:rsid w:val="1031363C"/>
    <w:rsid w:val="10356A02"/>
    <w:rsid w:val="10381CFB"/>
    <w:rsid w:val="104076B2"/>
    <w:rsid w:val="10443145"/>
    <w:rsid w:val="104A3184"/>
    <w:rsid w:val="106D1765"/>
    <w:rsid w:val="107B1239"/>
    <w:rsid w:val="107B17B8"/>
    <w:rsid w:val="107C0890"/>
    <w:rsid w:val="107F261A"/>
    <w:rsid w:val="108F132C"/>
    <w:rsid w:val="109F30F6"/>
    <w:rsid w:val="10A43817"/>
    <w:rsid w:val="10B371E3"/>
    <w:rsid w:val="10B70B08"/>
    <w:rsid w:val="10B97A57"/>
    <w:rsid w:val="10BC2E1E"/>
    <w:rsid w:val="10C57C93"/>
    <w:rsid w:val="10CB3F61"/>
    <w:rsid w:val="10CC1755"/>
    <w:rsid w:val="10D44DB4"/>
    <w:rsid w:val="10D92E90"/>
    <w:rsid w:val="10DE0D65"/>
    <w:rsid w:val="10DF1DCF"/>
    <w:rsid w:val="10E01CA2"/>
    <w:rsid w:val="10E1466E"/>
    <w:rsid w:val="10E92E92"/>
    <w:rsid w:val="10ED3107"/>
    <w:rsid w:val="10ED6644"/>
    <w:rsid w:val="10F36923"/>
    <w:rsid w:val="11036F85"/>
    <w:rsid w:val="110D7DA4"/>
    <w:rsid w:val="11244F9E"/>
    <w:rsid w:val="112F4A97"/>
    <w:rsid w:val="1132659A"/>
    <w:rsid w:val="11367FF6"/>
    <w:rsid w:val="11381B27"/>
    <w:rsid w:val="11424A69"/>
    <w:rsid w:val="11464D8D"/>
    <w:rsid w:val="1152574B"/>
    <w:rsid w:val="11652E2A"/>
    <w:rsid w:val="11851A8E"/>
    <w:rsid w:val="118C0DC2"/>
    <w:rsid w:val="118F1327"/>
    <w:rsid w:val="119F60D1"/>
    <w:rsid w:val="11B524F0"/>
    <w:rsid w:val="11BB0A89"/>
    <w:rsid w:val="11CF1344"/>
    <w:rsid w:val="11D43519"/>
    <w:rsid w:val="11EC5ACC"/>
    <w:rsid w:val="11EE44C0"/>
    <w:rsid w:val="11F35831"/>
    <w:rsid w:val="11FB2BF2"/>
    <w:rsid w:val="12196EE4"/>
    <w:rsid w:val="122E473C"/>
    <w:rsid w:val="1234146E"/>
    <w:rsid w:val="12583EBD"/>
    <w:rsid w:val="12592666"/>
    <w:rsid w:val="126429FC"/>
    <w:rsid w:val="127B7856"/>
    <w:rsid w:val="127C677E"/>
    <w:rsid w:val="12817754"/>
    <w:rsid w:val="128D4A24"/>
    <w:rsid w:val="128F5F97"/>
    <w:rsid w:val="12913A60"/>
    <w:rsid w:val="129C3C8E"/>
    <w:rsid w:val="129F2AC0"/>
    <w:rsid w:val="12A570BB"/>
    <w:rsid w:val="12AF3AB7"/>
    <w:rsid w:val="12BC6A4E"/>
    <w:rsid w:val="12BE3152"/>
    <w:rsid w:val="12D01526"/>
    <w:rsid w:val="12D10FCA"/>
    <w:rsid w:val="12EA17EF"/>
    <w:rsid w:val="12F014E7"/>
    <w:rsid w:val="12F82E2A"/>
    <w:rsid w:val="12FE476A"/>
    <w:rsid w:val="130968EC"/>
    <w:rsid w:val="131102ED"/>
    <w:rsid w:val="13182BC0"/>
    <w:rsid w:val="131F74A5"/>
    <w:rsid w:val="1333202F"/>
    <w:rsid w:val="133D1016"/>
    <w:rsid w:val="13596474"/>
    <w:rsid w:val="13724D81"/>
    <w:rsid w:val="13733182"/>
    <w:rsid w:val="137B2738"/>
    <w:rsid w:val="137E3A6D"/>
    <w:rsid w:val="13846EB4"/>
    <w:rsid w:val="1389306A"/>
    <w:rsid w:val="138A50A4"/>
    <w:rsid w:val="13947FFD"/>
    <w:rsid w:val="139F04F3"/>
    <w:rsid w:val="13AB3AC3"/>
    <w:rsid w:val="13AB6920"/>
    <w:rsid w:val="13B21B62"/>
    <w:rsid w:val="13BC0BAE"/>
    <w:rsid w:val="13C108E8"/>
    <w:rsid w:val="13DA4041"/>
    <w:rsid w:val="13DA7CE9"/>
    <w:rsid w:val="13E478F1"/>
    <w:rsid w:val="13F45B8B"/>
    <w:rsid w:val="141113EE"/>
    <w:rsid w:val="14112307"/>
    <w:rsid w:val="141B430B"/>
    <w:rsid w:val="141D35DE"/>
    <w:rsid w:val="141E480A"/>
    <w:rsid w:val="14242D54"/>
    <w:rsid w:val="142B6ECA"/>
    <w:rsid w:val="143E78FD"/>
    <w:rsid w:val="144B1EE1"/>
    <w:rsid w:val="14555FD9"/>
    <w:rsid w:val="14623CD3"/>
    <w:rsid w:val="14700D8F"/>
    <w:rsid w:val="148175EA"/>
    <w:rsid w:val="149660DE"/>
    <w:rsid w:val="149A17A2"/>
    <w:rsid w:val="149B16E7"/>
    <w:rsid w:val="14A86417"/>
    <w:rsid w:val="14A8664D"/>
    <w:rsid w:val="14AF5FB9"/>
    <w:rsid w:val="14BE5D0D"/>
    <w:rsid w:val="14D53B66"/>
    <w:rsid w:val="14ED6B54"/>
    <w:rsid w:val="14F157C2"/>
    <w:rsid w:val="15075371"/>
    <w:rsid w:val="151F6CF6"/>
    <w:rsid w:val="15207D6D"/>
    <w:rsid w:val="1524680A"/>
    <w:rsid w:val="1526009B"/>
    <w:rsid w:val="153249DB"/>
    <w:rsid w:val="154243DF"/>
    <w:rsid w:val="154A2184"/>
    <w:rsid w:val="15515A99"/>
    <w:rsid w:val="15612CE1"/>
    <w:rsid w:val="15692345"/>
    <w:rsid w:val="156F08E0"/>
    <w:rsid w:val="15722572"/>
    <w:rsid w:val="1579113D"/>
    <w:rsid w:val="157B43FB"/>
    <w:rsid w:val="157B75A7"/>
    <w:rsid w:val="158F2815"/>
    <w:rsid w:val="159E3CC7"/>
    <w:rsid w:val="15A12701"/>
    <w:rsid w:val="15A24B71"/>
    <w:rsid w:val="15BB6204"/>
    <w:rsid w:val="15BD7FDC"/>
    <w:rsid w:val="15C9701E"/>
    <w:rsid w:val="15D55577"/>
    <w:rsid w:val="15E311E9"/>
    <w:rsid w:val="15ED6145"/>
    <w:rsid w:val="15F60BE0"/>
    <w:rsid w:val="15F75DAA"/>
    <w:rsid w:val="15F865C9"/>
    <w:rsid w:val="160551C6"/>
    <w:rsid w:val="160769ED"/>
    <w:rsid w:val="161B4B6D"/>
    <w:rsid w:val="161B4C3E"/>
    <w:rsid w:val="162A1BED"/>
    <w:rsid w:val="162C1433"/>
    <w:rsid w:val="162C256B"/>
    <w:rsid w:val="16330E5E"/>
    <w:rsid w:val="163C6709"/>
    <w:rsid w:val="163E2B94"/>
    <w:rsid w:val="163E4BAA"/>
    <w:rsid w:val="16447FA4"/>
    <w:rsid w:val="165671B4"/>
    <w:rsid w:val="16583C70"/>
    <w:rsid w:val="16614926"/>
    <w:rsid w:val="16632BB5"/>
    <w:rsid w:val="166763CC"/>
    <w:rsid w:val="16746528"/>
    <w:rsid w:val="16890DBA"/>
    <w:rsid w:val="169177CF"/>
    <w:rsid w:val="16933417"/>
    <w:rsid w:val="16A61ECC"/>
    <w:rsid w:val="16B6387D"/>
    <w:rsid w:val="16C034B0"/>
    <w:rsid w:val="16C91C33"/>
    <w:rsid w:val="16CC4FF1"/>
    <w:rsid w:val="16F0489A"/>
    <w:rsid w:val="16F94C0E"/>
    <w:rsid w:val="16FA5AE3"/>
    <w:rsid w:val="170E41FE"/>
    <w:rsid w:val="1723402E"/>
    <w:rsid w:val="17237598"/>
    <w:rsid w:val="172C7764"/>
    <w:rsid w:val="174650F7"/>
    <w:rsid w:val="174C4771"/>
    <w:rsid w:val="17525D76"/>
    <w:rsid w:val="17533184"/>
    <w:rsid w:val="176B4183"/>
    <w:rsid w:val="177428D7"/>
    <w:rsid w:val="17A17804"/>
    <w:rsid w:val="17B82B09"/>
    <w:rsid w:val="17C3178D"/>
    <w:rsid w:val="17D15A40"/>
    <w:rsid w:val="17D26E95"/>
    <w:rsid w:val="17D52FB8"/>
    <w:rsid w:val="17DC1EE9"/>
    <w:rsid w:val="17E85A62"/>
    <w:rsid w:val="17FB718C"/>
    <w:rsid w:val="1803149C"/>
    <w:rsid w:val="181A1734"/>
    <w:rsid w:val="18290CF2"/>
    <w:rsid w:val="1831666B"/>
    <w:rsid w:val="18322FAB"/>
    <w:rsid w:val="183952F5"/>
    <w:rsid w:val="18416B74"/>
    <w:rsid w:val="184D1B99"/>
    <w:rsid w:val="18560727"/>
    <w:rsid w:val="18571F2A"/>
    <w:rsid w:val="18583DB0"/>
    <w:rsid w:val="185A7D89"/>
    <w:rsid w:val="185F3AF1"/>
    <w:rsid w:val="186758E5"/>
    <w:rsid w:val="18692AA9"/>
    <w:rsid w:val="18713635"/>
    <w:rsid w:val="187A7613"/>
    <w:rsid w:val="187D21FF"/>
    <w:rsid w:val="1885392E"/>
    <w:rsid w:val="18915192"/>
    <w:rsid w:val="189417D3"/>
    <w:rsid w:val="18A40C9E"/>
    <w:rsid w:val="18B27404"/>
    <w:rsid w:val="18B710A7"/>
    <w:rsid w:val="18CB01E1"/>
    <w:rsid w:val="18E21952"/>
    <w:rsid w:val="18E75CF3"/>
    <w:rsid w:val="18EF5BF3"/>
    <w:rsid w:val="18F91FF2"/>
    <w:rsid w:val="1902214B"/>
    <w:rsid w:val="19050560"/>
    <w:rsid w:val="19081D4B"/>
    <w:rsid w:val="192417A8"/>
    <w:rsid w:val="192E0BE7"/>
    <w:rsid w:val="1938016E"/>
    <w:rsid w:val="19390965"/>
    <w:rsid w:val="194F2F44"/>
    <w:rsid w:val="195A3C32"/>
    <w:rsid w:val="19604B07"/>
    <w:rsid w:val="1962035E"/>
    <w:rsid w:val="19664037"/>
    <w:rsid w:val="19721420"/>
    <w:rsid w:val="19727C82"/>
    <w:rsid w:val="198454BD"/>
    <w:rsid w:val="1986270D"/>
    <w:rsid w:val="198F43C7"/>
    <w:rsid w:val="19AA236C"/>
    <w:rsid w:val="19B562C0"/>
    <w:rsid w:val="19C33910"/>
    <w:rsid w:val="19D02FA9"/>
    <w:rsid w:val="19D476D7"/>
    <w:rsid w:val="19E129E3"/>
    <w:rsid w:val="19E863B2"/>
    <w:rsid w:val="19FC5EC6"/>
    <w:rsid w:val="1A07158D"/>
    <w:rsid w:val="1A0800D1"/>
    <w:rsid w:val="1A0A5170"/>
    <w:rsid w:val="1A0D196F"/>
    <w:rsid w:val="1A25197A"/>
    <w:rsid w:val="1A2A6CED"/>
    <w:rsid w:val="1A2D004B"/>
    <w:rsid w:val="1A3D4FED"/>
    <w:rsid w:val="1A48437C"/>
    <w:rsid w:val="1A497085"/>
    <w:rsid w:val="1A4A0345"/>
    <w:rsid w:val="1A623029"/>
    <w:rsid w:val="1A6C7B4A"/>
    <w:rsid w:val="1A6D76D7"/>
    <w:rsid w:val="1A731397"/>
    <w:rsid w:val="1A75341B"/>
    <w:rsid w:val="1A766FB0"/>
    <w:rsid w:val="1A7F15EE"/>
    <w:rsid w:val="1A812CBA"/>
    <w:rsid w:val="1A847F8B"/>
    <w:rsid w:val="1A9A320F"/>
    <w:rsid w:val="1AA23C6F"/>
    <w:rsid w:val="1AA2427A"/>
    <w:rsid w:val="1AA55C97"/>
    <w:rsid w:val="1AA6014C"/>
    <w:rsid w:val="1AB76B20"/>
    <w:rsid w:val="1AB81AF9"/>
    <w:rsid w:val="1AB86BAD"/>
    <w:rsid w:val="1ABB591C"/>
    <w:rsid w:val="1ABC4B84"/>
    <w:rsid w:val="1ABF1D44"/>
    <w:rsid w:val="1AC35A0D"/>
    <w:rsid w:val="1ACC15FD"/>
    <w:rsid w:val="1AD5610F"/>
    <w:rsid w:val="1ADE01FA"/>
    <w:rsid w:val="1AE20029"/>
    <w:rsid w:val="1AE5530D"/>
    <w:rsid w:val="1AEA6BE3"/>
    <w:rsid w:val="1AEB56E7"/>
    <w:rsid w:val="1B044FED"/>
    <w:rsid w:val="1B0A21E4"/>
    <w:rsid w:val="1B0E7329"/>
    <w:rsid w:val="1B205B9D"/>
    <w:rsid w:val="1B331907"/>
    <w:rsid w:val="1B382956"/>
    <w:rsid w:val="1B3F6DA1"/>
    <w:rsid w:val="1B480A75"/>
    <w:rsid w:val="1B497D67"/>
    <w:rsid w:val="1B4B77B2"/>
    <w:rsid w:val="1B527D7D"/>
    <w:rsid w:val="1B5D2FCD"/>
    <w:rsid w:val="1B671CBC"/>
    <w:rsid w:val="1B680D5A"/>
    <w:rsid w:val="1B6B161A"/>
    <w:rsid w:val="1B6C665D"/>
    <w:rsid w:val="1B7269D0"/>
    <w:rsid w:val="1B95565D"/>
    <w:rsid w:val="1BA03A2D"/>
    <w:rsid w:val="1BB954C3"/>
    <w:rsid w:val="1BBA7A08"/>
    <w:rsid w:val="1BC35BC8"/>
    <w:rsid w:val="1BC370FB"/>
    <w:rsid w:val="1BC8641D"/>
    <w:rsid w:val="1BCC1D22"/>
    <w:rsid w:val="1BCD4307"/>
    <w:rsid w:val="1BD67671"/>
    <w:rsid w:val="1BED5436"/>
    <w:rsid w:val="1BF00215"/>
    <w:rsid w:val="1BF42CAD"/>
    <w:rsid w:val="1BF5537C"/>
    <w:rsid w:val="1C100819"/>
    <w:rsid w:val="1C161BAD"/>
    <w:rsid w:val="1C1D72CA"/>
    <w:rsid w:val="1C3000E0"/>
    <w:rsid w:val="1C3642CF"/>
    <w:rsid w:val="1C3A3DB6"/>
    <w:rsid w:val="1C3C5CF9"/>
    <w:rsid w:val="1C432242"/>
    <w:rsid w:val="1C45726D"/>
    <w:rsid w:val="1C535ADF"/>
    <w:rsid w:val="1C634242"/>
    <w:rsid w:val="1C8B5B48"/>
    <w:rsid w:val="1CA00521"/>
    <w:rsid w:val="1CAA7C13"/>
    <w:rsid w:val="1CD2334A"/>
    <w:rsid w:val="1CE6339E"/>
    <w:rsid w:val="1CF246D9"/>
    <w:rsid w:val="1CF67FBD"/>
    <w:rsid w:val="1CFB3F7B"/>
    <w:rsid w:val="1CFF02B2"/>
    <w:rsid w:val="1D1E7004"/>
    <w:rsid w:val="1D3344D5"/>
    <w:rsid w:val="1D39053F"/>
    <w:rsid w:val="1D4E0119"/>
    <w:rsid w:val="1D4F1A4B"/>
    <w:rsid w:val="1D527698"/>
    <w:rsid w:val="1D542B92"/>
    <w:rsid w:val="1D595E1F"/>
    <w:rsid w:val="1D5D37EF"/>
    <w:rsid w:val="1D632C3E"/>
    <w:rsid w:val="1D6E79F7"/>
    <w:rsid w:val="1D7450DF"/>
    <w:rsid w:val="1D7F5FC2"/>
    <w:rsid w:val="1D802817"/>
    <w:rsid w:val="1D867DF1"/>
    <w:rsid w:val="1D9F3347"/>
    <w:rsid w:val="1DCD3CFC"/>
    <w:rsid w:val="1DD91C4F"/>
    <w:rsid w:val="1DDD2329"/>
    <w:rsid w:val="1DE36E3D"/>
    <w:rsid w:val="1DF34884"/>
    <w:rsid w:val="1DF35717"/>
    <w:rsid w:val="1DFC2645"/>
    <w:rsid w:val="1E0F512C"/>
    <w:rsid w:val="1E114522"/>
    <w:rsid w:val="1E1B1C0E"/>
    <w:rsid w:val="1E212DBA"/>
    <w:rsid w:val="1E2B647B"/>
    <w:rsid w:val="1E3E3A97"/>
    <w:rsid w:val="1E562334"/>
    <w:rsid w:val="1E592522"/>
    <w:rsid w:val="1E630580"/>
    <w:rsid w:val="1E681A84"/>
    <w:rsid w:val="1E6C28BA"/>
    <w:rsid w:val="1E6E71AD"/>
    <w:rsid w:val="1E6F40FF"/>
    <w:rsid w:val="1E795DD2"/>
    <w:rsid w:val="1E7F010E"/>
    <w:rsid w:val="1E837D21"/>
    <w:rsid w:val="1E995F02"/>
    <w:rsid w:val="1E9B2C22"/>
    <w:rsid w:val="1E9F24EC"/>
    <w:rsid w:val="1EB8533F"/>
    <w:rsid w:val="1ECE263B"/>
    <w:rsid w:val="1ED23A13"/>
    <w:rsid w:val="1EE15751"/>
    <w:rsid w:val="1EF065EC"/>
    <w:rsid w:val="1F051B11"/>
    <w:rsid w:val="1F0E4C65"/>
    <w:rsid w:val="1F112CA1"/>
    <w:rsid w:val="1F1678C7"/>
    <w:rsid w:val="1F1C57F3"/>
    <w:rsid w:val="1F231F54"/>
    <w:rsid w:val="1F2D5AFE"/>
    <w:rsid w:val="1F53182B"/>
    <w:rsid w:val="1F5A05AD"/>
    <w:rsid w:val="1F755A30"/>
    <w:rsid w:val="1F821DD7"/>
    <w:rsid w:val="1F87760C"/>
    <w:rsid w:val="1F8B21C0"/>
    <w:rsid w:val="1F936B89"/>
    <w:rsid w:val="1F9A7E83"/>
    <w:rsid w:val="1F9D564F"/>
    <w:rsid w:val="1F9F3AEB"/>
    <w:rsid w:val="1FB86952"/>
    <w:rsid w:val="1FB87BFA"/>
    <w:rsid w:val="1FC33F30"/>
    <w:rsid w:val="1FC9419A"/>
    <w:rsid w:val="1FCA73E4"/>
    <w:rsid w:val="1FD84BD4"/>
    <w:rsid w:val="1FE44CC1"/>
    <w:rsid w:val="1FF83525"/>
    <w:rsid w:val="1FFA595C"/>
    <w:rsid w:val="20082AD9"/>
    <w:rsid w:val="200B6356"/>
    <w:rsid w:val="20123BC6"/>
    <w:rsid w:val="201B5247"/>
    <w:rsid w:val="20222A34"/>
    <w:rsid w:val="20342852"/>
    <w:rsid w:val="203F02F5"/>
    <w:rsid w:val="20461F00"/>
    <w:rsid w:val="205179C7"/>
    <w:rsid w:val="20595E64"/>
    <w:rsid w:val="20597B80"/>
    <w:rsid w:val="205C0AF5"/>
    <w:rsid w:val="20622C0A"/>
    <w:rsid w:val="206E5551"/>
    <w:rsid w:val="2081560C"/>
    <w:rsid w:val="208212F6"/>
    <w:rsid w:val="2087303A"/>
    <w:rsid w:val="208E2950"/>
    <w:rsid w:val="20933FD2"/>
    <w:rsid w:val="209934FD"/>
    <w:rsid w:val="20AC72CE"/>
    <w:rsid w:val="20B50DEC"/>
    <w:rsid w:val="20C81350"/>
    <w:rsid w:val="20E02FA5"/>
    <w:rsid w:val="20EC2C3B"/>
    <w:rsid w:val="20F61559"/>
    <w:rsid w:val="20F77EBC"/>
    <w:rsid w:val="20FD5597"/>
    <w:rsid w:val="210B4081"/>
    <w:rsid w:val="21211033"/>
    <w:rsid w:val="21251F39"/>
    <w:rsid w:val="213276BA"/>
    <w:rsid w:val="21365658"/>
    <w:rsid w:val="21377389"/>
    <w:rsid w:val="2139025C"/>
    <w:rsid w:val="213A6207"/>
    <w:rsid w:val="21486ECA"/>
    <w:rsid w:val="214D4DA9"/>
    <w:rsid w:val="214F59F5"/>
    <w:rsid w:val="215739BE"/>
    <w:rsid w:val="215C2627"/>
    <w:rsid w:val="216C655E"/>
    <w:rsid w:val="21702C57"/>
    <w:rsid w:val="2176235E"/>
    <w:rsid w:val="217E44C5"/>
    <w:rsid w:val="21897AC9"/>
    <w:rsid w:val="21905CAC"/>
    <w:rsid w:val="21942311"/>
    <w:rsid w:val="219B2976"/>
    <w:rsid w:val="219F223B"/>
    <w:rsid w:val="219F676D"/>
    <w:rsid w:val="21A45A5B"/>
    <w:rsid w:val="21AB289C"/>
    <w:rsid w:val="21B84BBB"/>
    <w:rsid w:val="21BB34B4"/>
    <w:rsid w:val="21DB6422"/>
    <w:rsid w:val="21DD349D"/>
    <w:rsid w:val="21E1344C"/>
    <w:rsid w:val="21E166A9"/>
    <w:rsid w:val="21E4724C"/>
    <w:rsid w:val="21E63B4F"/>
    <w:rsid w:val="221A2761"/>
    <w:rsid w:val="221D6884"/>
    <w:rsid w:val="22204665"/>
    <w:rsid w:val="223108E5"/>
    <w:rsid w:val="2240225A"/>
    <w:rsid w:val="22487F38"/>
    <w:rsid w:val="225B2C40"/>
    <w:rsid w:val="225C236E"/>
    <w:rsid w:val="225D2521"/>
    <w:rsid w:val="225F3ABC"/>
    <w:rsid w:val="2266248E"/>
    <w:rsid w:val="227528F3"/>
    <w:rsid w:val="22823AA6"/>
    <w:rsid w:val="2287475E"/>
    <w:rsid w:val="22936EF0"/>
    <w:rsid w:val="229527B6"/>
    <w:rsid w:val="22B32CEE"/>
    <w:rsid w:val="22B64833"/>
    <w:rsid w:val="22BC18BC"/>
    <w:rsid w:val="22C41F7B"/>
    <w:rsid w:val="22C50667"/>
    <w:rsid w:val="22CC022F"/>
    <w:rsid w:val="22D101BE"/>
    <w:rsid w:val="22D567D5"/>
    <w:rsid w:val="22D86709"/>
    <w:rsid w:val="22D87514"/>
    <w:rsid w:val="22DB7C7F"/>
    <w:rsid w:val="22FF6C00"/>
    <w:rsid w:val="23021F62"/>
    <w:rsid w:val="23127389"/>
    <w:rsid w:val="231500E2"/>
    <w:rsid w:val="231E706F"/>
    <w:rsid w:val="23207E6F"/>
    <w:rsid w:val="23270253"/>
    <w:rsid w:val="23275783"/>
    <w:rsid w:val="23402C34"/>
    <w:rsid w:val="2340370A"/>
    <w:rsid w:val="235125CD"/>
    <w:rsid w:val="235630F9"/>
    <w:rsid w:val="23693B84"/>
    <w:rsid w:val="236C710C"/>
    <w:rsid w:val="239F5B8E"/>
    <w:rsid w:val="23C16B4B"/>
    <w:rsid w:val="23C24114"/>
    <w:rsid w:val="23C37706"/>
    <w:rsid w:val="23C7467A"/>
    <w:rsid w:val="23DB3943"/>
    <w:rsid w:val="24120094"/>
    <w:rsid w:val="24162DDC"/>
    <w:rsid w:val="24263773"/>
    <w:rsid w:val="2431154E"/>
    <w:rsid w:val="245B6BB3"/>
    <w:rsid w:val="246476B2"/>
    <w:rsid w:val="246C6384"/>
    <w:rsid w:val="246C644D"/>
    <w:rsid w:val="24794C64"/>
    <w:rsid w:val="247A3114"/>
    <w:rsid w:val="2493241A"/>
    <w:rsid w:val="249356E7"/>
    <w:rsid w:val="249B72DE"/>
    <w:rsid w:val="249C1D5C"/>
    <w:rsid w:val="24BD16D7"/>
    <w:rsid w:val="24C73DF8"/>
    <w:rsid w:val="24CB4876"/>
    <w:rsid w:val="24CE0117"/>
    <w:rsid w:val="24D43582"/>
    <w:rsid w:val="24F16DAA"/>
    <w:rsid w:val="24F40FBC"/>
    <w:rsid w:val="25000179"/>
    <w:rsid w:val="2501550D"/>
    <w:rsid w:val="250A05E1"/>
    <w:rsid w:val="2512297D"/>
    <w:rsid w:val="25271B07"/>
    <w:rsid w:val="25293925"/>
    <w:rsid w:val="252B1A83"/>
    <w:rsid w:val="25301CCB"/>
    <w:rsid w:val="253B0B07"/>
    <w:rsid w:val="253B6C33"/>
    <w:rsid w:val="253F0449"/>
    <w:rsid w:val="2543309D"/>
    <w:rsid w:val="254C6A7C"/>
    <w:rsid w:val="254F37EE"/>
    <w:rsid w:val="255F67C5"/>
    <w:rsid w:val="256058C8"/>
    <w:rsid w:val="256331E6"/>
    <w:rsid w:val="25674B82"/>
    <w:rsid w:val="256D5F08"/>
    <w:rsid w:val="2573346B"/>
    <w:rsid w:val="25791A41"/>
    <w:rsid w:val="257B270E"/>
    <w:rsid w:val="25857B76"/>
    <w:rsid w:val="25865173"/>
    <w:rsid w:val="25890204"/>
    <w:rsid w:val="25936EFD"/>
    <w:rsid w:val="25BF6C97"/>
    <w:rsid w:val="25C04743"/>
    <w:rsid w:val="25C6407D"/>
    <w:rsid w:val="25C9103D"/>
    <w:rsid w:val="25D94569"/>
    <w:rsid w:val="25E276E1"/>
    <w:rsid w:val="25E573D9"/>
    <w:rsid w:val="25EC2367"/>
    <w:rsid w:val="25F47BE8"/>
    <w:rsid w:val="26003FB3"/>
    <w:rsid w:val="2613591B"/>
    <w:rsid w:val="262A79C2"/>
    <w:rsid w:val="26393BA1"/>
    <w:rsid w:val="263A5FB4"/>
    <w:rsid w:val="263D7040"/>
    <w:rsid w:val="26454D11"/>
    <w:rsid w:val="264C7C89"/>
    <w:rsid w:val="264F784E"/>
    <w:rsid w:val="26504DEA"/>
    <w:rsid w:val="265C6A42"/>
    <w:rsid w:val="266C1EA4"/>
    <w:rsid w:val="267001AD"/>
    <w:rsid w:val="267362F7"/>
    <w:rsid w:val="26812549"/>
    <w:rsid w:val="268B1F17"/>
    <w:rsid w:val="268B6A0E"/>
    <w:rsid w:val="2693187E"/>
    <w:rsid w:val="269A0FDE"/>
    <w:rsid w:val="269A176A"/>
    <w:rsid w:val="269A1B5A"/>
    <w:rsid w:val="26A374FF"/>
    <w:rsid w:val="26B83D92"/>
    <w:rsid w:val="26E17FF5"/>
    <w:rsid w:val="26E31688"/>
    <w:rsid w:val="26E96821"/>
    <w:rsid w:val="27071370"/>
    <w:rsid w:val="27076F27"/>
    <w:rsid w:val="27092731"/>
    <w:rsid w:val="2718193C"/>
    <w:rsid w:val="27207CA5"/>
    <w:rsid w:val="27277C70"/>
    <w:rsid w:val="27294825"/>
    <w:rsid w:val="2736290A"/>
    <w:rsid w:val="273D5664"/>
    <w:rsid w:val="27401D3F"/>
    <w:rsid w:val="2744588C"/>
    <w:rsid w:val="27547E9D"/>
    <w:rsid w:val="27595B5F"/>
    <w:rsid w:val="277C5B84"/>
    <w:rsid w:val="27896CD5"/>
    <w:rsid w:val="278D1C39"/>
    <w:rsid w:val="27940EC6"/>
    <w:rsid w:val="279B0208"/>
    <w:rsid w:val="279E3C54"/>
    <w:rsid w:val="279F1F9B"/>
    <w:rsid w:val="27A23CB5"/>
    <w:rsid w:val="27AE07A0"/>
    <w:rsid w:val="27B05F1B"/>
    <w:rsid w:val="27BB7C3B"/>
    <w:rsid w:val="27BD4854"/>
    <w:rsid w:val="27C23DE2"/>
    <w:rsid w:val="27CA650E"/>
    <w:rsid w:val="27D54876"/>
    <w:rsid w:val="27E522B4"/>
    <w:rsid w:val="27F51ED9"/>
    <w:rsid w:val="27FB6699"/>
    <w:rsid w:val="27FC6DC4"/>
    <w:rsid w:val="28010472"/>
    <w:rsid w:val="28033B23"/>
    <w:rsid w:val="280512DC"/>
    <w:rsid w:val="28094035"/>
    <w:rsid w:val="280E49B5"/>
    <w:rsid w:val="281268D9"/>
    <w:rsid w:val="28286D98"/>
    <w:rsid w:val="284D0AAC"/>
    <w:rsid w:val="285F5159"/>
    <w:rsid w:val="2865211E"/>
    <w:rsid w:val="286710F6"/>
    <w:rsid w:val="286D6FDD"/>
    <w:rsid w:val="28735280"/>
    <w:rsid w:val="28742FFD"/>
    <w:rsid w:val="28780836"/>
    <w:rsid w:val="287B6D87"/>
    <w:rsid w:val="288253A6"/>
    <w:rsid w:val="28914E20"/>
    <w:rsid w:val="28A354CF"/>
    <w:rsid w:val="28AB2B2B"/>
    <w:rsid w:val="28AC6B47"/>
    <w:rsid w:val="28B73956"/>
    <w:rsid w:val="28C360AA"/>
    <w:rsid w:val="28D77AB4"/>
    <w:rsid w:val="28E073E9"/>
    <w:rsid w:val="28F13A7E"/>
    <w:rsid w:val="28F43485"/>
    <w:rsid w:val="28FC5CE1"/>
    <w:rsid w:val="290F07F9"/>
    <w:rsid w:val="291268AF"/>
    <w:rsid w:val="29142D1D"/>
    <w:rsid w:val="29160567"/>
    <w:rsid w:val="292B3A56"/>
    <w:rsid w:val="292E0FB3"/>
    <w:rsid w:val="29375D52"/>
    <w:rsid w:val="293804C3"/>
    <w:rsid w:val="29397276"/>
    <w:rsid w:val="294A791C"/>
    <w:rsid w:val="295609D0"/>
    <w:rsid w:val="296F101F"/>
    <w:rsid w:val="29723765"/>
    <w:rsid w:val="297654D4"/>
    <w:rsid w:val="297724FD"/>
    <w:rsid w:val="2978467D"/>
    <w:rsid w:val="297E391D"/>
    <w:rsid w:val="298F232A"/>
    <w:rsid w:val="29903B15"/>
    <w:rsid w:val="29936995"/>
    <w:rsid w:val="29B650AB"/>
    <w:rsid w:val="29BA2674"/>
    <w:rsid w:val="29BD3504"/>
    <w:rsid w:val="29CE0599"/>
    <w:rsid w:val="29DE264F"/>
    <w:rsid w:val="29DE589B"/>
    <w:rsid w:val="29F125FE"/>
    <w:rsid w:val="29FF4E87"/>
    <w:rsid w:val="2A1B1529"/>
    <w:rsid w:val="2A221DFF"/>
    <w:rsid w:val="2A325E53"/>
    <w:rsid w:val="2A570895"/>
    <w:rsid w:val="2A6A61F9"/>
    <w:rsid w:val="2A704789"/>
    <w:rsid w:val="2AA52A6F"/>
    <w:rsid w:val="2AB82096"/>
    <w:rsid w:val="2AC02932"/>
    <w:rsid w:val="2AC85886"/>
    <w:rsid w:val="2AEA36FD"/>
    <w:rsid w:val="2AFB17E5"/>
    <w:rsid w:val="2B147238"/>
    <w:rsid w:val="2B1A1EED"/>
    <w:rsid w:val="2B1B4440"/>
    <w:rsid w:val="2B266A0F"/>
    <w:rsid w:val="2B347D10"/>
    <w:rsid w:val="2B43605F"/>
    <w:rsid w:val="2B5112B3"/>
    <w:rsid w:val="2B54331A"/>
    <w:rsid w:val="2B7A4FF2"/>
    <w:rsid w:val="2B8075A1"/>
    <w:rsid w:val="2B812AEA"/>
    <w:rsid w:val="2B874262"/>
    <w:rsid w:val="2B911194"/>
    <w:rsid w:val="2B92441A"/>
    <w:rsid w:val="2B986FDC"/>
    <w:rsid w:val="2BA0709D"/>
    <w:rsid w:val="2BA331AB"/>
    <w:rsid w:val="2BA62F64"/>
    <w:rsid w:val="2BAC197C"/>
    <w:rsid w:val="2BAD4803"/>
    <w:rsid w:val="2BAD5B8F"/>
    <w:rsid w:val="2BC135BD"/>
    <w:rsid w:val="2BC86A5A"/>
    <w:rsid w:val="2BCB15BA"/>
    <w:rsid w:val="2BCE1B03"/>
    <w:rsid w:val="2BCF3580"/>
    <w:rsid w:val="2BDC0B87"/>
    <w:rsid w:val="2BDD0534"/>
    <w:rsid w:val="2BDE0A9F"/>
    <w:rsid w:val="2BE77D08"/>
    <w:rsid w:val="2BEC7968"/>
    <w:rsid w:val="2BFE641D"/>
    <w:rsid w:val="2C034AEF"/>
    <w:rsid w:val="2C0E6A30"/>
    <w:rsid w:val="2C12768E"/>
    <w:rsid w:val="2C135522"/>
    <w:rsid w:val="2C1826D2"/>
    <w:rsid w:val="2C197C9A"/>
    <w:rsid w:val="2C1F3CD8"/>
    <w:rsid w:val="2C20531F"/>
    <w:rsid w:val="2C34033D"/>
    <w:rsid w:val="2C4B18EE"/>
    <w:rsid w:val="2C544E7C"/>
    <w:rsid w:val="2C5737A8"/>
    <w:rsid w:val="2C584018"/>
    <w:rsid w:val="2C880831"/>
    <w:rsid w:val="2C8E3E4F"/>
    <w:rsid w:val="2CA541DD"/>
    <w:rsid w:val="2CAA3CF2"/>
    <w:rsid w:val="2CB7792E"/>
    <w:rsid w:val="2CBB5334"/>
    <w:rsid w:val="2CC22F3C"/>
    <w:rsid w:val="2CC33C7C"/>
    <w:rsid w:val="2CC82322"/>
    <w:rsid w:val="2CCB197B"/>
    <w:rsid w:val="2CDE24FA"/>
    <w:rsid w:val="2CDE2540"/>
    <w:rsid w:val="2CE02E49"/>
    <w:rsid w:val="2CE561DA"/>
    <w:rsid w:val="2CED7951"/>
    <w:rsid w:val="2CF61313"/>
    <w:rsid w:val="2CFA25F6"/>
    <w:rsid w:val="2D0759BE"/>
    <w:rsid w:val="2D08487E"/>
    <w:rsid w:val="2D0C02CC"/>
    <w:rsid w:val="2D1C464D"/>
    <w:rsid w:val="2D2238C9"/>
    <w:rsid w:val="2D494546"/>
    <w:rsid w:val="2D5A02E9"/>
    <w:rsid w:val="2D5E5772"/>
    <w:rsid w:val="2D600A20"/>
    <w:rsid w:val="2D601D91"/>
    <w:rsid w:val="2D614D84"/>
    <w:rsid w:val="2D6F52D8"/>
    <w:rsid w:val="2D7167C3"/>
    <w:rsid w:val="2D807CF7"/>
    <w:rsid w:val="2D827E15"/>
    <w:rsid w:val="2D846FC5"/>
    <w:rsid w:val="2D8B1699"/>
    <w:rsid w:val="2D8D59E1"/>
    <w:rsid w:val="2D9B7484"/>
    <w:rsid w:val="2DA84F1F"/>
    <w:rsid w:val="2DAC4B86"/>
    <w:rsid w:val="2DBD615C"/>
    <w:rsid w:val="2DC10656"/>
    <w:rsid w:val="2DC84C08"/>
    <w:rsid w:val="2DD317B9"/>
    <w:rsid w:val="2DD65876"/>
    <w:rsid w:val="2DDD5DC6"/>
    <w:rsid w:val="2DF81ED2"/>
    <w:rsid w:val="2E06741D"/>
    <w:rsid w:val="2E162B4A"/>
    <w:rsid w:val="2E2376BD"/>
    <w:rsid w:val="2E2F550A"/>
    <w:rsid w:val="2E347D84"/>
    <w:rsid w:val="2E3E4ABB"/>
    <w:rsid w:val="2E405ABD"/>
    <w:rsid w:val="2E455723"/>
    <w:rsid w:val="2E4F6444"/>
    <w:rsid w:val="2E5A1C5D"/>
    <w:rsid w:val="2E64438B"/>
    <w:rsid w:val="2E6A7B01"/>
    <w:rsid w:val="2E6B420B"/>
    <w:rsid w:val="2E7E1FFF"/>
    <w:rsid w:val="2E8876F3"/>
    <w:rsid w:val="2E9302C2"/>
    <w:rsid w:val="2E932661"/>
    <w:rsid w:val="2E9455B2"/>
    <w:rsid w:val="2E965AE1"/>
    <w:rsid w:val="2E9E6759"/>
    <w:rsid w:val="2EB974C9"/>
    <w:rsid w:val="2EBB4E9E"/>
    <w:rsid w:val="2EBE076E"/>
    <w:rsid w:val="2ECE617B"/>
    <w:rsid w:val="2ED06280"/>
    <w:rsid w:val="2ED74E8C"/>
    <w:rsid w:val="2EE17A59"/>
    <w:rsid w:val="2EE525A6"/>
    <w:rsid w:val="2EFF4939"/>
    <w:rsid w:val="2F056050"/>
    <w:rsid w:val="2F236EF0"/>
    <w:rsid w:val="2F2A7A2C"/>
    <w:rsid w:val="2F352EA0"/>
    <w:rsid w:val="2F3E225D"/>
    <w:rsid w:val="2F481714"/>
    <w:rsid w:val="2F4A7B7B"/>
    <w:rsid w:val="2F4E2B4E"/>
    <w:rsid w:val="2F5A0774"/>
    <w:rsid w:val="2F5B730E"/>
    <w:rsid w:val="2F5D06D3"/>
    <w:rsid w:val="2F5D453F"/>
    <w:rsid w:val="2F5E5120"/>
    <w:rsid w:val="2F5F2A25"/>
    <w:rsid w:val="2F727FF5"/>
    <w:rsid w:val="2F882CB7"/>
    <w:rsid w:val="2F934A7F"/>
    <w:rsid w:val="2F9C6E61"/>
    <w:rsid w:val="2F9D41AA"/>
    <w:rsid w:val="2FA708F2"/>
    <w:rsid w:val="2FAB73C8"/>
    <w:rsid w:val="2FC26D43"/>
    <w:rsid w:val="2FCF5254"/>
    <w:rsid w:val="2FD21C66"/>
    <w:rsid w:val="2FE94099"/>
    <w:rsid w:val="2FED7978"/>
    <w:rsid w:val="2FFA3657"/>
    <w:rsid w:val="2FFF30C9"/>
    <w:rsid w:val="3000354E"/>
    <w:rsid w:val="3008349E"/>
    <w:rsid w:val="301021BC"/>
    <w:rsid w:val="301B7C8C"/>
    <w:rsid w:val="301E4B39"/>
    <w:rsid w:val="30200ACC"/>
    <w:rsid w:val="30221301"/>
    <w:rsid w:val="30230D91"/>
    <w:rsid w:val="30313C70"/>
    <w:rsid w:val="30343537"/>
    <w:rsid w:val="30493DBA"/>
    <w:rsid w:val="304F46FD"/>
    <w:rsid w:val="3054286C"/>
    <w:rsid w:val="3064671A"/>
    <w:rsid w:val="3065144D"/>
    <w:rsid w:val="30693762"/>
    <w:rsid w:val="306A26CB"/>
    <w:rsid w:val="30720218"/>
    <w:rsid w:val="30730FEF"/>
    <w:rsid w:val="30835664"/>
    <w:rsid w:val="308B70F3"/>
    <w:rsid w:val="30A14B0E"/>
    <w:rsid w:val="30BE320E"/>
    <w:rsid w:val="30C9695B"/>
    <w:rsid w:val="30CB2C69"/>
    <w:rsid w:val="30CF5E02"/>
    <w:rsid w:val="30EA6984"/>
    <w:rsid w:val="30EB1D2E"/>
    <w:rsid w:val="30EB76BB"/>
    <w:rsid w:val="30FC6C8F"/>
    <w:rsid w:val="31014948"/>
    <w:rsid w:val="310721CF"/>
    <w:rsid w:val="31085D41"/>
    <w:rsid w:val="311B0138"/>
    <w:rsid w:val="311F5C48"/>
    <w:rsid w:val="312119E4"/>
    <w:rsid w:val="312D3557"/>
    <w:rsid w:val="31391B60"/>
    <w:rsid w:val="313F5411"/>
    <w:rsid w:val="3141350C"/>
    <w:rsid w:val="31496450"/>
    <w:rsid w:val="314977E9"/>
    <w:rsid w:val="31593CEB"/>
    <w:rsid w:val="31695E19"/>
    <w:rsid w:val="31731072"/>
    <w:rsid w:val="31745499"/>
    <w:rsid w:val="31781E33"/>
    <w:rsid w:val="317A2332"/>
    <w:rsid w:val="31884C2B"/>
    <w:rsid w:val="318B0720"/>
    <w:rsid w:val="318F0A0D"/>
    <w:rsid w:val="319E6A9D"/>
    <w:rsid w:val="319E6F3D"/>
    <w:rsid w:val="31A64213"/>
    <w:rsid w:val="31B03F2A"/>
    <w:rsid w:val="31B425BE"/>
    <w:rsid w:val="31D11A00"/>
    <w:rsid w:val="31D6400D"/>
    <w:rsid w:val="31D911A3"/>
    <w:rsid w:val="31E47F1B"/>
    <w:rsid w:val="31E81B07"/>
    <w:rsid w:val="31F02EF1"/>
    <w:rsid w:val="31FA037C"/>
    <w:rsid w:val="31FC4AC9"/>
    <w:rsid w:val="320E7790"/>
    <w:rsid w:val="32143598"/>
    <w:rsid w:val="321926E0"/>
    <w:rsid w:val="321A56DF"/>
    <w:rsid w:val="321B5F48"/>
    <w:rsid w:val="321C5B58"/>
    <w:rsid w:val="32270B5E"/>
    <w:rsid w:val="322A7BDB"/>
    <w:rsid w:val="32377BD4"/>
    <w:rsid w:val="324F3E58"/>
    <w:rsid w:val="32597B19"/>
    <w:rsid w:val="325C0808"/>
    <w:rsid w:val="326371AF"/>
    <w:rsid w:val="32661404"/>
    <w:rsid w:val="326E0335"/>
    <w:rsid w:val="32722C20"/>
    <w:rsid w:val="32742CFE"/>
    <w:rsid w:val="327617D7"/>
    <w:rsid w:val="32793502"/>
    <w:rsid w:val="3281122A"/>
    <w:rsid w:val="328467D6"/>
    <w:rsid w:val="328C4C71"/>
    <w:rsid w:val="329136D1"/>
    <w:rsid w:val="32920349"/>
    <w:rsid w:val="32957BBE"/>
    <w:rsid w:val="329A25A7"/>
    <w:rsid w:val="32A85A66"/>
    <w:rsid w:val="32C171AE"/>
    <w:rsid w:val="32C5686F"/>
    <w:rsid w:val="32C95949"/>
    <w:rsid w:val="32D154A5"/>
    <w:rsid w:val="32E20583"/>
    <w:rsid w:val="32ED0FC8"/>
    <w:rsid w:val="330433B8"/>
    <w:rsid w:val="33071292"/>
    <w:rsid w:val="331827DA"/>
    <w:rsid w:val="33196CC8"/>
    <w:rsid w:val="331A37B7"/>
    <w:rsid w:val="331D6C7E"/>
    <w:rsid w:val="332151E0"/>
    <w:rsid w:val="33345751"/>
    <w:rsid w:val="3339664E"/>
    <w:rsid w:val="333D4B80"/>
    <w:rsid w:val="334119DE"/>
    <w:rsid w:val="33436F8B"/>
    <w:rsid w:val="3344630E"/>
    <w:rsid w:val="33641B5F"/>
    <w:rsid w:val="33752ABE"/>
    <w:rsid w:val="33920EF1"/>
    <w:rsid w:val="33A76BA9"/>
    <w:rsid w:val="33A803B9"/>
    <w:rsid w:val="33AA5000"/>
    <w:rsid w:val="33AF71AB"/>
    <w:rsid w:val="33B84EDE"/>
    <w:rsid w:val="33CA764A"/>
    <w:rsid w:val="33CE082F"/>
    <w:rsid w:val="33D034D2"/>
    <w:rsid w:val="33F16826"/>
    <w:rsid w:val="33F219CB"/>
    <w:rsid w:val="33F57367"/>
    <w:rsid w:val="33F97469"/>
    <w:rsid w:val="33FD3AF4"/>
    <w:rsid w:val="34004D9F"/>
    <w:rsid w:val="340963C3"/>
    <w:rsid w:val="341744ED"/>
    <w:rsid w:val="3420310A"/>
    <w:rsid w:val="342B35B6"/>
    <w:rsid w:val="343A2F39"/>
    <w:rsid w:val="343F5379"/>
    <w:rsid w:val="344319CB"/>
    <w:rsid w:val="344E1E05"/>
    <w:rsid w:val="34536C1D"/>
    <w:rsid w:val="34565D02"/>
    <w:rsid w:val="345B09D0"/>
    <w:rsid w:val="345C0576"/>
    <w:rsid w:val="346D4F86"/>
    <w:rsid w:val="347800A3"/>
    <w:rsid w:val="34784400"/>
    <w:rsid w:val="34800E7F"/>
    <w:rsid w:val="348963A6"/>
    <w:rsid w:val="348D0A6B"/>
    <w:rsid w:val="348E06BA"/>
    <w:rsid w:val="34911A7E"/>
    <w:rsid w:val="34951FE2"/>
    <w:rsid w:val="349741F5"/>
    <w:rsid w:val="34A40A60"/>
    <w:rsid w:val="34A64789"/>
    <w:rsid w:val="34B526B6"/>
    <w:rsid w:val="34B947FA"/>
    <w:rsid w:val="34C0772F"/>
    <w:rsid w:val="34C96A64"/>
    <w:rsid w:val="34CB5C7B"/>
    <w:rsid w:val="34CE67ED"/>
    <w:rsid w:val="34D517F3"/>
    <w:rsid w:val="34D80A4C"/>
    <w:rsid w:val="34E177C7"/>
    <w:rsid w:val="34ED5F5D"/>
    <w:rsid w:val="34EE2DDD"/>
    <w:rsid w:val="34F02CBF"/>
    <w:rsid w:val="351928A3"/>
    <w:rsid w:val="35501650"/>
    <w:rsid w:val="35595C2B"/>
    <w:rsid w:val="355D1E3F"/>
    <w:rsid w:val="355E6EEE"/>
    <w:rsid w:val="356263B6"/>
    <w:rsid w:val="35713C89"/>
    <w:rsid w:val="357156C4"/>
    <w:rsid w:val="358E287D"/>
    <w:rsid w:val="35976E7B"/>
    <w:rsid w:val="359C54D7"/>
    <w:rsid w:val="35BE1572"/>
    <w:rsid w:val="35CC7149"/>
    <w:rsid w:val="35D64063"/>
    <w:rsid w:val="35E74520"/>
    <w:rsid w:val="35F76A56"/>
    <w:rsid w:val="35FC3549"/>
    <w:rsid w:val="3603777B"/>
    <w:rsid w:val="3605599D"/>
    <w:rsid w:val="360A1526"/>
    <w:rsid w:val="360E54A3"/>
    <w:rsid w:val="36110DD9"/>
    <w:rsid w:val="36236C09"/>
    <w:rsid w:val="36290BB0"/>
    <w:rsid w:val="362D6C52"/>
    <w:rsid w:val="363132FE"/>
    <w:rsid w:val="363251C6"/>
    <w:rsid w:val="363C60EF"/>
    <w:rsid w:val="365F0C57"/>
    <w:rsid w:val="36675436"/>
    <w:rsid w:val="366E094A"/>
    <w:rsid w:val="367874A2"/>
    <w:rsid w:val="36805789"/>
    <w:rsid w:val="368716DF"/>
    <w:rsid w:val="369F0DF6"/>
    <w:rsid w:val="36A673D9"/>
    <w:rsid w:val="36AB4205"/>
    <w:rsid w:val="36AC4240"/>
    <w:rsid w:val="36AD4808"/>
    <w:rsid w:val="36BD137C"/>
    <w:rsid w:val="36C828DB"/>
    <w:rsid w:val="36CF5607"/>
    <w:rsid w:val="36DE2E4F"/>
    <w:rsid w:val="36E16A4F"/>
    <w:rsid w:val="370E5B64"/>
    <w:rsid w:val="37476B9F"/>
    <w:rsid w:val="37485FC5"/>
    <w:rsid w:val="374E18EF"/>
    <w:rsid w:val="37652796"/>
    <w:rsid w:val="376E2995"/>
    <w:rsid w:val="377A4B96"/>
    <w:rsid w:val="377E1242"/>
    <w:rsid w:val="37816524"/>
    <w:rsid w:val="37850AE5"/>
    <w:rsid w:val="37865B39"/>
    <w:rsid w:val="378D592E"/>
    <w:rsid w:val="378E4182"/>
    <w:rsid w:val="37923388"/>
    <w:rsid w:val="37A15EE7"/>
    <w:rsid w:val="37A4427E"/>
    <w:rsid w:val="37A506ED"/>
    <w:rsid w:val="37B010C8"/>
    <w:rsid w:val="37B96F92"/>
    <w:rsid w:val="37BD4800"/>
    <w:rsid w:val="37CE67A5"/>
    <w:rsid w:val="37CF023B"/>
    <w:rsid w:val="37D4193E"/>
    <w:rsid w:val="37F4173B"/>
    <w:rsid w:val="38085AEE"/>
    <w:rsid w:val="381A7128"/>
    <w:rsid w:val="38217DF3"/>
    <w:rsid w:val="3823464A"/>
    <w:rsid w:val="38236948"/>
    <w:rsid w:val="38313518"/>
    <w:rsid w:val="38390769"/>
    <w:rsid w:val="384152A8"/>
    <w:rsid w:val="38443B14"/>
    <w:rsid w:val="38537267"/>
    <w:rsid w:val="38586D55"/>
    <w:rsid w:val="385D4664"/>
    <w:rsid w:val="385E31E1"/>
    <w:rsid w:val="38622BB2"/>
    <w:rsid w:val="38634DD3"/>
    <w:rsid w:val="38741004"/>
    <w:rsid w:val="38833649"/>
    <w:rsid w:val="3886282A"/>
    <w:rsid w:val="38927F62"/>
    <w:rsid w:val="389762E7"/>
    <w:rsid w:val="38A25413"/>
    <w:rsid w:val="38B939D2"/>
    <w:rsid w:val="38BD683E"/>
    <w:rsid w:val="38BF27BD"/>
    <w:rsid w:val="38C3013D"/>
    <w:rsid w:val="38C71166"/>
    <w:rsid w:val="38CA52C1"/>
    <w:rsid w:val="38D0267F"/>
    <w:rsid w:val="38E34F46"/>
    <w:rsid w:val="38E60F46"/>
    <w:rsid w:val="38F12B4F"/>
    <w:rsid w:val="38F1355F"/>
    <w:rsid w:val="38FC2D8E"/>
    <w:rsid w:val="390D6B30"/>
    <w:rsid w:val="39110B50"/>
    <w:rsid w:val="39123782"/>
    <w:rsid w:val="391F16F6"/>
    <w:rsid w:val="39454966"/>
    <w:rsid w:val="394A7E78"/>
    <w:rsid w:val="395B25CE"/>
    <w:rsid w:val="39783360"/>
    <w:rsid w:val="397B4855"/>
    <w:rsid w:val="398B1679"/>
    <w:rsid w:val="39B826E9"/>
    <w:rsid w:val="39BD1FF4"/>
    <w:rsid w:val="39C51EFE"/>
    <w:rsid w:val="39C62C3D"/>
    <w:rsid w:val="39DE0906"/>
    <w:rsid w:val="39E71FBB"/>
    <w:rsid w:val="39E8637F"/>
    <w:rsid w:val="39EA50E1"/>
    <w:rsid w:val="39F51B76"/>
    <w:rsid w:val="39F56E11"/>
    <w:rsid w:val="3A0E1090"/>
    <w:rsid w:val="3A1F14C3"/>
    <w:rsid w:val="3A2E6DDA"/>
    <w:rsid w:val="3A3636F6"/>
    <w:rsid w:val="3A46226E"/>
    <w:rsid w:val="3A4F1A7A"/>
    <w:rsid w:val="3A554DB9"/>
    <w:rsid w:val="3A557A75"/>
    <w:rsid w:val="3A6B3A9A"/>
    <w:rsid w:val="3A7D5737"/>
    <w:rsid w:val="3A800D53"/>
    <w:rsid w:val="3A875E50"/>
    <w:rsid w:val="3AAB2040"/>
    <w:rsid w:val="3AD75C33"/>
    <w:rsid w:val="3ADE28BC"/>
    <w:rsid w:val="3AEB7EEC"/>
    <w:rsid w:val="3AF50988"/>
    <w:rsid w:val="3B12280B"/>
    <w:rsid w:val="3B2550C9"/>
    <w:rsid w:val="3B31058A"/>
    <w:rsid w:val="3B370ED1"/>
    <w:rsid w:val="3B3922CE"/>
    <w:rsid w:val="3B3A36C7"/>
    <w:rsid w:val="3B3D519A"/>
    <w:rsid w:val="3B5168E9"/>
    <w:rsid w:val="3B5754DC"/>
    <w:rsid w:val="3B5D52E4"/>
    <w:rsid w:val="3B5E0A49"/>
    <w:rsid w:val="3B5F6C2C"/>
    <w:rsid w:val="3B626E0F"/>
    <w:rsid w:val="3B6E620C"/>
    <w:rsid w:val="3B710390"/>
    <w:rsid w:val="3B7B2BCE"/>
    <w:rsid w:val="3B7C7A57"/>
    <w:rsid w:val="3B83223B"/>
    <w:rsid w:val="3B8F1C8B"/>
    <w:rsid w:val="3B9810D7"/>
    <w:rsid w:val="3B9A6D46"/>
    <w:rsid w:val="3BA42723"/>
    <w:rsid w:val="3BAC0FF2"/>
    <w:rsid w:val="3BAE7B24"/>
    <w:rsid w:val="3BB1378E"/>
    <w:rsid w:val="3BB6399A"/>
    <w:rsid w:val="3BC30810"/>
    <w:rsid w:val="3BC36C01"/>
    <w:rsid w:val="3BCA6236"/>
    <w:rsid w:val="3BD24A47"/>
    <w:rsid w:val="3BE407BC"/>
    <w:rsid w:val="3BF26D4D"/>
    <w:rsid w:val="3BF50A89"/>
    <w:rsid w:val="3BF8054B"/>
    <w:rsid w:val="3BFF0480"/>
    <w:rsid w:val="3C0F77F7"/>
    <w:rsid w:val="3C241436"/>
    <w:rsid w:val="3C2A693F"/>
    <w:rsid w:val="3C330D33"/>
    <w:rsid w:val="3C3B3264"/>
    <w:rsid w:val="3C575E36"/>
    <w:rsid w:val="3C582FEB"/>
    <w:rsid w:val="3C636C41"/>
    <w:rsid w:val="3C6A01A7"/>
    <w:rsid w:val="3C6C6ECC"/>
    <w:rsid w:val="3C813932"/>
    <w:rsid w:val="3C857DEE"/>
    <w:rsid w:val="3C96638B"/>
    <w:rsid w:val="3C986744"/>
    <w:rsid w:val="3CBF30E3"/>
    <w:rsid w:val="3CC476A8"/>
    <w:rsid w:val="3CC84F02"/>
    <w:rsid w:val="3CC92E7C"/>
    <w:rsid w:val="3CCA25E7"/>
    <w:rsid w:val="3CE109FB"/>
    <w:rsid w:val="3CED5F45"/>
    <w:rsid w:val="3CF55391"/>
    <w:rsid w:val="3CFB4437"/>
    <w:rsid w:val="3D1F0407"/>
    <w:rsid w:val="3D2523FB"/>
    <w:rsid w:val="3D2C385D"/>
    <w:rsid w:val="3D2F18A4"/>
    <w:rsid w:val="3D3841A2"/>
    <w:rsid w:val="3D3B1344"/>
    <w:rsid w:val="3D55085C"/>
    <w:rsid w:val="3D570BE1"/>
    <w:rsid w:val="3D647164"/>
    <w:rsid w:val="3D6E33A1"/>
    <w:rsid w:val="3D6E7B55"/>
    <w:rsid w:val="3D736B9E"/>
    <w:rsid w:val="3D832B7C"/>
    <w:rsid w:val="3D8919C3"/>
    <w:rsid w:val="3D8928A1"/>
    <w:rsid w:val="3D8D3424"/>
    <w:rsid w:val="3DA85494"/>
    <w:rsid w:val="3DA86A8F"/>
    <w:rsid w:val="3DA93324"/>
    <w:rsid w:val="3DAD421A"/>
    <w:rsid w:val="3DB91977"/>
    <w:rsid w:val="3DC13B44"/>
    <w:rsid w:val="3DD84B86"/>
    <w:rsid w:val="3DDF50FE"/>
    <w:rsid w:val="3DEA5635"/>
    <w:rsid w:val="3DEE7D68"/>
    <w:rsid w:val="3DEF7DB1"/>
    <w:rsid w:val="3DF72918"/>
    <w:rsid w:val="3E03262E"/>
    <w:rsid w:val="3E056886"/>
    <w:rsid w:val="3E0E28ED"/>
    <w:rsid w:val="3E192930"/>
    <w:rsid w:val="3E224DCC"/>
    <w:rsid w:val="3E2340A6"/>
    <w:rsid w:val="3E255F02"/>
    <w:rsid w:val="3E2E6CFD"/>
    <w:rsid w:val="3E30164A"/>
    <w:rsid w:val="3E3F4EBB"/>
    <w:rsid w:val="3E48254B"/>
    <w:rsid w:val="3E4D02E7"/>
    <w:rsid w:val="3E653EC8"/>
    <w:rsid w:val="3E6865D3"/>
    <w:rsid w:val="3E776D92"/>
    <w:rsid w:val="3E883406"/>
    <w:rsid w:val="3E8E22E1"/>
    <w:rsid w:val="3E9338ED"/>
    <w:rsid w:val="3EB34697"/>
    <w:rsid w:val="3EB909A3"/>
    <w:rsid w:val="3EC81B6A"/>
    <w:rsid w:val="3ECC1049"/>
    <w:rsid w:val="3ECD2E86"/>
    <w:rsid w:val="3ED20477"/>
    <w:rsid w:val="3EDB1C5A"/>
    <w:rsid w:val="3EE17BD1"/>
    <w:rsid w:val="3EEE6BAB"/>
    <w:rsid w:val="3EEF5BEF"/>
    <w:rsid w:val="3EF33C53"/>
    <w:rsid w:val="3EFC1BBC"/>
    <w:rsid w:val="3F224CDF"/>
    <w:rsid w:val="3F2E4245"/>
    <w:rsid w:val="3F323817"/>
    <w:rsid w:val="3F3921DA"/>
    <w:rsid w:val="3F793BC6"/>
    <w:rsid w:val="3F8574FE"/>
    <w:rsid w:val="3F910DD4"/>
    <w:rsid w:val="3F924BD0"/>
    <w:rsid w:val="3F9B35A2"/>
    <w:rsid w:val="3F9D0572"/>
    <w:rsid w:val="3FAD56A8"/>
    <w:rsid w:val="3FBD3F0C"/>
    <w:rsid w:val="3FC07036"/>
    <w:rsid w:val="3FC6795B"/>
    <w:rsid w:val="3FD16032"/>
    <w:rsid w:val="3FD47EB4"/>
    <w:rsid w:val="3FDB47E3"/>
    <w:rsid w:val="3FEE3093"/>
    <w:rsid w:val="3FF90F87"/>
    <w:rsid w:val="3FFB0E1B"/>
    <w:rsid w:val="400111A5"/>
    <w:rsid w:val="400C5D10"/>
    <w:rsid w:val="401713C6"/>
    <w:rsid w:val="40272630"/>
    <w:rsid w:val="403C0068"/>
    <w:rsid w:val="40412EF3"/>
    <w:rsid w:val="40622FD0"/>
    <w:rsid w:val="406A4E6A"/>
    <w:rsid w:val="407C1A68"/>
    <w:rsid w:val="407E41B2"/>
    <w:rsid w:val="407F35F0"/>
    <w:rsid w:val="408A05ED"/>
    <w:rsid w:val="40940184"/>
    <w:rsid w:val="40A21439"/>
    <w:rsid w:val="40B8594E"/>
    <w:rsid w:val="40B94AD2"/>
    <w:rsid w:val="40D47ACF"/>
    <w:rsid w:val="40E541D1"/>
    <w:rsid w:val="40E57E4D"/>
    <w:rsid w:val="40F17186"/>
    <w:rsid w:val="40F71D63"/>
    <w:rsid w:val="41132F9E"/>
    <w:rsid w:val="41193E37"/>
    <w:rsid w:val="412F2E76"/>
    <w:rsid w:val="41416411"/>
    <w:rsid w:val="4147026B"/>
    <w:rsid w:val="414E0A4D"/>
    <w:rsid w:val="415F209D"/>
    <w:rsid w:val="41603487"/>
    <w:rsid w:val="41626922"/>
    <w:rsid w:val="4165230C"/>
    <w:rsid w:val="4170490C"/>
    <w:rsid w:val="418F5CEA"/>
    <w:rsid w:val="41912A36"/>
    <w:rsid w:val="41913A7C"/>
    <w:rsid w:val="41A26008"/>
    <w:rsid w:val="41A43552"/>
    <w:rsid w:val="41AC1DC2"/>
    <w:rsid w:val="41BE16D0"/>
    <w:rsid w:val="41C71BC2"/>
    <w:rsid w:val="41CB3C23"/>
    <w:rsid w:val="41D91E3C"/>
    <w:rsid w:val="41DC106B"/>
    <w:rsid w:val="420D4820"/>
    <w:rsid w:val="42195D2D"/>
    <w:rsid w:val="421B22DC"/>
    <w:rsid w:val="42297E0A"/>
    <w:rsid w:val="423536DE"/>
    <w:rsid w:val="42403830"/>
    <w:rsid w:val="42421E50"/>
    <w:rsid w:val="42440E69"/>
    <w:rsid w:val="42520D51"/>
    <w:rsid w:val="42613AF3"/>
    <w:rsid w:val="426873E8"/>
    <w:rsid w:val="428142EF"/>
    <w:rsid w:val="42855794"/>
    <w:rsid w:val="42AB6972"/>
    <w:rsid w:val="42B40FCC"/>
    <w:rsid w:val="42BD527C"/>
    <w:rsid w:val="42C13EB9"/>
    <w:rsid w:val="42C24FC5"/>
    <w:rsid w:val="42D54064"/>
    <w:rsid w:val="42D90F7D"/>
    <w:rsid w:val="42E80FAE"/>
    <w:rsid w:val="42EE6613"/>
    <w:rsid w:val="42F54A3F"/>
    <w:rsid w:val="42F6296F"/>
    <w:rsid w:val="42F7219F"/>
    <w:rsid w:val="430137E9"/>
    <w:rsid w:val="430C26CA"/>
    <w:rsid w:val="431A58DF"/>
    <w:rsid w:val="431B75B2"/>
    <w:rsid w:val="431D5A70"/>
    <w:rsid w:val="43367FCA"/>
    <w:rsid w:val="43590C88"/>
    <w:rsid w:val="43591D48"/>
    <w:rsid w:val="435A2640"/>
    <w:rsid w:val="435B06CF"/>
    <w:rsid w:val="435E22AD"/>
    <w:rsid w:val="436467F7"/>
    <w:rsid w:val="43671615"/>
    <w:rsid w:val="4367629A"/>
    <w:rsid w:val="436A0F38"/>
    <w:rsid w:val="437004D9"/>
    <w:rsid w:val="43786124"/>
    <w:rsid w:val="437C611B"/>
    <w:rsid w:val="438E7BBC"/>
    <w:rsid w:val="43A02007"/>
    <w:rsid w:val="43A77C65"/>
    <w:rsid w:val="43B14E46"/>
    <w:rsid w:val="43B21E6E"/>
    <w:rsid w:val="43BB1A82"/>
    <w:rsid w:val="43C8491A"/>
    <w:rsid w:val="43CD10E1"/>
    <w:rsid w:val="43D14A1D"/>
    <w:rsid w:val="43DD6926"/>
    <w:rsid w:val="43E671DC"/>
    <w:rsid w:val="43FF7BAC"/>
    <w:rsid w:val="4412205D"/>
    <w:rsid w:val="44134749"/>
    <w:rsid w:val="4416656F"/>
    <w:rsid w:val="442712BB"/>
    <w:rsid w:val="4427423C"/>
    <w:rsid w:val="442D7735"/>
    <w:rsid w:val="443F71F8"/>
    <w:rsid w:val="44433302"/>
    <w:rsid w:val="444C1712"/>
    <w:rsid w:val="444E04C2"/>
    <w:rsid w:val="44650EE6"/>
    <w:rsid w:val="44720FAB"/>
    <w:rsid w:val="4472318E"/>
    <w:rsid w:val="447D61B9"/>
    <w:rsid w:val="449569FD"/>
    <w:rsid w:val="44996900"/>
    <w:rsid w:val="449A32D6"/>
    <w:rsid w:val="449B0240"/>
    <w:rsid w:val="44B91F2A"/>
    <w:rsid w:val="44C35F59"/>
    <w:rsid w:val="44C54AB2"/>
    <w:rsid w:val="44C85078"/>
    <w:rsid w:val="44D535C8"/>
    <w:rsid w:val="44EF1026"/>
    <w:rsid w:val="44FB69EE"/>
    <w:rsid w:val="45007340"/>
    <w:rsid w:val="450A0C18"/>
    <w:rsid w:val="450D5411"/>
    <w:rsid w:val="45147AA1"/>
    <w:rsid w:val="45155521"/>
    <w:rsid w:val="45246D27"/>
    <w:rsid w:val="45293329"/>
    <w:rsid w:val="452A4420"/>
    <w:rsid w:val="453401B9"/>
    <w:rsid w:val="454D5220"/>
    <w:rsid w:val="455F590C"/>
    <w:rsid w:val="45763769"/>
    <w:rsid w:val="45773159"/>
    <w:rsid w:val="457B0B09"/>
    <w:rsid w:val="457C0EC6"/>
    <w:rsid w:val="457D413B"/>
    <w:rsid w:val="45852AFF"/>
    <w:rsid w:val="45865481"/>
    <w:rsid w:val="458B5CA6"/>
    <w:rsid w:val="458F028D"/>
    <w:rsid w:val="45903ED4"/>
    <w:rsid w:val="45936E26"/>
    <w:rsid w:val="459B6241"/>
    <w:rsid w:val="45AF5471"/>
    <w:rsid w:val="45B33C10"/>
    <w:rsid w:val="45B8585D"/>
    <w:rsid w:val="45B943AD"/>
    <w:rsid w:val="45C35A92"/>
    <w:rsid w:val="45E433E3"/>
    <w:rsid w:val="45E6293B"/>
    <w:rsid w:val="45F1780C"/>
    <w:rsid w:val="45F73B36"/>
    <w:rsid w:val="4622738F"/>
    <w:rsid w:val="463C0763"/>
    <w:rsid w:val="464130D5"/>
    <w:rsid w:val="46491D56"/>
    <w:rsid w:val="464D718D"/>
    <w:rsid w:val="464F674F"/>
    <w:rsid w:val="466B0878"/>
    <w:rsid w:val="46733BA1"/>
    <w:rsid w:val="46750832"/>
    <w:rsid w:val="467E748A"/>
    <w:rsid w:val="467F4E94"/>
    <w:rsid w:val="468370D2"/>
    <w:rsid w:val="46840D43"/>
    <w:rsid w:val="468C3DCD"/>
    <w:rsid w:val="469915E5"/>
    <w:rsid w:val="469A4C2E"/>
    <w:rsid w:val="46B7683C"/>
    <w:rsid w:val="46B86D90"/>
    <w:rsid w:val="46C910BD"/>
    <w:rsid w:val="46D24BA2"/>
    <w:rsid w:val="46D4115F"/>
    <w:rsid w:val="46D640A7"/>
    <w:rsid w:val="46D755AD"/>
    <w:rsid w:val="46DD1888"/>
    <w:rsid w:val="46DF2EEC"/>
    <w:rsid w:val="46EB77B3"/>
    <w:rsid w:val="46EC3F9B"/>
    <w:rsid w:val="46FE3CE1"/>
    <w:rsid w:val="47060EEE"/>
    <w:rsid w:val="47082986"/>
    <w:rsid w:val="47142E75"/>
    <w:rsid w:val="471625F2"/>
    <w:rsid w:val="47264E3C"/>
    <w:rsid w:val="472D3E98"/>
    <w:rsid w:val="473E467A"/>
    <w:rsid w:val="47424AD1"/>
    <w:rsid w:val="47485562"/>
    <w:rsid w:val="474C36CE"/>
    <w:rsid w:val="474C5C41"/>
    <w:rsid w:val="474F2EFC"/>
    <w:rsid w:val="474F7338"/>
    <w:rsid w:val="475C0558"/>
    <w:rsid w:val="476F7C8A"/>
    <w:rsid w:val="477A0B84"/>
    <w:rsid w:val="477C1626"/>
    <w:rsid w:val="477D2B79"/>
    <w:rsid w:val="477E3B4C"/>
    <w:rsid w:val="478B7EBB"/>
    <w:rsid w:val="47974D2B"/>
    <w:rsid w:val="47AC6A16"/>
    <w:rsid w:val="47BA7999"/>
    <w:rsid w:val="47C13872"/>
    <w:rsid w:val="47D106ED"/>
    <w:rsid w:val="47D604EF"/>
    <w:rsid w:val="47E24383"/>
    <w:rsid w:val="47E54B9B"/>
    <w:rsid w:val="47E631AF"/>
    <w:rsid w:val="47E85854"/>
    <w:rsid w:val="47F45617"/>
    <w:rsid w:val="480120F2"/>
    <w:rsid w:val="4811359B"/>
    <w:rsid w:val="4819360D"/>
    <w:rsid w:val="483F0938"/>
    <w:rsid w:val="48466CC2"/>
    <w:rsid w:val="484B4B8C"/>
    <w:rsid w:val="484F5E1C"/>
    <w:rsid w:val="48520F48"/>
    <w:rsid w:val="485607CC"/>
    <w:rsid w:val="485D28DB"/>
    <w:rsid w:val="48662A4B"/>
    <w:rsid w:val="486E20AF"/>
    <w:rsid w:val="486F3AF2"/>
    <w:rsid w:val="48740B7B"/>
    <w:rsid w:val="48752BD8"/>
    <w:rsid w:val="48757EC8"/>
    <w:rsid w:val="487A4230"/>
    <w:rsid w:val="48825F81"/>
    <w:rsid w:val="48A07C1D"/>
    <w:rsid w:val="48B16B7D"/>
    <w:rsid w:val="48C220F3"/>
    <w:rsid w:val="48CC4405"/>
    <w:rsid w:val="48CC7523"/>
    <w:rsid w:val="48D23EB4"/>
    <w:rsid w:val="48D91E89"/>
    <w:rsid w:val="48E04309"/>
    <w:rsid w:val="490D04EA"/>
    <w:rsid w:val="49113969"/>
    <w:rsid w:val="4932200F"/>
    <w:rsid w:val="493D22DB"/>
    <w:rsid w:val="494E71A9"/>
    <w:rsid w:val="4962066D"/>
    <w:rsid w:val="49701657"/>
    <w:rsid w:val="49852952"/>
    <w:rsid w:val="49872C23"/>
    <w:rsid w:val="499433DC"/>
    <w:rsid w:val="499B75E7"/>
    <w:rsid w:val="499B7E4D"/>
    <w:rsid w:val="49A62D17"/>
    <w:rsid w:val="49AA09A8"/>
    <w:rsid w:val="49AD4432"/>
    <w:rsid w:val="49AD4695"/>
    <w:rsid w:val="49B10B60"/>
    <w:rsid w:val="49BE16A4"/>
    <w:rsid w:val="49BE302E"/>
    <w:rsid w:val="49C312A6"/>
    <w:rsid w:val="49D72BE7"/>
    <w:rsid w:val="49DB3D85"/>
    <w:rsid w:val="49EB7F45"/>
    <w:rsid w:val="49EE26D9"/>
    <w:rsid w:val="49F063B3"/>
    <w:rsid w:val="49F16684"/>
    <w:rsid w:val="4A1323A4"/>
    <w:rsid w:val="4A1638B0"/>
    <w:rsid w:val="4A2E75A4"/>
    <w:rsid w:val="4A303AFB"/>
    <w:rsid w:val="4A3A3BEB"/>
    <w:rsid w:val="4A546892"/>
    <w:rsid w:val="4A5648BB"/>
    <w:rsid w:val="4A7B35D0"/>
    <w:rsid w:val="4A7B7BE8"/>
    <w:rsid w:val="4A895C4E"/>
    <w:rsid w:val="4A8B3549"/>
    <w:rsid w:val="4A8C4A78"/>
    <w:rsid w:val="4AA46D5D"/>
    <w:rsid w:val="4AB85386"/>
    <w:rsid w:val="4AC34182"/>
    <w:rsid w:val="4ACA1FE5"/>
    <w:rsid w:val="4ACB4EAF"/>
    <w:rsid w:val="4AD74667"/>
    <w:rsid w:val="4ADE7362"/>
    <w:rsid w:val="4AF953CF"/>
    <w:rsid w:val="4B056663"/>
    <w:rsid w:val="4B155BC8"/>
    <w:rsid w:val="4B4A257B"/>
    <w:rsid w:val="4B521CCC"/>
    <w:rsid w:val="4B5A1595"/>
    <w:rsid w:val="4B67117B"/>
    <w:rsid w:val="4B674009"/>
    <w:rsid w:val="4B68094E"/>
    <w:rsid w:val="4B702A17"/>
    <w:rsid w:val="4B727F70"/>
    <w:rsid w:val="4B78480D"/>
    <w:rsid w:val="4B797B0F"/>
    <w:rsid w:val="4B7F57CB"/>
    <w:rsid w:val="4B8A0051"/>
    <w:rsid w:val="4BA02C73"/>
    <w:rsid w:val="4BA34CDE"/>
    <w:rsid w:val="4BA54928"/>
    <w:rsid w:val="4BAC361F"/>
    <w:rsid w:val="4BB90742"/>
    <w:rsid w:val="4BC311DC"/>
    <w:rsid w:val="4BC64EC4"/>
    <w:rsid w:val="4BDC1637"/>
    <w:rsid w:val="4BEC00D3"/>
    <w:rsid w:val="4BF1769D"/>
    <w:rsid w:val="4BF92472"/>
    <w:rsid w:val="4BFF08BB"/>
    <w:rsid w:val="4C072974"/>
    <w:rsid w:val="4C1635B0"/>
    <w:rsid w:val="4C1A6273"/>
    <w:rsid w:val="4C1B7790"/>
    <w:rsid w:val="4C1D6EF1"/>
    <w:rsid w:val="4C383DD3"/>
    <w:rsid w:val="4C384C57"/>
    <w:rsid w:val="4C3D0C92"/>
    <w:rsid w:val="4C3F3265"/>
    <w:rsid w:val="4C4404DB"/>
    <w:rsid w:val="4C67308A"/>
    <w:rsid w:val="4C685918"/>
    <w:rsid w:val="4C7937CE"/>
    <w:rsid w:val="4C8137BB"/>
    <w:rsid w:val="4C881934"/>
    <w:rsid w:val="4C9038F3"/>
    <w:rsid w:val="4C9069E4"/>
    <w:rsid w:val="4CA33D63"/>
    <w:rsid w:val="4CAA35F2"/>
    <w:rsid w:val="4CB13BCB"/>
    <w:rsid w:val="4CC24F8D"/>
    <w:rsid w:val="4CD20C6F"/>
    <w:rsid w:val="4CD95F33"/>
    <w:rsid w:val="4CD97FAC"/>
    <w:rsid w:val="4CE072A8"/>
    <w:rsid w:val="4CE0748D"/>
    <w:rsid w:val="4CF35EEC"/>
    <w:rsid w:val="4CF57E8F"/>
    <w:rsid w:val="4D060CA7"/>
    <w:rsid w:val="4D1F0A20"/>
    <w:rsid w:val="4D335026"/>
    <w:rsid w:val="4D356797"/>
    <w:rsid w:val="4D363C4C"/>
    <w:rsid w:val="4D375FFB"/>
    <w:rsid w:val="4D413ABE"/>
    <w:rsid w:val="4D472603"/>
    <w:rsid w:val="4D6F57EA"/>
    <w:rsid w:val="4D7D07A9"/>
    <w:rsid w:val="4D7E7BCA"/>
    <w:rsid w:val="4D9D2018"/>
    <w:rsid w:val="4DA57429"/>
    <w:rsid w:val="4DA84B2D"/>
    <w:rsid w:val="4DC7102D"/>
    <w:rsid w:val="4DC8309E"/>
    <w:rsid w:val="4DC94510"/>
    <w:rsid w:val="4DC9726E"/>
    <w:rsid w:val="4DD317D3"/>
    <w:rsid w:val="4DDC75F6"/>
    <w:rsid w:val="4DDD1D27"/>
    <w:rsid w:val="4DE01999"/>
    <w:rsid w:val="4DE539B2"/>
    <w:rsid w:val="4DEE2C9D"/>
    <w:rsid w:val="4DF23F3B"/>
    <w:rsid w:val="4DF5471B"/>
    <w:rsid w:val="4DF806E9"/>
    <w:rsid w:val="4E0528C4"/>
    <w:rsid w:val="4E1F51F3"/>
    <w:rsid w:val="4E205041"/>
    <w:rsid w:val="4E21054A"/>
    <w:rsid w:val="4E3156F1"/>
    <w:rsid w:val="4E375A60"/>
    <w:rsid w:val="4E465D2B"/>
    <w:rsid w:val="4E4F219B"/>
    <w:rsid w:val="4E5126E0"/>
    <w:rsid w:val="4E7C1327"/>
    <w:rsid w:val="4E7F5A78"/>
    <w:rsid w:val="4E8051B9"/>
    <w:rsid w:val="4E8B7676"/>
    <w:rsid w:val="4E8D2B1B"/>
    <w:rsid w:val="4E942D21"/>
    <w:rsid w:val="4EA4100F"/>
    <w:rsid w:val="4EA727A5"/>
    <w:rsid w:val="4EA772B6"/>
    <w:rsid w:val="4EB4676F"/>
    <w:rsid w:val="4EB502F6"/>
    <w:rsid w:val="4ED70DD3"/>
    <w:rsid w:val="4EE008FE"/>
    <w:rsid w:val="4EEA299F"/>
    <w:rsid w:val="4EEF7A6D"/>
    <w:rsid w:val="4EFD5951"/>
    <w:rsid w:val="4F0B5DF8"/>
    <w:rsid w:val="4F11017C"/>
    <w:rsid w:val="4F124446"/>
    <w:rsid w:val="4F1E3617"/>
    <w:rsid w:val="4F412709"/>
    <w:rsid w:val="4F450787"/>
    <w:rsid w:val="4F4809DD"/>
    <w:rsid w:val="4F486359"/>
    <w:rsid w:val="4F4C1064"/>
    <w:rsid w:val="4F52671E"/>
    <w:rsid w:val="4F544BC0"/>
    <w:rsid w:val="4F5E1F23"/>
    <w:rsid w:val="4F714EEB"/>
    <w:rsid w:val="4F772E6E"/>
    <w:rsid w:val="4F77676A"/>
    <w:rsid w:val="4F830CA1"/>
    <w:rsid w:val="4F871C87"/>
    <w:rsid w:val="4F9F022F"/>
    <w:rsid w:val="4FA014A2"/>
    <w:rsid w:val="4FB26AD9"/>
    <w:rsid w:val="4FB900D7"/>
    <w:rsid w:val="4FC34284"/>
    <w:rsid w:val="4FC6443E"/>
    <w:rsid w:val="4FD224BE"/>
    <w:rsid w:val="4FD964BE"/>
    <w:rsid w:val="4FDF2531"/>
    <w:rsid w:val="4FE64C1E"/>
    <w:rsid w:val="4FE8779E"/>
    <w:rsid w:val="4FEF1DA6"/>
    <w:rsid w:val="50004A95"/>
    <w:rsid w:val="50010C61"/>
    <w:rsid w:val="50066FB3"/>
    <w:rsid w:val="500D54F6"/>
    <w:rsid w:val="50137F4A"/>
    <w:rsid w:val="50173D37"/>
    <w:rsid w:val="501A653F"/>
    <w:rsid w:val="5029007C"/>
    <w:rsid w:val="503660C0"/>
    <w:rsid w:val="503A2B14"/>
    <w:rsid w:val="50521801"/>
    <w:rsid w:val="50626FC5"/>
    <w:rsid w:val="506724CA"/>
    <w:rsid w:val="50686449"/>
    <w:rsid w:val="506C0CA3"/>
    <w:rsid w:val="507E02A3"/>
    <w:rsid w:val="508A096E"/>
    <w:rsid w:val="508C757F"/>
    <w:rsid w:val="508D33B3"/>
    <w:rsid w:val="509A0660"/>
    <w:rsid w:val="50A83174"/>
    <w:rsid w:val="50AA5365"/>
    <w:rsid w:val="50AB7422"/>
    <w:rsid w:val="50B13D1B"/>
    <w:rsid w:val="50B51408"/>
    <w:rsid w:val="50C620C8"/>
    <w:rsid w:val="50CF22E7"/>
    <w:rsid w:val="50F31D4C"/>
    <w:rsid w:val="50F94B1C"/>
    <w:rsid w:val="5126392B"/>
    <w:rsid w:val="513B4FE6"/>
    <w:rsid w:val="514706F0"/>
    <w:rsid w:val="51523A14"/>
    <w:rsid w:val="5156345E"/>
    <w:rsid w:val="515A20ED"/>
    <w:rsid w:val="515B24FD"/>
    <w:rsid w:val="517472A2"/>
    <w:rsid w:val="518C7C37"/>
    <w:rsid w:val="519C6CAE"/>
    <w:rsid w:val="51A72E00"/>
    <w:rsid w:val="51AE428B"/>
    <w:rsid w:val="51AE58E9"/>
    <w:rsid w:val="51B832C3"/>
    <w:rsid w:val="51D40874"/>
    <w:rsid w:val="51DE269C"/>
    <w:rsid w:val="51F3498B"/>
    <w:rsid w:val="52114B18"/>
    <w:rsid w:val="52114EBB"/>
    <w:rsid w:val="52176D48"/>
    <w:rsid w:val="522709FC"/>
    <w:rsid w:val="52330F24"/>
    <w:rsid w:val="5236211A"/>
    <w:rsid w:val="526327CD"/>
    <w:rsid w:val="52653410"/>
    <w:rsid w:val="52674A51"/>
    <w:rsid w:val="527E3B80"/>
    <w:rsid w:val="528B381A"/>
    <w:rsid w:val="52903220"/>
    <w:rsid w:val="5290625E"/>
    <w:rsid w:val="529333A5"/>
    <w:rsid w:val="529F4C29"/>
    <w:rsid w:val="52A225D9"/>
    <w:rsid w:val="52A5620A"/>
    <w:rsid w:val="52A85D87"/>
    <w:rsid w:val="52AA121E"/>
    <w:rsid w:val="52B47AF8"/>
    <w:rsid w:val="52B50F48"/>
    <w:rsid w:val="52B65457"/>
    <w:rsid w:val="52BB1BB0"/>
    <w:rsid w:val="52BD65C2"/>
    <w:rsid w:val="52C07935"/>
    <w:rsid w:val="52D853DF"/>
    <w:rsid w:val="52DC143A"/>
    <w:rsid w:val="52E32645"/>
    <w:rsid w:val="52E76F18"/>
    <w:rsid w:val="52F5605D"/>
    <w:rsid w:val="52FA39B7"/>
    <w:rsid w:val="5306454B"/>
    <w:rsid w:val="530A1B10"/>
    <w:rsid w:val="53113D7C"/>
    <w:rsid w:val="5318508F"/>
    <w:rsid w:val="531A282E"/>
    <w:rsid w:val="531E6088"/>
    <w:rsid w:val="531F2787"/>
    <w:rsid w:val="532636A9"/>
    <w:rsid w:val="532D2387"/>
    <w:rsid w:val="533704B8"/>
    <w:rsid w:val="53391570"/>
    <w:rsid w:val="533B5478"/>
    <w:rsid w:val="5342631C"/>
    <w:rsid w:val="53514B60"/>
    <w:rsid w:val="53567870"/>
    <w:rsid w:val="53591D99"/>
    <w:rsid w:val="535A4A14"/>
    <w:rsid w:val="53602DEC"/>
    <w:rsid w:val="53733096"/>
    <w:rsid w:val="53753945"/>
    <w:rsid w:val="53793B18"/>
    <w:rsid w:val="53797A39"/>
    <w:rsid w:val="539F029C"/>
    <w:rsid w:val="53AE5938"/>
    <w:rsid w:val="53AF46FA"/>
    <w:rsid w:val="53B4350E"/>
    <w:rsid w:val="53C512E9"/>
    <w:rsid w:val="53CC7091"/>
    <w:rsid w:val="53CD05AD"/>
    <w:rsid w:val="53D55075"/>
    <w:rsid w:val="53D60BEC"/>
    <w:rsid w:val="53DA2A8A"/>
    <w:rsid w:val="53E23343"/>
    <w:rsid w:val="53E33CA0"/>
    <w:rsid w:val="53E46566"/>
    <w:rsid w:val="53FE7F31"/>
    <w:rsid w:val="54065170"/>
    <w:rsid w:val="5415104E"/>
    <w:rsid w:val="541A6BAD"/>
    <w:rsid w:val="54293912"/>
    <w:rsid w:val="542968E7"/>
    <w:rsid w:val="54370393"/>
    <w:rsid w:val="543B272A"/>
    <w:rsid w:val="543C6C31"/>
    <w:rsid w:val="543F0287"/>
    <w:rsid w:val="543F4497"/>
    <w:rsid w:val="5446251D"/>
    <w:rsid w:val="54465E98"/>
    <w:rsid w:val="544E07CC"/>
    <w:rsid w:val="5451299B"/>
    <w:rsid w:val="54547785"/>
    <w:rsid w:val="545C1B97"/>
    <w:rsid w:val="54651BD3"/>
    <w:rsid w:val="546A434C"/>
    <w:rsid w:val="54773068"/>
    <w:rsid w:val="547F6D5B"/>
    <w:rsid w:val="548B5F36"/>
    <w:rsid w:val="548D6505"/>
    <w:rsid w:val="549546C0"/>
    <w:rsid w:val="54967DBD"/>
    <w:rsid w:val="54970C2D"/>
    <w:rsid w:val="54992D2C"/>
    <w:rsid w:val="54A6775A"/>
    <w:rsid w:val="54B0307B"/>
    <w:rsid w:val="54B93D7C"/>
    <w:rsid w:val="54C96B87"/>
    <w:rsid w:val="54D77DE2"/>
    <w:rsid w:val="54DF62FD"/>
    <w:rsid w:val="54EA671B"/>
    <w:rsid w:val="552A729A"/>
    <w:rsid w:val="55301F46"/>
    <w:rsid w:val="553076D9"/>
    <w:rsid w:val="55324787"/>
    <w:rsid w:val="554152A3"/>
    <w:rsid w:val="5543396E"/>
    <w:rsid w:val="5545368B"/>
    <w:rsid w:val="55556DCF"/>
    <w:rsid w:val="555B27E3"/>
    <w:rsid w:val="555C6AF7"/>
    <w:rsid w:val="5562237D"/>
    <w:rsid w:val="55687A83"/>
    <w:rsid w:val="55736013"/>
    <w:rsid w:val="55762BE7"/>
    <w:rsid w:val="558B5C5A"/>
    <w:rsid w:val="558D23E4"/>
    <w:rsid w:val="55961E09"/>
    <w:rsid w:val="559C6013"/>
    <w:rsid w:val="55A245F5"/>
    <w:rsid w:val="55AA7999"/>
    <w:rsid w:val="55C26B6F"/>
    <w:rsid w:val="55C35029"/>
    <w:rsid w:val="55C56531"/>
    <w:rsid w:val="55C670F5"/>
    <w:rsid w:val="55CE4CE0"/>
    <w:rsid w:val="55D26E11"/>
    <w:rsid w:val="55D86398"/>
    <w:rsid w:val="55DC3463"/>
    <w:rsid w:val="55DC7289"/>
    <w:rsid w:val="55E50795"/>
    <w:rsid w:val="55F27EEA"/>
    <w:rsid w:val="55F31568"/>
    <w:rsid w:val="55F765E5"/>
    <w:rsid w:val="55F80996"/>
    <w:rsid w:val="56004EC4"/>
    <w:rsid w:val="56040378"/>
    <w:rsid w:val="5607340F"/>
    <w:rsid w:val="56243561"/>
    <w:rsid w:val="56265AD2"/>
    <w:rsid w:val="564C2FC9"/>
    <w:rsid w:val="566A6BF6"/>
    <w:rsid w:val="56702BCB"/>
    <w:rsid w:val="567153B2"/>
    <w:rsid w:val="568D4815"/>
    <w:rsid w:val="568E6439"/>
    <w:rsid w:val="569A354A"/>
    <w:rsid w:val="56A75DA7"/>
    <w:rsid w:val="56B62A0B"/>
    <w:rsid w:val="56C44DCE"/>
    <w:rsid w:val="56D14861"/>
    <w:rsid w:val="56D448BE"/>
    <w:rsid w:val="56DC1A82"/>
    <w:rsid w:val="56DF393A"/>
    <w:rsid w:val="56F02BC0"/>
    <w:rsid w:val="56FB79DE"/>
    <w:rsid w:val="57092B06"/>
    <w:rsid w:val="570C38E2"/>
    <w:rsid w:val="570D6904"/>
    <w:rsid w:val="570E6F3C"/>
    <w:rsid w:val="57112AF7"/>
    <w:rsid w:val="57122E85"/>
    <w:rsid w:val="572033DD"/>
    <w:rsid w:val="57263EA4"/>
    <w:rsid w:val="573561AF"/>
    <w:rsid w:val="574A6ADB"/>
    <w:rsid w:val="575B30B8"/>
    <w:rsid w:val="575D1FF8"/>
    <w:rsid w:val="5771167B"/>
    <w:rsid w:val="57811640"/>
    <w:rsid w:val="578143A8"/>
    <w:rsid w:val="578776BC"/>
    <w:rsid w:val="579E2361"/>
    <w:rsid w:val="57A65985"/>
    <w:rsid w:val="57A91D10"/>
    <w:rsid w:val="57B17875"/>
    <w:rsid w:val="57CA580C"/>
    <w:rsid w:val="57CC0AAC"/>
    <w:rsid w:val="57D63C4A"/>
    <w:rsid w:val="57D7044A"/>
    <w:rsid w:val="57D86D8A"/>
    <w:rsid w:val="57DA10D2"/>
    <w:rsid w:val="57FF5025"/>
    <w:rsid w:val="580B3691"/>
    <w:rsid w:val="580D4907"/>
    <w:rsid w:val="58164938"/>
    <w:rsid w:val="581B2716"/>
    <w:rsid w:val="581F20A8"/>
    <w:rsid w:val="582D0C82"/>
    <w:rsid w:val="5847655D"/>
    <w:rsid w:val="584F0835"/>
    <w:rsid w:val="58513A52"/>
    <w:rsid w:val="585B7B95"/>
    <w:rsid w:val="586124FB"/>
    <w:rsid w:val="586533D2"/>
    <w:rsid w:val="58696DEF"/>
    <w:rsid w:val="58781BC3"/>
    <w:rsid w:val="589F639F"/>
    <w:rsid w:val="58C330C3"/>
    <w:rsid w:val="58CD73F0"/>
    <w:rsid w:val="58DD1AD8"/>
    <w:rsid w:val="58DE4D6B"/>
    <w:rsid w:val="58EB3386"/>
    <w:rsid w:val="58F4507C"/>
    <w:rsid w:val="590A7B4E"/>
    <w:rsid w:val="590D6791"/>
    <w:rsid w:val="590F38BD"/>
    <w:rsid w:val="59154977"/>
    <w:rsid w:val="59173A08"/>
    <w:rsid w:val="59183E67"/>
    <w:rsid w:val="591F58ED"/>
    <w:rsid w:val="593554FE"/>
    <w:rsid w:val="593B2798"/>
    <w:rsid w:val="59441479"/>
    <w:rsid w:val="59541140"/>
    <w:rsid w:val="5964785E"/>
    <w:rsid w:val="59773BEA"/>
    <w:rsid w:val="59877578"/>
    <w:rsid w:val="59967958"/>
    <w:rsid w:val="59987EDE"/>
    <w:rsid w:val="599903BA"/>
    <w:rsid w:val="599A6B02"/>
    <w:rsid w:val="59B215E6"/>
    <w:rsid w:val="59B763E4"/>
    <w:rsid w:val="59B8157B"/>
    <w:rsid w:val="59BC26C9"/>
    <w:rsid w:val="59BC73E7"/>
    <w:rsid w:val="59E45B6C"/>
    <w:rsid w:val="59E96B66"/>
    <w:rsid w:val="59ED654B"/>
    <w:rsid w:val="59ED7A03"/>
    <w:rsid w:val="5A0866EB"/>
    <w:rsid w:val="5A0D21C7"/>
    <w:rsid w:val="5A155CF1"/>
    <w:rsid w:val="5A255824"/>
    <w:rsid w:val="5A3F1F40"/>
    <w:rsid w:val="5A4B030C"/>
    <w:rsid w:val="5A5A0E37"/>
    <w:rsid w:val="5A5A4D48"/>
    <w:rsid w:val="5A5E1A8A"/>
    <w:rsid w:val="5A6723D9"/>
    <w:rsid w:val="5A83693F"/>
    <w:rsid w:val="5A884DFC"/>
    <w:rsid w:val="5A8A1271"/>
    <w:rsid w:val="5A985A88"/>
    <w:rsid w:val="5AA321B8"/>
    <w:rsid w:val="5AA751D5"/>
    <w:rsid w:val="5AC14C4F"/>
    <w:rsid w:val="5AD018F8"/>
    <w:rsid w:val="5AD13779"/>
    <w:rsid w:val="5AE35557"/>
    <w:rsid w:val="5AE82D4A"/>
    <w:rsid w:val="5AF43221"/>
    <w:rsid w:val="5B021F55"/>
    <w:rsid w:val="5B0920F7"/>
    <w:rsid w:val="5B0C0E94"/>
    <w:rsid w:val="5B12588A"/>
    <w:rsid w:val="5B280F87"/>
    <w:rsid w:val="5B2F3836"/>
    <w:rsid w:val="5B394DBB"/>
    <w:rsid w:val="5B6861B6"/>
    <w:rsid w:val="5B7860C4"/>
    <w:rsid w:val="5B852C75"/>
    <w:rsid w:val="5B8817B5"/>
    <w:rsid w:val="5B8C2A9D"/>
    <w:rsid w:val="5B92670C"/>
    <w:rsid w:val="5B954484"/>
    <w:rsid w:val="5B9A19EF"/>
    <w:rsid w:val="5B9A4B12"/>
    <w:rsid w:val="5B9C0740"/>
    <w:rsid w:val="5B9D3EBA"/>
    <w:rsid w:val="5B9F30DC"/>
    <w:rsid w:val="5BAC4FB3"/>
    <w:rsid w:val="5BBA121B"/>
    <w:rsid w:val="5BC8097B"/>
    <w:rsid w:val="5BCB6526"/>
    <w:rsid w:val="5BD67B34"/>
    <w:rsid w:val="5BE16D7E"/>
    <w:rsid w:val="5BFC52C6"/>
    <w:rsid w:val="5BFC7F71"/>
    <w:rsid w:val="5C095E6F"/>
    <w:rsid w:val="5C0C355F"/>
    <w:rsid w:val="5C3E303A"/>
    <w:rsid w:val="5C434C11"/>
    <w:rsid w:val="5C4448C7"/>
    <w:rsid w:val="5C466753"/>
    <w:rsid w:val="5C4C0928"/>
    <w:rsid w:val="5C4E6341"/>
    <w:rsid w:val="5C551EB1"/>
    <w:rsid w:val="5C5C1969"/>
    <w:rsid w:val="5C5E2D32"/>
    <w:rsid w:val="5C6742CB"/>
    <w:rsid w:val="5C684645"/>
    <w:rsid w:val="5C7B686D"/>
    <w:rsid w:val="5C7C5F0C"/>
    <w:rsid w:val="5C814A4B"/>
    <w:rsid w:val="5C8321A8"/>
    <w:rsid w:val="5C833FF3"/>
    <w:rsid w:val="5C87511F"/>
    <w:rsid w:val="5C8F36F9"/>
    <w:rsid w:val="5C9E24E3"/>
    <w:rsid w:val="5C9E3E73"/>
    <w:rsid w:val="5CB72CEF"/>
    <w:rsid w:val="5CB75095"/>
    <w:rsid w:val="5CB81E12"/>
    <w:rsid w:val="5CB85583"/>
    <w:rsid w:val="5CBA6615"/>
    <w:rsid w:val="5CBD2769"/>
    <w:rsid w:val="5CC6160F"/>
    <w:rsid w:val="5CE97186"/>
    <w:rsid w:val="5CED1068"/>
    <w:rsid w:val="5CED6664"/>
    <w:rsid w:val="5CF1336A"/>
    <w:rsid w:val="5CF33075"/>
    <w:rsid w:val="5CF66E77"/>
    <w:rsid w:val="5CFD5BC0"/>
    <w:rsid w:val="5D0B3750"/>
    <w:rsid w:val="5D0C293C"/>
    <w:rsid w:val="5D2E3760"/>
    <w:rsid w:val="5D400CEE"/>
    <w:rsid w:val="5D411606"/>
    <w:rsid w:val="5D503A85"/>
    <w:rsid w:val="5D504EDF"/>
    <w:rsid w:val="5D521D3C"/>
    <w:rsid w:val="5D642E9A"/>
    <w:rsid w:val="5D826A20"/>
    <w:rsid w:val="5D8564C2"/>
    <w:rsid w:val="5D933EF6"/>
    <w:rsid w:val="5DA63671"/>
    <w:rsid w:val="5DA75D46"/>
    <w:rsid w:val="5DA84AF2"/>
    <w:rsid w:val="5DCF0071"/>
    <w:rsid w:val="5DD43DAC"/>
    <w:rsid w:val="5DDC1ACC"/>
    <w:rsid w:val="5DDF7085"/>
    <w:rsid w:val="5DF105C3"/>
    <w:rsid w:val="5DF1782E"/>
    <w:rsid w:val="5DF90FB9"/>
    <w:rsid w:val="5E162E4A"/>
    <w:rsid w:val="5E2677E3"/>
    <w:rsid w:val="5E33481B"/>
    <w:rsid w:val="5E3A4379"/>
    <w:rsid w:val="5E3E112A"/>
    <w:rsid w:val="5E415E9C"/>
    <w:rsid w:val="5E4D0486"/>
    <w:rsid w:val="5E4D6756"/>
    <w:rsid w:val="5E50053E"/>
    <w:rsid w:val="5E555A78"/>
    <w:rsid w:val="5E7B40F9"/>
    <w:rsid w:val="5E822B82"/>
    <w:rsid w:val="5E874981"/>
    <w:rsid w:val="5E897F7A"/>
    <w:rsid w:val="5E9C606D"/>
    <w:rsid w:val="5E9D5478"/>
    <w:rsid w:val="5EAA2F03"/>
    <w:rsid w:val="5EB542DA"/>
    <w:rsid w:val="5EB807A1"/>
    <w:rsid w:val="5ED2232A"/>
    <w:rsid w:val="5EE176ED"/>
    <w:rsid w:val="5EEC63F2"/>
    <w:rsid w:val="5EED2677"/>
    <w:rsid w:val="5EFF0303"/>
    <w:rsid w:val="5F007A59"/>
    <w:rsid w:val="5F022DE6"/>
    <w:rsid w:val="5F0C5812"/>
    <w:rsid w:val="5F1F6F52"/>
    <w:rsid w:val="5F2253EF"/>
    <w:rsid w:val="5F2310F5"/>
    <w:rsid w:val="5F240D70"/>
    <w:rsid w:val="5F2F5310"/>
    <w:rsid w:val="5F4A3561"/>
    <w:rsid w:val="5F642FB3"/>
    <w:rsid w:val="5F76082E"/>
    <w:rsid w:val="5F853DD1"/>
    <w:rsid w:val="5F88713F"/>
    <w:rsid w:val="5F8964BD"/>
    <w:rsid w:val="5F8A1D20"/>
    <w:rsid w:val="5F92293B"/>
    <w:rsid w:val="5F953B4C"/>
    <w:rsid w:val="5F9B6C4E"/>
    <w:rsid w:val="5FA37F35"/>
    <w:rsid w:val="5FAC59C4"/>
    <w:rsid w:val="5FAE2581"/>
    <w:rsid w:val="5FB349B8"/>
    <w:rsid w:val="5FCC26CF"/>
    <w:rsid w:val="5FCD49AD"/>
    <w:rsid w:val="5FD36793"/>
    <w:rsid w:val="5FE367F4"/>
    <w:rsid w:val="5FF67529"/>
    <w:rsid w:val="5FFB7A47"/>
    <w:rsid w:val="5FFF4DF4"/>
    <w:rsid w:val="60051C5F"/>
    <w:rsid w:val="6009431E"/>
    <w:rsid w:val="60391C97"/>
    <w:rsid w:val="60573122"/>
    <w:rsid w:val="605D4710"/>
    <w:rsid w:val="60610DE1"/>
    <w:rsid w:val="606A14C8"/>
    <w:rsid w:val="606A60B7"/>
    <w:rsid w:val="606E1D6E"/>
    <w:rsid w:val="606F0399"/>
    <w:rsid w:val="607341C0"/>
    <w:rsid w:val="60871D61"/>
    <w:rsid w:val="608F3CC5"/>
    <w:rsid w:val="6094229C"/>
    <w:rsid w:val="609864D9"/>
    <w:rsid w:val="60A22E7F"/>
    <w:rsid w:val="60AB59CF"/>
    <w:rsid w:val="60C37E75"/>
    <w:rsid w:val="60D47EB3"/>
    <w:rsid w:val="60D51B09"/>
    <w:rsid w:val="60D631E2"/>
    <w:rsid w:val="60D84E52"/>
    <w:rsid w:val="60DC124A"/>
    <w:rsid w:val="60E25ED3"/>
    <w:rsid w:val="60E331EC"/>
    <w:rsid w:val="60E33BAB"/>
    <w:rsid w:val="610D68DF"/>
    <w:rsid w:val="610F7C32"/>
    <w:rsid w:val="611868F5"/>
    <w:rsid w:val="61187370"/>
    <w:rsid w:val="613C44E4"/>
    <w:rsid w:val="614D3051"/>
    <w:rsid w:val="614E38D3"/>
    <w:rsid w:val="61596DC6"/>
    <w:rsid w:val="615D0920"/>
    <w:rsid w:val="6165584E"/>
    <w:rsid w:val="617354FD"/>
    <w:rsid w:val="61902A9B"/>
    <w:rsid w:val="619F237E"/>
    <w:rsid w:val="61BC58BF"/>
    <w:rsid w:val="61C5664B"/>
    <w:rsid w:val="61C730AA"/>
    <w:rsid w:val="61C972B2"/>
    <w:rsid w:val="61DD3DC1"/>
    <w:rsid w:val="61EA54DC"/>
    <w:rsid w:val="61ED38C3"/>
    <w:rsid w:val="61FC5093"/>
    <w:rsid w:val="620B1F7E"/>
    <w:rsid w:val="62246FF0"/>
    <w:rsid w:val="622A4C2C"/>
    <w:rsid w:val="62316E72"/>
    <w:rsid w:val="6237639F"/>
    <w:rsid w:val="625726D0"/>
    <w:rsid w:val="625955C6"/>
    <w:rsid w:val="625A00D7"/>
    <w:rsid w:val="625A6204"/>
    <w:rsid w:val="625B4567"/>
    <w:rsid w:val="62676819"/>
    <w:rsid w:val="62681347"/>
    <w:rsid w:val="62755EB6"/>
    <w:rsid w:val="627725AB"/>
    <w:rsid w:val="627C4171"/>
    <w:rsid w:val="627E64F1"/>
    <w:rsid w:val="62820231"/>
    <w:rsid w:val="6291631A"/>
    <w:rsid w:val="629D4B6A"/>
    <w:rsid w:val="629D679F"/>
    <w:rsid w:val="629F597C"/>
    <w:rsid w:val="62AE1781"/>
    <w:rsid w:val="62BE5CFB"/>
    <w:rsid w:val="62BF71E4"/>
    <w:rsid w:val="62C44677"/>
    <w:rsid w:val="62C616B2"/>
    <w:rsid w:val="62CC798F"/>
    <w:rsid w:val="62E81BAA"/>
    <w:rsid w:val="62EA4565"/>
    <w:rsid w:val="62F80D06"/>
    <w:rsid w:val="630C1130"/>
    <w:rsid w:val="63175B93"/>
    <w:rsid w:val="63241C2E"/>
    <w:rsid w:val="63333F80"/>
    <w:rsid w:val="633372DD"/>
    <w:rsid w:val="6334412D"/>
    <w:rsid w:val="63422A85"/>
    <w:rsid w:val="63453122"/>
    <w:rsid w:val="63454DE9"/>
    <w:rsid w:val="6352453D"/>
    <w:rsid w:val="63582CE8"/>
    <w:rsid w:val="63767E9F"/>
    <w:rsid w:val="637B7FFC"/>
    <w:rsid w:val="638C66B1"/>
    <w:rsid w:val="63937450"/>
    <w:rsid w:val="639A466F"/>
    <w:rsid w:val="63A70595"/>
    <w:rsid w:val="63A81876"/>
    <w:rsid w:val="63A97AA3"/>
    <w:rsid w:val="63AF1D21"/>
    <w:rsid w:val="63B561E8"/>
    <w:rsid w:val="63C86079"/>
    <w:rsid w:val="63CA6F23"/>
    <w:rsid w:val="63EC2E7C"/>
    <w:rsid w:val="63EF135B"/>
    <w:rsid w:val="63EF7854"/>
    <w:rsid w:val="641644AE"/>
    <w:rsid w:val="641F37E0"/>
    <w:rsid w:val="642063AE"/>
    <w:rsid w:val="64237A9E"/>
    <w:rsid w:val="642A7C63"/>
    <w:rsid w:val="64473DFE"/>
    <w:rsid w:val="64481398"/>
    <w:rsid w:val="645048B6"/>
    <w:rsid w:val="64520C69"/>
    <w:rsid w:val="64546374"/>
    <w:rsid w:val="645E385C"/>
    <w:rsid w:val="646D7943"/>
    <w:rsid w:val="648A198A"/>
    <w:rsid w:val="649014AC"/>
    <w:rsid w:val="64AD1AFC"/>
    <w:rsid w:val="64B463DE"/>
    <w:rsid w:val="64B7618D"/>
    <w:rsid w:val="64B76197"/>
    <w:rsid w:val="64BB17CB"/>
    <w:rsid w:val="64BB1B76"/>
    <w:rsid w:val="64BE472B"/>
    <w:rsid w:val="64BF604B"/>
    <w:rsid w:val="64D760AA"/>
    <w:rsid w:val="64D83087"/>
    <w:rsid w:val="65072A34"/>
    <w:rsid w:val="650A0089"/>
    <w:rsid w:val="650C223E"/>
    <w:rsid w:val="65143A6B"/>
    <w:rsid w:val="65244B21"/>
    <w:rsid w:val="652A1921"/>
    <w:rsid w:val="65407434"/>
    <w:rsid w:val="654314ED"/>
    <w:rsid w:val="65535B2D"/>
    <w:rsid w:val="656809DC"/>
    <w:rsid w:val="65714685"/>
    <w:rsid w:val="65767787"/>
    <w:rsid w:val="65785CAD"/>
    <w:rsid w:val="657B1BA6"/>
    <w:rsid w:val="657D6680"/>
    <w:rsid w:val="65862E1F"/>
    <w:rsid w:val="65956842"/>
    <w:rsid w:val="65976067"/>
    <w:rsid w:val="65AC6CB1"/>
    <w:rsid w:val="65B52D15"/>
    <w:rsid w:val="65B77C2F"/>
    <w:rsid w:val="65C771ED"/>
    <w:rsid w:val="65E43ED2"/>
    <w:rsid w:val="65E460F4"/>
    <w:rsid w:val="65E52B0F"/>
    <w:rsid w:val="65EB4CDF"/>
    <w:rsid w:val="65F36D30"/>
    <w:rsid w:val="65FE16AE"/>
    <w:rsid w:val="660832C8"/>
    <w:rsid w:val="66127F31"/>
    <w:rsid w:val="661A6A42"/>
    <w:rsid w:val="661B3143"/>
    <w:rsid w:val="66266AD5"/>
    <w:rsid w:val="66297599"/>
    <w:rsid w:val="662B1A94"/>
    <w:rsid w:val="663F5653"/>
    <w:rsid w:val="665C53C9"/>
    <w:rsid w:val="665E34E6"/>
    <w:rsid w:val="666331D0"/>
    <w:rsid w:val="6664549B"/>
    <w:rsid w:val="6664753D"/>
    <w:rsid w:val="6683521E"/>
    <w:rsid w:val="6694350D"/>
    <w:rsid w:val="66970B34"/>
    <w:rsid w:val="66A357BA"/>
    <w:rsid w:val="66AA2F82"/>
    <w:rsid w:val="66D31117"/>
    <w:rsid w:val="66D45A75"/>
    <w:rsid w:val="66DD55D7"/>
    <w:rsid w:val="66F347C2"/>
    <w:rsid w:val="66F759D1"/>
    <w:rsid w:val="66FC06B8"/>
    <w:rsid w:val="66FC541B"/>
    <w:rsid w:val="670479F3"/>
    <w:rsid w:val="67060FBE"/>
    <w:rsid w:val="670B5D1A"/>
    <w:rsid w:val="67187713"/>
    <w:rsid w:val="671B5EDB"/>
    <w:rsid w:val="67200B76"/>
    <w:rsid w:val="67293FE3"/>
    <w:rsid w:val="673812C6"/>
    <w:rsid w:val="673B629C"/>
    <w:rsid w:val="67441022"/>
    <w:rsid w:val="675039FA"/>
    <w:rsid w:val="67517C95"/>
    <w:rsid w:val="676149A1"/>
    <w:rsid w:val="6762428C"/>
    <w:rsid w:val="6769182C"/>
    <w:rsid w:val="676A6DD5"/>
    <w:rsid w:val="676A7027"/>
    <w:rsid w:val="676F5F65"/>
    <w:rsid w:val="67751980"/>
    <w:rsid w:val="677E6E1E"/>
    <w:rsid w:val="678205DA"/>
    <w:rsid w:val="679E0987"/>
    <w:rsid w:val="67A41B77"/>
    <w:rsid w:val="67A67F01"/>
    <w:rsid w:val="67AD1B83"/>
    <w:rsid w:val="67BB73AF"/>
    <w:rsid w:val="67E56749"/>
    <w:rsid w:val="67FD0B83"/>
    <w:rsid w:val="680B6E9B"/>
    <w:rsid w:val="680D389F"/>
    <w:rsid w:val="68152865"/>
    <w:rsid w:val="68243755"/>
    <w:rsid w:val="683E4589"/>
    <w:rsid w:val="684263BC"/>
    <w:rsid w:val="684F3FFB"/>
    <w:rsid w:val="685876BC"/>
    <w:rsid w:val="685D0AD1"/>
    <w:rsid w:val="6868046C"/>
    <w:rsid w:val="6878092C"/>
    <w:rsid w:val="687F1A60"/>
    <w:rsid w:val="6880757D"/>
    <w:rsid w:val="68841ADE"/>
    <w:rsid w:val="688A2AE1"/>
    <w:rsid w:val="688A60D0"/>
    <w:rsid w:val="68906168"/>
    <w:rsid w:val="689912B9"/>
    <w:rsid w:val="68AD53A5"/>
    <w:rsid w:val="68B62319"/>
    <w:rsid w:val="68C024B9"/>
    <w:rsid w:val="68C843C0"/>
    <w:rsid w:val="68D10490"/>
    <w:rsid w:val="68F60A8C"/>
    <w:rsid w:val="68F730E3"/>
    <w:rsid w:val="6908537E"/>
    <w:rsid w:val="6912480D"/>
    <w:rsid w:val="691A59E2"/>
    <w:rsid w:val="69332445"/>
    <w:rsid w:val="693B6660"/>
    <w:rsid w:val="694915CA"/>
    <w:rsid w:val="69A65B40"/>
    <w:rsid w:val="69B013F1"/>
    <w:rsid w:val="69B6214E"/>
    <w:rsid w:val="69B82549"/>
    <w:rsid w:val="69B93C3B"/>
    <w:rsid w:val="69C76CD3"/>
    <w:rsid w:val="69D94674"/>
    <w:rsid w:val="69F50C02"/>
    <w:rsid w:val="69F523D1"/>
    <w:rsid w:val="69FF364B"/>
    <w:rsid w:val="69FF6E3D"/>
    <w:rsid w:val="6A0B6169"/>
    <w:rsid w:val="6A1C2C58"/>
    <w:rsid w:val="6A256B54"/>
    <w:rsid w:val="6A294333"/>
    <w:rsid w:val="6A386CBD"/>
    <w:rsid w:val="6A445F67"/>
    <w:rsid w:val="6A493D3D"/>
    <w:rsid w:val="6A4C7698"/>
    <w:rsid w:val="6A4F0F38"/>
    <w:rsid w:val="6A4F4E07"/>
    <w:rsid w:val="6A5B2612"/>
    <w:rsid w:val="6A6E6202"/>
    <w:rsid w:val="6A7D3FC4"/>
    <w:rsid w:val="6A7F5BE8"/>
    <w:rsid w:val="6A94668B"/>
    <w:rsid w:val="6AB64B1A"/>
    <w:rsid w:val="6AB967D1"/>
    <w:rsid w:val="6AC00990"/>
    <w:rsid w:val="6AC048C6"/>
    <w:rsid w:val="6AC56FB1"/>
    <w:rsid w:val="6AC76B81"/>
    <w:rsid w:val="6ACA084A"/>
    <w:rsid w:val="6AE11EA6"/>
    <w:rsid w:val="6AE12181"/>
    <w:rsid w:val="6AE27287"/>
    <w:rsid w:val="6AF73CAF"/>
    <w:rsid w:val="6B066257"/>
    <w:rsid w:val="6B155E07"/>
    <w:rsid w:val="6B161CF0"/>
    <w:rsid w:val="6B165DA5"/>
    <w:rsid w:val="6B174751"/>
    <w:rsid w:val="6B1839C1"/>
    <w:rsid w:val="6B205FA2"/>
    <w:rsid w:val="6B2148C5"/>
    <w:rsid w:val="6B306171"/>
    <w:rsid w:val="6B350B09"/>
    <w:rsid w:val="6B573965"/>
    <w:rsid w:val="6B575A68"/>
    <w:rsid w:val="6B607A7C"/>
    <w:rsid w:val="6B6A5AF0"/>
    <w:rsid w:val="6B6B5D6F"/>
    <w:rsid w:val="6B75506E"/>
    <w:rsid w:val="6B7B5544"/>
    <w:rsid w:val="6B7B5DED"/>
    <w:rsid w:val="6B7B6233"/>
    <w:rsid w:val="6B834589"/>
    <w:rsid w:val="6B870C51"/>
    <w:rsid w:val="6B91008B"/>
    <w:rsid w:val="6B9E23FA"/>
    <w:rsid w:val="6BA14220"/>
    <w:rsid w:val="6BAA3173"/>
    <w:rsid w:val="6BAA7CBA"/>
    <w:rsid w:val="6BBD08C5"/>
    <w:rsid w:val="6BBE72BF"/>
    <w:rsid w:val="6BC63E71"/>
    <w:rsid w:val="6BCB787A"/>
    <w:rsid w:val="6BD55A20"/>
    <w:rsid w:val="6BD71DF7"/>
    <w:rsid w:val="6BD93312"/>
    <w:rsid w:val="6BE053C7"/>
    <w:rsid w:val="6BEF0392"/>
    <w:rsid w:val="6C0059D0"/>
    <w:rsid w:val="6C0C1C29"/>
    <w:rsid w:val="6C191A3A"/>
    <w:rsid w:val="6C276253"/>
    <w:rsid w:val="6C3F0FD6"/>
    <w:rsid w:val="6C3F3938"/>
    <w:rsid w:val="6C484430"/>
    <w:rsid w:val="6C5F3CA6"/>
    <w:rsid w:val="6C677DE9"/>
    <w:rsid w:val="6C695832"/>
    <w:rsid w:val="6C6E6960"/>
    <w:rsid w:val="6C6F73F8"/>
    <w:rsid w:val="6C757B50"/>
    <w:rsid w:val="6C7C276D"/>
    <w:rsid w:val="6C850379"/>
    <w:rsid w:val="6C8835FC"/>
    <w:rsid w:val="6C973A2F"/>
    <w:rsid w:val="6C9D01C3"/>
    <w:rsid w:val="6CA603CD"/>
    <w:rsid w:val="6CA7673A"/>
    <w:rsid w:val="6CA776FA"/>
    <w:rsid w:val="6CAC2E72"/>
    <w:rsid w:val="6CB36D21"/>
    <w:rsid w:val="6CB64CE4"/>
    <w:rsid w:val="6CBE1694"/>
    <w:rsid w:val="6CBF7E44"/>
    <w:rsid w:val="6CC652DE"/>
    <w:rsid w:val="6CCD74C8"/>
    <w:rsid w:val="6CCF3365"/>
    <w:rsid w:val="6CE02A34"/>
    <w:rsid w:val="6CE70F0F"/>
    <w:rsid w:val="6CED7665"/>
    <w:rsid w:val="6CF81D25"/>
    <w:rsid w:val="6D072B49"/>
    <w:rsid w:val="6D09622C"/>
    <w:rsid w:val="6D0B3548"/>
    <w:rsid w:val="6D1425B5"/>
    <w:rsid w:val="6D311FF8"/>
    <w:rsid w:val="6D3131F6"/>
    <w:rsid w:val="6D367907"/>
    <w:rsid w:val="6D3B1955"/>
    <w:rsid w:val="6D3C0059"/>
    <w:rsid w:val="6D3F285C"/>
    <w:rsid w:val="6D4134D0"/>
    <w:rsid w:val="6D441123"/>
    <w:rsid w:val="6D510F2F"/>
    <w:rsid w:val="6D6209AD"/>
    <w:rsid w:val="6D8C31DA"/>
    <w:rsid w:val="6D976907"/>
    <w:rsid w:val="6DA647B9"/>
    <w:rsid w:val="6DAB72D8"/>
    <w:rsid w:val="6DB712B0"/>
    <w:rsid w:val="6DB91794"/>
    <w:rsid w:val="6DBB6061"/>
    <w:rsid w:val="6DBD2048"/>
    <w:rsid w:val="6DC06CF9"/>
    <w:rsid w:val="6DC92557"/>
    <w:rsid w:val="6DD82B5C"/>
    <w:rsid w:val="6DDE61F1"/>
    <w:rsid w:val="6DEE07D1"/>
    <w:rsid w:val="6DF53275"/>
    <w:rsid w:val="6DFB70B6"/>
    <w:rsid w:val="6E0455C9"/>
    <w:rsid w:val="6E0979AE"/>
    <w:rsid w:val="6E0D2AED"/>
    <w:rsid w:val="6E170B51"/>
    <w:rsid w:val="6E191891"/>
    <w:rsid w:val="6E2B3E45"/>
    <w:rsid w:val="6E2D6EBF"/>
    <w:rsid w:val="6E442EBD"/>
    <w:rsid w:val="6E462064"/>
    <w:rsid w:val="6E4A1ACC"/>
    <w:rsid w:val="6E511DCE"/>
    <w:rsid w:val="6E5A1E1C"/>
    <w:rsid w:val="6E7D5BFF"/>
    <w:rsid w:val="6E7D5F44"/>
    <w:rsid w:val="6E847AC9"/>
    <w:rsid w:val="6E9103B3"/>
    <w:rsid w:val="6E9B4C6B"/>
    <w:rsid w:val="6E9C573F"/>
    <w:rsid w:val="6E9F549F"/>
    <w:rsid w:val="6EA46461"/>
    <w:rsid w:val="6EA719C2"/>
    <w:rsid w:val="6EA969B8"/>
    <w:rsid w:val="6EAA19EC"/>
    <w:rsid w:val="6EBC3FD6"/>
    <w:rsid w:val="6EC01A24"/>
    <w:rsid w:val="6EC73C54"/>
    <w:rsid w:val="6ED15AAA"/>
    <w:rsid w:val="6EDD34E0"/>
    <w:rsid w:val="6EE16C96"/>
    <w:rsid w:val="6EE637AD"/>
    <w:rsid w:val="6EE90056"/>
    <w:rsid w:val="6EFB3A28"/>
    <w:rsid w:val="6F0403A3"/>
    <w:rsid w:val="6F114EF6"/>
    <w:rsid w:val="6F292BC8"/>
    <w:rsid w:val="6F362B99"/>
    <w:rsid w:val="6F3A6772"/>
    <w:rsid w:val="6F525429"/>
    <w:rsid w:val="6F52678B"/>
    <w:rsid w:val="6F53446B"/>
    <w:rsid w:val="6F651616"/>
    <w:rsid w:val="6F6F1ADE"/>
    <w:rsid w:val="6F731A93"/>
    <w:rsid w:val="6F7A6036"/>
    <w:rsid w:val="6F827811"/>
    <w:rsid w:val="6F9008DB"/>
    <w:rsid w:val="6FA208A3"/>
    <w:rsid w:val="6FAD024B"/>
    <w:rsid w:val="6FAF776B"/>
    <w:rsid w:val="6FB31CD3"/>
    <w:rsid w:val="6FB40897"/>
    <w:rsid w:val="6FB70DA8"/>
    <w:rsid w:val="6FBD4A8B"/>
    <w:rsid w:val="6FC40D20"/>
    <w:rsid w:val="6FCD682F"/>
    <w:rsid w:val="6FCF7432"/>
    <w:rsid w:val="6FD44282"/>
    <w:rsid w:val="6FD64C2D"/>
    <w:rsid w:val="6FE86762"/>
    <w:rsid w:val="6FEA0DFA"/>
    <w:rsid w:val="6FEE0C18"/>
    <w:rsid w:val="6FF50FA1"/>
    <w:rsid w:val="6FF7446D"/>
    <w:rsid w:val="70077D14"/>
    <w:rsid w:val="7011159A"/>
    <w:rsid w:val="704177BB"/>
    <w:rsid w:val="704523C0"/>
    <w:rsid w:val="70460E36"/>
    <w:rsid w:val="70540F69"/>
    <w:rsid w:val="706D5C97"/>
    <w:rsid w:val="707A46B5"/>
    <w:rsid w:val="707A5EF4"/>
    <w:rsid w:val="70925E24"/>
    <w:rsid w:val="70A148A2"/>
    <w:rsid w:val="70A148CA"/>
    <w:rsid w:val="70A61D60"/>
    <w:rsid w:val="70A639B5"/>
    <w:rsid w:val="70B65E11"/>
    <w:rsid w:val="70BF6753"/>
    <w:rsid w:val="70C22EC3"/>
    <w:rsid w:val="70C7488D"/>
    <w:rsid w:val="70E43028"/>
    <w:rsid w:val="70EE4AEA"/>
    <w:rsid w:val="70F36229"/>
    <w:rsid w:val="70F47233"/>
    <w:rsid w:val="70F91519"/>
    <w:rsid w:val="70FC3CC0"/>
    <w:rsid w:val="70FE1F9D"/>
    <w:rsid w:val="710A0D68"/>
    <w:rsid w:val="711478BF"/>
    <w:rsid w:val="7120276A"/>
    <w:rsid w:val="71414588"/>
    <w:rsid w:val="71482607"/>
    <w:rsid w:val="71525605"/>
    <w:rsid w:val="716B0D31"/>
    <w:rsid w:val="716E63B2"/>
    <w:rsid w:val="71710E1C"/>
    <w:rsid w:val="718203F9"/>
    <w:rsid w:val="718504D8"/>
    <w:rsid w:val="7190721B"/>
    <w:rsid w:val="71965F6E"/>
    <w:rsid w:val="719C1697"/>
    <w:rsid w:val="71AB0DA3"/>
    <w:rsid w:val="71AC20AA"/>
    <w:rsid w:val="71B573EC"/>
    <w:rsid w:val="71BA1F03"/>
    <w:rsid w:val="71BB516B"/>
    <w:rsid w:val="71C02B50"/>
    <w:rsid w:val="71C17F8B"/>
    <w:rsid w:val="71C25CAC"/>
    <w:rsid w:val="71CB0C73"/>
    <w:rsid w:val="71CD5C10"/>
    <w:rsid w:val="71D112F1"/>
    <w:rsid w:val="71D549B0"/>
    <w:rsid w:val="71E230F5"/>
    <w:rsid w:val="71E31D6B"/>
    <w:rsid w:val="71ED117C"/>
    <w:rsid w:val="71F31D57"/>
    <w:rsid w:val="7215061B"/>
    <w:rsid w:val="721763EE"/>
    <w:rsid w:val="721A3302"/>
    <w:rsid w:val="721B6CDD"/>
    <w:rsid w:val="72312642"/>
    <w:rsid w:val="72325697"/>
    <w:rsid w:val="72327884"/>
    <w:rsid w:val="72483591"/>
    <w:rsid w:val="724F33C0"/>
    <w:rsid w:val="72523BCF"/>
    <w:rsid w:val="72571B7C"/>
    <w:rsid w:val="72583838"/>
    <w:rsid w:val="725D254C"/>
    <w:rsid w:val="7260132E"/>
    <w:rsid w:val="726C261A"/>
    <w:rsid w:val="726D2330"/>
    <w:rsid w:val="72750F6A"/>
    <w:rsid w:val="727A43F5"/>
    <w:rsid w:val="72834263"/>
    <w:rsid w:val="728523AC"/>
    <w:rsid w:val="72866006"/>
    <w:rsid w:val="729C3486"/>
    <w:rsid w:val="72A168A3"/>
    <w:rsid w:val="72A66045"/>
    <w:rsid w:val="72B103AD"/>
    <w:rsid w:val="72D116C9"/>
    <w:rsid w:val="72D37C81"/>
    <w:rsid w:val="72DC36C2"/>
    <w:rsid w:val="72E719D0"/>
    <w:rsid w:val="72F04FEC"/>
    <w:rsid w:val="72F11725"/>
    <w:rsid w:val="72F62A73"/>
    <w:rsid w:val="73033AB5"/>
    <w:rsid w:val="73101DFC"/>
    <w:rsid w:val="731C2E3A"/>
    <w:rsid w:val="731E6447"/>
    <w:rsid w:val="73362468"/>
    <w:rsid w:val="733E3C79"/>
    <w:rsid w:val="734144A1"/>
    <w:rsid w:val="7342337E"/>
    <w:rsid w:val="73474FE8"/>
    <w:rsid w:val="73695E53"/>
    <w:rsid w:val="73697769"/>
    <w:rsid w:val="7373279F"/>
    <w:rsid w:val="737B3421"/>
    <w:rsid w:val="73815355"/>
    <w:rsid w:val="738639D0"/>
    <w:rsid w:val="738D3B7F"/>
    <w:rsid w:val="739C7B26"/>
    <w:rsid w:val="73AE7537"/>
    <w:rsid w:val="73AF3BFF"/>
    <w:rsid w:val="73D62A48"/>
    <w:rsid w:val="73D87FCB"/>
    <w:rsid w:val="73E32710"/>
    <w:rsid w:val="74006EC2"/>
    <w:rsid w:val="740308C7"/>
    <w:rsid w:val="7409531D"/>
    <w:rsid w:val="740A5D3B"/>
    <w:rsid w:val="74115AA4"/>
    <w:rsid w:val="74161CEC"/>
    <w:rsid w:val="74180653"/>
    <w:rsid w:val="741D30F3"/>
    <w:rsid w:val="74262FEF"/>
    <w:rsid w:val="742E5E5B"/>
    <w:rsid w:val="74365605"/>
    <w:rsid w:val="744E28C2"/>
    <w:rsid w:val="746023E5"/>
    <w:rsid w:val="748669A3"/>
    <w:rsid w:val="74867186"/>
    <w:rsid w:val="748C6360"/>
    <w:rsid w:val="74A450B1"/>
    <w:rsid w:val="74AE7535"/>
    <w:rsid w:val="74BB0A32"/>
    <w:rsid w:val="74CA5C14"/>
    <w:rsid w:val="74CD50D1"/>
    <w:rsid w:val="74D2125C"/>
    <w:rsid w:val="74E019C5"/>
    <w:rsid w:val="74EB0CDB"/>
    <w:rsid w:val="74EC4189"/>
    <w:rsid w:val="74F0597F"/>
    <w:rsid w:val="75095894"/>
    <w:rsid w:val="751657B1"/>
    <w:rsid w:val="75194663"/>
    <w:rsid w:val="75211CA9"/>
    <w:rsid w:val="7528130A"/>
    <w:rsid w:val="7532425D"/>
    <w:rsid w:val="753705EB"/>
    <w:rsid w:val="753A7D56"/>
    <w:rsid w:val="755859D1"/>
    <w:rsid w:val="755E39A4"/>
    <w:rsid w:val="756D1247"/>
    <w:rsid w:val="757515B1"/>
    <w:rsid w:val="75774B58"/>
    <w:rsid w:val="757D6CB0"/>
    <w:rsid w:val="757E15CA"/>
    <w:rsid w:val="758331B5"/>
    <w:rsid w:val="75897237"/>
    <w:rsid w:val="758A2AF9"/>
    <w:rsid w:val="75A60CD6"/>
    <w:rsid w:val="75AC5C63"/>
    <w:rsid w:val="75AF252A"/>
    <w:rsid w:val="75B20B22"/>
    <w:rsid w:val="75B33BB9"/>
    <w:rsid w:val="75C5637C"/>
    <w:rsid w:val="75CD4598"/>
    <w:rsid w:val="75D437A2"/>
    <w:rsid w:val="75DC69E9"/>
    <w:rsid w:val="75E727F7"/>
    <w:rsid w:val="75EC7D70"/>
    <w:rsid w:val="75ED55DA"/>
    <w:rsid w:val="76085DD4"/>
    <w:rsid w:val="76086287"/>
    <w:rsid w:val="76094709"/>
    <w:rsid w:val="76240770"/>
    <w:rsid w:val="763B77F7"/>
    <w:rsid w:val="76441EF2"/>
    <w:rsid w:val="764604BD"/>
    <w:rsid w:val="76590243"/>
    <w:rsid w:val="76593847"/>
    <w:rsid w:val="765E5E7A"/>
    <w:rsid w:val="767A46D0"/>
    <w:rsid w:val="767B2CDA"/>
    <w:rsid w:val="76841A59"/>
    <w:rsid w:val="76843AC7"/>
    <w:rsid w:val="76901537"/>
    <w:rsid w:val="769100D2"/>
    <w:rsid w:val="76911548"/>
    <w:rsid w:val="76911769"/>
    <w:rsid w:val="76A51FFC"/>
    <w:rsid w:val="76A60612"/>
    <w:rsid w:val="76B91F95"/>
    <w:rsid w:val="76BD39F5"/>
    <w:rsid w:val="76C04F47"/>
    <w:rsid w:val="76CE0493"/>
    <w:rsid w:val="76D00D99"/>
    <w:rsid w:val="76D621D7"/>
    <w:rsid w:val="76DA30E9"/>
    <w:rsid w:val="76DF08BF"/>
    <w:rsid w:val="76E62708"/>
    <w:rsid w:val="77003988"/>
    <w:rsid w:val="770B2435"/>
    <w:rsid w:val="77173222"/>
    <w:rsid w:val="772120FA"/>
    <w:rsid w:val="772357B5"/>
    <w:rsid w:val="772478AC"/>
    <w:rsid w:val="773D2F84"/>
    <w:rsid w:val="774066FF"/>
    <w:rsid w:val="77473B5E"/>
    <w:rsid w:val="77583C4C"/>
    <w:rsid w:val="77600A6F"/>
    <w:rsid w:val="776518BD"/>
    <w:rsid w:val="77670D3A"/>
    <w:rsid w:val="7771566A"/>
    <w:rsid w:val="77754420"/>
    <w:rsid w:val="77906CA0"/>
    <w:rsid w:val="7793575B"/>
    <w:rsid w:val="77A63147"/>
    <w:rsid w:val="77A86FB8"/>
    <w:rsid w:val="77B2597A"/>
    <w:rsid w:val="77CC1C7E"/>
    <w:rsid w:val="77D03781"/>
    <w:rsid w:val="77D272BD"/>
    <w:rsid w:val="77D67297"/>
    <w:rsid w:val="77DB2A4D"/>
    <w:rsid w:val="77DC3E97"/>
    <w:rsid w:val="77E36726"/>
    <w:rsid w:val="77E954BC"/>
    <w:rsid w:val="77F25450"/>
    <w:rsid w:val="77F435A1"/>
    <w:rsid w:val="780A260F"/>
    <w:rsid w:val="780E1879"/>
    <w:rsid w:val="78101A7C"/>
    <w:rsid w:val="78271CC0"/>
    <w:rsid w:val="782722FD"/>
    <w:rsid w:val="78292D1F"/>
    <w:rsid w:val="783421A6"/>
    <w:rsid w:val="78634002"/>
    <w:rsid w:val="78657F82"/>
    <w:rsid w:val="787661E4"/>
    <w:rsid w:val="789710C6"/>
    <w:rsid w:val="78BB2162"/>
    <w:rsid w:val="78BF13BE"/>
    <w:rsid w:val="78C17092"/>
    <w:rsid w:val="78C87A25"/>
    <w:rsid w:val="78D36002"/>
    <w:rsid w:val="78D470D8"/>
    <w:rsid w:val="78DE7016"/>
    <w:rsid w:val="78EB4850"/>
    <w:rsid w:val="78F14C53"/>
    <w:rsid w:val="78FC010E"/>
    <w:rsid w:val="790F3350"/>
    <w:rsid w:val="79156927"/>
    <w:rsid w:val="791800B8"/>
    <w:rsid w:val="791E2088"/>
    <w:rsid w:val="7922752A"/>
    <w:rsid w:val="79293035"/>
    <w:rsid w:val="792A72E8"/>
    <w:rsid w:val="792F7F47"/>
    <w:rsid w:val="793F4DDD"/>
    <w:rsid w:val="79546FAB"/>
    <w:rsid w:val="796C129E"/>
    <w:rsid w:val="796F26C1"/>
    <w:rsid w:val="79704100"/>
    <w:rsid w:val="798A57D2"/>
    <w:rsid w:val="799259B8"/>
    <w:rsid w:val="79947E0E"/>
    <w:rsid w:val="799A557D"/>
    <w:rsid w:val="79A0525E"/>
    <w:rsid w:val="79C52C81"/>
    <w:rsid w:val="79C97D76"/>
    <w:rsid w:val="79D11F65"/>
    <w:rsid w:val="79D40E0D"/>
    <w:rsid w:val="79D6367C"/>
    <w:rsid w:val="79E20577"/>
    <w:rsid w:val="79E606E0"/>
    <w:rsid w:val="79ED06DF"/>
    <w:rsid w:val="79F503F9"/>
    <w:rsid w:val="7A00364F"/>
    <w:rsid w:val="7A0F0E6F"/>
    <w:rsid w:val="7A352AF2"/>
    <w:rsid w:val="7A3B2C13"/>
    <w:rsid w:val="7A3F5543"/>
    <w:rsid w:val="7A467027"/>
    <w:rsid w:val="7A5175FF"/>
    <w:rsid w:val="7A5B6FD6"/>
    <w:rsid w:val="7A60118D"/>
    <w:rsid w:val="7A6200CD"/>
    <w:rsid w:val="7A675C14"/>
    <w:rsid w:val="7A6D4BC0"/>
    <w:rsid w:val="7A7B44BE"/>
    <w:rsid w:val="7A7E5FBE"/>
    <w:rsid w:val="7A933A53"/>
    <w:rsid w:val="7A9350B8"/>
    <w:rsid w:val="7A9E157D"/>
    <w:rsid w:val="7AA528A4"/>
    <w:rsid w:val="7AAF6B85"/>
    <w:rsid w:val="7ABB40AE"/>
    <w:rsid w:val="7AC24328"/>
    <w:rsid w:val="7ACE07DF"/>
    <w:rsid w:val="7AE609A0"/>
    <w:rsid w:val="7AF67026"/>
    <w:rsid w:val="7AFA0EA6"/>
    <w:rsid w:val="7B0130F4"/>
    <w:rsid w:val="7B0D5DB9"/>
    <w:rsid w:val="7B1611E6"/>
    <w:rsid w:val="7B1623D5"/>
    <w:rsid w:val="7B191639"/>
    <w:rsid w:val="7B2A7456"/>
    <w:rsid w:val="7B3473B8"/>
    <w:rsid w:val="7B3D17B2"/>
    <w:rsid w:val="7B455470"/>
    <w:rsid w:val="7B46268C"/>
    <w:rsid w:val="7B47082D"/>
    <w:rsid w:val="7B481D68"/>
    <w:rsid w:val="7B4F4072"/>
    <w:rsid w:val="7B5960C8"/>
    <w:rsid w:val="7B5A6F63"/>
    <w:rsid w:val="7B5E0327"/>
    <w:rsid w:val="7B836D22"/>
    <w:rsid w:val="7B8A65F5"/>
    <w:rsid w:val="7B9368AD"/>
    <w:rsid w:val="7BA80E68"/>
    <w:rsid w:val="7BB9184C"/>
    <w:rsid w:val="7BE77432"/>
    <w:rsid w:val="7BF42CAC"/>
    <w:rsid w:val="7C1E0B66"/>
    <w:rsid w:val="7C1F1A6F"/>
    <w:rsid w:val="7C25144F"/>
    <w:rsid w:val="7C2B2391"/>
    <w:rsid w:val="7C2E1994"/>
    <w:rsid w:val="7C46335B"/>
    <w:rsid w:val="7C5251D9"/>
    <w:rsid w:val="7C583EA0"/>
    <w:rsid w:val="7C766094"/>
    <w:rsid w:val="7C784496"/>
    <w:rsid w:val="7C843388"/>
    <w:rsid w:val="7C8731BB"/>
    <w:rsid w:val="7C895D26"/>
    <w:rsid w:val="7CA05ACD"/>
    <w:rsid w:val="7CCC1FB6"/>
    <w:rsid w:val="7CF27161"/>
    <w:rsid w:val="7CFC76D5"/>
    <w:rsid w:val="7CFF3BB1"/>
    <w:rsid w:val="7D0173BD"/>
    <w:rsid w:val="7D060C8C"/>
    <w:rsid w:val="7D18150D"/>
    <w:rsid w:val="7D1974AD"/>
    <w:rsid w:val="7D31246A"/>
    <w:rsid w:val="7D561B88"/>
    <w:rsid w:val="7D6876FE"/>
    <w:rsid w:val="7D7019F1"/>
    <w:rsid w:val="7D840B6D"/>
    <w:rsid w:val="7D8728F0"/>
    <w:rsid w:val="7D8776C5"/>
    <w:rsid w:val="7D8C67FD"/>
    <w:rsid w:val="7DC145EF"/>
    <w:rsid w:val="7DC56C69"/>
    <w:rsid w:val="7DC95C7B"/>
    <w:rsid w:val="7DCA60A9"/>
    <w:rsid w:val="7DCC4BB2"/>
    <w:rsid w:val="7DDB4500"/>
    <w:rsid w:val="7DDD34B2"/>
    <w:rsid w:val="7DF01FDC"/>
    <w:rsid w:val="7DF13445"/>
    <w:rsid w:val="7DF5059D"/>
    <w:rsid w:val="7DFB4A46"/>
    <w:rsid w:val="7DFD1BBE"/>
    <w:rsid w:val="7DFE1F67"/>
    <w:rsid w:val="7E132BFC"/>
    <w:rsid w:val="7E13771B"/>
    <w:rsid w:val="7E14224E"/>
    <w:rsid w:val="7E1D4EBE"/>
    <w:rsid w:val="7E2D0ED7"/>
    <w:rsid w:val="7E370D29"/>
    <w:rsid w:val="7E377130"/>
    <w:rsid w:val="7E3F0118"/>
    <w:rsid w:val="7E513413"/>
    <w:rsid w:val="7E566BF3"/>
    <w:rsid w:val="7E674C8E"/>
    <w:rsid w:val="7E6F5DE3"/>
    <w:rsid w:val="7E733CEE"/>
    <w:rsid w:val="7E784322"/>
    <w:rsid w:val="7E876F2C"/>
    <w:rsid w:val="7E923678"/>
    <w:rsid w:val="7E972339"/>
    <w:rsid w:val="7EA51D37"/>
    <w:rsid w:val="7EA74962"/>
    <w:rsid w:val="7EB2465F"/>
    <w:rsid w:val="7EBE3382"/>
    <w:rsid w:val="7EBE5D2D"/>
    <w:rsid w:val="7EBF0A0E"/>
    <w:rsid w:val="7EC30EDC"/>
    <w:rsid w:val="7EC32348"/>
    <w:rsid w:val="7ED16FDB"/>
    <w:rsid w:val="7ED27E41"/>
    <w:rsid w:val="7ED4224E"/>
    <w:rsid w:val="7ED820A5"/>
    <w:rsid w:val="7EDD6480"/>
    <w:rsid w:val="7EE11B79"/>
    <w:rsid w:val="7EE31BD2"/>
    <w:rsid w:val="7EE633BC"/>
    <w:rsid w:val="7EED6AE8"/>
    <w:rsid w:val="7F010652"/>
    <w:rsid w:val="7F175DC5"/>
    <w:rsid w:val="7F207F1A"/>
    <w:rsid w:val="7F2C5F2D"/>
    <w:rsid w:val="7F2F0A17"/>
    <w:rsid w:val="7F327CF2"/>
    <w:rsid w:val="7F3B1130"/>
    <w:rsid w:val="7F43785A"/>
    <w:rsid w:val="7F44420B"/>
    <w:rsid w:val="7F52000F"/>
    <w:rsid w:val="7F587B97"/>
    <w:rsid w:val="7F677DDD"/>
    <w:rsid w:val="7F894CE9"/>
    <w:rsid w:val="7F8A46E2"/>
    <w:rsid w:val="7F9A3E11"/>
    <w:rsid w:val="7F9B35F5"/>
    <w:rsid w:val="7F9F1FF0"/>
    <w:rsid w:val="7FB84652"/>
    <w:rsid w:val="7FBC3E60"/>
    <w:rsid w:val="7FC74075"/>
    <w:rsid w:val="7FC85B2D"/>
    <w:rsid w:val="7FC97E4D"/>
    <w:rsid w:val="7FDE02FA"/>
    <w:rsid w:val="7FDF050E"/>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ascii="仿宋_GB2312"/>
      <w:sz w:val="32"/>
    </w:rPr>
  </w:style>
  <w:style w:type="paragraph" w:styleId="5">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line="360" w:lineRule="auto"/>
    </w:pPr>
    <w:rPr>
      <w:rFonts w:ascii="仿宋体" w:eastAsia="仿宋体"/>
      <w:sz w:val="24"/>
    </w:rPr>
  </w:style>
  <w:style w:type="paragraph" w:styleId="8">
    <w:name w:val="annotation text"/>
    <w:basedOn w:val="1"/>
    <w:qFormat/>
    <w:uiPriority w:val="0"/>
    <w:pPr>
      <w:jc w:val="left"/>
    </w:pPr>
  </w:style>
  <w:style w:type="paragraph" w:styleId="9">
    <w:name w:val="Body Text"/>
    <w:basedOn w:val="1"/>
    <w:qFormat/>
    <w:uiPriority w:val="0"/>
  </w:style>
  <w:style w:type="paragraph" w:styleId="10">
    <w:name w:val="Plain Text"/>
    <w:basedOn w:val="1"/>
    <w:unhideWhenUsed/>
    <w:qFormat/>
    <w:uiPriority w:val="99"/>
    <w:rPr>
      <w:rFonts w:ascii="宋体" w:hAnsi="Courier New" w:cs="Courier New"/>
      <w:szCs w:val="21"/>
    </w:rPr>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2"/>
    <w:basedOn w:val="1"/>
    <w:qFormat/>
    <w:uiPriority w:val="0"/>
    <w:pPr>
      <w:spacing w:line="360" w:lineRule="auto"/>
      <w:ind w:left="839" w:hanging="839" w:hangingChars="355"/>
    </w:pPr>
    <w:rPr>
      <w:b/>
      <w:sz w:val="24"/>
    </w:r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9"/>
    <w:qFormat/>
    <w:uiPriority w:val="0"/>
    <w:pPr>
      <w:ind w:firstLine="420" w:firstLineChars="100"/>
    </w:pPr>
    <w:rPr>
      <w:szCs w:val="21"/>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默认段落字体 Para Char"/>
    <w:basedOn w:val="1"/>
    <w:qFormat/>
    <w:uiPriority w:val="0"/>
    <w:pPr>
      <w:adjustRightInd w:val="0"/>
      <w:spacing w:line="360" w:lineRule="auto"/>
    </w:p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列出段落1"/>
    <w:basedOn w:val="1"/>
    <w:qFormat/>
    <w:uiPriority w:val="34"/>
    <w:pPr>
      <w:ind w:firstLine="420" w:firstLineChars="200"/>
    </w:pPr>
  </w:style>
  <w:style w:type="character" w:customStyle="1" w:styleId="28">
    <w:name w:val="font11"/>
    <w:basedOn w:val="21"/>
    <w:qFormat/>
    <w:uiPriority w:val="0"/>
    <w:rPr>
      <w:rFonts w:hint="default" w:ascii="Times New Roman" w:hAnsi="Times New Roman" w:cs="Times New Roman"/>
      <w:color w:val="000000"/>
      <w:sz w:val="24"/>
      <w:szCs w:val="24"/>
      <w:u w:val="none"/>
    </w:rPr>
  </w:style>
  <w:style w:type="character" w:customStyle="1" w:styleId="29">
    <w:name w:val="font31"/>
    <w:basedOn w:val="21"/>
    <w:qFormat/>
    <w:uiPriority w:val="0"/>
    <w:rPr>
      <w:rFonts w:hint="eastAsia" w:ascii="宋体" w:hAnsi="宋体" w:eastAsia="宋体" w:cs="宋体"/>
      <w:color w:val="000000"/>
      <w:sz w:val="24"/>
      <w:szCs w:val="24"/>
      <w:u w:val="none"/>
    </w:rPr>
  </w:style>
  <w:style w:type="paragraph" w:customStyle="1" w:styleId="30">
    <w:name w:val="WPS Plain"/>
    <w:qFormat/>
    <w:uiPriority w:val="0"/>
    <w:rPr>
      <w:rFonts w:ascii="Times New Roman" w:hAnsi="Times New Roman" w:eastAsia="宋体" w:cs="Times New Roman"/>
      <w:lang w:val="en-US" w:eastAsia="zh-CN" w:bidi="ar-SA"/>
    </w:rPr>
  </w:style>
  <w:style w:type="character" w:customStyle="1" w:styleId="31">
    <w:name w:val="批注框文本 Char"/>
    <w:basedOn w:val="21"/>
    <w:link w:val="13"/>
    <w:qFormat/>
    <w:uiPriority w:val="0"/>
    <w:rPr>
      <w:kern w:val="2"/>
      <w:sz w:val="18"/>
      <w:szCs w:val="18"/>
    </w:rPr>
  </w:style>
  <w:style w:type="paragraph" w:customStyle="1" w:styleId="3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34">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rPr>
      <w:rFonts w:ascii="宋体" w:hAnsi="宋体" w:cs="宋体"/>
      <w:lang w:val="zh-CN" w:bidi="zh-CN"/>
    </w:rPr>
  </w:style>
  <w:style w:type="paragraph" w:customStyle="1" w:styleId="37">
    <w:name w:val="Item List in Table"/>
    <w:basedOn w:val="1"/>
    <w:qFormat/>
    <w:uiPriority w:val="0"/>
    <w:pPr>
      <w:numPr>
        <w:ilvl w:val="0"/>
        <w:numId w:val="1"/>
      </w:numPr>
      <w:tabs>
        <w:tab w:val="left" w:pos="420"/>
        <w:tab w:val="clear" w:pos="960"/>
      </w:tabs>
      <w:jc w:val="left"/>
    </w:pPr>
    <w:rPr>
      <w:rFonts w:eastAsia="宋体"/>
      <w:sz w:val="21"/>
      <w:szCs w:val="24"/>
    </w:rPr>
  </w:style>
  <w:style w:type="character" w:customStyle="1" w:styleId="38">
    <w:name w:val="font01"/>
    <w:basedOn w:val="21"/>
    <w:qFormat/>
    <w:uiPriority w:val="0"/>
    <w:rPr>
      <w:rFonts w:ascii="黑体" w:hAnsi="宋体" w:eastAsia="黑体" w:cs="黑体"/>
      <w:color w:val="000000"/>
      <w:sz w:val="36"/>
      <w:szCs w:val="36"/>
      <w:u w:val="none"/>
    </w:rPr>
  </w:style>
  <w:style w:type="character" w:customStyle="1" w:styleId="39">
    <w:name w:val="font21"/>
    <w:basedOn w:val="21"/>
    <w:qFormat/>
    <w:uiPriority w:val="0"/>
    <w:rPr>
      <w:rFonts w:hint="eastAsia" w:ascii="仿宋" w:hAnsi="仿宋" w:eastAsia="仿宋" w:cs="仿宋"/>
      <w:color w:val="000000"/>
      <w:sz w:val="32"/>
      <w:szCs w:val="32"/>
      <w:u w:val="none"/>
    </w:rPr>
  </w:style>
  <w:style w:type="paragraph" w:styleId="4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23201</Words>
  <Characters>24588</Characters>
  <Lines>201</Lines>
  <Paragraphs>56</Paragraphs>
  <TotalTime>0</TotalTime>
  <ScaleCrop>false</ScaleCrop>
  <LinksUpToDate>false</LinksUpToDate>
  <CharactersWithSpaces>26045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沙漏时光</cp:lastModifiedBy>
  <cp:lastPrinted>2022-01-19T03:49:00Z</cp:lastPrinted>
  <dcterms:modified xsi:type="dcterms:W3CDTF">2023-01-13T05:18:34Z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B82DF56950C34592A91CF594A144D5B1</vt:lpwstr>
  </property>
</Properties>
</file>