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40"/>
          <w:szCs w:val="40"/>
          <w:lang w:eastAsia="zh-CN"/>
        </w:rPr>
      </w:pPr>
      <w:r>
        <w:rPr>
          <w:rFonts w:hint="eastAsia" w:ascii="仿宋" w:hAnsi="仿宋" w:eastAsia="仿宋" w:cs="仿宋"/>
          <w:b/>
          <w:bCs/>
          <w:color w:val="auto"/>
          <w:sz w:val="40"/>
          <w:szCs w:val="40"/>
          <w:lang w:eastAsia="zh-CN"/>
        </w:rPr>
        <w:t>吉根乡萨孜村青稞加工农用机械设备采购项目（二次）</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44"/>
          <w:szCs w:val="44"/>
          <w:lang w:val="en-US"/>
        </w:rPr>
      </w:pPr>
      <w:r>
        <w:rPr>
          <w:rFonts w:hint="eastAsia" w:ascii="仿宋" w:hAnsi="仿宋" w:eastAsia="仿宋" w:cs="仿宋"/>
          <w:b/>
          <w:bCs/>
          <w:color w:val="auto"/>
          <w:sz w:val="44"/>
          <w:szCs w:val="44"/>
          <w:lang w:eastAsia="zh-CN"/>
        </w:rPr>
        <w:t>项目编号：WQZFCG(ZB)-2022-043</w:t>
      </w:r>
      <w:r>
        <w:rPr>
          <w:rFonts w:hint="eastAsia" w:ascii="仿宋" w:hAnsi="仿宋" w:eastAsia="仿宋" w:cs="仿宋"/>
          <w:b/>
          <w:bCs/>
          <w:color w:val="auto"/>
          <w:sz w:val="44"/>
          <w:szCs w:val="44"/>
          <w:lang w:val="en-US" w:eastAsia="zh-CN"/>
        </w:rPr>
        <w:t>-2</w:t>
      </w:r>
    </w:p>
    <w:p>
      <w:pPr>
        <w:pStyle w:val="26"/>
        <w:rPr>
          <w:rFonts w:hint="eastAsia" w:ascii="仿宋" w:hAnsi="仿宋" w:eastAsia="仿宋" w:cs="仿宋"/>
          <w:color w:val="auto"/>
        </w:rPr>
      </w:pPr>
    </w:p>
    <w:p>
      <w:pPr>
        <w:pStyle w:val="26"/>
        <w:rPr>
          <w:rFonts w:hint="eastAsia" w:ascii="仿宋" w:hAnsi="仿宋" w:eastAsia="仿宋" w:cs="仿宋"/>
          <w:color w:val="auto"/>
        </w:rPr>
      </w:pPr>
    </w:p>
    <w:p>
      <w:pPr>
        <w:pStyle w:val="26"/>
        <w:rPr>
          <w:rFonts w:hint="eastAsia" w:ascii="仿宋" w:hAnsi="仿宋" w:eastAsia="仿宋" w:cs="仿宋"/>
          <w:color w:val="auto"/>
        </w:rPr>
      </w:pPr>
    </w:p>
    <w:p>
      <w:pPr>
        <w:pStyle w:val="26"/>
        <w:jc w:val="center"/>
        <w:rPr>
          <w:rFonts w:hint="eastAsia" w:ascii="仿宋" w:hAnsi="仿宋" w:eastAsia="仿宋" w:cs="仿宋"/>
          <w:color w:val="auto"/>
          <w:lang w:eastAsia="zh-CN"/>
        </w:rPr>
      </w:pPr>
      <w:r>
        <w:rPr>
          <w:rFonts w:hint="eastAsia" w:ascii="仿宋" w:hAnsi="仿宋" w:eastAsia="仿宋" w:cs="仿宋"/>
          <w:color w:val="auto"/>
          <w:lang w:eastAsia="zh-CN"/>
        </w:rPr>
        <w:drawing>
          <wp:inline distT="0" distB="0" distL="114300" distR="114300">
            <wp:extent cx="2105025" cy="2990850"/>
            <wp:effectExtent l="0" t="0" r="9525" b="0"/>
            <wp:docPr id="276" name="图片 276" descr="166444565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6" descr="1664445654615"/>
                    <pic:cNvPicPr>
                      <a:picLocks noChangeAspect="1"/>
                    </pic:cNvPicPr>
                  </pic:nvPicPr>
                  <pic:blipFill>
                    <a:blip r:embed="rId16"/>
                    <a:stretch>
                      <a:fillRect/>
                    </a:stretch>
                  </pic:blipFill>
                  <pic:spPr>
                    <a:xfrm>
                      <a:off x="0" y="0"/>
                      <a:ext cx="2105025" cy="2990850"/>
                    </a:xfrm>
                    <a:prstGeom prst="rect">
                      <a:avLst/>
                    </a:prstGeom>
                  </pic:spPr>
                </pic:pic>
              </a:graphicData>
            </a:graphic>
          </wp:inline>
        </w:drawing>
      </w:r>
    </w:p>
    <w:p>
      <w:pPr>
        <w:pStyle w:val="26"/>
        <w:jc w:val="center"/>
        <w:rPr>
          <w:rFonts w:hint="default" w:ascii="仿宋" w:hAnsi="仿宋" w:eastAsia="仿宋" w:cs="仿宋"/>
          <w:b/>
          <w:bCs/>
          <w:color w:val="auto"/>
          <w:sz w:val="96"/>
          <w:szCs w:val="96"/>
          <w:lang w:val="en-US" w:eastAsia="zh-CN"/>
        </w:rPr>
      </w:pPr>
      <w:r>
        <w:rPr>
          <w:rFonts w:hint="eastAsia" w:ascii="仿宋" w:hAnsi="仿宋" w:eastAsia="仿宋" w:cs="仿宋"/>
          <w:b/>
          <w:bCs/>
          <w:color w:val="auto"/>
          <w:sz w:val="96"/>
          <w:szCs w:val="96"/>
          <w:lang w:val="en-US" w:eastAsia="zh-CN"/>
        </w:rPr>
        <w:t>招标文件</w:t>
      </w:r>
    </w:p>
    <w:p>
      <w:pPr>
        <w:pStyle w:val="26"/>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乌恰县吉根乡人民政府</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 系 人：徐先生</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联系电话：18538569680</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新疆宏力源工程项目管理有限公司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eastAsia="zh-CN"/>
        </w:rPr>
        <w:t>王先生</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 13201016575</w:t>
      </w:r>
    </w:p>
    <w:p>
      <w:pPr>
        <w:jc w:val="center"/>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19"/>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乌恰县吉根乡人民政府</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吉根乡萨孜村青稞加工农用机械设备采购项目（二次）</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Style w:val="2"/>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新疆宏力源工程项目管理有限公司（盖章）</w:t>
            </w: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val="en-US" w:eastAsia="zh-CN"/>
              </w:rPr>
              <w:t>23</w:t>
            </w:r>
            <w:r>
              <w:rPr>
                <w:rFonts w:hint="eastAsia" w:ascii="仿宋" w:hAnsi="仿宋" w:eastAsia="仿宋" w:cs="仿宋"/>
                <w:color w:val="auto"/>
              </w:rPr>
              <w:t>年</w:t>
            </w:r>
            <w:r>
              <w:rPr>
                <w:rFonts w:hint="eastAsia" w:ascii="仿宋" w:hAnsi="仿宋" w:eastAsia="仿宋" w:cs="仿宋"/>
                <w:color w:val="auto"/>
                <w:lang w:val="en-US" w:eastAsia="zh-CN"/>
              </w:rPr>
              <w:t>1</w:t>
            </w:r>
            <w:r>
              <w:rPr>
                <w:rFonts w:hint="eastAsia" w:ascii="仿宋" w:hAnsi="仿宋" w:eastAsia="仿宋" w:cs="仿宋"/>
                <w:color w:val="auto"/>
              </w:rPr>
              <w:t>月</w:t>
            </w:r>
          </w:p>
          <w:p>
            <w:pPr>
              <w:pStyle w:val="2"/>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rPr>
          <w:rFonts w:hint="eastAsia" w:ascii="仿宋" w:hAnsi="仿宋" w:eastAsia="仿宋" w:cs="仿宋"/>
          <w:color w:val="auto"/>
          <w:lang w:val="zh-CN"/>
        </w:rPr>
      </w:pPr>
    </w:p>
    <w:p>
      <w:pPr>
        <w:pStyle w:val="8"/>
        <w:spacing w:before="0" w:line="360" w:lineRule="auto"/>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widowControl/>
        <w:rPr>
          <w:rFonts w:ascii="仿宋" w:hAnsi="仿宋" w:eastAsia="仿宋" w:cs="仿宋"/>
          <w:color w:val="000000" w:themeColor="text1"/>
          <w:sz w:val="30"/>
          <w:szCs w:val="30"/>
          <w14:textFill>
            <w14:solidFill>
              <w14:schemeClr w14:val="tx1"/>
            </w14:solidFill>
          </w14:textFill>
        </w:rPr>
      </w:pPr>
    </w:p>
    <w:p>
      <w:pPr>
        <w:numPr>
          <w:ilvl w:val="0"/>
          <w:numId w:val="0"/>
        </w:numPr>
        <w:spacing w:line="600" w:lineRule="auto"/>
        <w:ind w:leftChars="0" w:right="0" w:rightChars="0" w:firstLine="600" w:firstLineChars="200"/>
        <w:jc w:val="both"/>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第一章    招标公告</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eastAsia="zh-CN"/>
          <w14:textFill>
            <w14:solidFill>
              <w14:schemeClr w14:val="tx1"/>
            </w14:solidFill>
          </w14:textFill>
        </w:rPr>
        <w:t>1</w:t>
      </w:r>
    </w:p>
    <w:p>
      <w:pPr>
        <w:numPr>
          <w:ilvl w:val="0"/>
          <w:numId w:val="0"/>
        </w:numPr>
        <w:spacing w:line="600" w:lineRule="auto"/>
        <w:ind w:leftChars="0" w:right="0" w:rightChars="0" w:firstLine="600" w:firstLineChars="200"/>
        <w:jc w:val="both"/>
        <w:rPr>
          <w:rFonts w:ascii="Arial" w:hAnsi="Arial" w:eastAsia="仿宋" w:cs="Arial"/>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第二章  </w:t>
      </w:r>
      <w:r>
        <w:rPr>
          <w:rFonts w:hint="eastAsia" w:ascii="仿宋" w:hAnsi="仿宋" w:eastAsia="仿宋" w:cs="仿宋"/>
          <w:b/>
          <w:color w:val="000000" w:themeColor="text1"/>
          <w:sz w:val="30"/>
          <w:szCs w:val="30"/>
          <w:lang w:val="en-US" w:eastAsia="zh-CN"/>
          <w14:textFill>
            <w14:solidFill>
              <w14:schemeClr w14:val="tx1"/>
            </w14:solidFill>
          </w14:textFill>
        </w:rPr>
        <w:t xml:space="preserve">  </w:t>
      </w:r>
      <w:r>
        <w:rPr>
          <w:rFonts w:hint="eastAsia" w:ascii="仿宋" w:hAnsi="仿宋" w:eastAsia="仿宋" w:cs="仿宋"/>
          <w:b/>
          <w:color w:val="000000" w:themeColor="text1"/>
          <w:sz w:val="30"/>
          <w:szCs w:val="30"/>
          <w:lang w:eastAsia="zh-CN"/>
          <w14:textFill>
            <w14:solidFill>
              <w14:schemeClr w14:val="tx1"/>
            </w14:solidFill>
          </w14:textFill>
        </w:rPr>
        <w:t>供应商须知</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eastAsia="zh-CN"/>
          <w14:textFill>
            <w14:solidFill>
              <w14:schemeClr w14:val="tx1"/>
            </w14:solidFill>
          </w14:textFill>
        </w:rPr>
        <w:t>4</w:t>
      </w:r>
    </w:p>
    <w:p>
      <w:pPr>
        <w:numPr>
          <w:ilvl w:val="0"/>
          <w:numId w:val="0"/>
        </w:numPr>
        <w:spacing w:line="600" w:lineRule="auto"/>
        <w:ind w:leftChars="0" w:right="0" w:rightChars="0" w:firstLine="600" w:firstLineChars="200"/>
        <w:jc w:val="both"/>
        <w:rPr>
          <w:rFonts w:ascii="Arial" w:hAnsi="Arial" w:eastAsia="仿宋" w:cs="Arial"/>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第三章    评标办法</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eastAsia="zh-CN"/>
          <w14:textFill>
            <w14:solidFill>
              <w14:schemeClr w14:val="tx1"/>
            </w14:solidFill>
          </w14:textFill>
        </w:rPr>
        <w:t>37</w:t>
      </w:r>
    </w:p>
    <w:p>
      <w:pPr>
        <w:numPr>
          <w:ilvl w:val="0"/>
          <w:numId w:val="0"/>
        </w:numPr>
        <w:spacing w:line="600" w:lineRule="auto"/>
        <w:ind w:leftChars="0" w:right="0" w:rightChars="0" w:firstLine="600" w:firstLineChars="200"/>
        <w:jc w:val="both"/>
        <w:rPr>
          <w:rFonts w:ascii="Arial" w:hAnsi="Arial" w:eastAsia="仿宋" w:cs="Arial"/>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第四章</w:t>
      </w:r>
      <w:r>
        <w:rPr>
          <w:rFonts w:hint="eastAsia" w:ascii="仿宋" w:hAnsi="仿宋" w:eastAsia="仿宋" w:cs="仿宋"/>
          <w:b/>
          <w:color w:val="000000" w:themeColor="text1"/>
          <w:sz w:val="30"/>
          <w:szCs w:val="30"/>
          <w:lang w:val="en-US" w:eastAsia="zh-CN"/>
          <w14:textFill>
            <w14:solidFill>
              <w14:schemeClr w14:val="tx1"/>
            </w14:solidFill>
          </w14:textFill>
        </w:rPr>
        <w:t xml:space="preserve">    项目采购清单（</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r>
        <w:rPr>
          <w:rFonts w:hint="eastAsia" w:ascii="仿宋" w:hAnsi="仿宋" w:eastAsia="仿宋" w:cs="仿宋"/>
          <w:b/>
          <w:color w:val="000000" w:themeColor="text1"/>
          <w:sz w:val="30"/>
          <w:szCs w:val="30"/>
          <w:lang w:val="en-US" w:eastAsia="zh-CN"/>
          <w14:textFill>
            <w14:solidFill>
              <w14:schemeClr w14:val="tx1"/>
            </w14:solidFill>
          </w14:textFill>
        </w:rPr>
        <w:t>）</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eastAsia="zh-CN"/>
          <w14:textFill>
            <w14:solidFill>
              <w14:schemeClr w14:val="tx1"/>
            </w14:solidFill>
          </w14:textFill>
        </w:rPr>
        <w:t>45</w:t>
      </w:r>
    </w:p>
    <w:p>
      <w:pPr>
        <w:spacing w:line="600" w:lineRule="auto"/>
        <w:ind w:firstLine="600" w:firstLineChars="2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第五章    合同（参考）</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val="en-US" w:eastAsia="zh-CN"/>
          <w14:textFill>
            <w14:solidFill>
              <w14:schemeClr w14:val="tx1"/>
            </w14:solidFill>
          </w14:textFill>
        </w:rPr>
        <w:t>171</w:t>
      </w:r>
    </w:p>
    <w:p>
      <w:pPr>
        <w:spacing w:line="600" w:lineRule="auto"/>
        <w:ind w:firstLine="600" w:firstLineChars="2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第六章    投标文件格式</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val="en-US" w:eastAsia="zh-CN"/>
          <w14:textFill>
            <w14:solidFill>
              <w14:schemeClr w14:val="tx1"/>
            </w14:solidFill>
          </w14:textFill>
        </w:rPr>
        <w:t>174</w:t>
      </w:r>
    </w:p>
    <w:p>
      <w:pPr>
        <w:pStyle w:val="7"/>
        <w:numPr>
          <w:ilvl w:val="0"/>
          <w:numId w:val="0"/>
        </w:numPr>
        <w:spacing w:line="480" w:lineRule="auto"/>
        <w:rPr>
          <w:rFonts w:ascii="仿宋" w:hAnsi="仿宋" w:eastAsia="仿宋" w:cs="仿宋"/>
          <w:color w:val="000000" w:themeColor="text1"/>
          <w:lang w:eastAsia="zh-CN"/>
          <w14:textFill>
            <w14:solidFill>
              <w14:schemeClr w14:val="tx1"/>
            </w14:solidFill>
          </w14:textFill>
        </w:rPr>
      </w:pPr>
    </w:p>
    <w:p>
      <w:pPr>
        <w:spacing w:line="480" w:lineRule="auto"/>
        <w:rPr>
          <w:rFonts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7"/>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pacing w:val="0"/>
          <w:w w:val="100"/>
          <w:position w:val="0"/>
          <w:sz w:val="36"/>
          <w:szCs w:val="36"/>
        </w:rPr>
        <w:sectPr>
          <w:footerReference r:id="rId8" w:type="default"/>
          <w:pgSz w:w="11906" w:h="16838"/>
          <w:pgMar w:top="1440" w:right="1080" w:bottom="1440" w:left="1080" w:header="851" w:footer="992" w:gutter="0"/>
          <w:pgNumType w:fmt="decimal"/>
          <w:cols w:space="720" w:num="1"/>
          <w:docGrid w:type="linesAndChars" w:linePitch="312" w:charSpace="0"/>
        </w:sectPr>
      </w:pPr>
    </w:p>
    <w:p>
      <w:pPr>
        <w:pStyle w:val="27"/>
        <w:keepNext/>
        <w:keepLines/>
        <w:pageBreakBefore w:val="0"/>
        <w:widowControl w:val="0"/>
        <w:shd w:val="clear" w:color="auto" w:fill="auto"/>
        <w:kinsoku/>
        <w:wordWrap/>
        <w:overflowPunct/>
        <w:topLinePunct w:val="0"/>
        <w:autoSpaceDE/>
        <w:autoSpaceDN/>
        <w:bidi w:val="0"/>
        <w:adjustRightInd/>
        <w:snapToGrid/>
        <w:spacing w:before="120" w:after="300" w:line="440" w:lineRule="exact"/>
        <w:ind w:left="0" w:right="0" w:firstLine="0"/>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pacing w:val="0"/>
          <w:w w:val="100"/>
          <w:position w:val="0"/>
          <w:sz w:val="44"/>
          <w:szCs w:val="44"/>
        </w:rPr>
        <w:t>第一</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lang w:eastAsia="zh-CN"/>
        </w:rPr>
        <w:t>招标公告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w w:val="90"/>
          <w:sz w:val="36"/>
          <w:szCs w:val="36"/>
          <w:lang w:eastAsia="zh-CN"/>
        </w:rPr>
        <w:t>新疆宏力源工程项目管理有限公司</w:t>
      </w:r>
      <w:r>
        <w:rPr>
          <w:rFonts w:hint="eastAsia" w:ascii="仿宋" w:hAnsi="仿宋" w:eastAsia="仿宋" w:cs="仿宋"/>
          <w:b/>
          <w:bCs/>
          <w:color w:val="auto"/>
          <w:w w:val="90"/>
          <w:sz w:val="36"/>
          <w:szCs w:val="36"/>
          <w:lang w:val="en-US" w:eastAsia="zh-CN"/>
        </w:rPr>
        <w:t>关于</w:t>
      </w:r>
      <w:r>
        <w:rPr>
          <w:rFonts w:hint="eastAsia" w:ascii="仿宋" w:hAnsi="仿宋" w:eastAsia="仿宋" w:cs="仿宋"/>
          <w:b/>
          <w:bCs/>
          <w:color w:val="auto"/>
          <w:w w:val="90"/>
          <w:sz w:val="36"/>
          <w:szCs w:val="36"/>
          <w:lang w:eastAsia="zh-CN"/>
        </w:rPr>
        <w:t>吉根乡萨孜村青稞加工农用机械设备采购项目（</w:t>
      </w:r>
      <w:r>
        <w:rPr>
          <w:rFonts w:hint="eastAsia" w:ascii="仿宋" w:hAnsi="仿宋" w:eastAsia="仿宋" w:cs="仿宋"/>
          <w:b/>
          <w:bCs/>
          <w:color w:val="auto"/>
          <w:w w:val="90"/>
          <w:sz w:val="36"/>
          <w:szCs w:val="36"/>
          <w:lang w:val="en-US" w:eastAsia="zh-CN"/>
        </w:rPr>
        <w:t>二次</w:t>
      </w:r>
      <w:r>
        <w:rPr>
          <w:rFonts w:hint="eastAsia" w:ascii="仿宋" w:hAnsi="仿宋" w:eastAsia="仿宋" w:cs="仿宋"/>
          <w:b/>
          <w:bCs/>
          <w:color w:val="auto"/>
          <w:w w:val="90"/>
          <w:sz w:val="36"/>
          <w:szCs w:val="36"/>
          <w:lang w:eastAsia="zh-CN"/>
        </w:rPr>
        <w:t>）的公开招标公告</w:t>
      </w:r>
      <w:r>
        <w:rPr>
          <w:rFonts w:hint="eastAsia" w:ascii="仿宋" w:hAnsi="仿宋" w:eastAsia="仿宋" w:cs="仿宋"/>
          <w:b/>
          <w:bCs/>
          <w:color w:val="auto"/>
          <w:sz w:val="32"/>
          <w:szCs w:val="32"/>
          <w:lang w:eastAsia="zh-CN"/>
        </w:rPr>
        <w:t xml:space="preserve">  </w:t>
      </w:r>
      <w:r>
        <w:rPr>
          <w:rFonts w:hint="eastAsia" w:ascii="仿宋" w:hAnsi="仿宋" w:eastAsia="仿宋" w:cs="仿宋"/>
          <w:color w:val="auto"/>
          <w:sz w:val="32"/>
          <w:szCs w:val="32"/>
          <w:lang w:eastAsia="zh-CN"/>
        </w:rPr>
        <w:t xml:space="preserve">   </w:t>
      </w:r>
      <w:r>
        <w:rPr>
          <w:rFonts w:hint="eastAsia" w:ascii="仿宋" w:hAnsi="仿宋" w:eastAsia="仿宋" w:cs="仿宋"/>
          <w:b/>
          <w:bCs/>
          <w:color w:val="auto"/>
          <w:sz w:val="32"/>
          <w:szCs w:val="32"/>
          <w:lang w:eastAsia="zh-CN"/>
        </w:rPr>
        <w:t xml:space="preserve"> </w:t>
      </w:r>
      <w:r>
        <w:rPr>
          <w:rFonts w:hint="eastAsia" w:ascii="仿宋" w:hAnsi="仿宋" w:eastAsia="仿宋" w:cs="仿宋"/>
          <w:color w:val="auto"/>
          <w:sz w:val="32"/>
          <w:szCs w:val="32"/>
          <w:lang w:eastAsia="zh-CN"/>
        </w:rPr>
        <w:t xml:space="preserve">   </w:t>
      </w:r>
    </w:p>
    <w:tbl>
      <w:tblPr>
        <w:tblStyle w:val="1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9961" w:type="dxa"/>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auto"/>
                <w:lang w:eastAsia="zh-CN"/>
              </w:rPr>
            </w:pPr>
            <w:r>
              <w:rPr>
                <w:rFonts w:hint="eastAsia" w:ascii="仿宋" w:hAnsi="仿宋" w:eastAsia="仿宋" w:cs="仿宋"/>
                <w:b/>
                <w:bCs/>
                <w:color w:val="auto"/>
                <w:lang w:eastAsia="zh-CN"/>
              </w:rPr>
              <w:t>项目概况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0" w:firstLine="480" w:firstLineChars="200"/>
              <w:rPr>
                <w:rFonts w:hint="eastAsia" w:ascii="仿宋" w:hAnsi="仿宋" w:eastAsia="仿宋" w:cs="仿宋"/>
                <w:color w:val="auto"/>
                <w:vertAlign w:val="baseline"/>
                <w:lang w:eastAsia="zh-CN"/>
              </w:rPr>
            </w:pPr>
            <w:r>
              <w:rPr>
                <w:rFonts w:hint="eastAsia" w:ascii="仿宋" w:hAnsi="仿宋" w:eastAsia="仿宋" w:cs="仿宋"/>
                <w:color w:val="auto"/>
                <w:lang w:eastAsia="zh-CN"/>
              </w:rPr>
              <w:t>吉根乡萨孜村青稞加工农用机械设备采购项目（二次）的潜在投标人应在供应商登陆政采云平台http://www.zcygov.cn/，在线申请获取采购文件（登录政府采购云平台 → 项目采购 → 获取采购文件 → 申请，审核通过后可下载招标文件，如有操作性问题，可与政采云在线客服进行咨询，咨询电话：95763），获取招标文件，</w:t>
            </w:r>
            <w:r>
              <w:rPr>
                <w:rFonts w:hint="eastAsia" w:ascii="仿宋" w:hAnsi="仿宋" w:eastAsia="仿宋" w:cs="仿宋"/>
                <w:color w:val="0000FF"/>
                <w:lang w:eastAsia="zh-CN"/>
              </w:rPr>
              <w:t>并于 202</w:t>
            </w:r>
            <w:r>
              <w:rPr>
                <w:rFonts w:hint="eastAsia" w:ascii="仿宋" w:hAnsi="仿宋" w:eastAsia="仿宋" w:cs="仿宋"/>
                <w:color w:val="0000FF"/>
                <w:lang w:val="en-US" w:eastAsia="zh-CN"/>
              </w:rPr>
              <w:t>3</w:t>
            </w:r>
            <w:r>
              <w:rPr>
                <w:rFonts w:hint="eastAsia" w:ascii="仿宋" w:hAnsi="仿宋" w:eastAsia="仿宋" w:cs="仿宋"/>
                <w:color w:val="0000FF"/>
                <w:lang w:eastAsia="zh-CN"/>
              </w:rPr>
              <w:t>年1月</w:t>
            </w:r>
            <w:r>
              <w:rPr>
                <w:rFonts w:hint="eastAsia" w:ascii="仿宋" w:hAnsi="仿宋" w:eastAsia="仿宋" w:cs="仿宋"/>
                <w:color w:val="0000FF"/>
                <w:lang w:val="en-US" w:eastAsia="zh-CN"/>
              </w:rPr>
              <w:t>30</w:t>
            </w:r>
            <w:r>
              <w:rPr>
                <w:rFonts w:hint="eastAsia" w:ascii="仿宋" w:hAnsi="仿宋" w:eastAsia="仿宋" w:cs="仿宋"/>
                <w:color w:val="0000FF"/>
                <w:lang w:eastAsia="zh-CN"/>
              </w:rPr>
              <w:t>日11:00（</w:t>
            </w:r>
            <w:r>
              <w:rPr>
                <w:rFonts w:hint="eastAsia" w:ascii="仿宋" w:hAnsi="仿宋" w:eastAsia="仿宋" w:cs="仿宋"/>
                <w:color w:val="auto"/>
                <w:lang w:eastAsia="zh-CN"/>
              </w:rPr>
              <w:t>北京时间）前（上传）电子投标文件。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rPr>
      </w:pPr>
      <w:r>
        <w:rPr>
          <w:rFonts w:hint="eastAsia" w:ascii="仿宋" w:hAnsi="仿宋" w:eastAsia="仿宋" w:cs="仿宋"/>
          <w:b/>
          <w:bCs/>
          <w:color w:val="auto"/>
          <w:lang w:eastAsia="zh-CN"/>
        </w:rPr>
        <w:t>一、</w:t>
      </w:r>
      <w:r>
        <w:rPr>
          <w:rFonts w:hint="eastAsia" w:ascii="仿宋" w:hAnsi="仿宋" w:eastAsia="仿宋" w:cs="仿宋"/>
          <w:b/>
          <w:bCs/>
          <w:color w:val="auto"/>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FF0000"/>
          <w:lang w:val="en-US" w:eastAsia="zh-CN"/>
        </w:rPr>
      </w:pPr>
      <w:r>
        <w:rPr>
          <w:rFonts w:hint="eastAsia" w:ascii="仿宋" w:hAnsi="仿宋" w:eastAsia="仿宋" w:cs="仿宋"/>
          <w:color w:val="auto"/>
        </w:rPr>
        <w:t>项目编号：WQZFCG(ZB)-2022-0</w:t>
      </w:r>
      <w:r>
        <w:rPr>
          <w:rFonts w:hint="eastAsia" w:ascii="仿宋" w:hAnsi="仿宋" w:eastAsia="仿宋" w:cs="仿宋"/>
          <w:color w:val="auto"/>
          <w:lang w:val="en-US" w:eastAsia="zh-CN"/>
        </w:rPr>
        <w:t>43-2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项目名称：</w:t>
      </w:r>
      <w:r>
        <w:rPr>
          <w:rFonts w:hint="eastAsia" w:ascii="仿宋" w:hAnsi="仿宋" w:eastAsia="仿宋" w:cs="仿宋"/>
          <w:color w:val="auto"/>
          <w:lang w:eastAsia="zh-CN"/>
        </w:rPr>
        <w:t>吉根乡萨孜村青稞加工农用机械设备采购项目（二次）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采购方式：</w:t>
      </w:r>
      <w:r>
        <w:rPr>
          <w:rFonts w:hint="eastAsia" w:ascii="仿宋" w:hAnsi="仿宋" w:eastAsia="仿宋" w:cs="仿宋"/>
          <w:color w:val="auto"/>
          <w:lang w:eastAsia="zh-CN"/>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FF"/>
          <w:lang w:val="en-US" w:eastAsia="zh-CN"/>
        </w:rPr>
      </w:pPr>
      <w:r>
        <w:rPr>
          <w:rFonts w:hint="eastAsia" w:ascii="仿宋" w:hAnsi="仿宋" w:eastAsia="仿宋" w:cs="仿宋"/>
          <w:color w:val="0000FF"/>
        </w:rPr>
        <w:t>预算金额（元）</w:t>
      </w:r>
      <w:r>
        <w:rPr>
          <w:rFonts w:hint="eastAsia" w:ascii="仿宋" w:hAnsi="仿宋" w:eastAsia="仿宋" w:cs="仿宋"/>
          <w:color w:val="0000FF"/>
          <w:lang w:val="en-US" w:eastAsia="zh-CN"/>
        </w:rPr>
        <w:t>:500000.00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FF"/>
          <w:lang w:val="en-US" w:eastAsia="zh-CN"/>
        </w:rPr>
      </w:pPr>
      <w:r>
        <w:rPr>
          <w:rFonts w:hint="eastAsia" w:ascii="仿宋" w:hAnsi="仿宋" w:eastAsia="仿宋" w:cs="仿宋"/>
          <w:color w:val="0000FF"/>
        </w:rPr>
        <w:t>最高限价（元）</w:t>
      </w:r>
      <w:r>
        <w:rPr>
          <w:rFonts w:hint="eastAsia" w:ascii="仿宋" w:hAnsi="仿宋" w:eastAsia="仿宋" w:cs="仿宋"/>
          <w:color w:val="0000FF"/>
          <w:lang w:val="en-US" w:eastAsia="zh-CN"/>
        </w:rPr>
        <w:t>:500000</w:t>
      </w:r>
      <w:r>
        <w:rPr>
          <w:rFonts w:hint="eastAsia" w:ascii="仿宋" w:hAnsi="仿宋" w:eastAsia="仿宋" w:cs="仿宋"/>
          <w:color w:val="0000FF"/>
          <w:kern w:val="0"/>
          <w:sz w:val="24"/>
          <w:lang w:val="en-US" w:eastAsia="zh-CN"/>
        </w:rPr>
        <w:t>.00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采购需求：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eastAsia="zh-CN"/>
        </w:rPr>
      </w:pPr>
      <w:r>
        <w:rPr>
          <w:rFonts w:hint="eastAsia" w:ascii="仿宋" w:hAnsi="仿宋" w:eastAsia="仿宋" w:cs="仿宋"/>
          <w:color w:val="auto"/>
        </w:rPr>
        <w:t>标项名称:</w:t>
      </w:r>
      <w:r>
        <w:rPr>
          <w:rFonts w:hint="eastAsia" w:ascii="仿宋" w:hAnsi="仿宋" w:eastAsia="仿宋" w:cs="仿宋"/>
          <w:color w:val="auto"/>
          <w:lang w:eastAsia="zh-CN"/>
        </w:rPr>
        <w:t>吉根乡萨孜村青稞加工农用机械设备采购项目（二次）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数量:</w:t>
      </w:r>
      <w:r>
        <w:rPr>
          <w:rFonts w:hint="eastAsia" w:ascii="仿宋" w:hAnsi="仿宋" w:eastAsia="仿宋" w:cs="仿宋"/>
          <w:color w:val="auto"/>
          <w:lang w:val="en-US" w:eastAsia="zh-CN"/>
        </w:rPr>
        <w:t>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FF"/>
          <w:lang w:val="en-US" w:eastAsia="zh-CN"/>
        </w:rPr>
      </w:pPr>
      <w:r>
        <w:rPr>
          <w:rFonts w:hint="eastAsia" w:ascii="仿宋" w:hAnsi="仿宋" w:eastAsia="仿宋" w:cs="仿宋"/>
          <w:color w:val="0000FF"/>
        </w:rPr>
        <w:t>预算金额（元）:</w:t>
      </w:r>
      <w:r>
        <w:rPr>
          <w:rFonts w:hint="eastAsia" w:ascii="仿宋" w:hAnsi="仿宋" w:eastAsia="仿宋" w:cs="仿宋"/>
          <w:color w:val="0000FF"/>
          <w:lang w:val="en-US" w:eastAsia="zh-CN"/>
        </w:rPr>
        <w:t>500000</w:t>
      </w:r>
      <w:r>
        <w:rPr>
          <w:rFonts w:hint="eastAsia" w:ascii="仿宋" w:hAnsi="仿宋" w:eastAsia="仿宋" w:cs="仿宋"/>
          <w:color w:val="0000FF"/>
          <w:kern w:val="0"/>
          <w:sz w:val="24"/>
          <w:lang w:val="en-US" w:eastAsia="zh-CN"/>
        </w:rPr>
        <w:t>.00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简要规格描述或项目基本概况介绍、用途：</w:t>
      </w:r>
      <w:r>
        <w:rPr>
          <w:rFonts w:hint="eastAsia" w:ascii="仿宋" w:hAnsi="仿宋" w:eastAsia="仿宋" w:cs="仿宋"/>
          <w:color w:val="auto"/>
          <w:lang w:eastAsia="zh-CN"/>
        </w:rPr>
        <w:t>青稞收割机</w:t>
      </w:r>
      <w:r>
        <w:rPr>
          <w:rFonts w:hint="eastAsia" w:ascii="仿宋" w:hAnsi="仿宋" w:eastAsia="仿宋" w:cs="仿宋"/>
          <w:color w:val="auto"/>
          <w:lang w:val="en-US" w:eastAsia="zh-CN"/>
        </w:rPr>
        <w:t>1台、吹风除尘机1套、全自动化青稞磨粉机1套、包装打包机1套、脱粒机1套、青稞炒制机1套</w:t>
      </w:r>
      <w:r>
        <w:rPr>
          <w:rFonts w:hint="eastAsia" w:ascii="仿宋" w:hAnsi="仿宋" w:eastAsia="仿宋" w:cs="仿宋"/>
          <w:color w:val="000000"/>
          <w:sz w:val="24"/>
          <w:lang w:val="en-US" w:eastAsia="zh-CN"/>
        </w:rPr>
        <w:t>；(</w:t>
      </w:r>
      <w:r>
        <w:rPr>
          <w:rFonts w:hint="eastAsia" w:ascii="仿宋" w:hAnsi="仿宋" w:eastAsia="仿宋" w:cs="仿宋"/>
          <w:color w:val="000000"/>
          <w:sz w:val="24"/>
          <w:lang w:eastAsia="zh-CN"/>
        </w:rPr>
        <w:t>具体内容详见采购清单)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合同履约期限：</w:t>
      </w:r>
      <w:r>
        <w:rPr>
          <w:rFonts w:hint="eastAsia" w:ascii="仿宋" w:hAnsi="仿宋" w:eastAsia="仿宋" w:cs="仿宋"/>
          <w:color w:val="auto"/>
          <w:lang w:val="en-US" w:eastAsia="zh-CN"/>
        </w:rPr>
        <w:t xml:space="preserve">标项1，签订合同后 </w:t>
      </w:r>
      <w:r>
        <w:rPr>
          <w:rFonts w:hint="eastAsia" w:ascii="仿宋" w:hAnsi="仿宋" w:eastAsia="仿宋" w:cs="仿宋"/>
          <w:color w:val="0000FF"/>
          <w:lang w:val="en-US" w:eastAsia="zh-CN"/>
        </w:rPr>
        <w:t>30 天</w:t>
      </w:r>
      <w:r>
        <w:rPr>
          <w:rFonts w:hint="eastAsia" w:ascii="仿宋" w:hAnsi="仿宋" w:eastAsia="仿宋" w:cs="仿宋"/>
          <w:color w:val="auto"/>
          <w:lang w:val="en-US" w:eastAsia="zh-CN"/>
        </w:rPr>
        <w:t>内完成供货及安装调试完毕；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本项目</w:t>
      </w:r>
      <w:r>
        <w:rPr>
          <w:rFonts w:hint="eastAsia" w:ascii="仿宋" w:hAnsi="仿宋" w:eastAsia="仿宋" w:cs="仿宋"/>
          <w:color w:val="auto"/>
          <w:lang w:eastAsia="zh-CN"/>
        </w:rPr>
        <w:t>不</w:t>
      </w:r>
      <w:r>
        <w:rPr>
          <w:rFonts w:hint="eastAsia" w:ascii="仿宋" w:hAnsi="仿宋" w:eastAsia="仿宋" w:cs="仿宋"/>
          <w:color w:val="auto"/>
        </w:rPr>
        <w:t>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auto"/>
        </w:rPr>
      </w:pPr>
      <w:r>
        <w:rPr>
          <w:rFonts w:hint="eastAsia" w:ascii="仿宋" w:hAnsi="仿宋" w:eastAsia="仿宋" w:cs="仿宋"/>
          <w:b/>
          <w:bCs/>
          <w:color w:val="auto"/>
          <w:lang w:eastAsia="zh-CN"/>
        </w:rPr>
        <w:t>二、</w:t>
      </w:r>
      <w:r>
        <w:rPr>
          <w:rFonts w:hint="eastAsia" w:ascii="仿宋" w:hAnsi="仿宋" w:eastAsia="仿宋" w:cs="仿宋"/>
          <w:b/>
          <w:bCs/>
          <w:color w:val="auto"/>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0" w:firstLine="480" w:firstLineChars="200"/>
        <w:jc w:val="left"/>
        <w:rPr>
          <w:rFonts w:hint="eastAsia" w:ascii="仿宋" w:hAnsi="仿宋" w:eastAsia="仿宋" w:cs="仿宋"/>
          <w:color w:val="auto"/>
          <w:lang w:val="en-US" w:eastAsia="zh-CN"/>
        </w:rPr>
      </w:pPr>
      <w:r>
        <w:rPr>
          <w:rFonts w:hint="eastAsia" w:ascii="仿宋" w:hAnsi="仿宋" w:eastAsia="仿宋" w:cs="仿宋"/>
          <w:color w:val="auto"/>
        </w:rPr>
        <w:t>2.落实政府采购政策需满足的资格要求：</w:t>
      </w:r>
      <w:r>
        <w:rPr>
          <w:rFonts w:hint="eastAsia" w:ascii="仿宋" w:hAnsi="仿宋" w:eastAsia="仿宋" w:cs="仿宋"/>
          <w:color w:val="auto"/>
          <w:lang w:val="en-US" w:eastAsia="zh-CN"/>
        </w:rPr>
        <w:t>标项1：供应商为中小企业；</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0" w:firstLine="480" w:firstLineChars="200"/>
        <w:jc w:val="left"/>
        <w:rPr>
          <w:rFonts w:hint="eastAsia" w:ascii="仿宋" w:hAnsi="仿宋" w:eastAsia="仿宋" w:cs="仿宋"/>
          <w:color w:val="auto"/>
        </w:rPr>
      </w:pPr>
      <w:r>
        <w:rPr>
          <w:rFonts w:hint="eastAsia" w:ascii="仿宋" w:hAnsi="仿宋" w:eastAsia="仿宋" w:cs="仿宋"/>
          <w:color w:val="auto"/>
        </w:rPr>
        <w:t>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（3）投标企业须提供投标人（被授权在职人员）近6个月有效的社保证明；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rPr>
      </w:pPr>
      <w:r>
        <w:rPr>
          <w:rFonts w:hint="eastAsia" w:ascii="仿宋" w:hAnsi="仿宋" w:eastAsia="仿宋" w:cs="仿宋"/>
          <w:b/>
          <w:bCs/>
          <w:color w:val="auto"/>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w:t>
      </w:r>
      <w:r>
        <w:rPr>
          <w:rFonts w:hint="eastAsia" w:ascii="仿宋" w:hAnsi="仿宋" w:eastAsia="仿宋" w:cs="仿宋"/>
          <w:color w:val="auto"/>
        </w:rPr>
        <w:t>时间：</w:t>
      </w:r>
      <w:r>
        <w:rPr>
          <w:rFonts w:hint="eastAsia" w:ascii="仿宋" w:hAnsi="仿宋" w:eastAsia="仿宋" w:cs="仿宋"/>
          <w:color w:val="0000FF"/>
        </w:rPr>
        <w:t>202</w:t>
      </w:r>
      <w:r>
        <w:rPr>
          <w:rFonts w:hint="eastAsia" w:ascii="仿宋" w:hAnsi="仿宋" w:eastAsia="仿宋" w:cs="仿宋"/>
          <w:color w:val="0000FF"/>
          <w:lang w:val="en-US" w:eastAsia="zh-CN"/>
        </w:rPr>
        <w:t>3</w:t>
      </w:r>
      <w:r>
        <w:rPr>
          <w:rFonts w:hint="eastAsia" w:ascii="仿宋" w:hAnsi="仿宋" w:eastAsia="仿宋" w:cs="仿宋"/>
          <w:color w:val="0000FF"/>
        </w:rPr>
        <w:t>年</w:t>
      </w:r>
      <w:r>
        <w:rPr>
          <w:rFonts w:hint="eastAsia" w:ascii="仿宋" w:hAnsi="仿宋" w:eastAsia="仿宋" w:cs="仿宋"/>
          <w:color w:val="0000FF"/>
          <w:u w:val="single"/>
          <w:lang w:val="en-US" w:eastAsia="zh-CN"/>
        </w:rPr>
        <w:t>1</w:t>
      </w:r>
      <w:r>
        <w:rPr>
          <w:rFonts w:hint="eastAsia" w:ascii="仿宋" w:hAnsi="仿宋" w:eastAsia="仿宋" w:cs="仿宋"/>
          <w:color w:val="0000FF"/>
        </w:rPr>
        <w:t>月</w:t>
      </w:r>
      <w:r>
        <w:rPr>
          <w:rFonts w:hint="eastAsia" w:ascii="仿宋" w:hAnsi="仿宋" w:eastAsia="仿宋" w:cs="仿宋"/>
          <w:color w:val="0000FF"/>
          <w:u w:val="single"/>
          <w:lang w:val="en-US" w:eastAsia="zh-CN"/>
        </w:rPr>
        <w:t>10</w:t>
      </w:r>
      <w:r>
        <w:rPr>
          <w:rFonts w:hint="eastAsia" w:ascii="仿宋" w:hAnsi="仿宋" w:eastAsia="仿宋" w:cs="仿宋"/>
          <w:color w:val="0000FF"/>
        </w:rPr>
        <w:t>日至202</w:t>
      </w:r>
      <w:r>
        <w:rPr>
          <w:rFonts w:hint="eastAsia" w:ascii="仿宋" w:hAnsi="仿宋" w:eastAsia="仿宋" w:cs="仿宋"/>
          <w:color w:val="0000FF"/>
          <w:lang w:val="en-US" w:eastAsia="zh-CN"/>
        </w:rPr>
        <w:t>3</w:t>
      </w:r>
      <w:r>
        <w:rPr>
          <w:rFonts w:hint="eastAsia" w:ascii="仿宋" w:hAnsi="仿宋" w:eastAsia="仿宋" w:cs="仿宋"/>
          <w:color w:val="0000FF"/>
        </w:rPr>
        <w:t>年</w:t>
      </w:r>
      <w:r>
        <w:rPr>
          <w:rFonts w:hint="eastAsia" w:ascii="仿宋" w:hAnsi="仿宋" w:eastAsia="仿宋" w:cs="仿宋"/>
          <w:color w:val="0000FF"/>
          <w:u w:val="single"/>
          <w:lang w:val="en-US" w:eastAsia="zh-CN"/>
        </w:rPr>
        <w:t>1</w:t>
      </w:r>
      <w:r>
        <w:rPr>
          <w:rFonts w:hint="eastAsia" w:ascii="仿宋" w:hAnsi="仿宋" w:eastAsia="仿宋" w:cs="仿宋"/>
          <w:color w:val="0000FF"/>
        </w:rPr>
        <w:t>月</w:t>
      </w:r>
      <w:r>
        <w:rPr>
          <w:rFonts w:hint="eastAsia" w:ascii="仿宋" w:hAnsi="仿宋" w:eastAsia="仿宋" w:cs="仿宋"/>
          <w:color w:val="0000FF"/>
          <w:u w:val="single"/>
          <w:lang w:val="en-US" w:eastAsia="zh-CN"/>
        </w:rPr>
        <w:t>19</w:t>
      </w:r>
      <w:r>
        <w:rPr>
          <w:rFonts w:hint="eastAsia" w:ascii="仿宋" w:hAnsi="仿宋" w:eastAsia="仿宋" w:cs="仿宋"/>
          <w:color w:val="0000FF"/>
        </w:rPr>
        <w:t>日</w:t>
      </w:r>
      <w:r>
        <w:rPr>
          <w:rFonts w:hint="eastAsia" w:ascii="仿宋" w:hAnsi="仿宋" w:eastAsia="仿宋" w:cs="仿宋"/>
          <w:color w:val="auto"/>
        </w:rPr>
        <w:t>，每天上午10:00至1</w:t>
      </w: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0，下午16:</w:t>
      </w:r>
      <w:r>
        <w:rPr>
          <w:rFonts w:hint="eastAsia" w:ascii="仿宋" w:hAnsi="仿宋" w:eastAsia="仿宋" w:cs="仿宋"/>
          <w:color w:val="auto"/>
          <w:lang w:val="en-US" w:eastAsia="zh-CN"/>
        </w:rPr>
        <w:t>0</w:t>
      </w:r>
      <w:r>
        <w:rPr>
          <w:rFonts w:hint="eastAsia" w:ascii="仿宋" w:hAnsi="仿宋" w:eastAsia="仿宋" w:cs="仿宋"/>
          <w:color w:val="auto"/>
        </w:rPr>
        <w:t>0至</w:t>
      </w:r>
      <w:r>
        <w:rPr>
          <w:rFonts w:hint="eastAsia" w:ascii="仿宋" w:hAnsi="仿宋" w:eastAsia="仿宋" w:cs="仿宋"/>
          <w:color w:val="auto"/>
          <w:lang w:val="en-US" w:eastAsia="zh-CN"/>
        </w:rPr>
        <w:t>19</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0（北京时间，节假日除外）</w:t>
      </w:r>
      <w:r>
        <w:rPr>
          <w:rFonts w:hint="eastAsia" w:ascii="仿宋" w:hAnsi="仿宋" w:eastAsia="仿宋" w:cs="仿宋"/>
          <w:color w:val="auto"/>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地点：供应商登陆政采云平台http://www.zcygov.cn/，在线申请获取</w:t>
      </w:r>
      <w:r>
        <w:rPr>
          <w:rFonts w:hint="eastAsia" w:ascii="仿宋" w:hAnsi="仿宋" w:eastAsia="仿宋" w:cs="仿宋"/>
          <w:color w:val="auto"/>
          <w:lang w:eastAsia="zh-CN"/>
        </w:rPr>
        <w:t>招标文件</w:t>
      </w:r>
      <w:r>
        <w:rPr>
          <w:rFonts w:hint="eastAsia" w:ascii="仿宋" w:hAnsi="仿宋" w:eastAsia="仿宋" w:cs="仿宋"/>
          <w:color w:val="auto"/>
        </w:rPr>
        <w:t>（登录政府采购云平台 → 项目采购 → 获取</w:t>
      </w:r>
      <w:r>
        <w:rPr>
          <w:rFonts w:hint="eastAsia" w:ascii="仿宋" w:hAnsi="仿宋" w:eastAsia="仿宋" w:cs="仿宋"/>
          <w:color w:val="auto"/>
          <w:lang w:eastAsia="zh-CN"/>
        </w:rPr>
        <w:t>招标文件</w:t>
      </w:r>
      <w:r>
        <w:rPr>
          <w:rFonts w:hint="eastAsia" w:ascii="仿宋" w:hAnsi="仿宋" w:eastAsia="仿宋" w:cs="仿宋"/>
          <w:color w:val="auto"/>
        </w:rPr>
        <w:t>→申请，审核通过后可下载</w:t>
      </w:r>
      <w:r>
        <w:rPr>
          <w:rFonts w:hint="eastAsia" w:ascii="仿宋" w:hAnsi="仿宋" w:eastAsia="仿宋" w:cs="仿宋"/>
          <w:color w:val="auto"/>
          <w:lang w:eastAsia="zh-CN"/>
        </w:rPr>
        <w:t>招标文件</w:t>
      </w:r>
      <w:r>
        <w:rPr>
          <w:rFonts w:hint="eastAsia" w:ascii="仿宋" w:hAnsi="仿宋" w:eastAsia="仿宋" w:cs="仿宋"/>
          <w:color w:val="auto"/>
        </w:rPr>
        <w:t>，如有操作性问题，可与政采云在线客服进行咨询，咨询电话：</w:t>
      </w:r>
      <w:r>
        <w:rPr>
          <w:rFonts w:hint="eastAsia" w:ascii="仿宋" w:hAnsi="仿宋" w:eastAsia="仿宋" w:cs="仿宋"/>
          <w:color w:val="auto"/>
          <w:lang w:val="en-US" w:eastAsia="zh-CN"/>
        </w:rPr>
        <w:t>95763</w:t>
      </w:r>
      <w:r>
        <w:rPr>
          <w:rFonts w:hint="eastAsia" w:ascii="仿宋" w:hAnsi="仿宋" w:eastAsia="仿宋" w:cs="仿宋"/>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方式：（1）线上获取（登录政府采购云平台 → 项目采购 → 获取</w:t>
      </w:r>
      <w:r>
        <w:rPr>
          <w:rFonts w:hint="eastAsia" w:ascii="仿宋" w:hAnsi="仿宋" w:eastAsia="仿宋" w:cs="仿宋"/>
          <w:color w:val="auto"/>
          <w:lang w:eastAsia="zh-CN"/>
        </w:rPr>
        <w:t>招标文件</w:t>
      </w:r>
      <w:r>
        <w:rPr>
          <w:rFonts w:hint="eastAsia" w:ascii="仿宋" w:hAnsi="仿宋" w:eastAsia="仿宋" w:cs="仿宋"/>
          <w:color w:val="auto"/>
        </w:rPr>
        <w:t>→ 申请，审核通过后可下载</w:t>
      </w:r>
      <w:r>
        <w:rPr>
          <w:rFonts w:hint="eastAsia" w:ascii="仿宋" w:hAnsi="仿宋" w:eastAsia="仿宋" w:cs="仿宋"/>
          <w:color w:val="auto"/>
          <w:lang w:eastAsia="zh-CN"/>
        </w:rPr>
        <w:t>招标文件</w:t>
      </w:r>
      <w:r>
        <w:rPr>
          <w:rFonts w:hint="eastAsia" w:ascii="仿宋" w:hAnsi="仿宋" w:eastAsia="仿宋" w:cs="仿宋"/>
          <w:color w:val="auto"/>
        </w:rPr>
        <w:t>）。本次招标不提供纸质版</w:t>
      </w:r>
      <w:r>
        <w:rPr>
          <w:rFonts w:hint="eastAsia" w:ascii="仿宋" w:hAnsi="仿宋" w:eastAsia="仿宋" w:cs="仿宋"/>
          <w:color w:val="auto"/>
          <w:lang w:eastAsia="zh-CN"/>
        </w:rPr>
        <w:t>招标文件</w:t>
      </w:r>
      <w:r>
        <w:rPr>
          <w:rFonts w:hint="eastAsia" w:ascii="仿宋" w:hAnsi="仿宋" w:eastAsia="仿宋" w:cs="仿宋"/>
          <w:color w:val="auto"/>
        </w:rPr>
        <w:t>。（2）供应商获取</w:t>
      </w:r>
      <w:r>
        <w:rPr>
          <w:rFonts w:hint="eastAsia" w:ascii="仿宋" w:hAnsi="仿宋" w:eastAsia="仿宋" w:cs="仿宋"/>
          <w:color w:val="auto"/>
          <w:lang w:eastAsia="zh-CN"/>
        </w:rPr>
        <w:t>招标文件</w:t>
      </w:r>
      <w:r>
        <w:rPr>
          <w:rFonts w:hint="eastAsia" w:ascii="仿宋" w:hAnsi="仿宋" w:eastAsia="仿宋" w:cs="仿宋"/>
          <w:color w:val="auto"/>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四、提交投标文件截止时间、开标时间和地点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截止时间：</w:t>
      </w:r>
      <w:r>
        <w:rPr>
          <w:rFonts w:hint="eastAsia" w:ascii="仿宋" w:hAnsi="仿宋" w:eastAsia="仿宋" w:cs="仿宋"/>
          <w:color w:val="0000FF"/>
          <w:lang w:val="en-US" w:eastAsia="zh-CN"/>
        </w:rPr>
        <w:t xml:space="preserve">2023年1月30日 11：00 </w:t>
      </w:r>
      <w:r>
        <w:rPr>
          <w:rFonts w:hint="eastAsia" w:ascii="仿宋" w:hAnsi="仿宋" w:eastAsia="仿宋" w:cs="仿宋"/>
          <w:color w:val="auto"/>
          <w:lang w:val="en-US" w:eastAsia="zh-CN"/>
        </w:rPr>
        <w:t>（北京时间）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投标地点：政府采购云平台（www.zcygov.cn）</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开标时间：</w:t>
      </w:r>
      <w:r>
        <w:rPr>
          <w:rFonts w:hint="eastAsia" w:ascii="仿宋" w:hAnsi="仿宋" w:eastAsia="仿宋" w:cs="仿宋"/>
          <w:color w:val="0000FF"/>
          <w:lang w:val="en-US" w:eastAsia="zh-CN"/>
        </w:rPr>
        <w:t>2023年1月30日 11：00 （</w:t>
      </w:r>
      <w:r>
        <w:rPr>
          <w:rFonts w:hint="eastAsia" w:ascii="仿宋" w:hAnsi="仿宋" w:eastAsia="仿宋" w:cs="仿宋"/>
          <w:color w:val="auto"/>
          <w:lang w:val="en-US" w:eastAsia="zh-CN"/>
        </w:rPr>
        <w:t>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开标地点：在政府采购云平台（www.zcygov.cn）上开启投标文件，开标时间后，待采购组织机构发出解密通知后30分钟内，供应商须登录“政采云”平台，用“项目采购-开标评标”功能解密投标文件。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五、公告期限</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自本公告发布之日起5个工作日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六、其他补充事宜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5.供应商在开标时须使用制作加密电子投标文件所使用的CA锁及电脑，电脑须提前配置好浏览器（建议使用谷歌浏览器），以便开标时解锁。</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钉钉工具软件具有回放功能，直播培训结束后可在钉钉群中回放观看学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7.为了保证开评标顺利进行，政采云线上开标功能完全实现，供应商开标所使用的电脑设备须具有视频及语音功能。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b/>
          <w:bCs/>
          <w:color w:val="auto"/>
          <w:lang w:val="en-US" w:eastAsia="zh-CN"/>
        </w:rPr>
        <w:t>七、对本次招标提出询问，请按以下方式联系。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1.采购人信息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名 称：乌恰县吉根乡人民政府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址：乌恰县吉根乡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联系方式：18538569680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2.采购代理机构信息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名 称：新疆宏力源工程项目管理有限公司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址：新疆克州乌恰县天源市政7楼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联系方式：王先生　13201016575</w:t>
      </w:r>
    </w:p>
    <w:p>
      <w:pPr>
        <w:rPr>
          <w:rFonts w:hint="eastAsia"/>
        </w:rPr>
      </w:pPr>
    </w:p>
    <w:p>
      <w:pPr>
        <w:rPr>
          <w:rFonts w:hint="eastAsia"/>
        </w:rPr>
      </w:pPr>
    </w:p>
    <w:p>
      <w:pPr>
        <w:pStyle w:val="7"/>
        <w:numPr>
          <w:ilvl w:val="0"/>
          <w:numId w:val="0"/>
        </w:numPr>
        <w:ind w:leftChars="0" w:right="0" w:right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7"/>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pacing w:val="0"/>
          <w:w w:val="100"/>
          <w:position w:val="0"/>
          <w:sz w:val="44"/>
          <w:szCs w:val="44"/>
        </w:rPr>
        <w:t>第二</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供应商须知</w:t>
      </w:r>
    </w:p>
    <w:p>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lang w:eastAsia="zh-CN"/>
        </w:rPr>
        <w:t>供应商</w:t>
      </w:r>
      <w:r>
        <w:rPr>
          <w:rFonts w:hint="eastAsia" w:ascii="仿宋" w:hAnsi="仿宋" w:eastAsia="仿宋" w:cs="仿宋"/>
          <w:b/>
          <w:bCs/>
          <w:color w:val="auto"/>
          <w:spacing w:val="0"/>
          <w:w w:val="100"/>
          <w:position w:val="0"/>
          <w:sz w:val="24"/>
          <w:szCs w:val="24"/>
        </w:rPr>
        <w:t>须知前附表</w:t>
      </w:r>
    </w:p>
    <w:tbl>
      <w:tblPr>
        <w:tblStyle w:val="18"/>
        <w:tblW w:w="9803" w:type="dxa"/>
        <w:jc w:val="center"/>
        <w:tblLayout w:type="fixed"/>
        <w:tblCellMar>
          <w:top w:w="0" w:type="dxa"/>
          <w:left w:w="108" w:type="dxa"/>
          <w:bottom w:w="0" w:type="dxa"/>
          <w:right w:w="108" w:type="dxa"/>
        </w:tblCellMar>
      </w:tblPr>
      <w:tblGrid>
        <w:gridCol w:w="536"/>
        <w:gridCol w:w="1720"/>
        <w:gridCol w:w="7547"/>
      </w:tblGrid>
      <w:tr>
        <w:tblPrEx>
          <w:tblCellMar>
            <w:top w:w="0" w:type="dxa"/>
            <w:left w:w="108" w:type="dxa"/>
            <w:bottom w:w="0" w:type="dxa"/>
            <w:right w:w="108" w:type="dxa"/>
          </w:tblCellMar>
        </w:tblPrEx>
        <w:trPr>
          <w:trHeight w:val="54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序 号</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名  称</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CellMar>
            <w:top w:w="0" w:type="dxa"/>
            <w:left w:w="108" w:type="dxa"/>
            <w:bottom w:w="0" w:type="dxa"/>
            <w:right w:w="108" w:type="dxa"/>
          </w:tblCellMar>
        </w:tblPrEx>
        <w:trPr>
          <w:trHeight w:val="228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shd w:val="clear" w:color="auto" w:fill="auto"/>
              <w:spacing w:line="360" w:lineRule="auto"/>
              <w:jc w:val="center"/>
              <w:rPr>
                <w:rFonts w:hint="eastAsia"/>
                <w:lang w:val="en-US" w:eastAsia="zh-CN"/>
              </w:rPr>
            </w:pPr>
            <w:r>
              <w:rPr>
                <w:rFonts w:hint="eastAsia" w:ascii="仿宋" w:hAnsi="仿宋" w:eastAsia="仿宋" w:cs="仿宋"/>
                <w:color w:val="auto"/>
                <w:sz w:val="24"/>
                <w:szCs w:val="24"/>
                <w:lang w:val="en-US" w:eastAsia="zh-CN"/>
              </w:rPr>
              <w:t>项目编号</w:t>
            </w:r>
          </w:p>
          <w:p>
            <w:pPr>
              <w:shd w:val="clear" w:color="auto" w:fill="auto"/>
              <w:spacing w:line="360" w:lineRule="auto"/>
              <w:jc w:val="center"/>
              <w:rPr>
                <w:rFonts w:hint="eastAsia"/>
                <w:lang w:val="en-US" w:eastAsia="zh-CN"/>
              </w:rPr>
            </w:pPr>
            <w:r>
              <w:rPr>
                <w:rFonts w:hint="eastAsia" w:ascii="仿宋" w:hAnsi="仿宋" w:eastAsia="仿宋" w:cs="仿宋"/>
                <w:color w:val="auto"/>
                <w:sz w:val="24"/>
                <w:szCs w:val="24"/>
                <w:lang w:val="en-US" w:eastAsia="zh-CN"/>
              </w:rPr>
              <w:t>采购内容</w:t>
            </w:r>
          </w:p>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项目名称：吉根乡萨孜村青稞加工农用机械设备采购项目（二次）</w:t>
            </w:r>
          </w:p>
          <w:p>
            <w:pPr>
              <w:shd w:val="clear" w:color="auto" w:fill="auto"/>
              <w:spacing w:line="360" w:lineRule="auto"/>
              <w:jc w:val="left"/>
              <w:rPr>
                <w:rFonts w:hint="default"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项目编号：</w:t>
            </w:r>
            <w:r>
              <w:rPr>
                <w:rFonts w:hint="eastAsia" w:ascii="仿宋" w:hAnsi="仿宋" w:eastAsia="仿宋" w:cs="仿宋"/>
                <w:color w:val="auto"/>
              </w:rPr>
              <w:t>WQZFCG(ZB)-2022-0</w:t>
            </w:r>
            <w:r>
              <w:rPr>
                <w:rFonts w:hint="eastAsia" w:ascii="仿宋" w:hAnsi="仿宋" w:eastAsia="仿宋" w:cs="仿宋"/>
                <w:color w:val="auto"/>
                <w:lang w:val="en-US" w:eastAsia="zh-CN"/>
              </w:rPr>
              <w:t>43-2</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w:t>
            </w:r>
            <w:r>
              <w:rPr>
                <w:rFonts w:hint="eastAsia" w:ascii="仿宋" w:hAnsi="仿宋" w:eastAsia="仿宋" w:cs="仿宋"/>
                <w:color w:val="auto"/>
                <w:lang w:eastAsia="zh-CN"/>
              </w:rPr>
              <w:t>青稞收割机</w:t>
            </w:r>
            <w:r>
              <w:rPr>
                <w:rFonts w:hint="eastAsia" w:ascii="仿宋" w:hAnsi="仿宋" w:eastAsia="仿宋" w:cs="仿宋"/>
                <w:color w:val="auto"/>
                <w:lang w:val="en-US" w:eastAsia="zh-CN"/>
              </w:rPr>
              <w:t>1台、吹风除尘机1套、全自动化青稞磨粉机1套、包装打包机1套、脱粒机1套、青稞炒制机1套</w:t>
            </w:r>
            <w:r>
              <w:rPr>
                <w:rFonts w:hint="eastAsia" w:ascii="仿宋" w:hAnsi="仿宋" w:eastAsia="仿宋" w:cs="仿宋"/>
                <w:color w:val="auto"/>
                <w:sz w:val="24"/>
                <w:szCs w:val="24"/>
                <w:lang w:val="en-US" w:eastAsia="zh-CN"/>
              </w:rPr>
              <w:t>；(具体内容详见采购清单)</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供货期：签订合同</w:t>
            </w:r>
            <w:r>
              <w:rPr>
                <w:rFonts w:hint="eastAsia" w:ascii="仿宋" w:hAnsi="仿宋" w:eastAsia="仿宋" w:cs="仿宋"/>
                <w:color w:val="0000FF"/>
                <w:sz w:val="24"/>
                <w:szCs w:val="24"/>
                <w:lang w:val="en-US" w:eastAsia="zh-CN"/>
              </w:rPr>
              <w:t>后 30 天内</w:t>
            </w:r>
            <w:r>
              <w:rPr>
                <w:rFonts w:hint="eastAsia" w:ascii="仿宋" w:hAnsi="仿宋" w:eastAsia="仿宋" w:cs="仿宋"/>
                <w:color w:val="auto"/>
                <w:sz w:val="24"/>
                <w:szCs w:val="24"/>
                <w:lang w:val="en-US" w:eastAsia="zh-CN"/>
              </w:rPr>
              <w:t>完成供货及安装调试完毕；</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称：乌恰县吉根乡人民政府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联系人：徐先生       电  话：18538569680</w:t>
            </w:r>
          </w:p>
        </w:tc>
      </w:tr>
      <w:tr>
        <w:tblPrEx>
          <w:tblCellMar>
            <w:top w:w="0" w:type="dxa"/>
            <w:left w:w="108" w:type="dxa"/>
            <w:bottom w:w="0" w:type="dxa"/>
            <w:right w:w="108" w:type="dxa"/>
          </w:tblCellMar>
        </w:tblPrEx>
        <w:trPr>
          <w:trHeight w:val="1319"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称：新疆宏力源工程项目管理有限公司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址：新疆克州乌恰县天源市政7楼</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联系人：王先生       电  话：13201016575</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最终交货地点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40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2.落实政府采购政策需满足的资格要求：</w:t>
            </w:r>
            <w:r>
              <w:rPr>
                <w:rFonts w:hint="eastAsia" w:ascii="仿宋" w:hAnsi="仿宋" w:eastAsia="仿宋" w:cs="仿宋"/>
                <w:color w:val="0000FF"/>
              </w:rPr>
              <w:t>标项1：供应商为中小企业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 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（3）投标企业须提供投标人（被授权在职人员）近6个月有效的社保证明；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auto"/>
                <w:highlight w:val="none"/>
                <w:lang w:val="en-US" w:eastAsia="zh-CN"/>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tc>
      </w:tr>
      <w:tr>
        <w:tblPrEx>
          <w:tblCellMar>
            <w:top w:w="0" w:type="dxa"/>
            <w:left w:w="108" w:type="dxa"/>
            <w:bottom w:w="0" w:type="dxa"/>
            <w:right w:w="108" w:type="dxa"/>
          </w:tblCellMar>
        </w:tblPrEx>
        <w:trPr>
          <w:trHeight w:val="42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0000FF"/>
                <w:sz w:val="24"/>
                <w:szCs w:val="24"/>
                <w:lang w:val="en-US" w:eastAsia="zh-CN"/>
              </w:rPr>
              <w:t>上级专项资金</w:t>
            </w:r>
          </w:p>
        </w:tc>
      </w:tr>
      <w:tr>
        <w:tblPrEx>
          <w:tblCellMar>
            <w:top w:w="0" w:type="dxa"/>
            <w:left w:w="108" w:type="dxa"/>
            <w:bottom w:w="0" w:type="dxa"/>
            <w:right w:w="108" w:type="dxa"/>
          </w:tblCellMar>
        </w:tblPrEx>
        <w:trPr>
          <w:trHeight w:val="41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公开招标(本项目采用网上电子招投标)  </w:t>
            </w:r>
          </w:p>
        </w:tc>
      </w:tr>
      <w:tr>
        <w:tblPrEx>
          <w:tblCellMar>
            <w:top w:w="0" w:type="dxa"/>
            <w:left w:w="108" w:type="dxa"/>
            <w:bottom w:w="0" w:type="dxa"/>
            <w:right w:w="108" w:type="dxa"/>
          </w:tblCellMar>
        </w:tblPrEx>
        <w:trPr>
          <w:trHeight w:val="459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2、截止时点：开标后评标前。</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截止时间：</w:t>
            </w:r>
            <w:r>
              <w:rPr>
                <w:rFonts w:hint="eastAsia" w:ascii="仿宋" w:hAnsi="仿宋" w:eastAsia="仿宋" w:cs="仿宋"/>
                <w:b w:val="0"/>
                <w:bCs w:val="0"/>
                <w:color w:val="0000FF"/>
                <w:sz w:val="24"/>
                <w:szCs w:val="24"/>
                <w:lang w:val="en-US" w:eastAsia="zh-CN"/>
              </w:rPr>
              <w:t>2023年1月30日11时00分（北京时间）</w:t>
            </w:r>
          </w:p>
        </w:tc>
      </w:tr>
      <w:tr>
        <w:tblPrEx>
          <w:tblCellMar>
            <w:top w:w="0" w:type="dxa"/>
            <w:left w:w="108" w:type="dxa"/>
            <w:bottom w:w="0" w:type="dxa"/>
            <w:right w:w="108" w:type="dxa"/>
          </w:tblCellMar>
        </w:tblPrEx>
        <w:trPr>
          <w:trHeight w:val="3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天</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政府采购投标保证金要求：</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投标保证金的金额：10000.00元（壹万元整）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投标保证金交纳要求：</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1、投标保证金以电汇、网银等转账形式提交的，应在投标截止时间</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yellow"/>
                <w:lang w:eastAsia="zh-CN"/>
              </w:rPr>
              <w:t>202</w:t>
            </w:r>
            <w:r>
              <w:rPr>
                <w:rFonts w:hint="eastAsia" w:ascii="宋体" w:hAnsi="宋体"/>
                <w:color w:val="auto"/>
                <w:sz w:val="21"/>
                <w:szCs w:val="21"/>
                <w:highlight w:val="yellow"/>
                <w:lang w:val="en-US" w:eastAsia="zh-CN"/>
              </w:rPr>
              <w:t>3</w:t>
            </w:r>
            <w:r>
              <w:rPr>
                <w:rFonts w:hint="eastAsia" w:ascii="宋体" w:hAnsi="宋体"/>
                <w:color w:val="auto"/>
                <w:sz w:val="21"/>
                <w:szCs w:val="21"/>
                <w:highlight w:val="yellow"/>
                <w:lang w:eastAsia="zh-CN"/>
              </w:rPr>
              <w:t>年1月</w:t>
            </w:r>
            <w:r>
              <w:rPr>
                <w:rFonts w:hint="eastAsia" w:ascii="宋体" w:hAnsi="宋体"/>
                <w:color w:val="auto"/>
                <w:sz w:val="21"/>
                <w:szCs w:val="21"/>
                <w:highlight w:val="yellow"/>
                <w:lang w:val="en-US" w:eastAsia="zh-CN"/>
              </w:rPr>
              <w:t>30</w:t>
            </w:r>
            <w:r>
              <w:rPr>
                <w:rFonts w:hint="eastAsia" w:ascii="宋体" w:hAnsi="宋体"/>
                <w:color w:val="auto"/>
                <w:sz w:val="21"/>
                <w:szCs w:val="21"/>
                <w:highlight w:val="yellow"/>
                <w:lang w:eastAsia="zh-CN"/>
              </w:rPr>
              <w:t xml:space="preserve">日 </w:t>
            </w:r>
            <w:r>
              <w:rPr>
                <w:rFonts w:hint="eastAsia" w:ascii="宋体" w:hAnsi="宋体" w:eastAsia="宋体"/>
                <w:color w:val="auto"/>
                <w:sz w:val="21"/>
                <w:szCs w:val="21"/>
                <w:highlight w:val="yellow"/>
                <w:lang w:eastAsia="zh-CN"/>
              </w:rPr>
              <w:t>上</w:t>
            </w:r>
            <w:r>
              <w:rPr>
                <w:rFonts w:hint="eastAsia" w:ascii="宋体" w:hAnsi="宋体"/>
                <w:color w:val="auto"/>
                <w:sz w:val="21"/>
                <w:szCs w:val="21"/>
                <w:highlight w:val="yellow"/>
              </w:rPr>
              <w:t>午1</w:t>
            </w:r>
            <w:r>
              <w:rPr>
                <w:rFonts w:hint="eastAsia" w:ascii="宋体" w:hAnsi="宋体" w:eastAsia="宋体"/>
                <w:color w:val="auto"/>
                <w:sz w:val="21"/>
                <w:szCs w:val="21"/>
                <w:highlight w:val="yellow"/>
                <w:lang w:val="en-US" w:eastAsia="zh-CN"/>
              </w:rPr>
              <w:t>1</w:t>
            </w:r>
            <w:r>
              <w:rPr>
                <w:rFonts w:hint="eastAsia" w:ascii="宋体" w:hAnsi="宋体"/>
                <w:color w:val="auto"/>
                <w:sz w:val="21"/>
                <w:szCs w:val="21"/>
                <w:highlight w:val="yellow"/>
              </w:rPr>
              <w:t>：</w:t>
            </w:r>
            <w:r>
              <w:rPr>
                <w:rFonts w:hint="eastAsia" w:ascii="宋体" w:hAnsi="宋体" w:eastAsia="宋体"/>
                <w:color w:val="auto"/>
                <w:sz w:val="21"/>
                <w:szCs w:val="21"/>
                <w:highlight w:val="yellow"/>
                <w:lang w:val="en-US" w:eastAsia="zh-CN"/>
              </w:rPr>
              <w:t>0</w:t>
            </w:r>
            <w:r>
              <w:rPr>
                <w:rFonts w:hint="eastAsia" w:ascii="宋体" w:hAnsi="宋体"/>
                <w:color w:val="auto"/>
                <w:sz w:val="21"/>
                <w:szCs w:val="21"/>
                <w:highlight w:val="yellow"/>
              </w:rPr>
              <w:t>0时</w:t>
            </w:r>
            <w:r>
              <w:rPr>
                <w:rFonts w:hint="eastAsia" w:ascii="宋体" w:hAnsi="宋体"/>
                <w:color w:val="auto"/>
                <w:sz w:val="21"/>
                <w:szCs w:val="21"/>
                <w:highlight w:val="none"/>
              </w:rPr>
              <w:t>（北京时间）前以总公司的基本账户一次性汇入指定账户（以到账时间为准），不接受现金及任何个人汇款。确认到账后，持法定代表人授权委托书、社保证明 （委托代理人必须为参加本单位社保的在职工作人员）委托代理人近六个月的社保证明，银行电子回单、持银行交款单、基本户开户许可证原件 （基本存款账户信息原件）</w:t>
            </w:r>
            <w:r>
              <w:rPr>
                <w:rFonts w:hint="eastAsia" w:ascii="宋体" w:hAnsi="宋体"/>
                <w:color w:val="auto"/>
                <w:sz w:val="21"/>
                <w:szCs w:val="21"/>
                <w:highlight w:val="none"/>
                <w:lang w:val="en-US" w:eastAsia="zh-CN"/>
              </w:rPr>
              <w:t>乌恰县政务服务和</w:t>
            </w:r>
            <w:r>
              <w:rPr>
                <w:rFonts w:hint="eastAsia" w:ascii="宋体" w:hAnsi="宋体"/>
                <w:color w:val="auto"/>
                <w:sz w:val="21"/>
                <w:szCs w:val="21"/>
                <w:highlight w:val="none"/>
              </w:rPr>
              <w:t>公共资源</w:t>
            </w:r>
            <w:r>
              <w:rPr>
                <w:rFonts w:hint="eastAsia" w:ascii="宋体" w:hAnsi="宋体"/>
                <w:color w:val="auto"/>
                <w:sz w:val="21"/>
                <w:szCs w:val="21"/>
                <w:highlight w:val="none"/>
                <w:lang w:val="en-US" w:eastAsia="zh-CN"/>
              </w:rPr>
              <w:t>交易中心</w:t>
            </w:r>
            <w:r>
              <w:rPr>
                <w:rFonts w:hint="eastAsia" w:ascii="宋体" w:hAnsi="宋体"/>
                <w:color w:val="auto"/>
                <w:sz w:val="21"/>
                <w:szCs w:val="21"/>
                <w:highlight w:val="none"/>
              </w:rPr>
              <w:t>二楼换取票据收据，项目开具的票据收据原件</w:t>
            </w:r>
            <w:r>
              <w:rPr>
                <w:rFonts w:hint="eastAsia" w:ascii="宋体" w:hAnsi="宋体"/>
                <w:color w:val="auto"/>
                <w:sz w:val="21"/>
                <w:szCs w:val="21"/>
                <w:highlight w:val="none"/>
                <w:lang w:eastAsia="zh-CN"/>
              </w:rPr>
              <w:t>须扫描上传</w:t>
            </w:r>
            <w:r>
              <w:rPr>
                <w:rFonts w:hint="eastAsia" w:ascii="宋体" w:hAnsi="宋体"/>
                <w:color w:val="auto"/>
                <w:sz w:val="21"/>
                <w:szCs w:val="21"/>
                <w:highlight w:val="none"/>
              </w:rPr>
              <w:t>，标书内附</w:t>
            </w:r>
            <w:r>
              <w:rPr>
                <w:rFonts w:hint="eastAsia" w:ascii="宋体" w:hAnsi="宋体"/>
                <w:color w:val="auto"/>
                <w:sz w:val="21"/>
                <w:szCs w:val="21"/>
                <w:highlight w:val="none"/>
                <w:lang w:eastAsia="zh-CN"/>
              </w:rPr>
              <w:t>有</w:t>
            </w:r>
            <w:r>
              <w:rPr>
                <w:rFonts w:hint="eastAsia" w:ascii="宋体" w:hAnsi="宋体"/>
                <w:color w:val="auto"/>
                <w:sz w:val="21"/>
                <w:szCs w:val="21"/>
                <w:highlight w:val="none"/>
              </w:rPr>
              <w:t>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2、投标保证金以保函等票据形式提交的，需注明项目名称及单位名称，银行保函（电子保函）的有效期与投标有效期一致。需提供基本户开户行 出具的银行保函，投标文件内附此保函原件电子件。</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户  名：</w:t>
            </w:r>
            <w:r>
              <w:rPr>
                <w:rFonts w:hint="eastAsia" w:ascii="宋体" w:hAnsi="宋体"/>
                <w:b/>
                <w:bCs/>
                <w:color w:val="auto"/>
                <w:sz w:val="21"/>
                <w:szCs w:val="21"/>
                <w:highlight w:val="none"/>
                <w:lang w:val="en-US" w:eastAsia="zh-CN"/>
              </w:rPr>
              <w:t>乌恰</w:t>
            </w:r>
            <w:r>
              <w:rPr>
                <w:rFonts w:hint="eastAsia" w:ascii="宋体" w:hAnsi="宋体"/>
                <w:b/>
                <w:bCs/>
                <w:color w:val="auto"/>
                <w:sz w:val="21"/>
                <w:szCs w:val="21"/>
                <w:highlight w:val="none"/>
              </w:rPr>
              <w:t>县政务服务和公共资源交易中心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rPr>
              <w:t>账  号：</w:t>
            </w:r>
            <w:r>
              <w:rPr>
                <w:rFonts w:hint="eastAsia" w:ascii="宋体" w:hAnsi="宋体"/>
                <w:b/>
                <w:bCs/>
                <w:color w:val="auto"/>
                <w:sz w:val="21"/>
                <w:szCs w:val="21"/>
                <w:highlight w:val="none"/>
                <w:lang w:val="en-US" w:eastAsia="zh-CN"/>
              </w:rPr>
              <w:t>30470101040018134</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行  名：中国农业银行</w:t>
            </w:r>
            <w:r>
              <w:rPr>
                <w:rFonts w:hint="eastAsia" w:ascii="宋体" w:hAnsi="宋体"/>
                <w:b/>
                <w:bCs/>
                <w:color w:val="auto"/>
                <w:sz w:val="21"/>
                <w:szCs w:val="21"/>
                <w:highlight w:val="none"/>
                <w:lang w:val="en-US" w:eastAsia="zh-CN"/>
              </w:rPr>
              <w:t>乌恰</w:t>
            </w:r>
            <w:r>
              <w:rPr>
                <w:rFonts w:hint="eastAsia" w:ascii="宋体" w:hAnsi="宋体"/>
                <w:b/>
                <w:bCs/>
                <w:color w:val="auto"/>
                <w:sz w:val="21"/>
                <w:szCs w:val="21"/>
                <w:highlight w:val="none"/>
              </w:rPr>
              <w:t>县支行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联 系 人：唐</w:t>
            </w:r>
            <w:r>
              <w:rPr>
                <w:rFonts w:hint="eastAsia" w:ascii="宋体" w:hAnsi="宋体" w:eastAsia="宋体"/>
                <w:b/>
                <w:bCs/>
                <w:color w:val="auto"/>
                <w:sz w:val="21"/>
                <w:szCs w:val="21"/>
                <w:highlight w:val="none"/>
                <w:lang w:val="en-US" w:eastAsia="zh-CN"/>
              </w:rPr>
              <w:t>先生</w:t>
            </w:r>
            <w:r>
              <w:rPr>
                <w:rFonts w:hint="eastAsia" w:ascii="宋体" w:hAnsi="宋体"/>
                <w:b/>
                <w:bCs/>
                <w:color w:val="auto"/>
                <w:sz w:val="21"/>
                <w:szCs w:val="21"/>
                <w:highlight w:val="none"/>
              </w:rPr>
              <w:t>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电   话：15509080607</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（备注：必须写清楚某某公司某某项目保证金）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投标保证金退还：（1）中标单位由授权委托人持授权委托书、授权委托人近六个月社保</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（委托代理人必须为参加本单位社保的在职工作人员）、合同和票据收据原件5日内办理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 xml:space="preserve">（2）未中标单位由授权委托人持授权委托书、授权委托人社保和票据收据原件5日内办理; </w:t>
            </w:r>
          </w:p>
          <w:p>
            <w:pPr>
              <w:numPr>
                <w:ilvl w:val="0"/>
                <w:numId w:val="0"/>
              </w:numPr>
              <w:shd w:val="clear" w:color="auto" w:fill="auto"/>
              <w:spacing w:line="360" w:lineRule="auto"/>
              <w:ind w:leftChars="0" w:right="0" w:rightChars="0"/>
              <w:jc w:val="left"/>
              <w:rPr>
                <w:rFonts w:hint="eastAsia" w:ascii="仿宋" w:hAnsi="仿宋" w:eastAsia="仿宋" w:cs="仿宋"/>
                <w:b w:val="0"/>
                <w:bCs w:val="0"/>
                <w:color w:val="auto"/>
                <w:sz w:val="24"/>
                <w:szCs w:val="24"/>
                <w:lang w:val="en-US" w:eastAsia="zh-CN"/>
              </w:rPr>
            </w:pPr>
            <w:r>
              <w:rPr>
                <w:rFonts w:hint="eastAsia" w:ascii="宋体" w:hAnsi="宋体"/>
                <w:b/>
                <w:bCs/>
                <w:color w:val="auto"/>
                <w:sz w:val="21"/>
                <w:szCs w:val="21"/>
                <w:highlight w:val="none"/>
              </w:rPr>
              <w:t>（3）因投标单位自身原因耽搁领取，超过退还时限，不承担延后退还责任。</w:t>
            </w:r>
            <w:r>
              <w:rPr>
                <w:rFonts w:hint="eastAsia" w:ascii="宋体" w:hAnsi="宋体"/>
                <w:color w:val="auto"/>
                <w:sz w:val="21"/>
                <w:szCs w:val="21"/>
                <w:highlight w:val="none"/>
              </w:rPr>
              <w:t xml:space="preserve"> </w:t>
            </w:r>
            <w:r>
              <w:rPr>
                <w:rFonts w:hint="eastAsia" w:ascii="仿宋" w:hAnsi="仿宋" w:eastAsia="仿宋" w:cs="仿宋"/>
                <w:b w:val="0"/>
                <w:bCs w:val="0"/>
                <w:color w:val="auto"/>
                <w:sz w:val="24"/>
                <w:szCs w:val="24"/>
                <w:lang w:val="en-US" w:eastAsia="zh-CN"/>
              </w:rPr>
              <w:t xml:space="preserve">                            </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招标文件获取</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w:t>
            </w:r>
            <w:r>
              <w:rPr>
                <w:rFonts w:hint="eastAsia" w:ascii="仿宋" w:hAnsi="仿宋" w:eastAsia="仿宋" w:cs="仿宋"/>
                <w:b w:val="0"/>
                <w:bCs w:val="0"/>
                <w:color w:val="0000FF"/>
                <w:sz w:val="24"/>
                <w:szCs w:val="24"/>
                <w:u w:val="none"/>
                <w:lang w:val="en-US" w:eastAsia="zh-CN"/>
              </w:rPr>
              <w:t>2023年1月10日至2023年1月19日</w:t>
            </w:r>
            <w:r>
              <w:rPr>
                <w:rFonts w:hint="eastAsia" w:ascii="仿宋" w:hAnsi="仿宋" w:eastAsia="仿宋" w:cs="仿宋"/>
                <w:b w:val="0"/>
                <w:bCs w:val="0"/>
                <w:color w:val="auto"/>
                <w:sz w:val="24"/>
                <w:szCs w:val="24"/>
                <w:u w:val="none"/>
                <w:lang w:val="en-US" w:eastAsia="zh-CN"/>
              </w:rPr>
              <w:t>，</w:t>
            </w:r>
            <w:r>
              <w:rPr>
                <w:rFonts w:hint="eastAsia" w:ascii="仿宋" w:hAnsi="仿宋" w:eastAsia="仿宋" w:cs="仿宋"/>
                <w:b w:val="0"/>
                <w:bCs w:val="0"/>
                <w:color w:val="auto"/>
                <w:sz w:val="24"/>
                <w:szCs w:val="24"/>
                <w:lang w:val="en-US" w:eastAsia="zh-CN"/>
              </w:rPr>
              <w:t>每天上午10:00至14:00，下午16:00至19：30（北京时间，节假日除外）</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3、待开标结束后，排名前三的企业请于</w:t>
            </w:r>
            <w:r>
              <w:rPr>
                <w:rFonts w:hint="eastAsia" w:ascii="仿宋" w:hAnsi="仿宋" w:eastAsia="仿宋" w:cs="仿宋"/>
                <w:b w:val="0"/>
                <w:bCs w:val="0"/>
                <w:color w:val="auto"/>
                <w:sz w:val="24"/>
                <w:szCs w:val="24"/>
                <w:u w:val="single"/>
                <w:lang w:val="en-US" w:eastAsia="zh-CN"/>
              </w:rPr>
              <w:t>2023年2月7日20:00</w:t>
            </w:r>
            <w:r>
              <w:rPr>
                <w:rFonts w:hint="eastAsia" w:ascii="仿宋" w:hAnsi="仿宋" w:eastAsia="仿宋" w:cs="仿宋"/>
                <w:b w:val="0"/>
                <w:bCs w:val="0"/>
                <w:color w:val="auto"/>
                <w:sz w:val="24"/>
                <w:szCs w:val="24"/>
                <w:lang w:val="en-US" w:eastAsia="zh-CN"/>
              </w:rPr>
              <w:t>前提供纸质投标文件五份并承诺与电子投标文件内容一致的承诺书至新疆宏力源工程项目管理有限公司（新疆克州乌恰县天源市政7楼）。中标人可采用邮寄方式提供纸质版投标文件（收件地址：新疆克州乌恰县天源市政7楼，收件人：王先生，电话：13201016575），费用自行承担。</w:t>
            </w:r>
          </w:p>
        </w:tc>
      </w:tr>
      <w:tr>
        <w:tblPrEx>
          <w:tblCellMar>
            <w:top w:w="0" w:type="dxa"/>
            <w:left w:w="108" w:type="dxa"/>
            <w:bottom w:w="0" w:type="dxa"/>
            <w:right w:w="108" w:type="dxa"/>
          </w:tblCellMar>
        </w:tblPrEx>
        <w:trPr>
          <w:trHeight w:val="731"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供应商在投标截止时间前将加密的投标文件上传至政府采购云平台，还可以在投标截止时间前以电子邮件方式提供备份投标文件1份（接收人邮箱：1033238151@qq.com，接收人：王先生，电话：13201016575），“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评标委员会由采购人依法组建；</w:t>
            </w:r>
          </w:p>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评标专家确定方式：专家评委由采购人在开标前从政采云专家库中随机抽取</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75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w:t>
            </w:r>
            <w:r>
              <w:rPr>
                <w:rFonts w:hint="eastAsia" w:ascii="仿宋" w:hAnsi="仿宋" w:eastAsia="仿宋" w:cs="仿宋"/>
                <w:b w:val="0"/>
                <w:bCs w:val="0"/>
                <w:color w:val="0000FF"/>
                <w:sz w:val="24"/>
                <w:szCs w:val="24"/>
                <w:lang w:val="en-US" w:eastAsia="zh-CN"/>
              </w:rPr>
              <w:t>2023年1月30日11时00分</w:t>
            </w:r>
            <w:r>
              <w:rPr>
                <w:rFonts w:hint="eastAsia" w:ascii="仿宋" w:hAnsi="仿宋" w:eastAsia="仿宋" w:cs="仿宋"/>
                <w:b w:val="0"/>
                <w:bCs w:val="0"/>
                <w:color w:val="auto"/>
                <w:sz w:val="24"/>
                <w:szCs w:val="24"/>
                <w:lang w:val="en-US" w:eastAsia="zh-CN"/>
              </w:rPr>
              <w:t>（北京时间）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536"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720"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7547"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w:t>
            </w:r>
            <w:r>
              <w:rPr>
                <w:rFonts w:hint="eastAsia" w:ascii="仿宋" w:hAnsi="仿宋" w:eastAsia="仿宋" w:cs="仿宋"/>
                <w:b w:val="0"/>
                <w:bCs w:val="0"/>
                <w:color w:val="0000FF"/>
                <w:sz w:val="24"/>
                <w:szCs w:val="24"/>
                <w:lang w:val="en-US" w:eastAsia="zh-CN"/>
              </w:rPr>
              <w:t>：2023年1月30日11时00分（</w:t>
            </w:r>
            <w:r>
              <w:rPr>
                <w:rFonts w:hint="eastAsia" w:ascii="仿宋" w:hAnsi="仿宋" w:eastAsia="仿宋" w:cs="仿宋"/>
                <w:b w:val="0"/>
                <w:bCs w:val="0"/>
                <w:color w:val="auto"/>
                <w:sz w:val="24"/>
                <w:szCs w:val="24"/>
                <w:lang w:val="en-US" w:eastAsia="zh-CN"/>
              </w:rPr>
              <w:t>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90"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7547"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5.供应商在开标时须使用制作加密电子投标文件所使用的CA锁及电脑，电脑须提前配置好浏览器（建议使用谷歌浏览器），以便开标时解锁。</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0"/>
              <w:jc w:val="left"/>
              <w:rPr>
                <w:rFonts w:hint="eastAsia" w:ascii="仿宋" w:hAnsi="仿宋" w:eastAsia="仿宋" w:cs="仿宋"/>
                <w:color w:val="auto"/>
                <w:lang w:val="en-US" w:eastAsia="zh-CN"/>
              </w:rPr>
            </w:pPr>
            <w:r>
              <w:rPr>
                <w:rFonts w:hint="eastAsia" w:ascii="仿宋" w:hAnsi="仿宋" w:eastAsia="仿宋" w:cs="仿宋"/>
                <w:b w:val="0"/>
                <w:bCs w:val="0"/>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w:t>
            </w:r>
            <w:r>
              <w:rPr>
                <w:rFonts w:hint="eastAsia" w:ascii="仿宋" w:hAnsi="仿宋" w:eastAsia="仿宋" w:cs="仿宋"/>
                <w:color w:val="auto"/>
                <w:lang w:val="en-US" w:eastAsia="zh-CN"/>
              </w:rPr>
              <w:t>政采云新疆供应商服务二十群：35547618、二十一群：44303812，钉钉工具软件具有回放功能，直播培训结束后可在钉钉群中回放观看学习。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6415"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（3）招标文件的获取：使用账号登录或者短信验证码或者使用CA登录政采云平台；进入“项目采购”应用，在获取招标文件 菜单中选择项目，获取招标文件 。申请获取招标文件前须上传的资格证明文件扫描件有：</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1）具备三证合一营业执照副本；</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2）法定代表人投标需提供法定代表人资格证明书，委托代理人投标需提供法定代表人授权委托书；</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3）投标企业须提供投标人（被授权在职人员）近6个月有效的社保证明；</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lang w:val="en-US" w:eastAsia="zh-CN"/>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5）本项目不接受联合体投标。</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文件的传输递交：供应商在投标截止时间前将加密的投标文件上传至政府采购云平台，还可以在投标截止时间前以电子邮件方式提供备份投标文件1份（接收人邮箱：1033238151@qq.com，接收人：王先生，电话：13201016575），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），点击右侧咨询小采，获取采小蜜智能服务管家帮助，或拨打政采云服务热线95763获取热线服务帮助。</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克州公共资源交易中心网、新疆政府采购网，公示期为一个工作日。</w:t>
            </w:r>
          </w:p>
        </w:tc>
      </w:tr>
      <w:tr>
        <w:tblPrEx>
          <w:tblCellMar>
            <w:top w:w="0" w:type="dxa"/>
            <w:left w:w="108" w:type="dxa"/>
            <w:bottom w:w="0" w:type="dxa"/>
            <w:right w:w="108" w:type="dxa"/>
          </w:tblCellMar>
        </w:tblPrEx>
        <w:trPr>
          <w:trHeight w:val="3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3652"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招标代理服务收费标准( 费 率)</w:t>
            </w:r>
          </w:p>
          <w:tbl>
            <w:tblPr>
              <w:tblStyle w:val="18"/>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中标金额</w:t>
                  </w:r>
                </w:p>
              </w:tc>
              <w:tc>
                <w:tcPr>
                  <w:tcW w:w="1530" w:type="dxa"/>
                  <w:noWrap w:val="0"/>
                  <w:vAlign w:val="center"/>
                </w:tcPr>
                <w:p>
                  <w:pPr>
                    <w:shd w:val="clear" w:color="auto" w:fill="auto"/>
                    <w:spacing w:line="360" w:lineRule="auto"/>
                    <w:ind w:firstLine="240" w:firstLineChars="10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货物招标</w:t>
                  </w:r>
                </w:p>
              </w:tc>
              <w:tc>
                <w:tcPr>
                  <w:tcW w:w="1433"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服务招标</w:t>
                  </w:r>
                </w:p>
              </w:tc>
              <w:tc>
                <w:tcPr>
                  <w:tcW w:w="144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工程招标</w:t>
                  </w:r>
                </w:p>
              </w:tc>
              <w:tc>
                <w:tcPr>
                  <w:tcW w:w="1144" w:type="dxa"/>
                  <w:noWrap w:val="0"/>
                  <w:vAlign w:val="center"/>
                </w:tcPr>
                <w:p>
                  <w:pPr>
                    <w:shd w:val="clear" w:color="auto" w:fill="auto"/>
                    <w:tabs>
                      <w:tab w:val="left" w:pos="317"/>
                    </w:tabs>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b/>
                  </w: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0.45%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0.25%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bl>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w:t>
            </w:r>
          </w:p>
          <w:p>
            <w:pPr>
              <w:numPr>
                <w:ilvl w:val="0"/>
                <w:numId w:val="2"/>
              </w:numPr>
              <w:shd w:val="clear" w:color="auto" w:fill="auto"/>
              <w:spacing w:line="360" w:lineRule="auto"/>
              <w:ind w:left="320" w:leftChars="0"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100万元×1.0％＝1万元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（500－100）万元×0.7％＝2.8万元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（1000－500）万元×0.55％＝2.75万元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（5000－1000）万元×0.35％＝14万元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（6000－5000）万元×0.2％＝2万元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合计收费＝1＋2.8＋2.75＋14＋2＝22.55(万元)</w:t>
            </w:r>
          </w:p>
        </w:tc>
      </w:tr>
      <w:tr>
        <w:tblPrEx>
          <w:tblCellMar>
            <w:top w:w="0" w:type="dxa"/>
            <w:left w:w="108" w:type="dxa"/>
            <w:bottom w:w="0" w:type="dxa"/>
            <w:right w:w="108" w:type="dxa"/>
          </w:tblCellMar>
        </w:tblPrEx>
        <w:trPr>
          <w:trHeight w:val="37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w:t>
            </w:r>
            <w:r>
              <w:rPr>
                <w:rFonts w:hint="eastAsia" w:ascii="仿宋" w:hAnsi="仿宋" w:eastAsia="仿宋" w:cs="仿宋"/>
                <w:b w:val="0"/>
                <w:bCs w:val="0"/>
                <w:color w:val="0000FF"/>
                <w:sz w:val="24"/>
                <w:szCs w:val="24"/>
                <w:lang w:val="en-US" w:eastAsia="zh-CN"/>
              </w:rPr>
              <w:t>综合评分法</w:t>
            </w:r>
          </w:p>
        </w:tc>
      </w:tr>
      <w:tr>
        <w:tblPrEx>
          <w:tblCellMar>
            <w:top w:w="0" w:type="dxa"/>
            <w:left w:w="108" w:type="dxa"/>
            <w:bottom w:w="0" w:type="dxa"/>
            <w:right w:w="108" w:type="dxa"/>
          </w:tblCellMar>
        </w:tblPrEx>
        <w:trPr>
          <w:trHeight w:val="40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46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本次招标预算价：</w:t>
            </w:r>
            <w:r>
              <w:rPr>
                <w:rFonts w:hint="eastAsia" w:ascii="仿宋" w:hAnsi="仿宋" w:eastAsia="仿宋" w:cs="仿宋"/>
                <w:b w:val="0"/>
                <w:bCs w:val="0"/>
                <w:color w:val="0000FF"/>
                <w:sz w:val="24"/>
                <w:szCs w:val="24"/>
                <w:lang w:val="en-US" w:eastAsia="zh-CN"/>
              </w:rPr>
              <w:t>500000.00元（伍拾万元整）</w:t>
            </w:r>
            <w:r>
              <w:rPr>
                <w:rFonts w:hint="eastAsia" w:ascii="仿宋" w:hAnsi="仿宋" w:eastAsia="仿宋" w:cs="仿宋"/>
                <w:b w:val="0"/>
                <w:bCs w:val="0"/>
                <w:color w:val="auto"/>
                <w:sz w:val="24"/>
                <w:szCs w:val="24"/>
                <w:lang w:val="en-US" w:eastAsia="zh-CN"/>
              </w:rPr>
              <w:t>，</w:t>
            </w:r>
            <w:r>
              <w:rPr>
                <w:rFonts w:hint="eastAsia" w:ascii="仿宋" w:hAnsi="仿宋" w:eastAsia="仿宋" w:cs="仿宋"/>
                <w:color w:val="000000" w:themeColor="text1"/>
                <w:lang w:eastAsia="zh-CN"/>
                <w14:textFill>
                  <w14:solidFill>
                    <w14:schemeClr w14:val="tx1"/>
                  </w14:solidFill>
                </w14:textFill>
              </w:rPr>
              <w:t>投标总报价超过采购预算价的按废标处理。</w:t>
            </w:r>
          </w:p>
        </w:tc>
      </w:tr>
      <w:tr>
        <w:tblPrEx>
          <w:tblCellMar>
            <w:top w:w="0" w:type="dxa"/>
            <w:left w:w="108" w:type="dxa"/>
            <w:bottom w:w="0" w:type="dxa"/>
            <w:right w:w="108" w:type="dxa"/>
          </w:tblCellMar>
        </w:tblPrEx>
        <w:trPr>
          <w:trHeight w:val="2726"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中小微企业政策文件</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根据财政部、工业和信息化部关于印发《政府采购促进中小企业发展管理办法》的通知（财库[2020]46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1759"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1735"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152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支持中小企业发展：给予小型和微型企业产品的价格</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0%的扣除，用扣除后的价格参与评审</w:t>
            </w:r>
            <w:r>
              <w:rPr>
                <w:rFonts w:hint="eastAsia" w:ascii="宋体" w:hAnsi="宋体" w:eastAsia="宋体" w:cs="宋体"/>
                <w:color w:val="auto"/>
                <w:sz w:val="21"/>
                <w:szCs w:val="21"/>
                <w:highlight w:val="none"/>
                <w:lang w:eastAsia="zh-CN"/>
              </w:rPr>
              <w:t>，</w:t>
            </w:r>
            <w:bookmarkStart w:id="68" w:name="_GoBack"/>
            <w:bookmarkEnd w:id="68"/>
            <w:r>
              <w:rPr>
                <w:rFonts w:hint="eastAsia" w:ascii="宋体" w:hAnsi="宋体" w:cs="宋体"/>
                <w:bCs/>
                <w:szCs w:val="21"/>
              </w:rPr>
              <w:t>本项目</w:t>
            </w:r>
            <w:r>
              <w:rPr>
                <w:rFonts w:hint="eastAsia" w:ascii="宋体" w:hAnsi="宋体" w:cs="宋体"/>
                <w:bCs/>
                <w:szCs w:val="21"/>
                <w:lang w:val="en-US" w:eastAsia="zh-CN"/>
              </w:rPr>
              <w:t>具体扣除比例为</w:t>
            </w:r>
            <w:r>
              <w:rPr>
                <w:rFonts w:hint="eastAsia" w:cs="Times New Roman"/>
                <w:b/>
                <w:bCs/>
                <w:color w:val="FF0000"/>
                <w:szCs w:val="21"/>
                <w:lang w:val="en-US" w:eastAsia="zh-CN"/>
              </w:rPr>
              <w:t>10</w:t>
            </w:r>
            <w:r>
              <w:rPr>
                <w:rFonts w:hint="eastAsia" w:ascii="Times New Roman" w:hAnsi="Times New Roman" w:eastAsia="宋体" w:cs="Times New Roman"/>
                <w:b/>
                <w:bCs/>
                <w:color w:val="FF0000"/>
                <w:szCs w:val="21"/>
                <w:lang w:eastAsia="zh-CN"/>
              </w:rPr>
              <w:t>%</w:t>
            </w:r>
            <w:r>
              <w:rPr>
                <w:rFonts w:hint="eastAsia" w:ascii="宋体" w:hAnsi="宋体" w:eastAsia="宋体" w:cs="宋体"/>
                <w:color w:val="auto"/>
                <w:sz w:val="21"/>
                <w:szCs w:val="21"/>
                <w:highlight w:val="none"/>
              </w:rPr>
              <w:t>。用扣除后的价格参与评审。残疾人福利性单位视同小型、微型企业，享受同等价格扣除，但同时属于残疾人福利性单位和小微企业的，不重复价格扣除。（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rPr>
                <w:rFonts w:hint="eastAsia" w:ascii="仿宋" w:hAnsi="仿宋" w:eastAsia="仿宋" w:cs="仿宋"/>
                <w:b w:val="0"/>
                <w:bCs w:val="0"/>
                <w:color w:val="auto"/>
                <w:sz w:val="24"/>
                <w:szCs w:val="24"/>
              </w:rPr>
            </w:pPr>
          </w:p>
          <w:p>
            <w:pPr>
              <w:shd w:val="clear" w:color="auto" w:fill="auto"/>
              <w:spacing w:line="36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履约保证金</w:t>
            </w:r>
          </w:p>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zh-CN"/>
              </w:rPr>
              <w:t>中标人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val="zh-CN"/>
              </w:rPr>
              <w:t>中标通知书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中标交人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中标</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tc>
      </w:tr>
      <w:tr>
        <w:tblPrEx>
          <w:tblCellMar>
            <w:top w:w="0" w:type="dxa"/>
            <w:left w:w="108" w:type="dxa"/>
            <w:bottom w:w="0" w:type="dxa"/>
            <w:right w:w="108" w:type="dxa"/>
          </w:tblCellMar>
        </w:tblPrEx>
        <w:trPr>
          <w:trHeight w:val="90" w:hRule="atLeast"/>
          <w:jc w:val="center"/>
        </w:trPr>
        <w:tc>
          <w:tcPr>
            <w:tcW w:w="536"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31</w:t>
            </w:r>
          </w:p>
        </w:tc>
        <w:tc>
          <w:tcPr>
            <w:tcW w:w="1720"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本采购项目所属行业</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0000FF"/>
                <w:sz w:val="24"/>
                <w:szCs w:val="24"/>
                <w:lang w:val="en-US" w:eastAsia="zh-CN"/>
              </w:rPr>
              <w:t>本采购项目所属行业：</w:t>
            </w:r>
            <w:r>
              <w:rPr>
                <w:rFonts w:hint="eastAsia" w:ascii="仿宋" w:hAnsi="仿宋" w:eastAsia="仿宋" w:cs="仿宋"/>
                <w:b w:val="0"/>
                <w:bCs w:val="0"/>
                <w:color w:val="0000FF"/>
                <w:sz w:val="24"/>
                <w:szCs w:val="24"/>
                <w:u w:val="single"/>
                <w:lang w:val="en-US" w:eastAsia="zh-CN"/>
              </w:rPr>
              <w:t>农、林、牧、渔</w:t>
            </w:r>
          </w:p>
        </w:tc>
      </w:tr>
      <w:tr>
        <w:tblPrEx>
          <w:tblCellMar>
            <w:top w:w="0" w:type="dxa"/>
            <w:left w:w="108" w:type="dxa"/>
            <w:bottom w:w="0" w:type="dxa"/>
            <w:right w:w="108" w:type="dxa"/>
          </w:tblCellMar>
        </w:tblPrEx>
        <w:trPr>
          <w:trHeight w:val="84" w:hRule="atLeast"/>
          <w:jc w:val="center"/>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备注</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auto"/>
                <w:spacing w:val="0"/>
                <w:w w:val="100"/>
                <w:position w:val="0"/>
                <w:sz w:val="24"/>
                <w:szCs w:val="24"/>
                <w:shd w:val="clear" w:color="auto" w:fill="auto"/>
                <w:lang w:val="en-US" w:eastAsia="zh-CN" w:bidi="en-US"/>
              </w:rPr>
            </w:pPr>
            <w:r>
              <w:rPr>
                <w:rFonts w:hint="eastAsia" w:ascii="仿宋" w:hAnsi="仿宋" w:eastAsia="仿宋" w:cs="仿宋"/>
                <w:b w:val="0"/>
                <w:bCs w:val="0"/>
                <w:color w:val="auto"/>
                <w:spacing w:val="0"/>
                <w:w w:val="100"/>
                <w:position w:val="0"/>
                <w:sz w:val="24"/>
                <w:szCs w:val="24"/>
                <w:shd w:val="clear" w:color="auto" w:fill="auto"/>
                <w:lang w:val="en-US" w:eastAsia="zh-CN" w:bidi="en-US"/>
              </w:rPr>
              <w:t>2、投标人使用相同IP地址的，一经发现，相关部门将进一步核实，查实后按串通投标处理。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为保证本项目质量，良好的售后服务，最低报价不作为中标的唯一依据。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（1）投标企业严格遵守国家的法律法规及招标纪律，无违法违纪及商业贿赂行为。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（2）不管投标结果如何，供应商均应自行承担投标所需一切费用。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0"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0"/>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供货期：见投标人须知前附表。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固定单价 。</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1" w:name="_Toc152042315"/>
      <w:bookmarkStart w:id="2" w:name="_Toc247527563"/>
      <w:bookmarkStart w:id="3" w:name="_Toc152045539"/>
      <w:bookmarkStart w:id="4" w:name="_Toc296602429"/>
      <w:bookmarkStart w:id="5" w:name="_Toc247513962"/>
      <w:bookmarkStart w:id="6" w:name="_Toc144974507"/>
      <w:bookmarkStart w:id="7" w:name="_Toc247592876"/>
      <w:r>
        <w:rPr>
          <w:rFonts w:hint="eastAsia" w:ascii="仿宋" w:hAnsi="仿宋" w:eastAsia="仿宋" w:cs="仿宋"/>
          <w:b/>
          <w:color w:val="auto"/>
          <w:szCs w:val="21"/>
          <w:highlight w:val="none"/>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8" w:name="_Toc247592877"/>
      <w:bookmarkStart w:id="9" w:name="_Toc296602430"/>
      <w:bookmarkStart w:id="10" w:name="_Toc152045540"/>
      <w:bookmarkStart w:id="11" w:name="_Toc247527564"/>
      <w:bookmarkStart w:id="12" w:name="_Toc152042316"/>
      <w:bookmarkStart w:id="13" w:name="_Toc144974508"/>
      <w:bookmarkStart w:id="14" w:name="_Toc247513963"/>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w:t>
      </w:r>
      <w:r>
        <w:rPr>
          <w:rFonts w:hint="eastAsia" w:ascii="仿宋" w:hAnsi="仿宋" w:eastAsia="仿宋" w:cs="仿宋"/>
          <w:b/>
          <w:color w:val="auto"/>
          <w:szCs w:val="21"/>
          <w:highlight w:val="none"/>
          <w:lang w:eastAsia="zh-CN"/>
        </w:rPr>
        <w:t>体</w:t>
      </w:r>
      <w:r>
        <w:rPr>
          <w:rFonts w:hint="eastAsia" w:ascii="仿宋" w:hAnsi="仿宋" w:eastAsia="仿宋" w:cs="仿宋"/>
          <w:b/>
          <w:color w:val="auto"/>
          <w:szCs w:val="21"/>
          <w:highlight w:val="none"/>
        </w:rPr>
        <w:t>投标</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8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招标代理服务收费标准</w:t>
      </w:r>
    </w:p>
    <w:tbl>
      <w:tblPr>
        <w:tblStyle w:val="18"/>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1542"/>
        <w:gridCol w:w="1758"/>
        <w:gridCol w:w="171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中标金额</w:t>
            </w:r>
          </w:p>
        </w:tc>
        <w:tc>
          <w:tcPr>
            <w:tcW w:w="1542" w:type="dxa"/>
            <w:noWrap w:val="0"/>
            <w:vAlign w:val="center"/>
          </w:tcPr>
          <w:p>
            <w:pPr>
              <w:shd w:val="clear" w:color="auto" w:fill="auto"/>
              <w:spacing w:line="360" w:lineRule="auto"/>
              <w:ind w:left="0" w:leftChars="0" w:right="0" w:rightChars="0" w:firstLine="240" w:firstLineChars="10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货物招标</w:t>
            </w:r>
          </w:p>
        </w:tc>
        <w:tc>
          <w:tcPr>
            <w:tcW w:w="1758"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服务招标</w:t>
            </w:r>
          </w:p>
        </w:tc>
        <w:tc>
          <w:tcPr>
            <w:tcW w:w="1714"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工程招标</w:t>
            </w:r>
          </w:p>
        </w:tc>
        <w:tc>
          <w:tcPr>
            <w:tcW w:w="1509" w:type="dxa"/>
            <w:noWrap w:val="0"/>
            <w:vAlign w:val="center"/>
          </w:tcPr>
          <w:p>
            <w:pPr>
              <w:shd w:val="clear" w:color="auto" w:fill="auto"/>
              <w:tabs>
                <w:tab w:val="left" w:pos="317"/>
              </w:tabs>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100万元以下</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100～500万元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1.1%</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0.7%</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500～1000万元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0.45%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1000～5000万元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0.25%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0.35%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招标代理服务收费</w:t>
      </w:r>
      <w:r>
        <w:rPr>
          <w:rFonts w:hint="eastAsia" w:ascii="仿宋" w:hAnsi="仿宋" w:eastAsia="仿宋" w:cs="仿宋"/>
          <w:color w:val="auto"/>
          <w:szCs w:val="21"/>
          <w:highlight w:val="none"/>
        </w:rPr>
        <w:t>按差额定率累进法计算。例如：某项目招标代理业务</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（2000-1000）万元×0.50%=5.0（万元）</w:t>
      </w:r>
    </w:p>
    <w:p>
      <w:pPr>
        <w:shd w:val="clear" w:color="auto" w:fill="auto"/>
        <w:spacing w:line="440" w:lineRule="exact"/>
        <w:ind w:left="240" w:leftChars="100" w:firstLine="360" w:firstLineChars="150"/>
        <w:jc w:val="lef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合计收费=1.5+4.4+4.0+5.0=14.9(万元)</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成为新疆维吾尔自治区政府采购网正式注册入库（已在政采云平台其他省份入驻的供应商无须重复注册）并完成CA数字证书申领供应商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15" w:name="_Toc469495725"/>
      <w:r>
        <w:rPr>
          <w:rFonts w:hint="eastAsia" w:ascii="仿宋" w:hAnsi="仿宋" w:eastAsia="仿宋" w:cs="仿宋"/>
          <w:b/>
          <w:color w:val="auto"/>
          <w:sz w:val="28"/>
          <w:szCs w:val="28"/>
          <w:highlight w:val="none"/>
        </w:rPr>
        <w:t>（二）</w:t>
      </w:r>
      <w:bookmarkEnd w:id="15"/>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w:t>
      </w:r>
      <w:r>
        <w:rPr>
          <w:rFonts w:hint="eastAsia" w:ascii="仿宋" w:hAnsi="仿宋" w:eastAsia="仿宋" w:cs="仿宋"/>
          <w:color w:val="auto"/>
          <w:szCs w:val="21"/>
          <w:highlight w:val="none"/>
        </w:rPr>
        <w:t>标公告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投标须知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采购内容及技术要求</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合同条款及格式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投标文件格式文本</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招标单位、招标代理机构对本文件的确认</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0"/>
        <w:shd w:val="clear" w:color="auto" w:fill="auto"/>
        <w:wordWrap w:val="0"/>
        <w:spacing w:line="400" w:lineRule="exact"/>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319" w:firstLineChars="133"/>
        <w:rPr>
          <w:rFonts w:hint="eastAsia" w:ascii="仿宋" w:hAnsi="仿宋" w:eastAsia="仿宋" w:cs="仿宋"/>
          <w:color w:val="auto"/>
          <w:szCs w:val="21"/>
          <w:highlight w:val="none"/>
        </w:rPr>
      </w:pPr>
      <w:bookmarkStart w:id="16"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16"/>
    </w:p>
    <w:p>
      <w:pPr>
        <w:shd w:val="clear" w:color="auto" w:fill="auto"/>
        <w:spacing w:line="440" w:lineRule="exact"/>
        <w:ind w:firstLine="348" w:firstLineChars="14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3、法定代表人授权书；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4、投标保证金收据或投标担保函；</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投标单位（供应商）针对本次采购项目《反商业贿赂承诺书》；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6、参加政府采购活动前三年内，在经营活动中没有重大违法记录的书面声明;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7、供应商须提供 “信用中国”网（http://www.creditchina.gov.cn/）、“中国政府采购网”网站（http://www.ccgp.gov.cn）无违法违规行为的查询记录（提供查询结果网页截图并加盖供应商公章）；</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8、投标人须知资料表要求的其他资格证明文件;</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、投标分项报价表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8、近三年（2019年1月1日至今）类似项目业绩表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w:t>
      </w:r>
      <w:r>
        <w:rPr>
          <w:rFonts w:hint="eastAsia" w:ascii="仿宋" w:hAnsi="仿宋" w:eastAsia="仿宋" w:cs="仿宋"/>
          <w:b w:val="0"/>
          <w:bCs/>
          <w:color w:val="auto"/>
          <w:kern w:val="0"/>
          <w:szCs w:val="21"/>
          <w:highlight w:val="none"/>
          <w:u w:val="none"/>
        </w:rPr>
        <w:t>、中小企业声明函(</w:t>
      </w:r>
      <w:r>
        <w:rPr>
          <w:rFonts w:hint="eastAsia" w:ascii="仿宋" w:hAnsi="仿宋" w:eastAsia="仿宋" w:cs="仿宋"/>
          <w:b w:val="0"/>
          <w:bCs/>
          <w:color w:val="auto"/>
          <w:kern w:val="0"/>
          <w:szCs w:val="21"/>
          <w:highlight w:val="none"/>
          <w:u w:val="none"/>
          <w:lang w:eastAsia="zh-CN"/>
        </w:rPr>
        <w:t>货物</w:t>
      </w:r>
      <w:r>
        <w:rPr>
          <w:rFonts w:hint="eastAsia" w:ascii="仿宋" w:hAnsi="仿宋" w:eastAsia="仿宋" w:cs="仿宋"/>
          <w:b w:val="0"/>
          <w:bCs/>
          <w:color w:val="auto"/>
          <w:kern w:val="0"/>
          <w:szCs w:val="21"/>
          <w:highlight w:val="none"/>
          <w:u w:val="none"/>
        </w:rPr>
        <w:t>)</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10、</w:t>
      </w:r>
      <w:r>
        <w:rPr>
          <w:rFonts w:hint="eastAsia" w:ascii="仿宋" w:hAnsi="仿宋" w:eastAsia="仿宋" w:cs="仿宋"/>
          <w:b w:val="0"/>
          <w:bCs/>
          <w:color w:val="auto"/>
          <w:kern w:val="0"/>
          <w:szCs w:val="21"/>
          <w:highlight w:val="none"/>
          <w:u w:val="none"/>
        </w:rPr>
        <w:t>《残疾人福利性单位声明函》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11、</w:t>
      </w:r>
      <w:r>
        <w:rPr>
          <w:rFonts w:hint="eastAsia" w:ascii="仿宋" w:hAnsi="仿宋" w:eastAsia="仿宋" w:cs="仿宋"/>
          <w:b w:val="0"/>
          <w:bCs/>
          <w:color w:val="auto"/>
          <w:kern w:val="0"/>
          <w:szCs w:val="21"/>
          <w:highlight w:val="none"/>
          <w:u w:val="none"/>
          <w:lang w:eastAsia="zh-CN"/>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货物本身价格、疫苗费检测费、运输费用、验货费用、损耗、技术指导、税金费用、自检费及验收合格前和质保期内发生的一切费用、应当提供的伴随服务/售后服务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投标人投标总报价，不得高于本次招标设置的最高限价，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w:t>
      </w:r>
      <w:r>
        <w:rPr>
          <w:rFonts w:hint="eastAsia" w:ascii="仿宋" w:hAnsi="仿宋" w:eastAsia="仿宋" w:cs="仿宋"/>
          <w:color w:val="auto"/>
          <w:szCs w:val="21"/>
          <w:highlight w:val="none"/>
          <w:lang w:eastAsia="zh-CN"/>
        </w:rPr>
        <w:t>保证金</w:t>
      </w:r>
      <w:r>
        <w:rPr>
          <w:rFonts w:hint="eastAsia" w:ascii="仿宋" w:hAnsi="仿宋" w:eastAsia="仿宋" w:cs="仿宋"/>
          <w:color w:val="auto"/>
          <w:szCs w:val="21"/>
          <w:highlight w:val="none"/>
        </w:rPr>
        <w:t>。</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17"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3"/>
        <w:shd w:val="clear" w:color="auto" w:fill="auto"/>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17"/>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5"/>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5"/>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shd w:val="clear" w:fill="FF0000"/>
          <w:lang w:val="en-US" w:bidi="zh-CN"/>
        </w:rPr>
        <w:t>1033238151</w:t>
      </w:r>
      <w:r>
        <w:rPr>
          <w:rFonts w:hint="eastAsia" w:ascii="仿宋" w:hAnsi="仿宋" w:eastAsia="仿宋" w:cs="仿宋"/>
          <w:color w:val="auto"/>
          <w:sz w:val="24"/>
          <w:szCs w:val="24"/>
          <w:highlight w:val="none"/>
          <w:u w:val="single"/>
          <w:lang w:val="en-US" w:bidi="zh-CN"/>
        </w:rPr>
        <w:t>@qq.com</w:t>
      </w:r>
      <w:r>
        <w:rPr>
          <w:rStyle w:val="22"/>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王先生</w:t>
      </w:r>
      <w:r>
        <w:rPr>
          <w:rStyle w:val="22"/>
          <w:rFonts w:hint="eastAsia" w:ascii="仿宋" w:hAnsi="仿宋" w:eastAsia="仿宋" w:cs="仿宋"/>
          <w:color w:val="auto"/>
          <w:sz w:val="24"/>
          <w:szCs w:val="24"/>
          <w:highlight w:val="none"/>
          <w:u w:val="single"/>
          <w:lang w:bidi="zh-CN"/>
        </w:rPr>
        <w:t>，电话：</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sz w:val="24"/>
          <w:szCs w:val="24"/>
          <w:highlight w:val="none"/>
          <w:u w:val="single"/>
          <w:lang w:val="en-US" w:bidi="zh-CN"/>
        </w:rPr>
        <w:t>3379708739</w:t>
      </w:r>
      <w:r>
        <w:rPr>
          <w:rFonts w:hint="eastAsia" w:ascii="仿宋" w:hAnsi="仿宋" w:eastAsia="仿宋" w:cs="仿宋"/>
          <w:color w:val="auto"/>
          <w:sz w:val="24"/>
          <w:szCs w:val="24"/>
          <w:highlight w:val="none"/>
          <w:lang w:bidi="zh-CN"/>
        </w:rPr>
        <w:t>）；</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19" w:name="_Toc73975822"/>
      <w:r>
        <w:rPr>
          <w:rFonts w:hint="eastAsia" w:ascii="仿宋" w:hAnsi="仿宋" w:eastAsia="仿宋" w:cs="仿宋"/>
          <w:b/>
          <w:bCs/>
          <w:color w:val="auto"/>
          <w:sz w:val="24"/>
          <w:szCs w:val="24"/>
          <w:highlight w:val="none"/>
          <w:lang w:val="en-US" w:eastAsia="zh-CN"/>
        </w:rPr>
        <w:t>29.1开标邀请</w:t>
      </w:r>
      <w:bookmarkEnd w:id="19"/>
    </w:p>
    <w:p>
      <w:pPr>
        <w:pStyle w:val="10"/>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2"/>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auto"/>
          <w:sz w:val="24"/>
          <w:szCs w:val="24"/>
          <w:highlight w:val="none"/>
        </w:rPr>
      </w:pPr>
      <w:bookmarkStart w:id="20"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公布投标文件解密情况（投标文件成功解密的供应商名单等信息），组织签署</w:t>
      </w:r>
      <w:r>
        <w:rPr>
          <w:rFonts w:hint="eastAsia" w:ascii="仿宋" w:hAnsi="仿宋" w:eastAsia="仿宋" w:cs="仿宋"/>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1033238151@qq.com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并【开启签章时段】，供应商对开标记录进行在线签章确认（不予确认的应说明理由，否则视为无异议）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 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综合评分法货物项目的价格分值占总分值的比重(即权值)为</w:t>
      </w:r>
      <w:r>
        <w:rPr>
          <w:rFonts w:hint="eastAsia" w:ascii="仿宋" w:hAnsi="仿宋" w:eastAsia="仿宋" w:cs="仿宋"/>
          <w:color w:val="auto"/>
          <w:kern w:val="0"/>
          <w:szCs w:val="21"/>
          <w:highlight w:val="none"/>
          <w:lang w:val="en-US" w:eastAsia="zh-CN"/>
        </w:rPr>
        <w:t>35</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bookmarkStart w:id="21"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新疆政府采购网（www.zjzfcg.gov.cn）、克州公共资源交易中心网上公告采购结果，中标公告期限为1个工作日。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克州公共资源交易中心网、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bCs/>
          <w:color w:val="auto"/>
          <w:szCs w:val="21"/>
          <w:highlight w:val="none"/>
        </w:rPr>
        <w:t>公示期为</w:t>
      </w:r>
      <w:r>
        <w:rPr>
          <w:rFonts w:hint="eastAsia" w:ascii="仿宋" w:hAnsi="仿宋" w:eastAsia="仿宋" w:cs="仿宋"/>
          <w:b/>
          <w:bCs/>
          <w:color w:val="auto"/>
          <w:szCs w:val="21"/>
          <w:highlight w:val="none"/>
          <w:lang w:eastAsia="zh-CN"/>
        </w:rPr>
        <w:t>一</w:t>
      </w:r>
      <w:r>
        <w:rPr>
          <w:rFonts w:hint="eastAsia" w:ascii="仿宋" w:hAnsi="仿宋" w:eastAsia="仿宋" w:cs="仿宋"/>
          <w:b/>
          <w:bCs/>
          <w:color w:val="auto"/>
          <w:szCs w:val="21"/>
          <w:highlight w:val="none"/>
        </w:rPr>
        <w:t>个工作日。</w:t>
      </w:r>
      <w:r>
        <w:rPr>
          <w:rFonts w:hint="eastAsia" w:ascii="仿宋" w:hAnsi="仿宋" w:eastAsia="仿宋" w:cs="仿宋"/>
          <w:b/>
          <w:bCs/>
          <w:color w:val="auto"/>
          <w:szCs w:val="21"/>
          <w:highlight w:val="none"/>
          <w:lang w:eastAsia="zh-CN"/>
        </w:rPr>
        <w:t>待公示期结束后，</w:t>
      </w:r>
      <w:r>
        <w:rPr>
          <w:rFonts w:hint="eastAsia" w:ascii="仿宋" w:hAnsi="仿宋" w:eastAsia="仿宋" w:cs="仿宋"/>
          <w:b w:val="0"/>
          <w:bCs w:val="0"/>
          <w:color w:val="auto"/>
          <w:szCs w:val="21"/>
          <w:highlight w:val="none"/>
          <w:lang w:val="en-US" w:eastAsia="zh-CN"/>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中标供应商在签订合同后十个工作日内向采购人交纳不超过中标价10%的履约保证金（鼓励以银行、保险公司出具的履约保函形式提交；若以电汇、银行转账方式提交的，必须转到采购人的指定账户）。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4" w:name="_Toc73975843"/>
      <w:r>
        <w:rPr>
          <w:rFonts w:hint="eastAsia" w:ascii="仿宋" w:hAnsi="仿宋" w:eastAsia="仿宋" w:cs="仿宋"/>
          <w:b w:val="0"/>
          <w:bCs w:val="0"/>
          <w:color w:val="auto"/>
          <w:szCs w:val="21"/>
          <w:highlight w:val="none"/>
          <w:lang w:val="en-US" w:eastAsia="zh-CN"/>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（七）纪律和监督</w:t>
      </w:r>
      <w:bookmarkEnd w:id="23"/>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49.5供应商有下列情形之一的，采购代理机构和阿图什市财政局，将其列入不良行为记录名单：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pStyle w:val="24"/>
        <w:shd w:val="clear" w:color="auto" w:fill="auto"/>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14"/>
        <w:rPr>
          <w:rFonts w:hint="eastAsia"/>
        </w:rPr>
      </w:pP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840" w:firstLineChars="16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320" w:firstLineChars="18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40" w:firstLineChars="100"/>
        <w:jc w:val="center"/>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14"/>
        <w:rPr>
          <w:rFonts w:hint="eastAsia"/>
          <w:lang w:val="en-US" w:eastAsia="zh-CN"/>
        </w:rPr>
      </w:pPr>
    </w:p>
    <w:p>
      <w:pPr>
        <w:shd w:val="clear" w:color="auto" w:fill="auto"/>
        <w:spacing w:line="440" w:lineRule="exact"/>
        <w:ind w:firstLine="240" w:firstLineChars="100"/>
        <w:jc w:val="center"/>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25" w:name="_Toc17515"/>
    </w:p>
    <w:p>
      <w:pPr>
        <w:shd w:val="clear" w:color="auto" w:fill="auto"/>
        <w:ind w:left="7951" w:hanging="5760" w:hangingChars="1800"/>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569" w:leftChars="304" w:hanging="3840" w:hangingChars="1600"/>
        <w:textAlignment w:val="auto"/>
        <w:outlineLvl w:val="0"/>
        <w:rPr>
          <w:rFonts w:hint="eastAsia"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27" w:name="_Toc13508"/>
      <w:r>
        <w:rPr>
          <w:rFonts w:hint="eastAsia" w:ascii="仿宋" w:hAnsi="仿宋" w:eastAsia="仿宋" w:cs="仿宋"/>
          <w:b/>
          <w:bCs/>
          <w:color w:val="auto"/>
          <w:sz w:val="24"/>
          <w:szCs w:val="24"/>
          <w:highlight w:val="none"/>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28" w:name="_Toc5978"/>
      <w:r>
        <w:rPr>
          <w:rFonts w:hint="eastAsia" w:ascii="仿宋" w:hAnsi="仿宋" w:eastAsia="仿宋" w:cs="仿宋"/>
          <w:b/>
          <w:bCs/>
          <w:color w:val="auto"/>
          <w:sz w:val="24"/>
          <w:szCs w:val="24"/>
          <w:highlight w:val="none"/>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shd w:val="clear" w:color="auto" w:fill="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乌恰县政府采购办</w:t>
      </w:r>
      <w:r>
        <w:rPr>
          <w:rFonts w:hint="eastAsia" w:ascii="仿宋" w:hAnsi="仿宋" w:eastAsia="仿宋" w:cs="仿宋"/>
          <w:color w:val="auto"/>
          <w:sz w:val="24"/>
          <w:szCs w:val="24"/>
          <w:highlight w:val="none"/>
        </w:rPr>
        <w:t>监管办公室</w:t>
      </w: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auto"/>
          <w:sz w:val="44"/>
          <w:szCs w:val="44"/>
          <w:highlight w:val="none"/>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44"/>
          <w:szCs w:val="44"/>
          <w:highlight w:val="none"/>
        </w:rPr>
      </w:pPr>
    </w:p>
    <w:p>
      <w:pPr>
        <w:pStyle w:val="17"/>
        <w:ind w:left="0" w:leftChars="0" w:firstLine="0" w:firstLineChars="0"/>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30" w:name="_Toc9061"/>
      <w:r>
        <w:rPr>
          <w:rFonts w:hint="eastAsia" w:ascii="仿宋" w:hAnsi="仿宋" w:eastAsia="仿宋" w:cs="仿宋"/>
          <w:bCs/>
          <w:color w:val="auto"/>
          <w:sz w:val="24"/>
          <w:szCs w:val="24"/>
          <w:highlight w:val="none"/>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1" w:name="_Toc15938"/>
      <w:r>
        <w:rPr>
          <w:rFonts w:hint="eastAsia" w:ascii="仿宋" w:hAnsi="仿宋" w:eastAsia="仿宋" w:cs="仿宋"/>
          <w:bCs/>
          <w:color w:val="auto"/>
          <w:sz w:val="24"/>
          <w:szCs w:val="24"/>
          <w:highlight w:val="none"/>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2" w:name="_Toc18271"/>
      <w:r>
        <w:rPr>
          <w:rFonts w:hint="eastAsia" w:ascii="仿宋" w:hAnsi="仿宋" w:eastAsia="仿宋" w:cs="仿宋"/>
          <w:bCs/>
          <w:color w:val="auto"/>
          <w:sz w:val="24"/>
          <w:szCs w:val="24"/>
          <w:highlight w:val="none"/>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3" w:name="_Toc22365"/>
      <w:r>
        <w:rPr>
          <w:rFonts w:hint="eastAsia" w:ascii="仿宋" w:hAnsi="仿宋" w:eastAsia="仿宋" w:cs="仿宋"/>
          <w:bCs/>
          <w:color w:val="auto"/>
          <w:sz w:val="24"/>
          <w:szCs w:val="24"/>
          <w:highlight w:val="none"/>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p>
    <w:p>
      <w:pPr>
        <w:pageBreakBefore/>
        <w:shd w:val="clear" w:color="auto" w:fill="auto"/>
        <w:spacing w:line="440" w:lineRule="exact"/>
        <w:jc w:val="center"/>
        <w:outlineLvl w:val="0"/>
        <w:rPr>
          <w:rFonts w:hint="eastAsia" w:ascii="仿宋" w:hAnsi="仿宋" w:eastAsia="仿宋" w:cs="仿宋"/>
          <w:b/>
          <w:bCs/>
          <w:color w:val="auto"/>
          <w:sz w:val="44"/>
          <w:szCs w:val="44"/>
          <w:highlight w:val="none"/>
        </w:rPr>
      </w:pPr>
      <w:bookmarkStart w:id="34" w:name="_Toc469495731"/>
      <w:r>
        <w:rPr>
          <w:rFonts w:hint="eastAsia" w:ascii="仿宋" w:hAnsi="仿宋" w:eastAsia="仿宋" w:cs="仿宋"/>
          <w:b/>
          <w:bCs/>
          <w:color w:val="auto"/>
          <w:sz w:val="44"/>
          <w:szCs w:val="44"/>
          <w:highlight w:val="none"/>
        </w:rPr>
        <w:t>第三</w:t>
      </w:r>
      <w:r>
        <w:rPr>
          <w:rFonts w:hint="eastAsia" w:ascii="仿宋" w:hAnsi="仿宋" w:eastAsia="仿宋" w:cs="仿宋"/>
          <w:b/>
          <w:bCs/>
          <w:color w:val="auto"/>
          <w:sz w:val="44"/>
          <w:szCs w:val="44"/>
          <w:highlight w:val="none"/>
          <w:lang w:eastAsia="zh-CN"/>
        </w:rPr>
        <w:t>章</w:t>
      </w:r>
      <w:r>
        <w:rPr>
          <w:rFonts w:hint="eastAsia" w:ascii="仿宋" w:hAnsi="仿宋" w:eastAsia="仿宋" w:cs="仿宋"/>
          <w:b/>
          <w:bCs/>
          <w:color w:val="auto"/>
          <w:sz w:val="44"/>
          <w:szCs w:val="44"/>
          <w:highlight w:val="none"/>
        </w:rPr>
        <w:t xml:space="preserve">  评标办法</w:t>
      </w:r>
      <w:bookmarkEnd w:id="34"/>
    </w:p>
    <w:p>
      <w:pPr>
        <w:shd w:val="clear" w:color="auto" w:fill="auto"/>
        <w:jc w:val="center"/>
        <w:outlineLvl w:val="1"/>
        <w:rPr>
          <w:rFonts w:hint="eastAsia" w:ascii="仿宋" w:hAnsi="仿宋" w:eastAsia="仿宋" w:cs="仿宋"/>
          <w:b/>
          <w:color w:val="auto"/>
          <w:sz w:val="28"/>
          <w:szCs w:val="28"/>
          <w:highlight w:val="none"/>
        </w:rPr>
      </w:pPr>
      <w:bookmarkStart w:id="35" w:name="_Toc469495733"/>
      <w:bookmarkStart w:id="36" w:name="_Toc362983802"/>
      <w:bookmarkStart w:id="37" w:name="_Toc267320058"/>
      <w:bookmarkStart w:id="38"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33"/>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33"/>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33"/>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33"/>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15"/>
        <w:shd w:val="clear" w:color="auto" w:fill="auto"/>
        <w:tabs>
          <w:tab w:val="left" w:pos="720"/>
          <w:tab w:val="clear" w:pos="0"/>
        </w:tabs>
        <w:spacing w:line="440" w:lineRule="exact"/>
        <w:ind w:firstLine="612" w:firstLineChars="255"/>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4"/>
          <w:szCs w:val="24"/>
          <w:highlight w:val="none"/>
        </w:rPr>
      </w:pPr>
    </w:p>
    <w:p>
      <w:pPr>
        <w:shd w:val="clear" w:color="auto" w:fill="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1" w:type="dxa"/>
            <w:vMerge w:val="restart"/>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547" w:type="dxa"/>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649"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（三证合一）营业执照</w:t>
            </w:r>
            <w:r>
              <w:rPr>
                <w:rFonts w:hint="eastAsia" w:ascii="仿宋" w:hAnsi="仿宋" w:eastAsia="仿宋" w:cs="仿宋"/>
                <w:color w:val="auto"/>
                <w:kern w:val="0"/>
                <w:sz w:val="24"/>
                <w:szCs w:val="24"/>
                <w:highlight w:val="none"/>
                <w:lang w:eastAsia="zh-CN" w:bidi="ar"/>
              </w:rPr>
              <w:t>副本</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widowControl/>
              <w:shd w:val="clear" w:color="auto" w:fill="auto"/>
              <w:jc w:val="both"/>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参加采购活动前三年内，在经营活动中没有重大违法记录，供应商须提供 “信用中国”网（http://www.creditchina.gov.cn/）、“中国政府采购网”网站（http://www.ccgp.gov.cn）无违法违规行为的查询记录（提供查询结果网页截图并加盖供应商公章）；</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投标</w:t>
            </w:r>
            <w:r>
              <w:rPr>
                <w:rFonts w:hint="eastAsia" w:ascii="仿宋" w:hAnsi="仿宋" w:eastAsia="仿宋" w:cs="仿宋"/>
                <w:color w:val="auto"/>
                <w:kern w:val="0"/>
                <w:sz w:val="24"/>
                <w:szCs w:val="24"/>
                <w:highlight w:val="none"/>
                <w:lang w:bidi="ar"/>
              </w:rPr>
              <w:t>保证金收据</w:t>
            </w:r>
            <w:r>
              <w:rPr>
                <w:rFonts w:hint="eastAsia" w:ascii="仿宋" w:hAnsi="仿宋" w:eastAsia="仿宋" w:cs="仿宋"/>
                <w:color w:val="auto"/>
                <w:kern w:val="0"/>
                <w:sz w:val="24"/>
                <w:szCs w:val="24"/>
                <w:highlight w:val="none"/>
                <w:lang w:eastAsia="zh-CN" w:bidi="ar"/>
              </w:rPr>
              <w:t>或保函等票据</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highlight w:val="none"/>
                <w:lang w:val="en-US" w:eastAsia="zh-CN"/>
              </w:rPr>
              <w:t>投标企业须提供投标人（被授权在职人员）近6个月有效的社保证明</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4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投标企业须提供中小企业/小微企业声明函；</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81"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top"/>
          </w:tcPr>
          <w:p>
            <w:pPr>
              <w:shd w:val="clear" w:color="auto" w:fill="auto"/>
              <w:jc w:val="center"/>
              <w:rPr>
                <w:rFonts w:hint="eastAsia" w:ascii="仿宋" w:hAnsi="仿宋" w:eastAsia="仿宋" w:cs="仿宋"/>
                <w:color w:val="auto"/>
                <w:sz w:val="24"/>
                <w:szCs w:val="24"/>
                <w:highlight w:val="none"/>
                <w:lang w:val="en-US" w:eastAsia="zh-CN"/>
              </w:rPr>
            </w:pPr>
          </w:p>
        </w:tc>
        <w:tc>
          <w:tcPr>
            <w:tcW w:w="66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结论：是否通过评审（须填写通过或不通过）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注：如有一项不合格，作废标处理。</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spacing w:line="400" w:lineRule="exact"/>
        <w:ind w:firstLine="578" w:firstLineChars="24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shd w:val="clear" w:color="auto" w:fill="auto"/>
        <w:spacing w:line="4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18"/>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由政府立项核准、审批的采购项目, 报价高于设定的采购预算价的</w:t>
            </w:r>
            <w:r>
              <w:rPr>
                <w:rFonts w:hint="eastAsia" w:ascii="仿宋" w:hAnsi="仿宋" w:eastAsia="仿宋" w:cs="仿宋"/>
                <w:color w:val="auto"/>
                <w:kern w:val="0"/>
                <w:sz w:val="24"/>
                <w:szCs w:val="24"/>
                <w:highlight w:val="none"/>
                <w:lang w:eastAsia="zh-CN" w:bidi="ar"/>
              </w:rPr>
              <w:t>。</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szCs w:val="24"/>
                <w:highlight w:val="none"/>
                <w:lang w:bidi="ar"/>
              </w:rPr>
              <w:t>投标人详细地址、联系人、电话</w:t>
            </w:r>
            <w:r>
              <w:rPr>
                <w:rFonts w:hint="eastAsia" w:ascii="仿宋" w:hAnsi="仿宋" w:eastAsia="仿宋" w:cs="仿宋"/>
                <w:b w:val="0"/>
                <w:bCs w:val="0"/>
                <w:color w:val="auto"/>
                <w:kern w:val="0"/>
                <w:sz w:val="24"/>
                <w:szCs w:val="24"/>
                <w:highlight w:val="none"/>
                <w:lang w:eastAsia="zh-CN" w:bidi="ar"/>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bidi w:val="0"/>
        <w:rPr>
          <w:rFonts w:hint="eastAsia" w:ascii="仿宋" w:hAnsi="仿宋" w:eastAsia="仿宋" w:cs="仿宋"/>
          <w:color w:val="auto"/>
          <w:highlight w:val="none"/>
        </w:rPr>
      </w:pP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.3如果投标文件实质上没有响应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39" w:name="_Toc469495734"/>
      <w:bookmarkStart w:id="40" w:name="_Toc362983803"/>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color w:val="auto"/>
          <w:sz w:val="22"/>
          <w:szCs w:val="20"/>
          <w:highlight w:val="none"/>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24"/>
          <w:szCs w:val="24"/>
          <w:highlight w:val="none"/>
        </w:rPr>
      </w:pPr>
      <w:bookmarkStart w:id="41" w:name="_Toc469495735"/>
      <w:r>
        <w:rPr>
          <w:rFonts w:hint="eastAsia" w:ascii="仿宋" w:hAnsi="仿宋" w:eastAsia="仿宋" w:cs="仿宋"/>
          <w:b/>
          <w:color w:val="auto"/>
          <w:sz w:val="24"/>
          <w:szCs w:val="24"/>
          <w:highlight w:val="none"/>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auto"/>
          <w:szCs w:val="21"/>
          <w:highlight w:val="none"/>
          <w:lang w:bidi="ar-SA"/>
        </w:rPr>
      </w:pPr>
      <w:bookmarkStart w:id="42" w:name="_Toc469495736"/>
      <w:bookmarkStart w:id="43" w:name="_Toc362983805"/>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480" w:firstLineChars="200"/>
        <w:jc w:val="left"/>
        <w:rPr>
          <w:rFonts w:hint="eastAsia"/>
        </w:rPr>
      </w:pPr>
      <w:r>
        <w:rPr>
          <w:rFonts w:hint="eastAsia" w:ascii="仿宋" w:hAnsi="仿宋" w:eastAsia="仿宋" w:cs="仿宋"/>
          <w:color w:val="auto"/>
          <w:szCs w:val="21"/>
          <w:highlight w:val="none"/>
          <w:lang w:bidi="ar-SA"/>
        </w:rPr>
        <w:t>（8）评分标准和细则（综合评分法评分标准）</w:t>
      </w:r>
    </w:p>
    <w:tbl>
      <w:tblPr>
        <w:tblStyle w:val="18"/>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227"/>
        <w:gridCol w:w="920"/>
        <w:gridCol w:w="6183"/>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序号</w:t>
            </w:r>
          </w:p>
        </w:tc>
        <w:tc>
          <w:tcPr>
            <w:tcW w:w="12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评分因素</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及权重</w:t>
            </w:r>
          </w:p>
        </w:tc>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分值</w:t>
            </w:r>
          </w:p>
        </w:tc>
        <w:tc>
          <w:tcPr>
            <w:tcW w:w="61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评分标准</w:t>
            </w:r>
          </w:p>
        </w:tc>
        <w:tc>
          <w:tcPr>
            <w:tcW w:w="1369" w:type="dxa"/>
            <w:noWrap w:val="0"/>
            <w:vAlign w:val="center"/>
          </w:tcPr>
          <w:p>
            <w:pPr>
              <w:pStyle w:val="34"/>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523"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w:t>
            </w:r>
          </w:p>
        </w:tc>
        <w:tc>
          <w:tcPr>
            <w:tcW w:w="122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投标报价</w:t>
            </w:r>
          </w:p>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（40分)</w:t>
            </w:r>
          </w:p>
        </w:tc>
        <w:tc>
          <w:tcPr>
            <w:tcW w:w="92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（40分）</w:t>
            </w:r>
          </w:p>
        </w:tc>
        <w:tc>
          <w:tcPr>
            <w:tcW w:w="6183" w:type="dxa"/>
            <w:noWrap w:val="0"/>
            <w:vAlign w:val="center"/>
          </w:tcPr>
          <w:p>
            <w:pPr>
              <w:pStyle w:val="32"/>
              <w:kinsoku w:val="0"/>
              <w:overflowPunct w:val="0"/>
              <w:spacing w:before="1" w:line="40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完全满足招标文件参数的投标报价中的最低价为评标基准价，按照下列公式计算每个投标人的投标价格得分。</w:t>
            </w:r>
          </w:p>
          <w:p>
            <w:pPr>
              <w:pStyle w:val="32"/>
              <w:kinsoku w:val="0"/>
              <w:overflowPunct w:val="0"/>
              <w:spacing w:before="1" w:line="400" w:lineRule="exact"/>
              <w:jc w:val="both"/>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lang w:val="en-US" w:eastAsia="zh-CN" w:bidi="ar-SA"/>
              </w:rPr>
              <w:t>投标报价得分＝（基准价/投标报价）×价格权重×100。</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23"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w:t>
            </w:r>
          </w:p>
        </w:tc>
        <w:tc>
          <w:tcPr>
            <w:tcW w:w="122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bookmarkStart w:id="44" w:name="OLE_LINK13"/>
            <w:r>
              <w:rPr>
                <w:rFonts w:hint="eastAsia" w:ascii="仿宋" w:hAnsi="仿宋" w:eastAsia="仿宋" w:cs="仿宋"/>
                <w:color w:val="auto"/>
                <w:sz w:val="24"/>
                <w:szCs w:val="24"/>
                <w:highlight w:val="none"/>
                <w:lang w:bidi="ar-SA"/>
              </w:rPr>
              <w:t>技术部分</w:t>
            </w:r>
            <w:bookmarkEnd w:id="44"/>
          </w:p>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30分</w:t>
            </w:r>
            <w:r>
              <w:rPr>
                <w:rFonts w:hint="eastAsia" w:ascii="仿宋" w:hAnsi="仿宋" w:eastAsia="仿宋" w:cs="仿宋"/>
                <w:color w:val="auto"/>
                <w:sz w:val="24"/>
                <w:szCs w:val="24"/>
                <w:highlight w:val="none"/>
                <w:lang w:eastAsia="zh-CN" w:bidi="ar-SA"/>
              </w:rPr>
              <w:t>）</w:t>
            </w:r>
          </w:p>
        </w:tc>
        <w:tc>
          <w:tcPr>
            <w:tcW w:w="92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（30分）</w:t>
            </w:r>
          </w:p>
        </w:tc>
        <w:tc>
          <w:tcPr>
            <w:tcW w:w="6183" w:type="dxa"/>
            <w:noWrap w:val="0"/>
            <w:vAlign w:val="center"/>
          </w:tcPr>
          <w:p>
            <w:pPr>
              <w:pStyle w:val="32"/>
              <w:shd w:val="clear" w:color="auto" w:fill="auto"/>
              <w:kinsoku w:val="0"/>
              <w:overflowPunct w:val="0"/>
              <w:spacing w:before="1" w:line="40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技术指标、参数完全符合招标文件技术指标、参数要求的得25分，以此为基础，投标人技术指标、参数高于招标文件规定的相应技术指标、参数的，每有一项加1分（附相应印证材料），最高加5分。</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523"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1227" w:type="dxa"/>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实施方案</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5分</w:t>
            </w:r>
            <w:r>
              <w:rPr>
                <w:rFonts w:hint="eastAsia" w:ascii="仿宋" w:hAnsi="仿宋" w:eastAsia="仿宋" w:cs="仿宋"/>
                <w:color w:val="auto"/>
                <w:sz w:val="24"/>
                <w:szCs w:val="24"/>
                <w:highlight w:val="none"/>
                <w:lang w:eastAsia="zh-CN" w:bidi="ar-SA"/>
              </w:rPr>
              <w:t>）</w:t>
            </w:r>
          </w:p>
        </w:tc>
        <w:tc>
          <w:tcPr>
            <w:tcW w:w="920" w:type="dxa"/>
            <w:noWrap w:val="0"/>
            <w:vAlign w:val="center"/>
          </w:tcPr>
          <w:p>
            <w:pPr>
              <w:pStyle w:val="32"/>
              <w:shd w:val="clear" w:color="auto" w:fill="auto"/>
              <w:kinsoku w:val="0"/>
              <w:overflowPunct w:val="0"/>
              <w:spacing w:before="1"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6183" w:type="dxa"/>
            <w:noWrap w:val="0"/>
            <w:vAlign w:val="center"/>
          </w:tcPr>
          <w:p>
            <w:pPr>
              <w:numPr>
                <w:ilvl w:val="0"/>
                <w:numId w:val="0"/>
              </w:numPr>
              <w:shd w:val="clear" w:color="auto" w:fill="auto"/>
              <w:ind w:leftChars="0" w:right="0" w:rightChars="0"/>
              <w:rPr>
                <w:rFonts w:hint="default"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1、有具体的货物运输、安装、试运行方案；符合本项目要求，有针对性，方案合理，优得3分；一般得1-2分；差不得分。此项最高得3分</w:t>
            </w:r>
          </w:p>
          <w:p>
            <w:pPr>
              <w:numPr>
                <w:ilvl w:val="0"/>
                <w:numId w:val="0"/>
              </w:numPr>
              <w:shd w:val="clear" w:color="auto" w:fill="auto"/>
              <w:ind w:leftChars="0" w:right="0" w:right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2、使用培训；有详细设备的使用培训方案、培训内容完整、有针对性，培训时长合理，配备人员有明确的联系方式、社保证明及技术资格，方案可实施性强，优得2分；一般得1分；差不得分。此项最高得2分</w:t>
            </w:r>
          </w:p>
        </w:tc>
        <w:tc>
          <w:tcPr>
            <w:tcW w:w="1369"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523" w:type="dxa"/>
            <w:vMerge w:val="restart"/>
            <w:tcBorders>
              <w:left w:val="single" w:color="auto" w:sz="4" w:space="0"/>
              <w:right w:val="single" w:color="auto" w:sz="4" w:space="0"/>
            </w:tcBorders>
            <w:noWrap w:val="0"/>
            <w:vAlign w:val="center"/>
          </w:tcPr>
          <w:p>
            <w:pPr>
              <w:ind w:left="0" w:leftChars="0" w:right="0" w:rightChars="0" w:firstLine="0" w:firstLineChars="0"/>
              <w:jc w:val="center"/>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4</w:t>
            </w:r>
          </w:p>
        </w:tc>
        <w:tc>
          <w:tcPr>
            <w:tcW w:w="1227" w:type="dxa"/>
            <w:vMerge w:val="restart"/>
            <w:tcBorders>
              <w:left w:val="single" w:color="auto" w:sz="4" w:space="0"/>
              <w:right w:val="single" w:color="auto" w:sz="4" w:space="0"/>
            </w:tcBorders>
            <w:noWrap w:val="0"/>
            <w:vAlign w:val="center"/>
          </w:tcPr>
          <w:p>
            <w:pPr>
              <w:spacing w:line="500" w:lineRule="exact"/>
              <w:ind w:left="0" w:leftChars="0" w:right="0" w:rightChars="0" w:firstLine="28" w:firstLineChars="0"/>
              <w:jc w:val="center"/>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质量保证及售后服务（25分）</w:t>
            </w:r>
          </w:p>
        </w:tc>
        <w:tc>
          <w:tcPr>
            <w:tcW w:w="920" w:type="dxa"/>
            <w:tcBorders>
              <w:left w:val="single" w:color="auto" w:sz="4" w:space="0"/>
              <w:right w:val="single" w:color="auto" w:sz="4" w:space="0"/>
            </w:tcBorders>
            <w:noWrap w:val="0"/>
            <w:vAlign w:val="center"/>
          </w:tcPr>
          <w:p>
            <w:pPr>
              <w:numPr>
                <w:ilvl w:val="0"/>
                <w:numId w:val="0"/>
              </w:numPr>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售后服务（15分）</w:t>
            </w:r>
          </w:p>
          <w:p>
            <w:pPr>
              <w:ind w:left="0" w:leftChars="0" w:right="0" w:rightChars="0" w:firstLine="0" w:firstLineChars="0"/>
              <w:rPr>
                <w:rFonts w:hint="eastAsia" w:ascii="仿宋" w:hAnsi="仿宋" w:eastAsia="仿宋" w:cs="仿宋"/>
                <w:color w:val="auto"/>
                <w:spacing w:val="0"/>
                <w:w w:val="100"/>
                <w:kern w:val="2"/>
                <w:position w:val="0"/>
                <w:sz w:val="24"/>
                <w:szCs w:val="24"/>
                <w:shd w:val="clear" w:color="auto" w:fill="auto"/>
                <w:lang w:val="en-US" w:eastAsia="zh-CN" w:bidi="ar-SA"/>
              </w:rPr>
            </w:pPr>
          </w:p>
        </w:tc>
        <w:tc>
          <w:tcPr>
            <w:tcW w:w="6183"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售后服务体系完备，根据提供的详细售后服务网点信息和售后服务承诺、备品备件、质量保障、质保期满服务收费与服务承诺等方面进行评价。优秀得8-10 分；良好得 5-7分；一般得 1-4 分；无售后服务体系及服务情况不得分。此项最高得10分。</w:t>
            </w:r>
          </w:p>
          <w:p>
            <w:pPr>
              <w:numPr>
                <w:ilvl w:val="0"/>
                <w:numId w:val="6"/>
              </w:numPr>
              <w:ind w:left="0" w:leftChars="0" w:right="0" w:rightChars="0" w:firstLine="0" w:firstLineChars="0"/>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FF0000"/>
                <w:spacing w:val="0"/>
                <w:w w:val="100"/>
                <w:kern w:val="2"/>
                <w:position w:val="0"/>
                <w:sz w:val="24"/>
                <w:szCs w:val="24"/>
                <w:shd w:val="clear" w:color="auto"/>
                <w:lang w:val="en-US" w:eastAsia="zh-CN" w:bidi="ar-SA"/>
              </w:rPr>
              <w:t>供应商具有良好的售后服务流程及合理的人员配置，设置了专门的响应接待人员和响应接待电话，可以在工作时间之内随时响应使用单位售后服务要求的。根据供应商提供材料详尽程度进行优、良、差三个等级评分，优得4-5分，良得2-3分，差的0-1分。此项最高得5分。</w:t>
            </w:r>
          </w:p>
        </w:tc>
        <w:tc>
          <w:tcPr>
            <w:tcW w:w="1369" w:type="dxa"/>
            <w:tcBorders>
              <w:left w:val="single" w:color="auto" w:sz="4" w:space="0"/>
              <w:right w:val="single" w:color="auto" w:sz="4" w:space="0"/>
            </w:tcBorders>
            <w:noWrap w:val="0"/>
            <w:vAlign w:val="center"/>
          </w:tcPr>
          <w:p>
            <w:pPr>
              <w:ind w:left="0" w:leftChars="0" w:right="0" w:rightChars="0" w:firstLine="0" w:firstLineChars="0"/>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售后服务、维修人员需提供人员社保（近1个月）及劳动合同加盖公章为依据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52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pacing w:val="0"/>
                <w:w w:val="100"/>
                <w:kern w:val="2"/>
                <w:position w:val="0"/>
                <w:sz w:val="24"/>
                <w:szCs w:val="24"/>
                <w:shd w:val="clear" w:color="auto" w:fill="auto"/>
                <w:lang w:val="en-US" w:eastAsia="zh-CN" w:bidi="ar-SA"/>
              </w:rPr>
            </w:pPr>
          </w:p>
        </w:tc>
        <w:tc>
          <w:tcPr>
            <w:tcW w:w="12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pacing w:val="0"/>
                <w:w w:val="100"/>
                <w:kern w:val="2"/>
                <w:position w:val="0"/>
                <w:sz w:val="24"/>
                <w:szCs w:val="24"/>
                <w:shd w:val="clear" w:color="auto" w:fill="auto"/>
                <w:lang w:val="en-US" w:eastAsia="zh-CN" w:bidi="ar-SA"/>
              </w:rPr>
            </w:pPr>
          </w:p>
        </w:tc>
        <w:tc>
          <w:tcPr>
            <w:tcW w:w="920" w:type="dxa"/>
            <w:vMerge w:val="restart"/>
            <w:tcBorders>
              <w:left w:val="single" w:color="auto" w:sz="4" w:space="0"/>
              <w:right w:val="single" w:color="auto" w:sz="4" w:space="0"/>
            </w:tcBorders>
            <w:noWrap w:val="0"/>
            <w:vAlign w:val="center"/>
          </w:tcPr>
          <w:p>
            <w:pPr>
              <w:ind w:left="0" w:leftChars="0" w:right="0" w:rightChars="0" w:firstLine="0" w:firstLineChars="0"/>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处理方案及供货期（10分）</w:t>
            </w:r>
          </w:p>
        </w:tc>
        <w:tc>
          <w:tcPr>
            <w:tcW w:w="618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应急处理方案：（4分）</w:t>
            </w:r>
          </w:p>
          <w:p>
            <w:pPr>
              <w:numPr>
                <w:ilvl w:val="0"/>
                <w:numId w:val="0"/>
              </w:numPr>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1投标人故障响应时间：接到通知后两小时内到现场加1分，优于加1分，(最多加2分)</w:t>
            </w:r>
          </w:p>
          <w:p>
            <w:pPr>
              <w:numPr>
                <w:ilvl w:val="0"/>
                <w:numId w:val="0"/>
              </w:numPr>
              <w:ind w:left="0" w:leftChars="0" w:firstLine="0" w:firstLineChars="0"/>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2投标人故障处理方案2分（优加2分，良加1分，一般不加分）</w:t>
            </w:r>
          </w:p>
        </w:tc>
        <w:tc>
          <w:tcPr>
            <w:tcW w:w="1369" w:type="dxa"/>
            <w:tcBorders>
              <w:left w:val="single" w:color="auto" w:sz="4" w:space="0"/>
              <w:right w:val="single" w:color="auto" w:sz="4" w:space="0"/>
            </w:tcBorders>
            <w:noWrap w:val="0"/>
            <w:vAlign w:val="center"/>
          </w:tcPr>
          <w:p>
            <w:pPr>
              <w:ind w:left="0" w:leftChars="0" w:right="0" w:rightChars="0" w:firstLine="0" w:firstLineChars="0"/>
              <w:rPr>
                <w:rFonts w:hint="eastAsia" w:ascii="仿宋" w:hAnsi="仿宋" w:eastAsia="仿宋" w:cs="仿宋"/>
                <w:color w:val="auto"/>
                <w:spacing w:val="0"/>
                <w:w w:val="100"/>
                <w:kern w:val="2"/>
                <w:position w:val="0"/>
                <w:sz w:val="24"/>
                <w:szCs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52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pacing w:val="0"/>
                <w:w w:val="100"/>
                <w:kern w:val="2"/>
                <w:position w:val="0"/>
                <w:sz w:val="24"/>
                <w:szCs w:val="24"/>
                <w:shd w:val="clear" w:color="auto" w:fill="auto"/>
                <w:lang w:val="en-US" w:eastAsia="zh-CN" w:bidi="ar-SA"/>
              </w:rPr>
            </w:pPr>
          </w:p>
        </w:tc>
        <w:tc>
          <w:tcPr>
            <w:tcW w:w="122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pacing w:val="0"/>
                <w:w w:val="100"/>
                <w:kern w:val="2"/>
                <w:position w:val="0"/>
                <w:sz w:val="24"/>
                <w:szCs w:val="24"/>
                <w:shd w:val="clear" w:color="auto" w:fill="auto"/>
                <w:lang w:val="en-US" w:eastAsia="zh-CN" w:bidi="ar-SA"/>
              </w:rPr>
            </w:pPr>
          </w:p>
        </w:tc>
        <w:tc>
          <w:tcPr>
            <w:tcW w:w="920" w:type="dxa"/>
            <w:vMerge w:val="continue"/>
            <w:tcBorders>
              <w:left w:val="single" w:color="auto" w:sz="4" w:space="0"/>
              <w:right w:val="single" w:color="auto" w:sz="4" w:space="0"/>
            </w:tcBorders>
            <w:noWrap w:val="0"/>
            <w:vAlign w:val="center"/>
          </w:tcPr>
          <w:p>
            <w:pPr>
              <w:pStyle w:val="32"/>
              <w:shd w:val="clear" w:color="auto" w:fill="auto"/>
              <w:kinsoku w:val="0"/>
              <w:overflowPunct w:val="0"/>
              <w:spacing w:before="1" w:line="400" w:lineRule="exact"/>
              <w:jc w:val="center"/>
              <w:rPr>
                <w:rFonts w:hint="eastAsia" w:ascii="仿宋" w:hAnsi="仿宋" w:eastAsia="仿宋" w:cs="仿宋"/>
                <w:color w:val="auto"/>
                <w:spacing w:val="0"/>
                <w:w w:val="100"/>
                <w:kern w:val="2"/>
                <w:position w:val="0"/>
                <w:sz w:val="24"/>
                <w:szCs w:val="24"/>
                <w:shd w:val="clear" w:color="auto" w:fill="auto"/>
                <w:lang w:val="en-US" w:eastAsia="zh-CN" w:bidi="ar-SA"/>
              </w:rPr>
            </w:pPr>
          </w:p>
        </w:tc>
        <w:tc>
          <w:tcPr>
            <w:tcW w:w="618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交货期：（3分）满足招标文件的加2分。优于招标文件要求的加1分（最多加3分）</w:t>
            </w:r>
          </w:p>
          <w:p>
            <w:pPr>
              <w:numPr>
                <w:ilvl w:val="0"/>
                <w:numId w:val="0"/>
              </w:numPr>
              <w:ind w:left="0" w:leftChars="0" w:firstLine="0" w:firstLineChars="0"/>
              <w:rPr>
                <w:rFonts w:hint="eastAsia" w:ascii="仿宋" w:hAnsi="仿宋" w:eastAsia="仿宋" w:cs="仿宋"/>
                <w:color w:val="auto"/>
                <w:spacing w:val="0"/>
                <w:w w:val="100"/>
                <w:kern w:val="2"/>
                <w:position w:val="0"/>
                <w:sz w:val="24"/>
                <w:szCs w:val="24"/>
                <w:shd w:val="clear" w:color="auto" w:fill="auto"/>
                <w:lang w:val="en-US" w:eastAsia="zh-CN" w:bidi="ar-SA"/>
              </w:rPr>
            </w:pPr>
            <w:r>
              <w:rPr>
                <w:rFonts w:hint="eastAsia" w:ascii="仿宋" w:hAnsi="仿宋" w:eastAsia="仿宋" w:cs="仿宋"/>
                <w:color w:val="auto"/>
                <w:spacing w:val="0"/>
                <w:w w:val="100"/>
                <w:kern w:val="2"/>
                <w:position w:val="0"/>
                <w:sz w:val="24"/>
                <w:szCs w:val="24"/>
                <w:shd w:val="clear" w:color="auto" w:fill="auto"/>
                <w:lang w:val="en-US" w:eastAsia="zh-CN" w:bidi="ar-SA"/>
              </w:rPr>
              <w:t>质保期：（3分）满足招标文件提出的质保期的得2分，每延长一年加1分，此项最高得3分。（注：投标供应商延长的质保期为投标人自愿延长，若设备非因人为因素损坏的，质保期内应免费质保维修，投标供应商应承诺质保期内不再另行收取零配件费用。）</w:t>
            </w:r>
          </w:p>
        </w:tc>
        <w:tc>
          <w:tcPr>
            <w:tcW w:w="1369" w:type="dxa"/>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firstLine="0" w:firstLineChars="0"/>
              <w:jc w:val="both"/>
              <w:rPr>
                <w:rFonts w:hint="eastAsia" w:ascii="仿宋" w:hAnsi="仿宋" w:eastAsia="仿宋" w:cs="仿宋"/>
                <w:color w:val="auto"/>
                <w:spacing w:val="0"/>
                <w:w w:val="100"/>
                <w:kern w:val="2"/>
                <w:position w:val="0"/>
                <w:sz w:val="24"/>
                <w:szCs w:val="24"/>
                <w:shd w:val="clear" w:color="auto" w:fill="auto"/>
                <w:lang w:val="en-US" w:eastAsia="zh-CN" w:bidi="ar-SA"/>
              </w:rPr>
            </w:pPr>
          </w:p>
        </w:tc>
      </w:tr>
    </w:tbl>
    <w:p>
      <w:pPr>
        <w:rPr>
          <w:color w:val="auto"/>
        </w:rPr>
      </w:pPr>
    </w:p>
    <w:p>
      <w:pPr>
        <w:pStyle w:val="36"/>
        <w:shd w:val="clear" w:color="auto" w:fill="auto"/>
        <w:tabs>
          <w:tab w:val="left" w:pos="1701"/>
        </w:tabs>
        <w:spacing w:line="440" w:lineRule="exac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480" w:firstLineChars="200"/>
        <w:jc w:val="left"/>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val="0"/>
          <w:bCs w:val="0"/>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（12）投标人基本资格条件和特定资格条件中有一项及以上不符合要求的；</w:t>
      </w:r>
    </w:p>
    <w:p>
      <w:pPr>
        <w:shd w:val="clear" w:color="auto" w:fill="auto"/>
        <w:snapToGrid w:val="0"/>
        <w:spacing w:line="400" w:lineRule="exact"/>
        <w:ind w:firstLine="360"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（13）投标人使用相同的MAC地址进行报名的</w:t>
      </w:r>
      <w:r>
        <w:rPr>
          <w:rFonts w:hint="eastAsia" w:ascii="仿宋" w:hAnsi="仿宋" w:eastAsia="仿宋" w:cs="仿宋"/>
          <w:color w:val="auto"/>
          <w:szCs w:val="21"/>
          <w:highlight w:val="none"/>
          <w:lang w:eastAsia="zh-CN"/>
        </w:rPr>
        <w:t>；</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（14）其它情形，经评标委员会提出按无效投标处理，并经公共资源交易监督部门核准的；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）其它情形，经评标委员会提出按无效投标处理，并经公共资源交易监督部门核准的；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（6）拒不确认评标委员会评审修正的投标无效；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（7）其它情形，经评标委员会提出按无效投标处理，并经公共资源交易监督部门核准的；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ageBreakBefore/>
        <w:shd w:val="clear" w:color="auto" w:fill="auto"/>
        <w:spacing w:line="360" w:lineRule="auto"/>
        <w:jc w:val="center"/>
        <w:outlineLvl w:val="0"/>
        <w:rPr>
          <w:rFonts w:hint="eastAsia" w:ascii="仿宋" w:hAnsi="仿宋" w:eastAsia="仿宋" w:cs="仿宋"/>
          <w:b/>
          <w:color w:val="auto"/>
          <w:sz w:val="32"/>
          <w:szCs w:val="32"/>
          <w:highlight w:val="none"/>
        </w:rPr>
        <w:sectPr>
          <w:footerReference r:id="rId9" w:type="default"/>
          <w:pgSz w:w="11906" w:h="16838"/>
          <w:pgMar w:top="1440" w:right="1080" w:bottom="1440" w:left="1080" w:header="851" w:footer="992" w:gutter="0"/>
          <w:pgNumType w:fmt="decimal"/>
          <w:cols w:space="720" w:num="1"/>
          <w:docGrid w:type="linesAndChars" w:linePitch="312" w:charSpace="0"/>
        </w:sectPr>
      </w:pPr>
      <w:bookmarkStart w:id="45" w:name="_Toc469495737"/>
      <w:bookmarkStart w:id="46" w:name="OLE_LINK4"/>
    </w:p>
    <w:bookmarkEnd w:id="38"/>
    <w:bookmarkEnd w:id="45"/>
    <w:p>
      <w:pPr>
        <w:pageBreakBefore/>
        <w:numPr>
          <w:ilvl w:val="0"/>
          <w:numId w:val="0"/>
        </w:numPr>
        <w:shd w:val="clear" w:color="auto" w:fill="auto"/>
        <w:spacing w:line="360" w:lineRule="auto"/>
        <w:ind w:leftChars="0" w:right="0" w:rightChars="0"/>
        <w:jc w:val="center"/>
        <w:outlineLvl w:val="0"/>
        <w:rPr>
          <w:rFonts w:hint="eastAsia" w:ascii="仿宋" w:hAnsi="仿宋" w:eastAsia="仿宋" w:cs="仿宋"/>
          <w:b/>
          <w:bCs/>
          <w:color w:val="auto"/>
          <w:sz w:val="24"/>
          <w:szCs w:val="24"/>
          <w:highlight w:val="yellow"/>
          <w:lang w:eastAsia="zh-CN"/>
        </w:rPr>
      </w:pPr>
      <w:r>
        <w:rPr>
          <w:rFonts w:hint="eastAsia" w:ascii="仿宋" w:hAnsi="仿宋" w:eastAsia="仿宋" w:cs="仿宋"/>
          <w:b/>
          <w:color w:val="auto"/>
          <w:sz w:val="36"/>
          <w:szCs w:val="36"/>
          <w:highlight w:val="none"/>
          <w:lang w:eastAsia="zh-CN"/>
        </w:rPr>
        <w:t>第四章</w:t>
      </w:r>
      <w:r>
        <w:rPr>
          <w:rFonts w:hint="eastAsia" w:ascii="仿宋" w:hAnsi="仿宋" w:eastAsia="仿宋" w:cs="仿宋"/>
          <w:b/>
          <w:color w:val="auto"/>
          <w:sz w:val="36"/>
          <w:szCs w:val="36"/>
          <w:highlight w:val="none"/>
          <w:lang w:val="en-US" w:eastAsia="zh-CN"/>
        </w:rPr>
        <w:t xml:space="preserve">  项目采购清单（</w:t>
      </w:r>
      <w:r>
        <w:rPr>
          <w:rFonts w:hint="eastAsia" w:ascii="仿宋" w:hAnsi="仿宋" w:eastAsia="仿宋" w:cs="仿宋"/>
          <w:b/>
          <w:color w:val="auto"/>
          <w:sz w:val="36"/>
          <w:szCs w:val="36"/>
          <w:highlight w:val="none"/>
        </w:rPr>
        <w:t>技术规格、数量及质量要求</w:t>
      </w:r>
      <w:r>
        <w:rPr>
          <w:rFonts w:hint="eastAsia" w:ascii="仿宋" w:hAnsi="仿宋" w:eastAsia="仿宋" w:cs="仿宋"/>
          <w:b/>
          <w:color w:val="auto"/>
          <w:sz w:val="36"/>
          <w:szCs w:val="36"/>
          <w:highlight w:val="none"/>
          <w:lang w:val="en-US" w:eastAsia="zh-CN"/>
        </w:rPr>
        <w:t>）</w:t>
      </w:r>
      <w:bookmarkStart w:id="47" w:name="_Toc340225294"/>
      <w:bookmarkStart w:id="48" w:name="_Toc267320052"/>
    </w:p>
    <w:tbl>
      <w:tblPr>
        <w:tblStyle w:val="18"/>
        <w:tblW w:w="9872" w:type="dxa"/>
        <w:tblInd w:w="-3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975"/>
        <w:gridCol w:w="5424"/>
        <w:gridCol w:w="764"/>
        <w:gridCol w:w="693"/>
        <w:gridCol w:w="769"/>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主要货物名称</w:t>
            </w:r>
          </w:p>
        </w:tc>
        <w:tc>
          <w:tcPr>
            <w:tcW w:w="5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主要技术参数</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w:t>
            </w:r>
          </w:p>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价</w:t>
            </w:r>
          </w:p>
        </w:tc>
        <w:tc>
          <w:tcPr>
            <w:tcW w:w="769" w:type="dxa"/>
            <w:tcBorders>
              <w:top w:val="single" w:color="000000" w:sz="4" w:space="0"/>
              <w:left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w:t>
            </w:r>
          </w:p>
          <w:p>
            <w:pPr>
              <w:keepNext w:val="0"/>
              <w:keepLines w:val="0"/>
              <w:widowControl/>
              <w:suppressLineNumbers w:val="0"/>
              <w:shd w:val="clear" w:color="auto" w:fill="auto"/>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价</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w:t>
            </w:r>
          </w:p>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青稞收割机</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长×宽×高（mm）：7160×3200×3420；</w:t>
            </w:r>
          </w:p>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整机质量（kg）：5900；发动机（kW/ps）：139.7/190；</w:t>
            </w:r>
          </w:p>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变速箱型号/边减型式： D3.8/闭式；</w:t>
            </w:r>
          </w:p>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脱粒滚筒：8排齿切流+3组合式轴流；工作割幅（mm）：2960；</w:t>
            </w:r>
          </w:p>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作业速度（km/h）：0.7～9.8；</w:t>
            </w:r>
          </w:p>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作业效率（hm2/h）： 0.4～1.08；</w:t>
            </w:r>
          </w:p>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操控装置：多杆集成/电磁一杆操控；</w:t>
            </w:r>
          </w:p>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驱动方式：l静液压驱动、l机械变速+液压游轮无极变速；</w:t>
            </w:r>
          </w:p>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粮仓容积（m3）：2.5；油箱（L）：320。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吹风除尘机</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numPr>
                <w:ilvl w:val="0"/>
                <w:numId w:val="0"/>
              </w:numPr>
              <w:suppressLineNumbers w:val="0"/>
              <w:spacing w:after="200" w:afterAutospacing="0" w:line="240" w:lineRule="auto"/>
              <w:ind w:left="0" w:leftChars="0" w:right="0" w:rightChars="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提升机1台（功率1.1千瓦；食品级输送带、高强力畚斗，产量1—3T/h）；</w:t>
            </w:r>
          </w:p>
          <w:p>
            <w:pPr>
              <w:keepNext w:val="0"/>
              <w:keepLines w:val="0"/>
              <w:widowControl/>
              <w:numPr>
                <w:ilvl w:val="0"/>
                <w:numId w:val="0"/>
              </w:numPr>
              <w:suppressLineNumbers w:val="0"/>
              <w:spacing w:after="200" w:afterAutospacing="0" w:line="240" w:lineRule="auto"/>
              <w:ind w:left="0" w:leftChars="0" w:right="0" w:rightChars="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振动筛+去石机+打麦机（120型组合清理型）；</w:t>
            </w:r>
          </w:p>
          <w:p>
            <w:pPr>
              <w:keepNext w:val="0"/>
              <w:keepLines w:val="0"/>
              <w:widowControl/>
              <w:numPr>
                <w:ilvl w:val="0"/>
                <w:numId w:val="0"/>
              </w:numPr>
              <w:suppressLineNumbers w:val="0"/>
              <w:spacing w:after="200" w:afterAutospacing="0" w:line="240" w:lineRule="auto"/>
              <w:ind w:left="0" w:leftChars="0" w:right="0" w:rightChars="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提升机1台（功率1.1KW；食品级输送带、高强力畚斗，产量1—3T/h）；</w:t>
            </w:r>
          </w:p>
          <w:p>
            <w:pPr>
              <w:keepNext w:val="0"/>
              <w:keepLines w:val="0"/>
              <w:widowControl/>
              <w:numPr>
                <w:ilvl w:val="0"/>
                <w:numId w:val="0"/>
              </w:numPr>
              <w:suppressLineNumbers w:val="0"/>
              <w:spacing w:after="200" w:afterAutospacing="0" w:line="240" w:lineRule="auto"/>
              <w:ind w:left="0" w:leftChars="0" w:right="0" w:rightChars="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低压风机1台（功率4；为去石提供风力及除尘）</w:t>
            </w:r>
          </w:p>
          <w:p>
            <w:pPr>
              <w:keepNext w:val="0"/>
              <w:keepLines w:val="0"/>
              <w:widowControl/>
              <w:numPr>
                <w:ilvl w:val="0"/>
                <w:numId w:val="0"/>
              </w:numPr>
              <w:suppressLineNumbers w:val="0"/>
              <w:spacing w:after="200" w:afterAutospacing="0" w:line="240" w:lineRule="auto"/>
              <w:ind w:left="0" w:leftChars="0" w:right="0" w:rightChars="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除尘器1台；除尘风网1台；钢架1套；电器控制1套。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全自动化青稞磨粉机</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磨粉机4台（功率26KW）；</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提粉筛4台（功率9KW；镀锌板材质）；</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分级筛1台（外不锈钢材质）；</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高压风机1台（功率11KW）；</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卸料器1台（下旋55；镀锌板材质）；</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刷麸机1台（功率1.5KW）；</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风网管道1套；磨架、钢架1套；（非）标准件1套；布筒除尘器1套；电器控制1套</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刷粉机5台（功率1.1KW；产量1—2T/h）；</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关风器4台；</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面绞龙1台（功率1.5KW；产量1—2T/h；输送设备）；</w:t>
            </w:r>
          </w:p>
          <w:p>
            <w:pPr>
              <w:pStyle w:val="2"/>
              <w:rPr>
                <w:rFonts w:hint="eastAsia"/>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包装打包机</w:t>
            </w:r>
          </w:p>
        </w:tc>
        <w:tc>
          <w:tcPr>
            <w:tcW w:w="54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计量包装秤1台（25Kg；范围1—25Kg/袋）；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包装输送机1台（功率037千瓦）；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缝口机1台（功率0.37千瓦）；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空压机1台（3KW；功率3千瓦）；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储气罐1台（含油水分离器）；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粉提升机1台（功率1.5KW；食品级输送带、高强力畚斗，产量1—3T/h）；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气动管路1套。</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9"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脱粒机</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提升机1台（功率1.1千瓦；食品级输送带、高强力畚斗，产量1—3T/h）；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碾皮机1台（功率2.2千瓦；碾擦麦粒，去除表皮。产量1—2T/h）；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风机1台（功率3千瓦；配合碾皮机抽去碾去的麦皮）；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集皮器1套（功率0.75千瓦；集中收集麦皮）；</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风网管道1套；电器控制1套。</w:t>
            </w:r>
          </w:p>
        </w:tc>
        <w:tc>
          <w:tcPr>
            <w:tcW w:w="7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青稞炒制机</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提升机1台（功率1.1KW；食品级输送带、高强力畚斗，产量1—3T/h）；</w:t>
            </w:r>
          </w:p>
          <w:p>
            <w:pPr>
              <w:keepNext w:val="0"/>
              <w:keepLines w:val="0"/>
              <w:widowControl/>
              <w:suppressLineNumbers w:val="0"/>
              <w:shd w:val="clear" w:color="auto" w:fill="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链条提升机1台，</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炒锅2台（功率3KW；分砂机设计在滚筒内分砂）；</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提升机1台（功率1.1KW；食品级输送带、高强力畚斗，产量1—3T/h）；</w:t>
            </w:r>
          </w:p>
          <w:p>
            <w:pPr>
              <w:keepNext w:val="0"/>
              <w:keepLines w:val="0"/>
              <w:widowControl/>
              <w:suppressLineNumbers w:val="0"/>
              <w:shd w:val="clear" w:color="auto" w:fill="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凉米仓1台（1.25*1.25*3.88m；）。</w:t>
            </w:r>
          </w:p>
        </w:tc>
        <w:tc>
          <w:tcPr>
            <w:tcW w:w="76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1.2包装要求</w:t>
      </w:r>
    </w:p>
    <w:p>
      <w:pPr>
        <w:spacing w:line="360" w:lineRule="auto"/>
        <w:ind w:firstLine="49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bookmarkEnd w:id="46"/>
    <w:bookmarkEnd w:id="47"/>
    <w:bookmarkEnd w:id="48"/>
    <w:p>
      <w:pPr>
        <w:pStyle w:val="14"/>
        <w:rPr>
          <w:rFonts w:hint="eastAsia" w:ascii="仿宋" w:hAnsi="仿宋" w:eastAsia="仿宋" w:cs="仿宋"/>
          <w:b/>
          <w:bCs/>
          <w:color w:val="auto"/>
          <w:sz w:val="24"/>
          <w:szCs w:val="24"/>
          <w:lang w:eastAsia="zh-CN"/>
        </w:rPr>
      </w:pPr>
      <w:bookmarkStart w:id="49" w:name="_Toc469495740"/>
      <w:r>
        <w:rPr>
          <w:rFonts w:hint="eastAsia" w:ascii="仿宋" w:hAnsi="仿宋" w:eastAsia="仿宋" w:cs="仿宋"/>
          <w:b/>
          <w:bCs/>
          <w:color w:val="auto"/>
          <w:sz w:val="24"/>
          <w:szCs w:val="24"/>
          <w:lang w:eastAsia="zh-CN"/>
        </w:rPr>
        <w:t>1.3项目商务要求</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（一）实施（供货安装）时间</w:t>
      </w:r>
    </w:p>
    <w:p>
      <w:pPr>
        <w:pStyle w:val="14"/>
        <w:spacing w:line="360" w:lineRule="auto"/>
        <w:ind w:firstLine="490" w:firstLineChars="200"/>
        <w:rPr>
          <w:rFonts w:hint="eastAsia" w:ascii="仿宋" w:hAnsi="仿宋" w:eastAsia="仿宋" w:cs="仿宋"/>
          <w:color w:val="auto"/>
          <w:spacing w:val="0"/>
          <w:w w:val="100"/>
          <w:position w:val="0"/>
          <w:sz w:val="24"/>
          <w:szCs w:val="24"/>
          <w:highlight w:val="yellow"/>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合同签订后</w:t>
      </w:r>
      <w:r>
        <w:rPr>
          <w:rFonts w:hint="eastAsia" w:ascii="仿宋" w:hAnsi="仿宋" w:eastAsia="仿宋" w:cs="仿宋"/>
          <w:color w:val="auto"/>
          <w:spacing w:val="0"/>
          <w:w w:val="100"/>
          <w:position w:val="0"/>
          <w:sz w:val="24"/>
          <w:szCs w:val="24"/>
          <w:highlight w:val="yellow"/>
          <w:shd w:val="clear" w:color="auto" w:fill="auto"/>
          <w:lang w:val="en-US" w:eastAsia="zh-CN" w:bidi="en-US"/>
        </w:rPr>
        <w:t>30天内完成供货及安装调试完毕。</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（二）实施（交货）地点</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实施（交货）地点：甲方指定地点</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（三）报价要求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本次报价为人民币报价，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（四）质保要求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对所供应的货物二</w:t>
      </w:r>
      <w:r>
        <w:rPr>
          <w:rFonts w:hint="eastAsia" w:ascii="仿宋" w:hAnsi="仿宋" w:eastAsia="仿宋" w:cs="仿宋"/>
          <w:color w:val="auto"/>
          <w:spacing w:val="0"/>
          <w:w w:val="100"/>
          <w:position w:val="0"/>
          <w:sz w:val="24"/>
          <w:szCs w:val="24"/>
          <w:highlight w:val="yellow"/>
          <w:shd w:val="clear" w:color="auto" w:fill="auto"/>
          <w:lang w:val="en-US" w:eastAsia="zh-CN" w:bidi="en-US"/>
        </w:rPr>
        <w:t>年免费质保</w:t>
      </w:r>
      <w:r>
        <w:rPr>
          <w:rFonts w:hint="eastAsia" w:ascii="仿宋" w:hAnsi="仿宋" w:eastAsia="仿宋" w:cs="仿宋"/>
          <w:color w:val="auto"/>
          <w:spacing w:val="0"/>
          <w:w w:val="100"/>
          <w:position w:val="0"/>
          <w:sz w:val="24"/>
          <w:szCs w:val="24"/>
          <w:shd w:val="clear" w:color="auto" w:fill="auto"/>
          <w:lang w:val="en-US" w:eastAsia="zh-CN" w:bidi="en-US"/>
        </w:rPr>
        <w:t>（自货物验收合格并进行移交之日起）。</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（五）售后服务、理赔、质量技术及验收保证的承诺及其他要求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1.供方必须严格遵守投标文件承诺的有关规定为用户提供售后服务及其他类似服务，包括：</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（1）确保产品正常使用、负责调试设备的兼容和匹配，及时解答采购方提出的疑问，帮助解决问题，负责对产品的维护和技术咨询服务。</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（2）保证在接到请求技术服务（或用户的报修通知）后立即响应，24小时之内到达现场解决问题，（如遇不可抗力因素除外）。</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（3）维修中所更换的备件为原厂生产或合格产品。同时提供原厂原（或生产厂商）包装备件以保证产品的完整性和可靠性。</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2.产品质量保证</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（1）供应商将严格控制采购、检验、生产、包装、调试和售后服务的质量过程，严格遵循企业标准和相关的行业和国家标准的要求。所供产品是最新的，不存在可能淘汰的风险。</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（2）认真与需方配合，严格按照合同要求，确保产品符合需方要求。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（3）严格控制原材料、原器件、配套件的质量，保证所供产品加工工艺完善，检测手段完备，产品绝不带缺陷。</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（4）对涉及分包商的供货、质量、设备、服务等方面问题负全部责任。按合同规定的关键部件分包商必须符合有关资质的要求。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（5）为所供的产品运输、装卸进行投保，一旦发生意外，供应商将按需方要求对所供设备进行免费更换、修理、直到满意为止。</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（6）在交验过程中如发现缺件及其他原因引起的零部件丢失，供应商负责尽快免费补齐所缺零部件。</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（7）若成交，本承诺将成为合同不可分割的部分，与合同具有同等法律效力。在本合同实施过程中，我们将更进一步严格质量控制，确保提供合格产品及服务。</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（六）货物验收要求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（1）供应商应在使用单位人员在场情况下当面共同清点、检查，作出检查记录，双方签字确认。</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予顺延。</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w:t>
      </w:r>
      <w:r>
        <w:rPr>
          <w:rFonts w:hint="eastAsia" w:ascii="仿宋" w:hAnsi="仿宋" w:eastAsia="仿宋" w:cs="仿宋"/>
          <w:color w:val="auto"/>
          <w:spacing w:val="0"/>
          <w:w w:val="100"/>
          <w:position w:val="0"/>
          <w:sz w:val="24"/>
          <w:szCs w:val="24"/>
          <w:highlight w:val="yellow"/>
          <w:shd w:val="clear" w:color="auto" w:fill="auto"/>
          <w:lang w:val="en-US" w:eastAsia="zh-CN" w:bidi="en-US"/>
        </w:rPr>
        <w:t>产品质保期为二年</w:t>
      </w:r>
      <w:r>
        <w:rPr>
          <w:rFonts w:hint="eastAsia" w:ascii="仿宋" w:hAnsi="仿宋" w:eastAsia="仿宋" w:cs="仿宋"/>
          <w:color w:val="auto"/>
          <w:spacing w:val="0"/>
          <w:w w:val="100"/>
          <w:position w:val="0"/>
          <w:sz w:val="24"/>
          <w:szCs w:val="24"/>
          <w:shd w:val="clear" w:color="auto" w:fill="auto"/>
          <w:lang w:val="en-US" w:eastAsia="zh-CN" w:bidi="en-US"/>
        </w:rPr>
        <w:t>，自验收合格之日起计算，质保期内如出现质量问题，乙方应在接到甲方报修电话后立即响应，24小时之内到达现场进行免费维修并解决问题。</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货到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(7)供应商提供的货物未达到招标文件规定要求，且对采购人造成损失的，由供应商承担一切责任，并赔偿所造成的损失。</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（七）知识产权</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采购人在中华人民共和国境内使用投标人提供的货物及服务时免受第三方提出的侵犯其专利权或其它知识产权的起诉。如果第三方提出侵权指控，成交人应承担由此而引起的一切法律责任和费用。</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（八）付款方式</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货物到达指定地点安装完成并验收合格后支付合同价款的100%。</w:t>
      </w:r>
    </w:p>
    <w:p>
      <w:pPr>
        <w:pStyle w:val="14"/>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（九）其他</w:t>
      </w:r>
    </w:p>
    <w:p>
      <w:pPr>
        <w:pStyle w:val="14"/>
        <w:spacing w:line="360" w:lineRule="auto"/>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 xml:space="preserve">    1、投标人必须在投标文件中对以上条款和服务承诺明确列出，承诺内容必须达到本篇及招标文件其他条款的要求。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2、其他未尽事宜由供需双方在采购合同中详细约定。</w:t>
      </w: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p>
      <w:pPr>
        <w:pStyle w:val="14"/>
        <w:rPr>
          <w:rFonts w:hint="eastAsia" w:ascii="仿宋" w:hAnsi="仿宋" w:eastAsia="仿宋" w:cs="仿宋"/>
          <w:color w:val="auto"/>
          <w:sz w:val="24"/>
          <w:szCs w:val="24"/>
          <w:lang w:eastAsia="zh-CN"/>
        </w:rPr>
      </w:pPr>
    </w:p>
    <w:bookmarkEnd w:id="49"/>
    <w:p>
      <w:pPr>
        <w:numPr>
          <w:ilvl w:val="0"/>
          <w:numId w:val="0"/>
        </w:numPr>
        <w:spacing w:line="360" w:lineRule="auto"/>
        <w:ind w:leftChars="0" w:right="0" w:rightChars="0"/>
        <w:jc w:val="center"/>
        <w:outlineLvl w:val="0"/>
        <w:rPr>
          <w:rFonts w:hint="eastAsia" w:ascii="仿宋" w:hAnsi="仿宋" w:eastAsia="仿宋" w:cs="仿宋"/>
          <w:b/>
          <w:bCs/>
          <w:color w:val="auto"/>
          <w:sz w:val="44"/>
          <w:szCs w:val="44"/>
        </w:rPr>
      </w:pPr>
      <w:r>
        <w:rPr>
          <w:rFonts w:hint="eastAsia" w:ascii="仿宋" w:hAnsi="仿宋" w:eastAsia="仿宋" w:cs="仿宋"/>
          <w:b/>
          <w:bCs/>
          <w:color w:val="auto"/>
          <w:sz w:val="44"/>
          <w:szCs w:val="44"/>
          <w:lang w:eastAsia="zh-CN"/>
        </w:rPr>
        <w:t>第五章</w:t>
      </w:r>
      <w:r>
        <w:rPr>
          <w:rFonts w:hint="eastAsia" w:ascii="仿宋" w:hAnsi="仿宋" w:eastAsia="仿宋" w:cs="仿宋"/>
          <w:b/>
          <w:bCs/>
          <w:color w:val="auto"/>
          <w:sz w:val="44"/>
          <w:szCs w:val="44"/>
          <w:lang w:val="en-US" w:eastAsia="zh-CN"/>
        </w:rPr>
        <w:t xml:space="preserve">   </w:t>
      </w:r>
      <w:r>
        <w:rPr>
          <w:rFonts w:hint="eastAsia" w:ascii="仿宋" w:hAnsi="仿宋" w:eastAsia="仿宋" w:cs="仿宋"/>
          <w:b/>
          <w:bCs/>
          <w:color w:val="auto"/>
          <w:sz w:val="44"/>
          <w:szCs w:val="44"/>
        </w:rPr>
        <w:t>合  同</w:t>
      </w:r>
    </w:p>
    <w:p>
      <w:pPr>
        <w:pStyle w:val="14"/>
        <w:numPr>
          <w:ilvl w:val="0"/>
          <w:numId w:val="0"/>
        </w:numPr>
        <w:ind w:leftChars="0" w:right="0" w:rightChars="0"/>
        <w:rPr>
          <w:rFonts w:hint="eastAsia"/>
        </w:rPr>
      </w:pPr>
    </w:p>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（本合同为合同样稿，最终稿由供需双方协商后确定</w:t>
      </w:r>
      <w:r>
        <w:rPr>
          <w:rFonts w:hint="eastAsia" w:ascii="仿宋" w:hAnsi="仿宋" w:eastAsia="仿宋" w:cs="仿宋"/>
          <w:b/>
          <w:bCs/>
          <w:color w:val="auto"/>
          <w:sz w:val="24"/>
          <w:szCs w:val="24"/>
          <w:lang w:eastAsia="zh-CN"/>
        </w:rPr>
        <w:t>）</w:t>
      </w:r>
    </w:p>
    <w:p>
      <w:pPr>
        <w:pStyle w:val="14"/>
        <w:rPr>
          <w:rFonts w:hint="eastAsia"/>
        </w:rPr>
      </w:pPr>
    </w:p>
    <w:p>
      <w:pPr>
        <w:spacing w:line="440" w:lineRule="exact"/>
        <w:jc w:val="center"/>
        <w:rPr>
          <w:rFonts w:hint="eastAsia" w:ascii="宋体" w:hAnsi="宋体" w:cs="宋体"/>
          <w:szCs w:val="21"/>
        </w:rPr>
      </w:pPr>
      <w:r>
        <w:rPr>
          <w:rFonts w:hint="eastAsia" w:ascii="宋体" w:hAnsi="宋体" w:eastAsia="宋体" w:cs="宋体"/>
          <w:szCs w:val="21"/>
          <w:lang w:val="en-US" w:eastAsia="zh-CN"/>
        </w:rPr>
        <w:t xml:space="preserve">                                        </w:t>
      </w:r>
      <w:r>
        <w:rPr>
          <w:rFonts w:hint="eastAsia" w:ascii="宋体" w:hAnsi="宋体" w:cs="宋体"/>
          <w:szCs w:val="21"/>
        </w:rPr>
        <w:t>合同编号：</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需    方：</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 应 方：</w:t>
      </w:r>
    </w:p>
    <w:p>
      <w:pPr>
        <w:shd w:val="clear" w:color="auto" w:fill="auto"/>
        <w:spacing w:line="360" w:lineRule="auto"/>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 xml:space="preserve">（代理公司名称）受有关单位委托，为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（下称需方）经公开招标结果确定</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为供应方。现经供需双方充分协商订立本合同。</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一、名称、规格、数量及价款</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（名称、规格、数量及单价）                           </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合同总金额          元整（￥      元）。</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二、质量要求及技术标准</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color w:val="auto"/>
          <w:spacing w:val="0"/>
          <w:w w:val="100"/>
          <w:kern w:val="2"/>
          <w:position w:val="0"/>
          <w:sz w:val="24"/>
          <w:szCs w:val="24"/>
          <w:shd w:val="clear"/>
          <w:lang w:val="en-US" w:eastAsia="zh-CN" w:bidi="ar-SA"/>
        </w:rPr>
      </w:pPr>
      <w:r>
        <w:rPr>
          <w:rFonts w:hint="eastAsia" w:ascii="仿宋" w:hAnsi="仿宋" w:eastAsia="仿宋" w:cs="仿宋"/>
          <w:b w:val="0"/>
          <w:bCs w:val="0"/>
          <w:color w:val="auto"/>
          <w:spacing w:val="0"/>
          <w:w w:val="100"/>
          <w:kern w:val="2"/>
          <w:position w:val="0"/>
          <w:sz w:val="24"/>
          <w:szCs w:val="24"/>
          <w:shd w:val="clear"/>
          <w:lang w:val="en-US" w:eastAsia="zh-CN" w:bidi="ar-SA"/>
        </w:rPr>
        <w:t>1、本项目质</w:t>
      </w:r>
      <w:r>
        <w:rPr>
          <w:rFonts w:hint="eastAsia" w:ascii="仿宋" w:hAnsi="仿宋" w:eastAsia="仿宋" w:cs="仿宋"/>
          <w:b w:val="0"/>
          <w:bCs w:val="0"/>
          <w:color w:val="auto"/>
          <w:spacing w:val="0"/>
          <w:w w:val="100"/>
          <w:kern w:val="2"/>
          <w:position w:val="0"/>
          <w:sz w:val="24"/>
          <w:szCs w:val="24"/>
          <w:highlight w:val="yellow"/>
          <w:shd w:val="clear"/>
          <w:lang w:val="en-US" w:eastAsia="zh-CN" w:bidi="ar-SA"/>
        </w:rPr>
        <w:t>保期</w:t>
      </w:r>
      <w:r>
        <w:rPr>
          <w:rFonts w:hint="eastAsia" w:ascii="仿宋" w:hAnsi="仿宋" w:eastAsia="仿宋" w:cs="仿宋"/>
          <w:color w:val="auto"/>
          <w:sz w:val="24"/>
          <w:szCs w:val="24"/>
          <w:highlight w:val="yellow"/>
          <w:u w:val="single"/>
          <w:lang w:val="en-US" w:eastAsia="zh-CN"/>
        </w:rPr>
        <w:t xml:space="preserve"> 2 </w:t>
      </w:r>
      <w:r>
        <w:rPr>
          <w:rFonts w:hint="eastAsia" w:ascii="仿宋" w:hAnsi="仿宋" w:eastAsia="仿宋" w:cs="仿宋"/>
          <w:b w:val="0"/>
          <w:bCs w:val="0"/>
          <w:color w:val="auto"/>
          <w:spacing w:val="0"/>
          <w:w w:val="100"/>
          <w:kern w:val="2"/>
          <w:position w:val="0"/>
          <w:sz w:val="24"/>
          <w:szCs w:val="24"/>
          <w:highlight w:val="yellow"/>
          <w:shd w:val="clear"/>
          <w:lang w:val="en-US" w:eastAsia="zh-CN" w:bidi="ar-SA"/>
        </w:rPr>
        <w:t>年</w:t>
      </w:r>
      <w:r>
        <w:rPr>
          <w:rFonts w:hint="eastAsia" w:ascii="仿宋" w:hAnsi="仿宋" w:eastAsia="仿宋" w:cs="仿宋"/>
          <w:b w:val="0"/>
          <w:bCs w:val="0"/>
          <w:color w:val="auto"/>
          <w:spacing w:val="0"/>
          <w:w w:val="100"/>
          <w:kern w:val="2"/>
          <w:position w:val="0"/>
          <w:sz w:val="24"/>
          <w:szCs w:val="24"/>
          <w:shd w:val="clear"/>
          <w:lang w:val="en-US" w:eastAsia="zh-CN" w:bidi="ar-SA"/>
        </w:rPr>
        <w:t>，质保期内免费维修。</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2、投标人应保证用品是全新、未使用过的合格正品,并完全符合国家规定的质量、规格和性能要求。</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3、投标人提供伪劣假冒商品或非合格全新的，投标人应无条件更换为合格产品。给甲方造成损失的,应承担赔偿责任。</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4、所供货物质量如达不到甲方质量要求的，必须按甲方要求更换，更换至甲方满意为止。</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三、交货时间、地点</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货物供应方须在     年  月  日在    交货，并由使用方验收。</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四、</w:t>
      </w:r>
      <w:r>
        <w:rPr>
          <w:rFonts w:hint="eastAsia" w:ascii="仿宋" w:hAnsi="仿宋" w:eastAsia="仿宋" w:cs="仿宋"/>
          <w:b/>
          <w:bCs/>
          <w:color w:val="auto"/>
          <w:sz w:val="24"/>
          <w:szCs w:val="24"/>
          <w:lang w:val="en-US" w:eastAsia="zh-CN"/>
        </w:rPr>
        <w:t>售后服务、理赔、质量技术及验收保证的承诺</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1.供方必须严格遵守投标文件承诺的有关规定为用户提供售后服务及其他类似服务，包括：</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（1）确保产品正常使用、负责调试设备的兼容和匹配，及时解答采购方提出的疑问，帮助解决问题，负责对产品的维护和技术咨询服务。</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（2）保证在接到请求技术服务（或用户的报修通知）后立即响应，24小时之内到达现场解决问题，（如遇不可抗力因素除外）。</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（3）维修中所更换的备件为原厂生产或合格产品。同时提供原厂原（或生产厂商）包装备件以保证产品的完整性和可靠性。</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2.产品质量保证</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（1）供应商将严格控制采购、检验、生产、包装、调试和售后服务的质量过程，严格遵循企业标准和相关的行业和国家标准的要求。所供产品是最新的，不存在可能淘汰的风险。</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（2）认真与需方配合，严格按照合同要求，确保产品符合需方要求。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（3）严格控制原材料、原器件、配套件的质量，保证所供产品加工工艺完善，检测手段完备，产品绝不带缺陷。</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（4）对涉及分包商的供货、质量、设备、服务等方面问题负全部责任。按合同规定的关键部件分包商必须符合有关资质的要求。</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（5）为所供的产品运输、装卸进行投保，一旦发生意外，供应商将按需方要求对所供设备进行免费更换、修理、直到满意为止。</w:t>
      </w:r>
    </w:p>
    <w:p>
      <w:pPr>
        <w:pStyle w:val="14"/>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（6）在交验过程中如发现缺件及其他原因引起的零部件丢失，供应商负责尽快免费补齐所缺零部件。</w:t>
      </w:r>
    </w:p>
    <w:p>
      <w:pPr>
        <w:spacing w:line="360" w:lineRule="auto"/>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（7）若成交，本承诺将成为合同不可分割的部分，与合同具有同等法律效力。在本合同实施过程中，我们将更进一步严格质量控制，确保提供合格产品及服务。</w:t>
      </w:r>
    </w:p>
    <w:p>
      <w:pPr>
        <w:spacing w:line="360" w:lineRule="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lang w:val="en-US" w:eastAsia="zh-CN"/>
        </w:rPr>
        <w:t>五、付款方式</w:t>
      </w:r>
    </w:p>
    <w:p>
      <w:pPr>
        <w:spacing w:line="360" w:lineRule="auto"/>
        <w:rPr>
          <w:rFonts w:hint="eastAsia" w:ascii="仿宋" w:hAnsi="仿宋" w:eastAsia="仿宋" w:cs="仿宋"/>
          <w:b w:val="0"/>
          <w:bCs w:val="0"/>
          <w:color w:val="auto"/>
          <w:sz w:val="24"/>
          <w:szCs w:val="24"/>
          <w:highlight w:val="yellow"/>
        </w:rPr>
      </w:pPr>
      <w:r>
        <w:rPr>
          <w:rFonts w:hint="eastAsia" w:ascii="仿宋" w:hAnsi="仿宋" w:eastAsia="仿宋" w:cs="仿宋"/>
          <w:color w:val="auto"/>
          <w:sz w:val="24"/>
          <w:szCs w:val="24"/>
          <w:highlight w:val="yellow"/>
          <w:lang w:val="en-US" w:eastAsia="zh-CN"/>
        </w:rPr>
        <w:t>（具体以签订合同协商）</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、违约责任</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2、如有质量问题时需方可以按照供应方投标文件的服务承诺从质量保证金款项中扣除相关费用。</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3、其它违约，按《中华人民共和国合同法》的相关条款执行。</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七</w:t>
      </w:r>
      <w:r>
        <w:rPr>
          <w:rFonts w:hint="eastAsia" w:ascii="仿宋" w:hAnsi="仿宋" w:eastAsia="仿宋" w:cs="仿宋"/>
          <w:b/>
          <w:bCs/>
          <w:color w:val="auto"/>
          <w:sz w:val="24"/>
          <w:szCs w:val="24"/>
        </w:rPr>
        <w:t>、解决合同纠纷的方式</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当出现纠纷时，双方协商解决；协商不成时可向当地仲裁机关申请仲裁。</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、技术协议</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附技术协议（另定）</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九</w:t>
      </w:r>
      <w:r>
        <w:rPr>
          <w:rFonts w:hint="eastAsia" w:ascii="仿宋" w:hAnsi="仿宋" w:eastAsia="仿宋" w:cs="仿宋"/>
          <w:b/>
          <w:bCs/>
          <w:color w:val="auto"/>
          <w:sz w:val="24"/>
          <w:szCs w:val="24"/>
        </w:rPr>
        <w:t>、其它约定事项</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1、本合同壹式叁份，经双方法定代表人或授权代理人</w:t>
      </w:r>
      <w:r>
        <w:rPr>
          <w:rFonts w:hint="eastAsia" w:ascii="仿宋" w:hAnsi="仿宋" w:eastAsia="仿宋" w:cs="仿宋"/>
          <w:b w:val="0"/>
          <w:bCs w:val="0"/>
          <w:color w:val="auto"/>
          <w:sz w:val="24"/>
          <w:szCs w:val="24"/>
          <w:lang w:eastAsia="zh-CN"/>
        </w:rPr>
        <w:t>签字或盖章</w:t>
      </w:r>
      <w:r>
        <w:rPr>
          <w:rFonts w:hint="eastAsia" w:ascii="仿宋" w:hAnsi="仿宋" w:eastAsia="仿宋" w:cs="仿宋"/>
          <w:b w:val="0"/>
          <w:bCs w:val="0"/>
          <w:color w:val="auto"/>
          <w:sz w:val="24"/>
          <w:szCs w:val="24"/>
        </w:rPr>
        <w:t>后生效。</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2、本合同一式三份，供应方执一份，需方执</w:t>
      </w: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rPr>
        <w:t>份，</w:t>
      </w:r>
    </w:p>
    <w:p>
      <w:pPr>
        <w:shd w:val="clear" w:color="auto" w:fill="auto"/>
        <w:spacing w:line="360" w:lineRule="auto"/>
        <w:ind w:firstLine="490" w:firstLineChars="200"/>
        <w:jc w:val="left"/>
        <w:rPr>
          <w:rFonts w:hint="eastAsia"/>
        </w:rPr>
      </w:pPr>
      <w:r>
        <w:rPr>
          <w:rFonts w:hint="eastAsia" w:ascii="仿宋" w:hAnsi="仿宋" w:eastAsia="仿宋" w:cs="仿宋"/>
          <w:b w:val="0"/>
          <w:bCs w:val="0"/>
          <w:color w:val="auto"/>
          <w:sz w:val="24"/>
          <w:szCs w:val="24"/>
        </w:rPr>
        <w:t>3、相关招标文件、投标文件与本合同具有同等法律效力。</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  应  方：                               需     方：</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法定代表人：                               法定代表人：</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 地址：                                 单位 地址：</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 电话：                                 联系 电话：</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开户 银行：                                 开户 银行：</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账     号：                                 账     号：</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签约时间：                                   签约地点：</w:t>
      </w:r>
    </w:p>
    <w:p>
      <w:pPr>
        <w:pStyle w:val="2"/>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pStyle w:val="2"/>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pStyle w:val="2"/>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pStyle w:val="2"/>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rPr>
          <w:rFonts w:hint="eastAsia"/>
        </w:rPr>
      </w:pPr>
    </w:p>
    <w:p>
      <w:pPr>
        <w:pStyle w:val="27"/>
        <w:keepNext/>
        <w:keepLines/>
        <w:widowControl w:val="0"/>
        <w:shd w:val="clear" w:color="auto" w:fill="auto"/>
        <w:bidi w:val="0"/>
        <w:spacing w:before="0" w:after="1160" w:line="240" w:lineRule="auto"/>
        <w:ind w:left="0" w:right="0" w:firstLine="0"/>
        <w:jc w:val="both"/>
        <w:rPr>
          <w:rFonts w:hint="eastAsia" w:ascii="仿宋" w:hAnsi="仿宋" w:eastAsia="仿宋" w:cs="仿宋"/>
          <w:b/>
          <w:bCs/>
          <w:color w:val="auto"/>
          <w:sz w:val="44"/>
          <w:szCs w:val="44"/>
        </w:rPr>
      </w:pPr>
      <w:r>
        <w:rPr>
          <w:rFonts w:hint="eastAsia" w:ascii="仿宋" w:hAnsi="仿宋" w:eastAsia="仿宋" w:cs="仿宋"/>
          <w:b/>
          <w:bCs/>
          <w:color w:val="auto"/>
          <w:spacing w:val="0"/>
          <w:w w:val="100"/>
          <w:position w:val="0"/>
          <w:sz w:val="44"/>
          <w:szCs w:val="44"/>
        </w:rPr>
        <w:t>第</w:t>
      </w:r>
      <w:r>
        <w:rPr>
          <w:rFonts w:hint="eastAsia" w:ascii="仿宋" w:hAnsi="仿宋" w:eastAsia="仿宋" w:cs="仿宋"/>
          <w:b/>
          <w:bCs/>
          <w:color w:val="auto"/>
          <w:spacing w:val="0"/>
          <w:w w:val="100"/>
          <w:position w:val="0"/>
          <w:sz w:val="44"/>
          <w:szCs w:val="44"/>
          <w:lang w:eastAsia="zh-CN"/>
        </w:rPr>
        <w:t>六章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投标文件格式</w:t>
      </w:r>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50" w:name="bookmark196"/>
      <w:r>
        <w:rPr>
          <w:rFonts w:hint="eastAsia" w:ascii="仿宋" w:hAnsi="仿宋" w:eastAsia="仿宋" w:cs="仿宋"/>
          <w:b/>
          <w:bCs/>
          <w:color w:val="auto"/>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hint="eastAsia" w:ascii="仿宋" w:hAnsi="仿宋" w:eastAsia="仿宋" w:cs="仿宋"/>
          <w:bCs/>
          <w:color w:val="auto"/>
          <w:sz w:val="32"/>
          <w:szCs w:val="32"/>
        </w:rPr>
      </w:pPr>
    </w:p>
    <w:p>
      <w:pPr>
        <w:pStyle w:val="2"/>
        <w:rPr>
          <w:rFonts w:hint="eastAsia"/>
        </w:rPr>
      </w:pPr>
    </w:p>
    <w:p>
      <w:pPr>
        <w:adjustRightInd w:val="0"/>
        <w:snapToGrid w:val="0"/>
        <w:spacing w:line="360" w:lineRule="auto"/>
        <w:jc w:val="both"/>
        <w:rPr>
          <w:rFonts w:hint="eastAsia" w:ascii="仿宋" w:hAnsi="仿宋" w:eastAsia="仿宋" w:cs="仿宋"/>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87"/>
          <w:kern w:val="0"/>
          <w:sz w:val="32"/>
          <w:szCs w:val="32"/>
          <w:fitText w:val="2810" w:id="1470909418"/>
        </w:rPr>
        <w:t>供应商名称（公章）</w:t>
      </w:r>
      <w:r>
        <w:rPr>
          <w:rFonts w:hint="eastAsia" w:ascii="仿宋" w:hAnsi="仿宋" w:eastAsia="仿宋" w:cs="仿宋"/>
          <w:b/>
          <w:caps/>
          <w:color w:val="auto"/>
          <w:spacing w:val="3"/>
          <w:w w:val="87"/>
          <w:kern w:val="0"/>
          <w:sz w:val="32"/>
          <w:szCs w:val="32"/>
          <w:fitText w:val="2810" w:id="1470909418"/>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67"/>
          <w:kern w:val="0"/>
          <w:sz w:val="32"/>
          <w:szCs w:val="32"/>
          <w:fitText w:val="2810" w:id="1"/>
        </w:rPr>
        <w:t>法定代表人（</w:t>
      </w:r>
      <w:r>
        <w:rPr>
          <w:rFonts w:hint="eastAsia" w:ascii="仿宋" w:hAnsi="仿宋" w:eastAsia="仿宋" w:cs="仿宋"/>
          <w:b/>
          <w:caps/>
          <w:color w:val="auto"/>
          <w:spacing w:val="0"/>
          <w:w w:val="67"/>
          <w:kern w:val="0"/>
          <w:sz w:val="32"/>
          <w:szCs w:val="32"/>
          <w:fitText w:val="2810" w:id="1"/>
          <w:lang w:eastAsia="zh-CN"/>
        </w:rPr>
        <w:t>签字</w:t>
      </w:r>
      <w:r>
        <w:rPr>
          <w:rFonts w:hint="eastAsia" w:ascii="仿宋" w:hAnsi="仿宋" w:eastAsia="仿宋" w:cs="仿宋"/>
          <w:b/>
          <w:caps/>
          <w:color w:val="auto"/>
          <w:spacing w:val="0"/>
          <w:w w:val="67"/>
          <w:kern w:val="0"/>
          <w:sz w:val="32"/>
          <w:szCs w:val="32"/>
          <w:fitText w:val="2810" w:id="1"/>
        </w:rPr>
        <w:t>或盖章）</w:t>
      </w:r>
      <w:r>
        <w:rPr>
          <w:rFonts w:hint="eastAsia" w:ascii="仿宋" w:hAnsi="仿宋" w:eastAsia="仿宋" w:cs="仿宋"/>
          <w:b/>
          <w:caps/>
          <w:color w:val="auto"/>
          <w:spacing w:val="5"/>
          <w:w w:val="67"/>
          <w:kern w:val="0"/>
          <w:sz w:val="32"/>
          <w:szCs w:val="32"/>
          <w:fitText w:val="2810" w:id="1"/>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89"/>
          <w:kern w:val="0"/>
          <w:sz w:val="32"/>
          <w:szCs w:val="32"/>
          <w:fitText w:val="2810" w:id="2"/>
        </w:rPr>
        <w:t>供应商地址</w:t>
      </w:r>
      <w:r>
        <w:rPr>
          <w:rFonts w:hint="eastAsia" w:ascii="仿宋" w:hAnsi="仿宋" w:eastAsia="仿宋" w:cs="仿宋"/>
          <w:b/>
          <w:caps/>
          <w:color w:val="auto"/>
          <w:spacing w:val="0"/>
          <w:kern w:val="0"/>
          <w:sz w:val="32"/>
          <w:szCs w:val="32"/>
          <w:fitText w:val="2810" w:id="2"/>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255"/>
          <w:kern w:val="0"/>
          <w:sz w:val="32"/>
          <w:szCs w:val="32"/>
          <w:fitText w:val="2810" w:id="3"/>
        </w:rPr>
        <w:t>联系人</w:t>
      </w:r>
      <w:r>
        <w:rPr>
          <w:rFonts w:hint="eastAsia" w:ascii="仿宋" w:hAnsi="仿宋" w:eastAsia="仿宋" w:cs="仿宋"/>
          <w:b/>
          <w:caps/>
          <w:color w:val="auto"/>
          <w:spacing w:val="0"/>
          <w:kern w:val="0"/>
          <w:sz w:val="32"/>
          <w:szCs w:val="32"/>
          <w:fitText w:val="2810" w:id="3"/>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151"/>
          <w:kern w:val="0"/>
          <w:sz w:val="32"/>
          <w:szCs w:val="32"/>
          <w:fitText w:val="2810" w:id="4"/>
        </w:rPr>
        <w:t>联系电话</w:t>
      </w:r>
      <w:r>
        <w:rPr>
          <w:rFonts w:hint="eastAsia" w:ascii="仿宋" w:hAnsi="仿宋" w:eastAsia="仿宋" w:cs="仿宋"/>
          <w:b/>
          <w:caps/>
          <w:color w:val="auto"/>
          <w:spacing w:val="1"/>
          <w:kern w:val="0"/>
          <w:sz w:val="32"/>
          <w:szCs w:val="32"/>
          <w:fitText w:val="2810" w:id="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_年__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_月__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_日</w:t>
      </w:r>
    </w:p>
    <w:p>
      <w:pPr>
        <w:pStyle w:val="29"/>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50"/>
    <w:p>
      <w:pPr>
        <w:pStyle w:val="4"/>
        <w:numPr>
          <w:ilvl w:val="0"/>
          <w:numId w:val="0"/>
        </w:numPr>
        <w:shd w:val="clear" w:color="auto" w:fill="auto"/>
        <w:spacing w:before="0" w:line="240" w:lineRule="atLeast"/>
        <w:rPr>
          <w:rFonts w:hint="eastAsia" w:ascii="仿宋" w:hAnsi="仿宋" w:eastAsia="仿宋" w:cs="仿宋"/>
          <w:b/>
          <w:bCs/>
          <w:color w:val="auto"/>
          <w:sz w:val="24"/>
          <w:highlight w:val="none"/>
        </w:rPr>
      </w:pPr>
      <w:bookmarkStart w:id="51" w:name="_Toc18974"/>
      <w:bookmarkStart w:id="52" w:name="_Toc18694"/>
      <w:bookmarkStart w:id="53" w:name="_Toc515647803"/>
      <w:bookmarkStart w:id="54" w:name="_Toc8919"/>
    </w:p>
    <w:p>
      <w:pPr>
        <w:pStyle w:val="4"/>
        <w:numPr>
          <w:ilvl w:val="0"/>
          <w:numId w:val="0"/>
        </w:numPr>
        <w:shd w:val="clear" w:color="auto" w:fill="auto"/>
        <w:spacing w:before="0" w:line="240" w:lineRule="atLeast"/>
        <w:rPr>
          <w:rFonts w:hint="eastAsia" w:ascii="仿宋" w:hAnsi="仿宋" w:eastAsia="仿宋" w:cs="仿宋"/>
          <w:color w:val="auto"/>
          <w:sz w:val="32"/>
          <w:szCs w:val="32"/>
          <w:highlight w:val="none"/>
        </w:rPr>
      </w:pPr>
      <w:r>
        <w:rPr>
          <w:rFonts w:hint="eastAsia" w:ascii="仿宋" w:hAnsi="仿宋" w:eastAsia="仿宋" w:cs="仿宋"/>
          <w:b/>
          <w:bCs/>
          <w:color w:val="auto"/>
          <w:sz w:val="40"/>
          <w:szCs w:val="40"/>
          <w:highlight w:val="none"/>
        </w:rPr>
        <w:t>第一部分 资格证明文件</w:t>
      </w:r>
      <w:bookmarkEnd w:id="51"/>
      <w:bookmarkEnd w:id="52"/>
      <w:bookmarkEnd w:id="53"/>
      <w:bookmarkEnd w:id="54"/>
    </w:p>
    <w:p>
      <w:pPr>
        <w:shd w:val="clear" w:color="auto" w:fill="auto"/>
        <w:spacing w:line="240" w:lineRule="atLeast"/>
        <w:ind w:left="708" w:hanging="722" w:hangingChars="295"/>
        <w:jc w:val="center"/>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具备三证合一营业执照副本；</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、法定代表人资格证明书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4、投标保证金收据或投标担保函；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5、投标企业须提供投标人（被授权在职人员）近6个月有效的社保证明；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6、投标单位（供应商）针对本次采购项目《反商业贿赂承诺书》；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7、参加采购活动前三年内，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8、投标人须知资料表要求的其他资格证明文件;</w:t>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rPr>
          <w:rFonts w:hint="eastAsia"/>
        </w:rPr>
      </w:pPr>
    </w:p>
    <w:p>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bookmarkStart w:id="55" w:name="_Toc29899"/>
      <w:bookmarkStart w:id="56" w:name="_Toc17577"/>
      <w:bookmarkStart w:id="57" w:name="_Toc4844"/>
      <w:bookmarkStart w:id="58" w:name="_Toc515647805"/>
      <w:r>
        <w:rPr>
          <w:rFonts w:hint="eastAsia" w:ascii="仿宋" w:hAnsi="仿宋" w:eastAsia="仿宋" w:cs="仿宋"/>
          <w:b/>
          <w:bCs/>
          <w:color w:val="auto"/>
          <w:sz w:val="36"/>
          <w:szCs w:val="36"/>
          <w:lang w:val="en-US" w:eastAsia="zh-CN"/>
        </w:rPr>
        <w:t xml:space="preserve">1、 </w:t>
      </w:r>
      <w:bookmarkEnd w:id="55"/>
      <w:bookmarkEnd w:id="56"/>
      <w:bookmarkEnd w:id="57"/>
      <w:bookmarkEnd w:id="58"/>
      <w:r>
        <w:rPr>
          <w:rFonts w:hint="eastAsia" w:ascii="仿宋" w:hAnsi="仿宋" w:eastAsia="仿宋" w:cs="仿宋"/>
          <w:b/>
          <w:bCs/>
          <w:color w:val="auto"/>
          <w:sz w:val="36"/>
          <w:szCs w:val="36"/>
          <w:lang w:val="en-US" w:eastAsia="zh-CN"/>
        </w:rPr>
        <w:t>具备三证合一营业执照副本；</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24"/>
        <w:ind w:left="0" w:leftChars="0" w:firstLine="0" w:firstLineChars="0"/>
        <w:rPr>
          <w:rFonts w:hint="eastAsia" w:ascii="仿宋" w:hAnsi="仿宋" w:eastAsia="仿宋" w:cs="仿宋"/>
          <w:b/>
          <w:bCs/>
          <w:color w:val="auto"/>
          <w:sz w:val="36"/>
          <w:szCs w:val="36"/>
        </w:rPr>
      </w:pPr>
    </w:p>
    <w:p>
      <w:pPr>
        <w:pStyle w:val="7"/>
        <w:keepNext w:val="0"/>
        <w:keepLines w:val="0"/>
        <w:pageBreakBefore w:val="0"/>
        <w:widowControl w:val="0"/>
        <w:numPr>
          <w:ilvl w:val="0"/>
          <w:numId w:val="0"/>
        </w:numPr>
        <w:tabs>
          <w:tab w:val="left" w:pos="2556"/>
        </w:tabs>
        <w:kinsoku w:val="0"/>
        <w:overflowPunct w:val="0"/>
        <w:topLinePunct w:val="0"/>
        <w:autoSpaceDE/>
        <w:autoSpaceDN/>
        <w:bidi w:val="0"/>
        <w:adjustRightInd/>
        <w:snapToGrid/>
        <w:spacing w:before="34" w:line="440" w:lineRule="exact"/>
        <w:ind w:right="126" w:rightChars="0"/>
        <w:jc w:val="left"/>
        <w:textAlignment w:val="auto"/>
        <w:rPr>
          <w:rFonts w:hint="eastAsia" w:ascii="仿宋" w:hAnsi="仿宋" w:eastAsia="仿宋" w:cs="仿宋"/>
          <w:b/>
          <w:bCs/>
          <w:color w:val="auto"/>
          <w:sz w:val="36"/>
          <w:szCs w:val="36"/>
          <w:lang w:eastAsia="zh-CN"/>
        </w:rPr>
      </w:pPr>
    </w:p>
    <w:p>
      <w:pPr>
        <w:pStyle w:val="7"/>
        <w:keepNext w:val="0"/>
        <w:keepLines w:val="0"/>
        <w:pageBreakBefore w:val="0"/>
        <w:widowControl w:val="0"/>
        <w:numPr>
          <w:ilvl w:val="0"/>
          <w:numId w:val="2"/>
        </w:numPr>
        <w:kinsoku w:val="0"/>
        <w:overflowPunct w:val="0"/>
        <w:topLinePunct w:val="0"/>
        <w:autoSpaceDE/>
        <w:autoSpaceDN/>
        <w:bidi w:val="0"/>
        <w:adjustRightInd/>
        <w:snapToGrid/>
        <w:spacing w:before="34" w:line="440" w:lineRule="exact"/>
        <w:ind w:left="320" w:leftChars="0" w:right="126" w:rightChars="0" w:firstLine="0" w:firstLine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法定代表人身份证明</w:t>
      </w:r>
    </w:p>
    <w:p>
      <w:pPr>
        <w:pStyle w:val="2"/>
        <w:rPr>
          <w:rFonts w:hint="eastAsia"/>
        </w:rPr>
      </w:pP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7"/>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7"/>
        <w:numPr>
          <w:ilvl w:val="0"/>
          <w:numId w:val="0"/>
        </w:numPr>
        <w:kinsoku w:val="0"/>
        <w:overflowPunct w:val="0"/>
        <w:spacing w:line="200" w:lineRule="atLeast"/>
        <w:ind w:right="0" w:rightChars="0"/>
        <w:rPr>
          <w:rFonts w:hint="eastAsia" w:ascii="仿宋" w:hAnsi="仿宋" w:eastAsia="仿宋" w:cs="仿宋"/>
          <w:color w:val="auto"/>
          <w:kern w:val="0"/>
          <w:sz w:val="24"/>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47625" b="2984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5" name="任意多边形 15"/>
                        <wps:cNvSpPr/>
                        <wps:spPr>
                          <a:xfrm>
                            <a:off x="24" y="28"/>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6" name="任意多边形 16"/>
                        <wps:cNvSpPr/>
                        <wps:spPr>
                          <a:xfrm>
                            <a:off x="24" y="2267"/>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7" name="任意多边形 17"/>
                        <wps:cNvSpPr/>
                        <wps:spPr>
                          <a:xfrm>
                            <a:off x="4" y="2286"/>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9" name="任意多边形 19"/>
                        <wps:cNvSpPr/>
                        <wps:spPr>
                          <a:xfrm>
                            <a:off x="9" y="4"/>
                            <a:ext cx="20" cy="2287"/>
                          </a:xfrm>
                          <a:custGeom>
                            <a:avLst/>
                            <a:gdLst/>
                            <a:ahLst/>
                            <a:cxnLst/>
                            <a:pathLst>
                              <a:path w="20" h="2287">
                                <a:moveTo>
                                  <a:pt x="0" y="0"/>
                                </a:moveTo>
                                <a:lnTo>
                                  <a:pt x="0" y="2286"/>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0" name="任意多边形 20"/>
                        <wps:cNvSpPr/>
                        <wps:spPr>
                          <a:xfrm>
                            <a:off x="28" y="24"/>
                            <a:ext cx="20" cy="2249"/>
                          </a:xfrm>
                          <a:custGeom>
                            <a:avLst/>
                            <a:gdLst/>
                            <a:ahLst/>
                            <a:cxnLst/>
                            <a:pathLst>
                              <a:path w="20" h="2249">
                                <a:moveTo>
                                  <a:pt x="0" y="0"/>
                                </a:moveTo>
                                <a:lnTo>
                                  <a:pt x="0" y="224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1" name="任意多边形 21"/>
                        <wps:cNvSpPr/>
                        <wps:spPr>
                          <a:xfrm>
                            <a:off x="4034"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2" name="任意多边形 22"/>
                        <wps:cNvSpPr/>
                        <wps:spPr>
                          <a:xfrm>
                            <a:off x="4053"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3" name="任意多边形 23"/>
                        <wps:cNvSpPr/>
                        <wps:spPr>
                          <a:xfrm>
                            <a:off x="8059" y="33"/>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4" name="任意多边形 24"/>
                        <wps:cNvSpPr/>
                        <wps:spPr>
                          <a:xfrm>
                            <a:off x="8078" y="14"/>
                            <a:ext cx="20" cy="2278"/>
                          </a:xfrm>
                          <a:custGeom>
                            <a:avLst/>
                            <a:gdLst/>
                            <a:ahLst/>
                            <a:cxnLst/>
                            <a:pathLst>
                              <a:path w="20" h="2278">
                                <a:moveTo>
                                  <a:pt x="0" y="0"/>
                                </a:moveTo>
                                <a:lnTo>
                                  <a:pt x="0" y="2277"/>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7" name="文本框 27"/>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l/l9z9YAAAAFAQAADwAAAAAAAAABACAAAAAiAAAAZHJzL2Rvd25yZXYueG1sUEsBAhQA&#10;FAAAAAgAh07iQELswcrZBAAAiyMAAA4AAAAAAAAAAQAgAAAAJQEAAGRycy9lMm9Eb2MueG1sUEsF&#10;BgAAAAAGAAYAWQEAAHAIAAAAAA==&#10;">
                <o:lock v:ext="edit" rotation="t" aspectratio="f"/>
                <v:shape id="_x0000_s1026" o:spid="_x0000_s1026" o:spt="100" style="position:absolute;left:4;top:9;height:20;width:8079;" fillcolor="#FFFFFF [3201]" filled="t" stroked="f" coordsize="8079,20" o:gfxdata="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9VF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24;top:28;height:20;width:8041;" fillcolor="#FFFFFF [3201]" filled="t" stroked="f" coordsize="8041,20" o:gfxdata="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gPPbsAAADb&#10;AAAADwAAAAAAAAABACAAAAAiAAAAZHJzL2Rvd25yZXYueG1sUEsBAhQAFAAAAAgAh07iQDMvBZ47&#10;AAAAOQAAABAAAAAAAAAAAQAgAAAACgEAAGRycy9zaGFwZXhtbC54bWxQSwUGAAAAAAYABgBbAQAA&#10;tAMAAAAA&#10;" path="m0,0l8040,0e">
                  <v:fill on="t" focussize="0,0"/>
                  <v:stroke on="f" weight="1pt" miterlimit="8" joinstyle="miter"/>
                  <v:imagedata o:title=""/>
                  <o:lock v:ext="edit" aspectratio="f"/>
                </v:shape>
                <v:shape id="_x0000_s1026" o:spid="_x0000_s1026" o:spt="100" style="position:absolute;left:24;top:2267;height:20;width:8041;" fillcolor="#FFFFFF [3201]" filled="t" stroked="f" coordsize="8041,20" o:gfxdata="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pFKugAAANsA&#10;AAAPAAAAAAAAAAEAIAAAACIAAABkcnMvZG93bnJldi54bWxQSwECFAAUAAAACACHTuJAMy8FnjsA&#10;AAA5AAAAEAAAAAAAAAABACAAAAAJAQAAZHJzL3NoYXBleG1sLnhtbFBLBQYAAAAABgAGAFsBAACz&#10;AwAAAAA=&#10;" path="m0,0l8040,0e">
                  <v:fill on="t" focussize="0,0"/>
                  <v:stroke on="f" weight="1pt" miterlimit="8" joinstyle="miter"/>
                  <v:imagedata o:title=""/>
                  <o:lock v:ext="edit" aspectratio="f"/>
                </v:shape>
                <v:shape id="_x0000_s1026" o:spid="_x0000_s1026" o:spt="100" style="position:absolute;left:4;top:2286;height:20;width:8079;" fillcolor="#FFFFFF [3201]" filled="t" stroked="f" coordsize="8079,20" o:gfxdata="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LUsy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9;top:4;height:2287;width:20;" fillcolor="#FFFFFF [3201]" filled="t" stroked="f" coordsize="20,2287" o:gfxdata="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K5e25AAAA2wAA&#10;AA8AAAAAAAAAAQAgAAAAIgAAAGRycy9kb3ducmV2LnhtbFBLAQIUABQAAAAIAIdO4kAzLwWeOwAA&#10;ADkAAAAQAAAAAAAAAAEAIAAAAAgBAABkcnMvc2hhcGV4bWwueG1sUEsFBgAAAAAGAAYAWwEAALID&#10;AAAAAA==&#10;" path="m0,0l0,2286e">
                  <v:fill on="t" focussize="0,0"/>
                  <v:stroke on="f" weight="1pt" miterlimit="8" joinstyle="miter"/>
                  <v:imagedata o:title=""/>
                  <o:lock v:ext="edit" aspectratio="f"/>
                </v:shape>
                <v:shape id="_x0000_s1026" o:spid="_x0000_s1026" o:spt="100" style="position:absolute;left:28;top:24;height:2249;width:20;" fillcolor="#FFFFFF [3201]" filled="t" stroked="f" coordsize="20,2249" o:gfxdata="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fnZC5AAAA2wAA&#10;AA8AAAAAAAAAAQAgAAAAIgAAAGRycy9kb3ducmV2LnhtbFBLAQIUABQAAAAIAIdO4kAzLwWeOwAA&#10;ADkAAAAQAAAAAAAAAAEAIAAAAAgBAABkcnMvc2hhcGV4bWwueG1sUEsFBgAAAAAGAAYAWwEAALID&#10;AAAAAA==&#10;" path="m0,0l0,2248e">
                  <v:fill on="t" focussize="0,0"/>
                  <v:stroke on="f" weight="1pt" miterlimit="8" joinstyle="miter"/>
                  <v:imagedata o:title=""/>
                  <o:lock v:ext="edit" aspectratio="f"/>
                </v:shape>
                <v:shape id="_x0000_s1026" o:spid="_x0000_s1026" o:spt="100" style="position:absolute;left:4034;top:24;height:2239;width:20;" fillcolor="#FFFFFF [3201]" filled="t" stroked="f" coordsize="20,2239" o:gfxdata="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cnwu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4053;top:24;height:2239;width:20;" fillcolor="#FFFFFF [3201]" filled="t" stroked="f" coordsize="20,2239" o:gfxdata="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4BfLsAAADb&#10;AAAADwAAAAAAAAABACAAAAAiAAAAZHJzL2Rvd25yZXYueG1sUEsBAhQAFAAAAAgAh07iQDMvBZ47&#10;AAAAOQAAABAAAAAAAAAAAQAgAAAACgEAAGRycy9zaGFwZXhtbC54bWxQSwUGAAAAAAYABgBbAQAA&#10;tAMAAAAA&#10;" path="m0,0l0,2238e">
                  <v:fill on="t" focussize="0,0"/>
                  <v:stroke on="f" weight="1pt" miterlimit="8" joinstyle="miter"/>
                  <v:imagedata o:title=""/>
                  <o:lock v:ext="edit" aspectratio="f"/>
                </v:shape>
                <v:shape id="_x0000_s1026" o:spid="_x0000_s1026" o:spt="100" style="position:absolute;left:8059;top:33;height:2239;width:20;" fillcolor="#FFFFFF [3201]" filled="t" stroked="f" coordsize="20,2239" o:gfxdata="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CpOe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8078;top:14;height:2278;width:20;" fillcolor="#FFFFFF [3201]" filled="t" stroked="f" coordsize="20,2278" o:gfxdata="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FRt7sAAADb&#10;AAAADwAAAAAAAAABACAAAAAiAAAAZHJzL2Rvd25yZXYueG1sUEsBAhQAFAAAAAgAh07iQDMvBZ47&#10;AAAAOQAAABAAAAAAAAAAAQAgAAAACgEAAGRycy9zaGFwZXhtbC54bWxQSwUGAAAAAAYABgBbAQAA&#10;tAMAAAAA&#10;" path="m0,0l0,2277e">
                  <v:fill on="t" focussize="0,0"/>
                  <v:stroke on="f" weight="1pt" miterlimit="8" joinstyle="miter"/>
                  <v:imagedata o:title=""/>
                  <o:lock v:ext="edit" aspectratio="f"/>
                </v:shape>
                <v:shape id="_x0000_s1026" o:spid="_x0000_s1026" o:spt="202" type="#_x0000_t202" style="position:absolute;left:19;top:19;height:2258;width:4025;" filled="f" stroked="t" coordsize="21600,21600" o:gfxdata="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mQw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txRdbwAAADb&#10;AAAADwAAAGRycy9kb3ducmV2LnhtbEWP3WrCQBSE7wXfYTlC73STFEWiq6C0YKlQ/x7gkD0mwezZ&#10;sLuN8e27gtDLYWa+YZbr3jSiI+drywrSSQKCuLC65lLB5fw5noPwAVljY5kUPMjDejUcLDHX9s5H&#10;6k6hFBHCPkcFVQhtLqUvKjLoJ7Yljt7VOoMhSldK7fAe4aaRWZLMpMGa40KFLW0rKm6nX6Pgw+8e&#10;GV2mm1l32Lsf/J7u0/5LqbdRmixABOrDf/jV3mkF7xk8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UXW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v:textbox>
                </v:shape>
                <w10:wrap type="none"/>
                <w10:anchorlock/>
              </v:group>
            </w:pict>
          </mc:Fallback>
        </mc:AlternateContent>
      </w:r>
    </w:p>
    <w:p>
      <w:pPr>
        <w:pStyle w:val="14"/>
        <w:rPr>
          <w:rFonts w:hint="eastAsia" w:ascii="仿宋" w:hAnsi="仿宋" w:eastAsia="仿宋" w:cs="仿宋"/>
          <w:color w:val="auto"/>
          <w:kern w:val="0"/>
          <w:sz w:val="24"/>
        </w:rPr>
      </w:pPr>
    </w:p>
    <w:p>
      <w:pPr>
        <w:pStyle w:val="14"/>
        <w:rPr>
          <w:rFonts w:hint="eastAsia" w:ascii="仿宋" w:hAnsi="仿宋" w:eastAsia="仿宋" w:cs="仿宋"/>
          <w:color w:val="auto"/>
          <w:kern w:val="0"/>
          <w:sz w:val="24"/>
        </w:rPr>
      </w:pPr>
    </w:p>
    <w:p>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7"/>
        <w:tabs>
          <w:tab w:val="left" w:pos="780"/>
        </w:tabs>
        <w:kinsoku w:val="0"/>
        <w:overflowPunct w:val="0"/>
        <w:adjustRightInd w:val="0"/>
        <w:snapToGrid w:val="0"/>
        <w:spacing w:before="12"/>
        <w:rPr>
          <w:rFonts w:hint="eastAsia" w:ascii="仿宋" w:hAnsi="仿宋" w:eastAsia="仿宋" w:cs="仿宋"/>
          <w:color w:val="auto"/>
          <w:sz w:val="4"/>
          <w:szCs w:val="4"/>
        </w:rPr>
      </w:pPr>
    </w:p>
    <w:p>
      <w:pPr>
        <w:pStyle w:val="7"/>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50800" b="33020"/>
                <wp:docPr id="28" name="组合 2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33"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7"/>
                                <w:numPr>
                                  <w:ilvl w:val="0"/>
                                  <w:numId w:val="0"/>
                                </w:numPr>
                                <w:kinsoku w:val="0"/>
                                <w:overflowPunct w:val="0"/>
                                <w:ind w:right="0" w:rightChars="0"/>
                                <w:jc w:val="center"/>
                                <w:rPr>
                                  <w:rFonts w:hint="eastAsia" w:ascii="仿宋" w:hAnsi="仿宋" w:eastAsia="仿宋" w:cs="仿宋"/>
                                </w:rPr>
                              </w:pPr>
                            </w:p>
                            <w:p>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wps:txbx>
                        <wps:bodyPr lIns="0" tIns="0" rIns="0" bIns="0" upright="1"/>
                      </wps:wsp>
                      <wps:wsp>
                        <wps:cNvPr id="12" name="文本框 1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shd w:val="clear" w:color="auto" w:fill="auto"/>
                                <w:kinsoku w:val="0"/>
                                <w:overflowPunct w:val="0"/>
                                <w:ind w:right="0" w:rightChars="0"/>
                                <w:jc w:val="center"/>
                                <w:rPr>
                                  <w:rFonts w:hint="eastAsia" w:ascii="仿宋" w:hAnsi="仿宋" w:eastAsia="仿宋" w:cs="仿宋"/>
                                </w:rPr>
                              </w:pPr>
                            </w:p>
                            <w:p>
                              <w:pPr>
                                <w:pStyle w:val="7"/>
                                <w:numPr>
                                  <w:ilvl w:val="0"/>
                                  <w:numId w:val="0"/>
                                </w:numPr>
                                <w:shd w:val="clear" w:color="auto" w:fill="auto"/>
                                <w:kinsoku w:val="0"/>
                                <w:overflowPunct w:val="0"/>
                                <w:ind w:right="0" w:rightChars="0"/>
                                <w:jc w:val="center"/>
                                <w:rPr>
                                  <w:rFonts w:hint="eastAsia" w:ascii="仿宋" w:hAnsi="仿宋" w:eastAsia="仿宋" w:cs="仿宋"/>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l/l9z9YAAAAFAQAADwAAAAAAAAABACAAAAAiAAAAZHJzL2Rvd25yZXYueG1sUEsBAhQAFAAAAAgA&#10;h07iQP+fyNPTBAAAHCIAAA4AAAAAAAAAAQAgAAAAJQEAAGRycy9lMm9Eb2MueG1sUEsFBgAAAAAG&#10;AAYAWQEAAGoIAAAAAA==&#10;">
                <o:lock v:ext="edit" rotation="t" aspectratio="f"/>
                <v:shape id="任意多边形 1" o:spid="_x0000_s1026" o:spt="100" style="position:absolute;left:4;top:9;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t" coordsize="21600,21600" o:gfxdata="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7k2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7"/>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7"/>
                          <w:numPr>
                            <w:ilvl w:val="0"/>
                            <w:numId w:val="0"/>
                          </w:numPr>
                          <w:kinsoku w:val="0"/>
                          <w:overflowPunct w:val="0"/>
                          <w:ind w:right="0" w:rightChars="0"/>
                          <w:jc w:val="center"/>
                          <w:rPr>
                            <w:rFonts w:hint="eastAsia" w:ascii="仿宋" w:hAnsi="仿宋" w:eastAsia="仿宋" w:cs="仿宋"/>
                          </w:rPr>
                        </w:pPr>
                      </w:p>
                      <w:p>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sWkNFbkAAADb&#10;AAAADwAAAGRycy9kb3ducmV2LnhtbEVP24rCMBB9X/Afwgi+rWkLylKNguKCsoLr5QOGZmyLzaQk&#10;2Vr/fiMIvs3hXGe+7E0jOnK+tqwgHScgiAuray4VXM7fn18gfEDW2FgmBQ/ysFwMPuaYa3vnI3Wn&#10;UIoYwj5HBVUIbS6lLyoy6Me2JY7c1TqDIUJXSu3wHsNNI7MkmUqDNceGCltaV1TcTn9GwcZvHxld&#10;Jqtp97t3B/yZ7NN+p9RomCYzEIH68Ba/3Fsd52fw/CUe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pDRW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7"/>
                          <w:numPr>
                            <w:ilvl w:val="0"/>
                            <w:numId w:val="0"/>
                          </w:numPr>
                          <w:shd w:val="clear" w:color="auto" w:fill="auto"/>
                          <w:kinsoku w:val="0"/>
                          <w:overflowPunct w:val="0"/>
                          <w:ind w:right="0" w:rightChars="0"/>
                          <w:jc w:val="center"/>
                          <w:rPr>
                            <w:rFonts w:hint="eastAsia" w:ascii="仿宋" w:hAnsi="仿宋" w:eastAsia="仿宋" w:cs="仿宋"/>
                          </w:rPr>
                        </w:pPr>
                      </w:p>
                      <w:p>
                        <w:pPr>
                          <w:pStyle w:val="7"/>
                          <w:numPr>
                            <w:ilvl w:val="0"/>
                            <w:numId w:val="0"/>
                          </w:numPr>
                          <w:shd w:val="clear" w:color="auto" w:fill="auto"/>
                          <w:kinsoku w:val="0"/>
                          <w:overflowPunct w:val="0"/>
                          <w:ind w:right="0" w:rightChars="0"/>
                          <w:jc w:val="center"/>
                          <w:rPr>
                            <w:rFonts w:hint="eastAsia" w:ascii="仿宋" w:hAnsi="仿宋" w:eastAsia="仿宋" w:cs="仿宋"/>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7150" cy="1384935"/>
                <wp:effectExtent l="0" t="0" r="53340" b="49530"/>
                <wp:docPr id="36" name="组合 36"/>
                <wp:cNvGraphicFramePr/>
                <a:graphic xmlns:a="http://schemas.openxmlformats.org/drawingml/2006/main">
                  <a:graphicData uri="http://schemas.microsoft.com/office/word/2010/wordprocessingGroup">
                    <wpg:wgp>
                      <wpg:cNvGrpSpPr>
                        <a:grpSpLocks noRot="1"/>
                      </wpg:cNvGrpSpPr>
                      <wpg:grpSpPr>
                        <a:xfrm>
                          <a:off x="0" y="0"/>
                          <a:ext cx="5137150"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ind w:right="0" w:rightChars="0"/>
                                <w:rPr>
                                  <w:rFonts w:hint="eastAsia"/>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7"/>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ind w:right="0" w:rightChars="0"/>
                                <w:rPr>
                                  <w:rFonts w:hint="eastAsia"/>
                                </w:rPr>
                              </w:pPr>
                            </w:p>
                            <w:p>
                              <w:pPr>
                                <w:pStyle w:val="7"/>
                                <w:numPr>
                                  <w:ilvl w:val="0"/>
                                  <w:numId w:val="0"/>
                                </w:numPr>
                                <w:shd w:val="clear" w:color="auto" w:fill="auto"/>
                                <w:kinsoku w:val="0"/>
                                <w:overflowPunct w:val="0"/>
                                <w:ind w:right="0" w:rightChars="0"/>
                                <w:rPr>
                                  <w:rFonts w:hint="eastAsia" w:ascii="仿宋" w:hAnsi="仿宋" w:eastAsia="仿宋" w:cs="仿宋"/>
                                  <w:sz w:val="24"/>
                                  <w:szCs w:val="24"/>
                                </w:rPr>
                              </w:pPr>
                            </w:p>
                            <w:p>
                              <w:pPr>
                                <w:pStyle w:val="7"/>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wps:txbx>
                        <wps:bodyPr lIns="0" tIns="0" rIns="0" bIns="0" upright="1"/>
                      </wps:wsp>
                    </wpg:wgp>
                  </a:graphicData>
                </a:graphic>
              </wp:inline>
            </w:drawing>
          </mc:Choice>
          <mc:Fallback>
            <w:pict>
              <v:group id="_x0000_s1026" o:spid="_x0000_s1026" o:spt="203" style="height:109.05pt;width:404.5pt;" coordsize="8089,2181" o:gfxdata="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PCHxSPVAAAABQEAAA8AAAAAAAAAAQAgAAAAIgAAAGRycy9kb3ducmV2LnhtbFBLAQIUABQAAAAI&#10;AIdO4kDOLr+S1QQAAC0iAAAOAAAAAAAAAAEAIAAAACQBAABkcnMvZTJvRG9jLnhtbFBLBQYAAAAA&#10;BgAGAFkBAABr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t" coordsize="21600,21600" o:gfxdata="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YGQ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7"/>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v:textbox>
                </v:shape>
                <v:shape id="文本框 45" o:spid="_x0000_s1026" o:spt="202" type="#_x0000_t202" style="position:absolute;left:4044;top:19;height:2142;width:4025;" filled="f" stroked="t" coordsize="21600,21600" o:gfxdata="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yFe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shd w:val="clear" w:color="auto" w:fill="auto"/>
                          <w:kinsoku w:val="0"/>
                          <w:overflowPunct w:val="0"/>
                          <w:ind w:right="0" w:rightChars="0"/>
                          <w:rPr>
                            <w:rFonts w:hint="eastAsia" w:ascii="仿宋" w:hAnsi="仿宋" w:eastAsia="仿宋" w:cs="仿宋"/>
                            <w:sz w:val="24"/>
                            <w:szCs w:val="24"/>
                          </w:rPr>
                        </w:pPr>
                      </w:p>
                      <w:p>
                        <w:pPr>
                          <w:pStyle w:val="7"/>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pPr>
        <w:pStyle w:val="24"/>
        <w:rPr>
          <w:rFonts w:hint="eastAsia" w:ascii="仿宋" w:hAnsi="仿宋" w:eastAsia="仿宋" w:cs="仿宋"/>
          <w:b/>
          <w:bCs/>
          <w:color w:val="auto"/>
          <w:sz w:val="36"/>
          <w:szCs w:val="36"/>
        </w:rPr>
      </w:pPr>
      <w:r>
        <w:rPr>
          <w:rFonts w:hint="eastAsia" w:ascii="仿宋" w:hAnsi="仿宋" w:eastAsia="仿宋" w:cs="仿宋"/>
          <w:color w:val="auto"/>
        </w:rPr>
        <w:br w:type="page"/>
      </w:r>
    </w:p>
    <w:p>
      <w:pPr>
        <w:pStyle w:val="4"/>
        <w:numPr>
          <w:ilvl w:val="0"/>
          <w:numId w:val="0"/>
        </w:numPr>
        <w:shd w:val="clear" w:color="auto" w:fill="auto"/>
        <w:spacing w:before="0" w:line="240" w:lineRule="atLeast"/>
        <w:rPr>
          <w:rFonts w:hint="eastAsia" w:ascii="仿宋" w:hAnsi="仿宋" w:eastAsia="仿宋" w:cs="仿宋"/>
          <w:color w:val="auto"/>
          <w:sz w:val="24"/>
          <w:highlight w:val="none"/>
        </w:rPr>
      </w:pPr>
      <w:r>
        <w:rPr>
          <w:rFonts w:hint="eastAsia" w:ascii="仿宋" w:hAnsi="仿宋" w:eastAsia="仿宋" w:cs="仿宋"/>
          <w:color w:val="auto"/>
          <w:sz w:val="36"/>
          <w:szCs w:val="24"/>
          <w:highlight w:val="none"/>
          <w:lang w:val="en-US" w:eastAsia="zh-CN"/>
        </w:rPr>
        <w:t>4、</w:t>
      </w:r>
      <w:r>
        <w:rPr>
          <w:rFonts w:hint="eastAsia" w:ascii="仿宋" w:hAnsi="仿宋" w:eastAsia="仿宋" w:cs="仿宋"/>
          <w:color w:val="auto"/>
          <w:sz w:val="36"/>
          <w:szCs w:val="24"/>
          <w:highlight w:val="none"/>
        </w:rPr>
        <w:t>参加政府采购活动前3年内</w:t>
      </w:r>
      <w:bookmarkStart w:id="59" w:name="_Toc515647812"/>
      <w:bookmarkStart w:id="60" w:name="_Toc6008"/>
      <w:bookmarkStart w:id="61" w:name="_Toc1137"/>
      <w:r>
        <w:rPr>
          <w:rFonts w:hint="eastAsia" w:ascii="仿宋" w:hAnsi="仿宋" w:eastAsia="仿宋" w:cs="仿宋"/>
          <w:color w:val="auto"/>
          <w:sz w:val="36"/>
          <w:szCs w:val="24"/>
          <w:highlight w:val="none"/>
        </w:rPr>
        <w:t>在经营活动中没有重大违法记录的书面声明</w:t>
      </w:r>
      <w:bookmarkEnd w:id="59"/>
      <w:bookmarkEnd w:id="60"/>
      <w:bookmarkEnd w:id="61"/>
    </w:p>
    <w:p>
      <w:pPr>
        <w:pStyle w:val="10"/>
        <w:shd w:val="clear" w:color="auto" w:fill="auto"/>
        <w:tabs>
          <w:tab w:val="left" w:pos="5580"/>
        </w:tabs>
        <w:spacing w:line="240" w:lineRule="atLeast"/>
        <w:ind w:left="1169" w:leftChars="257" w:hanging="540"/>
        <w:jc w:val="center"/>
        <w:rPr>
          <w:rFonts w:hint="eastAsia" w:ascii="仿宋" w:hAnsi="仿宋" w:eastAsia="仿宋" w:cs="仿宋"/>
          <w:b/>
          <w:color w:val="auto"/>
          <w:sz w:val="24"/>
          <w:highlight w:val="none"/>
        </w:rPr>
      </w:pPr>
    </w:p>
    <w:p>
      <w:pPr>
        <w:pStyle w:val="10"/>
        <w:shd w:val="clear" w:color="auto" w:fill="auto"/>
        <w:tabs>
          <w:tab w:val="left" w:pos="5580"/>
        </w:tabs>
        <w:spacing w:line="240" w:lineRule="atLeast"/>
        <w:ind w:left="1169" w:leftChars="257" w:hanging="540"/>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说明：1.投标人应按照相关法规规定如实作出说明。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1307" w:firstLineChars="534"/>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2．按照招标文件的规定加盖单位章。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pStyle w:val="2"/>
        <w:rPr>
          <w:rFonts w:hint="eastAsia" w:ascii="仿宋" w:hAnsi="仿宋" w:eastAsia="仿宋" w:cs="仿宋"/>
          <w:color w:val="auto"/>
          <w:spacing w:val="0"/>
          <w:w w:val="100"/>
          <w:kern w:val="0"/>
          <w:position w:val="0"/>
          <w:sz w:val="24"/>
          <w:szCs w:val="24"/>
          <w:highlight w:val="none"/>
          <w:u w:val="none"/>
          <w:shd w:val="clear" w:color="auto" w:fill="auto"/>
          <w:lang w:val="en-US" w:eastAsia="zh-CN" w:bidi="en-US"/>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pStyle w:val="2"/>
        <w:rPr>
          <w:rFonts w:hint="eastAsia"/>
        </w:rPr>
      </w:pPr>
    </w:p>
    <w:p>
      <w:pPr>
        <w:rPr>
          <w:rFonts w:hint="eastAsia" w:ascii="仿宋" w:hAnsi="仿宋" w:eastAsia="仿宋" w:cs="仿宋"/>
          <w:b/>
          <w:bCs/>
          <w:color w:val="auto"/>
          <w:sz w:val="36"/>
          <w:szCs w:val="36"/>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5、</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pPr>
        <w:shd w:val="clear" w:color="auto" w:fill="auto"/>
        <w:ind w:firstLine="490" w:firstLineChars="200"/>
        <w:rPr>
          <w:rFonts w:hint="eastAsia" w:ascii="仿宋" w:hAnsi="仿宋" w:eastAsia="仿宋" w:cs="仿宋"/>
          <w:color w:val="auto"/>
          <w:sz w:val="24"/>
          <w:highlight w:val="none"/>
        </w:rPr>
      </w:pPr>
      <w:bookmarkStart w:id="62" w:name="_Toc494296665"/>
      <w:bookmarkStart w:id="63" w:name="_Toc494296991"/>
    </w:p>
    <w:bookmarkEnd w:id="62"/>
    <w:bookmarkEnd w:id="63"/>
    <w:p>
      <w:pPr>
        <w:pStyle w:val="5"/>
        <w:shd w:val="clear" w:color="auto" w:fill="auto"/>
        <w:rPr>
          <w:rFonts w:hint="eastAsia" w:ascii="仿宋" w:hAnsi="仿宋" w:eastAsia="仿宋" w:cs="仿宋"/>
          <w:color w:val="auto"/>
          <w:highlight w:val="none"/>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5"/>
        <w:shd w:val="clear" w:color="auto" w:fill="auto"/>
        <w:rPr>
          <w:rFonts w:hint="eastAsia" w:ascii="仿宋" w:hAnsi="仿宋" w:eastAsia="仿宋" w:cs="仿宋"/>
          <w:color w:val="auto"/>
          <w:highlight w:val="none"/>
        </w:rPr>
      </w:pPr>
    </w:p>
    <w:p>
      <w:pPr>
        <w:shd w:val="clear" w:color="auto" w:fill="auto"/>
        <w:spacing w:line="240" w:lineRule="atLeast"/>
        <w:ind w:left="1169" w:leftChars="257" w:hanging="540"/>
        <w:jc w:val="center"/>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8"/>
          <w:szCs w:val="28"/>
          <w:highlight w:val="none"/>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both"/>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询价通知书，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headerReference r:id="rId10" w:type="default"/>
          <w:footerReference r:id="rId11" w:type="default"/>
          <w:pgSz w:w="11905" w:h="16838"/>
          <w:pgMar w:top="1440" w:right="1417" w:bottom="1440" w:left="1417" w:header="850" w:footer="992" w:gutter="0"/>
          <w:pgNumType w:fmt="decimal"/>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6、投标单位（供应商）针对本次采购项目《反商业贿赂承诺书》</w:t>
      </w:r>
    </w:p>
    <w:p>
      <w:pPr>
        <w:rPr>
          <w:rFonts w:hint="eastAsia" w:ascii="仿宋" w:hAnsi="仿宋" w:eastAsia="仿宋" w:cs="仿宋"/>
          <w:color w:val="auto"/>
          <w:sz w:val="24"/>
          <w:highlight w:val="none"/>
        </w:rPr>
      </w:pPr>
    </w:p>
    <w:p>
      <w:pPr>
        <w:pStyle w:val="24"/>
        <w:rPr>
          <w:rFonts w:hint="eastAsia" w:ascii="仿宋" w:hAnsi="仿宋" w:eastAsia="仿宋" w:cs="仿宋"/>
          <w:color w:val="auto"/>
          <w:sz w:val="24"/>
          <w:highlight w:val="none"/>
        </w:rPr>
      </w:pPr>
    </w:p>
    <w:p>
      <w:pPr>
        <w:pStyle w:val="24"/>
        <w:rPr>
          <w:rFonts w:hint="eastAsia" w:ascii="仿宋" w:hAnsi="仿宋" w:eastAsia="仿宋" w:cs="仿宋"/>
          <w:color w:val="auto"/>
          <w:sz w:val="24"/>
          <w:highlight w:val="none"/>
        </w:rPr>
      </w:pPr>
    </w:p>
    <w:p>
      <w:pPr>
        <w:pStyle w:val="24"/>
        <w:rPr>
          <w:rFonts w:hint="eastAsia" w:ascii="仿宋" w:hAnsi="仿宋" w:eastAsia="仿宋" w:cs="仿宋"/>
          <w:color w:val="auto"/>
          <w:sz w:val="24"/>
          <w:highlight w:val="none"/>
        </w:rPr>
      </w:pPr>
    </w:p>
    <w:p>
      <w:pPr>
        <w:pStyle w:val="24"/>
        <w:rPr>
          <w:rFonts w:hint="eastAsia" w:ascii="仿宋" w:hAnsi="仿宋" w:eastAsia="仿宋" w:cs="仿宋"/>
          <w:color w:val="auto"/>
          <w:sz w:val="24"/>
          <w:highlight w:val="none"/>
        </w:rPr>
      </w:pPr>
    </w:p>
    <w:p>
      <w:pPr>
        <w:pStyle w:val="24"/>
        <w:rPr>
          <w:rFonts w:hint="eastAsia" w:ascii="仿宋" w:hAnsi="仿宋" w:eastAsia="仿宋" w:cs="仿宋"/>
          <w:color w:val="auto"/>
          <w:sz w:val="24"/>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8、投标人须知资料表要求的其他资格证明文件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rPr>
          <w:rFonts w:hint="eastAsia" w:ascii="仿宋" w:hAnsi="仿宋" w:eastAsia="仿宋" w:cs="仿宋"/>
          <w:b/>
          <w:bCs/>
          <w:color w:val="auto"/>
        </w:rPr>
      </w:pPr>
    </w:p>
    <w:p>
      <w:pPr>
        <w:pStyle w:val="10"/>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bookmarkStart w:id="64" w:name="_Toc5695"/>
      <w:bookmarkStart w:id="65" w:name="_Toc515647816"/>
      <w:bookmarkStart w:id="66" w:name="_Toc22967"/>
      <w:bookmarkStart w:id="67" w:name="_Toc11180"/>
      <w:r>
        <w:rPr>
          <w:rFonts w:hint="eastAsia" w:ascii="仿宋" w:hAnsi="仿宋" w:eastAsia="仿宋" w:cs="仿宋"/>
          <w:color w:val="auto"/>
          <w:sz w:val="32"/>
          <w:szCs w:val="32"/>
          <w:highlight w:val="none"/>
        </w:rPr>
        <w:t>第二部分  商务及技术文件</w:t>
      </w:r>
      <w:bookmarkEnd w:id="64"/>
      <w:bookmarkEnd w:id="65"/>
      <w:bookmarkEnd w:id="66"/>
      <w:bookmarkEnd w:id="67"/>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1、投标函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2、开标一览表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3、货物说明一览表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4、投标分项报价表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5、技术规格偏离表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6、商务条款偏离表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7、投标人基本情况表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8、近三年（2019年1月1日至今）类似项目业绩表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9、中小企业声明函(货物)</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10、《残疾人福利性单位声明函》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11、评分标准和细则中技术部分证明材料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12、评分标准和细则中技术部分证明材料（格式自拟）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13、投标人认为有必要提供的其他证明材料（格式自拟）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br w:type="page"/>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24"/>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5"/>
        <w:shd w:val="clear" w:color="auto" w:fill="auto"/>
        <w:tabs>
          <w:tab w:val="left" w:pos="5580"/>
        </w:tabs>
        <w:spacing w:line="240" w:lineRule="atLeast"/>
        <w:ind w:firstLine="3383"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1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27"/>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3、货物说明一览表</w:t>
      </w:r>
    </w:p>
    <w:p>
      <w:pPr>
        <w:pStyle w:val="10"/>
        <w:shd w:val="clear" w:color="auto" w:fill="auto"/>
        <w:spacing w:line="240" w:lineRule="atLeast"/>
        <w:ind w:left="1169" w:leftChars="257" w:hanging="540"/>
        <w:rPr>
          <w:rFonts w:hint="eastAsia" w:ascii="仿宋" w:hAnsi="仿宋" w:eastAsia="仿宋" w:cs="仿宋"/>
          <w:color w:val="auto"/>
          <w:sz w:val="24"/>
          <w:highlight w:val="none"/>
        </w:rPr>
      </w:pPr>
    </w:p>
    <w:p>
      <w:pPr>
        <w:pStyle w:val="10"/>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0"/>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0"/>
        <w:shd w:val="clear" w:color="auto" w:fill="auto"/>
        <w:spacing w:line="240" w:lineRule="atLeast"/>
        <w:ind w:left="1169" w:leftChars="257" w:hanging="540"/>
        <w:rPr>
          <w:rFonts w:hint="eastAsia" w:ascii="仿宋" w:hAnsi="仿宋" w:eastAsia="仿宋" w:cs="仿宋"/>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125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69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9" w:leftChars="257" w:hanging="540"/>
        <w:rPr>
          <w:rFonts w:hint="eastAsia" w:ascii="仿宋" w:hAnsi="仿宋" w:eastAsia="仿宋" w:cs="仿宋"/>
          <w:color w:val="auto"/>
          <w:sz w:val="24"/>
          <w:highlight w:val="none"/>
        </w:rPr>
      </w:pPr>
    </w:p>
    <w:p>
      <w:pPr>
        <w:pStyle w:val="10"/>
        <w:shd w:val="clear" w:color="auto" w:fill="auto"/>
        <w:spacing w:line="240" w:lineRule="atLeast"/>
        <w:ind w:left="1169"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169" w:leftChars="257" w:hanging="540"/>
        <w:rPr>
          <w:rFonts w:hint="eastAsia" w:ascii="宋体" w:hAnsi="宋体" w:eastAsia="宋体" w:cs="宋体"/>
          <w:color w:val="auto"/>
          <w:sz w:val="24"/>
          <w:highlight w:val="none"/>
        </w:rPr>
      </w:pPr>
    </w:p>
    <w:p>
      <w:pPr>
        <w:pStyle w:val="10"/>
        <w:shd w:val="clear" w:color="auto" w:fill="auto"/>
        <w:tabs>
          <w:tab w:val="left" w:pos="5370"/>
        </w:tabs>
        <w:spacing w:line="240" w:lineRule="atLeast"/>
        <w:ind w:left="116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0"/>
        <w:shd w:val="clear" w:color="auto" w:fill="auto"/>
        <w:spacing w:line="240" w:lineRule="atLeast"/>
        <w:ind w:left="1169" w:leftChars="257" w:hanging="540"/>
        <w:rPr>
          <w:rFonts w:hint="eastAsia" w:ascii="仿宋" w:hAnsi="仿宋" w:eastAsia="仿宋" w:cs="仿宋"/>
          <w:color w:val="auto"/>
          <w:sz w:val="24"/>
          <w:highlight w:val="none"/>
        </w:rPr>
      </w:pPr>
    </w:p>
    <w:p>
      <w:pPr>
        <w:pStyle w:val="10"/>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0"/>
        <w:shd w:val="clear" w:color="auto" w:fill="auto"/>
        <w:spacing w:line="240" w:lineRule="atLeast"/>
        <w:ind w:left="1169" w:leftChars="257" w:hanging="540"/>
        <w:jc w:val="center"/>
        <w:rPr>
          <w:rFonts w:hint="eastAsia" w:ascii="仿宋" w:hAnsi="仿宋" w:eastAsia="仿宋" w:cs="仿宋"/>
          <w:color w:val="auto"/>
          <w:sz w:val="24"/>
          <w:highlight w:val="none"/>
        </w:rPr>
      </w:pPr>
    </w:p>
    <w:p>
      <w:pPr>
        <w:pStyle w:val="10"/>
        <w:shd w:val="clear" w:color="auto" w:fill="auto"/>
        <w:spacing w:line="240" w:lineRule="atLeast"/>
        <w:ind w:left="1169" w:leftChars="257" w:hanging="540"/>
        <w:jc w:val="center"/>
        <w:rPr>
          <w:rFonts w:hint="eastAsia" w:ascii="仿宋" w:hAnsi="仿宋" w:eastAsia="仿宋" w:cs="仿宋"/>
          <w:color w:val="auto"/>
          <w:sz w:val="24"/>
          <w:highlight w:val="none"/>
        </w:rPr>
        <w:sectPr>
          <w:footerReference r:id="rId12" w:type="default"/>
          <w:pgSz w:w="11905" w:h="16838"/>
          <w:pgMar w:top="1440" w:right="1417" w:bottom="1440" w:left="1417" w:header="850" w:footer="992" w:gutter="0"/>
          <w:pgNumType w:fmt="decimal"/>
          <w:cols w:space="0" w:num="1"/>
          <w:rtlGutter w:val="0"/>
          <w:docGrid w:type="linesAndChars" w:linePitch="332" w:charSpace="1057"/>
        </w:sectPr>
      </w:pPr>
    </w:p>
    <w:p>
      <w:pPr>
        <w:pStyle w:val="27"/>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i w:val="0"/>
          <w:iCs w:val="0"/>
          <w:color w:val="auto"/>
          <w:spacing w:val="0"/>
          <w:w w:val="100"/>
          <w:position w:val="0"/>
        </w:rPr>
      </w:pPr>
      <w:r>
        <w:rPr>
          <w:rFonts w:hint="eastAsia" w:ascii="仿宋" w:hAnsi="仿宋" w:eastAsia="仿宋" w:cs="仿宋"/>
          <w:b/>
          <w:bCs/>
          <w:i w:val="0"/>
          <w:iCs w:val="0"/>
          <w:color w:val="auto"/>
          <w:spacing w:val="0"/>
          <w:w w:val="100"/>
          <w:position w:val="0"/>
          <w:lang w:val="en-US" w:eastAsia="zh-CN"/>
        </w:rPr>
        <w:t>4</w:t>
      </w:r>
      <w:r>
        <w:rPr>
          <w:rFonts w:hint="eastAsia" w:ascii="仿宋" w:hAnsi="仿宋" w:eastAsia="仿宋" w:cs="仿宋"/>
          <w:b/>
          <w:bCs/>
          <w:i w:val="0"/>
          <w:iCs w:val="0"/>
          <w:color w:val="auto"/>
          <w:spacing w:val="0"/>
          <w:w w:val="100"/>
          <w:position w:val="0"/>
          <w:lang w:eastAsia="zh-CN"/>
        </w:rPr>
        <w:t>、</w:t>
      </w:r>
      <w:r>
        <w:rPr>
          <w:rFonts w:hint="eastAsia" w:ascii="仿宋" w:hAnsi="仿宋" w:eastAsia="仿宋" w:cs="仿宋"/>
          <w:b/>
          <w:bCs/>
          <w:i w:val="0"/>
          <w:iCs w:val="0"/>
          <w:color w:val="auto"/>
          <w:spacing w:val="0"/>
          <w:w w:val="100"/>
          <w:position w:val="0"/>
        </w:rPr>
        <w:t>投标报价明细表</w:t>
      </w:r>
    </w:p>
    <w:p>
      <w:pPr>
        <w:pStyle w:val="27"/>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27"/>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0"/>
        <w:shd w:val="clear" w:color="auto" w:fill="auto"/>
        <w:spacing w:line="240" w:lineRule="atLeast"/>
        <w:ind w:left="116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8"/>
        <w:tblW w:w="84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310"/>
        <w:gridCol w:w="929"/>
        <w:gridCol w:w="1211"/>
        <w:gridCol w:w="1221"/>
        <w:gridCol w:w="825"/>
        <w:gridCol w:w="782"/>
        <w:gridCol w:w="739"/>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702"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310"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2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11"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交货时间</w:t>
            </w:r>
          </w:p>
        </w:tc>
        <w:tc>
          <w:tcPr>
            <w:tcW w:w="1221"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交货地点</w:t>
            </w:r>
          </w:p>
        </w:tc>
        <w:tc>
          <w:tcPr>
            <w:tcW w:w="825"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78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73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722"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31"/>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eastAsia="zh-CN"/>
        </w:rPr>
        <w:t>投标报价单</w:t>
      </w:r>
      <w:r>
        <w:rPr>
          <w:rFonts w:hint="eastAsia" w:ascii="仿宋" w:hAnsi="仿宋" w:eastAsia="仿宋" w:cs="仿宋"/>
          <w:color w:val="auto"/>
          <w:spacing w:val="0"/>
          <w:w w:val="100"/>
          <w:position w:val="0"/>
          <w:sz w:val="24"/>
          <w:szCs w:val="24"/>
        </w:rPr>
        <w:t>》报价一致。</w:t>
      </w:r>
    </w:p>
    <w:p>
      <w:pPr>
        <w:pStyle w:val="31"/>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rPr>
        <w:t>如果不提供详细的分项报价表将被视为没有实质性</w:t>
      </w:r>
      <w:r>
        <w:rPr>
          <w:rFonts w:hint="eastAsia" w:ascii="仿宋" w:hAnsi="仿宋" w:eastAsia="仿宋" w:cs="仿宋"/>
          <w:color w:val="auto"/>
          <w:spacing w:val="0"/>
          <w:w w:val="100"/>
          <w:position w:val="0"/>
          <w:sz w:val="24"/>
          <w:szCs w:val="24"/>
          <w:lang w:eastAsia="zh-CN"/>
        </w:rPr>
        <w:t>投标文件</w:t>
      </w:r>
      <w:r>
        <w:rPr>
          <w:rFonts w:hint="eastAsia" w:ascii="仿宋" w:hAnsi="仿宋" w:eastAsia="仿宋" w:cs="仿宋"/>
          <w:color w:val="auto"/>
          <w:spacing w:val="0"/>
          <w:w w:val="100"/>
          <w:position w:val="0"/>
          <w:sz w:val="24"/>
          <w:szCs w:val="24"/>
        </w:rPr>
        <w:t>。</w:t>
      </w:r>
    </w:p>
    <w:p>
      <w:pPr>
        <w:pStyle w:val="31"/>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投标人必须按此表格式中的对应栏目内容填写，若需增加栏目，请在栏目</w:t>
      </w:r>
      <w:r>
        <w:rPr>
          <w:rFonts w:hint="eastAsia" w:ascii="仿宋" w:hAnsi="仿宋" w:eastAsia="仿宋" w:cs="仿宋"/>
          <w:color w:val="auto"/>
          <w:spacing w:val="0"/>
          <w:w w:val="100"/>
          <w:position w:val="0"/>
          <w:sz w:val="24"/>
          <w:szCs w:val="24"/>
          <w:lang w:val="zh-CN" w:eastAsia="zh-CN" w:bidi="zh-CN"/>
        </w:rPr>
        <w:t>“其</w:t>
      </w:r>
      <w:r>
        <w:rPr>
          <w:rFonts w:hint="eastAsia" w:ascii="仿宋" w:hAnsi="仿宋" w:eastAsia="仿宋" w:cs="仿宋"/>
          <w:color w:val="auto"/>
          <w:spacing w:val="0"/>
          <w:w w:val="100"/>
          <w:position w:val="0"/>
          <w:sz w:val="24"/>
          <w:szCs w:val="24"/>
        </w:rPr>
        <w:t>它”中填写，并作详细说明。</w:t>
      </w:r>
    </w:p>
    <w:p>
      <w:pPr>
        <w:pStyle w:val="31"/>
        <w:keepNext w:val="0"/>
        <w:keepLines w:val="0"/>
        <w:pageBreakBefore w:val="0"/>
        <w:widowControl w:val="0"/>
        <w:numPr>
          <w:ilvl w:val="0"/>
          <w:numId w:val="0"/>
        </w:numPr>
        <w:shd w:val="clear" w:color="auto" w:fill="auto"/>
        <w:tabs>
          <w:tab w:val="left" w:pos="493"/>
        </w:tabs>
        <w:kinsoku/>
        <w:wordWrap/>
        <w:overflowPunct/>
        <w:topLinePunct w:val="0"/>
        <w:autoSpaceDE/>
        <w:autoSpaceDN/>
        <w:bidi w:val="0"/>
        <w:adjustRightInd/>
        <w:snapToGrid/>
        <w:spacing w:before="0" w:after="0" w:line="357" w:lineRule="exact"/>
        <w:ind w:left="176" w:leftChars="0" w:right="0" w:rightChars="0"/>
        <w:jc w:val="left"/>
        <w:textAlignment w:val="auto"/>
        <w:rPr>
          <w:rFonts w:hint="eastAsia" w:ascii="仿宋" w:hAnsi="仿宋" w:eastAsia="仿宋" w:cs="仿宋"/>
          <w:color w:val="auto"/>
          <w:spacing w:val="0"/>
          <w:w w:val="100"/>
          <w:position w:val="0"/>
          <w:sz w:val="24"/>
          <w:szCs w:val="24"/>
        </w:rPr>
      </w:pPr>
    </w:p>
    <w:p>
      <w:pPr>
        <w:pStyle w:val="31"/>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b/>
          <w:bCs/>
          <w:color w:val="auto"/>
          <w:sz w:val="36"/>
          <w:szCs w:val="36"/>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7"/>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5、技术条款偏离表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招标文件条目号</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bl>
    <w:p>
      <w:pPr>
        <w:spacing w:line="360" w:lineRule="auto"/>
        <w:ind w:firstLine="484"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85" w:firstLineChars="1300"/>
        <w:rPr>
          <w:rFonts w:hint="eastAsia" w:ascii="仿宋" w:hAnsi="仿宋" w:eastAsia="仿宋" w:cs="仿宋"/>
          <w:color w:val="auto"/>
          <w:sz w:val="24"/>
        </w:rPr>
      </w:pPr>
    </w:p>
    <w:p>
      <w:pPr>
        <w:pStyle w:val="10"/>
        <w:tabs>
          <w:tab w:val="left" w:pos="5580"/>
        </w:tabs>
        <w:spacing w:line="360" w:lineRule="auto"/>
        <w:ind w:firstLine="3185"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pStyle w:val="10"/>
        <w:tabs>
          <w:tab w:val="left" w:pos="5580"/>
        </w:tabs>
        <w:spacing w:line="360" w:lineRule="auto"/>
        <w:ind w:firstLine="3185"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85"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2"/>
        <w:rPr>
          <w:rFonts w:hint="eastAsia" w:ascii="仿宋" w:hAnsi="仿宋" w:eastAsia="仿宋" w:cs="仿宋"/>
          <w:b/>
          <w:bCs/>
          <w:color w:val="auto"/>
          <w:sz w:val="36"/>
          <w:szCs w:val="36"/>
        </w:rPr>
      </w:pPr>
    </w:p>
    <w:p>
      <w:pPr>
        <w:rPr>
          <w:rFonts w:hint="eastAsia" w:ascii="仿宋" w:hAnsi="仿宋" w:eastAsia="仿宋" w:cs="仿宋"/>
          <w:color w:val="auto"/>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rPr>
        <w:t>、</w:t>
      </w:r>
      <w:r>
        <w:rPr>
          <w:rFonts w:hint="eastAsia" w:ascii="仿宋" w:hAnsi="仿宋" w:eastAsia="仿宋" w:cs="仿宋"/>
          <w:b/>
          <w:bCs/>
          <w:color w:val="auto"/>
          <w:spacing w:val="0"/>
          <w:w w:val="100"/>
          <w:position w:val="0"/>
          <w:sz w:val="36"/>
          <w:szCs w:val="36"/>
          <w:lang w:eastAsia="zh-CN"/>
        </w:rPr>
        <w:t>商务条款偏离表</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pPr>
        <w:pStyle w:val="29"/>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29"/>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28"/>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pPr>
        <w:pStyle w:val="7"/>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4"/>
              <w:rPr>
                <w:rFonts w:hint="eastAsia" w:ascii="仿宋" w:hAnsi="仿宋" w:eastAsia="仿宋" w:cs="仿宋"/>
                <w:b/>
                <w:bCs/>
                <w:color w:val="auto"/>
                <w:sz w:val="20"/>
                <w:szCs w:val="20"/>
              </w:rPr>
            </w:pPr>
          </w:p>
          <w:p>
            <w:pPr>
              <w:pStyle w:val="32"/>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4"/>
              <w:rPr>
                <w:rFonts w:hint="eastAsia" w:ascii="仿宋" w:hAnsi="仿宋" w:eastAsia="仿宋" w:cs="仿宋"/>
                <w:b/>
                <w:bCs/>
                <w:color w:val="auto"/>
                <w:sz w:val="20"/>
                <w:szCs w:val="20"/>
              </w:rPr>
            </w:pPr>
          </w:p>
          <w:p>
            <w:pPr>
              <w:pStyle w:val="32"/>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rPr>
                <w:rFonts w:hint="eastAsia" w:ascii="仿宋" w:hAnsi="仿宋" w:eastAsia="仿宋" w:cs="仿宋"/>
                <w:b/>
                <w:bCs/>
                <w:color w:val="auto"/>
              </w:rPr>
            </w:pPr>
          </w:p>
          <w:p>
            <w:pPr>
              <w:pStyle w:val="32"/>
              <w:kinsoku w:val="0"/>
              <w:overflowPunct w:val="0"/>
              <w:rPr>
                <w:rFonts w:hint="eastAsia" w:ascii="仿宋" w:hAnsi="仿宋" w:eastAsia="仿宋" w:cs="仿宋"/>
                <w:b/>
                <w:bCs/>
                <w:color w:val="auto"/>
              </w:rPr>
            </w:pPr>
          </w:p>
          <w:p>
            <w:pPr>
              <w:pStyle w:val="32"/>
              <w:kinsoku w:val="0"/>
              <w:overflowPunct w:val="0"/>
              <w:rPr>
                <w:rFonts w:hint="eastAsia" w:ascii="仿宋" w:hAnsi="仿宋" w:eastAsia="仿宋" w:cs="仿宋"/>
                <w:b/>
                <w:bCs/>
                <w:color w:val="auto"/>
              </w:rPr>
            </w:pPr>
          </w:p>
          <w:p>
            <w:pPr>
              <w:pStyle w:val="32"/>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2"/>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2"/>
              <w:kinsoku w:val="0"/>
              <w:overflowPunct w:val="0"/>
              <w:spacing w:before="1"/>
              <w:rPr>
                <w:rFonts w:hint="eastAsia" w:ascii="仿宋" w:hAnsi="仿宋" w:eastAsia="仿宋" w:cs="仿宋"/>
                <w:b/>
                <w:bCs/>
                <w:color w:val="auto"/>
                <w:sz w:val="23"/>
                <w:szCs w:val="23"/>
              </w:rPr>
            </w:pPr>
          </w:p>
          <w:p>
            <w:pPr>
              <w:pStyle w:val="32"/>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29"/>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color w:val="auto"/>
          <w:w w:val="90"/>
          <w:sz w:val="36"/>
          <w:szCs w:val="36"/>
        </w:rPr>
        <w:t>近三年（20</w:t>
      </w:r>
      <w:r>
        <w:rPr>
          <w:rFonts w:hint="eastAsia" w:ascii="仿宋" w:hAnsi="仿宋" w:eastAsia="仿宋" w:cs="仿宋"/>
          <w:b/>
          <w:bCs/>
          <w:color w:val="auto"/>
          <w:w w:val="90"/>
          <w:sz w:val="36"/>
          <w:szCs w:val="36"/>
          <w:lang w:val="en-US" w:eastAsia="zh-CN"/>
        </w:rPr>
        <w:t>19</w:t>
      </w:r>
      <w:r>
        <w:rPr>
          <w:rFonts w:hint="eastAsia" w:ascii="仿宋" w:hAnsi="仿宋" w:eastAsia="仿宋" w:cs="仿宋"/>
          <w:b/>
          <w:bCs/>
          <w:color w:val="auto"/>
          <w:w w:val="90"/>
          <w:sz w:val="36"/>
          <w:szCs w:val="36"/>
        </w:rPr>
        <w:t>年1月1日至今）类似项目业绩</w:t>
      </w:r>
      <w:r>
        <w:rPr>
          <w:rFonts w:hint="eastAsia" w:ascii="仿宋" w:hAnsi="仿宋" w:eastAsia="仿宋" w:cs="仿宋"/>
          <w:b/>
          <w:bCs/>
          <w:color w:val="auto"/>
          <w:w w:val="90"/>
          <w:sz w:val="36"/>
          <w:szCs w:val="36"/>
          <w:lang w:eastAsia="zh-CN"/>
        </w:rPr>
        <w:t>表</w:t>
      </w:r>
    </w:p>
    <w:p>
      <w:pPr>
        <w:pStyle w:val="7"/>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18"/>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0"/>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shd w:val="clear" w:color="auto" w:fill="FFFFFF"/>
            <w:vAlign w:val="center"/>
          </w:tcPr>
          <w:p>
            <w:pPr>
              <w:pStyle w:val="30"/>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shd w:val="clear" w:color="auto" w:fill="FFFFFF"/>
            <w:vAlign w:val="center"/>
          </w:tcPr>
          <w:p>
            <w:pPr>
              <w:pStyle w:val="30"/>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0"/>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center"/>
          </w:tcPr>
          <w:p>
            <w:pPr>
              <w:pStyle w:val="30"/>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center"/>
          </w:tcPr>
          <w:p>
            <w:pPr>
              <w:pStyle w:val="30"/>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0"/>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合同和中标通知书</w:t>
      </w:r>
      <w:r>
        <w:rPr>
          <w:rFonts w:hint="eastAsia" w:ascii="仿宋" w:hAnsi="仿宋" w:eastAsia="仿宋" w:cs="仿宋"/>
          <w:color w:val="auto"/>
          <w:spacing w:val="-1"/>
          <w:kern w:val="0"/>
          <w:sz w:val="24"/>
        </w:rPr>
        <w:t>相关证明材料，否则专家在评审时将不予采信。</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7"/>
        <w:numPr>
          <w:ilvl w:val="0"/>
          <w:numId w:val="0"/>
        </w:numPr>
        <w:tabs>
          <w:tab w:val="left" w:pos="5551"/>
          <w:tab w:val="left" w:pos="6511"/>
          <w:tab w:val="left" w:pos="7111"/>
          <w:tab w:val="left" w:pos="7711"/>
        </w:tabs>
        <w:kinsoku w:val="0"/>
        <w:overflowPunct w:val="0"/>
        <w:spacing w:before="46"/>
        <w:ind w:right="0" w:rightChars="0" w:firstLine="441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8"/>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both"/>
        <w:rPr>
          <w:rFonts w:hint="default"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bCs w:val="0"/>
          <w:color w:val="auto"/>
          <w:kern w:val="0"/>
          <w:sz w:val="36"/>
          <w:szCs w:val="36"/>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、中小企业声明函(</w:t>
      </w:r>
      <w:r>
        <w:rPr>
          <w:rFonts w:hint="eastAsia" w:ascii="仿宋" w:hAnsi="仿宋" w:eastAsia="仿宋" w:cs="仿宋"/>
          <w:b/>
          <w:bCs w:val="0"/>
          <w:color w:val="auto"/>
          <w:kern w:val="0"/>
          <w:sz w:val="36"/>
          <w:szCs w:val="36"/>
          <w:lang w:eastAsia="zh-CN"/>
        </w:rPr>
        <w:t>货物</w:t>
      </w:r>
      <w:r>
        <w:rPr>
          <w:rFonts w:hint="eastAsia" w:ascii="仿宋" w:hAnsi="仿宋" w:eastAsia="仿宋" w:cs="仿宋"/>
          <w:b/>
          <w:bCs w:val="0"/>
          <w:color w:val="auto"/>
          <w:kern w:val="0"/>
          <w:sz w:val="36"/>
          <w:szCs w:val="36"/>
        </w:rPr>
        <w:t>)</w:t>
      </w:r>
    </w:p>
    <w:p>
      <w:pPr>
        <w:ind w:left="1280"/>
        <w:rPr>
          <w:rFonts w:hint="eastAsia" w:ascii="仿宋" w:hAnsi="仿宋" w:eastAsia="仿宋" w:cs="仿宋"/>
          <w:color w:val="auto"/>
          <w:sz w:val="32"/>
          <w:szCs w:val="32"/>
        </w:rPr>
      </w:pP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w:t>
      </w:r>
      <w:r>
        <w:rPr>
          <w:rFonts w:hint="eastAsia" w:ascii="仿宋" w:hAnsi="仿宋" w:eastAsia="仿宋" w:cs="仿宋"/>
          <w:color w:val="auto"/>
          <w:kern w:val="0"/>
          <w:sz w:val="24"/>
          <w:szCs w:val="24"/>
          <w:lang w:eastAsia="zh-CN"/>
        </w:rPr>
        <w:t>（财库[2020]46号）和（财库[2020]19号）</w:t>
      </w:r>
      <w:r>
        <w:rPr>
          <w:rFonts w:hint="eastAsia" w:ascii="仿宋" w:hAnsi="仿宋" w:eastAsia="仿宋" w:cs="仿宋"/>
          <w:color w:val="auto"/>
          <w:kern w:val="0"/>
          <w:sz w:val="24"/>
          <w:szCs w:val="24"/>
        </w:rPr>
        <w:t>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90" w:firstLineChars="200"/>
        <w:rPr>
          <w:rFonts w:hint="eastAsia" w:ascii="仿宋" w:hAnsi="仿宋" w:eastAsia="仿宋" w:cs="仿宋"/>
          <w:color w:val="auto"/>
          <w:kern w:val="0"/>
          <w:sz w:val="24"/>
          <w:szCs w:val="24"/>
        </w:rPr>
      </w:pP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90" w:firstLineChars="200"/>
        <w:rPr>
          <w:rFonts w:hint="eastAsia" w:ascii="仿宋" w:hAnsi="仿宋" w:eastAsia="仿宋" w:cs="仿宋"/>
          <w:color w:val="auto"/>
          <w:kern w:val="0"/>
          <w:sz w:val="24"/>
          <w:szCs w:val="24"/>
        </w:rPr>
      </w:pPr>
    </w:p>
    <w:p>
      <w:pPr>
        <w:shd w:val="clear" w:color="auto" w:fill="auto"/>
        <w:spacing w:line="360" w:lineRule="auto"/>
        <w:ind w:firstLine="4655"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pPr>
        <w:widowControl/>
        <w:adjustRightInd w:val="0"/>
        <w:snapToGrid w:val="0"/>
        <w:spacing w:line="440" w:lineRule="exact"/>
        <w:ind w:firstLine="565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24"/>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11、评分标准和细则中技术部分证明材料（格式自拟</w:t>
      </w:r>
      <w:r>
        <w:rPr>
          <w:rFonts w:hint="eastAsia" w:ascii="仿宋" w:hAnsi="仿宋" w:eastAsia="仿宋" w:cs="仿宋"/>
          <w:color w:val="auto"/>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pageBreakBefore w:val="0"/>
        <w:widowControl w:val="0"/>
        <w:shd w:val="clear" w:color="auto" w:fill="auto"/>
        <w:tabs>
          <w:tab w:val="left" w:pos="5580"/>
        </w:tabs>
        <w:kinsoku/>
        <w:wordWrap/>
        <w:overflowPunct/>
        <w:topLinePunct w:val="0"/>
        <w:autoSpaceDE/>
        <w:autoSpaceDN/>
        <w:bidi w:val="0"/>
        <w:adjustRightInd/>
        <w:snapToGrid/>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（主要包括：技术指标、参数；项目实施方案；供货方案；交货期等）</w:t>
      </w:r>
      <w:r>
        <w:rPr>
          <w:rFonts w:hint="eastAsia" w:ascii="仿宋" w:hAnsi="仿宋" w:eastAsia="仿宋" w:cs="仿宋"/>
          <w:color w:val="auto"/>
          <w:sz w:val="24"/>
          <w:highlight w:val="none"/>
        </w:rPr>
        <w:t>。</w:t>
      </w:r>
    </w:p>
    <w:p>
      <w:pPr>
        <w:pStyle w:val="10"/>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2"/>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（主要包括：类似；业绩投标企业信誉；售后服务体系；培训计划等）</w:t>
      </w:r>
      <w:r>
        <w:rPr>
          <w:rFonts w:hint="eastAsia" w:ascii="仿宋" w:hAnsi="仿宋" w:eastAsia="仿宋" w:cs="仿宋"/>
          <w:color w:val="auto"/>
          <w:sz w:val="24"/>
          <w:highlight w:val="none"/>
        </w:rPr>
        <w:t>。</w:t>
      </w:r>
    </w:p>
    <w:p>
      <w:pPr>
        <w:pStyle w:val="10"/>
        <w:keepNext w:val="0"/>
        <w:keepLines w:val="0"/>
        <w:pageBreakBefore w:val="0"/>
        <w:widowControl w:val="0"/>
        <w:shd w:val="clear" w:color="auto" w:fill="auto"/>
        <w:tabs>
          <w:tab w:val="left" w:pos="5580"/>
        </w:tabs>
        <w:kinsoku/>
        <w:wordWrap/>
        <w:overflowPunct/>
        <w:topLinePunct w:val="0"/>
        <w:autoSpaceDE/>
        <w:autoSpaceDN/>
        <w:bidi w:val="0"/>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4"/>
        <w:keepNext w:val="0"/>
        <w:keepLines w:val="0"/>
        <w:pageBreakBefore w:val="0"/>
        <w:widowControl w:val="0"/>
        <w:numPr>
          <w:ilvl w:val="1"/>
          <w:numId w:val="0"/>
        </w:numPr>
        <w:shd w:val="clear" w:color="auto" w:fill="auto"/>
        <w:kinsoku/>
        <w:wordWrap/>
        <w:overflowPunct/>
        <w:topLinePunct w:val="0"/>
        <w:autoSpaceDE/>
        <w:autoSpaceDN/>
        <w:bidi w:val="0"/>
        <w:spacing w:before="0" w:line="360" w:lineRule="auto"/>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13、</w:t>
      </w:r>
      <w:r>
        <w:rPr>
          <w:rFonts w:hint="eastAsia" w:ascii="仿宋" w:hAnsi="仿宋" w:eastAsia="仿宋" w:cs="仿宋"/>
          <w:b/>
          <w:bCs/>
          <w:color w:val="auto"/>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10"/>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说明：复印件上应加盖本单位章。</w:t>
      </w:r>
    </w:p>
    <w:p>
      <w:pPr>
        <w:pStyle w:val="11"/>
        <w:rPr>
          <w:rFonts w:hint="eastAsia"/>
          <w:color w:val="auto"/>
        </w:rPr>
      </w:pPr>
    </w:p>
    <w:sectPr>
      <w:headerReference r:id="rId13" w:type="default"/>
      <w:footerReference r:id="rId14" w:type="default"/>
      <w:pgSz w:w="11905" w:h="16838"/>
      <w:pgMar w:top="1440" w:right="1417" w:bottom="1440" w:left="1417" w:header="850" w:footer="992" w:gutter="0"/>
      <w:pgNumType w:fmt="decimal"/>
      <w:cols w:space="0" w:num="1"/>
      <w:rtlGutter w:val="0"/>
      <w:docGrid w:type="linesAndChars" w:linePitch="33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default"/>
        <w:lang w:val="en-US"/>
      </w:rPr>
    </w:pPr>
    <w:r>
      <w:rPr>
        <w:sz w:val="16"/>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E8QMsBAACd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OWbV5Q4bnHk558/zr/+nH9/&#10;J9mJEvUBasy8DZibhnd+wMWZ/YDOzHxQ0eYvciIYR4FPF4HlkIjIj1bL1arCkMDYfEF8dvc8REjv&#10;pbckGw2NOMEiLD9+hDSmzim5mvM32pgyReP+cyBm9rDc+9hjttKwGyZCO9+ekE+Pw2+ow12nxHxw&#10;qG3ek9mIs7GbjUOIet+VRcr1ILw9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GBPEDLAQAAnQ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eastAsia="宋体"/>
        <w:sz w:val="16"/>
        <w:szCs w:val="16"/>
        <w:lang w:val="en-US" w:eastAsia="zh-CN"/>
      </w:rPr>
      <w:t>地址：新疆克州乌恰县天源市政7楼</w:t>
    </w:r>
    <w:r>
      <w:rPr>
        <w:rFonts w:hint="eastAsia"/>
        <w:color w:val="800000"/>
        <w:sz w:val="16"/>
        <w:szCs w:val="20"/>
        <w:lang w:val="en-US" w:eastAsia="zh-CN"/>
      </w:rPr>
      <w:t xml:space="preserve">                              电话：0908-4610011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2JN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HYk3DUCAABlBAAADgAAAAAAAAABACAAAAAf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r>
      <w:rPr>
        <w:rFonts w:hint="eastAsia" w:eastAsia="宋体"/>
        <w:sz w:val="16"/>
        <w:szCs w:val="16"/>
        <w:lang w:val="en-US" w:eastAsia="zh-CN"/>
      </w:rPr>
      <w:t>地址：新疆克州乌恰县天源市政7楼</w:t>
    </w:r>
    <w:r>
      <w:rPr>
        <w:rFonts w:hint="eastAsia"/>
        <w:color w:val="800000"/>
        <w:sz w:val="16"/>
        <w:szCs w:val="20"/>
        <w:lang w:val="en-US" w:eastAsia="zh-CN"/>
      </w:rPr>
      <w:t xml:space="preserve">           电话：0908-4230011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r>
      <w:rPr>
        <w:rFonts w:hint="eastAsia" w:eastAsia="宋体"/>
        <w:sz w:val="16"/>
        <w:szCs w:val="16"/>
        <w:lang w:val="en-US" w:eastAsia="zh-CN"/>
      </w:rPr>
      <w:t>地址：新疆克州乌恰县天源市政7楼</w:t>
    </w:r>
    <w:r>
      <w:rPr>
        <w:rFonts w:hint="eastAsia"/>
        <w:color w:val="800000"/>
        <w:sz w:val="16"/>
        <w:szCs w:val="20"/>
        <w:lang w:val="en-US" w:eastAsia="zh-CN"/>
      </w:rPr>
      <w:t xml:space="preserve">           电话：0908-4610011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3"/>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2"/>
      <w:tabs>
        <w:tab w:val="center" w:pos="4320"/>
        <w:tab w:val="right" w:pos="8640"/>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tabs>
        <w:tab w:val="clear" w:pos="4153"/>
        <w:tab w:val="clear" w:pos="8306"/>
      </w:tabs>
      <w:rPr>
        <w:rFonts w:hint="eastAsia" w:eastAsia="宋体"/>
        <w:lang w:eastAsia="zh-CN"/>
      </w:rPr>
    </w:pPr>
    <w:r>
      <w:rPr>
        <w:rFonts w:hint="eastAsia" w:eastAsia="宋体"/>
        <w:lang w:eastAsia="zh-CN"/>
      </w:rPr>
      <w:drawing>
        <wp:inline distT="0" distB="0" distL="114300" distR="114300">
          <wp:extent cx="258445" cy="367665"/>
          <wp:effectExtent l="0" t="0" r="8255" b="13335"/>
          <wp:docPr id="394" name="图片 394" descr="166444565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descr="1664445654615"/>
                  <pic:cNvPicPr>
                    <a:picLocks noChangeAspect="1"/>
                  </pic:cNvPicPr>
                </pic:nvPicPr>
                <pic:blipFill>
                  <a:blip r:embed="rId1"/>
                  <a:stretch>
                    <a:fillRect/>
                  </a:stretch>
                </pic:blipFill>
                <pic:spPr>
                  <a:xfrm>
                    <a:off x="0" y="0"/>
                    <a:ext cx="258445" cy="367665"/>
                  </a:xfrm>
                  <a:prstGeom prst="rect">
                    <a:avLst/>
                  </a:prstGeom>
                </pic:spPr>
              </pic:pic>
            </a:graphicData>
          </a:graphic>
        </wp:inline>
      </w:drawing>
    </w:r>
    <w:r>
      <w:rPr>
        <w:rFonts w:hint="eastAsia" w:ascii="仿宋" w:hAnsi="仿宋" w:eastAsia="仿宋" w:cs="仿宋"/>
        <w:b/>
        <w:bCs/>
        <w:color w:val="auto"/>
        <w:sz w:val="24"/>
        <w:szCs w:val="24"/>
        <w:lang w:eastAsia="zh-CN"/>
      </w:rPr>
      <w:t>新疆宏力源工程项目管理有限公司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3105F6B5"/>
    <w:multiLevelType w:val="singleLevel"/>
    <w:tmpl w:val="3105F6B5"/>
    <w:lvl w:ilvl="0" w:tentative="0">
      <w:start w:val="1"/>
      <w:numFmt w:val="decimal"/>
      <w:suff w:val="nothing"/>
      <w:lvlText w:val="%1、"/>
      <w:lvlJc w:val="left"/>
      <w:pPr>
        <w:ind w:left="320" w:leftChars="0" w:firstLine="0" w:firstLineChars="0"/>
      </w:pPr>
    </w:lvl>
  </w:abstractNum>
  <w:abstractNum w:abstractNumId="3">
    <w:nsid w:val="3A895368"/>
    <w:multiLevelType w:val="singleLevel"/>
    <w:tmpl w:val="3A895368"/>
    <w:lvl w:ilvl="0" w:tentative="0">
      <w:start w:val="1"/>
      <w:numFmt w:val="decimal"/>
      <w:suff w:val="nothing"/>
      <w:lvlText w:val="%1、"/>
      <w:lvlJc w:val="left"/>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23"/>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jEyMjlhYmExMjkyNTI5Mjk5MmRmMWRkNjZmZGUifQ=="/>
  </w:docVars>
  <w:rsids>
    <w:rsidRoot w:val="430832B2"/>
    <w:rsid w:val="00036274"/>
    <w:rsid w:val="001E33B2"/>
    <w:rsid w:val="00DF3300"/>
    <w:rsid w:val="0123584C"/>
    <w:rsid w:val="01DA6404"/>
    <w:rsid w:val="01E44B68"/>
    <w:rsid w:val="023C35FE"/>
    <w:rsid w:val="029702A0"/>
    <w:rsid w:val="03120DC1"/>
    <w:rsid w:val="0312238C"/>
    <w:rsid w:val="038329E4"/>
    <w:rsid w:val="03AD6B3B"/>
    <w:rsid w:val="04020AD7"/>
    <w:rsid w:val="042A106A"/>
    <w:rsid w:val="04511EA2"/>
    <w:rsid w:val="04DF1D99"/>
    <w:rsid w:val="05C23886"/>
    <w:rsid w:val="05CE725F"/>
    <w:rsid w:val="05E31007"/>
    <w:rsid w:val="06141E47"/>
    <w:rsid w:val="063B7194"/>
    <w:rsid w:val="06E33B5C"/>
    <w:rsid w:val="07905B50"/>
    <w:rsid w:val="08323FEC"/>
    <w:rsid w:val="085D5AE7"/>
    <w:rsid w:val="08C6543B"/>
    <w:rsid w:val="08D0181D"/>
    <w:rsid w:val="091D420B"/>
    <w:rsid w:val="09231976"/>
    <w:rsid w:val="093F2ABC"/>
    <w:rsid w:val="0A0505FE"/>
    <w:rsid w:val="0A742C74"/>
    <w:rsid w:val="0A8A6A4D"/>
    <w:rsid w:val="0A982D0F"/>
    <w:rsid w:val="0AB55BB0"/>
    <w:rsid w:val="0AEC1713"/>
    <w:rsid w:val="0B213EE8"/>
    <w:rsid w:val="0B2F3756"/>
    <w:rsid w:val="0B9E39F1"/>
    <w:rsid w:val="0BF26C44"/>
    <w:rsid w:val="0C6E7ED8"/>
    <w:rsid w:val="0D2B33CB"/>
    <w:rsid w:val="0DA9532B"/>
    <w:rsid w:val="0DCB7D5D"/>
    <w:rsid w:val="0DE46363"/>
    <w:rsid w:val="0DE97ED5"/>
    <w:rsid w:val="0E512943"/>
    <w:rsid w:val="0E982F0A"/>
    <w:rsid w:val="10685029"/>
    <w:rsid w:val="107847B5"/>
    <w:rsid w:val="109612F2"/>
    <w:rsid w:val="110E25D3"/>
    <w:rsid w:val="11A227BD"/>
    <w:rsid w:val="11EE77B0"/>
    <w:rsid w:val="12747CB6"/>
    <w:rsid w:val="130308CA"/>
    <w:rsid w:val="134B4C7E"/>
    <w:rsid w:val="135B3A09"/>
    <w:rsid w:val="13725EDE"/>
    <w:rsid w:val="14726477"/>
    <w:rsid w:val="147F77B9"/>
    <w:rsid w:val="15164F4C"/>
    <w:rsid w:val="15250C2F"/>
    <w:rsid w:val="1525173B"/>
    <w:rsid w:val="153C6A85"/>
    <w:rsid w:val="15AE1060"/>
    <w:rsid w:val="15E839EB"/>
    <w:rsid w:val="167B61DA"/>
    <w:rsid w:val="16897AA8"/>
    <w:rsid w:val="171F0B4E"/>
    <w:rsid w:val="17EB3771"/>
    <w:rsid w:val="182C2DE0"/>
    <w:rsid w:val="18333FC9"/>
    <w:rsid w:val="183D345E"/>
    <w:rsid w:val="183F1C44"/>
    <w:rsid w:val="18DC572E"/>
    <w:rsid w:val="18FE29CF"/>
    <w:rsid w:val="1910625E"/>
    <w:rsid w:val="191570D1"/>
    <w:rsid w:val="19791440"/>
    <w:rsid w:val="198D3D53"/>
    <w:rsid w:val="1A3C3B56"/>
    <w:rsid w:val="1AA14F3E"/>
    <w:rsid w:val="1AFA15B8"/>
    <w:rsid w:val="1BE65325"/>
    <w:rsid w:val="1E6813A9"/>
    <w:rsid w:val="1E864215"/>
    <w:rsid w:val="1EA62FF8"/>
    <w:rsid w:val="1EAE439F"/>
    <w:rsid w:val="1ECE4F82"/>
    <w:rsid w:val="1EE5064C"/>
    <w:rsid w:val="1EE64021"/>
    <w:rsid w:val="1F232690"/>
    <w:rsid w:val="1F5B26D6"/>
    <w:rsid w:val="1F6007D8"/>
    <w:rsid w:val="1F7313AF"/>
    <w:rsid w:val="1FBF7012"/>
    <w:rsid w:val="2080160F"/>
    <w:rsid w:val="22965E6B"/>
    <w:rsid w:val="22F917C9"/>
    <w:rsid w:val="23874BA3"/>
    <w:rsid w:val="23D277F4"/>
    <w:rsid w:val="24D004EB"/>
    <w:rsid w:val="24D80E4E"/>
    <w:rsid w:val="24D97E4C"/>
    <w:rsid w:val="25002F8D"/>
    <w:rsid w:val="25546BA5"/>
    <w:rsid w:val="25550156"/>
    <w:rsid w:val="26127F70"/>
    <w:rsid w:val="267D2FA7"/>
    <w:rsid w:val="26D37563"/>
    <w:rsid w:val="26E45926"/>
    <w:rsid w:val="27161DF2"/>
    <w:rsid w:val="272D2C04"/>
    <w:rsid w:val="27D72414"/>
    <w:rsid w:val="2819185B"/>
    <w:rsid w:val="283D072F"/>
    <w:rsid w:val="285C7E68"/>
    <w:rsid w:val="286B44D3"/>
    <w:rsid w:val="291C049E"/>
    <w:rsid w:val="299F2BD7"/>
    <w:rsid w:val="29EC750E"/>
    <w:rsid w:val="2A2953D2"/>
    <w:rsid w:val="2A403E4C"/>
    <w:rsid w:val="2A6F2C28"/>
    <w:rsid w:val="2AB303AA"/>
    <w:rsid w:val="2AF552B4"/>
    <w:rsid w:val="2B7102E5"/>
    <w:rsid w:val="2B762634"/>
    <w:rsid w:val="2BF67536"/>
    <w:rsid w:val="2C047AD0"/>
    <w:rsid w:val="2C4C731E"/>
    <w:rsid w:val="2C7C4FC9"/>
    <w:rsid w:val="2D1B0C53"/>
    <w:rsid w:val="2D2105E2"/>
    <w:rsid w:val="2DA17451"/>
    <w:rsid w:val="2DF06B27"/>
    <w:rsid w:val="2DF1140A"/>
    <w:rsid w:val="2E1B0C2F"/>
    <w:rsid w:val="2E764B34"/>
    <w:rsid w:val="2FA50B1C"/>
    <w:rsid w:val="2FF002CE"/>
    <w:rsid w:val="31286C3D"/>
    <w:rsid w:val="31C54436"/>
    <w:rsid w:val="31CA43CC"/>
    <w:rsid w:val="328722D8"/>
    <w:rsid w:val="32F4471A"/>
    <w:rsid w:val="335C76C1"/>
    <w:rsid w:val="33974E7C"/>
    <w:rsid w:val="3464452F"/>
    <w:rsid w:val="34AC63E7"/>
    <w:rsid w:val="35427B0F"/>
    <w:rsid w:val="35C66178"/>
    <w:rsid w:val="363027C5"/>
    <w:rsid w:val="3689653D"/>
    <w:rsid w:val="369E2CA4"/>
    <w:rsid w:val="36AA5E0A"/>
    <w:rsid w:val="379F4F25"/>
    <w:rsid w:val="37D44BCF"/>
    <w:rsid w:val="38083993"/>
    <w:rsid w:val="38C56C0D"/>
    <w:rsid w:val="38FC64B2"/>
    <w:rsid w:val="39951BD0"/>
    <w:rsid w:val="3A1273C6"/>
    <w:rsid w:val="3A283852"/>
    <w:rsid w:val="3AA05170"/>
    <w:rsid w:val="3AE06945"/>
    <w:rsid w:val="3CA827C1"/>
    <w:rsid w:val="3CAD59EE"/>
    <w:rsid w:val="3D3710F7"/>
    <w:rsid w:val="3D681E63"/>
    <w:rsid w:val="3D751F42"/>
    <w:rsid w:val="3D780746"/>
    <w:rsid w:val="3E7C7D6E"/>
    <w:rsid w:val="3ED26025"/>
    <w:rsid w:val="40706583"/>
    <w:rsid w:val="408E72C3"/>
    <w:rsid w:val="408E7BCF"/>
    <w:rsid w:val="40B26236"/>
    <w:rsid w:val="40BC115C"/>
    <w:rsid w:val="413A315B"/>
    <w:rsid w:val="41597EF3"/>
    <w:rsid w:val="41681350"/>
    <w:rsid w:val="416F668A"/>
    <w:rsid w:val="419F22BB"/>
    <w:rsid w:val="419F6662"/>
    <w:rsid w:val="41A72D03"/>
    <w:rsid w:val="41B765E4"/>
    <w:rsid w:val="41BC55E0"/>
    <w:rsid w:val="420B7389"/>
    <w:rsid w:val="423563C7"/>
    <w:rsid w:val="42C57370"/>
    <w:rsid w:val="430832B2"/>
    <w:rsid w:val="44444E8A"/>
    <w:rsid w:val="445769C9"/>
    <w:rsid w:val="44740DA7"/>
    <w:rsid w:val="447633DE"/>
    <w:rsid w:val="44951B21"/>
    <w:rsid w:val="454815E5"/>
    <w:rsid w:val="457C2033"/>
    <w:rsid w:val="46A95479"/>
    <w:rsid w:val="46BA43CC"/>
    <w:rsid w:val="46F77B89"/>
    <w:rsid w:val="4706296E"/>
    <w:rsid w:val="4743767B"/>
    <w:rsid w:val="47CD0146"/>
    <w:rsid w:val="485C1B1F"/>
    <w:rsid w:val="49697FDD"/>
    <w:rsid w:val="49726A4B"/>
    <w:rsid w:val="4A0D2D7D"/>
    <w:rsid w:val="4A4B2CCE"/>
    <w:rsid w:val="4B697B8F"/>
    <w:rsid w:val="4BB73B85"/>
    <w:rsid w:val="4BE15206"/>
    <w:rsid w:val="4BF478AD"/>
    <w:rsid w:val="4BF50141"/>
    <w:rsid w:val="4C17384D"/>
    <w:rsid w:val="4C257A37"/>
    <w:rsid w:val="4C967FBD"/>
    <w:rsid w:val="4CF5766A"/>
    <w:rsid w:val="4DE615D3"/>
    <w:rsid w:val="4DF50B78"/>
    <w:rsid w:val="4E6938E7"/>
    <w:rsid w:val="4E701DC0"/>
    <w:rsid w:val="4F006719"/>
    <w:rsid w:val="4F2E489B"/>
    <w:rsid w:val="4F5166AD"/>
    <w:rsid w:val="4F5D25FD"/>
    <w:rsid w:val="4FB41D44"/>
    <w:rsid w:val="50395ABF"/>
    <w:rsid w:val="50BF6E81"/>
    <w:rsid w:val="513F080C"/>
    <w:rsid w:val="523B2375"/>
    <w:rsid w:val="52654DCD"/>
    <w:rsid w:val="5306542C"/>
    <w:rsid w:val="533662E6"/>
    <w:rsid w:val="53390376"/>
    <w:rsid w:val="53746819"/>
    <w:rsid w:val="53786F73"/>
    <w:rsid w:val="53940122"/>
    <w:rsid w:val="54D44008"/>
    <w:rsid w:val="5536450D"/>
    <w:rsid w:val="553813F1"/>
    <w:rsid w:val="553E5926"/>
    <w:rsid w:val="55CF657E"/>
    <w:rsid w:val="56493792"/>
    <w:rsid w:val="57710879"/>
    <w:rsid w:val="58A83ABB"/>
    <w:rsid w:val="58BF0311"/>
    <w:rsid w:val="59BD150F"/>
    <w:rsid w:val="59EA29D4"/>
    <w:rsid w:val="5A012B26"/>
    <w:rsid w:val="5A04337A"/>
    <w:rsid w:val="5A7E608A"/>
    <w:rsid w:val="5AE0581C"/>
    <w:rsid w:val="5B4A4A82"/>
    <w:rsid w:val="5BE43388"/>
    <w:rsid w:val="5C266410"/>
    <w:rsid w:val="5C337866"/>
    <w:rsid w:val="5CD53D28"/>
    <w:rsid w:val="5D2366CB"/>
    <w:rsid w:val="5D3331A6"/>
    <w:rsid w:val="5D533B73"/>
    <w:rsid w:val="5E0B0134"/>
    <w:rsid w:val="5E135BA1"/>
    <w:rsid w:val="5E1D07CE"/>
    <w:rsid w:val="5E1D1079"/>
    <w:rsid w:val="5EDA6373"/>
    <w:rsid w:val="5F0C00BF"/>
    <w:rsid w:val="5F1D0C71"/>
    <w:rsid w:val="5F2C67EF"/>
    <w:rsid w:val="5F8936CD"/>
    <w:rsid w:val="601F4136"/>
    <w:rsid w:val="6031773D"/>
    <w:rsid w:val="62123B3B"/>
    <w:rsid w:val="622D3D77"/>
    <w:rsid w:val="634A483E"/>
    <w:rsid w:val="642B45E0"/>
    <w:rsid w:val="643007E6"/>
    <w:rsid w:val="644545DB"/>
    <w:rsid w:val="64604EAC"/>
    <w:rsid w:val="646547D3"/>
    <w:rsid w:val="64740A1C"/>
    <w:rsid w:val="64DF79CD"/>
    <w:rsid w:val="650B687C"/>
    <w:rsid w:val="66457796"/>
    <w:rsid w:val="66A5387A"/>
    <w:rsid w:val="66F069F8"/>
    <w:rsid w:val="67656B1B"/>
    <w:rsid w:val="67964C60"/>
    <w:rsid w:val="67AE419D"/>
    <w:rsid w:val="67B22635"/>
    <w:rsid w:val="683769EB"/>
    <w:rsid w:val="698C50B9"/>
    <w:rsid w:val="69B75707"/>
    <w:rsid w:val="69D47128"/>
    <w:rsid w:val="6AAB4860"/>
    <w:rsid w:val="6ADE7537"/>
    <w:rsid w:val="6B221B0E"/>
    <w:rsid w:val="6B237BBE"/>
    <w:rsid w:val="6B506044"/>
    <w:rsid w:val="6BA32DD2"/>
    <w:rsid w:val="6C527E9B"/>
    <w:rsid w:val="6C7543E1"/>
    <w:rsid w:val="6C963B87"/>
    <w:rsid w:val="6CA96079"/>
    <w:rsid w:val="6CAC1F8A"/>
    <w:rsid w:val="6CC81EA4"/>
    <w:rsid w:val="6CE72502"/>
    <w:rsid w:val="6D3756D1"/>
    <w:rsid w:val="6D37776E"/>
    <w:rsid w:val="6DBD66CF"/>
    <w:rsid w:val="6DD37F37"/>
    <w:rsid w:val="6F3F2C86"/>
    <w:rsid w:val="6FFC5967"/>
    <w:rsid w:val="701E297D"/>
    <w:rsid w:val="704838FD"/>
    <w:rsid w:val="709119F6"/>
    <w:rsid w:val="71F7318A"/>
    <w:rsid w:val="721A3870"/>
    <w:rsid w:val="72DB435C"/>
    <w:rsid w:val="739641CD"/>
    <w:rsid w:val="7407216B"/>
    <w:rsid w:val="746335E0"/>
    <w:rsid w:val="74B1717B"/>
    <w:rsid w:val="74E219D2"/>
    <w:rsid w:val="751E0D04"/>
    <w:rsid w:val="754C749B"/>
    <w:rsid w:val="75AB1C93"/>
    <w:rsid w:val="761B163F"/>
    <w:rsid w:val="76810114"/>
    <w:rsid w:val="76E41762"/>
    <w:rsid w:val="76F13850"/>
    <w:rsid w:val="77163BB5"/>
    <w:rsid w:val="7717316E"/>
    <w:rsid w:val="77603777"/>
    <w:rsid w:val="77901BB9"/>
    <w:rsid w:val="77C7479C"/>
    <w:rsid w:val="788E3223"/>
    <w:rsid w:val="78E06AB0"/>
    <w:rsid w:val="791F1447"/>
    <w:rsid w:val="798E0318"/>
    <w:rsid w:val="7A630025"/>
    <w:rsid w:val="7A767C71"/>
    <w:rsid w:val="7AA32CA1"/>
    <w:rsid w:val="7AD324E9"/>
    <w:rsid w:val="7AD93877"/>
    <w:rsid w:val="7BFC0690"/>
    <w:rsid w:val="7C682397"/>
    <w:rsid w:val="7CC540BD"/>
    <w:rsid w:val="7CEE4788"/>
    <w:rsid w:val="7D1170C1"/>
    <w:rsid w:val="7D423759"/>
    <w:rsid w:val="7D695F1A"/>
    <w:rsid w:val="7DA30807"/>
    <w:rsid w:val="7DD956AA"/>
    <w:rsid w:val="7E2D5B39"/>
    <w:rsid w:val="7E3239CA"/>
    <w:rsid w:val="7EC35F78"/>
    <w:rsid w:val="7ED160D1"/>
    <w:rsid w:val="7EFF672B"/>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Body Text"/>
    <w:basedOn w:val="1"/>
    <w:next w:val="8"/>
    <w:qFormat/>
    <w:uiPriority w:val="99"/>
    <w:pPr>
      <w:numPr>
        <w:ilvl w:val="0"/>
        <w:numId w:val="1"/>
      </w:numPr>
      <w:tabs>
        <w:tab w:val="clear" w:pos="780"/>
      </w:tabs>
      <w:ind w:left="0" w:firstLine="0"/>
    </w:pPr>
    <w:rPr>
      <w:rFonts w:ascii="黑体" w:eastAsia="黑体"/>
      <w:sz w:val="22"/>
    </w:rPr>
  </w:style>
  <w:style w:type="paragraph" w:customStyle="1" w:styleId="8">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qFormat/>
    <w:uiPriority w:val="99"/>
    <w:pPr>
      <w:widowControl/>
      <w:jc w:val="left"/>
    </w:pPr>
    <w:rPr>
      <w:rFonts w:ascii="宋体" w:hAnsi="宋体" w:eastAsia="宋体" w:cs="宋体"/>
      <w:kern w:val="0"/>
      <w:sz w:val="24"/>
      <w:szCs w:val="24"/>
    </w:rPr>
  </w:style>
  <w:style w:type="paragraph" w:styleId="17">
    <w:name w:val="Body Text First Indent 2"/>
    <w:basedOn w:val="9"/>
    <w:semiHidden/>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qFormat/>
    <w:uiPriority w:val="99"/>
    <w:rPr>
      <w:color w:val="0000FF"/>
      <w:u w:val="single"/>
    </w:rPr>
  </w:style>
  <w:style w:type="character" w:styleId="23">
    <w:name w:val="footnote reference"/>
    <w:basedOn w:val="20"/>
    <w:semiHidden/>
    <w:unhideWhenUsed/>
    <w:qFormat/>
    <w:uiPriority w:val="99"/>
    <w:rPr>
      <w:vertAlign w:val="superscript"/>
    </w:rPr>
  </w:style>
  <w:style w:type="paragraph" w:customStyle="1" w:styleId="24">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5">
    <w:name w:val="文档正文"/>
    <w:basedOn w:val="5"/>
    <w:qFormat/>
    <w:uiPriority w:val="0"/>
    <w:pPr>
      <w:spacing w:line="360" w:lineRule="auto"/>
    </w:pPr>
    <w:rPr>
      <w:rFonts w:ascii="宋体" w:hAnsi="宋体"/>
      <w:b/>
      <w:bCs/>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28">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29">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1">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2">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4">
    <w:name w:val="图例"/>
    <w:basedOn w:val="1"/>
    <w:qFormat/>
    <w:uiPriority w:val="0"/>
    <w:pPr>
      <w:spacing w:before="120" w:beforeLines="0" w:after="120" w:afterLines="0" w:line="360" w:lineRule="auto"/>
      <w:jc w:val="center"/>
    </w:pPr>
    <w:rPr>
      <w:rFonts w:eastAsia="仿宋_GB2312"/>
      <w:b/>
      <w:sz w:val="24"/>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样式 左侧:  0 厘米 悬挂缩进: 2.5 字符"/>
    <w:basedOn w:val="1"/>
    <w:qFormat/>
    <w:uiPriority w:val="0"/>
    <w:pPr>
      <w:ind w:left="525" w:hanging="525" w:hangingChars="250"/>
    </w:pPr>
    <w:rPr>
      <w:szCs w:val="20"/>
    </w:rPr>
  </w:style>
  <w:style w:type="character" w:customStyle="1" w:styleId="37">
    <w:name w:val="font11"/>
    <w:basedOn w:val="20"/>
    <w:qFormat/>
    <w:uiPriority w:val="0"/>
    <w:rPr>
      <w:rFonts w:ascii="Calibri" w:hAnsi="Calibri" w:cs="Calibri"/>
      <w:color w:val="000000"/>
      <w:sz w:val="20"/>
      <w:szCs w:val="20"/>
      <w:u w:val="none"/>
    </w:rPr>
  </w:style>
  <w:style w:type="paragraph" w:customStyle="1" w:styleId="38">
    <w:name w:val="Normal"/>
    <w:qFormat/>
    <w:uiPriority w:val="0"/>
    <w:rPr>
      <w:rFonts w:ascii="Times New Roman" w:hAnsi="Times New Roman" w:eastAsia="Times New Roman" w:cs="Times New Roman"/>
      <w:sz w:val="24"/>
      <w:szCs w:val="24"/>
      <w:lang w:bidi="ar-SA"/>
    </w:rPr>
  </w:style>
  <w:style w:type="paragraph" w:customStyle="1" w:styleId="3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1">
    <w:name w:val="font31"/>
    <w:basedOn w:val="20"/>
    <w:qFormat/>
    <w:uiPriority w:val="0"/>
    <w:rPr>
      <w:rFonts w:hint="eastAsia" w:ascii="宋体" w:hAnsi="宋体" w:eastAsia="宋体" w:cs="宋体"/>
      <w:color w:val="000000"/>
      <w:sz w:val="12"/>
      <w:szCs w:val="12"/>
      <w:u w:val="none"/>
    </w:rPr>
  </w:style>
  <w:style w:type="character" w:customStyle="1" w:styleId="42">
    <w:name w:val="font131"/>
    <w:basedOn w:val="20"/>
    <w:qFormat/>
    <w:uiPriority w:val="0"/>
    <w:rPr>
      <w:rFonts w:hint="eastAsia" w:ascii="宋体" w:hAnsi="宋体" w:eastAsia="宋体" w:cs="宋体"/>
      <w:color w:val="FF0000"/>
      <w:sz w:val="12"/>
      <w:szCs w:val="12"/>
      <w:u w:val="none"/>
    </w:rPr>
  </w:style>
  <w:style w:type="character" w:customStyle="1" w:styleId="43">
    <w:name w:val="font51"/>
    <w:basedOn w:val="20"/>
    <w:qFormat/>
    <w:uiPriority w:val="0"/>
    <w:rPr>
      <w:rFonts w:hint="eastAsia" w:ascii="宋体" w:hAnsi="宋体" w:eastAsia="宋体" w:cs="宋体"/>
      <w:color w:val="000000"/>
      <w:sz w:val="12"/>
      <w:szCs w:val="12"/>
      <w:u w:val="none"/>
    </w:rPr>
  </w:style>
  <w:style w:type="character" w:customStyle="1" w:styleId="44">
    <w:name w:val="font171"/>
    <w:basedOn w:val="20"/>
    <w:qFormat/>
    <w:uiPriority w:val="0"/>
    <w:rPr>
      <w:rFonts w:hint="eastAsia" w:ascii="宋体" w:hAnsi="宋体" w:eastAsia="宋体" w:cs="宋体"/>
      <w:color w:val="FF0000"/>
      <w:sz w:val="12"/>
      <w:szCs w:val="12"/>
      <w:u w:val="none"/>
    </w:rPr>
  </w:style>
  <w:style w:type="character" w:customStyle="1" w:styleId="45">
    <w:name w:val="font41"/>
    <w:basedOn w:val="20"/>
    <w:qFormat/>
    <w:uiPriority w:val="0"/>
    <w:rPr>
      <w:rFonts w:hint="eastAsia" w:ascii="宋体" w:hAnsi="宋体" w:eastAsia="宋体" w:cs="宋体"/>
      <w:b/>
      <w:bCs/>
      <w:color w:val="0D0D0D"/>
      <w:sz w:val="18"/>
      <w:szCs w:val="18"/>
      <w:u w:val="none"/>
    </w:rPr>
  </w:style>
  <w:style w:type="character" w:customStyle="1" w:styleId="46">
    <w:name w:val="font71"/>
    <w:basedOn w:val="20"/>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41150</Words>
  <Characters>43922</Characters>
  <Lines>0</Lines>
  <Paragraphs>0</Paragraphs>
  <TotalTime>0</TotalTime>
  <ScaleCrop>false</ScaleCrop>
  <LinksUpToDate>false</LinksUpToDate>
  <CharactersWithSpaces>47583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夏邱霸气</cp:lastModifiedBy>
  <cp:lastPrinted>2022-10-27T08:09:00Z</cp:lastPrinted>
  <dcterms:modified xsi:type="dcterms:W3CDTF">2023-01-09T09:29:28Z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DEC63E6696464C9394C13ADC17C5580A</vt:lpwstr>
  </property>
</Properties>
</file>