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Layout w:type="fixed"/>
        <w:tblCellMar>
          <w:top w:w="0" w:type="dxa"/>
          <w:left w:w="0" w:type="dxa"/>
          <w:bottom w:w="0" w:type="dxa"/>
          <w:right w:w="0" w:type="dxa"/>
        </w:tblCellMar>
      </w:tblPr>
      <w:tblGrid>
        <w:gridCol w:w="855"/>
        <w:gridCol w:w="4601"/>
      </w:tblGrid>
      <w:tr>
        <w:tblPrEx>
          <w:tblCellMar>
            <w:top w:w="0" w:type="dxa"/>
            <w:left w:w="0" w:type="dxa"/>
            <w:bottom w:w="0" w:type="dxa"/>
            <w:right w:w="0" w:type="dxa"/>
          </w:tblCellMar>
        </w:tblPrEx>
        <w:trPr>
          <w:trHeight w:val="355" w:hRule="atLeast"/>
        </w:trPr>
        <w:tc>
          <w:tcPr>
            <w:tcW w:w="855" w:type="dxa"/>
            <w:vMerge w:val="restart"/>
          </w:tcPr>
          <w:p>
            <w:pPr>
              <w:pStyle w:val="34"/>
              <w:jc w:val="center"/>
              <w:rPr>
                <w:rFonts w:ascii="宋体" w:hAnsi="宋体" w:eastAsia="宋体" w:cs="宋体"/>
                <w:color w:val="auto"/>
                <w:sz w:val="16"/>
                <w:szCs w:val="20"/>
                <w:highlight w:val="none"/>
              </w:rPr>
            </w:pPr>
            <w:r>
              <w:rPr>
                <w:rFonts w:hint="eastAsia" w:ascii="宋体" w:hAnsi="宋体" w:eastAsia="宋体" w:cs="宋体"/>
                <w:color w:val="auto"/>
                <w:sz w:val="16"/>
                <w:szCs w:val="20"/>
                <w:highlight w:val="none"/>
                <w:lang w:val="en-US"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1"/>
                          <a:stretch>
                            <a:fillRect/>
                          </a:stretch>
                        </pic:blipFill>
                        <pic:spPr>
                          <a:xfrm>
                            <a:off x="0" y="0"/>
                            <a:ext cx="540385" cy="316230"/>
                          </a:xfrm>
                          <a:prstGeom prst="rect">
                            <a:avLst/>
                          </a:prstGeom>
                        </pic:spPr>
                      </pic:pic>
                    </a:graphicData>
                  </a:graphic>
                </wp:anchor>
              </w:drawing>
            </w:r>
          </w:p>
        </w:tc>
        <w:tc>
          <w:tcPr>
            <w:tcW w:w="4601" w:type="dxa"/>
          </w:tcPr>
          <w:p>
            <w:pPr>
              <w:pStyle w:val="34"/>
              <w:spacing w:before="23"/>
              <w:ind w:left="44" w:right="141"/>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新疆华恒惠欣工程项目管理有限责任公司</w:t>
            </w:r>
          </w:p>
        </w:tc>
      </w:tr>
      <w:tr>
        <w:tblPrEx>
          <w:tblCellMar>
            <w:top w:w="0" w:type="dxa"/>
            <w:left w:w="0" w:type="dxa"/>
            <w:bottom w:w="0" w:type="dxa"/>
            <w:right w:w="0" w:type="dxa"/>
          </w:tblCellMar>
        </w:tblPrEx>
        <w:trPr>
          <w:trHeight w:val="231" w:hRule="atLeast"/>
        </w:trPr>
        <w:tc>
          <w:tcPr>
            <w:tcW w:w="855" w:type="dxa"/>
            <w:vMerge w:val="continue"/>
            <w:tcBorders>
              <w:top w:val="nil"/>
            </w:tcBorders>
          </w:tcPr>
          <w:p>
            <w:pPr>
              <w:rPr>
                <w:color w:val="auto"/>
                <w:sz w:val="2"/>
                <w:szCs w:val="2"/>
                <w:highlight w:val="none"/>
              </w:rPr>
            </w:pPr>
          </w:p>
        </w:tc>
        <w:tc>
          <w:tcPr>
            <w:tcW w:w="4601" w:type="dxa"/>
          </w:tcPr>
          <w:p>
            <w:pPr>
              <w:pStyle w:val="34"/>
              <w:spacing w:before="10" w:line="200" w:lineRule="exact"/>
              <w:ind w:left="134" w:right="141"/>
              <w:jc w:val="center"/>
              <w:rPr>
                <w:rFonts w:ascii="宋体" w:hAnsi="宋体" w:eastAsia="宋体" w:cs="宋体"/>
                <w:b/>
                <w:color w:val="auto"/>
                <w:sz w:val="15"/>
                <w:szCs w:val="20"/>
                <w:highlight w:val="none"/>
                <w:lang w:val="en-US"/>
              </w:rPr>
            </w:pPr>
            <w:r>
              <w:rPr>
                <w:rFonts w:hint="eastAsia" w:ascii="宋体" w:hAnsi="宋体" w:eastAsia="宋体" w:cs="宋体"/>
                <w:b/>
                <w:color w:val="auto"/>
                <w:sz w:val="15"/>
                <w:szCs w:val="20"/>
                <w:highlight w:val="none"/>
                <w:lang w:val="en-US"/>
              </w:rPr>
              <w:t>Xinjiang huaheng huixin engineering project management co., ltd</w:t>
            </w:r>
          </w:p>
        </w:tc>
      </w:tr>
    </w:tbl>
    <w:p>
      <w:pPr>
        <w:pStyle w:val="15"/>
        <w:rPr>
          <w:color w:val="auto"/>
          <w:sz w:val="16"/>
          <w:szCs w:val="21"/>
          <w:highlight w:val="none"/>
          <w:lang w:val="en-US"/>
        </w:rPr>
      </w:pPr>
    </w:p>
    <w:p>
      <w:pPr>
        <w:pStyle w:val="15"/>
        <w:spacing w:before="1"/>
        <w:rPr>
          <w:b/>
          <w:color w:val="auto"/>
          <w:sz w:val="96"/>
          <w:highlight w:val="none"/>
          <w:lang w:val="en-US"/>
        </w:rPr>
      </w:pPr>
    </w:p>
    <w:p>
      <w:pPr>
        <w:pStyle w:val="16"/>
        <w:rPr>
          <w:rFonts w:ascii="宋体" w:hAnsi="宋体" w:eastAsia="宋体" w:cs="宋体"/>
          <w:b/>
          <w:color w:val="auto"/>
          <w:sz w:val="96"/>
          <w:szCs w:val="24"/>
          <w:highlight w:val="none"/>
        </w:rPr>
      </w:pPr>
    </w:p>
    <w:p>
      <w:pPr>
        <w:spacing w:before="1"/>
        <w:ind w:right="70"/>
        <w:jc w:val="center"/>
        <w:outlineLvl w:val="9"/>
        <w:rPr>
          <w:rFonts w:ascii="宋体" w:hAnsi="宋体" w:eastAsia="宋体" w:cs="宋体"/>
          <w:color w:val="auto"/>
          <w:sz w:val="112"/>
          <w:szCs w:val="112"/>
          <w:highlight w:val="none"/>
        </w:rPr>
      </w:pPr>
      <w:r>
        <w:rPr>
          <w:rFonts w:hint="eastAsia" w:ascii="宋体" w:hAnsi="宋体" w:eastAsia="宋体" w:cs="宋体"/>
          <w:bCs w:val="0"/>
          <w:color w:val="auto"/>
          <w:sz w:val="112"/>
          <w:szCs w:val="112"/>
          <w:highlight w:val="none"/>
          <w:lang w:val="en-US"/>
        </w:rPr>
        <w:t>招 标 文 件</w:t>
      </w:r>
    </w:p>
    <w:p>
      <w:pPr>
        <w:spacing w:before="1" w:line="364" w:lineRule="auto"/>
        <w:ind w:right="1127"/>
        <w:jc w:val="both"/>
        <w:outlineLvl w:val="9"/>
        <w:rPr>
          <w:rFonts w:ascii="宋体" w:hAnsi="宋体" w:eastAsia="宋体" w:cs="宋体"/>
          <w:color w:val="auto"/>
          <w:sz w:val="28"/>
          <w:szCs w:val="28"/>
          <w:highlight w:val="none"/>
        </w:rPr>
      </w:pPr>
    </w:p>
    <w:p>
      <w:pPr>
        <w:spacing w:before="212"/>
        <w:ind w:left="1964" w:leftChars="254" w:hanging="1405" w:hangingChars="500"/>
        <w:rPr>
          <w:rFonts w:hint="eastAsia" w:eastAsia="宋体"/>
          <w:b/>
          <w:color w:val="auto"/>
          <w:sz w:val="28"/>
          <w:szCs w:val="28"/>
          <w:highlight w:val="none"/>
          <w:lang w:eastAsia="zh-CN"/>
        </w:rPr>
      </w:pPr>
      <w:r>
        <w:rPr>
          <w:rFonts w:hint="eastAsia"/>
          <w:b/>
          <w:color w:val="auto"/>
          <w:sz w:val="28"/>
          <w:szCs w:val="28"/>
          <w:highlight w:val="none"/>
        </w:rPr>
        <w:t>项目名称：</w:t>
      </w:r>
      <w:r>
        <w:rPr>
          <w:rFonts w:hint="eastAsia"/>
          <w:b/>
          <w:color w:val="auto"/>
          <w:sz w:val="28"/>
          <w:szCs w:val="28"/>
          <w:highlight w:val="none"/>
          <w:lang w:eastAsia="zh-CN"/>
        </w:rPr>
        <w:t>自治区质检院第三批检测设备能力提升采购项目（进口部分）</w:t>
      </w:r>
    </w:p>
    <w:p>
      <w:pPr>
        <w:spacing w:before="212"/>
        <w:ind w:left="1964" w:leftChars="254" w:hanging="1405" w:hangingChars="500"/>
        <w:rPr>
          <w:rFonts w:hint="eastAsia" w:eastAsia="宋体"/>
          <w:b/>
          <w:color w:val="auto"/>
          <w:sz w:val="28"/>
          <w:szCs w:val="28"/>
          <w:highlight w:val="none"/>
          <w:lang w:eastAsia="zh-CN"/>
        </w:rPr>
      </w:pPr>
      <w:r>
        <w:rPr>
          <w:rFonts w:hint="eastAsia"/>
          <w:b/>
          <w:color w:val="auto"/>
          <w:sz w:val="28"/>
          <w:szCs w:val="28"/>
          <w:highlight w:val="none"/>
        </w:rPr>
        <w:t>项目编号：</w:t>
      </w:r>
      <w:r>
        <w:rPr>
          <w:rFonts w:hint="eastAsia"/>
          <w:b/>
          <w:color w:val="auto"/>
          <w:sz w:val="28"/>
          <w:szCs w:val="28"/>
          <w:highlight w:val="none"/>
          <w:lang w:eastAsia="zh-CN"/>
        </w:rPr>
        <w:t>Hhhx-2224-Zjy003</w:t>
      </w:r>
    </w:p>
    <w:p>
      <w:pPr>
        <w:spacing w:before="212"/>
        <w:ind w:left="1964" w:leftChars="254" w:hanging="1405" w:hangingChars="500"/>
        <w:rPr>
          <w:b/>
          <w:color w:val="auto"/>
          <w:sz w:val="28"/>
          <w:szCs w:val="28"/>
          <w:highlight w:val="none"/>
          <w:lang w:val="en-US"/>
        </w:rPr>
      </w:pPr>
    </w:p>
    <w:p>
      <w:pPr>
        <w:pStyle w:val="2"/>
        <w:ind w:firstLine="440"/>
        <w:rPr>
          <w:color w:val="auto"/>
          <w:highlight w:val="none"/>
          <w:lang w:val="en-US"/>
        </w:rPr>
      </w:pPr>
    </w:p>
    <w:p>
      <w:pPr>
        <w:rPr>
          <w:b/>
          <w:color w:val="auto"/>
          <w:sz w:val="28"/>
          <w:szCs w:val="28"/>
          <w:highlight w:val="none"/>
        </w:rPr>
      </w:pPr>
    </w:p>
    <w:p>
      <w:pPr>
        <w:rPr>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pStyle w:val="16"/>
        <w:rPr>
          <w:rFonts w:ascii="宋体" w:hAnsi="宋体" w:eastAsia="宋体" w:cs="宋体"/>
          <w:b/>
          <w:color w:val="auto"/>
          <w:sz w:val="28"/>
          <w:szCs w:val="28"/>
          <w:highlight w:val="none"/>
        </w:rPr>
      </w:pPr>
    </w:p>
    <w:p>
      <w:pPr>
        <w:rPr>
          <w:b/>
          <w:color w:val="auto"/>
          <w:sz w:val="28"/>
          <w:szCs w:val="28"/>
          <w:highlight w:val="none"/>
        </w:rPr>
      </w:pPr>
    </w:p>
    <w:p>
      <w:pPr>
        <w:spacing w:line="480" w:lineRule="auto"/>
        <w:jc w:val="center"/>
        <w:rPr>
          <w:b/>
          <w:color w:val="auto"/>
          <w:sz w:val="28"/>
          <w:szCs w:val="28"/>
          <w:highlight w:val="none"/>
        </w:rPr>
      </w:pPr>
      <w:r>
        <w:rPr>
          <w:rFonts w:hint="eastAsia"/>
          <w:b/>
          <w:color w:val="auto"/>
          <w:sz w:val="28"/>
          <w:szCs w:val="28"/>
          <w:highlight w:val="none"/>
        </w:rPr>
        <w:t>采购人：</w:t>
      </w:r>
      <w:r>
        <w:rPr>
          <w:rFonts w:hint="eastAsia"/>
          <w:b/>
          <w:color w:val="auto"/>
          <w:sz w:val="28"/>
          <w:szCs w:val="28"/>
          <w:highlight w:val="none"/>
          <w:u w:val="single"/>
        </w:rPr>
        <w:t>新疆维吾尔自治区产品质量监督检验研究院</w:t>
      </w:r>
      <w:r>
        <w:rPr>
          <w:rFonts w:hint="eastAsia"/>
          <w:b/>
          <w:color w:val="auto"/>
          <w:sz w:val="28"/>
          <w:szCs w:val="28"/>
          <w:highlight w:val="none"/>
        </w:rPr>
        <w:t>（</w:t>
      </w:r>
      <w:r>
        <w:rPr>
          <w:rFonts w:hint="eastAsia"/>
          <w:b/>
          <w:color w:val="auto"/>
          <w:sz w:val="28"/>
          <w:szCs w:val="28"/>
          <w:highlight w:val="none"/>
          <w:lang w:val="en-US"/>
        </w:rPr>
        <w:t>盖章</w:t>
      </w:r>
      <w:r>
        <w:rPr>
          <w:rFonts w:hint="eastAsia"/>
          <w:b/>
          <w:color w:val="auto"/>
          <w:sz w:val="28"/>
          <w:szCs w:val="28"/>
          <w:highlight w:val="none"/>
        </w:rPr>
        <w:t>）</w:t>
      </w:r>
    </w:p>
    <w:p>
      <w:pPr>
        <w:spacing w:line="480" w:lineRule="auto"/>
        <w:jc w:val="center"/>
        <w:rPr>
          <w:b/>
          <w:color w:val="auto"/>
          <w:sz w:val="28"/>
          <w:szCs w:val="28"/>
          <w:highlight w:val="none"/>
        </w:rPr>
      </w:pPr>
      <w:r>
        <w:rPr>
          <w:rFonts w:hint="eastAsia"/>
          <w:b/>
          <w:color w:val="auto"/>
          <w:sz w:val="28"/>
          <w:szCs w:val="28"/>
          <w:highlight w:val="none"/>
        </w:rPr>
        <w:t>采购代理机构：</w:t>
      </w:r>
      <w:r>
        <w:rPr>
          <w:rFonts w:hint="eastAsia"/>
          <w:b/>
          <w:color w:val="auto"/>
          <w:sz w:val="28"/>
          <w:szCs w:val="28"/>
          <w:highlight w:val="none"/>
          <w:u w:val="single"/>
        </w:rPr>
        <w:t>新疆华恒惠欣工程项目管理有限责任公司</w:t>
      </w:r>
      <w:r>
        <w:rPr>
          <w:rFonts w:hint="eastAsia"/>
          <w:b/>
          <w:color w:val="auto"/>
          <w:sz w:val="28"/>
          <w:szCs w:val="28"/>
          <w:highlight w:val="none"/>
        </w:rPr>
        <w:t>（</w:t>
      </w:r>
      <w:r>
        <w:rPr>
          <w:rFonts w:hint="eastAsia"/>
          <w:b/>
          <w:color w:val="auto"/>
          <w:sz w:val="28"/>
          <w:szCs w:val="28"/>
          <w:highlight w:val="none"/>
          <w:lang w:val="en-US"/>
        </w:rPr>
        <w:t>盖章</w:t>
      </w:r>
      <w:r>
        <w:rPr>
          <w:rFonts w:hint="eastAsia"/>
          <w:b/>
          <w:color w:val="auto"/>
          <w:sz w:val="28"/>
          <w:szCs w:val="28"/>
          <w:highlight w:val="none"/>
        </w:rPr>
        <w:t>）</w:t>
      </w:r>
    </w:p>
    <w:p>
      <w:pPr>
        <w:spacing w:line="480" w:lineRule="auto"/>
        <w:jc w:val="center"/>
        <w:rPr>
          <w:color w:val="auto"/>
          <w:sz w:val="20"/>
          <w:szCs w:val="20"/>
          <w:highlight w:val="none"/>
        </w:rPr>
      </w:pPr>
      <w:r>
        <w:rPr>
          <w:rFonts w:hint="eastAsia"/>
          <w:b/>
          <w:color w:val="auto"/>
          <w:sz w:val="28"/>
          <w:szCs w:val="28"/>
          <w:highlight w:val="none"/>
        </w:rPr>
        <w:t>二〇二</w:t>
      </w:r>
      <w:r>
        <w:rPr>
          <w:rFonts w:hint="eastAsia"/>
          <w:b/>
          <w:color w:val="auto"/>
          <w:sz w:val="28"/>
          <w:szCs w:val="28"/>
          <w:highlight w:val="none"/>
          <w:lang w:val="en-US"/>
        </w:rPr>
        <w:t>二</w:t>
      </w:r>
      <w:r>
        <w:rPr>
          <w:rFonts w:hint="eastAsia"/>
          <w:b/>
          <w:color w:val="auto"/>
          <w:sz w:val="28"/>
          <w:szCs w:val="28"/>
          <w:highlight w:val="none"/>
        </w:rPr>
        <w:t>年</w:t>
      </w:r>
      <w:r>
        <w:rPr>
          <w:rFonts w:hint="eastAsia"/>
          <w:b/>
          <w:color w:val="auto"/>
          <w:sz w:val="28"/>
          <w:szCs w:val="28"/>
          <w:highlight w:val="none"/>
          <w:lang w:val="en-US"/>
        </w:rPr>
        <w:t>十</w:t>
      </w:r>
      <w:r>
        <w:rPr>
          <w:rFonts w:hint="eastAsia"/>
          <w:b/>
          <w:color w:val="auto"/>
          <w:sz w:val="28"/>
          <w:szCs w:val="28"/>
          <w:highlight w:val="none"/>
          <w:lang w:val="en-US" w:eastAsia="zh-CN"/>
        </w:rPr>
        <w:t>二</w:t>
      </w:r>
      <w:r>
        <w:rPr>
          <w:rFonts w:hint="eastAsia"/>
          <w:b/>
          <w:color w:val="auto"/>
          <w:sz w:val="28"/>
          <w:szCs w:val="28"/>
          <w:highlight w:val="none"/>
        </w:rPr>
        <w:t>月</w:t>
      </w:r>
    </w:p>
    <w:p>
      <w:pPr>
        <w:rPr>
          <w:rFonts w:hint="eastAsia"/>
          <w:color w:val="auto"/>
          <w:sz w:val="20"/>
          <w:szCs w:val="20"/>
          <w:highlight w:val="none"/>
        </w:rPr>
      </w:pPr>
      <w:r>
        <w:rPr>
          <w:rFonts w:hint="eastAsia"/>
          <w:color w:val="auto"/>
          <w:sz w:val="20"/>
          <w:szCs w:val="20"/>
          <w:highlight w:val="none"/>
        </w:rPr>
        <w:br w:type="page"/>
      </w:r>
    </w:p>
    <w:p>
      <w:pPr>
        <w:pStyle w:val="2"/>
      </w:pPr>
    </w:p>
    <w:p>
      <w:pPr>
        <w:pStyle w:val="2"/>
        <w:ind w:firstLine="400"/>
        <w:rPr>
          <w:color w:val="auto"/>
          <w:sz w:val="20"/>
          <w:szCs w:val="20"/>
          <w:highlight w:val="none"/>
        </w:rPr>
        <w:sectPr>
          <w:type w:val="continuous"/>
          <w:pgSz w:w="11910" w:h="16840"/>
          <w:pgMar w:top="1440" w:right="1080" w:bottom="1440" w:left="1080" w:header="850" w:footer="998" w:gutter="0"/>
          <w:cols w:space="720" w:num="1"/>
        </w:sectPr>
      </w:pPr>
    </w:p>
    <w:sdt>
      <w:sdtPr>
        <w:rPr>
          <w:b/>
          <w:bCs/>
          <w:color w:val="auto"/>
          <w:sz w:val="32"/>
          <w:szCs w:val="32"/>
          <w:highlight w:val="none"/>
        </w:rPr>
        <w:id w:val="147455001"/>
        <w15:color w:val="DBDBDB"/>
        <w:docPartObj>
          <w:docPartGallery w:val="Table of Contents"/>
          <w:docPartUnique/>
        </w:docPartObj>
      </w:sdtPr>
      <w:sdtEndPr>
        <w:rPr>
          <w:rFonts w:hint="eastAsia"/>
          <w:b/>
          <w:bCs/>
          <w:color w:val="auto"/>
          <w:sz w:val="36"/>
          <w:szCs w:val="28"/>
          <w:highlight w:val="none"/>
        </w:rPr>
      </w:sdtEndPr>
      <w:sdtContent>
        <w:p>
          <w:pPr>
            <w:jc w:val="center"/>
            <w:rPr>
              <w:b/>
              <w:bCs/>
              <w:color w:val="auto"/>
              <w:sz w:val="32"/>
              <w:szCs w:val="32"/>
              <w:highlight w:val="none"/>
            </w:rPr>
          </w:pPr>
          <w:r>
            <w:rPr>
              <w:b/>
              <w:bCs/>
              <w:color w:val="auto"/>
              <w:sz w:val="32"/>
              <w:szCs w:val="32"/>
              <w:highlight w:val="none"/>
            </w:rPr>
            <w:t>目录</w:t>
          </w:r>
        </w:p>
        <w:p>
          <w:pPr>
            <w:pStyle w:val="19"/>
            <w:tabs>
              <w:tab w:val="right" w:leader="dot" w:pos="9750"/>
            </w:tabs>
            <w:ind w:left="0"/>
            <w:jc w:val="both"/>
            <w:rPr>
              <w:color w:val="auto"/>
              <w:highlight w:val="none"/>
            </w:rPr>
          </w:pPr>
          <w:r>
            <w:rPr>
              <w:rFonts w:hint="eastAsia"/>
              <w:color w:val="auto"/>
              <w:sz w:val="28"/>
              <w:szCs w:val="28"/>
              <w:highlight w:val="none"/>
            </w:rPr>
            <w:fldChar w:fldCharType="begin"/>
          </w:r>
          <w:r>
            <w:rPr>
              <w:rFonts w:hint="eastAsia"/>
              <w:color w:val="auto"/>
              <w:sz w:val="28"/>
              <w:szCs w:val="28"/>
              <w:highlight w:val="none"/>
            </w:rPr>
            <w:instrText xml:space="preserve">TOC \o "1-3" \h \u </w:instrText>
          </w:r>
          <w:r>
            <w:rPr>
              <w:rFonts w:hint="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"_Toc18879" </w:instrText>
          </w:r>
          <w:r>
            <w:rPr>
              <w:color w:val="auto"/>
              <w:highlight w:val="none"/>
            </w:rPr>
            <w:fldChar w:fldCharType="separate"/>
          </w:r>
          <w:r>
            <w:rPr>
              <w:rFonts w:hint="eastAsia"/>
              <w:color w:val="auto"/>
              <w:highlight w:val="none"/>
            </w:rPr>
            <w:t>第一章</w:t>
          </w:r>
          <w:r>
            <w:rPr>
              <w:rFonts w:hint="eastAsia"/>
              <w:color w:val="auto"/>
              <w:highlight w:val="none"/>
              <w:lang w:val="en-US"/>
            </w:rPr>
            <w:t xml:space="preserve"> </w:t>
          </w:r>
          <w:r>
            <w:rPr>
              <w:rFonts w:hint="eastAsia"/>
              <w:color w:val="auto"/>
              <w:highlight w:val="none"/>
            </w:rPr>
            <w:t>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_Toc18879 \h </w:instrText>
          </w:r>
          <w:r>
            <w:rPr>
              <w:rFonts w:hint="eastAsia"/>
              <w:color w:val="auto"/>
              <w:highlight w:val="none"/>
            </w:rPr>
            <w:fldChar w:fldCharType="separate"/>
          </w:r>
          <w:r>
            <w:rPr>
              <w:rFonts w:hint="eastAsia"/>
              <w:color w:val="auto"/>
              <w:highlight w:val="none"/>
            </w:rPr>
            <w:t>- 1 -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"_Toc30131" </w:instrText>
          </w:r>
          <w:r>
            <w:rPr>
              <w:color w:val="auto"/>
              <w:highlight w:val="none"/>
            </w:rPr>
            <w:fldChar w:fldCharType="separate"/>
          </w:r>
          <w:r>
            <w:rPr>
              <w:rFonts w:hint="eastAsia"/>
              <w:color w:val="auto"/>
              <w:highlight w:val="none"/>
            </w:rPr>
            <w:t>第二章</w:t>
          </w:r>
          <w:r>
            <w:rPr>
              <w:rFonts w:hint="eastAsia"/>
              <w:color w:val="auto"/>
              <w:highlight w:val="none"/>
              <w:lang w:val="en-US"/>
            </w:rPr>
            <w:t xml:space="preserve"> </w:t>
          </w:r>
          <w:r>
            <w:rPr>
              <w:rFonts w:hint="eastAsia"/>
              <w:color w:val="auto"/>
              <w:highlight w:val="none"/>
            </w:rPr>
            <w:t>投标人须知前附表和投标人须知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_Toc30131 \h </w:instrText>
          </w:r>
          <w:r>
            <w:rPr>
              <w:rFonts w:hint="eastAsia"/>
              <w:color w:val="auto"/>
              <w:highlight w:val="none"/>
            </w:rPr>
            <w:fldChar w:fldCharType="separate"/>
          </w:r>
          <w:r>
            <w:rPr>
              <w:rFonts w:hint="eastAsia"/>
              <w:color w:val="auto"/>
              <w:highlight w:val="none"/>
            </w:rPr>
            <w:t>- 4 -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"_Toc10587" </w:instrText>
          </w:r>
          <w:r>
            <w:rPr>
              <w:color w:val="auto"/>
              <w:highlight w:val="none"/>
            </w:rPr>
            <w:fldChar w:fldCharType="separate"/>
          </w:r>
          <w:r>
            <w:rPr>
              <w:rFonts w:hint="eastAsia"/>
              <w:color w:val="auto"/>
              <w:highlight w:val="none"/>
            </w:rPr>
            <w:t>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_Toc10587 \h </w:instrText>
          </w:r>
          <w:r>
            <w:rPr>
              <w:rFonts w:hint="eastAsia"/>
              <w:color w:val="auto"/>
              <w:highlight w:val="none"/>
            </w:rPr>
            <w:fldChar w:fldCharType="separate"/>
          </w:r>
          <w:r>
            <w:rPr>
              <w:rFonts w:hint="eastAsia"/>
              <w:color w:val="auto"/>
              <w:highlight w:val="none"/>
            </w:rPr>
            <w:t>- 4 -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"_Toc16645" </w:instrText>
          </w:r>
          <w:r>
            <w:rPr>
              <w:color w:val="auto"/>
              <w:highlight w:val="none"/>
            </w:rPr>
            <w:fldChar w:fldCharType="separate"/>
          </w:r>
          <w:r>
            <w:rPr>
              <w:rFonts w:hint="eastAsia"/>
              <w:color w:val="auto"/>
              <w:highlight w:val="none"/>
            </w:rPr>
            <w:t>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_Toc16645 \h </w:instrText>
          </w:r>
          <w:r>
            <w:rPr>
              <w:rFonts w:hint="eastAsia"/>
              <w:color w:val="auto"/>
              <w:highlight w:val="none"/>
            </w:rPr>
            <w:fldChar w:fldCharType="separate"/>
          </w:r>
          <w:r>
            <w:rPr>
              <w:rFonts w:hint="eastAsia"/>
              <w:color w:val="auto"/>
              <w:highlight w:val="none"/>
            </w:rPr>
            <w:t>- 10 -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"_Toc5777" </w:instrText>
          </w:r>
          <w:r>
            <w:rPr>
              <w:color w:val="auto"/>
              <w:highlight w:val="none"/>
            </w:rPr>
            <w:fldChar w:fldCharType="separate"/>
          </w:r>
          <w:r>
            <w:rPr>
              <w:rFonts w:hint="eastAsia"/>
              <w:color w:val="auto"/>
              <w:highlight w:val="none"/>
            </w:rPr>
            <w:t>一、说 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_Toc5777 \h </w:instrText>
          </w:r>
          <w:r>
            <w:rPr>
              <w:rFonts w:hint="eastAsia"/>
              <w:color w:val="auto"/>
              <w:highlight w:val="none"/>
            </w:rPr>
            <w:fldChar w:fldCharType="separate"/>
          </w:r>
          <w:r>
            <w:rPr>
              <w:rFonts w:hint="eastAsia"/>
              <w:color w:val="auto"/>
              <w:highlight w:val="none"/>
            </w:rPr>
            <w:t>- 10 -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"_Toc25348" </w:instrText>
          </w:r>
          <w:r>
            <w:rPr>
              <w:color w:val="auto"/>
              <w:highlight w:val="none"/>
            </w:rPr>
            <w:fldChar w:fldCharType="separate"/>
          </w:r>
          <w:r>
            <w:rPr>
              <w:rFonts w:hint="eastAsia"/>
              <w:color w:val="auto"/>
              <w:highlight w:val="none"/>
            </w:rPr>
            <w:t>二、招标文件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_Toc25348 \h </w:instrText>
          </w:r>
          <w:r>
            <w:rPr>
              <w:rFonts w:hint="eastAsia"/>
              <w:color w:val="auto"/>
              <w:highlight w:val="none"/>
            </w:rPr>
            <w:fldChar w:fldCharType="separate"/>
          </w:r>
          <w:r>
            <w:rPr>
              <w:rFonts w:hint="eastAsia"/>
              <w:color w:val="auto"/>
              <w:highlight w:val="none"/>
            </w:rPr>
            <w:t>- 13 -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"_Toc28251" </w:instrText>
          </w:r>
          <w:r>
            <w:rPr>
              <w:color w:val="auto"/>
              <w:highlight w:val="none"/>
            </w:rPr>
            <w:fldChar w:fldCharType="separate"/>
          </w:r>
          <w:r>
            <w:rPr>
              <w:rFonts w:hint="eastAsia"/>
              <w:color w:val="auto"/>
              <w:highlight w:val="none"/>
            </w:rPr>
            <w:t>三、投标文件的编制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_Toc28251 \h </w:instrText>
          </w:r>
          <w:r>
            <w:rPr>
              <w:rFonts w:hint="eastAsia"/>
              <w:color w:val="auto"/>
              <w:highlight w:val="none"/>
            </w:rPr>
            <w:fldChar w:fldCharType="separate"/>
          </w:r>
          <w:r>
            <w:rPr>
              <w:rFonts w:hint="eastAsia"/>
              <w:color w:val="auto"/>
              <w:highlight w:val="none"/>
            </w:rPr>
            <w:t>- 15 -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"_Toc12916" </w:instrText>
          </w:r>
          <w:r>
            <w:rPr>
              <w:color w:val="auto"/>
              <w:highlight w:val="none"/>
            </w:rPr>
            <w:fldChar w:fldCharType="separate"/>
          </w:r>
          <w:r>
            <w:rPr>
              <w:rFonts w:hint="eastAsia"/>
              <w:color w:val="auto"/>
              <w:highlight w:val="none"/>
            </w:rPr>
            <w:t>四、投标文件的递交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_Toc12916 \h </w:instrText>
          </w:r>
          <w:r>
            <w:rPr>
              <w:rFonts w:hint="eastAsia"/>
              <w:color w:val="auto"/>
              <w:highlight w:val="none"/>
            </w:rPr>
            <w:fldChar w:fldCharType="separate"/>
          </w:r>
          <w:r>
            <w:rPr>
              <w:rFonts w:hint="eastAsia"/>
              <w:color w:val="auto"/>
              <w:highlight w:val="none"/>
            </w:rPr>
            <w:t>- 17 -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"_Toc19260" </w:instrText>
          </w:r>
          <w:r>
            <w:rPr>
              <w:color w:val="auto"/>
              <w:highlight w:val="none"/>
            </w:rPr>
            <w:fldChar w:fldCharType="separate"/>
          </w:r>
          <w:r>
            <w:rPr>
              <w:rFonts w:hint="eastAsia"/>
              <w:color w:val="auto"/>
              <w:highlight w:val="none"/>
            </w:rPr>
            <w:t>五、开标与评标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_Toc19260 \h </w:instrText>
          </w:r>
          <w:r>
            <w:rPr>
              <w:rFonts w:hint="eastAsia"/>
              <w:color w:val="auto"/>
              <w:highlight w:val="none"/>
            </w:rPr>
            <w:fldChar w:fldCharType="separate"/>
          </w:r>
          <w:r>
            <w:rPr>
              <w:rFonts w:hint="eastAsia"/>
              <w:color w:val="auto"/>
              <w:highlight w:val="none"/>
            </w:rPr>
            <w:t>- 18 -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"_Toc19292" </w:instrText>
          </w:r>
          <w:r>
            <w:rPr>
              <w:color w:val="auto"/>
              <w:highlight w:val="none"/>
            </w:rPr>
            <w:fldChar w:fldCharType="separate"/>
          </w:r>
          <w:r>
            <w:rPr>
              <w:rFonts w:hint="eastAsia"/>
              <w:color w:val="auto"/>
              <w:highlight w:val="none"/>
            </w:rPr>
            <w:t>六、授予合同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_Toc19292 \h </w:instrText>
          </w:r>
          <w:r>
            <w:rPr>
              <w:rFonts w:hint="eastAsia"/>
              <w:color w:val="auto"/>
              <w:highlight w:val="none"/>
            </w:rPr>
            <w:fldChar w:fldCharType="separate"/>
          </w:r>
          <w:r>
            <w:rPr>
              <w:rFonts w:hint="eastAsia"/>
              <w:color w:val="auto"/>
              <w:highlight w:val="none"/>
            </w:rPr>
            <w:t>- 29 -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"_Toc16003" </w:instrText>
          </w:r>
          <w:r>
            <w:rPr>
              <w:color w:val="auto"/>
              <w:highlight w:val="none"/>
            </w:rPr>
            <w:fldChar w:fldCharType="separate"/>
          </w:r>
          <w:r>
            <w:rPr>
              <w:rFonts w:hint="eastAsia"/>
              <w:color w:val="auto"/>
              <w:highlight w:val="none"/>
              <w:lang w:val="en-US"/>
            </w:rPr>
            <w:t>七、验收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_Toc16003 \h </w:instrText>
          </w:r>
          <w:r>
            <w:rPr>
              <w:rFonts w:hint="eastAsia"/>
              <w:color w:val="auto"/>
              <w:highlight w:val="none"/>
            </w:rPr>
            <w:fldChar w:fldCharType="separate"/>
          </w:r>
          <w:r>
            <w:rPr>
              <w:rFonts w:hint="eastAsia"/>
              <w:color w:val="auto"/>
              <w:highlight w:val="none"/>
            </w:rPr>
            <w:t>- 33 -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"_Toc20902" </w:instrText>
          </w:r>
          <w:r>
            <w:rPr>
              <w:color w:val="auto"/>
              <w:highlight w:val="none"/>
            </w:rPr>
            <w:fldChar w:fldCharType="separate"/>
          </w:r>
          <w:r>
            <w:rPr>
              <w:rFonts w:hint="eastAsia"/>
              <w:color w:val="auto"/>
              <w:highlight w:val="none"/>
              <w:lang w:val="en-US"/>
            </w:rPr>
            <w:t>八</w:t>
          </w:r>
          <w:r>
            <w:rPr>
              <w:rFonts w:hint="eastAsia"/>
              <w:color w:val="auto"/>
              <w:highlight w:val="none"/>
            </w:rPr>
            <w:t>、其他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_Toc20902 \h </w:instrText>
          </w:r>
          <w:r>
            <w:rPr>
              <w:rFonts w:hint="eastAsia"/>
              <w:color w:val="auto"/>
              <w:highlight w:val="none"/>
            </w:rPr>
            <w:fldChar w:fldCharType="separate"/>
          </w:r>
          <w:r>
            <w:rPr>
              <w:rFonts w:hint="eastAsia"/>
              <w:color w:val="auto"/>
              <w:highlight w:val="none"/>
            </w:rPr>
            <w:t>- 33 -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"_Toc15591" </w:instrText>
          </w:r>
          <w:r>
            <w:rPr>
              <w:color w:val="auto"/>
              <w:highlight w:val="none"/>
            </w:rPr>
            <w:fldChar w:fldCharType="separate"/>
          </w:r>
          <w:r>
            <w:rPr>
              <w:rFonts w:hint="eastAsia"/>
              <w:color w:val="auto"/>
              <w:highlight w:val="none"/>
            </w:rPr>
            <w:t>第</w:t>
          </w:r>
          <w:r>
            <w:rPr>
              <w:rFonts w:hint="eastAsia"/>
              <w:color w:val="auto"/>
              <w:highlight w:val="none"/>
              <w:lang w:val="en-US"/>
            </w:rPr>
            <w:t>三</w:t>
          </w:r>
          <w:r>
            <w:rPr>
              <w:rFonts w:hint="eastAsia"/>
              <w:color w:val="auto"/>
              <w:highlight w:val="none"/>
            </w:rPr>
            <w:t>章</w:t>
          </w:r>
          <w:r>
            <w:rPr>
              <w:rFonts w:hint="eastAsia"/>
              <w:color w:val="auto"/>
              <w:highlight w:val="none"/>
              <w:lang w:val="en-US"/>
            </w:rPr>
            <w:t xml:space="preserve">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_Toc15591 \h </w:instrText>
          </w:r>
          <w:r>
            <w:rPr>
              <w:rFonts w:hint="eastAsia"/>
              <w:color w:val="auto"/>
              <w:highlight w:val="none"/>
            </w:rPr>
            <w:fldChar w:fldCharType="separate"/>
          </w:r>
          <w:r>
            <w:rPr>
              <w:rFonts w:hint="eastAsia"/>
              <w:color w:val="auto"/>
              <w:highlight w:val="none"/>
            </w:rPr>
            <w:t>- 35 -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"_Toc3546" </w:instrText>
          </w:r>
          <w:r>
            <w:rPr>
              <w:color w:val="auto"/>
              <w:highlight w:val="none"/>
            </w:rPr>
            <w:fldChar w:fldCharType="separate"/>
          </w:r>
          <w:r>
            <w:rPr>
              <w:rFonts w:hint="eastAsia"/>
              <w:color w:val="auto"/>
              <w:highlight w:val="none"/>
            </w:rPr>
            <w:t>第</w:t>
          </w:r>
          <w:r>
            <w:rPr>
              <w:rFonts w:hint="eastAsia"/>
              <w:color w:val="auto"/>
              <w:highlight w:val="none"/>
              <w:lang w:val="en-US"/>
            </w:rPr>
            <w:t>四</w:t>
          </w:r>
          <w:r>
            <w:rPr>
              <w:rFonts w:hint="eastAsia"/>
              <w:color w:val="auto"/>
              <w:highlight w:val="none"/>
            </w:rPr>
            <w:t>章</w:t>
          </w:r>
          <w:r>
            <w:rPr>
              <w:rFonts w:hint="eastAsia"/>
              <w:color w:val="auto"/>
              <w:highlight w:val="none"/>
              <w:lang w:val="en-US"/>
            </w:rPr>
            <w:t xml:space="preserve"> </w:t>
          </w:r>
          <w:r>
            <w:rPr>
              <w:rFonts w:hint="eastAsia"/>
              <w:color w:val="auto"/>
              <w:highlight w:val="none"/>
            </w:rPr>
            <w:t>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_Toc3546 \h </w:instrText>
          </w:r>
          <w:r>
            <w:rPr>
              <w:rFonts w:hint="eastAsia"/>
              <w:color w:val="auto"/>
              <w:highlight w:val="none"/>
            </w:rPr>
            <w:fldChar w:fldCharType="separate"/>
          </w:r>
          <w:r>
            <w:rPr>
              <w:rFonts w:hint="eastAsia"/>
              <w:color w:val="auto"/>
              <w:highlight w:val="none"/>
            </w:rPr>
            <w:t>- 41 -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"_Toc8398" </w:instrText>
          </w:r>
          <w:r>
            <w:rPr>
              <w:color w:val="auto"/>
              <w:highlight w:val="none"/>
            </w:rPr>
            <w:fldChar w:fldCharType="separate"/>
          </w:r>
          <w:r>
            <w:rPr>
              <w:rFonts w:hint="eastAsia"/>
              <w:color w:val="auto"/>
              <w:highlight w:val="none"/>
            </w:rPr>
            <w:t>一、评标方法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_Toc8398 \h </w:instrText>
          </w:r>
          <w:r>
            <w:rPr>
              <w:rFonts w:hint="eastAsia"/>
              <w:color w:val="auto"/>
              <w:highlight w:val="none"/>
            </w:rPr>
            <w:fldChar w:fldCharType="separate"/>
          </w:r>
          <w:r>
            <w:rPr>
              <w:rFonts w:hint="eastAsia"/>
              <w:color w:val="auto"/>
              <w:highlight w:val="none"/>
            </w:rPr>
            <w:t>- 41 -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"_Toc23742" </w:instrText>
          </w:r>
          <w:r>
            <w:rPr>
              <w:color w:val="auto"/>
              <w:highlight w:val="none"/>
            </w:rPr>
            <w:fldChar w:fldCharType="separate"/>
          </w:r>
          <w:r>
            <w:rPr>
              <w:rFonts w:hint="eastAsia"/>
              <w:color w:val="auto"/>
              <w:highlight w:val="none"/>
            </w:rPr>
            <w:t>二、评标程序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_Toc23742 \h </w:instrText>
          </w:r>
          <w:r>
            <w:rPr>
              <w:rFonts w:hint="eastAsia"/>
              <w:color w:val="auto"/>
              <w:highlight w:val="none"/>
            </w:rPr>
            <w:fldChar w:fldCharType="separate"/>
          </w:r>
          <w:r>
            <w:rPr>
              <w:rFonts w:hint="eastAsia"/>
              <w:color w:val="auto"/>
              <w:highlight w:val="none"/>
            </w:rPr>
            <w:t>- 42 -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"_Toc30712" </w:instrText>
          </w:r>
          <w:r>
            <w:rPr>
              <w:color w:val="auto"/>
              <w:highlight w:val="none"/>
            </w:rPr>
            <w:fldChar w:fldCharType="separate"/>
          </w:r>
          <w:r>
            <w:rPr>
              <w:rFonts w:hint="eastAsia"/>
              <w:color w:val="auto"/>
              <w:highlight w:val="none"/>
              <w:lang w:val="en-US"/>
            </w:rPr>
            <w:t>三</w:t>
          </w:r>
          <w:r>
            <w:rPr>
              <w:rFonts w:hint="eastAsia"/>
              <w:color w:val="auto"/>
              <w:highlight w:val="none"/>
            </w:rPr>
            <w:t>、评标中的落实政府采购政策具体办法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_Toc30712 \h </w:instrText>
          </w:r>
          <w:r>
            <w:rPr>
              <w:rFonts w:hint="eastAsia"/>
              <w:color w:val="auto"/>
              <w:highlight w:val="none"/>
            </w:rPr>
            <w:fldChar w:fldCharType="separate"/>
          </w:r>
          <w:r>
            <w:rPr>
              <w:rFonts w:hint="eastAsia"/>
              <w:color w:val="auto"/>
              <w:highlight w:val="none"/>
            </w:rPr>
            <w:t>- 46 -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"_Toc28891" </w:instrText>
          </w:r>
          <w:r>
            <w:rPr>
              <w:color w:val="auto"/>
              <w:highlight w:val="none"/>
            </w:rPr>
            <w:fldChar w:fldCharType="separate"/>
          </w:r>
          <w:r>
            <w:rPr>
              <w:rFonts w:hint="eastAsia"/>
              <w:color w:val="auto"/>
              <w:highlight w:val="none"/>
              <w:lang w:val="en-US"/>
            </w:rPr>
            <w:t>四、评标标准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_Toc28891 \h </w:instrText>
          </w:r>
          <w:r>
            <w:rPr>
              <w:rFonts w:hint="eastAsia"/>
              <w:color w:val="auto"/>
              <w:highlight w:val="none"/>
            </w:rPr>
            <w:fldChar w:fldCharType="separate"/>
          </w:r>
          <w:r>
            <w:rPr>
              <w:rFonts w:hint="eastAsia"/>
              <w:color w:val="auto"/>
              <w:highlight w:val="none"/>
            </w:rPr>
            <w:t>- 49 -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"_Toc16237" </w:instrText>
          </w:r>
          <w:r>
            <w:rPr>
              <w:color w:val="auto"/>
              <w:highlight w:val="none"/>
            </w:rPr>
            <w:fldChar w:fldCharType="separate"/>
          </w:r>
          <w:r>
            <w:rPr>
              <w:rFonts w:hint="eastAsia"/>
              <w:color w:val="auto"/>
              <w:highlight w:val="none"/>
            </w:rPr>
            <w:t>第五章</w:t>
          </w:r>
          <w:r>
            <w:rPr>
              <w:rFonts w:hint="eastAsia"/>
              <w:color w:val="auto"/>
              <w:highlight w:val="none"/>
              <w:lang w:val="en-US"/>
            </w:rPr>
            <w:t xml:space="preserve"> </w:t>
          </w:r>
          <w:r>
            <w:rPr>
              <w:rFonts w:hint="eastAsia"/>
              <w:color w:val="auto"/>
              <w:highlight w:val="none"/>
            </w:rPr>
            <w:t>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_Toc16237 \h </w:instrText>
          </w:r>
          <w:r>
            <w:rPr>
              <w:rFonts w:hint="eastAsia"/>
              <w:color w:val="auto"/>
              <w:highlight w:val="none"/>
            </w:rPr>
            <w:fldChar w:fldCharType="separate"/>
          </w:r>
          <w:r>
            <w:rPr>
              <w:rFonts w:hint="eastAsia"/>
              <w:color w:val="auto"/>
              <w:highlight w:val="none"/>
            </w:rPr>
            <w:t>- 52 -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"_Toc7476" </w:instrText>
          </w:r>
          <w:r>
            <w:rPr>
              <w:color w:val="auto"/>
              <w:highlight w:val="none"/>
            </w:rPr>
            <w:fldChar w:fldCharType="separate"/>
          </w:r>
          <w:r>
            <w:rPr>
              <w:rFonts w:hint="eastAsia"/>
              <w:color w:val="auto"/>
              <w:highlight w:val="none"/>
            </w:rPr>
            <w:t>第六章</w:t>
          </w:r>
          <w:r>
            <w:rPr>
              <w:rFonts w:hint="eastAsia"/>
              <w:color w:val="auto"/>
              <w:highlight w:val="none"/>
              <w:lang w:val="en-US"/>
            </w:rPr>
            <w:t xml:space="preserve"> </w:t>
          </w:r>
          <w:r>
            <w:rPr>
              <w:rFonts w:hint="eastAsia"/>
              <w:color w:val="auto"/>
              <w:highlight w:val="none"/>
            </w:rPr>
            <w:t>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_Toc7476 \h </w:instrText>
          </w:r>
          <w:r>
            <w:rPr>
              <w:rFonts w:hint="eastAsia"/>
              <w:color w:val="auto"/>
              <w:highlight w:val="none"/>
            </w:rPr>
            <w:fldChar w:fldCharType="separate"/>
          </w:r>
          <w:r>
            <w:rPr>
              <w:rFonts w:hint="eastAsia"/>
              <w:color w:val="auto"/>
              <w:highlight w:val="none"/>
            </w:rPr>
            <w:t>- 57 -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"_Toc2007" </w:instrText>
          </w:r>
          <w:r>
            <w:rPr>
              <w:color w:val="auto"/>
              <w:highlight w:val="none"/>
            </w:rPr>
            <w:fldChar w:fldCharType="separate"/>
          </w:r>
          <w:r>
            <w:rPr>
              <w:rFonts w:hint="eastAsia"/>
              <w:color w:val="auto"/>
              <w:highlight w:val="none"/>
              <w:lang w:val="en-US"/>
            </w:rPr>
            <w:t>投标</w:t>
          </w:r>
          <w:r>
            <w:rPr>
              <w:rFonts w:hint="eastAsia"/>
              <w:color w:val="auto"/>
              <w:highlight w:val="none"/>
            </w:rPr>
            <w:t>文件封面建议格式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_Toc2007 \h </w:instrText>
          </w:r>
          <w:r>
            <w:rPr>
              <w:rFonts w:hint="eastAsia"/>
              <w:color w:val="auto"/>
              <w:highlight w:val="none"/>
            </w:rPr>
            <w:fldChar w:fldCharType="separate"/>
          </w:r>
          <w:r>
            <w:rPr>
              <w:rFonts w:hint="eastAsia"/>
              <w:color w:val="auto"/>
              <w:highlight w:val="none"/>
            </w:rPr>
            <w:t>- 58 -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"_Toc23222" </w:instrText>
          </w:r>
          <w:r>
            <w:rPr>
              <w:color w:val="auto"/>
              <w:highlight w:val="none"/>
            </w:rPr>
            <w:fldChar w:fldCharType="separate"/>
          </w:r>
          <w:r>
            <w:rPr>
              <w:rFonts w:hint="eastAsia"/>
              <w:bCs/>
              <w:color w:val="auto"/>
              <w:highlight w:val="none"/>
            </w:rPr>
            <w:t>第</w:t>
          </w:r>
          <w:r>
            <w:rPr>
              <w:rFonts w:hint="eastAsia"/>
              <w:bCs/>
              <w:color w:val="auto"/>
              <w:highlight w:val="none"/>
              <w:lang w:val="en-US"/>
            </w:rPr>
            <w:t>一</w:t>
          </w:r>
          <w:r>
            <w:rPr>
              <w:rFonts w:hint="eastAsia"/>
              <w:bCs/>
              <w:color w:val="auto"/>
              <w:highlight w:val="none"/>
            </w:rPr>
            <w:t>节 商务</w:t>
          </w:r>
          <w:r>
            <w:rPr>
              <w:rFonts w:hint="eastAsia"/>
              <w:bCs/>
              <w:color w:val="auto"/>
              <w:highlight w:val="none"/>
              <w:lang w:val="en-US"/>
            </w:rPr>
            <w:t>技术</w:t>
          </w:r>
          <w:r>
            <w:rPr>
              <w:rFonts w:hint="eastAsia"/>
              <w:bCs/>
              <w:color w:val="auto"/>
              <w:highlight w:val="none"/>
            </w:rPr>
            <w:t>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_Toc23222 \h </w:instrText>
          </w:r>
          <w:r>
            <w:rPr>
              <w:rFonts w:hint="eastAsia"/>
              <w:color w:val="auto"/>
              <w:highlight w:val="none"/>
            </w:rPr>
            <w:fldChar w:fldCharType="separate"/>
          </w:r>
          <w:r>
            <w:rPr>
              <w:rFonts w:hint="eastAsia"/>
              <w:color w:val="auto"/>
              <w:highlight w:val="none"/>
            </w:rPr>
            <w:t>- 60 -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"_Toc3506" </w:instrText>
          </w:r>
          <w:r>
            <w:rPr>
              <w:color w:val="auto"/>
              <w:highlight w:val="none"/>
            </w:rPr>
            <w:fldChar w:fldCharType="separate"/>
          </w:r>
          <w:r>
            <w:rPr>
              <w:rFonts w:hint="eastAsia"/>
              <w:color w:val="auto"/>
              <w:highlight w:val="none"/>
            </w:rPr>
            <w:t>附件 1 投标函格式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_Toc3506 \h </w:instrText>
          </w:r>
          <w:r>
            <w:rPr>
              <w:rFonts w:hint="eastAsia"/>
              <w:color w:val="auto"/>
              <w:highlight w:val="none"/>
            </w:rPr>
            <w:fldChar w:fldCharType="separate"/>
          </w:r>
          <w:r>
            <w:rPr>
              <w:rFonts w:hint="eastAsia"/>
              <w:color w:val="auto"/>
              <w:highlight w:val="none"/>
            </w:rPr>
            <w:t>- 60 -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"_Toc1577"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2</w:t>
          </w:r>
          <w:r>
            <w:rPr>
              <w:rFonts w:hint="eastAsia"/>
              <w:color w:val="auto"/>
              <w:highlight w:val="none"/>
            </w:rPr>
            <w:t xml:space="preserve"> 技术服务需求偏离表格式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_Toc1577 \h </w:instrText>
          </w:r>
          <w:r>
            <w:rPr>
              <w:rFonts w:hint="eastAsia"/>
              <w:color w:val="auto"/>
              <w:highlight w:val="none"/>
            </w:rPr>
            <w:fldChar w:fldCharType="separate"/>
          </w:r>
          <w:r>
            <w:rPr>
              <w:rFonts w:hint="eastAsia"/>
              <w:color w:val="auto"/>
              <w:highlight w:val="none"/>
            </w:rPr>
            <w:t>- 62 -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"_Toc27637"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3</w:t>
          </w:r>
          <w:r>
            <w:rPr>
              <w:rFonts w:hint="eastAsia"/>
              <w:color w:val="auto"/>
              <w:highlight w:val="none"/>
            </w:rPr>
            <w:t xml:space="preserve"> 商务条款偏离表格式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_Toc27637 \h </w:instrText>
          </w:r>
          <w:r>
            <w:rPr>
              <w:rFonts w:hint="eastAsia"/>
              <w:color w:val="auto"/>
              <w:highlight w:val="none"/>
            </w:rPr>
            <w:fldChar w:fldCharType="separate"/>
          </w:r>
          <w:r>
            <w:rPr>
              <w:rFonts w:hint="eastAsia"/>
              <w:color w:val="auto"/>
              <w:highlight w:val="none"/>
            </w:rPr>
            <w:t>- 63 -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"_Toc682"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4</w:t>
          </w:r>
          <w:r>
            <w:rPr>
              <w:rFonts w:hint="eastAsia"/>
              <w:color w:val="auto"/>
              <w:highlight w:val="none"/>
            </w:rPr>
            <w:t xml:space="preserve"> 法定代表人授权书格式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_Toc682 \h </w:instrText>
          </w:r>
          <w:r>
            <w:rPr>
              <w:rFonts w:hint="eastAsia"/>
              <w:color w:val="auto"/>
              <w:highlight w:val="none"/>
            </w:rPr>
            <w:fldChar w:fldCharType="separate"/>
          </w:r>
          <w:r>
            <w:rPr>
              <w:rFonts w:hint="eastAsia"/>
              <w:color w:val="auto"/>
              <w:highlight w:val="none"/>
            </w:rPr>
            <w:t>- 64 -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"_Toc1324"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5</w:t>
          </w:r>
          <w:r>
            <w:rPr>
              <w:rFonts w:hint="eastAsia"/>
              <w:color w:val="auto"/>
              <w:highlight w:val="none"/>
            </w:rPr>
            <w:t xml:space="preserve"> 投标保证金承诺函格式</w:t>
          </w:r>
          <w:r>
            <w:rPr>
              <w:rFonts w:hint="eastAsia"/>
              <w:color w:val="auto"/>
              <w:highlight w:val="none"/>
              <w:lang w:val="en-US"/>
            </w:rPr>
            <w:t>和退还保证金说明函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_Toc1324 \h </w:instrText>
          </w:r>
          <w:r>
            <w:rPr>
              <w:rFonts w:hint="eastAsia"/>
              <w:color w:val="auto"/>
              <w:highlight w:val="none"/>
            </w:rPr>
            <w:fldChar w:fldCharType="separate"/>
          </w:r>
          <w:r>
            <w:rPr>
              <w:rFonts w:hint="eastAsia"/>
              <w:color w:val="auto"/>
              <w:highlight w:val="none"/>
            </w:rPr>
            <w:t>- 65 -</w:t>
          </w:r>
          <w:r>
            <w:rPr>
              <w:rFonts w:hint="eastAsia"/>
              <w:color w:val="auto"/>
              <w:highlight w:val="none"/>
            </w:rPr>
            <w:fldChar w:fldCharType="end"/>
          </w:r>
          <w:r>
            <w:rPr>
              <w:rFonts w:hint="eastAsia"/>
              <w:color w:val="auto"/>
              <w:highlight w:val="none"/>
            </w:rPr>
            <w:fldChar w:fldCharType="end"/>
          </w:r>
        </w:p>
        <w:p>
          <w:pPr>
            <w:pStyle w:val="19"/>
            <w:tabs>
              <w:tab w:val="right" w:pos="3600"/>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"_Toc3319"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 xml:space="preserve">6 </w:t>
          </w:r>
          <w:r>
            <w:rPr>
              <w:rFonts w:hint="eastAsia"/>
              <w:color w:val="auto"/>
              <w:highlight w:val="none"/>
            </w:rPr>
            <w:t>代理服务费承诺函格式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_Toc3319 \h </w:instrText>
          </w:r>
          <w:r>
            <w:rPr>
              <w:rFonts w:hint="eastAsia"/>
              <w:color w:val="auto"/>
              <w:highlight w:val="none"/>
            </w:rPr>
            <w:fldChar w:fldCharType="separate"/>
          </w:r>
          <w:r>
            <w:rPr>
              <w:rFonts w:hint="eastAsia"/>
              <w:color w:val="auto"/>
              <w:highlight w:val="none"/>
            </w:rPr>
            <w:t>- 67 -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"_Toc24078"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7</w:t>
          </w:r>
          <w:r>
            <w:rPr>
              <w:rFonts w:hint="eastAsia"/>
              <w:color w:val="auto"/>
              <w:highlight w:val="none"/>
            </w:rPr>
            <w:t xml:space="preserve"> 投标人情况表建议格式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_Toc24078 \h </w:instrText>
          </w:r>
          <w:r>
            <w:rPr>
              <w:rFonts w:hint="eastAsia"/>
              <w:color w:val="auto"/>
              <w:highlight w:val="none"/>
            </w:rPr>
            <w:fldChar w:fldCharType="separate"/>
          </w:r>
          <w:r>
            <w:rPr>
              <w:rFonts w:hint="eastAsia"/>
              <w:color w:val="auto"/>
              <w:highlight w:val="none"/>
            </w:rPr>
            <w:t>- 69 -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"_Toc11796"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8</w:t>
          </w:r>
          <w:r>
            <w:rPr>
              <w:rFonts w:hint="eastAsia"/>
              <w:color w:val="auto"/>
              <w:highlight w:val="none"/>
            </w:rPr>
            <w:t xml:space="preserve"> 详细的技术服务响应</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_Toc11796 \h </w:instrText>
          </w:r>
          <w:r>
            <w:rPr>
              <w:rFonts w:hint="eastAsia"/>
              <w:color w:val="auto"/>
              <w:highlight w:val="none"/>
            </w:rPr>
            <w:fldChar w:fldCharType="separate"/>
          </w:r>
          <w:r>
            <w:rPr>
              <w:rFonts w:hint="eastAsia"/>
              <w:color w:val="auto"/>
              <w:highlight w:val="none"/>
            </w:rPr>
            <w:t>- 70 -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"_Toc15892"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9</w:t>
          </w:r>
          <w:r>
            <w:rPr>
              <w:rFonts w:hint="eastAsia"/>
              <w:color w:val="auto"/>
              <w:highlight w:val="none"/>
            </w:rPr>
            <w:t xml:space="preserve"> 其他商务技术文件材料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_Toc15892 \h </w:instrText>
          </w:r>
          <w:r>
            <w:rPr>
              <w:rFonts w:hint="eastAsia"/>
              <w:color w:val="auto"/>
              <w:highlight w:val="none"/>
            </w:rPr>
            <w:fldChar w:fldCharType="separate"/>
          </w:r>
          <w:r>
            <w:rPr>
              <w:rFonts w:hint="eastAsia"/>
              <w:color w:val="auto"/>
              <w:highlight w:val="none"/>
            </w:rPr>
            <w:t>- 73 -</w:t>
          </w:r>
          <w:r>
            <w:rPr>
              <w:rFonts w:hint="eastAsia"/>
              <w:color w:val="auto"/>
              <w:highlight w:val="none"/>
            </w:rPr>
            <w:fldChar w:fldCharType="end"/>
          </w:r>
          <w:r>
            <w:rPr>
              <w:rFonts w:hint="eastAsia"/>
              <w:color w:val="auto"/>
              <w:highlight w:val="none"/>
            </w:rPr>
            <w:fldChar w:fldCharType="end"/>
          </w:r>
        </w:p>
        <w:p>
          <w:pPr>
            <w:pStyle w:val="25"/>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"_Toc28685" </w:instrText>
          </w:r>
          <w:r>
            <w:rPr>
              <w:color w:val="auto"/>
              <w:highlight w:val="none"/>
            </w:rPr>
            <w:fldChar w:fldCharType="separate"/>
          </w:r>
          <w:r>
            <w:rPr>
              <w:rFonts w:hint="eastAsia"/>
              <w:bCs/>
              <w:color w:val="auto"/>
              <w:highlight w:val="none"/>
            </w:rPr>
            <w:t>第</w:t>
          </w:r>
          <w:r>
            <w:rPr>
              <w:rFonts w:hint="eastAsia"/>
              <w:bCs/>
              <w:color w:val="auto"/>
              <w:highlight w:val="none"/>
              <w:lang w:val="en-US"/>
            </w:rPr>
            <w:t>二</w:t>
          </w:r>
          <w:r>
            <w:rPr>
              <w:rFonts w:hint="eastAsia"/>
              <w:bCs/>
              <w:color w:val="auto"/>
              <w:highlight w:val="none"/>
            </w:rPr>
            <w:t>节 报价文件格式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_Toc28685 \h </w:instrText>
          </w:r>
          <w:r>
            <w:rPr>
              <w:rFonts w:hint="eastAsia"/>
              <w:color w:val="auto"/>
              <w:highlight w:val="none"/>
            </w:rPr>
            <w:fldChar w:fldCharType="separate"/>
          </w:r>
          <w:r>
            <w:rPr>
              <w:rFonts w:hint="eastAsia"/>
              <w:color w:val="auto"/>
              <w:highlight w:val="none"/>
            </w:rPr>
            <w:t>- 74 -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"_Toc19883"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1</w:t>
          </w:r>
          <w:r>
            <w:rPr>
              <w:rFonts w:hint="eastAsia"/>
              <w:color w:val="auto"/>
              <w:highlight w:val="none"/>
            </w:rPr>
            <w:t xml:space="preserve"> 开标一览表格式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_Toc19883 \h </w:instrText>
          </w:r>
          <w:r>
            <w:rPr>
              <w:rFonts w:hint="eastAsia"/>
              <w:color w:val="auto"/>
              <w:highlight w:val="none"/>
            </w:rPr>
            <w:fldChar w:fldCharType="separate"/>
          </w:r>
          <w:r>
            <w:rPr>
              <w:rFonts w:hint="eastAsia"/>
              <w:color w:val="auto"/>
              <w:highlight w:val="none"/>
            </w:rPr>
            <w:t>- 74 -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"_Toc19941"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2</w:t>
          </w:r>
          <w:r>
            <w:rPr>
              <w:rFonts w:hint="eastAsia"/>
              <w:color w:val="auto"/>
              <w:highlight w:val="none"/>
            </w:rPr>
            <w:t xml:space="preserve"> 投标分项报价表格式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_Toc19941 \h </w:instrText>
          </w:r>
          <w:r>
            <w:rPr>
              <w:rFonts w:hint="eastAsia"/>
              <w:color w:val="auto"/>
              <w:highlight w:val="none"/>
            </w:rPr>
            <w:fldChar w:fldCharType="separate"/>
          </w:r>
          <w:r>
            <w:rPr>
              <w:rFonts w:hint="eastAsia"/>
              <w:color w:val="auto"/>
              <w:highlight w:val="none"/>
            </w:rPr>
            <w:t>- 75 -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"_Toc26343" </w:instrText>
          </w:r>
          <w:r>
            <w:rPr>
              <w:color w:val="auto"/>
              <w:highlight w:val="none"/>
            </w:rPr>
            <w:fldChar w:fldCharType="separate"/>
          </w:r>
          <w:r>
            <w:rPr>
              <w:rFonts w:hint="eastAsia"/>
              <w:bCs/>
              <w:color w:val="auto"/>
              <w:highlight w:val="none"/>
            </w:rPr>
            <w:t>第</w:t>
          </w:r>
          <w:r>
            <w:rPr>
              <w:rFonts w:hint="eastAsia"/>
              <w:bCs/>
              <w:color w:val="auto"/>
              <w:highlight w:val="none"/>
              <w:lang w:val="en-US"/>
            </w:rPr>
            <w:t>三</w:t>
          </w:r>
          <w:r>
            <w:rPr>
              <w:rFonts w:hint="eastAsia"/>
              <w:bCs/>
              <w:color w:val="auto"/>
              <w:highlight w:val="none"/>
            </w:rPr>
            <w:t xml:space="preserve">节 </w:t>
          </w:r>
          <w:r>
            <w:rPr>
              <w:rFonts w:hint="eastAsia"/>
              <w:bCs/>
              <w:color w:val="auto"/>
              <w:highlight w:val="none"/>
              <w:lang w:val="en-US"/>
            </w:rPr>
            <w:t>政府采购政策的证明文件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_Toc26343 \h </w:instrText>
          </w:r>
          <w:r>
            <w:rPr>
              <w:rFonts w:hint="eastAsia"/>
              <w:color w:val="auto"/>
              <w:highlight w:val="none"/>
            </w:rPr>
            <w:fldChar w:fldCharType="separate"/>
          </w:r>
          <w:r>
            <w:rPr>
              <w:rFonts w:hint="eastAsia"/>
              <w:color w:val="auto"/>
              <w:highlight w:val="none"/>
            </w:rPr>
            <w:t>- 76 -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"_Toc24570" </w:instrText>
          </w:r>
          <w:r>
            <w:rPr>
              <w:color w:val="auto"/>
              <w:highlight w:val="none"/>
            </w:rPr>
            <w:fldChar w:fldCharType="separate"/>
          </w:r>
          <w:r>
            <w:rPr>
              <w:rFonts w:hint="eastAsia"/>
              <w:color w:val="auto"/>
              <w:highlight w:val="none"/>
              <w:lang w:val="en-US"/>
            </w:rPr>
            <w:t>附件 1 中小企业声明函（货物）</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_Toc24570 \h </w:instrText>
          </w:r>
          <w:r>
            <w:rPr>
              <w:rFonts w:hint="eastAsia"/>
              <w:color w:val="auto"/>
              <w:highlight w:val="none"/>
            </w:rPr>
            <w:fldChar w:fldCharType="separate"/>
          </w:r>
          <w:r>
            <w:rPr>
              <w:rFonts w:hint="eastAsia"/>
              <w:color w:val="auto"/>
              <w:highlight w:val="none"/>
            </w:rPr>
            <w:t>- 76 -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"_Toc13546" </w:instrText>
          </w:r>
          <w:r>
            <w:rPr>
              <w:color w:val="auto"/>
              <w:highlight w:val="none"/>
            </w:rPr>
            <w:fldChar w:fldCharType="separate"/>
          </w:r>
          <w:r>
            <w:rPr>
              <w:rFonts w:hint="eastAsia"/>
              <w:color w:val="auto"/>
              <w:highlight w:val="none"/>
              <w:lang w:val="en-US"/>
            </w:rPr>
            <w:t>附件 2 残疾人福利性单位声明函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_Toc13546 \h </w:instrText>
          </w:r>
          <w:r>
            <w:rPr>
              <w:rFonts w:hint="eastAsia"/>
              <w:color w:val="auto"/>
              <w:highlight w:val="none"/>
            </w:rPr>
            <w:fldChar w:fldCharType="separate"/>
          </w:r>
          <w:r>
            <w:rPr>
              <w:rFonts w:hint="eastAsia"/>
              <w:color w:val="auto"/>
              <w:highlight w:val="none"/>
            </w:rPr>
            <w:t>- 77 -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"_Toc4180" </w:instrText>
          </w:r>
          <w:r>
            <w:rPr>
              <w:color w:val="auto"/>
              <w:highlight w:val="none"/>
            </w:rPr>
            <w:fldChar w:fldCharType="separate"/>
          </w:r>
          <w:r>
            <w:rPr>
              <w:rFonts w:hint="eastAsia"/>
              <w:color w:val="auto"/>
              <w:highlight w:val="none"/>
              <w:lang w:val="en-US"/>
            </w:rPr>
            <w:t>附件 3 监狱企业证明材料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_Toc4180 \h </w:instrText>
          </w:r>
          <w:r>
            <w:rPr>
              <w:rFonts w:hint="eastAsia"/>
              <w:color w:val="auto"/>
              <w:highlight w:val="none"/>
            </w:rPr>
            <w:fldChar w:fldCharType="separate"/>
          </w:r>
          <w:r>
            <w:rPr>
              <w:rFonts w:hint="eastAsia"/>
              <w:color w:val="auto"/>
              <w:highlight w:val="none"/>
            </w:rPr>
            <w:t>- 78 -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"_Toc24405" </w:instrText>
          </w:r>
          <w:r>
            <w:rPr>
              <w:color w:val="auto"/>
              <w:highlight w:val="none"/>
            </w:rPr>
            <w:fldChar w:fldCharType="separate"/>
          </w:r>
          <w:r>
            <w:rPr>
              <w:rFonts w:hint="eastAsia"/>
              <w:color w:val="auto"/>
              <w:highlight w:val="none"/>
              <w:lang w:val="en-US"/>
            </w:rPr>
            <w:t>附件 4 节能、环境标志产品证明材料（符合填写）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_Toc24405 \h </w:instrText>
          </w:r>
          <w:r>
            <w:rPr>
              <w:rFonts w:hint="eastAsia"/>
              <w:color w:val="auto"/>
              <w:highlight w:val="none"/>
            </w:rPr>
            <w:fldChar w:fldCharType="separate"/>
          </w:r>
          <w:r>
            <w:rPr>
              <w:rFonts w:hint="eastAsia"/>
              <w:color w:val="auto"/>
              <w:highlight w:val="none"/>
            </w:rPr>
            <w:t>- 79 -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"_Toc16071" </w:instrText>
          </w:r>
          <w:r>
            <w:rPr>
              <w:color w:val="auto"/>
              <w:highlight w:val="none"/>
            </w:rPr>
            <w:fldChar w:fldCharType="separate"/>
          </w:r>
          <w:r>
            <w:rPr>
              <w:rFonts w:hint="eastAsia"/>
              <w:bCs/>
              <w:color w:val="auto"/>
              <w:highlight w:val="none"/>
            </w:rPr>
            <w:t>第</w:t>
          </w:r>
          <w:r>
            <w:rPr>
              <w:rFonts w:hint="eastAsia"/>
              <w:bCs/>
              <w:color w:val="auto"/>
              <w:highlight w:val="none"/>
              <w:lang w:val="en-US"/>
            </w:rPr>
            <w:t>四</w:t>
          </w:r>
          <w:r>
            <w:rPr>
              <w:rFonts w:hint="eastAsia"/>
              <w:bCs/>
              <w:color w:val="auto"/>
              <w:highlight w:val="none"/>
            </w:rPr>
            <w:t>节 资格证明文件格式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_Toc16071 \h </w:instrText>
          </w:r>
          <w:r>
            <w:rPr>
              <w:rFonts w:hint="eastAsia"/>
              <w:color w:val="auto"/>
              <w:highlight w:val="none"/>
            </w:rPr>
            <w:fldChar w:fldCharType="separate"/>
          </w:r>
          <w:r>
            <w:rPr>
              <w:rFonts w:hint="eastAsia"/>
              <w:color w:val="auto"/>
              <w:highlight w:val="none"/>
            </w:rPr>
            <w:t>- 80 -</w:t>
          </w:r>
          <w:r>
            <w:rPr>
              <w:rFonts w:hint="eastAsia"/>
              <w:color w:val="auto"/>
              <w:highlight w:val="none"/>
            </w:rPr>
            <w:fldChar w:fldCharType="end"/>
          </w:r>
          <w:r>
            <w:rPr>
              <w:rFonts w:hint="eastAsia"/>
              <w:color w:val="auto"/>
              <w:highlight w:val="none"/>
            </w:rPr>
            <w:fldChar w:fldCharType="end"/>
          </w:r>
        </w:p>
        <w:p>
          <w:pPr>
            <w:pStyle w:val="19"/>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"_Toc10881" </w:instrText>
          </w:r>
          <w:r>
            <w:rPr>
              <w:color w:val="auto"/>
              <w:highlight w:val="none"/>
            </w:rPr>
            <w:fldChar w:fldCharType="separate"/>
          </w:r>
          <w:r>
            <w:rPr>
              <w:rFonts w:hint="eastAsia"/>
              <w:color w:val="auto"/>
              <w:highlight w:val="none"/>
              <w:lang w:val="en-US"/>
            </w:rPr>
            <w:t>附件 1 资格、资信证明文件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_Toc10881 \h </w:instrText>
          </w:r>
          <w:r>
            <w:rPr>
              <w:rFonts w:hint="eastAsia"/>
              <w:color w:val="auto"/>
              <w:highlight w:val="none"/>
            </w:rPr>
            <w:fldChar w:fldCharType="separate"/>
          </w:r>
          <w:r>
            <w:rPr>
              <w:rFonts w:hint="eastAsia"/>
              <w:color w:val="auto"/>
              <w:highlight w:val="none"/>
            </w:rPr>
            <w:t>- 80 -</w:t>
          </w:r>
          <w:r>
            <w:rPr>
              <w:rFonts w:hint="eastAsia"/>
              <w:color w:val="auto"/>
              <w:highlight w:val="none"/>
            </w:rPr>
            <w:fldChar w:fldCharType="end"/>
          </w:r>
          <w:r>
            <w:rPr>
              <w:rFonts w:hint="eastAsia"/>
              <w:color w:val="auto"/>
              <w:highlight w:val="none"/>
            </w:rPr>
            <w:fldChar w:fldCharType="end"/>
          </w:r>
        </w:p>
        <w:p>
          <w:pPr>
            <w:pStyle w:val="6"/>
            <w:tabs>
              <w:tab w:val="left" w:pos="1164"/>
            </w:tabs>
            <w:spacing w:before="39"/>
            <w:ind w:right="115"/>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6"/>
            <w:tabs>
              <w:tab w:val="left" w:pos="1164"/>
            </w:tabs>
            <w:spacing w:before="39"/>
            <w:ind w:right="115"/>
            <w:rPr>
              <w:rFonts w:ascii="宋体" w:hAnsi="宋体" w:eastAsia="宋体" w:cs="宋体"/>
              <w:color w:val="auto"/>
              <w:sz w:val="28"/>
              <w:szCs w:val="28"/>
              <w:highlight w:val="none"/>
            </w:rPr>
            <w:sectPr>
              <w:headerReference r:id="rId3" w:type="default"/>
              <w:footerReference r:id="rId4" w:type="default"/>
              <w:pgSz w:w="11910" w:h="16840"/>
              <w:pgMar w:top="1440" w:right="1080" w:bottom="1440" w:left="1080" w:header="850" w:footer="998" w:gutter="0"/>
              <w:cols w:space="720" w:num="1"/>
            </w:sectPr>
          </w:pPr>
          <w:bookmarkStart w:id="130" w:name="_GoBack"/>
          <w:bookmarkEnd w:id="130"/>
        </w:p>
      </w:sdtContent>
    </w:sdt>
    <w:p>
      <w:pPr>
        <w:pStyle w:val="5"/>
        <w:tabs>
          <w:tab w:val="left" w:pos="1164"/>
        </w:tabs>
        <w:spacing w:before="39" w:line="240" w:lineRule="auto"/>
        <w:ind w:right="115"/>
        <w:outlineLvl w:val="0"/>
        <w:rPr>
          <w:rFonts w:ascii="宋体" w:hAnsi="宋体" w:eastAsia="宋体" w:cs="宋体"/>
          <w:b/>
          <w:bCs/>
          <w:color w:val="auto"/>
          <w:sz w:val="32"/>
          <w:szCs w:val="32"/>
          <w:highlight w:val="none"/>
        </w:rPr>
      </w:pPr>
      <w:bookmarkStart w:id="0" w:name="_Toc18879"/>
      <w:r>
        <w:rPr>
          <w:rFonts w:hint="eastAsia" w:ascii="宋体" w:hAnsi="宋体" w:eastAsia="宋体" w:cs="宋体"/>
          <w:b/>
          <w:bCs/>
          <w:color w:val="auto"/>
          <w:sz w:val="32"/>
          <w:szCs w:val="32"/>
          <w:highlight w:val="none"/>
        </w:rPr>
        <w:t>第一章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投标邀请</w:t>
      </w:r>
      <w:bookmarkEnd w:id="0"/>
    </w:p>
    <w:p>
      <w:pPr>
        <w:jc w:val="center"/>
        <w:rPr>
          <w:b/>
          <w:bCs/>
          <w:color w:val="auto"/>
          <w:sz w:val="28"/>
          <w:szCs w:val="28"/>
          <w:highlight w:val="none"/>
        </w:rPr>
      </w:pPr>
      <w:bookmarkStart w:id="1" w:name="_bookmark1"/>
      <w:bookmarkEnd w:id="1"/>
      <w:r>
        <w:rPr>
          <w:rFonts w:hint="eastAsia"/>
          <w:b/>
          <w:bCs/>
          <w:color w:val="auto"/>
          <w:sz w:val="28"/>
          <w:szCs w:val="28"/>
          <w:highlight w:val="none"/>
          <w:lang w:eastAsia="zh-CN"/>
        </w:rPr>
        <w:t>自治区质检院第三批检测设备能力提升采购项目（进口部分）</w:t>
      </w:r>
      <w:r>
        <w:rPr>
          <w:rFonts w:hint="eastAsia"/>
          <w:b/>
          <w:bCs/>
          <w:color w:val="auto"/>
          <w:sz w:val="28"/>
          <w:szCs w:val="28"/>
          <w:highlight w:val="none"/>
        </w:rPr>
        <w:t>公开招标公告</w:t>
      </w:r>
    </w:p>
    <w:p>
      <w:pPr>
        <w:widowControl/>
        <w:pBdr>
          <w:top w:val="single" w:color="auto" w:sz="4" w:space="0"/>
          <w:left w:val="single" w:color="auto" w:sz="4" w:space="0"/>
          <w:bottom w:val="single" w:color="auto" w:sz="4" w:space="0"/>
          <w:right w:val="single" w:color="auto" w:sz="4" w:space="0"/>
        </w:pBdr>
        <w:autoSpaceDE/>
        <w:autoSpaceDN/>
        <w:spacing w:before="75" w:after="75"/>
        <w:rPr>
          <w:color w:val="auto"/>
          <w:sz w:val="21"/>
          <w:szCs w:val="21"/>
          <w:highlight w:val="none"/>
        </w:rPr>
      </w:pPr>
      <w:r>
        <w:rPr>
          <w:rFonts w:hint="eastAsia"/>
          <w:color w:val="auto"/>
          <w:sz w:val="21"/>
          <w:szCs w:val="21"/>
          <w:highlight w:val="none"/>
        </w:rPr>
        <w:t>项目概况</w:t>
      </w:r>
    </w:p>
    <w:p>
      <w:pPr>
        <w:widowControl/>
        <w:pBdr>
          <w:top w:val="single" w:color="auto" w:sz="4" w:space="0"/>
          <w:left w:val="single" w:color="auto" w:sz="4" w:space="0"/>
          <w:bottom w:val="single" w:color="auto" w:sz="4" w:space="0"/>
          <w:right w:val="single" w:color="auto" w:sz="4" w:space="0"/>
        </w:pBdr>
        <w:autoSpaceDE/>
        <w:autoSpaceDN/>
        <w:spacing w:before="75" w:after="75"/>
        <w:ind w:firstLine="420" w:firstLineChars="200"/>
        <w:rPr>
          <w:color w:val="auto"/>
          <w:sz w:val="21"/>
          <w:szCs w:val="21"/>
          <w:highlight w:val="none"/>
        </w:rPr>
      </w:pPr>
      <w:r>
        <w:rPr>
          <w:rFonts w:hint="eastAsia"/>
          <w:color w:val="auto"/>
          <w:sz w:val="21"/>
          <w:szCs w:val="21"/>
          <w:highlight w:val="none"/>
          <w:lang w:eastAsia="zh-CN"/>
        </w:rPr>
        <w:t>自治区质检院第三批检测设备能力提升采购项目（进口部分）</w:t>
      </w:r>
      <w:r>
        <w:rPr>
          <w:rFonts w:hint="eastAsia"/>
          <w:color w:val="auto"/>
          <w:sz w:val="21"/>
          <w:szCs w:val="21"/>
          <w:highlight w:val="none"/>
        </w:rPr>
        <w:t>招标项目的潜在投标人应在</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政采云平台（www.zcygov.cn）</w:t>
      </w:r>
      <w:r>
        <w:rPr>
          <w:rFonts w:hint="eastAsia"/>
          <w:color w:val="auto"/>
          <w:sz w:val="21"/>
          <w:szCs w:val="21"/>
          <w:highlight w:val="none"/>
        </w:rPr>
        <w:t>获取招标文件，并于202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0</w:t>
      </w:r>
      <w:r>
        <w:rPr>
          <w:rFonts w:hint="eastAsia"/>
          <w:color w:val="auto"/>
          <w:sz w:val="21"/>
          <w:szCs w:val="21"/>
          <w:highlight w:val="none"/>
          <w:lang w:val="en-US"/>
        </w:rPr>
        <w:t>1</w:t>
      </w:r>
      <w:r>
        <w:rPr>
          <w:rFonts w:hint="eastAsia"/>
          <w:color w:val="auto"/>
          <w:sz w:val="21"/>
          <w:szCs w:val="21"/>
          <w:highlight w:val="none"/>
        </w:rPr>
        <w:t>月</w:t>
      </w:r>
      <w:r>
        <w:rPr>
          <w:rFonts w:hint="eastAsia"/>
          <w:color w:val="auto"/>
          <w:sz w:val="21"/>
          <w:szCs w:val="21"/>
          <w:highlight w:val="none"/>
          <w:lang w:val="en-US" w:eastAsia="zh-CN"/>
        </w:rPr>
        <w:t>28</w:t>
      </w:r>
      <w:r>
        <w:rPr>
          <w:rFonts w:hint="eastAsia"/>
          <w:color w:val="auto"/>
          <w:sz w:val="21"/>
          <w:szCs w:val="21"/>
          <w:highlight w:val="none"/>
        </w:rPr>
        <w:t>日 11:00（北京时间）前递交投标文件。</w:t>
      </w:r>
    </w:p>
    <w:p>
      <w:pPr>
        <w:widowControl/>
        <w:autoSpaceDE/>
        <w:autoSpaceDN/>
        <w:spacing w:before="75" w:after="75"/>
        <w:rPr>
          <w:b/>
          <w:bCs/>
          <w:color w:val="auto"/>
          <w:sz w:val="21"/>
          <w:szCs w:val="21"/>
          <w:highlight w:val="none"/>
        </w:rPr>
      </w:pPr>
      <w:r>
        <w:rPr>
          <w:rFonts w:hint="eastAsia"/>
          <w:b/>
          <w:bCs/>
          <w:color w:val="auto"/>
          <w:sz w:val="21"/>
          <w:szCs w:val="21"/>
          <w:highlight w:val="none"/>
        </w:rPr>
        <w:t>一、项目基本情况</w:t>
      </w:r>
    </w:p>
    <w:p>
      <w:pPr>
        <w:widowControl/>
        <w:autoSpaceDE/>
        <w:autoSpaceDN/>
        <w:spacing w:before="75" w:after="75"/>
        <w:ind w:firstLine="420" w:firstLineChars="200"/>
        <w:rPr>
          <w:rFonts w:hint="eastAsia" w:eastAsia="宋体"/>
          <w:color w:val="auto"/>
          <w:sz w:val="21"/>
          <w:szCs w:val="21"/>
          <w:highlight w:val="none"/>
          <w:lang w:val="en-US" w:eastAsia="zh-CN"/>
        </w:rPr>
      </w:pPr>
      <w:r>
        <w:rPr>
          <w:rFonts w:hint="eastAsia"/>
          <w:color w:val="auto"/>
          <w:sz w:val="21"/>
          <w:szCs w:val="21"/>
          <w:highlight w:val="none"/>
        </w:rPr>
        <w:t>项目编号：</w:t>
      </w:r>
      <w:r>
        <w:rPr>
          <w:rFonts w:hint="eastAsia"/>
          <w:color w:val="auto"/>
          <w:sz w:val="21"/>
          <w:szCs w:val="21"/>
          <w:highlight w:val="none"/>
          <w:lang w:eastAsia="zh-CN"/>
        </w:rPr>
        <w:t>Hhhx-2224-Zjy003</w:t>
      </w:r>
    </w:p>
    <w:p>
      <w:pPr>
        <w:widowControl/>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项目名称：</w:t>
      </w:r>
      <w:r>
        <w:rPr>
          <w:rFonts w:hint="eastAsia"/>
          <w:color w:val="auto"/>
          <w:sz w:val="21"/>
          <w:szCs w:val="21"/>
          <w:highlight w:val="none"/>
          <w:lang w:val="en-US" w:eastAsia="zh-CN"/>
        </w:rPr>
        <w:t>自治区质检院第三批检测设备能力提升采购项目（进口部分）</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预算金额（元）：</w:t>
      </w:r>
      <w:r>
        <w:rPr>
          <w:rFonts w:hint="eastAsia"/>
          <w:color w:val="auto"/>
          <w:sz w:val="21"/>
          <w:szCs w:val="21"/>
          <w:highlight w:val="none"/>
          <w:lang w:val="en-US" w:eastAsia="zh-CN"/>
        </w:rPr>
        <w:t>260</w:t>
      </w:r>
      <w:r>
        <w:rPr>
          <w:rFonts w:hint="eastAsia"/>
          <w:color w:val="auto"/>
          <w:sz w:val="21"/>
          <w:szCs w:val="21"/>
          <w:highlight w:val="none"/>
          <w:lang w:val="en-US"/>
        </w:rPr>
        <w:t>000</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最高限价（元）：260000</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采购需求：</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w:t>
      </w:r>
      <w:r>
        <w:rPr>
          <w:rFonts w:hint="eastAsia"/>
          <w:color w:val="auto"/>
          <w:sz w:val="21"/>
          <w:szCs w:val="21"/>
          <w:highlight w:val="none"/>
          <w:lang w:val="en-US" w:eastAsia="zh-CN"/>
        </w:rPr>
        <w:t>自治区质检院第三批检测设备能力提升采购项目（进口部分）</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预算金额（元）:260000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w:t>
      </w:r>
      <w:r>
        <w:rPr>
          <w:rFonts w:hint="eastAsia" w:ascii="宋体" w:hAnsi="宋体" w:eastAsia="宋体" w:cs="宋体"/>
          <w:i w:val="0"/>
          <w:iCs w:val="0"/>
          <w:caps w:val="0"/>
          <w:color w:val="auto"/>
          <w:spacing w:val="0"/>
          <w:w w:val="100"/>
          <w:position w:val="0"/>
          <w:sz w:val="21"/>
          <w:szCs w:val="21"/>
          <w:shd w:val="clear" w:fill="FFFFFF"/>
          <w:vertAlign w:val="baseline"/>
          <w:lang w:val="zh-CN" w:eastAsia="zh-CN" w:bidi="zh-CN"/>
        </w:rPr>
        <w:t>绝缘油耐压测试仪</w:t>
      </w:r>
      <w:r>
        <w:rPr>
          <w:rFonts w:hint="eastAsia"/>
          <w:color w:val="auto"/>
          <w:sz w:val="21"/>
          <w:szCs w:val="21"/>
          <w:highlight w:val="none"/>
        </w:rPr>
        <w:t>的设备采购项目，</w:t>
      </w:r>
      <w:r>
        <w:rPr>
          <w:rFonts w:hint="eastAsia"/>
          <w:color w:val="auto"/>
          <w:sz w:val="21"/>
          <w:szCs w:val="21"/>
          <w:highlight w:val="none"/>
          <w:lang w:val="en-US"/>
        </w:rPr>
        <w:t>具体参数</w:t>
      </w:r>
      <w:r>
        <w:rPr>
          <w:rFonts w:hint="eastAsia"/>
          <w:color w:val="auto"/>
          <w:sz w:val="21"/>
          <w:szCs w:val="21"/>
          <w:highlight w:val="none"/>
        </w:rPr>
        <w:t>详见招标文件。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预算价:26万元(不含税)</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合同履行期限：</w:t>
      </w:r>
      <w:r>
        <w:rPr>
          <w:rFonts w:hint="eastAsia"/>
          <w:color w:val="auto"/>
          <w:sz w:val="21"/>
          <w:szCs w:val="21"/>
          <w:highlight w:val="none"/>
          <w:lang w:bidi="ar"/>
        </w:rPr>
        <w:t>详见招标文件。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本项目（否）接受联合体投标。</w:t>
      </w:r>
    </w:p>
    <w:p>
      <w:pPr>
        <w:widowControl/>
        <w:autoSpaceDE/>
        <w:autoSpaceDN/>
        <w:spacing w:before="75" w:after="75"/>
        <w:rPr>
          <w:b/>
          <w:bCs/>
          <w:color w:val="auto"/>
          <w:sz w:val="21"/>
          <w:szCs w:val="21"/>
          <w:highlight w:val="none"/>
        </w:rPr>
      </w:pPr>
      <w:r>
        <w:rPr>
          <w:rFonts w:hint="eastAsia"/>
          <w:b/>
          <w:bCs/>
          <w:color w:val="auto"/>
          <w:sz w:val="21"/>
          <w:szCs w:val="21"/>
          <w:highlight w:val="none"/>
        </w:rPr>
        <w:t>二、申请人的资格要求：</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pPr>
        <w:widowControl/>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2.落实政府采购政策需满足的资格要求：</w:t>
      </w:r>
      <w:r>
        <w:rPr>
          <w:rFonts w:hint="eastAsia"/>
          <w:color w:val="auto"/>
          <w:sz w:val="21"/>
          <w:szCs w:val="21"/>
          <w:highlight w:val="none"/>
          <w:lang w:val="en-US" w:eastAsia="zh-CN"/>
        </w:rPr>
        <w:t>无。</w:t>
      </w:r>
    </w:p>
    <w:p>
      <w:pPr>
        <w:widowControl/>
        <w:spacing w:line="300" w:lineRule="atLeast"/>
        <w:ind w:firstLine="420"/>
        <w:rPr>
          <w:rFonts w:hint="eastAsia"/>
          <w:color w:val="auto"/>
          <w:sz w:val="21"/>
          <w:szCs w:val="21"/>
          <w:highlight w:val="none"/>
        </w:rPr>
      </w:pPr>
      <w:r>
        <w:rPr>
          <w:rFonts w:hint="eastAsia"/>
          <w:color w:val="auto"/>
          <w:sz w:val="21"/>
          <w:szCs w:val="21"/>
          <w:highlight w:val="none"/>
        </w:rPr>
        <w:t>3.本项目的特定资格要求：</w:t>
      </w:r>
    </w:p>
    <w:p>
      <w:pPr>
        <w:widowControl/>
        <w:spacing w:line="300" w:lineRule="atLeast"/>
        <w:ind w:firstLine="420"/>
        <w:rPr>
          <w:rFonts w:hint="eastAsia" w:eastAsia="宋体"/>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rPr>
        <w:t>标项 1</w:t>
      </w:r>
      <w:r>
        <w:rPr>
          <w:rFonts w:hint="eastAsia"/>
          <w:color w:val="auto"/>
          <w:sz w:val="21"/>
          <w:szCs w:val="21"/>
          <w:highlight w:val="none"/>
          <w:lang w:eastAsia="zh-CN"/>
        </w:rPr>
        <w:t>】</w:t>
      </w:r>
    </w:p>
    <w:p>
      <w:pPr>
        <w:widowControl/>
        <w:wordWrap w:val="0"/>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r>
        <w:rPr>
          <w:rFonts w:hint="eastAsia"/>
          <w:color w:val="auto"/>
          <w:sz w:val="21"/>
          <w:szCs w:val="21"/>
          <w:highlight w:val="none"/>
          <w:shd w:val="clear" w:color="auto" w:fill="FFFFFF"/>
          <w:lang w:val="en-US" w:eastAsia="zh-CN"/>
        </w:rPr>
        <w:t>投标人</w:t>
      </w:r>
      <w:r>
        <w:rPr>
          <w:rFonts w:hint="eastAsia"/>
          <w:color w:val="auto"/>
          <w:sz w:val="21"/>
          <w:szCs w:val="21"/>
          <w:highlight w:val="none"/>
          <w:shd w:val="clear" w:color="auto" w:fill="FFFFFF"/>
          <w:lang w:val="en-US"/>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w:t>
      </w:r>
      <w:r>
        <w:rPr>
          <w:rFonts w:hint="eastAsia"/>
          <w:color w:val="auto"/>
          <w:sz w:val="21"/>
          <w:szCs w:val="21"/>
          <w:highlight w:val="none"/>
          <w:shd w:val="clear" w:color="auto" w:fill="FFFFFF"/>
          <w:lang w:val="en-US" w:eastAsia="zh-CN"/>
        </w:rPr>
        <w:t>投标人</w:t>
      </w:r>
      <w:r>
        <w:rPr>
          <w:rFonts w:hint="eastAsia"/>
          <w:color w:val="auto"/>
          <w:sz w:val="21"/>
          <w:szCs w:val="21"/>
          <w:highlight w:val="none"/>
          <w:shd w:val="clear" w:color="auto" w:fill="FFFFFF"/>
          <w:lang w:val="en-US"/>
        </w:rPr>
        <w:t>需提供相关证明资料）</w:t>
      </w:r>
      <w:r>
        <w:rPr>
          <w:rFonts w:hint="eastAsia"/>
          <w:color w:val="auto"/>
          <w:sz w:val="21"/>
          <w:szCs w:val="21"/>
          <w:highlight w:val="none"/>
          <w:shd w:val="clear" w:color="auto" w:fill="FFFFFF"/>
          <w:lang w:val="en-US" w:eastAsia="zh-CN"/>
        </w:rPr>
        <w:t>。</w:t>
      </w:r>
    </w:p>
    <w:p>
      <w:pPr>
        <w:widowControl/>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）单位负责人为同一人或者存在直接控股、管理关系的不同</w:t>
      </w:r>
      <w:r>
        <w:rPr>
          <w:rFonts w:hint="eastAsia"/>
          <w:color w:val="auto"/>
          <w:sz w:val="21"/>
          <w:szCs w:val="21"/>
          <w:highlight w:val="none"/>
          <w:lang w:eastAsia="zh-CN"/>
        </w:rPr>
        <w:t>投标人</w:t>
      </w:r>
      <w:r>
        <w:rPr>
          <w:rFonts w:hint="eastAsia"/>
          <w:color w:val="auto"/>
          <w:sz w:val="21"/>
          <w:szCs w:val="21"/>
          <w:highlight w:val="none"/>
        </w:rPr>
        <w:t>，不得参加同一合同项下的政府采购活动</w:t>
      </w:r>
      <w:r>
        <w:rPr>
          <w:rFonts w:hint="eastAsia"/>
          <w:color w:val="auto"/>
          <w:sz w:val="21"/>
          <w:szCs w:val="21"/>
          <w:highlight w:val="none"/>
          <w:lang w:eastAsia="zh-CN"/>
        </w:rPr>
        <w:t>。</w:t>
      </w:r>
    </w:p>
    <w:p>
      <w:pPr>
        <w:widowControl/>
        <w:autoSpaceDE/>
        <w:autoSpaceDN/>
        <w:spacing w:before="75" w:after="75"/>
        <w:rPr>
          <w:b/>
          <w:bCs/>
          <w:color w:val="auto"/>
          <w:sz w:val="21"/>
          <w:szCs w:val="21"/>
          <w:highlight w:val="none"/>
        </w:rPr>
      </w:pPr>
      <w:r>
        <w:rPr>
          <w:rFonts w:hint="eastAsia"/>
          <w:b/>
          <w:bCs/>
          <w:color w:val="auto"/>
          <w:sz w:val="21"/>
          <w:szCs w:val="21"/>
          <w:highlight w:val="none"/>
        </w:rPr>
        <w:t>三、获取招标文件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时间：202</w:t>
      </w:r>
      <w:r>
        <w:rPr>
          <w:rFonts w:hint="eastAsia"/>
          <w:color w:val="auto"/>
          <w:sz w:val="21"/>
          <w:szCs w:val="21"/>
          <w:highlight w:val="none"/>
          <w:lang w:val="en-US"/>
        </w:rPr>
        <w:t>2</w:t>
      </w:r>
      <w:r>
        <w:rPr>
          <w:rFonts w:hint="eastAsia"/>
          <w:color w:val="auto"/>
          <w:sz w:val="21"/>
          <w:szCs w:val="21"/>
          <w:highlight w:val="none"/>
        </w:rPr>
        <w:t>年</w:t>
      </w:r>
      <w:r>
        <w:rPr>
          <w:rFonts w:hint="eastAsia"/>
          <w:color w:val="auto"/>
          <w:sz w:val="21"/>
          <w:szCs w:val="21"/>
          <w:highlight w:val="none"/>
          <w:lang w:val="en-US" w:eastAsia="zh-CN"/>
        </w:rPr>
        <w:t>12</w:t>
      </w:r>
      <w:r>
        <w:rPr>
          <w:rFonts w:hint="eastAsia"/>
          <w:color w:val="auto"/>
          <w:sz w:val="21"/>
          <w:szCs w:val="21"/>
          <w:highlight w:val="none"/>
        </w:rPr>
        <w:t>月</w:t>
      </w:r>
      <w:r>
        <w:rPr>
          <w:rFonts w:hint="eastAsia"/>
          <w:color w:val="auto"/>
          <w:sz w:val="21"/>
          <w:szCs w:val="21"/>
          <w:highlight w:val="none"/>
          <w:lang w:val="en-US" w:eastAsia="zh-CN"/>
        </w:rPr>
        <w:t>30</w:t>
      </w:r>
      <w:r>
        <w:rPr>
          <w:rFonts w:hint="eastAsia"/>
          <w:color w:val="auto"/>
          <w:sz w:val="21"/>
          <w:szCs w:val="21"/>
          <w:highlight w:val="none"/>
        </w:rPr>
        <w:t>日至 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01</w:t>
      </w:r>
      <w:r>
        <w:rPr>
          <w:rFonts w:hint="eastAsia"/>
          <w:color w:val="auto"/>
          <w:sz w:val="21"/>
          <w:szCs w:val="21"/>
          <w:highlight w:val="none"/>
        </w:rPr>
        <w:t>月</w:t>
      </w:r>
      <w:r>
        <w:rPr>
          <w:rFonts w:hint="eastAsia"/>
          <w:color w:val="auto"/>
          <w:sz w:val="21"/>
          <w:szCs w:val="21"/>
          <w:highlight w:val="none"/>
          <w:lang w:val="en-US" w:eastAsia="zh-CN"/>
        </w:rPr>
        <w:t>09</w:t>
      </w:r>
      <w:r>
        <w:rPr>
          <w:rFonts w:hint="eastAsia"/>
          <w:color w:val="auto"/>
          <w:sz w:val="21"/>
          <w:szCs w:val="21"/>
          <w:highlight w:val="none"/>
        </w:rPr>
        <w:t>日，每天上午</w:t>
      </w:r>
      <w:r>
        <w:rPr>
          <w:rFonts w:hint="eastAsia"/>
          <w:color w:val="auto"/>
          <w:sz w:val="21"/>
          <w:szCs w:val="21"/>
          <w:highlight w:val="none"/>
          <w:lang w:val="en-US"/>
        </w:rPr>
        <w:t>10</w:t>
      </w:r>
      <w:r>
        <w:rPr>
          <w:rFonts w:hint="eastAsia"/>
          <w:color w:val="auto"/>
          <w:sz w:val="21"/>
          <w:szCs w:val="21"/>
          <w:highlight w:val="none"/>
        </w:rPr>
        <w:t>:</w:t>
      </w:r>
      <w:r>
        <w:rPr>
          <w:rFonts w:hint="eastAsia"/>
          <w:color w:val="auto"/>
          <w:sz w:val="21"/>
          <w:szCs w:val="21"/>
          <w:highlight w:val="none"/>
          <w:lang w:val="en-US"/>
        </w:rPr>
        <w:t>0</w:t>
      </w:r>
      <w:r>
        <w:rPr>
          <w:rFonts w:hint="eastAsia"/>
          <w:color w:val="auto"/>
          <w:sz w:val="21"/>
          <w:szCs w:val="21"/>
          <w:highlight w:val="none"/>
        </w:rPr>
        <w:t>0至1</w:t>
      </w:r>
      <w:r>
        <w:rPr>
          <w:rFonts w:hint="eastAsia"/>
          <w:color w:val="auto"/>
          <w:sz w:val="21"/>
          <w:szCs w:val="21"/>
          <w:highlight w:val="none"/>
          <w:lang w:val="en-US"/>
        </w:rPr>
        <w:t>4</w:t>
      </w:r>
      <w:r>
        <w:rPr>
          <w:rFonts w:hint="eastAsia"/>
          <w:color w:val="auto"/>
          <w:sz w:val="21"/>
          <w:szCs w:val="21"/>
          <w:highlight w:val="none"/>
        </w:rPr>
        <w:t>:00，下午1</w:t>
      </w:r>
      <w:r>
        <w:rPr>
          <w:rFonts w:hint="eastAsia"/>
          <w:color w:val="auto"/>
          <w:sz w:val="21"/>
          <w:szCs w:val="21"/>
          <w:highlight w:val="none"/>
          <w:lang w:val="en-US"/>
        </w:rPr>
        <w:t>5</w:t>
      </w:r>
      <w:r>
        <w:rPr>
          <w:rFonts w:hint="eastAsia"/>
          <w:color w:val="auto"/>
          <w:sz w:val="21"/>
          <w:szCs w:val="21"/>
          <w:highlight w:val="none"/>
        </w:rPr>
        <w:t>:00至1</w:t>
      </w:r>
      <w:r>
        <w:rPr>
          <w:rFonts w:hint="eastAsia"/>
          <w:color w:val="auto"/>
          <w:sz w:val="21"/>
          <w:szCs w:val="21"/>
          <w:highlight w:val="none"/>
          <w:lang w:val="en-US"/>
        </w:rPr>
        <w:t>9</w:t>
      </w:r>
      <w:r>
        <w:rPr>
          <w:rFonts w:hint="eastAsia"/>
          <w:color w:val="auto"/>
          <w:sz w:val="21"/>
          <w:szCs w:val="21"/>
          <w:highlight w:val="none"/>
        </w:rPr>
        <w:t>:</w:t>
      </w:r>
      <w:r>
        <w:rPr>
          <w:rFonts w:hint="eastAsia"/>
          <w:color w:val="auto"/>
          <w:sz w:val="21"/>
          <w:szCs w:val="21"/>
          <w:highlight w:val="none"/>
          <w:lang w:val="en-US"/>
        </w:rPr>
        <w:t>0</w:t>
      </w:r>
      <w:r>
        <w:rPr>
          <w:rFonts w:hint="eastAsia"/>
          <w:color w:val="auto"/>
          <w:sz w:val="21"/>
          <w:szCs w:val="21"/>
          <w:highlight w:val="none"/>
        </w:rPr>
        <w:t>0。（北京时间，法定节假日除外）</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地点：</w:t>
      </w:r>
      <w:r>
        <w:rPr>
          <w:rFonts w:hint="eastAsia"/>
          <w:color w:val="auto"/>
          <w:szCs w:val="21"/>
          <w:highlight w:val="none"/>
        </w:rPr>
        <w:t>政采云平台（https://login.zcygov.cn/user-login/#/login）</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方式：</w:t>
      </w:r>
      <w:r>
        <w:rPr>
          <w:rFonts w:hint="eastAsia"/>
          <w:color w:val="auto"/>
          <w:sz w:val="21"/>
          <w:szCs w:val="21"/>
          <w:highlight w:val="none"/>
          <w:lang w:eastAsia="zh-CN"/>
        </w:rPr>
        <w:t>投标人</w:t>
      </w:r>
      <w:r>
        <w:rPr>
          <w:rFonts w:hint="eastAsia"/>
          <w:color w:val="auto"/>
          <w:sz w:val="21"/>
          <w:szCs w:val="21"/>
          <w:highlight w:val="none"/>
        </w:rPr>
        <w:t>登录政采云平台https://www.zcygov.cn/在线申请获取采购文件（进入“项目采购”应用，在获取采购文件菜单中选择项目，申请获取采购文件）。</w:t>
      </w:r>
    </w:p>
    <w:p>
      <w:pPr>
        <w:widowControl/>
        <w:autoSpaceDE/>
        <w:autoSpaceDN/>
        <w:spacing w:before="75" w:after="75"/>
        <w:ind w:firstLine="420" w:firstLineChars="200"/>
        <w:rPr>
          <w:rFonts w:hint="eastAsia" w:eastAsia="宋体"/>
          <w:color w:val="auto"/>
          <w:sz w:val="21"/>
          <w:szCs w:val="21"/>
          <w:highlight w:val="none"/>
          <w:lang w:val="en-US" w:eastAsia="zh-CN"/>
        </w:rPr>
      </w:pPr>
      <w:r>
        <w:rPr>
          <w:rFonts w:hint="eastAsia"/>
          <w:color w:val="auto"/>
          <w:sz w:val="21"/>
          <w:szCs w:val="21"/>
          <w:highlight w:val="none"/>
        </w:rPr>
        <w:t>售价</w:t>
      </w:r>
      <w:r>
        <w:rPr>
          <w:rFonts w:hint="eastAsia"/>
          <w:color w:val="auto"/>
          <w:sz w:val="21"/>
          <w:szCs w:val="21"/>
          <w:highlight w:val="none"/>
          <w:lang w:val="en-US"/>
        </w:rPr>
        <w:t>：</w:t>
      </w:r>
      <w:r>
        <w:rPr>
          <w:rFonts w:hint="eastAsia"/>
          <w:color w:val="auto"/>
          <w:sz w:val="21"/>
          <w:szCs w:val="21"/>
          <w:highlight w:val="none"/>
          <w:lang w:val="en-US" w:eastAsia="zh-CN"/>
        </w:rPr>
        <w:t>0</w:t>
      </w:r>
    </w:p>
    <w:p>
      <w:pPr>
        <w:widowControl/>
        <w:autoSpaceDE/>
        <w:autoSpaceDN/>
        <w:spacing w:before="75" w:after="75"/>
        <w:rPr>
          <w:b/>
          <w:bCs/>
          <w:color w:val="auto"/>
          <w:sz w:val="21"/>
          <w:szCs w:val="21"/>
          <w:highlight w:val="none"/>
        </w:rPr>
      </w:pPr>
      <w:r>
        <w:rPr>
          <w:rFonts w:hint="eastAsia"/>
          <w:b/>
          <w:bCs/>
          <w:color w:val="auto"/>
          <w:sz w:val="21"/>
          <w:szCs w:val="21"/>
          <w:highlight w:val="none"/>
        </w:rPr>
        <w:t>四、提交投标文件截止时间、开标时间和地点</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提交投标文件截止时间：202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0</w:t>
      </w:r>
      <w:r>
        <w:rPr>
          <w:rFonts w:hint="eastAsia"/>
          <w:color w:val="auto"/>
          <w:sz w:val="21"/>
          <w:szCs w:val="21"/>
          <w:highlight w:val="none"/>
          <w:lang w:val="en-US"/>
        </w:rPr>
        <w:t>1</w:t>
      </w:r>
      <w:r>
        <w:rPr>
          <w:rFonts w:hint="eastAsia"/>
          <w:color w:val="auto"/>
          <w:sz w:val="21"/>
          <w:szCs w:val="21"/>
          <w:highlight w:val="none"/>
        </w:rPr>
        <w:t>月</w:t>
      </w:r>
      <w:r>
        <w:rPr>
          <w:rFonts w:hint="eastAsia"/>
          <w:color w:val="auto"/>
          <w:sz w:val="21"/>
          <w:szCs w:val="21"/>
          <w:highlight w:val="none"/>
          <w:lang w:val="en-US" w:eastAsia="zh-CN"/>
        </w:rPr>
        <w:t>28</w:t>
      </w:r>
      <w:r>
        <w:rPr>
          <w:rFonts w:hint="eastAsia"/>
          <w:color w:val="auto"/>
          <w:sz w:val="21"/>
          <w:szCs w:val="21"/>
          <w:highlight w:val="none"/>
        </w:rPr>
        <w:t xml:space="preserve">日 </w:t>
      </w:r>
      <w:r>
        <w:rPr>
          <w:rFonts w:hint="eastAsia"/>
          <w:color w:val="auto"/>
          <w:sz w:val="21"/>
          <w:szCs w:val="21"/>
          <w:highlight w:val="none"/>
          <w:lang w:val="en-US"/>
        </w:rPr>
        <w:t>11</w:t>
      </w:r>
      <w:r>
        <w:rPr>
          <w:rFonts w:hint="eastAsia"/>
          <w:color w:val="auto"/>
          <w:sz w:val="21"/>
          <w:szCs w:val="21"/>
          <w:highlight w:val="none"/>
        </w:rPr>
        <w:t>点</w:t>
      </w:r>
      <w:r>
        <w:rPr>
          <w:rFonts w:hint="eastAsia"/>
          <w:color w:val="auto"/>
          <w:sz w:val="21"/>
          <w:szCs w:val="21"/>
          <w:highlight w:val="none"/>
          <w:lang w:val="en-US"/>
        </w:rPr>
        <w:t>0</w:t>
      </w:r>
      <w:r>
        <w:rPr>
          <w:rFonts w:hint="eastAsia"/>
          <w:color w:val="auto"/>
          <w:sz w:val="21"/>
          <w:szCs w:val="21"/>
          <w:highlight w:val="none"/>
        </w:rPr>
        <w:t>0分（北京时间）</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投标地点：</w:t>
      </w:r>
      <w:r>
        <w:rPr>
          <w:rFonts w:hint="eastAsia"/>
          <w:color w:val="auto"/>
          <w:szCs w:val="21"/>
          <w:highlight w:val="none"/>
        </w:rPr>
        <w:t>政采云平台</w:t>
      </w:r>
      <w:r>
        <w:rPr>
          <w:rFonts w:hint="eastAsia"/>
          <w:color w:val="auto"/>
          <w:sz w:val="21"/>
          <w:szCs w:val="21"/>
          <w:highlight w:val="none"/>
        </w:rPr>
        <w:t>https://www.zcygov.cn/在线递交</w:t>
      </w:r>
      <w:r>
        <w:rPr>
          <w:rFonts w:hint="eastAsia"/>
          <w:color w:val="auto"/>
          <w:sz w:val="21"/>
          <w:szCs w:val="21"/>
          <w:highlight w:val="none"/>
          <w:lang w:val="en-US"/>
        </w:rPr>
        <w:t>投标</w:t>
      </w:r>
      <w:r>
        <w:rPr>
          <w:rFonts w:hint="eastAsia"/>
          <w:color w:val="auto"/>
          <w:sz w:val="21"/>
          <w:szCs w:val="21"/>
          <w:highlight w:val="none"/>
        </w:rPr>
        <w:t>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开标时间：202</w:t>
      </w:r>
      <w:r>
        <w:rPr>
          <w:rFonts w:hint="eastAsia"/>
          <w:color w:val="auto"/>
          <w:sz w:val="21"/>
          <w:szCs w:val="21"/>
          <w:highlight w:val="none"/>
          <w:lang w:val="en-US" w:eastAsia="zh-CN"/>
        </w:rPr>
        <w:t>3</w:t>
      </w:r>
      <w:r>
        <w:rPr>
          <w:rFonts w:hint="eastAsia"/>
          <w:color w:val="auto"/>
          <w:sz w:val="21"/>
          <w:szCs w:val="21"/>
          <w:highlight w:val="none"/>
        </w:rPr>
        <w:t>年</w:t>
      </w:r>
      <w:r>
        <w:rPr>
          <w:rFonts w:hint="eastAsia"/>
          <w:color w:val="auto"/>
          <w:sz w:val="21"/>
          <w:szCs w:val="21"/>
          <w:highlight w:val="none"/>
          <w:lang w:val="en-US" w:eastAsia="zh-CN"/>
        </w:rPr>
        <w:t>0</w:t>
      </w:r>
      <w:r>
        <w:rPr>
          <w:rFonts w:hint="eastAsia"/>
          <w:color w:val="auto"/>
          <w:sz w:val="21"/>
          <w:szCs w:val="21"/>
          <w:highlight w:val="none"/>
          <w:lang w:val="en-US"/>
        </w:rPr>
        <w:t>1</w:t>
      </w:r>
      <w:r>
        <w:rPr>
          <w:rFonts w:hint="eastAsia"/>
          <w:color w:val="auto"/>
          <w:sz w:val="21"/>
          <w:szCs w:val="21"/>
          <w:highlight w:val="none"/>
        </w:rPr>
        <w:t>月</w:t>
      </w:r>
      <w:r>
        <w:rPr>
          <w:rFonts w:hint="eastAsia"/>
          <w:color w:val="auto"/>
          <w:sz w:val="21"/>
          <w:szCs w:val="21"/>
          <w:highlight w:val="none"/>
          <w:lang w:val="en-US" w:eastAsia="zh-CN"/>
        </w:rPr>
        <w:t>28</w:t>
      </w:r>
      <w:r>
        <w:rPr>
          <w:rFonts w:hint="eastAsia"/>
          <w:color w:val="auto"/>
          <w:sz w:val="21"/>
          <w:szCs w:val="21"/>
          <w:highlight w:val="none"/>
        </w:rPr>
        <w:t xml:space="preserve">日 </w:t>
      </w:r>
      <w:r>
        <w:rPr>
          <w:rFonts w:hint="eastAsia"/>
          <w:color w:val="auto"/>
          <w:sz w:val="21"/>
          <w:szCs w:val="21"/>
          <w:highlight w:val="none"/>
          <w:lang w:val="en-US"/>
        </w:rPr>
        <w:t>11</w:t>
      </w:r>
      <w:r>
        <w:rPr>
          <w:rFonts w:hint="eastAsia"/>
          <w:color w:val="auto"/>
          <w:sz w:val="21"/>
          <w:szCs w:val="21"/>
          <w:highlight w:val="none"/>
        </w:rPr>
        <w:t>点</w:t>
      </w:r>
      <w:r>
        <w:rPr>
          <w:rFonts w:hint="eastAsia"/>
          <w:color w:val="auto"/>
          <w:sz w:val="21"/>
          <w:szCs w:val="21"/>
          <w:highlight w:val="none"/>
          <w:lang w:val="en-US"/>
        </w:rPr>
        <w:t>0</w:t>
      </w:r>
      <w:r>
        <w:rPr>
          <w:rFonts w:hint="eastAsia"/>
          <w:color w:val="auto"/>
          <w:sz w:val="21"/>
          <w:szCs w:val="21"/>
          <w:highlight w:val="none"/>
        </w:rPr>
        <w:t>0分（北京时间）</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lang w:val="en-US"/>
        </w:rPr>
        <w:t>开标</w:t>
      </w:r>
      <w:r>
        <w:rPr>
          <w:rFonts w:hint="eastAsia"/>
          <w:color w:val="auto"/>
          <w:sz w:val="21"/>
          <w:szCs w:val="21"/>
          <w:highlight w:val="none"/>
        </w:rPr>
        <w:t>地点：政采云平台https://www.zcygov.cn/不见面开标大厅远程参加开标活动</w:t>
      </w:r>
    </w:p>
    <w:p>
      <w:pPr>
        <w:widowControl/>
        <w:autoSpaceDE/>
        <w:autoSpaceDN/>
        <w:spacing w:before="75" w:after="75"/>
        <w:rPr>
          <w:b/>
          <w:bCs/>
          <w:color w:val="auto"/>
          <w:sz w:val="21"/>
          <w:szCs w:val="21"/>
          <w:highlight w:val="none"/>
        </w:rPr>
      </w:pPr>
      <w:r>
        <w:rPr>
          <w:rFonts w:hint="eastAsia"/>
          <w:b/>
          <w:bCs/>
          <w:color w:val="auto"/>
          <w:sz w:val="21"/>
          <w:szCs w:val="21"/>
          <w:highlight w:val="none"/>
        </w:rPr>
        <w:t>五、公告期限</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自本公告发布之日起5个工作日。</w:t>
      </w:r>
    </w:p>
    <w:p>
      <w:pPr>
        <w:widowControl/>
        <w:autoSpaceDE/>
        <w:autoSpaceDN/>
        <w:spacing w:before="75" w:after="75"/>
        <w:rPr>
          <w:b/>
          <w:bCs/>
          <w:color w:val="auto"/>
          <w:sz w:val="21"/>
          <w:szCs w:val="21"/>
          <w:highlight w:val="none"/>
        </w:rPr>
      </w:pPr>
      <w:r>
        <w:rPr>
          <w:rFonts w:hint="eastAsia"/>
          <w:b/>
          <w:bCs/>
          <w:color w:val="auto"/>
          <w:sz w:val="21"/>
          <w:szCs w:val="21"/>
          <w:highlight w:val="none"/>
        </w:rPr>
        <w:t>六、其他补充事宜</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1、</w:t>
      </w:r>
      <w:r>
        <w:rPr>
          <w:rFonts w:hint="eastAsia" w:ascii="Times New Roman" w:eastAsia="宋体"/>
          <w:lang w:val="zh-CN" w:eastAsia="zh-CN"/>
        </w:rPr>
        <w:t>本项目接受进口产品投标</w:t>
      </w:r>
      <w:r>
        <w:rPr>
          <w:rFonts w:hint="eastAsia"/>
          <w:color w:val="auto"/>
          <w:sz w:val="21"/>
          <w:szCs w:val="21"/>
          <w:highlight w:val="none"/>
          <w:lang w:val="en-US"/>
        </w:rPr>
        <w:t>。</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2、本项目实行电子招投标响应，</w:t>
      </w:r>
      <w:r>
        <w:rPr>
          <w:rFonts w:hint="eastAsia"/>
          <w:color w:val="auto"/>
          <w:sz w:val="21"/>
          <w:szCs w:val="21"/>
          <w:highlight w:val="none"/>
          <w:lang w:val="en-US" w:eastAsia="zh-CN"/>
        </w:rPr>
        <w:t>投标人</w:t>
      </w:r>
      <w:r>
        <w:rPr>
          <w:rFonts w:hint="eastAsia"/>
          <w:color w:val="auto"/>
          <w:sz w:val="21"/>
          <w:szCs w:val="21"/>
          <w:highlight w:val="none"/>
          <w:lang w:val="en-US"/>
        </w:rPr>
        <w:t>须登录政采云平台申请获取采购文件，并需要使用CA锁，登录政采云电子投标客户端制作投标文件，若</w:t>
      </w:r>
      <w:r>
        <w:rPr>
          <w:rFonts w:hint="eastAsia"/>
          <w:color w:val="auto"/>
          <w:sz w:val="21"/>
          <w:szCs w:val="21"/>
          <w:highlight w:val="none"/>
          <w:lang w:val="en-US" w:eastAsia="zh-CN"/>
        </w:rPr>
        <w:t>投标人</w:t>
      </w:r>
      <w:r>
        <w:rPr>
          <w:rFonts w:hint="eastAsia"/>
          <w:color w:val="auto"/>
          <w:sz w:val="21"/>
          <w:szCs w:val="21"/>
          <w:highlight w:val="none"/>
          <w:lang w:val="en-US"/>
        </w:rPr>
        <w:t>参与投标,自行承担与投标有关的一切费用。</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3、各</w:t>
      </w:r>
      <w:r>
        <w:rPr>
          <w:rFonts w:hint="eastAsia"/>
          <w:color w:val="auto"/>
          <w:sz w:val="21"/>
          <w:szCs w:val="21"/>
          <w:highlight w:val="none"/>
          <w:lang w:val="en-US" w:eastAsia="zh-CN"/>
        </w:rPr>
        <w:t>投标人</w:t>
      </w:r>
      <w:r>
        <w:rPr>
          <w:rFonts w:hint="eastAsia"/>
          <w:color w:val="auto"/>
          <w:sz w:val="21"/>
          <w:szCs w:val="21"/>
          <w:highlight w:val="none"/>
          <w:lang w:val="en-US"/>
        </w:rPr>
        <w:t>应在开标前确保是新疆维吾尔自治区政府采购网正式注册入库的</w:t>
      </w:r>
      <w:r>
        <w:rPr>
          <w:rFonts w:hint="eastAsia"/>
          <w:color w:val="auto"/>
          <w:sz w:val="21"/>
          <w:szCs w:val="21"/>
          <w:highlight w:val="none"/>
          <w:lang w:val="en-US" w:eastAsia="zh-CN"/>
        </w:rPr>
        <w:t>投标人</w:t>
      </w:r>
      <w:r>
        <w:rPr>
          <w:rFonts w:hint="eastAsia"/>
          <w:color w:val="auto"/>
          <w:sz w:val="21"/>
          <w:szCs w:val="21"/>
          <w:highlight w:val="none"/>
          <w:lang w:val="en-US"/>
        </w:rPr>
        <w:t>，并完成CA数字证书申领。因未注册入库、未办理CA数字证书等原因造成无法投标或投标失败等后果的由</w:t>
      </w:r>
      <w:r>
        <w:rPr>
          <w:rFonts w:hint="eastAsia"/>
          <w:color w:val="auto"/>
          <w:sz w:val="21"/>
          <w:szCs w:val="21"/>
          <w:highlight w:val="none"/>
          <w:lang w:val="en-US" w:eastAsia="zh-CN"/>
        </w:rPr>
        <w:t>投标人</w:t>
      </w:r>
      <w:r>
        <w:rPr>
          <w:rFonts w:hint="eastAsia"/>
          <w:color w:val="auto"/>
          <w:sz w:val="21"/>
          <w:szCs w:val="21"/>
          <w:highlight w:val="none"/>
          <w:lang w:val="en-US"/>
        </w:rPr>
        <w:t>自行承担。</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4、</w:t>
      </w:r>
      <w:r>
        <w:rPr>
          <w:rFonts w:hint="eastAsia"/>
          <w:color w:val="auto"/>
          <w:sz w:val="21"/>
          <w:szCs w:val="21"/>
          <w:highlight w:val="none"/>
          <w:lang w:val="en-US" w:eastAsia="zh-CN"/>
        </w:rPr>
        <w:t>投标人</w:t>
      </w:r>
      <w:r>
        <w:rPr>
          <w:rFonts w:hint="eastAsia"/>
          <w:color w:val="auto"/>
          <w:sz w:val="21"/>
          <w:szCs w:val="21"/>
          <w:highlight w:val="none"/>
          <w:lang w:val="en-US"/>
        </w:rPr>
        <w:t>可前往新疆政府采购网（http://www.ccgp-xinjiang.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5、</w:t>
      </w:r>
      <w:r>
        <w:rPr>
          <w:rFonts w:hint="eastAsia"/>
          <w:color w:val="auto"/>
          <w:sz w:val="21"/>
          <w:szCs w:val="21"/>
          <w:highlight w:val="none"/>
          <w:lang w:val="en-US" w:eastAsia="zh-CN"/>
        </w:rPr>
        <w:t>投标人</w:t>
      </w:r>
      <w:r>
        <w:rPr>
          <w:rFonts w:hint="eastAsia"/>
          <w:color w:val="auto"/>
          <w:sz w:val="21"/>
          <w:szCs w:val="21"/>
          <w:highlight w:val="none"/>
          <w:lang w:val="en-US"/>
        </w:rPr>
        <w:t>在开标时须携带制作加密电子投标文件所使用的CA锁，电脑须提前配置好浏览器（建议使用360浏览器或谷歌浏览器），以便开标时在线解密。</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6、投标</w:t>
      </w:r>
      <w:r>
        <w:rPr>
          <w:rFonts w:hint="eastAsia"/>
          <w:color w:val="auto"/>
          <w:sz w:val="21"/>
          <w:szCs w:val="21"/>
          <w:highlight w:val="none"/>
          <w:lang w:val="en-US" w:eastAsia="zh-CN"/>
        </w:rPr>
        <w:t>投标人</w:t>
      </w:r>
      <w:r>
        <w:rPr>
          <w:rFonts w:hint="eastAsia"/>
          <w:color w:val="auto"/>
          <w:sz w:val="21"/>
          <w:szCs w:val="21"/>
          <w:highlight w:val="none"/>
          <w:lang w:val="en-US"/>
        </w:rPr>
        <w:t>应当在投标截止时间前，将生成的“电子加密投标文件”上传递交至“政府采购云平台”，投标截止时间以后上传递交的投标文件将被“政府采购云平台”拒收。</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eastAsia="zh-CN"/>
        </w:rPr>
        <w:t>7</w:t>
      </w:r>
      <w:r>
        <w:rPr>
          <w:rFonts w:hint="eastAsia"/>
          <w:color w:val="auto"/>
          <w:sz w:val="21"/>
          <w:szCs w:val="21"/>
          <w:highlight w:val="none"/>
          <w:lang w:val="en-US"/>
        </w:rPr>
        <w:t>、监督电话：</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自治区质检院纪委举报电话：0991-3191260/13579955566</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驻局纪检组举报电话：0991-2841556</w:t>
      </w:r>
    </w:p>
    <w:p>
      <w:pPr>
        <w:widowControl/>
        <w:autoSpaceDE/>
        <w:autoSpaceDN/>
        <w:spacing w:before="75" w:after="75"/>
        <w:ind w:firstLine="420" w:firstLineChars="200"/>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特别提示：</w:t>
      </w:r>
    </w:p>
    <w:p>
      <w:pPr>
        <w:widowControl/>
        <w:ind w:firstLine="420" w:firstLineChars="200"/>
        <w:textAlignment w:val="baseline"/>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ind w:firstLine="420" w:firstLineChars="200"/>
        <w:textAlignment w:val="baseline"/>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widowControl/>
        <w:ind w:firstLine="420" w:firstLineChars="200"/>
        <w:textAlignment w:val="baseline"/>
        <w:rPr>
          <w:rFonts w:ascii="黑体" w:hAnsi="黑体" w:eastAsia="黑体" w:cs="黑体"/>
          <w:color w:val="auto"/>
          <w:highlight w:val="none"/>
        </w:rPr>
      </w:pPr>
      <w:r>
        <w:rPr>
          <w:rFonts w:hint="eastAsia" w:ascii="黑体" w:hAnsi="黑体" w:eastAsia="黑体" w:cs="黑体"/>
          <w:color w:val="auto"/>
          <w:sz w:val="21"/>
          <w:szCs w:val="21"/>
          <w:highlight w:val="none"/>
          <w:shd w:val="clear" w:color="auto" w:fill="FFFFFF"/>
          <w:lang w:val="en-US"/>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hint="eastAsia" w:ascii="黑体" w:hAnsi="黑体" w:eastAsia="黑体" w:cs="黑体"/>
          <w:color w:val="auto"/>
          <w:sz w:val="24"/>
          <w:szCs w:val="24"/>
          <w:highlight w:val="none"/>
          <w:lang w:val="en-US" w:bidi="ar"/>
        </w:rPr>
        <w:t xml:space="preserve"> </w:t>
      </w:r>
    </w:p>
    <w:p>
      <w:pPr>
        <w:widowControl/>
        <w:autoSpaceDE/>
        <w:autoSpaceDN/>
        <w:spacing w:before="75" w:after="75"/>
        <w:rPr>
          <w:b/>
          <w:bCs/>
          <w:color w:val="auto"/>
          <w:sz w:val="21"/>
          <w:szCs w:val="21"/>
          <w:highlight w:val="none"/>
        </w:rPr>
      </w:pPr>
      <w:r>
        <w:rPr>
          <w:rFonts w:hint="eastAsia"/>
          <w:b/>
          <w:bCs/>
          <w:color w:val="auto"/>
          <w:sz w:val="21"/>
          <w:szCs w:val="21"/>
          <w:highlight w:val="none"/>
        </w:rPr>
        <w:t>七、对本次招标提出询问，请按以下方式联系。</w:t>
      </w:r>
    </w:p>
    <w:p>
      <w:pPr>
        <w:widowControl/>
        <w:spacing w:before="75" w:after="75"/>
        <w:rPr>
          <w:bCs/>
          <w:color w:val="auto"/>
          <w:sz w:val="21"/>
          <w:szCs w:val="21"/>
          <w:highlight w:val="none"/>
        </w:rPr>
      </w:pPr>
      <w:r>
        <w:rPr>
          <w:rFonts w:hint="eastAsia"/>
          <w:bCs/>
          <w:color w:val="auto"/>
          <w:sz w:val="21"/>
          <w:szCs w:val="21"/>
          <w:highlight w:val="none"/>
        </w:rPr>
        <w:t>1.采购人信息</w:t>
      </w:r>
    </w:p>
    <w:p>
      <w:pPr>
        <w:widowControl/>
        <w:spacing w:before="75" w:after="75"/>
        <w:rPr>
          <w:bCs/>
          <w:color w:val="auto"/>
          <w:sz w:val="21"/>
          <w:szCs w:val="21"/>
          <w:highlight w:val="none"/>
        </w:rPr>
      </w:pPr>
      <w:r>
        <w:rPr>
          <w:rFonts w:hint="eastAsia"/>
          <w:bCs/>
          <w:color w:val="auto"/>
          <w:sz w:val="21"/>
          <w:szCs w:val="21"/>
          <w:highlight w:val="none"/>
        </w:rPr>
        <w:t>名 称：新疆维吾尔自治区产品质量监督检验研究院</w:t>
      </w:r>
    </w:p>
    <w:p>
      <w:pPr>
        <w:widowControl/>
        <w:spacing w:before="75" w:after="75"/>
        <w:rPr>
          <w:bCs/>
          <w:color w:val="auto"/>
          <w:sz w:val="21"/>
          <w:szCs w:val="21"/>
          <w:highlight w:val="none"/>
        </w:rPr>
      </w:pPr>
      <w:r>
        <w:rPr>
          <w:rFonts w:hint="eastAsia"/>
          <w:bCs/>
          <w:color w:val="auto"/>
          <w:sz w:val="21"/>
          <w:szCs w:val="21"/>
          <w:highlight w:val="none"/>
        </w:rPr>
        <w:t>地 址：乌鲁木齐市新市区河北东路188号</w:t>
      </w:r>
    </w:p>
    <w:p>
      <w:pPr>
        <w:widowControl/>
        <w:spacing w:before="75" w:after="75"/>
        <w:rPr>
          <w:bCs/>
          <w:color w:val="auto"/>
          <w:sz w:val="21"/>
          <w:szCs w:val="21"/>
          <w:highlight w:val="none"/>
        </w:rPr>
      </w:pPr>
      <w:r>
        <w:rPr>
          <w:rFonts w:hint="eastAsia"/>
          <w:bCs/>
          <w:color w:val="auto"/>
          <w:sz w:val="21"/>
          <w:szCs w:val="21"/>
          <w:highlight w:val="none"/>
        </w:rPr>
        <w:t>联系方式：</w:t>
      </w:r>
      <w:r>
        <w:rPr>
          <w:bCs/>
          <w:color w:val="auto"/>
          <w:sz w:val="21"/>
          <w:szCs w:val="21"/>
          <w:highlight w:val="none"/>
        </w:rPr>
        <w:t>13579888171</w:t>
      </w:r>
    </w:p>
    <w:p>
      <w:pPr>
        <w:widowControl/>
        <w:spacing w:before="75" w:after="75"/>
        <w:rPr>
          <w:bCs/>
          <w:color w:val="auto"/>
          <w:sz w:val="21"/>
          <w:szCs w:val="21"/>
          <w:highlight w:val="none"/>
        </w:rPr>
      </w:pPr>
      <w:r>
        <w:rPr>
          <w:rFonts w:hint="eastAsia"/>
          <w:bCs/>
          <w:color w:val="auto"/>
          <w:sz w:val="21"/>
          <w:szCs w:val="21"/>
          <w:highlight w:val="none"/>
        </w:rPr>
        <w:t>2.采购代理机构信息</w:t>
      </w:r>
    </w:p>
    <w:p>
      <w:pPr>
        <w:widowControl/>
        <w:spacing w:before="75" w:after="75"/>
        <w:rPr>
          <w:bCs/>
          <w:color w:val="auto"/>
          <w:sz w:val="21"/>
          <w:szCs w:val="21"/>
          <w:highlight w:val="none"/>
        </w:rPr>
      </w:pPr>
      <w:r>
        <w:rPr>
          <w:rFonts w:hint="eastAsia"/>
          <w:bCs/>
          <w:color w:val="auto"/>
          <w:sz w:val="21"/>
          <w:szCs w:val="21"/>
          <w:highlight w:val="none"/>
        </w:rPr>
        <w:t>名 称：新疆华恒惠欣工程项目管理有限责任公司</w:t>
      </w:r>
    </w:p>
    <w:p>
      <w:pPr>
        <w:widowControl/>
        <w:spacing w:before="75" w:after="75"/>
        <w:rPr>
          <w:bCs/>
          <w:color w:val="auto"/>
          <w:sz w:val="21"/>
          <w:szCs w:val="21"/>
          <w:highlight w:val="none"/>
        </w:rPr>
      </w:pPr>
      <w:r>
        <w:rPr>
          <w:rFonts w:hint="eastAsia"/>
          <w:bCs/>
          <w:color w:val="auto"/>
          <w:sz w:val="21"/>
          <w:szCs w:val="21"/>
          <w:highlight w:val="none"/>
        </w:rPr>
        <w:t>地 址：乌鲁木齐市经济技术开发区上海路浦东街三号</w:t>
      </w:r>
    </w:p>
    <w:p>
      <w:pPr>
        <w:widowControl/>
        <w:spacing w:before="75" w:after="75"/>
        <w:rPr>
          <w:bCs/>
          <w:color w:val="auto"/>
          <w:sz w:val="21"/>
          <w:szCs w:val="21"/>
          <w:highlight w:val="none"/>
        </w:rPr>
      </w:pPr>
      <w:r>
        <w:rPr>
          <w:rFonts w:hint="eastAsia"/>
          <w:bCs/>
          <w:color w:val="auto"/>
          <w:sz w:val="21"/>
          <w:szCs w:val="21"/>
          <w:highlight w:val="none"/>
        </w:rPr>
        <w:t>联系方式：18130912292</w:t>
      </w:r>
    </w:p>
    <w:p>
      <w:pPr>
        <w:widowControl/>
        <w:spacing w:before="75" w:after="75"/>
        <w:rPr>
          <w:bCs/>
          <w:color w:val="auto"/>
          <w:sz w:val="21"/>
          <w:szCs w:val="21"/>
          <w:highlight w:val="none"/>
        </w:rPr>
      </w:pPr>
      <w:r>
        <w:rPr>
          <w:rFonts w:hint="eastAsia"/>
          <w:bCs/>
          <w:color w:val="auto"/>
          <w:sz w:val="21"/>
          <w:szCs w:val="21"/>
          <w:highlight w:val="none"/>
        </w:rPr>
        <w:t>3.项目联系方式</w:t>
      </w:r>
    </w:p>
    <w:p>
      <w:pPr>
        <w:widowControl/>
        <w:spacing w:before="75" w:after="75"/>
        <w:rPr>
          <w:bCs/>
          <w:color w:val="auto"/>
          <w:sz w:val="21"/>
          <w:szCs w:val="21"/>
          <w:highlight w:val="none"/>
        </w:rPr>
      </w:pPr>
      <w:r>
        <w:rPr>
          <w:rFonts w:hint="eastAsia"/>
          <w:bCs/>
          <w:color w:val="auto"/>
          <w:sz w:val="21"/>
          <w:szCs w:val="21"/>
          <w:highlight w:val="none"/>
        </w:rPr>
        <w:t>项目联系人：冯工</w:t>
      </w:r>
    </w:p>
    <w:p>
      <w:pPr>
        <w:widowControl/>
        <w:spacing w:before="75" w:after="75"/>
        <w:rPr>
          <w:bCs/>
          <w:color w:val="auto"/>
          <w:sz w:val="21"/>
          <w:szCs w:val="21"/>
          <w:highlight w:val="none"/>
        </w:rPr>
      </w:pPr>
      <w:r>
        <w:rPr>
          <w:rFonts w:hint="eastAsia"/>
          <w:bCs/>
          <w:color w:val="auto"/>
          <w:sz w:val="21"/>
          <w:szCs w:val="21"/>
          <w:highlight w:val="none"/>
        </w:rPr>
        <w:t>电 话：18130912292</w:t>
      </w:r>
    </w:p>
    <w:p>
      <w:pPr>
        <w:widowControl/>
        <w:spacing w:before="75" w:after="75"/>
        <w:jc w:val="right"/>
        <w:rPr>
          <w:color w:val="auto"/>
          <w:sz w:val="21"/>
          <w:szCs w:val="21"/>
          <w:highlight w:val="none"/>
        </w:rPr>
      </w:pPr>
      <w:r>
        <w:rPr>
          <w:rFonts w:hint="eastAsia"/>
          <w:color w:val="auto"/>
          <w:sz w:val="21"/>
          <w:szCs w:val="21"/>
          <w:highlight w:val="none"/>
          <w:lang w:val="en-US"/>
        </w:rPr>
        <w:t>新疆华恒惠欣工程项目管理有限责任公司</w:t>
      </w:r>
    </w:p>
    <w:p>
      <w:pPr>
        <w:wordWrap w:val="0"/>
        <w:jc w:val="right"/>
        <w:rPr>
          <w:color w:val="auto"/>
          <w:sz w:val="20"/>
          <w:szCs w:val="20"/>
          <w:highlight w:val="none"/>
          <w:lang w:val="en-US"/>
        </w:rPr>
      </w:pPr>
      <w:r>
        <w:rPr>
          <w:rFonts w:hint="eastAsia"/>
          <w:color w:val="auto"/>
          <w:sz w:val="21"/>
          <w:szCs w:val="21"/>
          <w:highlight w:val="none"/>
          <w:lang w:val="en-US"/>
        </w:rPr>
        <w:t>2022年1</w:t>
      </w:r>
      <w:r>
        <w:rPr>
          <w:rFonts w:hint="eastAsia"/>
          <w:color w:val="auto"/>
          <w:sz w:val="21"/>
          <w:szCs w:val="21"/>
          <w:highlight w:val="none"/>
          <w:lang w:val="en-US" w:eastAsia="zh-CN"/>
        </w:rPr>
        <w:t>2</w:t>
      </w:r>
      <w:r>
        <w:rPr>
          <w:rFonts w:hint="eastAsia"/>
          <w:color w:val="auto"/>
          <w:sz w:val="21"/>
          <w:szCs w:val="21"/>
          <w:highlight w:val="none"/>
          <w:lang w:val="en-US"/>
        </w:rPr>
        <w:t>月</w:t>
      </w:r>
      <w:r>
        <w:rPr>
          <w:rFonts w:hint="eastAsia"/>
          <w:color w:val="auto"/>
          <w:sz w:val="21"/>
          <w:szCs w:val="21"/>
          <w:highlight w:val="none"/>
          <w:lang w:val="en-US" w:eastAsia="zh-CN"/>
        </w:rPr>
        <w:t>30</w:t>
      </w:r>
      <w:r>
        <w:rPr>
          <w:rFonts w:hint="eastAsia"/>
          <w:color w:val="auto"/>
          <w:sz w:val="21"/>
          <w:szCs w:val="21"/>
          <w:highlight w:val="none"/>
          <w:lang w:val="en-US"/>
        </w:rPr>
        <w:t xml:space="preserve">日           </w:t>
      </w:r>
    </w:p>
    <w:p>
      <w:pPr>
        <w:rPr>
          <w:color w:val="auto"/>
          <w:sz w:val="20"/>
          <w:szCs w:val="20"/>
          <w:highlight w:val="none"/>
        </w:rPr>
      </w:pPr>
      <w:r>
        <w:rPr>
          <w:rFonts w:hint="eastAsia"/>
          <w:color w:val="auto"/>
          <w:sz w:val="20"/>
          <w:szCs w:val="20"/>
          <w:highlight w:val="none"/>
        </w:rPr>
        <w:br w:type="page"/>
      </w:r>
    </w:p>
    <w:p>
      <w:pPr>
        <w:pStyle w:val="5"/>
        <w:tabs>
          <w:tab w:val="left" w:pos="1163"/>
        </w:tabs>
        <w:spacing w:line="240" w:lineRule="auto"/>
        <w:ind w:right="125"/>
        <w:outlineLvl w:val="0"/>
        <w:rPr>
          <w:rFonts w:ascii="宋体" w:hAnsi="宋体" w:eastAsia="宋体" w:cs="宋体"/>
          <w:b/>
          <w:bCs/>
          <w:color w:val="auto"/>
          <w:sz w:val="32"/>
          <w:szCs w:val="32"/>
          <w:highlight w:val="none"/>
        </w:rPr>
      </w:pPr>
      <w:bookmarkStart w:id="2" w:name="_Toc30131"/>
      <w:r>
        <w:rPr>
          <w:rFonts w:hint="eastAsia" w:ascii="宋体" w:hAnsi="宋体" w:eastAsia="宋体" w:cs="宋体"/>
          <w:b/>
          <w:bCs/>
          <w:color w:val="auto"/>
          <w:sz w:val="32"/>
          <w:szCs w:val="32"/>
          <w:highlight w:val="none"/>
        </w:rPr>
        <w:t>第二章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投标人须知前附表和投标人须知</w:t>
      </w:r>
      <w:bookmarkEnd w:id="2"/>
    </w:p>
    <w:p>
      <w:pPr>
        <w:pStyle w:val="6"/>
        <w:keepNext w:val="0"/>
        <w:keepLines w:val="0"/>
        <w:pageBreakBefore w:val="0"/>
        <w:widowControl w:val="0"/>
        <w:kinsoku/>
        <w:wordWrap/>
        <w:overflowPunct/>
        <w:topLinePunct w:val="0"/>
        <w:autoSpaceDE w:val="0"/>
        <w:autoSpaceDN w:val="0"/>
        <w:bidi w:val="0"/>
        <w:adjustRightInd/>
        <w:snapToGrid/>
        <w:spacing w:before="0"/>
        <w:ind w:right="0"/>
        <w:textAlignment w:val="auto"/>
        <w:rPr>
          <w:rFonts w:ascii="宋体" w:hAnsi="宋体" w:eastAsia="宋体" w:cs="宋体"/>
          <w:color w:val="auto"/>
          <w:sz w:val="28"/>
          <w:szCs w:val="28"/>
          <w:highlight w:val="none"/>
        </w:rPr>
      </w:pPr>
      <w:bookmarkStart w:id="3" w:name="_Toc10587"/>
      <w:r>
        <w:rPr>
          <w:rFonts w:hint="eastAsia" w:ascii="宋体" w:hAnsi="宋体" w:eastAsia="宋体" w:cs="宋体"/>
          <w:color w:val="auto"/>
          <w:sz w:val="28"/>
          <w:szCs w:val="28"/>
          <w:highlight w:val="none"/>
        </w:rPr>
        <w:t>投标人须知前附表</w:t>
      </w:r>
      <w:bookmarkEnd w:id="3"/>
    </w:p>
    <w:p>
      <w:pPr>
        <w:pStyle w:val="15"/>
        <w:spacing w:before="215" w:line="302" w:lineRule="auto"/>
        <w:ind w:left="228" w:right="341" w:firstLine="480"/>
        <w:rPr>
          <w:color w:val="auto"/>
          <w:sz w:val="21"/>
          <w:szCs w:val="21"/>
          <w:highlight w:val="none"/>
        </w:rPr>
      </w:pPr>
      <w:r>
        <w:rPr>
          <w:rFonts w:hint="eastAsia"/>
          <w:color w:val="auto"/>
          <w:sz w:val="21"/>
          <w:szCs w:val="21"/>
          <w:highlight w:val="none"/>
        </w:rPr>
        <w:t>投标人须知前附表是对投标人须知的具体说明、补充和修改，表格中的“对应条款号” 是对应投标人须知中的条款编号，如与投标人须知有矛盾，应以本表为准。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885"/>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b/>
                <w:color w:val="auto"/>
                <w:sz w:val="21"/>
                <w:szCs w:val="21"/>
                <w:highlight w:val="none"/>
                <w:lang w:val="en-US" w:bidi="ar"/>
              </w:rPr>
              <w:t>序号及内容</w:t>
            </w:r>
          </w:p>
        </w:tc>
        <w:tc>
          <w:tcPr>
            <w:tcW w:w="885" w:type="dxa"/>
            <w:vAlign w:val="center"/>
          </w:tcPr>
          <w:p>
            <w:pPr>
              <w:widowControl/>
              <w:jc w:val="center"/>
              <w:rPr>
                <w:color w:val="auto"/>
                <w:sz w:val="21"/>
                <w:szCs w:val="21"/>
                <w:highlight w:val="none"/>
              </w:rPr>
            </w:pPr>
            <w:r>
              <w:rPr>
                <w:rFonts w:hint="eastAsia"/>
                <w:b/>
                <w:color w:val="auto"/>
                <w:sz w:val="21"/>
                <w:szCs w:val="21"/>
                <w:highlight w:val="none"/>
                <w:lang w:val="en-US" w:bidi="ar"/>
              </w:rPr>
              <w:t>对应条款号</w:t>
            </w:r>
          </w:p>
        </w:tc>
        <w:tc>
          <w:tcPr>
            <w:tcW w:w="7623" w:type="dxa"/>
            <w:vAlign w:val="center"/>
          </w:tcPr>
          <w:p>
            <w:pPr>
              <w:widowControl/>
              <w:jc w:val="center"/>
              <w:rPr>
                <w:color w:val="auto"/>
                <w:sz w:val="21"/>
                <w:szCs w:val="21"/>
                <w:highlight w:val="none"/>
              </w:rPr>
            </w:pPr>
            <w:r>
              <w:rPr>
                <w:rFonts w:hint="eastAsia"/>
                <w:b/>
                <w:color w:val="auto"/>
                <w:sz w:val="21"/>
                <w:szCs w:val="21"/>
                <w:highlight w:val="none"/>
                <w:lang w:val="en-US"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1.项目概述</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1.1</w:t>
            </w:r>
          </w:p>
        </w:tc>
        <w:tc>
          <w:tcPr>
            <w:tcW w:w="7623" w:type="dxa"/>
            <w:vAlign w:val="center"/>
          </w:tcPr>
          <w:p>
            <w:pPr>
              <w:widowControl/>
              <w:jc w:val="both"/>
              <w:rPr>
                <w:rFonts w:hint="eastAsia" w:eastAsia="宋体"/>
                <w:color w:val="auto"/>
                <w:sz w:val="21"/>
                <w:szCs w:val="21"/>
                <w:highlight w:val="none"/>
                <w:lang w:val="en-US" w:eastAsia="zh-CN"/>
              </w:rPr>
            </w:pPr>
            <w:r>
              <w:rPr>
                <w:rFonts w:hint="eastAsia"/>
                <w:color w:val="auto"/>
                <w:sz w:val="21"/>
                <w:szCs w:val="21"/>
                <w:highlight w:val="none"/>
                <w:lang w:val="en-US"/>
              </w:rPr>
              <w:t>1、项目名称：</w:t>
            </w:r>
            <w:r>
              <w:rPr>
                <w:rFonts w:hint="eastAsia"/>
                <w:color w:val="auto"/>
                <w:sz w:val="21"/>
                <w:szCs w:val="21"/>
                <w:highlight w:val="none"/>
                <w:lang w:eastAsia="zh-CN"/>
              </w:rPr>
              <w:t>自治区质检院第三批检测设备能力提升采购项目（进口部分）</w:t>
            </w:r>
          </w:p>
          <w:p>
            <w:pPr>
              <w:widowControl/>
              <w:jc w:val="both"/>
              <w:rPr>
                <w:rFonts w:hint="eastAsia" w:eastAsia="宋体"/>
                <w:color w:val="auto"/>
                <w:sz w:val="21"/>
                <w:szCs w:val="21"/>
                <w:highlight w:val="none"/>
                <w:lang w:val="en-US" w:eastAsia="zh-CN"/>
              </w:rPr>
            </w:pPr>
            <w:r>
              <w:rPr>
                <w:rFonts w:hint="eastAsia"/>
                <w:color w:val="auto"/>
                <w:sz w:val="21"/>
                <w:szCs w:val="21"/>
                <w:highlight w:val="none"/>
                <w:lang w:val="en-US"/>
              </w:rPr>
              <w:t>2、项目编号：</w:t>
            </w:r>
            <w:r>
              <w:rPr>
                <w:rFonts w:hint="eastAsia"/>
                <w:color w:val="auto"/>
                <w:sz w:val="21"/>
                <w:szCs w:val="21"/>
                <w:highlight w:val="none"/>
                <w:lang w:eastAsia="zh-CN"/>
              </w:rPr>
              <w:t>Hhhx-2224-Zjy003</w:t>
            </w:r>
          </w:p>
          <w:p>
            <w:pPr>
              <w:widowControl/>
              <w:jc w:val="both"/>
              <w:rPr>
                <w:color w:val="auto"/>
                <w:sz w:val="21"/>
                <w:szCs w:val="21"/>
                <w:highlight w:val="none"/>
                <w:lang w:val="en-US"/>
              </w:rPr>
            </w:pPr>
            <w:r>
              <w:rPr>
                <w:rFonts w:hint="eastAsia"/>
                <w:color w:val="auto"/>
                <w:sz w:val="21"/>
                <w:szCs w:val="21"/>
                <w:highlight w:val="none"/>
                <w:lang w:val="en-US"/>
              </w:rPr>
              <w:t>3、招标范围：本次</w:t>
            </w:r>
            <w:r>
              <w:rPr>
                <w:rFonts w:hint="eastAsia"/>
                <w:color w:val="auto"/>
                <w:sz w:val="21"/>
                <w:szCs w:val="21"/>
                <w:highlight w:val="none"/>
                <w:lang w:eastAsia="zh-CN"/>
              </w:rPr>
              <w:t>自治区质检院第三批检测设备能力提升采购项目（进口部分）</w:t>
            </w:r>
            <w:r>
              <w:rPr>
                <w:rFonts w:hint="eastAsia"/>
                <w:color w:val="auto"/>
                <w:sz w:val="21"/>
                <w:szCs w:val="21"/>
                <w:highlight w:val="none"/>
                <w:lang w:val="en-US"/>
              </w:rPr>
              <w:t>，共</w:t>
            </w:r>
            <w:r>
              <w:rPr>
                <w:rFonts w:hint="eastAsia"/>
                <w:color w:val="auto"/>
                <w:sz w:val="21"/>
                <w:szCs w:val="21"/>
                <w:highlight w:val="none"/>
                <w:lang w:val="en-US" w:eastAsia="zh-CN"/>
              </w:rPr>
              <w:t>1</w:t>
            </w:r>
            <w:r>
              <w:rPr>
                <w:rFonts w:hint="eastAsia"/>
                <w:color w:val="auto"/>
                <w:sz w:val="21"/>
                <w:szCs w:val="21"/>
                <w:highlight w:val="none"/>
                <w:lang w:val="en-US"/>
              </w:rPr>
              <w:t>个</w:t>
            </w:r>
            <w:r>
              <w:rPr>
                <w:rFonts w:hint="eastAsia"/>
                <w:color w:val="auto"/>
                <w:sz w:val="21"/>
                <w:szCs w:val="21"/>
                <w:highlight w:val="none"/>
                <w:lang w:val="en-US" w:eastAsia="zh-CN"/>
              </w:rPr>
              <w:t>标项</w:t>
            </w:r>
            <w:r>
              <w:rPr>
                <w:rFonts w:hint="eastAsia"/>
                <w:color w:val="auto"/>
                <w:sz w:val="21"/>
                <w:szCs w:val="21"/>
                <w:highlight w:val="none"/>
                <w:lang w:val="en-US"/>
              </w:rPr>
              <w:t>，具体详见采购清单：</w:t>
            </w:r>
          </w:p>
          <w:p>
            <w:pPr>
              <w:pStyle w:val="2"/>
              <w:ind w:firstLine="0" w:firstLineChars="0"/>
              <w:jc w:val="both"/>
              <w:rPr>
                <w:color w:val="auto"/>
                <w:sz w:val="21"/>
                <w:szCs w:val="21"/>
                <w:highlight w:val="none"/>
                <w:lang w:val="en-US"/>
              </w:rPr>
            </w:pPr>
            <w:r>
              <w:rPr>
                <w:rFonts w:hint="eastAsia"/>
                <w:color w:val="auto"/>
                <w:sz w:val="21"/>
                <w:szCs w:val="21"/>
                <w:highlight w:val="none"/>
                <w:lang w:val="en-US"/>
              </w:rPr>
              <w:t>标项1：绝缘油耐压测试仪</w:t>
            </w:r>
            <w:r>
              <w:rPr>
                <w:rFonts w:hint="eastAsia"/>
                <w:color w:val="auto"/>
                <w:sz w:val="21"/>
                <w:szCs w:val="21"/>
                <w:highlight w:val="none"/>
              </w:rPr>
              <w:t>（为核心产品）；</w:t>
            </w:r>
          </w:p>
          <w:p>
            <w:pPr>
              <w:widowControl/>
              <w:jc w:val="both"/>
              <w:rPr>
                <w:color w:val="auto"/>
                <w:sz w:val="21"/>
                <w:szCs w:val="21"/>
                <w:highlight w:val="none"/>
                <w:lang w:val="en-US"/>
              </w:rPr>
            </w:pPr>
            <w:r>
              <w:rPr>
                <w:rFonts w:hint="eastAsia"/>
                <w:color w:val="auto"/>
                <w:sz w:val="21"/>
                <w:szCs w:val="21"/>
                <w:highlight w:val="none"/>
                <w:lang w:val="en-US"/>
              </w:rPr>
              <w:t>4、项目地点：采购人指定地点</w:t>
            </w:r>
          </w:p>
          <w:p>
            <w:pPr>
              <w:widowControl/>
              <w:jc w:val="both"/>
              <w:rPr>
                <w:color w:val="auto"/>
                <w:sz w:val="21"/>
                <w:szCs w:val="21"/>
                <w:highlight w:val="none"/>
                <w:lang w:val="en-US"/>
              </w:rPr>
            </w:pPr>
            <w:r>
              <w:rPr>
                <w:rFonts w:hint="eastAsia"/>
                <w:color w:val="auto"/>
                <w:sz w:val="21"/>
                <w:szCs w:val="21"/>
                <w:highlight w:val="none"/>
                <w:lang w:val="en-US"/>
              </w:rPr>
              <w:t>5、招标方式：公开招标</w:t>
            </w:r>
          </w:p>
          <w:p>
            <w:pPr>
              <w:widowControl/>
              <w:jc w:val="both"/>
              <w:rPr>
                <w:color w:val="auto"/>
                <w:sz w:val="21"/>
                <w:szCs w:val="21"/>
                <w:highlight w:val="none"/>
                <w:lang w:val="en-US"/>
              </w:rPr>
            </w:pPr>
            <w:r>
              <w:rPr>
                <w:rFonts w:hint="eastAsia"/>
                <w:color w:val="auto"/>
                <w:sz w:val="21"/>
                <w:szCs w:val="21"/>
                <w:highlight w:val="none"/>
                <w:lang w:val="en-US"/>
              </w:rPr>
              <w:t>6、交货期：</w:t>
            </w:r>
            <w:r>
              <w:rPr>
                <w:rFonts w:hint="eastAsia"/>
                <w:color w:val="auto"/>
                <w:sz w:val="21"/>
                <w:szCs w:val="21"/>
                <w:highlight w:val="none"/>
                <w:lang w:val="en-US" w:bidi="ar"/>
              </w:rPr>
              <w:t>合同签订后</w:t>
            </w:r>
            <w:r>
              <w:rPr>
                <w:rFonts w:hint="eastAsia"/>
                <w:color w:val="auto"/>
                <w:sz w:val="21"/>
                <w:szCs w:val="21"/>
                <w:highlight w:val="none"/>
                <w:lang w:val="en-US" w:eastAsia="zh-CN" w:bidi="ar"/>
              </w:rPr>
              <w:t>9</w:t>
            </w:r>
            <w:r>
              <w:rPr>
                <w:rFonts w:hint="eastAsia"/>
                <w:color w:val="auto"/>
                <w:sz w:val="21"/>
                <w:szCs w:val="21"/>
                <w:highlight w:val="none"/>
                <w:lang w:val="en-US" w:bidi="ar"/>
              </w:rPr>
              <w:t>0个日历日</w:t>
            </w:r>
            <w:r>
              <w:rPr>
                <w:rFonts w:hint="eastAsia"/>
                <w:color w:val="auto"/>
                <w:sz w:val="21"/>
                <w:szCs w:val="21"/>
                <w:highlight w:val="none"/>
                <w:lang w:val="en-US"/>
              </w:rPr>
              <w:t>。</w:t>
            </w:r>
          </w:p>
          <w:p>
            <w:pPr>
              <w:widowControl/>
              <w:jc w:val="both"/>
              <w:rPr>
                <w:color w:val="auto"/>
                <w:sz w:val="21"/>
                <w:szCs w:val="21"/>
                <w:highlight w:val="none"/>
                <w:lang w:val="en-US"/>
              </w:rPr>
            </w:pPr>
            <w:r>
              <w:rPr>
                <w:rFonts w:hint="eastAsia"/>
                <w:color w:val="auto"/>
                <w:sz w:val="21"/>
                <w:szCs w:val="21"/>
                <w:highlight w:val="none"/>
                <w:lang w:val="en-US"/>
              </w:rPr>
              <w:t>7、</w:t>
            </w:r>
            <w:r>
              <w:rPr>
                <w:rFonts w:hint="eastAsia"/>
                <w:color w:val="auto"/>
                <w:sz w:val="21"/>
                <w:szCs w:val="21"/>
                <w:highlight w:val="none"/>
              </w:rPr>
              <w:t>资金来源及比例：自筹资金</w:t>
            </w:r>
            <w:r>
              <w:rPr>
                <w:rFonts w:hint="eastAsia"/>
                <w:color w:val="auto"/>
                <w:sz w:val="21"/>
                <w:szCs w:val="21"/>
                <w:highlight w:val="none"/>
                <w:lang w:val="en-US" w:eastAsia="zh-CN"/>
              </w:rPr>
              <w:t>100%</w:t>
            </w:r>
            <w:r>
              <w:rPr>
                <w:rFonts w:hint="eastAsia"/>
                <w:color w:val="auto"/>
                <w:sz w:val="21"/>
                <w:szCs w:val="21"/>
                <w:highlight w:val="none"/>
              </w:rPr>
              <w:t>。</w:t>
            </w:r>
          </w:p>
          <w:p>
            <w:pPr>
              <w:widowControl/>
              <w:jc w:val="both"/>
              <w:rPr>
                <w:color w:val="auto"/>
                <w:sz w:val="21"/>
                <w:szCs w:val="21"/>
                <w:highlight w:val="none"/>
                <w:lang w:val="en-US"/>
              </w:rPr>
            </w:pPr>
            <w:r>
              <w:rPr>
                <w:rFonts w:hint="eastAsia"/>
                <w:color w:val="auto"/>
                <w:sz w:val="21"/>
                <w:szCs w:val="21"/>
                <w:highlight w:val="none"/>
                <w:lang w:val="en-US"/>
              </w:rPr>
              <w:t>8、资金落实情况：已落实</w:t>
            </w:r>
          </w:p>
          <w:p>
            <w:pPr>
              <w:widowControl/>
              <w:jc w:val="both"/>
              <w:rPr>
                <w:color w:val="auto"/>
                <w:highlight w:val="none"/>
                <w:lang w:val="en-US"/>
              </w:rPr>
            </w:pPr>
            <w:r>
              <w:rPr>
                <w:rFonts w:hint="eastAsia"/>
                <w:color w:val="auto"/>
                <w:highlight w:val="none"/>
                <w:lang w:val="en-US"/>
              </w:rPr>
              <w:t>9、采购人</w:t>
            </w:r>
          </w:p>
          <w:p>
            <w:pPr>
              <w:widowControl/>
              <w:jc w:val="both"/>
              <w:rPr>
                <w:color w:val="auto"/>
                <w:highlight w:val="none"/>
                <w:lang w:val="en-US"/>
              </w:rPr>
            </w:pPr>
            <w:r>
              <w:rPr>
                <w:rFonts w:hint="eastAsia"/>
                <w:color w:val="auto"/>
                <w:highlight w:val="none"/>
                <w:lang w:val="en-US"/>
              </w:rPr>
              <w:t>名称：新疆维吾尔自治区产品质量监督检验研究院</w:t>
            </w:r>
          </w:p>
          <w:p>
            <w:pPr>
              <w:widowControl/>
              <w:jc w:val="both"/>
              <w:rPr>
                <w:color w:val="auto"/>
                <w:highlight w:val="none"/>
                <w:lang w:val="en-US"/>
              </w:rPr>
            </w:pPr>
            <w:r>
              <w:rPr>
                <w:rFonts w:hint="eastAsia"/>
                <w:color w:val="auto"/>
                <w:highlight w:val="none"/>
                <w:lang w:val="en-US"/>
              </w:rPr>
              <w:t>地址：乌鲁木齐市新市区河北东路188号</w:t>
            </w:r>
          </w:p>
          <w:p>
            <w:pPr>
              <w:widowControl/>
              <w:jc w:val="both"/>
              <w:rPr>
                <w:color w:val="auto"/>
                <w:highlight w:val="none"/>
                <w:lang w:val="en-US"/>
              </w:rPr>
            </w:pPr>
            <w:r>
              <w:rPr>
                <w:rFonts w:hint="eastAsia"/>
                <w:color w:val="auto"/>
                <w:highlight w:val="none"/>
                <w:lang w:val="en-US"/>
              </w:rPr>
              <w:t>联系人：</w:t>
            </w:r>
            <w:r>
              <w:rPr>
                <w:rFonts w:hint="eastAsia"/>
                <w:color w:val="auto"/>
                <w:highlight w:val="none"/>
                <w:lang w:val="en-US" w:eastAsia="zh-CN"/>
              </w:rPr>
              <w:t>唐</w:t>
            </w:r>
            <w:r>
              <w:rPr>
                <w:rFonts w:hint="eastAsia"/>
                <w:color w:val="auto"/>
                <w:highlight w:val="none"/>
                <w:lang w:val="en-US"/>
              </w:rPr>
              <w:t>老师</w:t>
            </w:r>
          </w:p>
          <w:p>
            <w:pPr>
              <w:widowControl/>
              <w:jc w:val="both"/>
              <w:rPr>
                <w:color w:val="auto"/>
                <w:highlight w:val="none"/>
                <w:lang w:val="en-US"/>
              </w:rPr>
            </w:pPr>
            <w:r>
              <w:rPr>
                <w:rFonts w:hint="eastAsia"/>
                <w:color w:val="auto"/>
                <w:highlight w:val="none"/>
                <w:lang w:val="en-US"/>
              </w:rPr>
              <w:t>电话：</w:t>
            </w:r>
            <w:r>
              <w:rPr>
                <w:bCs/>
                <w:color w:val="auto"/>
                <w:sz w:val="21"/>
                <w:szCs w:val="21"/>
                <w:highlight w:val="none"/>
              </w:rPr>
              <w:t>13579888171</w:t>
            </w:r>
          </w:p>
          <w:p>
            <w:pPr>
              <w:widowControl/>
              <w:jc w:val="both"/>
              <w:rPr>
                <w:color w:val="auto"/>
                <w:highlight w:val="none"/>
                <w:lang w:val="en-US"/>
              </w:rPr>
            </w:pPr>
            <w:r>
              <w:rPr>
                <w:rFonts w:hint="eastAsia"/>
                <w:color w:val="auto"/>
                <w:highlight w:val="none"/>
                <w:lang w:val="en-US"/>
              </w:rPr>
              <w:t>10、采购代理机构</w:t>
            </w:r>
          </w:p>
          <w:p>
            <w:pPr>
              <w:widowControl/>
              <w:jc w:val="both"/>
              <w:rPr>
                <w:color w:val="auto"/>
                <w:highlight w:val="none"/>
                <w:lang w:val="en-US"/>
              </w:rPr>
            </w:pPr>
            <w:r>
              <w:rPr>
                <w:rFonts w:hint="eastAsia"/>
                <w:color w:val="auto"/>
                <w:highlight w:val="none"/>
                <w:lang w:val="en-US"/>
              </w:rPr>
              <w:t>名称：新疆华恒惠欣工程项目管理有限责任公司</w:t>
            </w:r>
          </w:p>
          <w:p>
            <w:pPr>
              <w:widowControl/>
              <w:jc w:val="both"/>
              <w:rPr>
                <w:color w:val="auto"/>
                <w:highlight w:val="none"/>
                <w:lang w:val="en-US"/>
              </w:rPr>
            </w:pPr>
            <w:r>
              <w:rPr>
                <w:rFonts w:hint="eastAsia"/>
                <w:color w:val="auto"/>
                <w:highlight w:val="none"/>
                <w:lang w:val="en-US"/>
              </w:rPr>
              <w:t>地址：乌鲁木齐市经济技术开发区上海路浦东街三号</w:t>
            </w:r>
          </w:p>
          <w:p>
            <w:pPr>
              <w:widowControl/>
              <w:jc w:val="both"/>
              <w:rPr>
                <w:color w:val="auto"/>
                <w:highlight w:val="none"/>
                <w:lang w:val="en-US"/>
              </w:rPr>
            </w:pPr>
            <w:r>
              <w:rPr>
                <w:rFonts w:hint="eastAsia"/>
                <w:color w:val="auto"/>
                <w:highlight w:val="none"/>
                <w:lang w:val="en-US"/>
              </w:rPr>
              <w:t>联系人：冯工</w:t>
            </w:r>
          </w:p>
          <w:p>
            <w:pPr>
              <w:widowControl/>
              <w:jc w:val="both"/>
              <w:rPr>
                <w:color w:val="auto"/>
                <w:highlight w:val="none"/>
                <w:lang w:val="en-US"/>
              </w:rPr>
            </w:pPr>
            <w:r>
              <w:rPr>
                <w:rFonts w:hint="eastAsia"/>
                <w:color w:val="auto"/>
                <w:highlight w:val="none"/>
                <w:lang w:val="en-US"/>
              </w:rPr>
              <w:t>电话：18016893069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2.采购项目的属性</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3.采购标的对应的中小企业划分标准所属行业</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1.3</w:t>
            </w:r>
          </w:p>
        </w:tc>
        <w:tc>
          <w:tcPr>
            <w:tcW w:w="7623" w:type="dxa"/>
            <w:vAlign w:val="center"/>
          </w:tcPr>
          <w:p>
            <w:pPr>
              <w:jc w:val="both"/>
              <w:rPr>
                <w:color w:val="auto"/>
                <w:sz w:val="21"/>
                <w:szCs w:val="21"/>
                <w:highlight w:val="none"/>
              </w:rPr>
            </w:pPr>
            <w:r>
              <w:rPr>
                <w:rFonts w:hint="eastAsia"/>
                <w:bCs/>
                <w:color w:val="auto"/>
                <w:sz w:val="21"/>
                <w:szCs w:val="21"/>
                <w:highlight w:val="none"/>
                <w:lang w:val="en-US"/>
              </w:rPr>
              <w:t>依据《关于印发中小企业划型标准规定的通知》（工信部联企业〔2011〕300 号），本项目采购标的所属行业为：</w:t>
            </w:r>
            <w:r>
              <w:rPr>
                <w:rFonts w:hint="eastAsia"/>
                <w:color w:val="auto"/>
                <w:sz w:val="21"/>
                <w:szCs w:val="21"/>
                <w:highlight w:val="none"/>
                <w:lang w:val="en-US" w:bidi="ar"/>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4.投标人资格要求</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3.2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 xml:space="preserve">1、满足《中华人民共和国政府采购法》第二十二条的规定，包括： </w:t>
            </w:r>
          </w:p>
          <w:p>
            <w:pPr>
              <w:widowControl/>
              <w:jc w:val="both"/>
              <w:rPr>
                <w:color w:val="auto"/>
                <w:sz w:val="21"/>
                <w:szCs w:val="21"/>
                <w:highlight w:val="none"/>
              </w:rPr>
            </w:pPr>
            <w:r>
              <w:rPr>
                <w:rFonts w:hint="eastAsia"/>
                <w:color w:val="auto"/>
                <w:sz w:val="21"/>
                <w:szCs w:val="21"/>
                <w:highlight w:val="none"/>
                <w:lang w:val="en-US" w:bidi="ar"/>
              </w:rPr>
              <w:t xml:space="preserve">（1）具有独立承担民事责任的能力； </w:t>
            </w:r>
          </w:p>
          <w:p>
            <w:pPr>
              <w:widowControl/>
              <w:jc w:val="both"/>
              <w:rPr>
                <w:color w:val="auto"/>
                <w:sz w:val="21"/>
                <w:szCs w:val="21"/>
                <w:highlight w:val="none"/>
              </w:rPr>
            </w:pPr>
            <w:r>
              <w:rPr>
                <w:rFonts w:hint="eastAsia"/>
                <w:color w:val="auto"/>
                <w:sz w:val="21"/>
                <w:szCs w:val="21"/>
                <w:highlight w:val="none"/>
                <w:lang w:val="en-US" w:bidi="ar"/>
              </w:rPr>
              <w:t xml:space="preserve">（2）具有良好的商业信誉和健全的财务会计制度； </w:t>
            </w:r>
          </w:p>
          <w:p>
            <w:pPr>
              <w:widowControl/>
              <w:jc w:val="both"/>
              <w:rPr>
                <w:color w:val="auto"/>
                <w:sz w:val="21"/>
                <w:szCs w:val="21"/>
                <w:highlight w:val="none"/>
              </w:rPr>
            </w:pPr>
            <w:r>
              <w:rPr>
                <w:rFonts w:hint="eastAsia"/>
                <w:color w:val="auto"/>
                <w:sz w:val="21"/>
                <w:szCs w:val="21"/>
                <w:highlight w:val="none"/>
                <w:lang w:val="en-US" w:bidi="ar"/>
              </w:rPr>
              <w:t xml:space="preserve">（3）具有履行合同所必需的设备和专业技术能力； </w:t>
            </w:r>
          </w:p>
          <w:p>
            <w:pPr>
              <w:widowControl/>
              <w:jc w:val="both"/>
              <w:rPr>
                <w:color w:val="auto"/>
                <w:sz w:val="21"/>
                <w:szCs w:val="21"/>
                <w:highlight w:val="none"/>
              </w:rPr>
            </w:pPr>
            <w:r>
              <w:rPr>
                <w:rFonts w:hint="eastAsia"/>
                <w:color w:val="auto"/>
                <w:sz w:val="21"/>
                <w:szCs w:val="21"/>
                <w:highlight w:val="none"/>
                <w:lang w:val="en-US" w:bidi="ar"/>
              </w:rPr>
              <w:t xml:space="preserve">（4）有依法缴纳税收和社会保障资金的良好记录； </w:t>
            </w:r>
          </w:p>
          <w:p>
            <w:pPr>
              <w:widowControl/>
              <w:jc w:val="both"/>
              <w:rPr>
                <w:color w:val="auto"/>
                <w:sz w:val="21"/>
                <w:szCs w:val="21"/>
                <w:highlight w:val="none"/>
              </w:rPr>
            </w:pPr>
            <w:r>
              <w:rPr>
                <w:rFonts w:hint="eastAsia"/>
                <w:color w:val="auto"/>
                <w:sz w:val="21"/>
                <w:szCs w:val="21"/>
                <w:highlight w:val="none"/>
                <w:lang w:val="en-US" w:bidi="ar"/>
              </w:rPr>
              <w:t xml:space="preserve">（5）参加此采购活动前三年内，在经营活动中没有重大违法记录； </w:t>
            </w:r>
          </w:p>
          <w:p>
            <w:pPr>
              <w:widowControl/>
              <w:jc w:val="both"/>
              <w:rPr>
                <w:color w:val="auto"/>
                <w:sz w:val="21"/>
                <w:szCs w:val="21"/>
                <w:highlight w:val="none"/>
              </w:rPr>
            </w:pPr>
            <w:r>
              <w:rPr>
                <w:rFonts w:hint="eastAsia"/>
                <w:color w:val="auto"/>
                <w:sz w:val="21"/>
                <w:szCs w:val="21"/>
                <w:highlight w:val="none"/>
                <w:lang w:val="en-US" w:bidi="ar"/>
              </w:rPr>
              <w:t xml:space="preserve">（6）法律、行政法规规定的其他条件。 </w:t>
            </w:r>
          </w:p>
          <w:p>
            <w:pPr>
              <w:widowControl/>
              <w:jc w:val="both"/>
              <w:rPr>
                <w:color w:val="auto"/>
                <w:sz w:val="21"/>
                <w:szCs w:val="21"/>
                <w:highlight w:val="none"/>
              </w:rPr>
            </w:pPr>
            <w:r>
              <w:rPr>
                <w:rFonts w:hint="eastAsia"/>
                <w:color w:val="auto"/>
                <w:sz w:val="21"/>
                <w:szCs w:val="21"/>
                <w:highlight w:val="none"/>
                <w:lang w:val="en-US" w:bidi="ar"/>
              </w:rPr>
              <w:t>2、落实政府采购政策需满足的资格要求：</w:t>
            </w:r>
            <w:r>
              <w:rPr>
                <w:rFonts w:hint="eastAsia"/>
                <w:color w:val="auto"/>
                <w:sz w:val="21"/>
                <w:szCs w:val="21"/>
                <w:highlight w:val="none"/>
                <w:lang w:val="en-US" w:eastAsia="zh-CN"/>
              </w:rPr>
              <w:t>无</w:t>
            </w:r>
            <w:r>
              <w:rPr>
                <w:rFonts w:hint="eastAsia"/>
                <w:color w:val="auto"/>
                <w:sz w:val="21"/>
                <w:szCs w:val="21"/>
                <w:highlight w:val="none"/>
              </w:rPr>
              <w:t>。</w:t>
            </w:r>
          </w:p>
          <w:p>
            <w:pPr>
              <w:widowControl/>
              <w:jc w:val="both"/>
              <w:rPr>
                <w:color w:val="auto"/>
                <w:sz w:val="21"/>
                <w:szCs w:val="21"/>
                <w:highlight w:val="none"/>
              </w:rPr>
            </w:pPr>
            <w:r>
              <w:rPr>
                <w:rFonts w:hint="eastAsia"/>
                <w:color w:val="auto"/>
                <w:sz w:val="21"/>
                <w:szCs w:val="21"/>
                <w:highlight w:val="none"/>
                <w:lang w:val="en-US" w:bidi="ar"/>
              </w:rPr>
              <w:t xml:space="preserve">3、本项目的特定资格要求： </w:t>
            </w:r>
          </w:p>
          <w:p>
            <w:pPr>
              <w:widowControl/>
              <w:jc w:val="both"/>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eastAsia="zh-CN"/>
              </w:rPr>
              <w:t>投标人</w:t>
            </w:r>
            <w:r>
              <w:rPr>
                <w:rFonts w:hint="eastAsia"/>
                <w:color w:val="auto"/>
                <w:sz w:val="21"/>
                <w:szCs w:val="21"/>
                <w:highlight w:val="none"/>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w:t>
            </w:r>
            <w:r>
              <w:rPr>
                <w:rFonts w:hint="eastAsia"/>
                <w:color w:val="auto"/>
                <w:sz w:val="21"/>
                <w:szCs w:val="21"/>
                <w:highlight w:val="none"/>
                <w:lang w:eastAsia="zh-CN"/>
              </w:rPr>
              <w:t>投标人</w:t>
            </w:r>
            <w:r>
              <w:rPr>
                <w:rFonts w:hint="eastAsia"/>
                <w:color w:val="auto"/>
                <w:sz w:val="21"/>
                <w:szCs w:val="21"/>
                <w:highlight w:val="none"/>
              </w:rPr>
              <w:t>需提供相关证明资料）</w:t>
            </w:r>
            <w:r>
              <w:rPr>
                <w:rFonts w:hint="eastAsia"/>
                <w:color w:val="auto"/>
                <w:sz w:val="21"/>
                <w:szCs w:val="21"/>
                <w:highlight w:val="none"/>
                <w:lang w:eastAsia="zh-CN"/>
              </w:rPr>
              <w:t>。</w:t>
            </w:r>
          </w:p>
          <w:p>
            <w:pPr>
              <w:widowControl/>
              <w:jc w:val="both"/>
              <w:rPr>
                <w:rFonts w:hint="eastAsia" w:eastAsia="宋体"/>
                <w:color w:val="auto"/>
                <w:sz w:val="21"/>
                <w:szCs w:val="21"/>
                <w:highlight w:val="none"/>
                <w:lang w:eastAsia="zh-CN"/>
              </w:rPr>
            </w:pPr>
            <w:r>
              <w:rPr>
                <w:rFonts w:hint="eastAsia"/>
                <w:color w:val="auto"/>
                <w:sz w:val="21"/>
                <w:szCs w:val="21"/>
                <w:highlight w:val="none"/>
              </w:rPr>
              <w:t>（2）单位负责人为同一人或者存在直接控股、管理关系的不同</w:t>
            </w:r>
            <w:r>
              <w:rPr>
                <w:rFonts w:hint="eastAsia"/>
                <w:color w:val="auto"/>
                <w:sz w:val="21"/>
                <w:szCs w:val="21"/>
                <w:highlight w:val="none"/>
                <w:lang w:eastAsia="zh-CN"/>
              </w:rPr>
              <w:t>投标人</w:t>
            </w:r>
            <w:r>
              <w:rPr>
                <w:rFonts w:hint="eastAsia"/>
                <w:color w:val="auto"/>
                <w:sz w:val="21"/>
                <w:szCs w:val="21"/>
                <w:highlight w:val="none"/>
              </w:rPr>
              <w:t>，不得参加同一合同项下的政府采购活动</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5.对联合体投标的具体要求</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3.3</w:t>
            </w:r>
          </w:p>
        </w:tc>
        <w:tc>
          <w:tcPr>
            <w:tcW w:w="7623" w:type="dxa"/>
            <w:vAlign w:val="center"/>
          </w:tcPr>
          <w:p>
            <w:pPr>
              <w:widowControl/>
              <w:jc w:val="both"/>
              <w:rPr>
                <w:color w:val="auto"/>
                <w:sz w:val="21"/>
                <w:szCs w:val="21"/>
                <w:highlight w:val="none"/>
              </w:rPr>
            </w:pPr>
            <w:r>
              <w:rPr>
                <w:rFonts w:hint="eastAsia"/>
                <w:b/>
                <w:bCs/>
                <w:color w:val="auto"/>
                <w:sz w:val="21"/>
                <w:szCs w:val="21"/>
                <w:highlight w:val="none"/>
              </w:rPr>
              <w:t>□</w:t>
            </w:r>
            <w:r>
              <w:rPr>
                <w:rFonts w:hint="eastAsia"/>
                <w:color w:val="auto"/>
                <w:sz w:val="21"/>
                <w:szCs w:val="21"/>
                <w:highlight w:val="none"/>
              </w:rPr>
              <w:t>接受</w:t>
            </w:r>
            <w:r>
              <w:rPr>
                <w:rFonts w:hint="eastAsia"/>
                <w:b/>
                <w:bCs/>
                <w:color w:val="auto"/>
                <w:sz w:val="21"/>
                <w:szCs w:val="21"/>
                <w:highlight w:val="none"/>
              </w:rPr>
              <w:t>√</w:t>
            </w:r>
            <w:r>
              <w:rPr>
                <w:rFonts w:hint="eastAsia"/>
                <w:color w:val="auto"/>
                <w:sz w:val="21"/>
                <w:szCs w:val="21"/>
                <w:highlight w:val="none"/>
              </w:rPr>
              <w:t>不接受</w:t>
            </w:r>
          </w:p>
          <w:p>
            <w:pPr>
              <w:widowControl/>
              <w:jc w:val="both"/>
              <w:rPr>
                <w:color w:val="auto"/>
                <w:sz w:val="20"/>
                <w:szCs w:val="20"/>
                <w:highlight w:val="none"/>
                <w:lang w:val="en-US"/>
              </w:rPr>
            </w:pPr>
            <w:r>
              <w:rPr>
                <w:rFonts w:hint="eastAsia"/>
                <w:color w:val="auto"/>
                <w:sz w:val="21"/>
                <w:szCs w:val="21"/>
                <w:highlight w:val="none"/>
                <w:lang w:val="en-US"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6.是否允许采购进口产品</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4.1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本项目</w:t>
            </w:r>
            <w:r>
              <w:rPr>
                <w:rFonts w:hint="eastAsia"/>
                <w:b/>
                <w:color w:val="auto"/>
                <w:sz w:val="21"/>
                <w:szCs w:val="21"/>
                <w:highlight w:val="none"/>
                <w:lang w:val="en-US" w:bidi="ar"/>
              </w:rPr>
              <w:t>允许</w:t>
            </w:r>
            <w:r>
              <w:rPr>
                <w:rFonts w:hint="eastAsia"/>
                <w:color w:val="auto"/>
                <w:sz w:val="21"/>
                <w:szCs w:val="21"/>
                <w:highlight w:val="none"/>
                <w:lang w:val="en-US" w:bidi="ar"/>
              </w:rPr>
              <w:t>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7.现场踏勘</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9.3</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不组织</w:t>
            </w:r>
          </w:p>
          <w:p>
            <w:pPr>
              <w:adjustRightInd w:val="0"/>
              <w:jc w:val="both"/>
              <w:rPr>
                <w:b/>
                <w:bCs/>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组织</w:t>
            </w:r>
          </w:p>
          <w:p>
            <w:pPr>
              <w:widowControl/>
              <w:jc w:val="both"/>
              <w:rPr>
                <w:color w:val="auto"/>
                <w:sz w:val="21"/>
                <w:szCs w:val="21"/>
                <w:highlight w:val="none"/>
              </w:rPr>
            </w:pPr>
            <w:r>
              <w:rPr>
                <w:rFonts w:hint="eastAsia"/>
                <w:color w:val="auto"/>
                <w:sz w:val="21"/>
                <w:szCs w:val="21"/>
                <w:highlight w:val="none"/>
                <w:lang w:val="en-US" w:bidi="ar"/>
              </w:rPr>
              <w:t>现场踏勘</w:t>
            </w:r>
            <w:r>
              <w:rPr>
                <w:rFonts w:hint="eastAsia"/>
                <w:color w:val="auto"/>
                <w:sz w:val="21"/>
                <w:szCs w:val="21"/>
                <w:highlight w:val="none"/>
              </w:rPr>
              <w:t>时间：/</w:t>
            </w:r>
          </w:p>
          <w:p>
            <w:pPr>
              <w:widowControl/>
              <w:jc w:val="both"/>
              <w:rPr>
                <w:color w:val="auto"/>
                <w:sz w:val="21"/>
                <w:szCs w:val="21"/>
                <w:highlight w:val="none"/>
              </w:rPr>
            </w:pPr>
            <w:r>
              <w:rPr>
                <w:rFonts w:hint="eastAsia"/>
                <w:color w:val="auto"/>
                <w:sz w:val="21"/>
                <w:szCs w:val="21"/>
                <w:highlight w:val="none"/>
                <w:lang w:val="en-US" w:bidi="ar"/>
              </w:rPr>
              <w:t>现场踏勘</w:t>
            </w:r>
            <w:r>
              <w:rPr>
                <w:rFonts w:hint="eastAsia"/>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8.标前会</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9.4</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不召开</w:t>
            </w:r>
          </w:p>
          <w:p>
            <w:pPr>
              <w:adjustRightInd w:val="0"/>
              <w:jc w:val="both"/>
              <w:rPr>
                <w:b/>
                <w:bCs/>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召开</w:t>
            </w:r>
          </w:p>
          <w:p>
            <w:pPr>
              <w:widowControl/>
              <w:jc w:val="both"/>
              <w:rPr>
                <w:color w:val="auto"/>
                <w:sz w:val="21"/>
                <w:szCs w:val="21"/>
                <w:highlight w:val="none"/>
              </w:rPr>
            </w:pPr>
            <w:r>
              <w:rPr>
                <w:rFonts w:hint="eastAsia"/>
                <w:color w:val="auto"/>
                <w:sz w:val="21"/>
                <w:szCs w:val="21"/>
                <w:highlight w:val="none"/>
              </w:rPr>
              <w:t>召开开标前答疑会时间：/</w:t>
            </w:r>
          </w:p>
          <w:p>
            <w:pPr>
              <w:widowControl/>
              <w:jc w:val="both"/>
              <w:rPr>
                <w:color w:val="auto"/>
                <w:sz w:val="21"/>
                <w:szCs w:val="21"/>
                <w:highlight w:val="none"/>
              </w:rPr>
            </w:pPr>
            <w:r>
              <w:rPr>
                <w:rFonts w:hint="eastAsia"/>
                <w:color w:val="auto"/>
                <w:sz w:val="21"/>
                <w:szCs w:val="21"/>
                <w:highlight w:val="none"/>
              </w:rPr>
              <w:t>召开开标前答疑会地点：/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9</w:t>
            </w:r>
            <w:r>
              <w:rPr>
                <w:rFonts w:hint="eastAsia"/>
                <w:color w:val="auto"/>
                <w:sz w:val="21"/>
                <w:szCs w:val="21"/>
                <w:highlight w:val="none"/>
              </w:rPr>
              <w:t>支持中小企业发展</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Align w:val="center"/>
          </w:tcPr>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1.是否为专门面向中小企业采购：否</w:t>
            </w:r>
          </w:p>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否</w:t>
            </w:r>
          </w:p>
          <w:p>
            <w:pPr>
              <w:widowControl w:val="0"/>
              <w:autoSpaceDE w:val="0"/>
              <w:autoSpaceDN w:val="0"/>
              <w:adjustRightInd w:val="0"/>
              <w:spacing w:before="0" w:after="0" w:line="240" w:lineRule="auto"/>
              <w:ind w:left="0" w:right="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3.符合要求的中小型和微型企业扣除比例：</w:t>
            </w:r>
          </w:p>
          <w:p>
            <w:pPr>
              <w:adjustRightInd w:val="0"/>
              <w:jc w:val="both"/>
              <w:rPr>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对符合规定的小微企业报价给予10%~20%（工程项目为6%~10%）的扣除，用扣除后的价格参与评标，本项目具体扣除比例为</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10</w:t>
            </w:r>
            <w:r>
              <w:rPr>
                <w:rFonts w:hint="eastAsia"/>
                <w:color w:val="auto"/>
                <w:sz w:val="21"/>
                <w:szCs w:val="21"/>
                <w:highlight w:val="none"/>
              </w:rPr>
              <w:t>政府采购支持中小企业融资</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Merge w:val="restart"/>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11</w:t>
            </w:r>
            <w:r>
              <w:rPr>
                <w:rFonts w:hint="eastAsia"/>
                <w:color w:val="auto"/>
                <w:sz w:val="21"/>
                <w:szCs w:val="21"/>
                <w:highlight w:val="none"/>
              </w:rPr>
              <w:t>政府采购信用担保</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Merge w:val="continue"/>
            <w:vAlign w:val="center"/>
          </w:tcPr>
          <w:p>
            <w:pPr>
              <w:widowControl/>
              <w:jc w:val="both"/>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12</w:t>
            </w:r>
            <w:r>
              <w:rPr>
                <w:rFonts w:hint="eastAsia"/>
                <w:color w:val="auto"/>
                <w:sz w:val="21"/>
                <w:szCs w:val="21"/>
                <w:highlight w:val="none"/>
              </w:rPr>
              <w:t>政府采购促进残疾人就业、</w:t>
            </w:r>
            <w:r>
              <w:rPr>
                <w:rFonts w:hint="eastAsia"/>
                <w:color w:val="auto"/>
                <w:sz w:val="21"/>
                <w:szCs w:val="21"/>
                <w:highlight w:val="none"/>
                <w:lang w:val="en-US"/>
              </w:rPr>
              <w:t>政府采购支持监狱企业发展</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Align w:val="center"/>
          </w:tcPr>
          <w:p>
            <w:pPr>
              <w:spacing w:line="300" w:lineRule="exact"/>
              <w:jc w:val="both"/>
              <w:rPr>
                <w:b/>
                <w:bCs/>
                <w:color w:val="auto"/>
                <w:kern w:val="2"/>
                <w:sz w:val="21"/>
                <w:szCs w:val="21"/>
                <w:highlight w:val="none"/>
                <w:lang w:val="en-US" w:bidi="ar-SA"/>
              </w:rPr>
            </w:pPr>
            <w:r>
              <w:rPr>
                <w:rFonts w:hint="eastAsia"/>
                <w:color w:val="auto"/>
                <w:kern w:val="2"/>
                <w:sz w:val="21"/>
                <w:szCs w:val="21"/>
                <w:highlight w:val="none"/>
                <w:lang w:val="en-US"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color w:val="auto"/>
                <w:kern w:val="2"/>
                <w:sz w:val="21"/>
                <w:szCs w:val="21"/>
                <w:highlight w:val="none"/>
                <w:lang w:val="en-US" w:eastAsia="zh-CN" w:bidi="ar-SA"/>
              </w:rPr>
              <w:t>本项目具体扣除比例为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pStyle w:val="27"/>
              <w:ind w:firstLine="0" w:firstLineChars="0"/>
              <w:jc w:val="both"/>
              <w:rPr>
                <w:color w:val="auto"/>
                <w:sz w:val="21"/>
                <w:szCs w:val="21"/>
                <w:highlight w:val="none"/>
              </w:rPr>
            </w:pPr>
            <w:r>
              <w:rPr>
                <w:rFonts w:hint="eastAsia"/>
                <w:color w:val="auto"/>
                <w:kern w:val="2"/>
                <w:sz w:val="21"/>
                <w:szCs w:val="21"/>
                <w:highlight w:val="none"/>
                <w:lang w:val="en-US"/>
              </w:rPr>
              <w:t>2.</w:t>
            </w:r>
            <w:r>
              <w:rPr>
                <w:rFonts w:hint="eastAsia"/>
                <w:color w:val="auto"/>
                <w:sz w:val="21"/>
                <w:szCs w:val="21"/>
                <w:highlight w:val="none"/>
                <w:lang w:val="en-US" w:bidi="ar"/>
              </w:rPr>
              <w:t>监狱企业扶持政策：</w:t>
            </w:r>
            <w:r>
              <w:rPr>
                <w:rFonts w:hint="eastAsia"/>
                <w:color w:val="auto"/>
                <w:sz w:val="21"/>
                <w:szCs w:val="21"/>
                <w:highlight w:val="none"/>
                <w:lang w:val="en-US" w:eastAsia="zh-CN" w:bidi="ar"/>
              </w:rPr>
              <w:t>投标人</w:t>
            </w:r>
            <w:r>
              <w:rPr>
                <w:rFonts w:hint="eastAsia"/>
                <w:color w:val="auto"/>
                <w:sz w:val="21"/>
                <w:szCs w:val="21"/>
                <w:highlight w:val="none"/>
                <w:lang w:val="en-US" w:bidi="ar"/>
              </w:rPr>
              <w:t>如为监狱企业将视同为小型或微型企业，享受预留份额、评审中价格扣除等政府采购促进中小企业发展的政府采购政策。应提供由省级以上监狱管理局、戒毒管理局（含新疆生产建设兵团）出具的属于监狱企业的证明文件。</w:t>
            </w:r>
            <w:r>
              <w:rPr>
                <w:rFonts w:hint="eastAsia"/>
                <w:color w:val="auto"/>
                <w:sz w:val="21"/>
                <w:szCs w:val="21"/>
                <w:highlight w:val="none"/>
                <w:lang w:val="en-US" w:eastAsia="zh-CN" w:bidi="ar"/>
              </w:rPr>
              <w:t>投标人</w:t>
            </w:r>
            <w:r>
              <w:rPr>
                <w:rFonts w:hint="eastAsia"/>
                <w:color w:val="auto"/>
                <w:sz w:val="21"/>
                <w:szCs w:val="21"/>
                <w:highlight w:val="none"/>
                <w:lang w:val="en-US" w:bidi="ar"/>
              </w:rPr>
              <w:t>应对提交的属于监狱企业的证明文件的真实性负责，提交的监狱企业的证明文件不真实的，应承担相应的法律责任。</w:t>
            </w:r>
            <w:r>
              <w:rPr>
                <w:rFonts w:hint="eastAsia" w:ascii="宋体" w:hAnsi="宋体" w:eastAsia="宋体" w:cs="宋体"/>
                <w:b/>
                <w:bCs/>
                <w:color w:val="auto"/>
                <w:kern w:val="2"/>
                <w:sz w:val="21"/>
                <w:szCs w:val="21"/>
                <w:highlight w:val="none"/>
                <w:lang w:val="en-US" w:eastAsia="zh-CN" w:bidi="ar-SA"/>
              </w:rPr>
              <w:t>本项目具体扣除比例为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rPr>
            </w:pPr>
            <w:r>
              <w:rPr>
                <w:rFonts w:hint="eastAsia"/>
                <w:color w:val="auto"/>
                <w:sz w:val="21"/>
                <w:szCs w:val="21"/>
                <w:highlight w:val="none"/>
                <w:lang w:val="en-US" w:bidi="ar"/>
              </w:rPr>
              <w:t>13.资格、资信证明部分构成</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12.1</w:t>
            </w:r>
          </w:p>
        </w:tc>
        <w:tc>
          <w:tcPr>
            <w:tcW w:w="7623" w:type="dxa"/>
            <w:vAlign w:val="center"/>
          </w:tcPr>
          <w:p>
            <w:pPr>
              <w:widowControl/>
              <w:jc w:val="both"/>
              <w:rPr>
                <w:color w:val="auto"/>
                <w:sz w:val="21"/>
                <w:szCs w:val="21"/>
                <w:highlight w:val="none"/>
              </w:rPr>
            </w:pPr>
            <w:r>
              <w:rPr>
                <w:rFonts w:hint="eastAsia"/>
                <w:b/>
                <w:color w:val="auto"/>
                <w:sz w:val="21"/>
                <w:szCs w:val="21"/>
                <w:highlight w:val="none"/>
                <w:lang w:val="en-US" w:bidi="ar"/>
              </w:rPr>
              <w:t>基本资格、资信证明文件：</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（1）法人或者其他组织的有效营业执照等证明文件，</w:t>
            </w:r>
            <w:r>
              <w:rPr>
                <w:rFonts w:hint="eastAsia"/>
                <w:b/>
                <w:bCs/>
                <w:color w:val="auto"/>
                <w:sz w:val="21"/>
                <w:szCs w:val="21"/>
                <w:highlight w:val="none"/>
                <w:lang w:val="en-US" w:bidi="ar"/>
              </w:rPr>
              <w:t>其中：</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投标人是企业（包括合伙企业）的，应提供其在工商部门注册的有效“营业执照”复印件；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投标人是事业单位的，应提供其有效的“事业单位法人证书”复印件；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投标人是非企业专业服务机构的，应提供其有效的“执业许可证”复印件；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投标人是民办非企业单位的，应提供其有效的登记证书复印件；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投标人是个体工商户的，应提供其有效的“营业执照”复印件；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投标人是自然人的，应提供其有效的自然人身份证明复印件；</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（2）财务状况报告：</w:t>
            </w:r>
          </w:p>
          <w:p>
            <w:pPr>
              <w:widowControl/>
              <w:autoSpaceDE/>
              <w:autoSpaceDN/>
              <w:ind w:firstLine="420" w:firstLineChars="200"/>
              <w:jc w:val="both"/>
              <w:rPr>
                <w:color w:val="auto"/>
                <w:kern w:val="2"/>
                <w:sz w:val="21"/>
                <w:szCs w:val="21"/>
                <w:highlight w:val="none"/>
                <w:lang w:val="en-US" w:bidi="ar-SA"/>
              </w:rPr>
            </w:pPr>
            <w:r>
              <w:rPr>
                <w:rFonts w:hint="eastAsia"/>
                <w:color w:val="auto"/>
                <w:sz w:val="21"/>
                <w:szCs w:val="21"/>
                <w:highlight w:val="none"/>
                <w:lang w:val="en-US" w:bidi="ar"/>
              </w:rPr>
              <w:t>近一年由会计师事务所出具财务审计报告或提供由开标日前三个月内投标人开户银行出具的资信证明；新成立公司提供银行出具的有效期内的资信证明；其他组织和自然人，没有经审计的财务报告，提供银行出具的资信证明。</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（3）依法缴纳税收的相关材料：</w:t>
            </w:r>
          </w:p>
          <w:p>
            <w:pPr>
              <w:widowControl/>
              <w:autoSpaceDE/>
              <w:autoSpaceDN/>
              <w:ind w:firstLine="210" w:firstLineChars="100"/>
              <w:jc w:val="both"/>
              <w:rPr>
                <w:color w:val="auto"/>
                <w:sz w:val="21"/>
                <w:szCs w:val="21"/>
                <w:highlight w:val="none"/>
                <w:lang w:val="en-US" w:bidi="ar"/>
              </w:rPr>
            </w:pPr>
            <w:r>
              <w:rPr>
                <w:rFonts w:hint="eastAsia"/>
                <w:color w:val="auto"/>
                <w:sz w:val="21"/>
                <w:szCs w:val="21"/>
                <w:highlight w:val="none"/>
                <w:lang w:val="en-US" w:bidi="ar"/>
              </w:rPr>
              <w:t>开标日前6个月内任意一月缴纳税收的凭证复印件；</w:t>
            </w:r>
          </w:p>
          <w:p>
            <w:pPr>
              <w:widowControl/>
              <w:autoSpaceDE/>
              <w:autoSpaceDN/>
              <w:ind w:firstLine="210" w:firstLineChars="100"/>
              <w:jc w:val="both"/>
              <w:rPr>
                <w:color w:val="auto"/>
                <w:sz w:val="21"/>
                <w:szCs w:val="21"/>
                <w:highlight w:val="none"/>
                <w:lang w:val="en-US" w:bidi="ar"/>
              </w:rPr>
            </w:pPr>
            <w:r>
              <w:rPr>
                <w:rFonts w:hint="eastAsia"/>
                <w:color w:val="auto"/>
                <w:sz w:val="21"/>
                <w:szCs w:val="21"/>
                <w:highlight w:val="none"/>
                <w:lang w:val="en-US" w:bidi="ar"/>
              </w:rPr>
              <w:t>缴纳凭证复印件须清晰可辨，并能显示出税种种类，单位代扣代缴的个人所得税不能作为单位纳税的凭证；</w:t>
            </w:r>
          </w:p>
          <w:p>
            <w:pPr>
              <w:widowControl/>
              <w:autoSpaceDE/>
              <w:autoSpaceDN/>
              <w:ind w:firstLine="420" w:firstLineChars="200"/>
              <w:jc w:val="both"/>
              <w:rPr>
                <w:color w:val="auto"/>
                <w:sz w:val="21"/>
                <w:szCs w:val="21"/>
                <w:highlight w:val="none"/>
                <w:lang w:val="en-US" w:bidi="ar"/>
              </w:rPr>
            </w:pPr>
            <w:r>
              <w:rPr>
                <w:rFonts w:hint="eastAsia"/>
                <w:color w:val="auto"/>
                <w:sz w:val="21"/>
                <w:szCs w:val="21"/>
                <w:highlight w:val="none"/>
                <w:lang w:val="en-US" w:bidi="ar"/>
              </w:rPr>
              <w:t>依法免税的投标人，应提供相应文件证明其依法免税。</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（4）依法缴纳社会保障资金的相关材料：</w:t>
            </w:r>
          </w:p>
          <w:p>
            <w:pPr>
              <w:widowControl/>
              <w:autoSpaceDE/>
              <w:autoSpaceDN/>
              <w:ind w:firstLine="420" w:firstLineChars="200"/>
              <w:jc w:val="both"/>
              <w:rPr>
                <w:color w:val="auto"/>
                <w:sz w:val="21"/>
                <w:szCs w:val="21"/>
                <w:highlight w:val="none"/>
                <w:lang w:val="en-US" w:bidi="ar"/>
              </w:rPr>
            </w:pPr>
            <w:r>
              <w:rPr>
                <w:rFonts w:hint="eastAsia"/>
                <w:color w:val="auto"/>
                <w:sz w:val="21"/>
                <w:szCs w:val="21"/>
                <w:highlight w:val="none"/>
                <w:lang w:val="en-US" w:bidi="ar"/>
              </w:rPr>
              <w:t>开标日前6个月内（至少提供1个月）缴纳社会保险的凭据（专用收据或社会保险缴纳清单）；投标人为其他组织或自然人的，也需要按此项规定提供缴纳税收的凭据和缴纳社会保险的凭据。</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（5）具备履行合同所必需的设备和专业技术能力的说明函</w:t>
            </w:r>
            <w:r>
              <w:rPr>
                <w:rFonts w:hint="eastAsia"/>
                <w:color w:val="auto"/>
                <w:sz w:val="21"/>
                <w:szCs w:val="21"/>
                <w:highlight w:val="none"/>
                <w:lang w:val="en-US" w:bidi="ar"/>
              </w:rPr>
              <w:t>（投标人自行出具，格式自拟，加盖公章）</w:t>
            </w:r>
          </w:p>
          <w:p>
            <w:pPr>
              <w:autoSpaceDE/>
              <w:autoSpaceDN/>
              <w:jc w:val="both"/>
              <w:rPr>
                <w:b/>
                <w:bCs/>
                <w:color w:val="auto"/>
                <w:kern w:val="2"/>
                <w:sz w:val="21"/>
                <w:szCs w:val="21"/>
                <w:highlight w:val="none"/>
                <w:lang w:val="en-US" w:bidi="ar-SA"/>
              </w:rPr>
            </w:pPr>
            <w:r>
              <w:rPr>
                <w:rFonts w:hint="eastAsia"/>
                <w:b/>
                <w:bCs/>
                <w:color w:val="auto"/>
                <w:kern w:val="2"/>
                <w:sz w:val="21"/>
                <w:szCs w:val="21"/>
                <w:highlight w:val="none"/>
                <w:lang w:val="en-US" w:bidi="ar-SA"/>
              </w:rPr>
              <w:t>（6）信用查询</w:t>
            </w:r>
          </w:p>
          <w:p>
            <w:pPr>
              <w:widowControl/>
              <w:wordWrap w:val="0"/>
              <w:autoSpaceDE/>
              <w:autoSpaceDN/>
              <w:ind w:firstLine="420" w:firstLineChars="200"/>
              <w:jc w:val="both"/>
              <w:rPr>
                <w:color w:val="auto"/>
                <w:kern w:val="2"/>
                <w:sz w:val="21"/>
                <w:szCs w:val="21"/>
                <w:highlight w:val="none"/>
                <w:lang w:val="en-US" w:bidi="ar-SA"/>
              </w:rPr>
            </w:pPr>
            <w:r>
              <w:rPr>
                <w:rFonts w:hint="eastAsia"/>
                <w:color w:val="auto"/>
                <w:sz w:val="21"/>
                <w:szCs w:val="21"/>
                <w:highlight w:val="none"/>
                <w:shd w:val="clear" w:color="auto" w:fill="FFFFFF"/>
                <w:lang w:val="en-US"/>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投标人需提供相关证明资料）；</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（7）投标人须提供投标单位（投标人）参加政府采购活动前3年内在经营活动中没有重大违法记录的书面声明</w:t>
            </w:r>
            <w:r>
              <w:rPr>
                <w:rFonts w:hint="eastAsia"/>
                <w:color w:val="auto"/>
                <w:sz w:val="21"/>
                <w:szCs w:val="21"/>
                <w:highlight w:val="none"/>
                <w:lang w:val="en-US" w:bidi="ar"/>
              </w:rPr>
              <w:t>；</w:t>
            </w:r>
          </w:p>
          <w:p>
            <w:pPr>
              <w:widowControl/>
              <w:jc w:val="both"/>
              <w:rPr>
                <w:color w:val="auto"/>
                <w:sz w:val="21"/>
                <w:szCs w:val="21"/>
                <w:highlight w:val="none"/>
                <w:lang w:val="en-US" w:bidi="ar"/>
              </w:rPr>
            </w:pPr>
            <w:r>
              <w:rPr>
                <w:rFonts w:hint="eastAsia"/>
                <w:b/>
                <w:color w:val="auto"/>
                <w:sz w:val="21"/>
                <w:szCs w:val="21"/>
                <w:highlight w:val="none"/>
                <w:lang w:val="en-US" w:bidi="ar"/>
              </w:rPr>
              <w:t>（8）投标人针对投标人限制行为的声明</w:t>
            </w:r>
            <w:r>
              <w:rPr>
                <w:rFonts w:hint="eastAsia"/>
                <w:color w:val="auto"/>
                <w:sz w:val="21"/>
                <w:szCs w:val="21"/>
                <w:highlight w:val="none"/>
                <w:lang w:val="en-US" w:bidi="ar"/>
              </w:rPr>
              <w:t>；</w:t>
            </w:r>
          </w:p>
          <w:p>
            <w:pPr>
              <w:widowControl/>
              <w:jc w:val="both"/>
              <w:rPr>
                <w:color w:val="auto"/>
                <w:sz w:val="21"/>
                <w:szCs w:val="21"/>
                <w:highlight w:val="none"/>
              </w:rPr>
            </w:pPr>
            <w:r>
              <w:rPr>
                <w:rFonts w:hint="eastAsia"/>
                <w:b/>
                <w:color w:val="auto"/>
                <w:sz w:val="21"/>
                <w:szCs w:val="21"/>
                <w:highlight w:val="none"/>
                <w:lang w:val="en-US" w:bidi="ar"/>
              </w:rPr>
              <w:t>本表内所有内容未注明提供原件的，均可提供复印件。除以上内容外，其他投标文件纸质材料均应编入投标文件。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14.商务技术部分构成</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*1.投标函（格式见第六章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附件 1）；</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2</w:t>
            </w:r>
            <w:r>
              <w:rPr>
                <w:rFonts w:hint="eastAsia"/>
                <w:color w:val="auto"/>
                <w:sz w:val="21"/>
                <w:szCs w:val="21"/>
                <w:highlight w:val="none"/>
                <w:lang w:val="en-US" w:bidi="ar"/>
              </w:rPr>
              <w:t>.技术服务需求偏离表（格式见第六章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2</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3</w:t>
            </w:r>
            <w:r>
              <w:rPr>
                <w:rFonts w:hint="eastAsia"/>
                <w:color w:val="auto"/>
                <w:sz w:val="21"/>
                <w:szCs w:val="21"/>
                <w:highlight w:val="none"/>
                <w:lang w:val="en-US" w:bidi="ar"/>
              </w:rPr>
              <w:t>.商务条款偏离表（格式见第六章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3</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4</w:t>
            </w:r>
            <w:r>
              <w:rPr>
                <w:rFonts w:hint="eastAsia"/>
                <w:color w:val="auto"/>
                <w:sz w:val="21"/>
                <w:szCs w:val="21"/>
                <w:highlight w:val="none"/>
                <w:lang w:val="en-US" w:bidi="ar"/>
              </w:rPr>
              <w:t>.法定代表人授权书（格式见第六章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4</w:t>
            </w:r>
            <w:r>
              <w:rPr>
                <w:rFonts w:hint="eastAsia"/>
                <w:color w:val="auto"/>
                <w:sz w:val="21"/>
                <w:szCs w:val="21"/>
                <w:highlight w:val="none"/>
                <w:lang w:val="en-US" w:bidi="ar"/>
              </w:rPr>
              <w:t>） 或 法定代表人身份证明复印件（加注“*”的投标文件构成其他文件均由法定代表人在相应位置直接签署时，则无需提供法定代表人授权书，此情况下应提供法定代表人身份证明复印件）；</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5</w:t>
            </w:r>
            <w:r>
              <w:rPr>
                <w:rFonts w:hint="eastAsia"/>
                <w:color w:val="auto"/>
                <w:sz w:val="21"/>
                <w:szCs w:val="21"/>
                <w:highlight w:val="none"/>
                <w:lang w:val="en-US" w:bidi="ar"/>
              </w:rPr>
              <w:t>.投标保证金承诺函（格式见第六章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5</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6</w:t>
            </w:r>
            <w:r>
              <w:rPr>
                <w:rFonts w:hint="eastAsia"/>
                <w:color w:val="auto"/>
                <w:sz w:val="21"/>
                <w:szCs w:val="21"/>
                <w:highlight w:val="none"/>
                <w:lang w:val="en-US" w:bidi="ar"/>
              </w:rPr>
              <w:t>.代理服务费承诺函（格式见第六章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6</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eastAsia="zh-CN" w:bidi="ar"/>
              </w:rPr>
              <w:t>7</w:t>
            </w:r>
            <w:r>
              <w:rPr>
                <w:rFonts w:hint="eastAsia"/>
                <w:color w:val="auto"/>
                <w:sz w:val="21"/>
                <w:szCs w:val="21"/>
                <w:highlight w:val="none"/>
                <w:lang w:val="en-US" w:bidi="ar"/>
              </w:rPr>
              <w:t>.投标人情况表（建议格式见第六章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7</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eastAsia="zh-CN" w:bidi="ar"/>
              </w:rPr>
              <w:t>8</w:t>
            </w:r>
            <w:r>
              <w:rPr>
                <w:rFonts w:hint="eastAsia"/>
                <w:color w:val="auto"/>
                <w:sz w:val="21"/>
                <w:szCs w:val="21"/>
                <w:highlight w:val="none"/>
                <w:lang w:val="en-US" w:bidi="ar"/>
              </w:rPr>
              <w:t>.详细的技术服务响应方案（按照详细技术响应的相关要求编写）；</w:t>
            </w:r>
          </w:p>
          <w:p>
            <w:pPr>
              <w:widowControl/>
              <w:jc w:val="both"/>
              <w:rPr>
                <w:color w:val="auto"/>
                <w:sz w:val="21"/>
                <w:szCs w:val="21"/>
                <w:highlight w:val="none"/>
              </w:rPr>
            </w:pPr>
            <w:r>
              <w:rPr>
                <w:rFonts w:hint="eastAsia"/>
                <w:color w:val="auto"/>
                <w:sz w:val="21"/>
                <w:szCs w:val="21"/>
                <w:highlight w:val="none"/>
                <w:lang w:val="en-US" w:eastAsia="zh-CN" w:bidi="ar"/>
              </w:rPr>
              <w:t>9</w:t>
            </w:r>
            <w:r>
              <w:rPr>
                <w:rFonts w:hint="eastAsia"/>
                <w:color w:val="auto"/>
                <w:sz w:val="21"/>
                <w:szCs w:val="21"/>
                <w:highlight w:val="none"/>
                <w:lang w:val="en-US" w:bidi="ar"/>
              </w:rPr>
              <w:t>.评标标准中提及的相关评审证明材料以及投标人认为需要提供的其他材料。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15报价部分构成</w:t>
            </w:r>
          </w:p>
        </w:tc>
        <w:tc>
          <w:tcPr>
            <w:tcW w:w="885" w:type="dxa"/>
            <w:vAlign w:val="center"/>
          </w:tcPr>
          <w:p>
            <w:pPr>
              <w:widowControl/>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1</w:t>
            </w:r>
            <w:r>
              <w:rPr>
                <w:rFonts w:hint="eastAsia"/>
                <w:color w:val="auto"/>
                <w:sz w:val="21"/>
                <w:szCs w:val="21"/>
                <w:highlight w:val="none"/>
                <w:lang w:val="en-US" w:bidi="ar"/>
              </w:rPr>
              <w:t>.开标一览表（格式见第六章</w:t>
            </w:r>
            <w:r>
              <w:rPr>
                <w:rFonts w:hint="eastAsia"/>
                <w:color w:val="auto"/>
                <w:sz w:val="21"/>
                <w:szCs w:val="21"/>
                <w:highlight w:val="none"/>
                <w:lang w:val="en-US" w:eastAsia="zh-CN" w:bidi="ar"/>
              </w:rPr>
              <w:t>报价文件格式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1</w:t>
            </w:r>
            <w:r>
              <w:rPr>
                <w:rFonts w:hint="eastAsia"/>
                <w:color w:val="auto"/>
                <w:sz w:val="21"/>
                <w:szCs w:val="21"/>
                <w:highlight w:val="none"/>
                <w:lang w:val="en-US" w:bidi="ar"/>
              </w:rPr>
              <w:t>）；</w:t>
            </w:r>
          </w:p>
          <w:p>
            <w:pPr>
              <w:widowControl/>
              <w:jc w:val="both"/>
              <w:rPr>
                <w:rFonts w:hint="eastAsia"/>
                <w:color w:val="auto"/>
                <w:sz w:val="21"/>
                <w:szCs w:val="21"/>
                <w:highlight w:val="none"/>
                <w:lang w:val="en-US" w:bidi="ar"/>
              </w:rPr>
            </w:pPr>
            <w:r>
              <w:rPr>
                <w:rFonts w:hint="eastAsia"/>
                <w:color w:val="auto"/>
                <w:sz w:val="21"/>
                <w:szCs w:val="21"/>
                <w:highlight w:val="none"/>
                <w:lang w:val="en-US" w:bidi="ar"/>
              </w:rPr>
              <w:t>*</w:t>
            </w:r>
            <w:r>
              <w:rPr>
                <w:rFonts w:hint="eastAsia"/>
                <w:color w:val="auto"/>
                <w:sz w:val="21"/>
                <w:szCs w:val="21"/>
                <w:highlight w:val="none"/>
                <w:lang w:val="en-US" w:eastAsia="zh-CN" w:bidi="ar"/>
              </w:rPr>
              <w:t>2</w:t>
            </w:r>
            <w:r>
              <w:rPr>
                <w:rFonts w:hint="eastAsia"/>
                <w:color w:val="auto"/>
                <w:sz w:val="21"/>
                <w:szCs w:val="21"/>
                <w:highlight w:val="none"/>
                <w:lang w:val="en-US" w:bidi="ar"/>
              </w:rPr>
              <w:t>.投标分项报价表（格式见第六章</w:t>
            </w:r>
            <w:r>
              <w:rPr>
                <w:rFonts w:hint="eastAsia"/>
                <w:color w:val="auto"/>
                <w:sz w:val="21"/>
                <w:szCs w:val="21"/>
                <w:highlight w:val="none"/>
                <w:lang w:val="en-US" w:eastAsia="zh-CN" w:bidi="ar"/>
              </w:rPr>
              <w:t>报价文件格式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2</w:t>
            </w:r>
            <w:r>
              <w:rPr>
                <w:rFonts w:hint="eastAsia"/>
                <w:color w:val="auto"/>
                <w:sz w:val="21"/>
                <w:szCs w:val="21"/>
                <w:highlight w:val="none"/>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6</w:t>
            </w:r>
            <w:r>
              <w:rPr>
                <w:rFonts w:hint="eastAsia"/>
                <w:color w:val="auto"/>
                <w:sz w:val="21"/>
                <w:szCs w:val="21"/>
                <w:highlight w:val="none"/>
                <w:lang w:val="en-US" w:bidi="ar"/>
              </w:rPr>
              <w:t>.投标文件内容其他要求或注意事项</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 xml:space="preserve">1、货物及服务主要技术指标和性能的详细说明，应提供详细技术支持材料。技术支持材料形式为以下几种中的一种： </w:t>
            </w:r>
          </w:p>
          <w:p>
            <w:pPr>
              <w:widowControl/>
              <w:jc w:val="both"/>
              <w:rPr>
                <w:color w:val="auto"/>
                <w:sz w:val="21"/>
                <w:szCs w:val="21"/>
                <w:highlight w:val="none"/>
              </w:rPr>
            </w:pPr>
            <w:r>
              <w:rPr>
                <w:rFonts w:hint="eastAsia"/>
                <w:color w:val="auto"/>
                <w:sz w:val="21"/>
                <w:szCs w:val="21"/>
                <w:highlight w:val="none"/>
                <w:lang w:val="en-US" w:bidi="ar"/>
              </w:rPr>
              <w:t xml:space="preserve">①第三方机构出具的检测报告 或 </w:t>
            </w:r>
          </w:p>
          <w:p>
            <w:pPr>
              <w:widowControl/>
              <w:jc w:val="both"/>
              <w:rPr>
                <w:color w:val="auto"/>
                <w:sz w:val="21"/>
                <w:szCs w:val="21"/>
                <w:highlight w:val="none"/>
              </w:rPr>
            </w:pPr>
            <w:r>
              <w:rPr>
                <w:rFonts w:hint="eastAsia"/>
                <w:color w:val="auto"/>
                <w:sz w:val="21"/>
                <w:szCs w:val="21"/>
                <w:highlight w:val="none"/>
                <w:lang w:val="en-US" w:bidi="ar"/>
              </w:rPr>
              <w:t xml:space="preserve">②投标产品制造商公开发布的印刷资料（或网页资料） 或 </w:t>
            </w:r>
          </w:p>
          <w:p>
            <w:pPr>
              <w:widowControl/>
              <w:jc w:val="both"/>
              <w:rPr>
                <w:color w:val="auto"/>
                <w:sz w:val="21"/>
                <w:szCs w:val="21"/>
                <w:highlight w:val="none"/>
              </w:rPr>
            </w:pPr>
            <w:r>
              <w:rPr>
                <w:rFonts w:hint="eastAsia"/>
                <w:color w:val="auto"/>
                <w:sz w:val="21"/>
                <w:szCs w:val="21"/>
                <w:highlight w:val="none"/>
                <w:lang w:val="en-US" w:bidi="ar"/>
              </w:rPr>
              <w:t xml:space="preserve">③产品技术手册/说明书 或 </w:t>
            </w:r>
          </w:p>
          <w:p>
            <w:pPr>
              <w:widowControl/>
              <w:jc w:val="both"/>
              <w:rPr>
                <w:color w:val="auto"/>
                <w:sz w:val="21"/>
                <w:szCs w:val="21"/>
                <w:highlight w:val="none"/>
              </w:rPr>
            </w:pPr>
            <w:r>
              <w:rPr>
                <w:rFonts w:hint="eastAsia"/>
                <w:color w:val="auto"/>
                <w:sz w:val="21"/>
                <w:szCs w:val="21"/>
                <w:highlight w:val="none"/>
                <w:lang w:val="en-US" w:bidi="ar"/>
              </w:rPr>
              <w:t xml:space="preserve">④产品制造商出具的技术参数承诺（加盖制造商公章） 或 </w:t>
            </w:r>
          </w:p>
          <w:p>
            <w:pPr>
              <w:widowControl/>
              <w:jc w:val="both"/>
              <w:rPr>
                <w:color w:val="auto"/>
                <w:sz w:val="21"/>
                <w:szCs w:val="21"/>
                <w:highlight w:val="none"/>
              </w:rPr>
            </w:pPr>
            <w:r>
              <w:rPr>
                <w:rFonts w:hint="eastAsia"/>
                <w:color w:val="auto"/>
                <w:sz w:val="21"/>
                <w:szCs w:val="21"/>
                <w:highlight w:val="none"/>
                <w:lang w:val="en-US" w:bidi="ar"/>
              </w:rPr>
              <w:t xml:space="preserve">⑤招标文件规定认可的其他形式。 </w:t>
            </w:r>
          </w:p>
          <w:p>
            <w:pPr>
              <w:widowControl/>
              <w:jc w:val="both"/>
              <w:rPr>
                <w:color w:val="auto"/>
                <w:sz w:val="21"/>
                <w:szCs w:val="21"/>
                <w:highlight w:val="none"/>
              </w:rPr>
            </w:pPr>
            <w:r>
              <w:rPr>
                <w:rFonts w:hint="eastAsia"/>
                <w:color w:val="auto"/>
                <w:sz w:val="21"/>
                <w:szCs w:val="21"/>
                <w:highlight w:val="none"/>
                <w:lang w:val="en-US" w:bidi="ar"/>
              </w:rPr>
              <w:t xml:space="preserve">投标人提供的多种技术支持材料内容出现矛盾的，按照从①至⑤的优先顺序进行认定（①为最优先）。 </w:t>
            </w:r>
          </w:p>
          <w:p>
            <w:pPr>
              <w:widowControl/>
              <w:jc w:val="both"/>
              <w:rPr>
                <w:color w:val="auto"/>
                <w:sz w:val="21"/>
                <w:szCs w:val="21"/>
                <w:highlight w:val="none"/>
              </w:rPr>
            </w:pPr>
            <w:r>
              <w:rPr>
                <w:rFonts w:hint="eastAsia"/>
                <w:color w:val="auto"/>
                <w:sz w:val="21"/>
                <w:szCs w:val="21"/>
                <w:highlight w:val="none"/>
                <w:lang w:val="en-US" w:bidi="ar"/>
              </w:rPr>
              <w:t>2、对照招标文件技术要求，说明所提供货物和服务已对采购人的技术要求逐项作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未提供索引或索引错误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7</w:t>
            </w:r>
            <w:r>
              <w:rPr>
                <w:rFonts w:hint="eastAsia"/>
                <w:color w:val="auto"/>
                <w:sz w:val="21"/>
                <w:szCs w:val="21"/>
                <w:highlight w:val="none"/>
                <w:lang w:val="en-US" w:bidi="ar"/>
              </w:rPr>
              <w:t>.投标文件编制要求</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13.1</w:t>
            </w:r>
          </w:p>
        </w:tc>
        <w:tc>
          <w:tcPr>
            <w:tcW w:w="7623" w:type="dxa"/>
            <w:vAlign w:val="center"/>
          </w:tcPr>
          <w:p>
            <w:pPr>
              <w:widowControl/>
              <w:jc w:val="both"/>
              <w:rPr>
                <w:color w:val="auto"/>
                <w:sz w:val="20"/>
                <w:szCs w:val="20"/>
                <w:highlight w:val="none"/>
              </w:rPr>
            </w:pPr>
            <w:r>
              <w:rPr>
                <w:rFonts w:hint="eastAsia"/>
                <w:color w:val="auto"/>
                <w:sz w:val="21"/>
                <w:szCs w:val="21"/>
                <w:highlight w:val="none"/>
                <w:lang w:val="en-US" w:bidi="ar"/>
              </w:rPr>
              <w:t>响应文件应按资格证明文件、商务技术文件分别编制，资格证明文件分别生产电子文件，商务文件和技术文件按顺序合并生成电子文件。</w:t>
            </w:r>
            <w:r>
              <w:rPr>
                <w:rFonts w:hint="eastAsia"/>
                <w:b/>
                <w:bCs/>
                <w:color w:val="auto"/>
                <w:sz w:val="21"/>
                <w:szCs w:val="21"/>
                <w:highlight w:val="none"/>
                <w:lang w:val="en-US" w:bidi="ar"/>
              </w:rPr>
              <w:t>电子版响应文件制作请咨询政采云平台。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8</w:t>
            </w:r>
            <w:r>
              <w:rPr>
                <w:rFonts w:hint="eastAsia"/>
                <w:color w:val="auto"/>
                <w:sz w:val="21"/>
                <w:szCs w:val="21"/>
                <w:highlight w:val="none"/>
                <w:lang w:val="en-US" w:bidi="ar"/>
              </w:rPr>
              <w:t>.投标报价</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14.1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开标一览表具体格式见“附件 2”</w:t>
            </w:r>
          </w:p>
          <w:p>
            <w:pPr>
              <w:widowControl/>
              <w:jc w:val="both"/>
              <w:rPr>
                <w:color w:val="auto"/>
                <w:sz w:val="21"/>
                <w:szCs w:val="21"/>
                <w:highlight w:val="none"/>
              </w:rPr>
            </w:pPr>
            <w:r>
              <w:rPr>
                <w:rFonts w:hint="eastAsia"/>
                <w:color w:val="auto"/>
                <w:sz w:val="21"/>
                <w:szCs w:val="21"/>
                <w:highlight w:val="none"/>
                <w:lang w:val="en-US" w:bidi="ar"/>
              </w:rPr>
              <w:t>报价方式：</w:t>
            </w:r>
            <w:r>
              <w:rPr>
                <w:rFonts w:hint="eastAsia"/>
                <w:b/>
                <w:color w:val="auto"/>
                <w:sz w:val="21"/>
                <w:szCs w:val="21"/>
                <w:highlight w:val="none"/>
                <w:lang w:val="en-US" w:eastAsia="zh-CN" w:bidi="ar"/>
              </w:rPr>
              <w:t>总价（不含税）</w:t>
            </w:r>
            <w:r>
              <w:rPr>
                <w:rFonts w:hint="eastAsia"/>
                <w:b/>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采购人就本合同约定内容将不再支付投标报价以外的费用。因投标发生的费用缺漏项将是投标人的风险，投标人将无条件给予补充完备，且投标价不变，否则其</w:t>
            </w:r>
            <w:r>
              <w:rPr>
                <w:rFonts w:hint="eastAsia"/>
                <w:b/>
                <w:color w:val="auto"/>
                <w:sz w:val="21"/>
                <w:szCs w:val="21"/>
                <w:highlight w:val="none"/>
                <w:lang w:val="en-US" w:bidi="ar"/>
              </w:rPr>
              <w:t>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vAlign w:val="center"/>
          </w:tcPr>
          <w:p>
            <w:pPr>
              <w:pStyle w:val="15"/>
              <w:jc w:val="center"/>
              <w:rPr>
                <w:color w:val="auto"/>
                <w:sz w:val="21"/>
                <w:szCs w:val="21"/>
                <w:highlight w:val="none"/>
              </w:rPr>
            </w:pP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14.1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报价币种及单位：人民币元，币种及单位不符合该要求的投标将被否决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9</w:t>
            </w:r>
            <w:r>
              <w:rPr>
                <w:rFonts w:hint="eastAsia"/>
                <w:color w:val="auto"/>
                <w:sz w:val="21"/>
                <w:szCs w:val="21"/>
                <w:highlight w:val="none"/>
                <w:lang w:val="en-US" w:bidi="ar"/>
              </w:rPr>
              <w:t>.最高限价</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14.5</w:t>
            </w:r>
          </w:p>
        </w:tc>
        <w:tc>
          <w:tcPr>
            <w:tcW w:w="7623" w:type="dxa"/>
            <w:vAlign w:val="center"/>
          </w:tcPr>
          <w:p>
            <w:pPr>
              <w:widowControl/>
              <w:jc w:val="both"/>
              <w:rPr>
                <w:color w:val="auto"/>
                <w:sz w:val="21"/>
                <w:szCs w:val="21"/>
                <w:highlight w:val="none"/>
                <w:lang w:val="en-US"/>
              </w:rPr>
            </w:pPr>
            <w:r>
              <w:rPr>
                <w:rFonts w:hint="eastAsia"/>
                <w:color w:val="auto"/>
                <w:sz w:val="21"/>
                <w:szCs w:val="21"/>
                <w:highlight w:val="none"/>
                <w:lang w:val="en-US" w:bidi="ar"/>
              </w:rPr>
              <w:t>最高限价（最高投标限价）：</w:t>
            </w:r>
            <w:r>
              <w:rPr>
                <w:rFonts w:hint="eastAsia"/>
                <w:color w:val="auto"/>
                <w:sz w:val="21"/>
                <w:szCs w:val="21"/>
                <w:highlight w:val="none"/>
                <w:lang w:val="en-US" w:eastAsia="zh-CN"/>
              </w:rPr>
              <w:t>260</w:t>
            </w:r>
            <w:r>
              <w:rPr>
                <w:rFonts w:hint="eastAsia"/>
                <w:color w:val="auto"/>
                <w:sz w:val="21"/>
                <w:szCs w:val="21"/>
                <w:highlight w:val="none"/>
              </w:rPr>
              <w:t>0</w:t>
            </w:r>
            <w:r>
              <w:rPr>
                <w:rFonts w:hint="eastAsia"/>
                <w:color w:val="auto"/>
                <w:sz w:val="21"/>
                <w:szCs w:val="21"/>
                <w:highlight w:val="none"/>
                <w:lang w:val="en-US"/>
              </w:rPr>
              <w:t>00元</w:t>
            </w:r>
            <w:r>
              <w:rPr>
                <w:rFonts w:hint="eastAsia"/>
                <w:color w:val="auto"/>
                <w:sz w:val="21"/>
                <w:szCs w:val="21"/>
                <w:highlight w:val="none"/>
                <w:lang w:val="en-US" w:eastAsia="zh-CN"/>
              </w:rPr>
              <w:t>（不含税）</w:t>
            </w:r>
            <w:r>
              <w:rPr>
                <w:rFonts w:hint="eastAsia"/>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eastAsia="zh-CN" w:bidi="ar"/>
              </w:rPr>
              <w:t>20</w:t>
            </w:r>
            <w:r>
              <w:rPr>
                <w:rFonts w:hint="eastAsia"/>
                <w:color w:val="auto"/>
                <w:sz w:val="21"/>
                <w:szCs w:val="21"/>
                <w:highlight w:val="none"/>
                <w:lang w:val="en-US" w:bidi="ar"/>
              </w:rPr>
              <w:t>.投标有效期</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15.1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自投标截止时间之日起 60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2</w:t>
            </w:r>
            <w:r>
              <w:rPr>
                <w:rFonts w:hint="eastAsia"/>
                <w:color w:val="auto"/>
                <w:sz w:val="21"/>
                <w:szCs w:val="21"/>
                <w:highlight w:val="none"/>
                <w:lang w:val="en-US" w:eastAsia="zh-CN" w:bidi="ar"/>
              </w:rPr>
              <w:t>1</w:t>
            </w:r>
            <w:r>
              <w:rPr>
                <w:rFonts w:hint="eastAsia"/>
                <w:color w:val="auto"/>
                <w:sz w:val="21"/>
                <w:szCs w:val="21"/>
                <w:highlight w:val="none"/>
                <w:lang w:val="en-US" w:bidi="ar"/>
              </w:rPr>
              <w:t>.投标保证金</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15.2</w:t>
            </w:r>
          </w:p>
        </w:tc>
        <w:tc>
          <w:tcPr>
            <w:tcW w:w="7623"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投标保证金金额：人民币 </w:t>
            </w:r>
            <w:r>
              <w:rPr>
                <w:rFonts w:hint="eastAsia"/>
                <w:color w:val="auto"/>
                <w:sz w:val="21"/>
                <w:szCs w:val="21"/>
                <w:highlight w:val="none"/>
                <w:lang w:val="en-US" w:eastAsia="zh-CN" w:bidi="ar"/>
              </w:rPr>
              <w:t>52</w:t>
            </w:r>
            <w:r>
              <w:rPr>
                <w:rFonts w:hint="eastAsia"/>
                <w:color w:val="auto"/>
                <w:sz w:val="21"/>
                <w:szCs w:val="21"/>
                <w:highlight w:val="none"/>
                <w:lang w:val="en-US" w:bidi="ar"/>
              </w:rPr>
              <w:t>00 元（</w:t>
            </w:r>
            <w:r>
              <w:rPr>
                <w:rFonts w:hint="eastAsia"/>
                <w:color w:val="auto"/>
                <w:sz w:val="21"/>
                <w:szCs w:val="21"/>
                <w:highlight w:val="none"/>
                <w:lang w:val="en-US" w:eastAsia="zh-CN" w:bidi="ar"/>
              </w:rPr>
              <w:t>伍仟贰佰</w:t>
            </w:r>
            <w:r>
              <w:rPr>
                <w:rFonts w:hint="eastAsia"/>
                <w:color w:val="auto"/>
                <w:sz w:val="21"/>
                <w:szCs w:val="21"/>
                <w:highlight w:val="none"/>
                <w:lang w:val="en-US" w:bidi="ar"/>
              </w:rPr>
              <w:t>元整）</w:t>
            </w:r>
          </w:p>
          <w:p>
            <w:pPr>
              <w:widowControl/>
              <w:jc w:val="both"/>
              <w:rPr>
                <w:color w:val="auto"/>
                <w:sz w:val="21"/>
                <w:szCs w:val="21"/>
                <w:highlight w:val="none"/>
                <w:lang w:val="en-US" w:bidi="ar"/>
              </w:rPr>
            </w:pPr>
            <w:r>
              <w:rPr>
                <w:rFonts w:hint="eastAsia"/>
                <w:color w:val="auto"/>
                <w:sz w:val="21"/>
                <w:szCs w:val="21"/>
                <w:highlight w:val="none"/>
                <w:lang w:val="en-US" w:bidi="ar"/>
              </w:rPr>
              <w:t>投标保证金形式：支票、汇票、本票、网上银行支付、金融机构或担保机构出具的保函等非现金形式</w:t>
            </w:r>
          </w:p>
          <w:p>
            <w:pPr>
              <w:widowControl/>
              <w:jc w:val="both"/>
              <w:rPr>
                <w:color w:val="auto"/>
                <w:sz w:val="21"/>
                <w:szCs w:val="21"/>
                <w:highlight w:val="none"/>
                <w:lang w:val="en-US" w:bidi="ar"/>
              </w:rPr>
            </w:pPr>
            <w:r>
              <w:rPr>
                <w:rFonts w:hint="eastAsia"/>
                <w:color w:val="auto"/>
                <w:sz w:val="21"/>
                <w:szCs w:val="21"/>
                <w:highlight w:val="none"/>
                <w:lang w:val="en-US" w:bidi="ar"/>
              </w:rPr>
              <w:t>投标保证金提交截止时间：投标人应在提交投标文件截止时间前按采购文件规定的金额、形式等，将投标保证金交到保证金收款账户（采用电汇或网上银行支付的，须在提交投标文件截止时间前到账，并注明</w:t>
            </w:r>
            <w:r>
              <w:rPr>
                <w:rFonts w:hint="eastAsia"/>
                <w:b/>
                <w:bCs/>
                <w:color w:val="auto"/>
                <w:sz w:val="21"/>
                <w:szCs w:val="21"/>
                <w:highlight w:val="none"/>
                <w:lang w:val="en-US" w:bidi="ar"/>
              </w:rPr>
              <w:t>“交质检院</w:t>
            </w:r>
            <w:r>
              <w:rPr>
                <w:rFonts w:hint="eastAsia"/>
                <w:color w:val="auto"/>
                <w:sz w:val="21"/>
                <w:szCs w:val="21"/>
                <w:highlight w:val="none"/>
              </w:rPr>
              <w:t>第三批检测设备采购</w:t>
            </w:r>
            <w:r>
              <w:rPr>
                <w:rFonts w:hint="eastAsia"/>
                <w:color w:val="auto"/>
                <w:sz w:val="21"/>
                <w:szCs w:val="21"/>
                <w:highlight w:val="none"/>
                <w:lang w:val="en-US" w:eastAsia="zh-CN"/>
              </w:rPr>
              <w:t>（进口）</w:t>
            </w:r>
            <w:r>
              <w:rPr>
                <w:rFonts w:hint="eastAsia"/>
                <w:b/>
                <w:bCs/>
                <w:color w:val="auto"/>
                <w:sz w:val="21"/>
                <w:szCs w:val="21"/>
                <w:highlight w:val="none"/>
                <w:lang w:val="en-US" w:bidi="ar"/>
              </w:rPr>
              <w:t>投标保证金”</w:t>
            </w:r>
            <w:r>
              <w:rPr>
                <w:rFonts w:hint="eastAsia"/>
                <w:color w:val="auto"/>
                <w:sz w:val="21"/>
                <w:szCs w:val="21"/>
                <w:highlight w:val="none"/>
                <w:lang w:val="en-US" w:bidi="ar"/>
              </w:rPr>
              <w:t>）</w:t>
            </w:r>
          </w:p>
          <w:p>
            <w:pPr>
              <w:widowControl/>
              <w:jc w:val="both"/>
              <w:rPr>
                <w:color w:val="auto"/>
                <w:sz w:val="21"/>
                <w:szCs w:val="21"/>
                <w:highlight w:val="none"/>
                <w:lang w:val="en-US" w:bidi="ar"/>
              </w:rPr>
            </w:pPr>
            <w:r>
              <w:rPr>
                <w:rFonts w:hint="eastAsia"/>
                <w:color w:val="auto"/>
                <w:sz w:val="21"/>
                <w:szCs w:val="21"/>
                <w:highlight w:val="none"/>
                <w:lang w:val="en-US" w:bidi="ar"/>
              </w:rPr>
              <w:t>投标保证金银行账号：</w:t>
            </w:r>
          </w:p>
          <w:p>
            <w:pPr>
              <w:widowControl/>
              <w:jc w:val="both"/>
              <w:rPr>
                <w:color w:val="auto"/>
                <w:sz w:val="21"/>
                <w:szCs w:val="21"/>
                <w:highlight w:val="none"/>
                <w:lang w:val="en-US" w:bidi="ar"/>
              </w:rPr>
            </w:pPr>
            <w:r>
              <w:rPr>
                <w:rFonts w:hint="eastAsia"/>
                <w:color w:val="auto"/>
                <w:sz w:val="21"/>
                <w:szCs w:val="21"/>
                <w:highlight w:val="none"/>
                <w:lang w:val="en-US" w:bidi="ar"/>
              </w:rPr>
              <w:t>开户名称：新疆华恒惠欣工程项目管理有限责任公司</w:t>
            </w:r>
          </w:p>
          <w:p>
            <w:pPr>
              <w:widowControl/>
              <w:jc w:val="both"/>
              <w:rPr>
                <w:color w:val="auto"/>
                <w:sz w:val="21"/>
                <w:szCs w:val="21"/>
                <w:highlight w:val="none"/>
                <w:lang w:val="en-US" w:bidi="ar"/>
              </w:rPr>
            </w:pPr>
            <w:r>
              <w:rPr>
                <w:rFonts w:hint="eastAsia"/>
                <w:color w:val="auto"/>
                <w:sz w:val="21"/>
                <w:szCs w:val="21"/>
                <w:highlight w:val="none"/>
                <w:lang w:val="en-US" w:bidi="ar"/>
              </w:rPr>
              <w:t>账号：632815927</w:t>
            </w:r>
          </w:p>
          <w:p>
            <w:pPr>
              <w:widowControl/>
              <w:jc w:val="both"/>
              <w:rPr>
                <w:color w:val="auto"/>
                <w:sz w:val="21"/>
                <w:szCs w:val="21"/>
                <w:highlight w:val="none"/>
                <w:lang w:val="en-US" w:bidi="ar"/>
              </w:rPr>
            </w:pPr>
            <w:r>
              <w:rPr>
                <w:rFonts w:hint="eastAsia"/>
                <w:color w:val="auto"/>
                <w:sz w:val="21"/>
                <w:szCs w:val="21"/>
                <w:highlight w:val="none"/>
                <w:lang w:val="en-US" w:bidi="ar"/>
              </w:rPr>
              <w:t>开户银行：中国民生银行乌鲁木齐分行营业部</w:t>
            </w:r>
          </w:p>
          <w:p>
            <w:pPr>
              <w:widowControl/>
              <w:jc w:val="both"/>
              <w:rPr>
                <w:color w:val="auto"/>
                <w:sz w:val="21"/>
                <w:szCs w:val="21"/>
                <w:highlight w:val="none"/>
                <w:lang w:val="en-US" w:bidi="ar"/>
              </w:rPr>
            </w:pPr>
            <w:r>
              <w:rPr>
                <w:rFonts w:hint="eastAsia"/>
                <w:color w:val="auto"/>
                <w:sz w:val="21"/>
                <w:szCs w:val="21"/>
                <w:highlight w:val="none"/>
                <w:lang w:val="en-US" w:bidi="ar"/>
              </w:rPr>
              <w:t>行号：305881088014</w:t>
            </w:r>
          </w:p>
          <w:p>
            <w:pPr>
              <w:widowControl/>
              <w:jc w:val="both"/>
              <w:rPr>
                <w:color w:val="auto"/>
                <w:sz w:val="20"/>
                <w:szCs w:val="20"/>
                <w:highlight w:val="none"/>
              </w:rPr>
            </w:pPr>
            <w:r>
              <w:rPr>
                <w:rFonts w:hint="eastAsia"/>
                <w:color w:val="auto"/>
                <w:sz w:val="21"/>
                <w:szCs w:val="21"/>
                <w:highlight w:val="none"/>
                <w:lang w:val="en-US"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2</w:t>
            </w:r>
            <w:r>
              <w:rPr>
                <w:rFonts w:hint="eastAsia"/>
                <w:color w:val="auto"/>
                <w:sz w:val="21"/>
                <w:szCs w:val="21"/>
                <w:highlight w:val="none"/>
                <w:lang w:val="en-US" w:eastAsia="zh-CN" w:bidi="ar"/>
              </w:rPr>
              <w:t>2</w:t>
            </w:r>
            <w:r>
              <w:rPr>
                <w:rFonts w:hint="eastAsia"/>
                <w:color w:val="auto"/>
                <w:sz w:val="21"/>
                <w:szCs w:val="21"/>
                <w:highlight w:val="none"/>
                <w:lang w:val="en-US" w:bidi="ar"/>
              </w:rPr>
              <w:t>.备份投标文件</w:t>
            </w:r>
          </w:p>
        </w:tc>
        <w:tc>
          <w:tcPr>
            <w:tcW w:w="885" w:type="dxa"/>
            <w:vAlign w:val="center"/>
          </w:tcPr>
          <w:p>
            <w:pPr>
              <w:widowControl/>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16.4</w:t>
            </w:r>
          </w:p>
        </w:tc>
        <w:tc>
          <w:tcPr>
            <w:tcW w:w="7623" w:type="dxa"/>
            <w:vAlign w:val="center"/>
          </w:tcPr>
          <w:p>
            <w:pPr>
              <w:widowControl/>
              <w:autoSpaceDE/>
              <w:autoSpaceDN/>
              <w:jc w:val="both"/>
              <w:rPr>
                <w:rFonts w:ascii="Times New Roman" w:hAnsi="Times New Roman" w:cs="Times New Roman"/>
                <w:color w:val="auto"/>
                <w:kern w:val="2"/>
                <w:sz w:val="21"/>
                <w:szCs w:val="24"/>
                <w:highlight w:val="none"/>
                <w:lang w:val="en-US" w:bidi="ar-SA"/>
              </w:rPr>
            </w:pPr>
            <w:r>
              <w:rPr>
                <w:rFonts w:hint="eastAsia" w:ascii="Times New Roman" w:hAnsi="Times New Roman" w:cs="Times New Roman"/>
                <w:color w:val="auto"/>
                <w:kern w:val="2"/>
                <w:sz w:val="21"/>
                <w:szCs w:val="24"/>
                <w:highlight w:val="none"/>
                <w:lang w:val="en-US" w:bidi="ar-SA"/>
              </w:rPr>
              <w:t>中标</w:t>
            </w:r>
            <w:r>
              <w:rPr>
                <w:rFonts w:hint="eastAsia" w:ascii="Times New Roman" w:hAnsi="Times New Roman" w:cs="Times New Roman"/>
                <w:color w:val="auto"/>
                <w:kern w:val="2"/>
                <w:sz w:val="21"/>
                <w:szCs w:val="24"/>
                <w:highlight w:val="none"/>
                <w:lang w:val="en-US" w:eastAsia="zh-CN" w:bidi="ar-SA"/>
              </w:rPr>
              <w:t>投标人</w:t>
            </w:r>
            <w:r>
              <w:rPr>
                <w:rFonts w:hint="eastAsia" w:ascii="Times New Roman" w:hAnsi="Times New Roman" w:cs="Times New Roman"/>
                <w:color w:val="auto"/>
                <w:kern w:val="2"/>
                <w:sz w:val="21"/>
                <w:szCs w:val="24"/>
                <w:highlight w:val="none"/>
                <w:lang w:val="en-US" w:bidi="ar-SA"/>
              </w:rPr>
              <w:t>在领取中标通知书时须向代理机构提供纸质版投标文件正本1份，副本2份（归档资料备用），并标明正本副本字样，副本可为正本复印件。</w:t>
            </w:r>
          </w:p>
          <w:p>
            <w:pPr>
              <w:widowControl/>
              <w:autoSpaceDE/>
              <w:autoSpaceDN/>
              <w:jc w:val="both"/>
              <w:rPr>
                <w:rFonts w:ascii="Times New Roman" w:hAnsi="Times New Roman" w:cs="Times New Roman"/>
                <w:color w:val="auto"/>
                <w:kern w:val="2"/>
                <w:sz w:val="21"/>
                <w:szCs w:val="24"/>
                <w:highlight w:val="none"/>
                <w:lang w:val="en-US" w:bidi="ar-SA"/>
              </w:rPr>
            </w:pPr>
            <w:r>
              <w:rPr>
                <w:rFonts w:hint="eastAsia" w:ascii="Times New Roman" w:hAnsi="Times New Roman" w:cs="Times New Roman"/>
                <w:color w:val="auto"/>
                <w:kern w:val="2"/>
                <w:sz w:val="21"/>
                <w:szCs w:val="24"/>
                <w:highlight w:val="none"/>
                <w:lang w:val="en-US" w:bidi="ar-SA"/>
              </w:rPr>
              <w:t>注：纸质版投标文件必须与不见面开标系统上传的电子版固化投标文件相同，正本纸质投标文件需有单位鲜章（彩色打印）。</w:t>
            </w:r>
          </w:p>
          <w:p>
            <w:pPr>
              <w:widowControl/>
              <w:autoSpaceDE/>
              <w:autoSpaceDN/>
              <w:jc w:val="both"/>
              <w:rPr>
                <w:rFonts w:ascii="Times New Roman" w:hAnsi="Times New Roman" w:cs="Times New Roman"/>
                <w:color w:val="auto"/>
                <w:kern w:val="2"/>
                <w:sz w:val="21"/>
                <w:szCs w:val="24"/>
                <w:highlight w:val="none"/>
                <w:lang w:val="en-US" w:bidi="ar-SA"/>
              </w:rPr>
            </w:pPr>
            <w:r>
              <w:rPr>
                <w:rFonts w:hint="eastAsia" w:ascii="Times New Roman" w:hAnsi="Times New Roman" w:cs="Times New Roman"/>
                <w:color w:val="auto"/>
                <w:kern w:val="2"/>
                <w:sz w:val="21"/>
                <w:szCs w:val="24"/>
                <w:highlight w:val="none"/>
                <w:lang w:val="en-US" w:bidi="ar-SA"/>
              </w:rPr>
              <w:t>提交方式：现场提交或邮寄</w:t>
            </w:r>
          </w:p>
          <w:p>
            <w:pPr>
              <w:widowControl/>
              <w:jc w:val="both"/>
              <w:rPr>
                <w:color w:val="auto"/>
                <w:sz w:val="21"/>
                <w:szCs w:val="21"/>
                <w:highlight w:val="none"/>
              </w:rPr>
            </w:pPr>
            <w:r>
              <w:rPr>
                <w:rFonts w:hint="eastAsia" w:ascii="Times New Roman" w:hAnsi="Times New Roman" w:cs="Times New Roman"/>
                <w:color w:val="auto"/>
                <w:kern w:val="2"/>
                <w:sz w:val="21"/>
                <w:szCs w:val="20"/>
                <w:highlight w:val="none"/>
                <w:lang w:val="en-US" w:bidi="ar-SA"/>
              </w:rPr>
              <w:t>提交份数：正本一份，副本二份（归档资料备用）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r>
              <w:rPr>
                <w:rFonts w:hint="eastAsia"/>
                <w:color w:val="auto"/>
                <w:sz w:val="21"/>
                <w:szCs w:val="21"/>
                <w:highlight w:val="none"/>
                <w:lang w:val="en-US" w:eastAsia="zh-CN" w:bidi="ar"/>
              </w:rPr>
              <w:t>3</w:t>
            </w:r>
            <w:r>
              <w:rPr>
                <w:rFonts w:hint="eastAsia"/>
                <w:color w:val="auto"/>
                <w:sz w:val="21"/>
                <w:szCs w:val="21"/>
                <w:highlight w:val="none"/>
                <w:lang w:val="en-US" w:bidi="ar"/>
              </w:rPr>
              <w:t>.</w:t>
            </w:r>
            <w:r>
              <w:rPr>
                <w:rFonts w:hint="eastAsia"/>
                <w:color w:val="auto"/>
                <w:sz w:val="21"/>
                <w:szCs w:val="21"/>
                <w:highlight w:val="none"/>
              </w:rPr>
              <w:t>样品</w:t>
            </w:r>
          </w:p>
        </w:tc>
        <w:tc>
          <w:tcPr>
            <w:tcW w:w="885" w:type="dxa"/>
            <w:vAlign w:val="center"/>
          </w:tcPr>
          <w:p>
            <w:pPr>
              <w:widowControl/>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17</w:t>
            </w:r>
          </w:p>
        </w:tc>
        <w:tc>
          <w:tcPr>
            <w:tcW w:w="7623" w:type="dxa"/>
            <w:vAlign w:val="center"/>
          </w:tcPr>
          <w:p>
            <w:pPr>
              <w:adjustRightInd w:val="0"/>
              <w:spacing w:line="34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无</w:t>
            </w:r>
          </w:p>
          <w:p>
            <w:pPr>
              <w:adjustRightInd w:val="0"/>
              <w:spacing w:line="340" w:lineRule="exact"/>
              <w:jc w:val="both"/>
              <w:rPr>
                <w:color w:val="auto"/>
                <w:sz w:val="21"/>
                <w:szCs w:val="21"/>
                <w:highlight w:val="none"/>
                <w:lang w:val="en-US" w:bidi="ar"/>
              </w:rPr>
            </w:pPr>
            <w:r>
              <w:rPr>
                <w:rFonts w:hint="eastAsia"/>
                <w:color w:val="auto"/>
                <w:kern w:val="2"/>
                <w:sz w:val="21"/>
                <w:szCs w:val="21"/>
                <w:highlight w:val="none"/>
                <w:lang w:val="en-US" w:bidi="ar-SA"/>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r>
              <w:rPr>
                <w:rFonts w:hint="eastAsia"/>
                <w:color w:val="auto"/>
                <w:sz w:val="21"/>
                <w:szCs w:val="21"/>
                <w:highlight w:val="none"/>
                <w:lang w:val="en-US" w:eastAsia="zh-CN" w:bidi="ar"/>
              </w:rPr>
              <w:t>4</w:t>
            </w:r>
            <w:r>
              <w:rPr>
                <w:rFonts w:hint="eastAsia"/>
                <w:color w:val="auto"/>
                <w:sz w:val="21"/>
                <w:szCs w:val="21"/>
                <w:highlight w:val="none"/>
                <w:lang w:val="en-US" w:bidi="ar"/>
              </w:rPr>
              <w:t>.投标文件提交地点及截止时间</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18.1</w:t>
            </w:r>
          </w:p>
        </w:tc>
        <w:tc>
          <w:tcPr>
            <w:tcW w:w="7623" w:type="dxa"/>
            <w:vAlign w:val="center"/>
          </w:tcPr>
          <w:p>
            <w:pPr>
              <w:adjustRightInd w:val="0"/>
              <w:snapToGrid w:val="0"/>
              <w:jc w:val="both"/>
              <w:rPr>
                <w:color w:val="auto"/>
                <w:sz w:val="21"/>
                <w:szCs w:val="21"/>
                <w:highlight w:val="none"/>
                <w:lang w:val="en-US"/>
              </w:rPr>
            </w:pPr>
            <w:r>
              <w:rPr>
                <w:rFonts w:hint="eastAsia"/>
                <w:color w:val="auto"/>
                <w:sz w:val="21"/>
                <w:szCs w:val="21"/>
                <w:highlight w:val="none"/>
              </w:rPr>
              <w:t>提交地点：</w:t>
            </w:r>
            <w:r>
              <w:rPr>
                <w:rFonts w:hint="eastAsia"/>
                <w:color w:val="auto"/>
                <w:sz w:val="21"/>
                <w:szCs w:val="21"/>
                <w:highlight w:val="none"/>
                <w:lang w:val="en-US"/>
              </w:rPr>
              <w:t>详见“第一章 投标邀请”</w:t>
            </w:r>
          </w:p>
          <w:p>
            <w:pPr>
              <w:adjustRightInd w:val="0"/>
              <w:snapToGrid w:val="0"/>
              <w:jc w:val="both"/>
              <w:rPr>
                <w:color w:val="auto"/>
                <w:sz w:val="20"/>
                <w:szCs w:val="20"/>
                <w:highlight w:val="none"/>
              </w:rPr>
            </w:pPr>
            <w:r>
              <w:rPr>
                <w:rFonts w:hint="eastAsia"/>
                <w:color w:val="auto"/>
                <w:sz w:val="21"/>
                <w:szCs w:val="21"/>
                <w:highlight w:val="none"/>
              </w:rPr>
              <w:t>投标截止时间：</w:t>
            </w:r>
            <w:r>
              <w:rPr>
                <w:rFonts w:hint="eastAsia"/>
                <w:color w:val="auto"/>
                <w:sz w:val="21"/>
                <w:szCs w:val="21"/>
                <w:highlight w:val="none"/>
                <w:lang w:val="en-US"/>
              </w:rPr>
              <w:t>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320" w:lineRule="exact"/>
              <w:jc w:val="cente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val="en-US" w:eastAsia="zh-CN" w:bidi="ar-SA"/>
              </w:rPr>
              <w:t>5</w:t>
            </w:r>
            <w:r>
              <w:rPr>
                <w:rFonts w:hint="eastAsia"/>
                <w:color w:val="auto"/>
                <w:kern w:val="2"/>
                <w:sz w:val="21"/>
                <w:szCs w:val="21"/>
                <w:highlight w:val="none"/>
                <w:lang w:val="en-US" w:bidi="ar-SA"/>
              </w:rPr>
              <w:t>.开标时间和地点</w:t>
            </w:r>
          </w:p>
        </w:tc>
        <w:tc>
          <w:tcPr>
            <w:tcW w:w="885" w:type="dxa"/>
            <w:vAlign w:val="center"/>
          </w:tcPr>
          <w:p>
            <w:pPr>
              <w:pStyle w:val="15"/>
              <w:jc w:val="center"/>
              <w:rPr>
                <w:color w:val="auto"/>
                <w:sz w:val="21"/>
                <w:szCs w:val="21"/>
                <w:highlight w:val="none"/>
                <w:lang w:val="en-US"/>
              </w:rPr>
            </w:pPr>
            <w:r>
              <w:rPr>
                <w:rFonts w:hint="eastAsia"/>
                <w:color w:val="auto"/>
                <w:sz w:val="21"/>
                <w:szCs w:val="21"/>
                <w:highlight w:val="none"/>
                <w:lang w:val="en-US"/>
              </w:rPr>
              <w:t>20.1</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开标时间：详见“第一章 投标邀请”</w:t>
            </w:r>
          </w:p>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开标地点：详见“第一章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320" w:lineRule="exact"/>
              <w:jc w:val="cente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val="en-US" w:eastAsia="zh-CN" w:bidi="ar-SA"/>
              </w:rPr>
              <w:t>6</w:t>
            </w:r>
            <w:r>
              <w:rPr>
                <w:rFonts w:hint="eastAsia"/>
                <w:color w:val="auto"/>
                <w:kern w:val="2"/>
                <w:sz w:val="21"/>
                <w:szCs w:val="21"/>
                <w:highlight w:val="none"/>
                <w:lang w:val="en-US" w:bidi="ar-SA"/>
              </w:rPr>
              <w:t>.评标委员会组成</w:t>
            </w:r>
          </w:p>
        </w:tc>
        <w:tc>
          <w:tcPr>
            <w:tcW w:w="885" w:type="dxa"/>
            <w:vAlign w:val="center"/>
          </w:tcPr>
          <w:p>
            <w:pPr>
              <w:pStyle w:val="15"/>
              <w:jc w:val="center"/>
              <w:rPr>
                <w:color w:val="auto"/>
                <w:sz w:val="21"/>
                <w:szCs w:val="21"/>
                <w:highlight w:val="none"/>
                <w:lang w:val="en-US"/>
              </w:rPr>
            </w:pPr>
            <w:r>
              <w:rPr>
                <w:rFonts w:hint="eastAsia"/>
                <w:color w:val="auto"/>
                <w:sz w:val="21"/>
                <w:szCs w:val="21"/>
                <w:highlight w:val="none"/>
                <w:lang w:val="en-US"/>
              </w:rPr>
              <w:t>21.3</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评标委员会构成：5人，业主代表1人，专家4人。</w:t>
            </w:r>
          </w:p>
          <w:p>
            <w:pPr>
              <w:adjustRightInd w:val="0"/>
              <w:spacing w:line="320" w:lineRule="exact"/>
              <w:jc w:val="both"/>
              <w:rPr>
                <w:b/>
                <w:color w:val="auto"/>
                <w:sz w:val="21"/>
                <w:szCs w:val="21"/>
                <w:highlight w:val="none"/>
                <w:lang w:val="en-US" w:bidi="ar"/>
              </w:rPr>
            </w:pPr>
            <w:r>
              <w:rPr>
                <w:rFonts w:hint="eastAsia"/>
                <w:color w:val="auto"/>
                <w:kern w:val="2"/>
                <w:sz w:val="21"/>
                <w:szCs w:val="21"/>
                <w:highlight w:val="none"/>
                <w:lang w:val="en-US" w:bidi="ar-SA"/>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460" w:lineRule="exact"/>
              <w:jc w:val="cente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val="en-US" w:eastAsia="zh-CN" w:bidi="ar-SA"/>
              </w:rPr>
              <w:t>7</w:t>
            </w:r>
            <w:r>
              <w:rPr>
                <w:rFonts w:hint="eastAsia"/>
                <w:color w:val="auto"/>
                <w:kern w:val="2"/>
                <w:sz w:val="21"/>
                <w:szCs w:val="21"/>
                <w:highlight w:val="none"/>
                <w:lang w:val="en-US" w:bidi="ar-SA"/>
              </w:rPr>
              <w:t>.评标办法</w:t>
            </w:r>
          </w:p>
        </w:tc>
        <w:tc>
          <w:tcPr>
            <w:tcW w:w="885" w:type="dxa"/>
            <w:vAlign w:val="center"/>
          </w:tcPr>
          <w:p>
            <w:pPr>
              <w:pStyle w:val="15"/>
              <w:jc w:val="center"/>
              <w:rPr>
                <w:color w:val="auto"/>
                <w:sz w:val="21"/>
                <w:szCs w:val="21"/>
                <w:highlight w:val="none"/>
                <w:lang w:val="en-US"/>
              </w:rPr>
            </w:pPr>
            <w:r>
              <w:rPr>
                <w:rFonts w:hint="eastAsia"/>
                <w:color w:val="auto"/>
                <w:sz w:val="21"/>
                <w:szCs w:val="21"/>
                <w:highlight w:val="none"/>
                <w:lang w:val="en-US"/>
              </w:rPr>
              <w:t>22.1</w:t>
            </w:r>
          </w:p>
        </w:tc>
        <w:tc>
          <w:tcPr>
            <w:tcW w:w="7623" w:type="dxa"/>
            <w:vAlign w:val="center"/>
          </w:tcPr>
          <w:p>
            <w:pPr>
              <w:adjustRightInd w:val="0"/>
              <w:spacing w:line="34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√综合评分法</w:t>
            </w:r>
          </w:p>
          <w:p>
            <w:pPr>
              <w:adjustRightInd w:val="0"/>
              <w:spacing w:line="340" w:lineRule="exact"/>
              <w:jc w:val="both"/>
              <w:rPr>
                <w:b/>
                <w:color w:val="auto"/>
                <w:sz w:val="21"/>
                <w:szCs w:val="21"/>
                <w:highlight w:val="none"/>
                <w:lang w:val="en-US" w:bidi="ar"/>
              </w:rPr>
            </w:pPr>
            <w:r>
              <w:rPr>
                <w:rFonts w:hint="eastAsia"/>
                <w:b/>
                <w:bCs/>
                <w:color w:val="auto"/>
                <w:kern w:val="2"/>
                <w:sz w:val="21"/>
                <w:szCs w:val="21"/>
                <w:highlight w:val="none"/>
                <w:lang w:val="en-US"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rPr>
            </w:pPr>
            <w:r>
              <w:rPr>
                <w:rFonts w:hint="eastAsia"/>
                <w:color w:val="auto"/>
                <w:sz w:val="21"/>
                <w:szCs w:val="21"/>
                <w:highlight w:val="none"/>
                <w:lang w:val="en-US" w:bidi="ar"/>
              </w:rPr>
              <w:t>2</w:t>
            </w:r>
            <w:r>
              <w:rPr>
                <w:rFonts w:hint="eastAsia"/>
                <w:color w:val="auto"/>
                <w:sz w:val="21"/>
                <w:szCs w:val="21"/>
                <w:highlight w:val="none"/>
                <w:lang w:val="en-US" w:eastAsia="zh-CN" w:bidi="ar"/>
              </w:rPr>
              <w:t>8</w:t>
            </w:r>
            <w:r>
              <w:rPr>
                <w:rFonts w:hint="eastAsia"/>
                <w:color w:val="auto"/>
                <w:sz w:val="21"/>
                <w:szCs w:val="21"/>
                <w:highlight w:val="none"/>
                <w:lang w:val="en-US" w:bidi="ar"/>
              </w:rPr>
              <w:t>.其它无效投标情况</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22.2.3</w:t>
            </w:r>
          </w:p>
          <w:p>
            <w:pPr>
              <w:widowControl/>
              <w:jc w:val="center"/>
              <w:rPr>
                <w:color w:val="auto"/>
                <w:sz w:val="21"/>
                <w:szCs w:val="21"/>
                <w:highlight w:val="none"/>
                <w:lang w:val="en-US"/>
              </w:rPr>
            </w:pPr>
            <w:r>
              <w:rPr>
                <w:rFonts w:hint="eastAsia"/>
                <w:color w:val="auto"/>
                <w:sz w:val="21"/>
                <w:szCs w:val="21"/>
                <w:highlight w:val="none"/>
                <w:lang w:val="en-US"/>
              </w:rPr>
              <w:t>（2）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 xml:space="preserve">1）货物招标时，投标分项报价表中对采购需求一览表中所列货物的缺项或数量缺少都将被视为未实质性响应招标文件； </w:t>
            </w:r>
          </w:p>
          <w:p>
            <w:pPr>
              <w:widowControl/>
              <w:jc w:val="both"/>
              <w:rPr>
                <w:b/>
                <w:bCs/>
                <w:color w:val="auto"/>
                <w:sz w:val="21"/>
                <w:szCs w:val="21"/>
                <w:highlight w:val="none"/>
              </w:rPr>
            </w:pPr>
            <w:r>
              <w:rPr>
                <w:rFonts w:hint="eastAsia"/>
                <w:color w:val="auto"/>
                <w:sz w:val="21"/>
                <w:szCs w:val="21"/>
                <w:highlight w:val="none"/>
                <w:lang w:val="en-US"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r>
              <w:rPr>
                <w:rFonts w:hint="eastAsia"/>
                <w:color w:val="auto"/>
                <w:sz w:val="21"/>
                <w:szCs w:val="21"/>
                <w:highlight w:val="none"/>
                <w:lang w:val="en-US" w:eastAsia="zh-CN" w:bidi="ar"/>
              </w:rPr>
              <w:t>9</w:t>
            </w:r>
            <w:r>
              <w:rPr>
                <w:rFonts w:hint="eastAsia"/>
                <w:color w:val="auto"/>
                <w:sz w:val="21"/>
                <w:szCs w:val="21"/>
                <w:highlight w:val="none"/>
                <w:lang w:val="en-US" w:bidi="ar"/>
              </w:rPr>
              <w:t>.核心产品</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22.2.6</w:t>
            </w:r>
          </w:p>
        </w:tc>
        <w:tc>
          <w:tcPr>
            <w:tcW w:w="7623" w:type="dxa"/>
            <w:vAlign w:val="center"/>
          </w:tcPr>
          <w:p>
            <w:pPr>
              <w:widowControl/>
              <w:jc w:val="both"/>
              <w:rPr>
                <w:color w:val="auto"/>
                <w:sz w:val="20"/>
                <w:szCs w:val="20"/>
                <w:highlight w:val="none"/>
                <w:lang w:val="en-US"/>
              </w:rPr>
            </w:pPr>
            <w:r>
              <w:rPr>
                <w:rFonts w:hint="eastAsia"/>
                <w:color w:val="auto"/>
                <w:sz w:val="21"/>
                <w:szCs w:val="21"/>
                <w:highlight w:val="none"/>
                <w:lang w:val="en-US" w:bidi="ar"/>
              </w:rPr>
              <w:t>本项目核心产品：绝缘油耐压测试仪；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eastAsia="zh-CN" w:bidi="ar"/>
              </w:rPr>
              <w:t>30</w:t>
            </w:r>
            <w:r>
              <w:rPr>
                <w:rFonts w:hint="eastAsia"/>
                <w:color w:val="auto"/>
                <w:sz w:val="21"/>
                <w:szCs w:val="21"/>
                <w:highlight w:val="none"/>
                <w:lang w:val="en-US" w:bidi="ar"/>
              </w:rPr>
              <w:t>.提供相同品牌产品的不同投标人的中标候选人推荐原则</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23.1.5</w:t>
            </w:r>
          </w:p>
          <w:p>
            <w:pPr>
              <w:widowControl/>
              <w:jc w:val="center"/>
              <w:rPr>
                <w:color w:val="auto"/>
                <w:sz w:val="21"/>
                <w:szCs w:val="21"/>
                <w:highlight w:val="none"/>
                <w:lang w:val="en-US"/>
              </w:rPr>
            </w:pPr>
            <w:r>
              <w:rPr>
                <w:rFonts w:hint="eastAsia"/>
                <w:color w:val="auto"/>
                <w:sz w:val="21"/>
                <w:szCs w:val="21"/>
                <w:highlight w:val="none"/>
                <w:lang w:val="en-US"/>
              </w:rPr>
              <w:t>23.1.6</w:t>
            </w:r>
          </w:p>
        </w:tc>
        <w:tc>
          <w:tcPr>
            <w:tcW w:w="7623" w:type="dxa"/>
            <w:vAlign w:val="center"/>
          </w:tcPr>
          <w:p>
            <w:pPr>
              <w:widowControl/>
              <w:jc w:val="both"/>
              <w:rPr>
                <w:color w:val="auto"/>
                <w:sz w:val="21"/>
                <w:szCs w:val="21"/>
                <w:highlight w:val="none"/>
                <w:lang w:val="en-US"/>
              </w:rPr>
            </w:pPr>
            <w:r>
              <w:rPr>
                <w:rFonts w:hint="eastAsia"/>
                <w:color w:val="auto"/>
                <w:sz w:val="21"/>
                <w:szCs w:val="21"/>
                <w:highlight w:val="none"/>
                <w:lang w:val="en-US" w:bidi="ar"/>
              </w:rPr>
              <w:t>提供相同品牌产品的不同投标人的中标候选人推荐原则是综合得分最高的为第一中标候选人。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3</w:t>
            </w:r>
            <w:r>
              <w:rPr>
                <w:rFonts w:hint="eastAsia"/>
                <w:color w:val="auto"/>
                <w:sz w:val="21"/>
                <w:szCs w:val="21"/>
                <w:highlight w:val="none"/>
                <w:lang w:val="en-US" w:eastAsia="zh-CN" w:bidi="ar"/>
              </w:rPr>
              <w:t>1</w:t>
            </w:r>
            <w:r>
              <w:rPr>
                <w:rFonts w:hint="eastAsia"/>
                <w:color w:val="auto"/>
                <w:sz w:val="21"/>
                <w:szCs w:val="21"/>
                <w:highlight w:val="none"/>
                <w:lang w:val="en-US" w:bidi="ar"/>
              </w:rPr>
              <w:t>.兼投不兼中说明</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23.1.7</w:t>
            </w:r>
          </w:p>
        </w:tc>
        <w:tc>
          <w:tcPr>
            <w:tcW w:w="7623" w:type="dxa"/>
            <w:vAlign w:val="center"/>
          </w:tcPr>
          <w:p>
            <w:pPr>
              <w:widowControl/>
              <w:jc w:val="both"/>
              <w:rPr>
                <w:rFonts w:hint="default" w:eastAsia="宋体"/>
                <w:color w:val="auto"/>
                <w:sz w:val="21"/>
                <w:szCs w:val="21"/>
                <w:highlight w:val="none"/>
                <w:lang w:val="en-US" w:eastAsia="zh-CN" w:bidi="ar"/>
              </w:rPr>
            </w:pPr>
            <w:r>
              <w:rPr>
                <w:rFonts w:hint="eastAsia"/>
                <w:color w:val="auto"/>
                <w:sz w:val="21"/>
                <w:szCs w:val="21"/>
                <w:highlight w:val="none"/>
                <w:lang w:val="en-US" w:bidi="ar"/>
              </w:rPr>
              <w:t>是否兼投不兼中：</w:t>
            </w:r>
            <w:r>
              <w:rPr>
                <w:rFonts w:hint="eastAsia"/>
                <w:color w:val="auto"/>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320" w:lineRule="exact"/>
              <w:jc w:val="center"/>
              <w:rPr>
                <w:color w:val="auto"/>
                <w:kern w:val="2"/>
                <w:sz w:val="21"/>
                <w:szCs w:val="21"/>
                <w:highlight w:val="none"/>
                <w:lang w:val="en-US" w:bidi="ar-SA"/>
              </w:rPr>
            </w:pPr>
            <w:r>
              <w:rPr>
                <w:rFonts w:hint="eastAsia"/>
                <w:color w:val="auto"/>
                <w:kern w:val="2"/>
                <w:sz w:val="21"/>
                <w:szCs w:val="21"/>
                <w:highlight w:val="none"/>
                <w:lang w:val="en-US" w:bidi="ar-SA"/>
              </w:rPr>
              <w:t>3</w:t>
            </w:r>
            <w:r>
              <w:rPr>
                <w:rFonts w:hint="eastAsia"/>
                <w:color w:val="auto"/>
                <w:kern w:val="2"/>
                <w:sz w:val="21"/>
                <w:szCs w:val="21"/>
                <w:highlight w:val="none"/>
                <w:lang w:val="en-US" w:eastAsia="zh-CN" w:bidi="ar-SA"/>
              </w:rPr>
              <w:t>2</w:t>
            </w:r>
            <w:r>
              <w:rPr>
                <w:rFonts w:hint="eastAsia"/>
                <w:color w:val="auto"/>
                <w:kern w:val="2"/>
                <w:sz w:val="21"/>
                <w:szCs w:val="21"/>
                <w:highlight w:val="none"/>
                <w:lang w:val="en-US" w:bidi="ar-SA"/>
              </w:rPr>
              <w:t>.推荐的中标候选人数量</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23.3</w:t>
            </w:r>
          </w:p>
        </w:tc>
        <w:tc>
          <w:tcPr>
            <w:tcW w:w="7623" w:type="dxa"/>
            <w:vAlign w:val="center"/>
          </w:tcPr>
          <w:p>
            <w:pPr>
              <w:adjustRightInd w:val="0"/>
              <w:spacing w:line="460" w:lineRule="exact"/>
              <w:jc w:val="both"/>
              <w:rPr>
                <w:b/>
                <w:color w:val="auto"/>
                <w:sz w:val="21"/>
                <w:szCs w:val="21"/>
                <w:highlight w:val="none"/>
                <w:lang w:val="en-US" w:bidi="ar"/>
              </w:rPr>
            </w:pPr>
            <w:r>
              <w:rPr>
                <w:rFonts w:hint="eastAsia"/>
                <w:color w:val="auto"/>
                <w:kern w:val="2"/>
                <w:sz w:val="21"/>
                <w:szCs w:val="21"/>
                <w:highlight w:val="none"/>
                <w:lang w:val="en-US" w:bidi="ar-SA"/>
              </w:rPr>
              <w:t>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bCs/>
                <w:color w:val="auto"/>
                <w:sz w:val="21"/>
                <w:szCs w:val="21"/>
                <w:highlight w:val="none"/>
                <w:lang w:val="en-US"/>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w:t>
            </w:r>
            <w:r>
              <w:rPr>
                <w:rFonts w:hint="eastAsia"/>
                <w:color w:val="auto"/>
                <w:sz w:val="21"/>
                <w:szCs w:val="21"/>
                <w:highlight w:val="none"/>
                <w:lang w:val="en-US" w:eastAsia="zh-CN" w:bidi="ar"/>
              </w:rPr>
              <w:t>3</w:t>
            </w:r>
            <w:r>
              <w:rPr>
                <w:rFonts w:hint="eastAsia"/>
                <w:color w:val="auto"/>
                <w:sz w:val="21"/>
                <w:szCs w:val="21"/>
                <w:highlight w:val="none"/>
                <w:lang w:val="en-US" w:bidi="ar"/>
              </w:rPr>
              <w:t>.定标主体</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28.1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w:t>
            </w:r>
            <w:r>
              <w:rPr>
                <w:rFonts w:hint="eastAsia"/>
                <w:color w:val="auto"/>
                <w:sz w:val="21"/>
                <w:szCs w:val="21"/>
                <w:highlight w:val="none"/>
                <w:lang w:val="en-US" w:eastAsia="zh-CN" w:bidi="ar"/>
              </w:rPr>
              <w:t>4</w:t>
            </w:r>
            <w:r>
              <w:rPr>
                <w:rFonts w:hint="eastAsia"/>
                <w:color w:val="auto"/>
                <w:sz w:val="21"/>
                <w:szCs w:val="21"/>
                <w:highlight w:val="none"/>
                <w:lang w:val="en-US" w:bidi="ar"/>
              </w:rPr>
              <w:t>.中标候选人并列的处理</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28.2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中标候选人并列的，采购人将确定报价得分较高者为中标人。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3</w:t>
            </w:r>
            <w:r>
              <w:rPr>
                <w:rFonts w:hint="eastAsia"/>
                <w:color w:val="auto"/>
                <w:sz w:val="21"/>
                <w:szCs w:val="21"/>
                <w:highlight w:val="none"/>
                <w:lang w:val="en-US" w:eastAsia="zh-CN"/>
              </w:rPr>
              <w:t>5</w:t>
            </w:r>
            <w:r>
              <w:rPr>
                <w:rFonts w:hint="eastAsia"/>
                <w:color w:val="auto"/>
                <w:sz w:val="21"/>
                <w:szCs w:val="21"/>
                <w:highlight w:val="none"/>
                <w:lang w:val="en-US"/>
              </w:rPr>
              <w:t>.</w:t>
            </w:r>
            <w:r>
              <w:rPr>
                <w:rFonts w:hint="eastAsia"/>
                <w:color w:val="auto"/>
                <w:sz w:val="21"/>
                <w:szCs w:val="21"/>
                <w:highlight w:val="none"/>
              </w:rPr>
              <w:t>财政部门指定的媒体</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29.1</w:t>
            </w:r>
          </w:p>
        </w:tc>
        <w:tc>
          <w:tcPr>
            <w:tcW w:w="7623" w:type="dxa"/>
            <w:vAlign w:val="center"/>
          </w:tcPr>
          <w:p>
            <w:pPr>
              <w:adjustRightInd w:val="0"/>
              <w:spacing w:line="320" w:lineRule="exact"/>
              <w:jc w:val="both"/>
              <w:rPr>
                <w:color w:val="auto"/>
                <w:sz w:val="21"/>
                <w:szCs w:val="21"/>
                <w:highlight w:val="none"/>
                <w:lang w:val="en-US" w:bidi="ar"/>
              </w:rPr>
            </w:pPr>
            <w:r>
              <w:rPr>
                <w:rFonts w:hint="eastAsia"/>
                <w:color w:val="auto"/>
                <w:kern w:val="2"/>
                <w:sz w:val="21"/>
                <w:szCs w:val="21"/>
                <w:highlight w:val="none"/>
                <w:lang w:val="en-US"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rPr>
            </w:pPr>
            <w:r>
              <w:rPr>
                <w:rFonts w:hint="eastAsia"/>
                <w:color w:val="auto"/>
                <w:sz w:val="21"/>
                <w:szCs w:val="21"/>
                <w:highlight w:val="none"/>
                <w:lang w:val="en-US" w:bidi="ar"/>
              </w:rPr>
              <w:t>3</w:t>
            </w:r>
            <w:r>
              <w:rPr>
                <w:rFonts w:hint="eastAsia"/>
                <w:color w:val="auto"/>
                <w:sz w:val="21"/>
                <w:szCs w:val="21"/>
                <w:highlight w:val="none"/>
                <w:lang w:val="en-US" w:eastAsia="zh-CN" w:bidi="ar"/>
              </w:rPr>
              <w:t>6</w:t>
            </w:r>
            <w:r>
              <w:rPr>
                <w:rFonts w:hint="eastAsia"/>
                <w:color w:val="auto"/>
                <w:sz w:val="21"/>
                <w:szCs w:val="21"/>
                <w:highlight w:val="none"/>
                <w:lang w:val="en-US" w:bidi="ar"/>
              </w:rPr>
              <w:t>.分包要求</w:t>
            </w:r>
          </w:p>
        </w:tc>
        <w:tc>
          <w:tcPr>
            <w:tcW w:w="885" w:type="dxa"/>
            <w:vAlign w:val="center"/>
          </w:tcPr>
          <w:p>
            <w:pPr>
              <w:widowControl/>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bCs/>
                <w:color w:val="auto"/>
                <w:sz w:val="21"/>
                <w:szCs w:val="21"/>
                <w:highlight w:val="none"/>
                <w:lang w:val="en-US"/>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37.接收质疑方式及联系方式</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34</w:t>
            </w:r>
          </w:p>
        </w:tc>
        <w:tc>
          <w:tcPr>
            <w:tcW w:w="7623"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（1）质疑函及必要的证明材料应通过以下方式之一递交至采购代理机构：</w:t>
            </w:r>
          </w:p>
          <w:p>
            <w:pPr>
              <w:widowControl/>
              <w:jc w:val="both"/>
              <w:rPr>
                <w:color w:val="auto"/>
                <w:sz w:val="21"/>
                <w:szCs w:val="21"/>
                <w:highlight w:val="none"/>
                <w:lang w:val="en-US" w:bidi="ar"/>
              </w:rPr>
            </w:pPr>
            <w:r>
              <w:rPr>
                <w:rFonts w:hint="eastAsia"/>
                <w:color w:val="auto"/>
                <w:sz w:val="21"/>
                <w:szCs w:val="21"/>
                <w:highlight w:val="none"/>
                <w:lang w:val="en-US" w:bidi="ar"/>
              </w:rPr>
              <w:t>1）当面送达原件；</w:t>
            </w:r>
          </w:p>
          <w:p>
            <w:pPr>
              <w:widowControl/>
              <w:jc w:val="both"/>
              <w:rPr>
                <w:color w:val="auto"/>
                <w:sz w:val="21"/>
                <w:szCs w:val="21"/>
                <w:highlight w:val="none"/>
                <w:lang w:val="en-US" w:bidi="ar"/>
              </w:rPr>
            </w:pPr>
            <w:r>
              <w:rPr>
                <w:rFonts w:hint="eastAsia"/>
                <w:color w:val="auto"/>
                <w:sz w:val="21"/>
                <w:szCs w:val="21"/>
                <w:highlight w:val="none"/>
                <w:lang w:val="en-US" w:bidi="ar"/>
              </w:rPr>
              <w:t>2）信函邮寄、快递原件，采用此方式时，采购代理机构不受理逾期送达的质疑，投标人自行承担邮件误投、逾期或丢失的风险和责任；</w:t>
            </w:r>
          </w:p>
          <w:p>
            <w:pPr>
              <w:widowControl/>
              <w:jc w:val="both"/>
              <w:rPr>
                <w:color w:val="auto"/>
                <w:sz w:val="21"/>
                <w:szCs w:val="21"/>
                <w:highlight w:val="none"/>
                <w:lang w:val="en-US" w:bidi="ar"/>
              </w:rPr>
            </w:pPr>
            <w:r>
              <w:rPr>
                <w:rFonts w:hint="eastAsia"/>
                <w:color w:val="auto"/>
                <w:sz w:val="21"/>
                <w:szCs w:val="21"/>
                <w:highlight w:val="none"/>
                <w:lang w:val="en-US" w:bidi="ar"/>
              </w:rPr>
              <w:t xml:space="preserve">3）电子邮件将原件的扫描版发送至下列指定电子邮箱，采用此方式提出质疑的，投标人应在电子邮件发出后立即电话告知采购代理机构； </w:t>
            </w:r>
          </w:p>
          <w:p>
            <w:pPr>
              <w:widowControl/>
              <w:jc w:val="both"/>
              <w:rPr>
                <w:color w:val="auto"/>
                <w:sz w:val="21"/>
                <w:szCs w:val="21"/>
                <w:highlight w:val="none"/>
                <w:lang w:val="en-US" w:bidi="ar"/>
              </w:rPr>
            </w:pPr>
            <w:r>
              <w:rPr>
                <w:rFonts w:hint="eastAsia"/>
                <w:color w:val="auto"/>
                <w:sz w:val="21"/>
                <w:szCs w:val="21"/>
                <w:highlight w:val="none"/>
                <w:lang w:val="en-US" w:bidi="ar"/>
              </w:rPr>
              <w:t xml:space="preserve">（2）采购代理机构接收质疑函的联系方式如下： </w:t>
            </w:r>
          </w:p>
          <w:p>
            <w:pPr>
              <w:widowControl/>
              <w:jc w:val="both"/>
              <w:rPr>
                <w:color w:val="auto"/>
                <w:sz w:val="21"/>
                <w:szCs w:val="21"/>
                <w:highlight w:val="none"/>
                <w:lang w:val="en-US" w:bidi="ar"/>
              </w:rPr>
            </w:pPr>
            <w:r>
              <w:rPr>
                <w:rFonts w:hint="eastAsia"/>
                <w:color w:val="auto"/>
                <w:sz w:val="21"/>
                <w:szCs w:val="21"/>
                <w:highlight w:val="none"/>
                <w:lang w:val="en-US" w:bidi="ar"/>
              </w:rPr>
              <w:t>联系人：陆工</w:t>
            </w:r>
          </w:p>
          <w:p>
            <w:pPr>
              <w:widowControl/>
              <w:jc w:val="both"/>
              <w:rPr>
                <w:color w:val="auto"/>
                <w:sz w:val="21"/>
                <w:szCs w:val="21"/>
                <w:highlight w:val="none"/>
                <w:lang w:val="en-US" w:bidi="ar"/>
              </w:rPr>
            </w:pPr>
            <w:r>
              <w:rPr>
                <w:rFonts w:hint="eastAsia"/>
                <w:color w:val="auto"/>
                <w:sz w:val="21"/>
                <w:szCs w:val="21"/>
                <w:highlight w:val="none"/>
                <w:lang w:val="en-US" w:bidi="ar"/>
              </w:rPr>
              <w:t>电话：15299129605</w:t>
            </w:r>
          </w:p>
          <w:p>
            <w:pPr>
              <w:widowControl/>
              <w:jc w:val="both"/>
              <w:rPr>
                <w:color w:val="auto"/>
                <w:sz w:val="21"/>
                <w:szCs w:val="21"/>
                <w:highlight w:val="none"/>
                <w:lang w:val="en-US"/>
              </w:rPr>
            </w:pPr>
            <w:r>
              <w:rPr>
                <w:rFonts w:hint="eastAsia"/>
                <w:color w:val="auto"/>
                <w:sz w:val="21"/>
                <w:szCs w:val="21"/>
                <w:highlight w:val="none"/>
                <w:lang w:val="en-US"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rFonts w:hint="eastAsia"/>
                <w:color w:val="auto"/>
                <w:sz w:val="21"/>
                <w:szCs w:val="21"/>
                <w:highlight w:val="none"/>
                <w:lang w:val="en-US" w:bidi="ar"/>
              </w:rPr>
            </w:pPr>
            <w:r>
              <w:rPr>
                <w:rFonts w:hint="eastAsia"/>
                <w:color w:val="auto"/>
                <w:sz w:val="21"/>
                <w:szCs w:val="21"/>
                <w:highlight w:val="none"/>
                <w:lang w:val="en-US" w:bidi="ar"/>
              </w:rPr>
              <w:t>38.履约保证金</w:t>
            </w:r>
          </w:p>
        </w:tc>
        <w:tc>
          <w:tcPr>
            <w:tcW w:w="885" w:type="dxa"/>
            <w:vAlign w:val="center"/>
          </w:tcPr>
          <w:p>
            <w:pPr>
              <w:pStyle w:val="15"/>
              <w:jc w:val="center"/>
              <w:rPr>
                <w:rFonts w:hint="eastAsia"/>
                <w:color w:val="auto"/>
                <w:sz w:val="21"/>
                <w:szCs w:val="21"/>
                <w:highlight w:val="none"/>
                <w:lang w:val="en-US"/>
              </w:rPr>
            </w:pPr>
            <w:r>
              <w:rPr>
                <w:rFonts w:hint="eastAsia"/>
                <w:color w:val="auto"/>
                <w:sz w:val="21"/>
                <w:szCs w:val="21"/>
                <w:highlight w:val="none"/>
                <w:lang w:val="en-US"/>
              </w:rPr>
              <w:t>38</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履约保证金的金额：/%。</w:t>
            </w:r>
          </w:p>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履约保证金的形式：转账或银行保函</w:t>
            </w:r>
          </w:p>
          <w:p>
            <w:pPr>
              <w:widowControl/>
              <w:jc w:val="both"/>
              <w:rPr>
                <w:rFonts w:hint="eastAsia"/>
                <w:color w:val="auto"/>
                <w:sz w:val="21"/>
                <w:szCs w:val="21"/>
                <w:highlight w:val="none"/>
                <w:lang w:val="en-US" w:bidi="ar"/>
              </w:rPr>
            </w:pPr>
            <w:r>
              <w:rPr>
                <w:rFonts w:hint="eastAsia"/>
                <w:color w:val="auto"/>
                <w:sz w:val="21"/>
                <w:szCs w:val="21"/>
                <w:highlight w:val="none"/>
              </w:rPr>
              <w:t>履约保证金的缴纳方式：在收到中标通知书后，中标人须在</w:t>
            </w:r>
            <w:r>
              <w:rPr>
                <w:rFonts w:hint="eastAsia"/>
                <w:color w:val="auto"/>
                <w:sz w:val="21"/>
                <w:szCs w:val="21"/>
                <w:highlight w:val="none"/>
                <w:lang w:val="en-US"/>
              </w:rPr>
              <w:t>7</w:t>
            </w:r>
            <w:r>
              <w:rPr>
                <w:rFonts w:hint="eastAsia"/>
                <w:color w:val="auto"/>
                <w:sz w:val="21"/>
                <w:szCs w:val="21"/>
                <w:highlight w:val="none"/>
              </w:rPr>
              <w:t>个工作日内向招标人提交履约保证金，否则视为自动放弃中标资格。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3</w:t>
            </w:r>
            <w:r>
              <w:rPr>
                <w:rFonts w:hint="eastAsia"/>
                <w:color w:val="auto"/>
                <w:sz w:val="21"/>
                <w:szCs w:val="21"/>
                <w:highlight w:val="none"/>
                <w:lang w:val="en-US" w:eastAsia="zh-CN" w:bidi="ar"/>
              </w:rPr>
              <w:t>9</w:t>
            </w:r>
            <w:r>
              <w:rPr>
                <w:rFonts w:hint="eastAsia"/>
                <w:color w:val="auto"/>
                <w:sz w:val="21"/>
                <w:szCs w:val="21"/>
                <w:highlight w:val="none"/>
                <w:lang w:val="en-US" w:bidi="ar"/>
              </w:rPr>
              <w:t>.</w:t>
            </w:r>
            <w:r>
              <w:rPr>
                <w:rFonts w:hint="eastAsia"/>
                <w:color w:val="auto"/>
                <w:sz w:val="21"/>
                <w:szCs w:val="21"/>
                <w:highlight w:val="none"/>
              </w:rPr>
              <w:t>采购代理服务费金额、缴纳方式和时限</w:t>
            </w:r>
          </w:p>
        </w:tc>
        <w:tc>
          <w:tcPr>
            <w:tcW w:w="885" w:type="dxa"/>
            <w:vAlign w:val="center"/>
          </w:tcPr>
          <w:p>
            <w:pPr>
              <w:widowControl/>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rPr>
              <w:t>39</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采购代理服务费的计算与收取：中标人支付。</w:t>
            </w:r>
          </w:p>
          <w:p>
            <w:pPr>
              <w:pStyle w:val="34"/>
              <w:adjustRightInd w:val="0"/>
              <w:snapToGrid w:val="0"/>
              <w:spacing w:line="36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z w:val="21"/>
                <w:szCs w:val="21"/>
                <w:highlight w:val="none"/>
                <w:lang w:val="en-US"/>
              </w:rPr>
              <w:t>本项目采购代理服务收费</w:t>
            </w:r>
            <w:r>
              <w:rPr>
                <w:rFonts w:hint="eastAsia" w:ascii="宋体" w:hAnsi="宋体" w:eastAsia="宋体" w:cs="宋体"/>
                <w:color w:val="auto"/>
                <w:sz w:val="21"/>
                <w:szCs w:val="21"/>
                <w:highlight w:val="none"/>
              </w:rPr>
              <w:t>参照《依据国家发展计划委员会文件关于印发《招标代理服务费管理暂行办法》的通知》（计价格〔2002〕1980号）中招标代理服务收费标准收取。由</w:t>
            </w:r>
            <w:r>
              <w:rPr>
                <w:rFonts w:hint="eastAsia" w:ascii="宋体" w:hAnsi="宋体" w:eastAsia="宋体" w:cs="宋体"/>
                <w:color w:val="auto"/>
                <w:sz w:val="21"/>
                <w:szCs w:val="21"/>
                <w:highlight w:val="none"/>
                <w:lang w:val="en-US"/>
              </w:rPr>
              <w:t>中标人</w:t>
            </w:r>
            <w:r>
              <w:rPr>
                <w:rFonts w:hint="eastAsia" w:ascii="宋体" w:hAnsi="宋体" w:eastAsia="宋体" w:cs="宋体"/>
                <w:color w:val="auto"/>
                <w:sz w:val="21"/>
                <w:szCs w:val="21"/>
                <w:highlight w:val="none"/>
              </w:rPr>
              <w:t>在领取</w:t>
            </w:r>
            <w:r>
              <w:rPr>
                <w:rFonts w:hint="eastAsia" w:ascii="宋体" w:hAnsi="宋体" w:eastAsia="宋体" w:cs="宋体"/>
                <w:color w:val="auto"/>
                <w:sz w:val="21"/>
                <w:szCs w:val="21"/>
                <w:highlight w:val="none"/>
                <w:lang w:val="en-US"/>
              </w:rPr>
              <w:t>中标</w:t>
            </w:r>
            <w:r>
              <w:rPr>
                <w:rFonts w:hint="eastAsia" w:ascii="宋体" w:hAnsi="宋体" w:eastAsia="宋体" w:cs="宋体"/>
                <w:color w:val="auto"/>
                <w:sz w:val="21"/>
                <w:szCs w:val="21"/>
                <w:highlight w:val="none"/>
              </w:rPr>
              <w:t>通知书时一次性向代理机构支付。</w:t>
            </w:r>
          </w:p>
          <w:p>
            <w:pPr>
              <w:pStyle w:val="34"/>
              <w:adjustRightInd w:val="0"/>
              <w:snapToGrid w:val="0"/>
              <w:spacing w:line="36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注：采购代理服务收费按差额定率累进法计算，不足</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000元按</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000元收取。</w:t>
            </w:r>
          </w:p>
          <w:p>
            <w:pPr>
              <w:pStyle w:val="34"/>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代理服务费银行账号：</w:t>
            </w:r>
          </w:p>
          <w:p>
            <w:pPr>
              <w:pStyle w:val="34"/>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收款单位：</w:t>
            </w:r>
            <w:r>
              <w:rPr>
                <w:rFonts w:hint="eastAsia" w:ascii="宋体" w:hAnsi="宋体" w:eastAsia="宋体" w:cs="宋体"/>
                <w:color w:val="auto"/>
                <w:sz w:val="21"/>
                <w:szCs w:val="21"/>
                <w:highlight w:val="none"/>
                <w:lang w:val="en-US" w:bidi="ar"/>
              </w:rPr>
              <w:t>新疆华恒惠欣工程项目管理有限责任公司</w:t>
            </w:r>
            <w:r>
              <w:rPr>
                <w:rFonts w:hint="eastAsia" w:ascii="宋体" w:hAnsi="宋体" w:eastAsia="宋体" w:cs="宋体"/>
                <w:color w:val="auto"/>
                <w:sz w:val="21"/>
                <w:szCs w:val="21"/>
                <w:highlight w:val="none"/>
                <w:lang w:val="en-US"/>
              </w:rPr>
              <w:t xml:space="preserve"> </w:t>
            </w:r>
          </w:p>
          <w:p>
            <w:pPr>
              <w:pStyle w:val="34"/>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银行账号：65050161665000001758</w:t>
            </w:r>
          </w:p>
          <w:p>
            <w:pPr>
              <w:pStyle w:val="34"/>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开 户 行：中国建设银行股份有限公司乌鲁木齐经济开发区支行  </w:t>
            </w:r>
          </w:p>
          <w:p>
            <w:pPr>
              <w:widowControl/>
              <w:jc w:val="both"/>
              <w:rPr>
                <w:color w:val="auto"/>
                <w:sz w:val="21"/>
                <w:szCs w:val="21"/>
                <w:highlight w:val="none"/>
                <w:lang w:val="en-US" w:bidi="ar"/>
              </w:rPr>
            </w:pPr>
            <w:r>
              <w:rPr>
                <w:rFonts w:hint="eastAsia"/>
                <w:color w:val="auto"/>
                <w:sz w:val="21"/>
                <w:szCs w:val="21"/>
                <w:highlight w:val="none"/>
                <w:lang w:val="en-US"/>
              </w:rPr>
              <w:t xml:space="preserve">开户行行号：105881000454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bCs/>
                <w:color w:val="auto"/>
                <w:sz w:val="21"/>
                <w:szCs w:val="21"/>
                <w:highlight w:val="none"/>
                <w:lang w:val="en-US"/>
              </w:rPr>
              <w:t>补充条款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5"/>
              <w:jc w:val="center"/>
              <w:rPr>
                <w:color w:val="auto"/>
                <w:sz w:val="21"/>
                <w:szCs w:val="21"/>
                <w:highlight w:val="none"/>
              </w:rPr>
            </w:pPr>
            <w:r>
              <w:rPr>
                <w:rFonts w:hint="eastAsia"/>
                <w:color w:val="auto"/>
                <w:sz w:val="21"/>
                <w:szCs w:val="21"/>
                <w:highlight w:val="none"/>
                <w:lang w:val="en-US" w:eastAsia="zh-CN"/>
              </w:rPr>
              <w:t>40</w:t>
            </w:r>
            <w:r>
              <w:rPr>
                <w:rFonts w:hint="eastAsia"/>
                <w:color w:val="auto"/>
                <w:sz w:val="21"/>
                <w:szCs w:val="21"/>
                <w:highlight w:val="none"/>
                <w:lang w:val="en-US"/>
              </w:rPr>
              <w:t>.</w:t>
            </w:r>
            <w:r>
              <w:rPr>
                <w:rFonts w:hint="eastAsia"/>
                <w:color w:val="auto"/>
                <w:sz w:val="21"/>
                <w:szCs w:val="21"/>
                <w:highlight w:val="none"/>
              </w:rPr>
              <w:t>解释权</w:t>
            </w:r>
          </w:p>
        </w:tc>
        <w:tc>
          <w:tcPr>
            <w:tcW w:w="885" w:type="dxa"/>
            <w:vAlign w:val="center"/>
          </w:tcPr>
          <w:p>
            <w:pPr>
              <w:pStyle w:val="15"/>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40.3</w:t>
            </w:r>
          </w:p>
        </w:tc>
        <w:tc>
          <w:tcPr>
            <w:tcW w:w="7623" w:type="dxa"/>
            <w:vAlign w:val="center"/>
          </w:tcPr>
          <w:p>
            <w:pPr>
              <w:pStyle w:val="15"/>
              <w:jc w:val="both"/>
              <w:rPr>
                <w:color w:val="auto"/>
                <w:sz w:val="21"/>
                <w:szCs w:val="21"/>
                <w:highlight w:val="none"/>
              </w:rPr>
            </w:pPr>
            <w:r>
              <w:rPr>
                <w:rFonts w:hint="eastAsia"/>
                <w:color w:val="auto"/>
                <w:sz w:val="21"/>
                <w:szCs w:val="21"/>
                <w:highlight w:val="none"/>
                <w:lang w:val="en-US"/>
              </w:rPr>
              <w:t xml:space="preserve">解释权：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 </w:t>
            </w:r>
          </w:p>
          <w:p>
            <w:pPr>
              <w:pStyle w:val="15"/>
              <w:jc w:val="both"/>
              <w:rPr>
                <w:color w:val="auto"/>
                <w:sz w:val="21"/>
                <w:szCs w:val="21"/>
                <w:highlight w:val="none"/>
              </w:rPr>
            </w:pPr>
            <w:r>
              <w:rPr>
                <w:rFonts w:hint="eastAsia"/>
                <w:color w:val="auto"/>
                <w:sz w:val="21"/>
                <w:szCs w:val="21"/>
                <w:highlight w:val="none"/>
                <w:lang w:val="en-US"/>
              </w:rPr>
              <w:t xml:space="preserve">法律责任： </w:t>
            </w:r>
          </w:p>
          <w:p>
            <w:pPr>
              <w:pStyle w:val="15"/>
              <w:jc w:val="both"/>
              <w:rPr>
                <w:color w:val="auto"/>
                <w:sz w:val="21"/>
                <w:szCs w:val="21"/>
                <w:highlight w:val="none"/>
                <w:lang w:val="en-US"/>
              </w:rPr>
            </w:pPr>
            <w:r>
              <w:rPr>
                <w:rFonts w:hint="eastAsia"/>
                <w:color w:val="auto"/>
                <w:sz w:val="21"/>
                <w:szCs w:val="21"/>
                <w:highlight w:val="none"/>
                <w:lang w:val="en-US"/>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pStyle w:val="15"/>
              <w:jc w:val="both"/>
              <w:rPr>
                <w:color w:val="auto"/>
                <w:sz w:val="21"/>
                <w:szCs w:val="21"/>
                <w:highlight w:val="none"/>
              </w:rPr>
            </w:pPr>
            <w:r>
              <w:rPr>
                <w:rFonts w:hint="eastAsia"/>
                <w:color w:val="auto"/>
                <w:sz w:val="21"/>
                <w:szCs w:val="21"/>
                <w:highlight w:val="none"/>
                <w:lang w:val="en-US"/>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58" w:type="dxa"/>
            <w:vAlign w:val="center"/>
          </w:tcPr>
          <w:p>
            <w:pPr>
              <w:pStyle w:val="15"/>
              <w:jc w:val="center"/>
              <w:rPr>
                <w:color w:val="auto"/>
                <w:sz w:val="21"/>
                <w:szCs w:val="21"/>
                <w:highlight w:val="none"/>
                <w:lang w:val="en-US"/>
              </w:rPr>
            </w:pPr>
            <w:r>
              <w:rPr>
                <w:rFonts w:hint="eastAsia"/>
                <w:color w:val="auto"/>
                <w:sz w:val="21"/>
                <w:szCs w:val="21"/>
                <w:highlight w:val="none"/>
                <w:lang w:val="en-US"/>
              </w:rPr>
              <w:t>4</w:t>
            </w:r>
            <w:r>
              <w:rPr>
                <w:rFonts w:hint="eastAsia"/>
                <w:color w:val="auto"/>
                <w:sz w:val="21"/>
                <w:szCs w:val="21"/>
                <w:highlight w:val="none"/>
                <w:lang w:val="en-US" w:eastAsia="zh-CN"/>
              </w:rPr>
              <w:t>1</w:t>
            </w:r>
            <w:r>
              <w:rPr>
                <w:rFonts w:hint="eastAsia"/>
                <w:color w:val="auto"/>
                <w:sz w:val="21"/>
                <w:szCs w:val="21"/>
                <w:highlight w:val="none"/>
                <w:lang w:val="en-US"/>
              </w:rPr>
              <w:t>.其他</w:t>
            </w:r>
          </w:p>
        </w:tc>
        <w:tc>
          <w:tcPr>
            <w:tcW w:w="885" w:type="dxa"/>
            <w:vAlign w:val="center"/>
          </w:tcPr>
          <w:p>
            <w:pPr>
              <w:pStyle w:val="15"/>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40.4</w:t>
            </w:r>
          </w:p>
        </w:tc>
        <w:tc>
          <w:tcPr>
            <w:tcW w:w="7623" w:type="dxa"/>
            <w:vAlign w:val="center"/>
          </w:tcPr>
          <w:p>
            <w:pPr>
              <w:pStyle w:val="15"/>
              <w:jc w:val="both"/>
              <w:rPr>
                <w:color w:val="auto"/>
                <w:sz w:val="21"/>
                <w:szCs w:val="21"/>
                <w:highlight w:val="none"/>
                <w:lang w:val="en-US"/>
              </w:rPr>
            </w:pPr>
            <w:r>
              <w:rPr>
                <w:rFonts w:hint="eastAsia"/>
                <w:color w:val="auto"/>
                <w:sz w:val="21"/>
                <w:szCs w:val="21"/>
                <w:highlight w:val="none"/>
                <w:lang w:val="en-U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15"/>
              <w:jc w:val="both"/>
              <w:rPr>
                <w:color w:val="auto"/>
                <w:sz w:val="21"/>
                <w:szCs w:val="21"/>
                <w:highlight w:val="none"/>
                <w:lang w:val="en-US"/>
              </w:rPr>
            </w:pPr>
            <w:r>
              <w:rPr>
                <w:rFonts w:hint="eastAsia"/>
                <w:color w:val="auto"/>
                <w:sz w:val="21"/>
                <w:szCs w:val="21"/>
                <w:highlight w:val="none"/>
                <w:lang w:val="en-U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5"/>
              <w:jc w:val="both"/>
              <w:rPr>
                <w:color w:val="auto"/>
                <w:sz w:val="21"/>
                <w:szCs w:val="21"/>
                <w:highlight w:val="none"/>
                <w:lang w:val="en-US"/>
              </w:rPr>
            </w:pPr>
            <w:r>
              <w:rPr>
                <w:rFonts w:hint="eastAsia"/>
                <w:color w:val="auto"/>
                <w:sz w:val="21"/>
                <w:szCs w:val="21"/>
                <w:highlight w:val="none"/>
                <w:lang w:val="en-US"/>
              </w:rPr>
              <w:t>3.本招标文件中描述投标人的“签字”是指投标人的法定代表人或者委托代理人亲自在文件规定签署处亲笔写上个人的名字的行为，私章、签字章、印鉴、影印等其他形式均不能代替亲笔签字。</w:t>
            </w:r>
          </w:p>
          <w:p>
            <w:pPr>
              <w:pStyle w:val="15"/>
              <w:jc w:val="both"/>
              <w:rPr>
                <w:color w:val="auto"/>
                <w:sz w:val="21"/>
                <w:szCs w:val="21"/>
                <w:highlight w:val="none"/>
                <w:lang w:val="en-US"/>
              </w:rPr>
            </w:pPr>
            <w:r>
              <w:rPr>
                <w:rFonts w:hint="eastAsia"/>
                <w:color w:val="auto"/>
                <w:sz w:val="21"/>
                <w:szCs w:val="21"/>
                <w:highlight w:val="none"/>
                <w:lang w:val="en-US"/>
              </w:rPr>
              <w:t>4.自然人投标的，招标文件规定盖公章处由自然人摁手指指印。</w:t>
            </w:r>
          </w:p>
          <w:p>
            <w:pPr>
              <w:pStyle w:val="15"/>
              <w:jc w:val="both"/>
              <w:rPr>
                <w:color w:val="auto"/>
                <w:sz w:val="21"/>
                <w:szCs w:val="21"/>
                <w:highlight w:val="none"/>
                <w:lang w:val="en-US"/>
              </w:rPr>
            </w:pPr>
            <w:r>
              <w:rPr>
                <w:rFonts w:hint="eastAsia"/>
                <w:color w:val="auto"/>
                <w:sz w:val="21"/>
                <w:szCs w:val="21"/>
                <w:highlight w:val="none"/>
                <w:lang w:val="en-US"/>
              </w:rPr>
              <w:t xml:space="preserve">5.本招标文件所称的“以上”“以下”“以内”“届满”，包括本数；所称 </w:t>
            </w:r>
          </w:p>
          <w:p>
            <w:pPr>
              <w:pStyle w:val="15"/>
              <w:jc w:val="both"/>
              <w:rPr>
                <w:color w:val="auto"/>
                <w:sz w:val="21"/>
                <w:szCs w:val="21"/>
                <w:highlight w:val="none"/>
                <w:lang w:val="en-US"/>
              </w:rPr>
            </w:pPr>
            <w:r>
              <w:rPr>
                <w:rFonts w:hint="eastAsia"/>
                <w:color w:val="auto"/>
                <w:sz w:val="21"/>
                <w:szCs w:val="21"/>
                <w:highlight w:val="none"/>
                <w:lang w:val="en-US"/>
              </w:rPr>
              <w:t>的“不满”“超过”“以外”，不包括本数。</w:t>
            </w:r>
          </w:p>
          <w:p>
            <w:pPr>
              <w:pStyle w:val="15"/>
              <w:jc w:val="both"/>
              <w:rPr>
                <w:color w:val="auto"/>
                <w:sz w:val="21"/>
                <w:szCs w:val="21"/>
                <w:highlight w:val="none"/>
              </w:rPr>
            </w:pPr>
            <w:r>
              <w:rPr>
                <w:rFonts w:hint="eastAsia"/>
                <w:color w:val="auto"/>
                <w:sz w:val="21"/>
                <w:szCs w:val="21"/>
                <w:highlight w:val="none"/>
              </w:rPr>
              <w:t>本表是对“投标人须知</w:t>
            </w:r>
            <w:r>
              <w:rPr>
                <w:rFonts w:hint="eastAsia"/>
                <w:color w:val="auto"/>
                <w:sz w:val="21"/>
                <w:szCs w:val="21"/>
                <w:highlight w:val="none"/>
                <w:lang w:val="en-US"/>
              </w:rPr>
              <w:t>正文</w:t>
            </w:r>
            <w:r>
              <w:rPr>
                <w:rFonts w:hint="eastAsia"/>
                <w:color w:val="auto"/>
                <w:sz w:val="21"/>
                <w:szCs w:val="21"/>
                <w:highlight w:val="none"/>
              </w:rPr>
              <w:t>”的具体补充和修改，如有矛盾，应以本表内容为准。</w:t>
            </w:r>
          </w:p>
        </w:tc>
      </w:tr>
    </w:tbl>
    <w:p>
      <w:pPr>
        <w:rPr>
          <w:color w:val="auto"/>
          <w:sz w:val="20"/>
          <w:szCs w:val="20"/>
          <w:highlight w:val="none"/>
        </w:rPr>
      </w:pPr>
      <w:r>
        <w:rPr>
          <w:rFonts w:hint="eastAsia"/>
          <w:color w:val="auto"/>
          <w:sz w:val="20"/>
          <w:szCs w:val="20"/>
          <w:highlight w:val="none"/>
        </w:rPr>
        <w:br w:type="page"/>
      </w:r>
    </w:p>
    <w:p>
      <w:pPr>
        <w:pStyle w:val="6"/>
        <w:spacing w:before="31" w:line="240" w:lineRule="auto"/>
        <w:ind w:right="70"/>
        <w:rPr>
          <w:rFonts w:ascii="宋体" w:hAnsi="宋体" w:eastAsia="宋体" w:cs="宋体"/>
          <w:color w:val="auto"/>
          <w:sz w:val="28"/>
          <w:szCs w:val="28"/>
          <w:highlight w:val="none"/>
        </w:rPr>
      </w:pPr>
      <w:bookmarkStart w:id="4" w:name="_bookmark9"/>
      <w:bookmarkEnd w:id="4"/>
      <w:bookmarkStart w:id="5" w:name="_bookmark19"/>
      <w:bookmarkEnd w:id="5"/>
      <w:bookmarkStart w:id="6" w:name="_bookmark26"/>
      <w:bookmarkEnd w:id="6"/>
      <w:bookmarkStart w:id="7" w:name="_bookmark28"/>
      <w:bookmarkEnd w:id="7"/>
      <w:bookmarkStart w:id="8" w:name="_bookmark20"/>
      <w:bookmarkEnd w:id="8"/>
      <w:bookmarkStart w:id="9" w:name="_bookmark2"/>
      <w:bookmarkEnd w:id="9"/>
      <w:bookmarkStart w:id="10" w:name="_bookmark21"/>
      <w:bookmarkEnd w:id="10"/>
      <w:bookmarkStart w:id="11" w:name="_bookmark8"/>
      <w:bookmarkEnd w:id="11"/>
      <w:bookmarkStart w:id="12" w:name="_bookmark22"/>
      <w:bookmarkEnd w:id="12"/>
      <w:bookmarkStart w:id="13" w:name="_bookmark24"/>
      <w:bookmarkEnd w:id="13"/>
      <w:bookmarkStart w:id="14" w:name="_bookmark23"/>
      <w:bookmarkEnd w:id="14"/>
      <w:bookmarkStart w:id="15" w:name="_bookmark25"/>
      <w:bookmarkEnd w:id="15"/>
      <w:bookmarkStart w:id="16" w:name="_bookmark10"/>
      <w:bookmarkEnd w:id="16"/>
      <w:bookmarkStart w:id="17" w:name="_Toc16645"/>
      <w:r>
        <w:rPr>
          <w:rFonts w:hint="eastAsia" w:ascii="宋体" w:hAnsi="宋体" w:eastAsia="宋体" w:cs="宋体"/>
          <w:color w:val="auto"/>
          <w:sz w:val="28"/>
          <w:szCs w:val="28"/>
          <w:highlight w:val="none"/>
        </w:rPr>
        <w:t>投标人须知</w:t>
      </w:r>
      <w:bookmarkEnd w:id="17"/>
      <w:bookmarkStart w:id="18" w:name="_bookmark29"/>
      <w:bookmarkEnd w:id="18"/>
    </w:p>
    <w:p>
      <w:pPr>
        <w:pStyle w:val="7"/>
        <w:spacing w:before="31" w:line="364" w:lineRule="auto"/>
        <w:ind w:right="70"/>
        <w:rPr>
          <w:rFonts w:ascii="宋体" w:hAnsi="宋体" w:eastAsia="宋体" w:cs="宋体"/>
          <w:color w:val="auto"/>
          <w:sz w:val="24"/>
          <w:szCs w:val="24"/>
          <w:highlight w:val="none"/>
        </w:rPr>
      </w:pPr>
      <w:bookmarkStart w:id="19" w:name="_Toc5777"/>
      <w:r>
        <w:rPr>
          <w:rFonts w:hint="eastAsia" w:ascii="宋体" w:hAnsi="宋体" w:eastAsia="宋体" w:cs="宋体"/>
          <w:color w:val="auto"/>
          <w:sz w:val="24"/>
          <w:szCs w:val="24"/>
          <w:highlight w:val="none"/>
        </w:rPr>
        <w:t>一、说 明</w:t>
      </w:r>
      <w:bookmarkEnd w:id="19"/>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1 </w:t>
      </w:r>
      <w:r>
        <w:rPr>
          <w:rFonts w:hint="eastAsia"/>
          <w:color w:val="auto"/>
          <w:sz w:val="21"/>
          <w:szCs w:val="21"/>
          <w:highlight w:val="none"/>
        </w:rPr>
        <w:t>概述</w:t>
      </w:r>
    </w:p>
    <w:p>
      <w:pPr>
        <w:pStyle w:val="33"/>
        <w:tabs>
          <w:tab w:val="left" w:pos="908"/>
        </w:tabs>
        <w:spacing w:before="0" w:line="360" w:lineRule="auto"/>
        <w:ind w:left="0" w:firstLine="420" w:firstLineChars="200"/>
        <w:rPr>
          <w:color w:val="auto"/>
          <w:sz w:val="21"/>
          <w:szCs w:val="21"/>
          <w:highlight w:val="none"/>
        </w:rPr>
      </w:pPr>
      <w:bookmarkStart w:id="20" w:name="_bookmark30"/>
      <w:bookmarkEnd w:id="20"/>
      <w:r>
        <w:rPr>
          <w:rFonts w:hint="eastAsia"/>
          <w:color w:val="auto"/>
          <w:sz w:val="21"/>
          <w:szCs w:val="21"/>
          <w:highlight w:val="none"/>
          <w:lang w:val="en-US"/>
        </w:rPr>
        <w:t xml:space="preserve">1.1 </w:t>
      </w:r>
      <w:r>
        <w:rPr>
          <w:rFonts w:hint="eastAsia"/>
          <w:color w:val="auto"/>
          <w:sz w:val="21"/>
          <w:szCs w:val="21"/>
          <w:highlight w:val="none"/>
        </w:rPr>
        <w:t>项目概述见《投标人须知前附表》。</w:t>
      </w:r>
    </w:p>
    <w:p>
      <w:pPr>
        <w:pStyle w:val="33"/>
        <w:tabs>
          <w:tab w:val="left" w:pos="907"/>
          <w:tab w:val="left" w:pos="908"/>
        </w:tabs>
        <w:spacing w:before="0" w:line="360" w:lineRule="auto"/>
        <w:ind w:left="0" w:firstLine="420" w:firstLineChars="200"/>
        <w:rPr>
          <w:color w:val="auto"/>
          <w:sz w:val="21"/>
          <w:szCs w:val="21"/>
          <w:highlight w:val="none"/>
        </w:rPr>
      </w:pPr>
      <w:bookmarkStart w:id="21" w:name="_bookmark31"/>
      <w:bookmarkEnd w:id="21"/>
      <w:r>
        <w:rPr>
          <w:rFonts w:hint="eastAsia"/>
          <w:color w:val="auto"/>
          <w:sz w:val="21"/>
          <w:szCs w:val="21"/>
          <w:highlight w:val="none"/>
          <w:lang w:val="en-US"/>
        </w:rPr>
        <w:t xml:space="preserve">1.2 </w:t>
      </w:r>
      <w:r>
        <w:rPr>
          <w:rFonts w:hint="eastAsia"/>
          <w:color w:val="auto"/>
          <w:sz w:val="21"/>
          <w:szCs w:val="21"/>
          <w:highlight w:val="none"/>
        </w:rPr>
        <w:t>按照《政府采购货物和服务招标投标管理办法》第七条规定，采购人确定本次采购项目的属性见《投标人须知前附表》。</w:t>
      </w:r>
    </w:p>
    <w:p>
      <w:pPr>
        <w:pStyle w:val="33"/>
        <w:tabs>
          <w:tab w:val="left" w:pos="907"/>
          <w:tab w:val="left" w:pos="908"/>
        </w:tabs>
        <w:spacing w:before="0" w:line="360" w:lineRule="auto"/>
        <w:ind w:left="0" w:firstLine="420" w:firstLineChars="200"/>
        <w:rPr>
          <w:color w:val="auto"/>
          <w:sz w:val="21"/>
          <w:szCs w:val="21"/>
          <w:highlight w:val="none"/>
        </w:rPr>
      </w:pPr>
      <w:bookmarkStart w:id="22" w:name="_bookmark32"/>
      <w:bookmarkEnd w:id="22"/>
      <w:r>
        <w:rPr>
          <w:rFonts w:hint="eastAsia"/>
          <w:color w:val="auto"/>
          <w:sz w:val="21"/>
          <w:szCs w:val="21"/>
          <w:highlight w:val="none"/>
          <w:lang w:val="en-US"/>
        </w:rPr>
        <w:t xml:space="preserve">1.3 </w:t>
      </w:r>
      <w:r>
        <w:rPr>
          <w:rFonts w:hint="eastAsia"/>
          <w:color w:val="auto"/>
          <w:sz w:val="21"/>
          <w:szCs w:val="21"/>
          <w:highlight w:val="none"/>
        </w:rPr>
        <w:t>按照《政府采购促进中小企业发展管理办法》第十二条规定，明确采购标的对应的中小企业划分标准所属行业详见《投标人须知前附表》。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 定义</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 “采购人”是指依法进行政府采购的国家机关、事业单位、团体组织。采购人名称、地址、电话、联系人见《投标人须知前附表》。</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2.2 “采购代理机构”是指接受采购人委托，代理采购项目的集中采购机构和其他采购代理机构。采购代理机构名称、地址、电话、联系人见《投标人须知前附表》。</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2.3 “投标人”是指响应招标、参加投标竞争的法人、其他组织或者自然人。</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2.4 “货物”是指各种形态和种类的物品，包括原材料、燃料、设备、产品等，详见《政府采购品目分类目录》（财库[2013]189号）。</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2.5 “服务”系指按合同规定卖方须承担的运输、装卸、技术协助和交付使用后保修期内应履行的义务及售后服务等其他类似的义务。</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 “卖方”系指提供合同货物和服务的经济实体。</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2.7 “买方”系指购买货物和服务的单位。</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2.8 “节能产品”或者“环保产品”是指财政部发布的《节能产品政府采购清单》或者《环境标志产品政府采购清单》的产品。</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2.9 “进口产品”是指通过中国海关报关验放进入中国境内且产自关境外的产品，详见《政府采购进口产品管理办法》（财库［2007］119 号文）、《关于政府采购进口产品管理有关问题的通知》（财办库［2008］248 号文）。</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2.10 偏离</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2.10.1 本条所称偏离为投标文件对招标文件的偏离，即不满足或不响应招标文件的要求。偏离分为对招标文件的实质性要求条款偏离和对招标文件的一般商务和技术条款偏离。</w:t>
      </w:r>
    </w:p>
    <w:p>
      <w:pPr>
        <w:pStyle w:val="36"/>
        <w:snapToGrid w:val="0"/>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2.10.2 除法律、法规和规章规定外，招标文件中用“拒绝”、“不接受”、“无效”、“不得”等文字规定或标注“*”符号的条款为实质性要求条款（即重要条款），对其中任何一条的偏离，在评标时将其视为无效投标</w:t>
      </w:r>
      <w:r>
        <w:rPr>
          <w:rFonts w:hint="eastAsia" w:ascii="宋体" w:hAnsi="宋体" w:cs="宋体"/>
          <w:color w:val="auto"/>
          <w:sz w:val="21"/>
          <w:szCs w:val="21"/>
          <w:highlight w:val="none"/>
        </w:rPr>
        <w:t>。未用上述文字规定或符号标注的条款为非实质性要求条款（即一般条款）。</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 xml:space="preserve">11 </w:t>
      </w:r>
      <w:r>
        <w:rPr>
          <w:rFonts w:hint="eastAsia"/>
          <w:color w:val="auto"/>
          <w:spacing w:val="-13"/>
          <w:sz w:val="21"/>
          <w:szCs w:val="21"/>
          <w:highlight w:val="none"/>
        </w:rPr>
        <w:t>若采购人员及相关人员与投标人（即投标人）有下列利害关系之一的，应当回避：</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.1</w:t>
      </w:r>
      <w:r>
        <w:rPr>
          <w:rFonts w:hint="eastAsia"/>
          <w:color w:val="auto"/>
          <w:sz w:val="21"/>
          <w:szCs w:val="21"/>
          <w:highlight w:val="none"/>
          <w:lang w:val="en-US"/>
        </w:rPr>
        <w:t xml:space="preserve"> </w:t>
      </w:r>
      <w:r>
        <w:rPr>
          <w:rFonts w:hint="eastAsia"/>
          <w:color w:val="auto"/>
          <w:sz w:val="21"/>
          <w:szCs w:val="21"/>
          <w:highlight w:val="none"/>
        </w:rPr>
        <w:t>参加采购活动前3年内与投标人存在劳动关系；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.2</w:t>
      </w:r>
      <w:r>
        <w:rPr>
          <w:rFonts w:hint="eastAsia"/>
          <w:color w:val="auto"/>
          <w:sz w:val="21"/>
          <w:szCs w:val="21"/>
          <w:highlight w:val="none"/>
          <w:lang w:val="en-US"/>
        </w:rPr>
        <w:t xml:space="preserve"> </w:t>
      </w:r>
      <w:r>
        <w:rPr>
          <w:rFonts w:hint="eastAsia"/>
          <w:color w:val="auto"/>
          <w:sz w:val="21"/>
          <w:szCs w:val="21"/>
          <w:highlight w:val="none"/>
        </w:rPr>
        <w:t>参加采购活动前3年内担任投标人的董事、监事；</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.3</w:t>
      </w:r>
      <w:r>
        <w:rPr>
          <w:rFonts w:hint="eastAsia"/>
          <w:color w:val="auto"/>
          <w:sz w:val="21"/>
          <w:szCs w:val="21"/>
          <w:highlight w:val="none"/>
          <w:lang w:val="en-US"/>
        </w:rPr>
        <w:t xml:space="preserve"> </w:t>
      </w:r>
      <w:r>
        <w:rPr>
          <w:rFonts w:hint="eastAsia"/>
          <w:color w:val="auto"/>
          <w:sz w:val="21"/>
          <w:szCs w:val="21"/>
          <w:highlight w:val="none"/>
        </w:rPr>
        <w:t>参加采购活动前3年内是投标人的控股股东或者实际控制人；</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.4</w:t>
      </w:r>
      <w:r>
        <w:rPr>
          <w:rFonts w:hint="eastAsia"/>
          <w:color w:val="auto"/>
          <w:sz w:val="21"/>
          <w:szCs w:val="21"/>
          <w:highlight w:val="none"/>
          <w:lang w:val="en-US"/>
        </w:rPr>
        <w:t xml:space="preserve"> </w:t>
      </w:r>
      <w:r>
        <w:rPr>
          <w:rFonts w:hint="eastAsia"/>
          <w:color w:val="auto"/>
          <w:sz w:val="21"/>
          <w:szCs w:val="21"/>
          <w:highlight w:val="none"/>
        </w:rPr>
        <w:t>与投标人的法定代表人或者负责人有夫妻、直系血亲、三代以内旁系血亲或者近姻亲关系；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.5</w:t>
      </w:r>
      <w:r>
        <w:rPr>
          <w:rFonts w:hint="eastAsia"/>
          <w:color w:val="auto"/>
          <w:sz w:val="21"/>
          <w:szCs w:val="21"/>
          <w:highlight w:val="none"/>
          <w:lang w:val="en-US"/>
        </w:rPr>
        <w:t xml:space="preserve"> </w:t>
      </w:r>
      <w:r>
        <w:rPr>
          <w:rFonts w:hint="eastAsia"/>
          <w:color w:val="auto"/>
          <w:sz w:val="21"/>
          <w:szCs w:val="21"/>
          <w:highlight w:val="none"/>
        </w:rPr>
        <w:t>与投标人有其他可能影响政府采购活动公平、公正进行的关系；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 xml:space="preserve">12 </w:t>
      </w:r>
      <w:r>
        <w:rPr>
          <w:rFonts w:hint="eastAsia"/>
          <w:color w:val="auto"/>
          <w:sz w:val="21"/>
          <w:szCs w:val="21"/>
          <w:highlight w:val="none"/>
        </w:rPr>
        <w:t>采购人或者采购代理机构有下列情形之一的，属于以不合理的条件对投标人（即投标人）实行差别待遇或者歧视待遇：</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.1</w:t>
      </w:r>
      <w:r>
        <w:rPr>
          <w:rFonts w:hint="eastAsia"/>
          <w:color w:val="auto"/>
          <w:sz w:val="21"/>
          <w:szCs w:val="21"/>
          <w:highlight w:val="none"/>
          <w:lang w:val="en-US"/>
        </w:rPr>
        <w:t xml:space="preserve"> </w:t>
      </w:r>
      <w:r>
        <w:rPr>
          <w:rFonts w:hint="eastAsia"/>
          <w:color w:val="auto"/>
          <w:sz w:val="21"/>
          <w:szCs w:val="21"/>
          <w:highlight w:val="none"/>
        </w:rPr>
        <w:t>就同一采购项目向投标人提供有差别的项目信息；</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.2</w:t>
      </w:r>
      <w:r>
        <w:rPr>
          <w:rFonts w:hint="eastAsia"/>
          <w:color w:val="auto"/>
          <w:sz w:val="21"/>
          <w:szCs w:val="21"/>
          <w:highlight w:val="none"/>
          <w:lang w:val="en-US"/>
        </w:rPr>
        <w:t xml:space="preserve"> </w:t>
      </w:r>
      <w:r>
        <w:rPr>
          <w:rFonts w:hint="eastAsia"/>
          <w:color w:val="auto"/>
          <w:sz w:val="21"/>
          <w:szCs w:val="21"/>
          <w:highlight w:val="none"/>
        </w:rPr>
        <w:t>设定的资格、技术、商务条件与采购项目的具体特点和实际需要不相适应或者与合同履行无关；</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.3</w:t>
      </w:r>
      <w:r>
        <w:rPr>
          <w:rFonts w:hint="eastAsia"/>
          <w:color w:val="auto"/>
          <w:sz w:val="21"/>
          <w:szCs w:val="21"/>
          <w:highlight w:val="none"/>
          <w:lang w:val="en-US"/>
        </w:rPr>
        <w:t xml:space="preserve"> </w:t>
      </w:r>
      <w:r>
        <w:rPr>
          <w:rFonts w:hint="eastAsia"/>
          <w:color w:val="auto"/>
          <w:sz w:val="21"/>
          <w:szCs w:val="21"/>
          <w:highlight w:val="none"/>
        </w:rPr>
        <w:t>采购需求中的技术、服务等要求指向特定投标人、特定产品；</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.4</w:t>
      </w:r>
      <w:r>
        <w:rPr>
          <w:rFonts w:hint="eastAsia"/>
          <w:color w:val="auto"/>
          <w:sz w:val="21"/>
          <w:szCs w:val="21"/>
          <w:highlight w:val="none"/>
          <w:lang w:val="en-US"/>
        </w:rPr>
        <w:t xml:space="preserve"> </w:t>
      </w:r>
      <w:r>
        <w:rPr>
          <w:rFonts w:hint="eastAsia"/>
          <w:color w:val="auto"/>
          <w:sz w:val="21"/>
          <w:szCs w:val="21"/>
          <w:highlight w:val="none"/>
        </w:rPr>
        <w:t>对投标人采取不同的资格审查或者评标标准；</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.5</w:t>
      </w:r>
      <w:r>
        <w:rPr>
          <w:rFonts w:hint="eastAsia"/>
          <w:color w:val="auto"/>
          <w:sz w:val="21"/>
          <w:szCs w:val="21"/>
          <w:highlight w:val="none"/>
          <w:lang w:val="en-US"/>
        </w:rPr>
        <w:t xml:space="preserve"> </w:t>
      </w:r>
      <w:r>
        <w:rPr>
          <w:rFonts w:hint="eastAsia"/>
          <w:color w:val="auto"/>
          <w:sz w:val="21"/>
          <w:szCs w:val="21"/>
          <w:highlight w:val="none"/>
        </w:rPr>
        <w:t>限定或者指定特定的专利、商标、品牌或者投标人；</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非法限定投标人的所有制形式、组织形式或者所在地；</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.7</w:t>
      </w:r>
      <w:r>
        <w:rPr>
          <w:rFonts w:hint="eastAsia"/>
          <w:color w:val="auto"/>
          <w:sz w:val="21"/>
          <w:szCs w:val="21"/>
          <w:highlight w:val="none"/>
          <w:lang w:val="en-US"/>
        </w:rPr>
        <w:t xml:space="preserve"> </w:t>
      </w:r>
      <w:r>
        <w:rPr>
          <w:rFonts w:hint="eastAsia"/>
          <w:color w:val="auto"/>
          <w:sz w:val="21"/>
          <w:szCs w:val="21"/>
          <w:highlight w:val="none"/>
        </w:rPr>
        <w:t>以其他不合理条件限制或者排斥潜在投标人。</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 特别说明</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2.13.1 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2.13.2 投标人参加投标所使用的资格、信誉、荣誉与相关认证等必须为投标人所拥有；</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2.13.3 投标人应仔细阅读招标文件的所有内容，按照招标文件的要求提交投标文件，并对所提供的全部资料的真实性承担法律责任；</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2.13.4 投标人在投标活动中提供任何虚假材料，其</w:t>
      </w:r>
      <w:r>
        <w:rPr>
          <w:rFonts w:hint="eastAsia" w:ascii="宋体" w:hAnsi="宋体" w:cs="宋体"/>
          <w:b/>
          <w:bCs/>
          <w:color w:val="auto"/>
          <w:sz w:val="21"/>
          <w:szCs w:val="21"/>
          <w:highlight w:val="none"/>
        </w:rPr>
        <w:t>投标无效</w:t>
      </w:r>
      <w:r>
        <w:rPr>
          <w:rFonts w:hint="eastAsia" w:ascii="宋体" w:hAnsi="宋体" w:cs="宋体"/>
          <w:color w:val="auto"/>
          <w:sz w:val="21"/>
          <w:szCs w:val="21"/>
          <w:highlight w:val="none"/>
        </w:rPr>
        <w:t>并承担相应法律责任。</w:t>
      </w:r>
    </w:p>
    <w:p>
      <w:pPr>
        <w:pStyle w:val="33"/>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 </w:t>
      </w:r>
      <w:r>
        <w:rPr>
          <w:rFonts w:hint="eastAsia"/>
          <w:color w:val="auto"/>
          <w:sz w:val="21"/>
          <w:szCs w:val="21"/>
          <w:highlight w:val="none"/>
        </w:rPr>
        <w:t>合格投标人</w:t>
      </w:r>
    </w:p>
    <w:p>
      <w:pPr>
        <w:pStyle w:val="33"/>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3.1 </w:t>
      </w:r>
      <w:r>
        <w:rPr>
          <w:rFonts w:hint="eastAsia"/>
          <w:color w:val="auto"/>
          <w:sz w:val="21"/>
          <w:szCs w:val="21"/>
          <w:highlight w:val="none"/>
        </w:rPr>
        <w:t>“投标人”（也称为“申请人”）系指响应招标、参加本次投标竞争的法人、其他组织。</w:t>
      </w:r>
    </w:p>
    <w:p>
      <w:pPr>
        <w:pStyle w:val="33"/>
        <w:tabs>
          <w:tab w:val="left" w:pos="907"/>
          <w:tab w:val="left" w:pos="908"/>
        </w:tabs>
        <w:spacing w:before="0" w:line="360" w:lineRule="auto"/>
        <w:ind w:left="0" w:firstLine="420" w:firstLineChars="200"/>
        <w:rPr>
          <w:color w:val="auto"/>
          <w:sz w:val="21"/>
          <w:szCs w:val="21"/>
          <w:highlight w:val="none"/>
        </w:rPr>
      </w:pPr>
      <w:bookmarkStart w:id="23" w:name="_bookmark33"/>
      <w:bookmarkEnd w:id="23"/>
      <w:r>
        <w:rPr>
          <w:rFonts w:hint="eastAsia"/>
          <w:color w:val="auto"/>
          <w:sz w:val="21"/>
          <w:szCs w:val="21"/>
          <w:highlight w:val="none"/>
          <w:lang w:val="en-US"/>
        </w:rPr>
        <w:t xml:space="preserve">3.2 </w:t>
      </w:r>
      <w:r>
        <w:rPr>
          <w:rFonts w:hint="eastAsia"/>
          <w:color w:val="auto"/>
          <w:sz w:val="21"/>
          <w:szCs w:val="21"/>
          <w:highlight w:val="none"/>
        </w:rPr>
        <w:t>“合格的投标人”系指符合《投标人须知前附表》投标人资格要求的投标人。</w:t>
      </w:r>
    </w:p>
    <w:p>
      <w:pPr>
        <w:pStyle w:val="33"/>
        <w:tabs>
          <w:tab w:val="left" w:pos="908"/>
        </w:tabs>
        <w:spacing w:before="0" w:line="360" w:lineRule="auto"/>
        <w:ind w:left="0" w:firstLine="420" w:firstLineChars="200"/>
        <w:rPr>
          <w:color w:val="auto"/>
          <w:sz w:val="21"/>
          <w:szCs w:val="21"/>
          <w:highlight w:val="none"/>
          <w:lang w:val="en-US"/>
        </w:rPr>
      </w:pPr>
      <w:bookmarkStart w:id="24" w:name="_bookmark34"/>
      <w:bookmarkEnd w:id="24"/>
      <w:r>
        <w:rPr>
          <w:rFonts w:hint="eastAsia"/>
          <w:color w:val="auto"/>
          <w:sz w:val="21"/>
          <w:szCs w:val="21"/>
          <w:highlight w:val="none"/>
          <w:lang w:val="en-US"/>
        </w:rPr>
        <w:t xml:space="preserve">3.3 </w:t>
      </w:r>
      <w:r>
        <w:rPr>
          <w:rFonts w:hint="eastAsia"/>
          <w:b/>
          <w:color w:val="auto"/>
          <w:sz w:val="21"/>
          <w:szCs w:val="21"/>
          <w:highlight w:val="none"/>
        </w:rPr>
        <w:t>联合体投标</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3.3.1 </w:t>
      </w:r>
      <w:r>
        <w:rPr>
          <w:rFonts w:hint="eastAsia"/>
          <w:color w:val="auto"/>
          <w:sz w:val="21"/>
          <w:szCs w:val="21"/>
          <w:highlight w:val="none"/>
        </w:rPr>
        <w:t xml:space="preserve">对于本须知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3</w:t>
      </w:r>
      <w:r>
        <w:rPr>
          <w:rFonts w:hint="eastAsia"/>
          <w:color w:val="auto"/>
          <w:sz w:val="21"/>
          <w:szCs w:val="21"/>
          <w:highlight w:val="none"/>
        </w:rPr>
        <w:t xml:space="preserve">.2 </w:t>
      </w:r>
      <w:r>
        <w:rPr>
          <w:rFonts w:hint="eastAsia"/>
          <w:color w:val="auto"/>
          <w:sz w:val="21"/>
          <w:szCs w:val="21"/>
          <w:highlight w:val="none"/>
        </w:rPr>
        <w:fldChar w:fldCharType="end"/>
      </w:r>
      <w:r>
        <w:rPr>
          <w:rFonts w:hint="eastAsia"/>
          <w:color w:val="auto"/>
          <w:sz w:val="21"/>
          <w:szCs w:val="21"/>
          <w:highlight w:val="none"/>
        </w:rPr>
        <w:t>条中明确</w:t>
      </w:r>
      <w:r>
        <w:rPr>
          <w:rFonts w:hint="eastAsia"/>
          <w:b/>
          <w:color w:val="auto"/>
          <w:sz w:val="21"/>
          <w:szCs w:val="21"/>
          <w:highlight w:val="none"/>
        </w:rPr>
        <w:t>接受</w:t>
      </w:r>
      <w:r>
        <w:rPr>
          <w:rFonts w:hint="eastAsia"/>
          <w:color w:val="auto"/>
          <w:sz w:val="21"/>
          <w:szCs w:val="21"/>
          <w:highlight w:val="none"/>
        </w:rPr>
        <w:t xml:space="preserve">联合体投标的，对联合体的具体要求见《投标人须知前附表》；对于本须知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3</w:t>
      </w:r>
      <w:r>
        <w:rPr>
          <w:rFonts w:hint="eastAsia"/>
          <w:color w:val="auto"/>
          <w:sz w:val="21"/>
          <w:szCs w:val="21"/>
          <w:highlight w:val="none"/>
        </w:rPr>
        <w:t xml:space="preserve">.2 </w:t>
      </w:r>
      <w:r>
        <w:rPr>
          <w:rFonts w:hint="eastAsia"/>
          <w:color w:val="auto"/>
          <w:sz w:val="21"/>
          <w:szCs w:val="21"/>
          <w:highlight w:val="none"/>
        </w:rPr>
        <w:fldChar w:fldCharType="end"/>
      </w:r>
      <w:r>
        <w:rPr>
          <w:rFonts w:hint="eastAsia"/>
          <w:color w:val="auto"/>
          <w:sz w:val="21"/>
          <w:szCs w:val="21"/>
          <w:highlight w:val="none"/>
        </w:rPr>
        <w:t>条中明确</w:t>
      </w:r>
      <w:r>
        <w:rPr>
          <w:rFonts w:hint="eastAsia"/>
          <w:b/>
          <w:color w:val="auto"/>
          <w:sz w:val="21"/>
          <w:szCs w:val="21"/>
          <w:highlight w:val="none"/>
        </w:rPr>
        <w:t>不接受</w:t>
      </w:r>
      <w:r>
        <w:rPr>
          <w:rFonts w:hint="eastAsia"/>
          <w:color w:val="auto"/>
          <w:sz w:val="21"/>
          <w:szCs w:val="21"/>
          <w:highlight w:val="none"/>
        </w:rPr>
        <w:t>联合体投标的，联合体具体要求不适用。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3.3.2</w:t>
      </w:r>
      <w:r>
        <w:rPr>
          <w:rFonts w:hint="eastAsia"/>
          <w:color w:val="auto"/>
          <w:sz w:val="21"/>
          <w:szCs w:val="21"/>
          <w:highlight w:val="none"/>
        </w:rPr>
        <w:t>联合体是指两个以上的法人或者其他组织可以组成一个联合体，以一个投标人的身份共同投标。投标人为联合体形式的，除应符合本须知</w:t>
      </w:r>
      <w:r>
        <w:rPr>
          <w:rFonts w:hint="eastAsia"/>
          <w:color w:val="auto"/>
          <w:sz w:val="21"/>
          <w:szCs w:val="21"/>
          <w:highlight w:val="none"/>
          <w:lang w:val="en-US"/>
        </w:rPr>
        <w:t xml:space="preserve"> </w:t>
      </w:r>
      <w:r>
        <w:rPr>
          <w:rFonts w:hint="eastAsia"/>
          <w:color w:val="auto"/>
          <w:sz w:val="21"/>
          <w:szCs w:val="21"/>
          <w:highlight w:val="none"/>
        </w:rPr>
        <w:t>3</w:t>
      </w:r>
      <w:r>
        <w:rPr>
          <w:rFonts w:hint="eastAsia"/>
          <w:color w:val="auto"/>
          <w:sz w:val="21"/>
          <w:szCs w:val="21"/>
          <w:highlight w:val="none"/>
          <w:lang w:val="en-US"/>
        </w:rPr>
        <w:t xml:space="preserve">.2 </w:t>
      </w:r>
      <w:r>
        <w:rPr>
          <w:rFonts w:hint="eastAsia"/>
          <w:color w:val="auto"/>
          <w:sz w:val="21"/>
          <w:szCs w:val="21"/>
          <w:highlight w:val="none"/>
        </w:rPr>
        <w:t>条规定外，还应遵守以下规定：</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3.3.2.1 联合体各方必须签订联合体协议书，明确联合体牵头人和各方的义务、工作、合同工作量比例；</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3.3.2.2 联合体各方均应当符合本须知 3.2 条规定的投标人基本资格条件；联合体中有同类资质的投标人按照联合体分工承担相同工作的，按照资质等级较低的投标人确定资质等级。</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3.3.2.3 除《投标人须知前附表》中另有规定，联合体各方中至少有一方应当符合本须知 3.2 条规定的投标人特定资格条件。</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3.3.3大中型企业和其他自然人、法人或者其他组织与小型、微型企业组成联合体，联合体协议中约定，小型、微型企业的协议合同金额占到联合体协议合同总金额30%以上的，可给予联合体2%的价格扣除。</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联合体各方均为小型、微型企业的，联合体视同为小型、微型企业享受扶持政策。</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组成联合体的大中型企业和其他自然人、法人或者其他组织，与小型、微型企业之间不得存在投资关系，并附协议书。</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3.3.4以联合体形式参加政府采购活动的，联合体各方不得再单独参加或者与其他投标人另外组成联合体参加同一合同项下的政府采购活动。</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 投标人不得存在下列情形之一：</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3.4.1 与采购人、采购代理机构存在利害关系；</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3.5 投标人具有履行合同所必需的设备和专业技术能力，在人员、设备、资金等方面具有相应能力；投标人提供的产品必须是成熟产品；在项目地具有技术支持和后续服务等能力。</w:t>
      </w:r>
    </w:p>
    <w:p>
      <w:pPr>
        <w:pStyle w:val="36"/>
        <w:snapToGrid w:val="0"/>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3.6 使用综合评分法的采购项目</w:t>
      </w:r>
      <w:r>
        <w:rPr>
          <w:rFonts w:hint="eastAsia" w:ascii="宋体" w:hAnsi="宋体" w:cs="宋体"/>
          <w:color w:val="auto"/>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非单一产品采购项目，采购人应当根据采购项目技术构成、产品价格比重等合理确定核心产品，并在招标文件中载明。多家投标人提供的核心产品品牌相同的，同上处理。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4 </w:t>
      </w:r>
      <w:r>
        <w:rPr>
          <w:rFonts w:hint="eastAsia"/>
          <w:color w:val="auto"/>
          <w:sz w:val="21"/>
          <w:szCs w:val="21"/>
          <w:highlight w:val="none"/>
        </w:rPr>
        <w:t>进口产品</w:t>
      </w:r>
    </w:p>
    <w:p>
      <w:pPr>
        <w:pStyle w:val="33"/>
        <w:tabs>
          <w:tab w:val="left" w:pos="908"/>
        </w:tabs>
        <w:spacing w:before="0" w:line="360" w:lineRule="auto"/>
        <w:ind w:left="0" w:firstLine="420" w:firstLineChars="200"/>
        <w:rPr>
          <w:color w:val="auto"/>
          <w:sz w:val="21"/>
          <w:szCs w:val="21"/>
          <w:highlight w:val="none"/>
        </w:rPr>
      </w:pPr>
      <w:bookmarkStart w:id="25" w:name="_bookmark35"/>
      <w:bookmarkEnd w:id="25"/>
      <w:r>
        <w:rPr>
          <w:rFonts w:hint="eastAsia"/>
          <w:color w:val="auto"/>
          <w:sz w:val="21"/>
          <w:szCs w:val="21"/>
          <w:highlight w:val="none"/>
          <w:lang w:val="en-US"/>
        </w:rPr>
        <w:t xml:space="preserve">4.1 </w:t>
      </w:r>
      <w:r>
        <w:rPr>
          <w:rFonts w:hint="eastAsia"/>
          <w:color w:val="auto"/>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 号文）、《关于政府采购进口产品管理有关问题的通知》（财办库［2008］248 号文）。</w:t>
      </w:r>
    </w:p>
    <w:p>
      <w:pPr>
        <w:pStyle w:val="33"/>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 投标费用和知识产权</w:t>
      </w:r>
    </w:p>
    <w:p>
      <w:pPr>
        <w:pStyle w:val="33"/>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5.1 投标人应承担其参加本招标活动自身所发生的费用。招标文件所提供的资料，是采购人现有的能被投标人利用的资料，采购人对投标人作出的任何推论、理解和结论均不负责任。</w:t>
      </w:r>
    </w:p>
    <w:p>
      <w:pPr>
        <w:pStyle w:val="33"/>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pPr>
        <w:pStyle w:val="33"/>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6 </w:t>
      </w:r>
      <w:r>
        <w:rPr>
          <w:rFonts w:hint="eastAsia"/>
          <w:color w:val="auto"/>
          <w:sz w:val="21"/>
          <w:szCs w:val="21"/>
          <w:highlight w:val="none"/>
        </w:rPr>
        <w:t>通知</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6.1 </w:t>
      </w:r>
      <w:r>
        <w:rPr>
          <w:rFonts w:hint="eastAsia"/>
          <w:color w:val="auto"/>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pStyle w:val="7"/>
        <w:spacing w:before="31"/>
        <w:ind w:right="113"/>
        <w:rPr>
          <w:rFonts w:ascii="宋体" w:hAnsi="宋体" w:eastAsia="宋体" w:cs="宋体"/>
          <w:color w:val="auto"/>
          <w:sz w:val="24"/>
          <w:szCs w:val="24"/>
          <w:highlight w:val="none"/>
        </w:rPr>
      </w:pPr>
      <w:bookmarkStart w:id="26" w:name="_bookmark36"/>
      <w:bookmarkEnd w:id="26"/>
      <w:bookmarkStart w:id="27" w:name="_Toc25348"/>
      <w:r>
        <w:rPr>
          <w:rFonts w:hint="eastAsia" w:ascii="宋体" w:hAnsi="宋体" w:eastAsia="宋体" w:cs="宋体"/>
          <w:color w:val="auto"/>
          <w:sz w:val="24"/>
          <w:szCs w:val="24"/>
          <w:highlight w:val="none"/>
        </w:rPr>
        <w:t>二、招标文件</w:t>
      </w:r>
      <w:bookmarkEnd w:id="27"/>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 招标文件构成</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7.1 “招标文件”以下六部分组成，包括： </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第一章 投标邀请；</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第二章 投标人须知前附表和投标人须知； </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第三章 采购需求；</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第四章 评标方法和评标标准；</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第五章 拟签订的合同文本； </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第六章 投标文件格式。</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8 对招标文件的询问</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8.1 任何已从投标邀请中规定渠道获取了招标文件并向采购代理机构进行了登记的潜在投标人（以下简称“获取了招标文件的潜在投标人”）对招标文件如有疑问，可通过投标邀请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w:t>
      </w:r>
      <w:r>
        <w:rPr>
          <w:color w:val="auto"/>
          <w:highlight w:val="none"/>
        </w:rPr>
        <w:fldChar w:fldCharType="begin"/>
      </w:r>
      <w:r>
        <w:rPr>
          <w:color w:val="auto"/>
          <w:highlight w:val="none"/>
        </w:rPr>
        <w:instrText xml:space="preserve"> HYPERLINK \l "_bookmark63" </w:instrText>
      </w:r>
      <w:r>
        <w:rPr>
          <w:color w:val="auto"/>
          <w:highlight w:val="none"/>
        </w:rPr>
        <w:fldChar w:fldCharType="separate"/>
      </w:r>
      <w:r>
        <w:rPr>
          <w:rFonts w:hint="eastAsia"/>
          <w:color w:val="auto"/>
          <w:sz w:val="21"/>
          <w:szCs w:val="21"/>
          <w:highlight w:val="none"/>
          <w:lang w:val="en-US"/>
        </w:rPr>
        <w:t xml:space="preserve">34 </w:t>
      </w:r>
      <w:r>
        <w:rPr>
          <w:rFonts w:hint="eastAsia"/>
          <w:color w:val="auto"/>
          <w:sz w:val="21"/>
          <w:szCs w:val="21"/>
          <w:highlight w:val="none"/>
          <w:lang w:val="en-US"/>
        </w:rPr>
        <w:fldChar w:fldCharType="end"/>
      </w:r>
      <w:r>
        <w:rPr>
          <w:rFonts w:hint="eastAsia"/>
          <w:color w:val="auto"/>
          <w:sz w:val="21"/>
          <w:szCs w:val="21"/>
          <w:highlight w:val="none"/>
          <w:lang w:val="en-US"/>
        </w:rPr>
        <w:t>条规定提出质疑。</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 招标文件的澄清和修改</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9.2 招标文件的澄清或者修改的内容为招标文件的组成部分，并对所有获取了招标文件的潜在投标人具有约束力。</w:t>
      </w:r>
    </w:p>
    <w:p>
      <w:pPr>
        <w:pStyle w:val="33"/>
        <w:tabs>
          <w:tab w:val="left" w:pos="908"/>
        </w:tabs>
        <w:spacing w:before="0" w:line="360" w:lineRule="auto"/>
        <w:ind w:left="0" w:firstLine="420" w:firstLineChars="200"/>
        <w:rPr>
          <w:color w:val="auto"/>
          <w:sz w:val="21"/>
          <w:szCs w:val="21"/>
          <w:highlight w:val="none"/>
          <w:lang w:val="en-US"/>
        </w:rPr>
      </w:pPr>
      <w:bookmarkStart w:id="28" w:name="_bookmark37"/>
      <w:bookmarkEnd w:id="28"/>
      <w:r>
        <w:rPr>
          <w:rFonts w:hint="eastAsia"/>
          <w:color w:val="auto"/>
          <w:sz w:val="21"/>
          <w:szCs w:val="21"/>
          <w:highlight w:val="none"/>
          <w:lang w:val="en-US"/>
        </w:rPr>
        <w:t>9.3 采购人、采购代理机构将视情况确定是否有必要安排所有获取了招标文件的潜在投标人踏勘现场，相关要求见《投标人须知前附表》。</w:t>
      </w:r>
    </w:p>
    <w:p>
      <w:pPr>
        <w:pStyle w:val="33"/>
        <w:tabs>
          <w:tab w:val="left" w:pos="908"/>
        </w:tabs>
        <w:spacing w:before="0" w:line="360" w:lineRule="auto"/>
        <w:ind w:left="0" w:firstLine="420" w:firstLineChars="200"/>
        <w:rPr>
          <w:color w:val="auto"/>
          <w:sz w:val="21"/>
          <w:szCs w:val="21"/>
          <w:highlight w:val="none"/>
          <w:lang w:val="en-US"/>
        </w:rPr>
      </w:pPr>
      <w:bookmarkStart w:id="29" w:name="_bookmark38"/>
      <w:bookmarkEnd w:id="29"/>
      <w:r>
        <w:rPr>
          <w:rFonts w:hint="eastAsia"/>
          <w:color w:val="auto"/>
          <w:sz w:val="21"/>
          <w:szCs w:val="21"/>
          <w:highlight w:val="none"/>
          <w:lang w:val="en-US"/>
        </w:rPr>
        <w:t>9.4 采购人、采购代理机构将视情况确定是否有必要召开标前会，相关要求见《投标人须知前附表》。</w:t>
      </w:r>
    </w:p>
    <w:p>
      <w:pPr>
        <w:pStyle w:val="36"/>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10 政府采购政策支持</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10.1促进中小企业、残疾人福利性单位、监狱企业政策落实</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（2）在政府采购活动中，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提供的货物、工程或者服务符合下列情形的，享受本办法规定的中小企业扶持政策：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（一）在货物采购项目中，货物由中小企业制造，即货物由中小企业生产且使用该中小企业商号或者注册商标；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（二）在工程采购项目中，工程由中小企业承建，即工程施工单位为中小企业；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在货物采购项目中，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 xml:space="preserve">提供的货物既有中小企业制造货物，也有大型企业制造货物的，不享受本办法规定的中小企业扶持政策。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价格扣除比例或者价格分加分比例对小型企业和微型企业同等对待，不作区分。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（4）中小企业参加政府采购活动，应当出具《中小企业声明函》，否则不得享受相关中小企业扶持政策，《中小企业声明函》格式见投标文件格式。</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（6）根据《关于促进残疾人就业政府采购政策的通知》（财库〔2017〕141 号）规定， </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（一）安置的残疾人占本单位在职职工人数的比例不低于 25%（含 25%），并且安置的残疾人人数不少于 10 人（含 10 人）；</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（二）依法与安置的每位残疾人签订了一年以上（含一年）的劳动合同或服务协议；</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（三）为安置的每位残疾人按月足额缴纳了基本养老保险、基本医疗保险、失业保险、工伤保险和生育保险等社会保险费；</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10.2鼓励节能、环保政策落实</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机构出具的、处于有效期之内的环境标志产品认证证书标志产品。投标涉及上述产品的，投标人应提供带有投标产品型号的环境标志产品认证证书复印件作为证明。</w:t>
      </w:r>
    </w:p>
    <w:p>
      <w:pPr>
        <w:pStyle w:val="7"/>
        <w:spacing w:line="409" w:lineRule="exact"/>
        <w:ind w:right="119"/>
        <w:rPr>
          <w:rFonts w:ascii="宋体" w:hAnsi="宋体" w:eastAsia="宋体" w:cs="宋体"/>
          <w:color w:val="auto"/>
          <w:sz w:val="24"/>
          <w:szCs w:val="24"/>
          <w:highlight w:val="none"/>
        </w:rPr>
      </w:pPr>
      <w:bookmarkStart w:id="30" w:name="_bookmark39"/>
      <w:bookmarkEnd w:id="30"/>
      <w:bookmarkStart w:id="31" w:name="_Toc28251"/>
      <w:r>
        <w:rPr>
          <w:rFonts w:hint="eastAsia" w:ascii="宋体" w:hAnsi="宋体" w:eastAsia="宋体" w:cs="宋体"/>
          <w:color w:val="auto"/>
          <w:sz w:val="24"/>
          <w:szCs w:val="24"/>
          <w:highlight w:val="none"/>
        </w:rPr>
        <w:t>三、投标文件的编制</w:t>
      </w:r>
      <w:bookmarkEnd w:id="31"/>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 投标文件的语言和计量单位</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11.2 投标文件所使用的计量单位，应使用国家法定计量单位，但招标文件技术服务需求中已使用了法定之外计量单位的情况除外。</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12 投标文件构成</w:t>
      </w:r>
    </w:p>
    <w:p>
      <w:pPr>
        <w:pStyle w:val="33"/>
        <w:tabs>
          <w:tab w:val="left" w:pos="908"/>
        </w:tabs>
        <w:spacing w:before="0" w:line="360" w:lineRule="auto"/>
        <w:ind w:left="0" w:firstLine="420" w:firstLineChars="200"/>
        <w:rPr>
          <w:color w:val="auto"/>
          <w:sz w:val="21"/>
          <w:szCs w:val="21"/>
          <w:highlight w:val="none"/>
          <w:lang w:val="en-US"/>
        </w:rPr>
      </w:pPr>
      <w:bookmarkStart w:id="32" w:name="_bookmark40"/>
      <w:bookmarkEnd w:id="32"/>
      <w:r>
        <w:rPr>
          <w:rFonts w:hint="eastAsia"/>
          <w:color w:val="auto"/>
          <w:sz w:val="21"/>
          <w:szCs w:val="21"/>
          <w:highlight w:val="none"/>
          <w:lang w:val="en-US"/>
        </w:rPr>
        <w:t>12.1 投标人编写的投标文件应包括但不限于《投标人须知前附表》所列资格、资信证明部分</w:t>
      </w:r>
      <w:r>
        <w:rPr>
          <w:rFonts w:hint="eastAsia"/>
          <w:color w:val="auto"/>
          <w:sz w:val="21"/>
          <w:szCs w:val="21"/>
          <w:highlight w:val="none"/>
          <w:lang w:val="en-US" w:eastAsia="zh-CN"/>
        </w:rPr>
        <w:t>、</w:t>
      </w:r>
      <w:r>
        <w:rPr>
          <w:rFonts w:hint="eastAsia"/>
          <w:color w:val="auto"/>
          <w:sz w:val="21"/>
          <w:szCs w:val="21"/>
          <w:highlight w:val="none"/>
          <w:lang w:val="en-US"/>
        </w:rPr>
        <w:t>商务技术部分</w:t>
      </w:r>
      <w:r>
        <w:rPr>
          <w:rFonts w:hint="eastAsia"/>
          <w:color w:val="auto"/>
          <w:sz w:val="21"/>
          <w:szCs w:val="21"/>
          <w:highlight w:val="none"/>
          <w:lang w:val="en-US" w:eastAsia="zh-CN"/>
        </w:rPr>
        <w:t>和报价部分</w:t>
      </w:r>
      <w:r>
        <w:rPr>
          <w:rFonts w:hint="eastAsia"/>
          <w:color w:val="auto"/>
          <w:sz w:val="21"/>
          <w:szCs w:val="21"/>
          <w:highlight w:val="none"/>
          <w:lang w:val="en-US"/>
        </w:rPr>
        <w:t>中的内容。</w:t>
      </w:r>
    </w:p>
    <w:p>
      <w:pPr>
        <w:pStyle w:val="33"/>
        <w:tabs>
          <w:tab w:val="left" w:pos="908"/>
        </w:tabs>
        <w:spacing w:before="0" w:line="360" w:lineRule="auto"/>
        <w:ind w:left="0" w:firstLine="420" w:firstLineChars="200"/>
        <w:rPr>
          <w:color w:val="auto"/>
          <w:sz w:val="21"/>
          <w:szCs w:val="21"/>
          <w:highlight w:val="none"/>
          <w:lang w:val="en-US"/>
        </w:rPr>
      </w:pPr>
      <w:bookmarkStart w:id="33" w:name="_bookmark41"/>
      <w:bookmarkEnd w:id="33"/>
      <w:r>
        <w:rPr>
          <w:rFonts w:hint="eastAsia"/>
          <w:color w:val="auto"/>
          <w:sz w:val="21"/>
          <w:szCs w:val="21"/>
          <w:highlight w:val="none"/>
          <w:lang w:val="en-US"/>
        </w:rPr>
        <w:t>12.2 投标人编写的投标文件具体内容的其他要求或注意事项见《投标人须知前附表》。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12.3 投标人应保证投标文件所提供的全部资料真实可靠，并接受评标委员会对其中任何资料进一步审查的要求。</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.投标文件的编制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.1 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.2 投标文件按照招标文件要求在规定位置进行签署、盖章。投标人的投标文件未按照招标文件要求签署、盖章的，其投标无效。骑缝盖公章不视为在规定位置盖章。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.3 为确保网上操作合法、有效和安全，投标人应当在投标截止时间前完成在“政采云”平台的身份认证，确保在电子投标过程中能够对相关数据电文进行加密和使用电子签名。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.4 投标文件中标注的投标人名称应与主体资格证明（如营业执照、事业单位法人证书、执业许可证、自然人身份证等）及公章一致，否则作无效投标处理。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.5 投标文件应避免涂改、行间插字或者删除，否则其投标无效。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.6 对招标文件的实质性要求和条件作出响应是指投标人必须对招标文件中标注为实质性要求和条件的服务内容及要求、商务条款及其它内容作出满足或者优于原要求和条件的承诺。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.7 本项目为全流程电子化项目，异常情况见“投标人须知正文”中开标程序。</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 投标报价</w:t>
      </w:r>
    </w:p>
    <w:p>
      <w:pPr>
        <w:pStyle w:val="33"/>
        <w:tabs>
          <w:tab w:val="left" w:pos="908"/>
        </w:tabs>
        <w:spacing w:before="0" w:line="360" w:lineRule="auto"/>
        <w:ind w:left="0" w:firstLine="420" w:firstLineChars="200"/>
        <w:rPr>
          <w:color w:val="auto"/>
          <w:sz w:val="21"/>
          <w:szCs w:val="21"/>
          <w:highlight w:val="none"/>
          <w:lang w:val="en-US"/>
        </w:rPr>
      </w:pPr>
      <w:bookmarkStart w:id="34" w:name="_bookmark43"/>
      <w:bookmarkEnd w:id="34"/>
      <w:r>
        <w:rPr>
          <w:rFonts w:hint="eastAsia"/>
          <w:color w:val="auto"/>
          <w:sz w:val="21"/>
          <w:szCs w:val="21"/>
          <w:highlight w:val="none"/>
          <w:lang w:val="en-US"/>
        </w:rPr>
        <w:t>14.1 报价方式详见《投标人须知前附表》。所有投标报价均以《投标人须知前附表》规定的币种和单位为计量单位。</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14.3 投标报价中不得包含招标文件要求以外的内容，否则，在评标时不予核减。投标报价中也不应缺漏招标文件所要求的内容。</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14.4 本次招标不接受可选择或可调整的投标和报价，投标人对每种货物或服务只允许有一个报价，任何有选择的或可调整的投标人案和报价将被视为无效投标。</w:t>
      </w:r>
    </w:p>
    <w:p>
      <w:pPr>
        <w:pStyle w:val="33"/>
        <w:tabs>
          <w:tab w:val="left" w:pos="908"/>
        </w:tabs>
        <w:spacing w:before="0" w:line="360" w:lineRule="auto"/>
        <w:ind w:left="0" w:firstLine="420" w:firstLineChars="200"/>
        <w:rPr>
          <w:color w:val="auto"/>
          <w:sz w:val="21"/>
          <w:szCs w:val="21"/>
          <w:highlight w:val="none"/>
          <w:lang w:val="en-US"/>
        </w:rPr>
      </w:pPr>
      <w:bookmarkStart w:id="35" w:name="_bookmark44"/>
      <w:bookmarkEnd w:id="35"/>
      <w:r>
        <w:rPr>
          <w:rFonts w:hint="eastAsia"/>
          <w:color w:val="auto"/>
          <w:sz w:val="21"/>
          <w:szCs w:val="21"/>
          <w:highlight w:val="none"/>
          <w:lang w:val="en-US"/>
        </w:rPr>
        <w:t>14.5 本次招标设定的最高投标限价见《投标人须知前附表》。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15 投标有效期和投标保证金</w:t>
      </w:r>
    </w:p>
    <w:p>
      <w:pPr>
        <w:pStyle w:val="33"/>
        <w:tabs>
          <w:tab w:val="left" w:pos="908"/>
        </w:tabs>
        <w:spacing w:before="0" w:line="360" w:lineRule="auto"/>
        <w:ind w:left="0" w:firstLine="420" w:firstLineChars="200"/>
        <w:rPr>
          <w:color w:val="auto"/>
          <w:sz w:val="21"/>
          <w:szCs w:val="21"/>
          <w:highlight w:val="none"/>
          <w:lang w:val="en-US"/>
        </w:rPr>
      </w:pPr>
      <w:bookmarkStart w:id="36" w:name="_bookmark45"/>
      <w:bookmarkEnd w:id="36"/>
      <w:r>
        <w:rPr>
          <w:rFonts w:hint="eastAsia"/>
          <w:color w:val="auto"/>
          <w:sz w:val="21"/>
          <w:szCs w:val="21"/>
          <w:highlight w:val="none"/>
          <w:lang w:val="en-US"/>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pPr>
        <w:pStyle w:val="33"/>
        <w:tabs>
          <w:tab w:val="left" w:pos="908"/>
        </w:tabs>
        <w:spacing w:before="0" w:line="360" w:lineRule="auto"/>
        <w:ind w:left="0" w:firstLine="420" w:firstLineChars="200"/>
        <w:rPr>
          <w:color w:val="auto"/>
          <w:sz w:val="21"/>
          <w:szCs w:val="21"/>
          <w:highlight w:val="none"/>
          <w:lang w:val="en-US"/>
        </w:rPr>
      </w:pPr>
      <w:bookmarkStart w:id="37" w:name="_bookmark46"/>
      <w:bookmarkEnd w:id="37"/>
      <w:r>
        <w:rPr>
          <w:rFonts w:hint="eastAsia"/>
          <w:color w:val="auto"/>
          <w:sz w:val="21"/>
          <w:szCs w:val="21"/>
          <w:highlight w:val="none"/>
          <w:lang w:val="en-US"/>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pPr>
        <w:pStyle w:val="33"/>
        <w:tabs>
          <w:tab w:val="left" w:pos="908"/>
        </w:tabs>
        <w:spacing w:before="0" w:line="360" w:lineRule="auto"/>
        <w:ind w:left="0" w:firstLine="420" w:firstLineChars="200"/>
        <w:rPr>
          <w:color w:val="auto"/>
          <w:sz w:val="21"/>
          <w:szCs w:val="21"/>
          <w:highlight w:val="none"/>
          <w:lang w:val="en-US"/>
        </w:rPr>
      </w:pPr>
      <w:bookmarkStart w:id="38" w:name="_bookmark47"/>
      <w:bookmarkEnd w:id="38"/>
      <w:r>
        <w:rPr>
          <w:rFonts w:hint="eastAsia"/>
          <w:color w:val="auto"/>
          <w:sz w:val="21"/>
          <w:szCs w:val="21"/>
          <w:highlight w:val="none"/>
          <w:lang w:val="en-US"/>
        </w:rPr>
        <w:t>15.4 投标保证金是为了保护采购代理机构和采购人免遭因投标人的行为而蒙受损失。下列任一情况发生时，投标保证金将不退还投标人：</w:t>
      </w:r>
    </w:p>
    <w:p>
      <w:pPr>
        <w:adjustRightInd w:val="0"/>
        <w:snapToGrid w:val="0"/>
        <w:spacing w:line="360" w:lineRule="auto"/>
        <w:ind w:left="440" w:leftChars="200" w:firstLine="420" w:firstLineChars="200"/>
        <w:rPr>
          <w:color w:val="auto"/>
          <w:sz w:val="21"/>
          <w:szCs w:val="21"/>
          <w:highlight w:val="none"/>
        </w:rPr>
      </w:pPr>
      <w:bookmarkStart w:id="39" w:name="_bookmark48"/>
      <w:bookmarkEnd w:id="39"/>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）投标人在投标有效期内撤销投标文件的；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）中标后无正当理由不与采购人签订合同的；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）将中标项目转让给他人，或者在投标文件中未说明，且未经采购人同意，将中标项目转包或部分分包给他人的；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）中标人未按招标文件规定缴纳履约保证金的；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）拒绝履行合同义务的。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）投标人恶意串通，妨碍其他投标人的竞争行为，损害采购人或者其他投标人的合法权益的。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）投标人出现</w:t>
      </w:r>
      <w:r>
        <w:rPr>
          <w:rFonts w:hint="eastAsia"/>
          <w:color w:val="auto"/>
          <w:sz w:val="21"/>
          <w:szCs w:val="21"/>
          <w:highlight w:val="none"/>
          <w:lang w:val="en-US"/>
        </w:rPr>
        <w:t xml:space="preserve">本须知第 </w:t>
      </w:r>
      <w:r>
        <w:rPr>
          <w:color w:val="auto"/>
          <w:highlight w:val="none"/>
        </w:rPr>
        <w:fldChar w:fldCharType="begin"/>
      </w:r>
      <w:r>
        <w:rPr>
          <w:color w:val="auto"/>
          <w:highlight w:val="none"/>
        </w:rPr>
        <w:instrText xml:space="preserve"> HYPERLINK \l "_bookmark47" </w:instrText>
      </w:r>
      <w:r>
        <w:rPr>
          <w:color w:val="auto"/>
          <w:highlight w:val="none"/>
        </w:rPr>
        <w:fldChar w:fldCharType="separate"/>
      </w:r>
      <w:r>
        <w:rPr>
          <w:rFonts w:hint="eastAsia"/>
          <w:color w:val="auto"/>
          <w:sz w:val="21"/>
          <w:szCs w:val="21"/>
          <w:highlight w:val="none"/>
          <w:lang w:val="en-US"/>
        </w:rPr>
        <w:t xml:space="preserve">20.7 </w:t>
      </w:r>
      <w:r>
        <w:rPr>
          <w:rFonts w:hint="eastAsia"/>
          <w:color w:val="auto"/>
          <w:sz w:val="21"/>
          <w:szCs w:val="21"/>
          <w:highlight w:val="none"/>
          <w:lang w:val="en-US"/>
        </w:rPr>
        <w:fldChar w:fldCharType="end"/>
      </w:r>
      <w:r>
        <w:rPr>
          <w:rFonts w:hint="eastAsia"/>
          <w:color w:val="auto"/>
          <w:sz w:val="21"/>
          <w:szCs w:val="21"/>
          <w:highlight w:val="none"/>
          <w:lang w:val="en-US"/>
        </w:rPr>
        <w:t>条</w:t>
      </w:r>
      <w:r>
        <w:rPr>
          <w:rFonts w:hint="eastAsia"/>
          <w:color w:val="auto"/>
          <w:sz w:val="21"/>
          <w:szCs w:val="21"/>
          <w:highlight w:val="none"/>
        </w:rPr>
        <w:t>所述情形之一的，视为投标人串通投标，其投标无效。</w:t>
      </w:r>
    </w:p>
    <w:p>
      <w:pPr>
        <w:pStyle w:val="7"/>
        <w:spacing w:before="31"/>
        <w:ind w:right="119"/>
        <w:rPr>
          <w:rFonts w:ascii="宋体" w:hAnsi="宋体" w:eastAsia="宋体" w:cs="宋体"/>
          <w:color w:val="auto"/>
          <w:sz w:val="24"/>
          <w:szCs w:val="24"/>
          <w:highlight w:val="none"/>
        </w:rPr>
      </w:pPr>
      <w:bookmarkStart w:id="40" w:name="_Toc12916"/>
      <w:r>
        <w:rPr>
          <w:rFonts w:hint="eastAsia" w:ascii="宋体" w:hAnsi="宋体" w:eastAsia="宋体" w:cs="宋体"/>
          <w:color w:val="auto"/>
          <w:sz w:val="24"/>
          <w:szCs w:val="24"/>
          <w:highlight w:val="none"/>
        </w:rPr>
        <w:t>四、投标文件的递交</w:t>
      </w:r>
      <w:bookmarkEnd w:id="40"/>
    </w:p>
    <w:p>
      <w:pPr>
        <w:adjustRightInd w:val="0"/>
        <w:snapToGrid w:val="0"/>
        <w:spacing w:line="360" w:lineRule="auto"/>
        <w:ind w:firstLine="420" w:firstLineChars="200"/>
        <w:rPr>
          <w:color w:val="auto"/>
          <w:sz w:val="21"/>
          <w:szCs w:val="21"/>
          <w:highlight w:val="none"/>
          <w:lang w:val="en-US"/>
        </w:rPr>
      </w:pPr>
      <w:bookmarkStart w:id="41" w:name="_bookmark51"/>
      <w:bookmarkEnd w:id="41"/>
      <w:r>
        <w:rPr>
          <w:rFonts w:hint="eastAsia"/>
          <w:color w:val="auto"/>
          <w:sz w:val="21"/>
          <w:szCs w:val="21"/>
          <w:highlight w:val="none"/>
          <w:lang w:val="en-US"/>
        </w:rPr>
        <w:t xml:space="preserve">16.投标文件的提交 </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 xml:space="preserve">16.1 投标人必须在《投标人须知前附表》规定的投标文件接收时间和投标地点提交电子版投标文件。电子投标文件应在制作完成后，在投标截止时间前通过有效数字证书（CA 认证锁）进行电子签章、加密，然后通过网络将加密的电子投标文件递交至“新疆政采云平台”。 </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16.2 未在规定时间内提交或者未按照招标文件要求密封或者标记的电子投标文件，“政采云”平台将拒收。</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 xml:space="preserve">16.3 电子版投标文件提交方式见“招标公告”中“提交投标文件截止时间、开标时间和地点”。 </w:t>
      </w:r>
    </w:p>
    <w:p>
      <w:pPr>
        <w:adjustRightInd w:val="0"/>
        <w:snapToGrid w:val="0"/>
        <w:spacing w:line="360"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16.4 </w:t>
      </w:r>
      <w:r>
        <w:rPr>
          <w:rFonts w:hint="eastAsia"/>
          <w:color w:val="auto"/>
          <w:sz w:val="21"/>
          <w:szCs w:val="21"/>
          <w:highlight w:val="none"/>
          <w:lang w:val="en-US"/>
        </w:rPr>
        <w:t>投标人必须在《投标人须知前附表》规定的</w:t>
      </w:r>
      <w:r>
        <w:rPr>
          <w:rFonts w:hint="eastAsia"/>
          <w:color w:val="auto"/>
          <w:sz w:val="21"/>
          <w:szCs w:val="21"/>
          <w:highlight w:val="none"/>
          <w:lang w:val="en-US" w:eastAsia="zh-CN"/>
        </w:rPr>
        <w:t>方式提交备份投标文件。</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17.样品递交</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如</w:t>
      </w:r>
      <w:r>
        <w:rPr>
          <w:rFonts w:hint="eastAsia"/>
          <w:color w:val="auto"/>
          <w:sz w:val="21"/>
          <w:szCs w:val="21"/>
          <w:highlight w:val="none"/>
          <w:lang w:val="en-US"/>
        </w:rPr>
        <w:t>《投标人须知前附表》</w:t>
      </w:r>
      <w:r>
        <w:rPr>
          <w:rFonts w:hint="eastAsia"/>
          <w:color w:val="auto"/>
          <w:sz w:val="21"/>
          <w:szCs w:val="21"/>
          <w:highlight w:val="none"/>
        </w:rPr>
        <w:t>中要求提供样品的，应按要求提供样品及相关资料。</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.1提供样品的包件，必须提供与投标型号相同的现场实样展示；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.2未提供样品的投标人，该包件投标将不进入样品评审，样品评审环节不得分。</w:t>
      </w:r>
      <w:r>
        <w:rPr>
          <w:rFonts w:hint="eastAsia"/>
          <w:b/>
          <w:color w:val="auto"/>
          <w:sz w:val="21"/>
          <w:szCs w:val="21"/>
          <w:highlight w:val="none"/>
        </w:rPr>
        <w:t>样品外醒目处必须用不干胶材料（自粘标签材料）粘贴并注明投标单位全称、</w:t>
      </w:r>
      <w:r>
        <w:rPr>
          <w:rFonts w:hint="eastAsia"/>
          <w:color w:val="auto"/>
          <w:sz w:val="21"/>
          <w:szCs w:val="21"/>
          <w:highlight w:val="none"/>
        </w:rPr>
        <w:t>器材（装备）名称、型号，并与投标样品清单相对应，不干胶材料大小小于4cm*4cm。</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.4样品提交要求：递交样品时需同时递交投标样品清单及U盘一套。U盘内容为电子版投标样品清单，格式为EXCEL或WORD。（样品清单表格自拟）样品清单须包含正面、背面、左侧面45度角清晰照片三张。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.5采购人不对样品支付任何补偿。</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 投标截止时间及投标地点</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18.1 提交投标文件截止时间（即“投标截止时间”）见第一章投标邀请。</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18.2 投标文件须按照招标文件规定的时间上传，在投标截止时间以后上传的投标文件，采购代理机构应当拒收。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18.3 采购代理机构可以依法酌情延长投标截止时间。在此情况下，采购人和投标人受投标截止时间制约的所有权利和义务均应延长至新的投标截止时间。</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19.投标文件的补充、修改、撤回与退回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19.1 </w:t>
      </w:r>
      <w:r>
        <w:rPr>
          <w:rFonts w:hint="eastAsia"/>
          <w:color w:val="auto"/>
          <w:sz w:val="21"/>
          <w:szCs w:val="21"/>
          <w:highlight w:val="none"/>
          <w:lang w:val="en-US" w:eastAsia="zh-CN"/>
        </w:rPr>
        <w:t>投标人</w:t>
      </w:r>
      <w:r>
        <w:rPr>
          <w:rFonts w:hint="eastAsia"/>
          <w:color w:val="auto"/>
          <w:sz w:val="21"/>
          <w:szCs w:val="21"/>
          <w:highlight w:val="none"/>
          <w:lang w:val="en-US"/>
        </w:rPr>
        <w:t xml:space="preserve">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19.2“政采云”平台收到投标文件，将妥善保存并即时向</w:t>
      </w:r>
      <w:r>
        <w:rPr>
          <w:rFonts w:hint="eastAsia"/>
          <w:color w:val="auto"/>
          <w:sz w:val="21"/>
          <w:szCs w:val="21"/>
          <w:highlight w:val="none"/>
          <w:lang w:val="en-US" w:eastAsia="zh-CN"/>
        </w:rPr>
        <w:t>投标人</w:t>
      </w:r>
      <w:r>
        <w:rPr>
          <w:rFonts w:hint="eastAsia"/>
          <w:color w:val="auto"/>
          <w:sz w:val="21"/>
          <w:szCs w:val="21"/>
          <w:highlight w:val="none"/>
          <w:lang w:val="en-US"/>
        </w:rPr>
        <w:t>发出确认回执通知。在投标截止时间前，除</w:t>
      </w:r>
      <w:r>
        <w:rPr>
          <w:rFonts w:hint="eastAsia"/>
          <w:color w:val="auto"/>
          <w:sz w:val="21"/>
          <w:szCs w:val="21"/>
          <w:highlight w:val="none"/>
          <w:lang w:val="en-US" w:eastAsia="zh-CN"/>
        </w:rPr>
        <w:t>投标人</w:t>
      </w:r>
      <w:r>
        <w:rPr>
          <w:rFonts w:hint="eastAsia"/>
          <w:color w:val="auto"/>
          <w:sz w:val="21"/>
          <w:szCs w:val="21"/>
          <w:highlight w:val="none"/>
          <w:lang w:val="en-US"/>
        </w:rPr>
        <w:t xml:space="preserve">补充、修改或者撤回投标文件外，任何单位和个人不得解密或提取投标文件。 </w:t>
      </w:r>
    </w:p>
    <w:p>
      <w:pPr>
        <w:pStyle w:val="33"/>
        <w:tabs>
          <w:tab w:val="left" w:pos="908"/>
        </w:tabs>
        <w:spacing w:before="0" w:line="360" w:lineRule="auto"/>
        <w:ind w:left="0" w:firstLine="420" w:firstLineChars="200"/>
        <w:rPr>
          <w:color w:val="auto"/>
          <w:highlight w:val="none"/>
        </w:rPr>
      </w:pPr>
      <w:r>
        <w:rPr>
          <w:rFonts w:hint="eastAsia"/>
          <w:color w:val="auto"/>
          <w:sz w:val="21"/>
          <w:szCs w:val="21"/>
          <w:highlight w:val="none"/>
          <w:lang w:val="en-US"/>
        </w:rPr>
        <w:t>19.3 在投标截止时间止提交电子版投标文件的投标人不足 3 家时，电子版投标文件由代理机构在“政采云”平台操作退回，除此之外采购人和采购代理机构对已提交的投标文件概不退回。</w:t>
      </w:r>
      <w:r>
        <w:rPr>
          <w:rFonts w:hint="eastAsia"/>
          <w:color w:val="auto"/>
          <w:sz w:val="21"/>
          <w:szCs w:val="21"/>
          <w:highlight w:val="none"/>
          <w:lang w:val="en-US" w:bidi="ar"/>
        </w:rPr>
        <w:t xml:space="preserve"> </w:t>
      </w:r>
    </w:p>
    <w:p>
      <w:pPr>
        <w:pStyle w:val="7"/>
        <w:spacing w:before="2"/>
        <w:ind w:right="113"/>
        <w:rPr>
          <w:rFonts w:ascii="宋体" w:hAnsi="宋体" w:eastAsia="宋体" w:cs="宋体"/>
          <w:color w:val="auto"/>
          <w:sz w:val="24"/>
          <w:szCs w:val="24"/>
          <w:highlight w:val="none"/>
        </w:rPr>
      </w:pPr>
      <w:bookmarkStart w:id="42" w:name="_Toc19260"/>
      <w:r>
        <w:rPr>
          <w:rFonts w:hint="eastAsia" w:ascii="宋体" w:hAnsi="宋体" w:eastAsia="宋体" w:cs="宋体"/>
          <w:color w:val="auto"/>
          <w:sz w:val="24"/>
          <w:szCs w:val="24"/>
          <w:highlight w:val="none"/>
        </w:rPr>
        <w:t>五、开标与评标</w:t>
      </w:r>
      <w:bookmarkEnd w:id="42"/>
    </w:p>
    <w:p>
      <w:pPr>
        <w:pStyle w:val="33"/>
        <w:tabs>
          <w:tab w:val="left" w:pos="908"/>
        </w:tabs>
        <w:spacing w:before="0" w:line="360" w:lineRule="auto"/>
        <w:ind w:left="0" w:firstLine="420" w:firstLineChars="200"/>
        <w:rPr>
          <w:color w:val="auto"/>
          <w:sz w:val="21"/>
          <w:szCs w:val="21"/>
          <w:highlight w:val="none"/>
          <w:lang w:val="en-US"/>
        </w:rPr>
      </w:pPr>
      <w:bookmarkStart w:id="43" w:name="_bookmark57"/>
      <w:bookmarkEnd w:id="43"/>
      <w:r>
        <w:rPr>
          <w:rFonts w:hint="eastAsia"/>
          <w:color w:val="auto"/>
          <w:sz w:val="21"/>
          <w:szCs w:val="21"/>
          <w:highlight w:val="none"/>
          <w:lang w:val="en-US"/>
        </w:rPr>
        <w:t>20.开标</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20.1开标时间和地点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20.1.1 开标时间及地点详见《投标人须知前附表》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20.1.2 如投标人成功解密投标文件，但未在“政采云”电子开标大厅参加开标的，视同认可开标过程和结果，由此产生的后果由投标人自行负责。 投标人不足 3 家的，不得开标。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20..2开标程序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20.2.1开标形式：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（1）开标的准备工作由采购代理机构负责落实，采购代理机构必须基于“政采云”平台选取评审专家，如采购代理机构未按规定选取专家的，视为本次开评标无效，应当重新采购；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（2）采购代理机构将按照招标文件规定的时间通过“政采云”平台组织线上开标活动、开启投标文件，所有</w:t>
      </w:r>
      <w:r>
        <w:rPr>
          <w:rFonts w:hint="eastAsia"/>
          <w:color w:val="auto"/>
          <w:sz w:val="21"/>
          <w:szCs w:val="21"/>
          <w:highlight w:val="none"/>
          <w:lang w:val="en-US" w:eastAsia="zh-CN"/>
        </w:rPr>
        <w:t>投标人</w:t>
      </w:r>
      <w:r>
        <w:rPr>
          <w:rFonts w:hint="eastAsia"/>
          <w:color w:val="auto"/>
          <w:sz w:val="21"/>
          <w:szCs w:val="21"/>
          <w:highlight w:val="none"/>
          <w:lang w:val="en-US"/>
        </w:rPr>
        <w:t xml:space="preserve">均应当准时在线参加。投标人如不参加开标大会的，视同认可开标结果，事后不得对采购相关人员、开标过程和开标结果提出异议，同时投标人因未在线参加开标而导致投标文件无法按时解密等一切后果由投标人自己承担。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20.2.2开标程序：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锁准时登录到“政采云”平台电子开标大厅签到并对电子投标文件解密。开标后 5 分钟投标人还未进行解密的，代理机构要通知投标人。通知后，投标文件仍未按时解密，或者投标人没预留联系方式或预留联系方式无效，导致代理机构无法联系到投标人进行解密的，均视为无效投标。</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（解密异常情况处理：详见本章电子交易活动的中止。）</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b/>
          <w:bCs/>
          <w:color w:val="auto"/>
          <w:kern w:val="0"/>
          <w:sz w:val="21"/>
          <w:szCs w:val="21"/>
          <w:highlight w:val="none"/>
          <w:lang w:val="en-US" w:eastAsia="zh-CN" w:bidi="zh-CN"/>
        </w:rPr>
        <w:t>电子唱标。</w:t>
      </w:r>
      <w:r>
        <w:rPr>
          <w:rFonts w:hint="eastAsia" w:ascii="宋体" w:hAnsi="宋体" w:eastAsia="宋体" w:cs="宋体"/>
          <w:color w:val="auto"/>
          <w:kern w:val="0"/>
          <w:sz w:val="21"/>
          <w:szCs w:val="21"/>
          <w:highlight w:val="none"/>
          <w:lang w:val="en-US" w:eastAsia="zh-CN" w:bidi="zh-CN"/>
        </w:rPr>
        <w:t>响应文件解密结束，各投标</w:t>
      </w:r>
      <w:r>
        <w:rPr>
          <w:rFonts w:hint="eastAsia" w:cs="宋体"/>
          <w:color w:val="auto"/>
          <w:kern w:val="0"/>
          <w:sz w:val="21"/>
          <w:szCs w:val="21"/>
          <w:highlight w:val="none"/>
          <w:lang w:val="en-US" w:eastAsia="zh-CN" w:bidi="zh-CN"/>
        </w:rPr>
        <w:t>投标人</w:t>
      </w:r>
      <w:r>
        <w:rPr>
          <w:rFonts w:hint="eastAsia" w:ascii="宋体" w:hAnsi="宋体" w:eastAsia="宋体" w:cs="宋体"/>
          <w:color w:val="auto"/>
          <w:kern w:val="0"/>
          <w:sz w:val="21"/>
          <w:szCs w:val="21"/>
          <w:highlight w:val="none"/>
          <w:lang w:val="en-US" w:eastAsia="zh-CN" w:bidi="zh-CN"/>
        </w:rPr>
        <w:t xml:space="preserve">报价均在“政采云”平台远程不见面开标大厅展示；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b/>
          <w:bCs/>
          <w:color w:val="auto"/>
          <w:kern w:val="0"/>
          <w:sz w:val="21"/>
          <w:szCs w:val="21"/>
          <w:highlight w:val="none"/>
          <w:lang w:val="en-US" w:eastAsia="zh-CN" w:bidi="zh-CN"/>
        </w:rPr>
        <w:t>签署电子《政府采购活动现场确认声明书》。</w:t>
      </w:r>
      <w:r>
        <w:rPr>
          <w:rFonts w:hint="eastAsia" w:ascii="宋体" w:hAnsi="宋体" w:eastAsia="宋体" w:cs="宋体"/>
          <w:color w:val="auto"/>
          <w:kern w:val="0"/>
          <w:sz w:val="21"/>
          <w:szCs w:val="21"/>
          <w:highlight w:val="none"/>
          <w:lang w:val="en-US" w:eastAsia="zh-CN" w:bidi="zh-CN"/>
        </w:rPr>
        <w:t>通过邮件形式在远程不见面开标大厅发送各</w:t>
      </w:r>
      <w:r>
        <w:rPr>
          <w:rFonts w:hint="eastAsia" w:cs="宋体"/>
          <w:color w:val="auto"/>
          <w:kern w:val="0"/>
          <w:sz w:val="21"/>
          <w:szCs w:val="21"/>
          <w:highlight w:val="none"/>
          <w:lang w:val="en-US" w:eastAsia="zh-CN" w:bidi="zh-CN"/>
        </w:rPr>
        <w:t>投标人</w:t>
      </w:r>
      <w:r>
        <w:rPr>
          <w:rFonts w:hint="eastAsia" w:ascii="宋体" w:hAnsi="宋体" w:eastAsia="宋体" w:cs="宋体"/>
          <w:color w:val="auto"/>
          <w:kern w:val="0"/>
          <w:sz w:val="21"/>
          <w:szCs w:val="21"/>
          <w:highlight w:val="none"/>
          <w:lang w:val="en-US" w:eastAsia="zh-CN" w:bidi="zh-CN"/>
        </w:rPr>
        <w:t xml:space="preserve">签署电子《政府采购活动现场确认声明书》。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（4）开标过程由采购代理机构如实记录，并电子留痕，由参加电子开标的各</w:t>
      </w:r>
      <w:r>
        <w:rPr>
          <w:rFonts w:hint="eastAsia" w:cs="宋体"/>
          <w:color w:val="auto"/>
          <w:kern w:val="0"/>
          <w:sz w:val="21"/>
          <w:szCs w:val="21"/>
          <w:highlight w:val="none"/>
          <w:lang w:val="en-US" w:eastAsia="zh-CN" w:bidi="zh-CN"/>
        </w:rPr>
        <w:t>投标人</w:t>
      </w:r>
      <w:r>
        <w:rPr>
          <w:rFonts w:hint="eastAsia" w:ascii="宋体" w:hAnsi="宋体" w:eastAsia="宋体" w:cs="宋体"/>
          <w:color w:val="auto"/>
          <w:kern w:val="0"/>
          <w:sz w:val="21"/>
          <w:szCs w:val="21"/>
          <w:highlight w:val="none"/>
          <w:lang w:val="en-US" w:eastAsia="zh-CN" w:bidi="zh-CN"/>
        </w:rPr>
        <w:t xml:space="preserve">代表对电子开标记录在开标记录公布后 15 分钟内进行当场校核及勘误，并线上确认，未确认的视同认可开标结果。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w:t>
      </w:r>
      <w:r>
        <w:rPr>
          <w:rFonts w:hint="eastAsia" w:cs="宋体"/>
          <w:color w:val="auto"/>
          <w:kern w:val="0"/>
          <w:sz w:val="21"/>
          <w:szCs w:val="21"/>
          <w:highlight w:val="none"/>
          <w:lang w:val="en-US" w:eastAsia="zh-CN" w:bidi="zh-CN"/>
        </w:rPr>
        <w:t>投标人</w:t>
      </w:r>
      <w:r>
        <w:rPr>
          <w:rFonts w:hint="eastAsia" w:ascii="宋体" w:hAnsi="宋体" w:eastAsia="宋体" w:cs="宋体"/>
          <w:color w:val="auto"/>
          <w:kern w:val="0"/>
          <w:sz w:val="21"/>
          <w:szCs w:val="21"/>
          <w:highlight w:val="none"/>
          <w:lang w:val="en-US" w:eastAsia="zh-CN" w:bidi="zh-CN"/>
        </w:rPr>
        <w:t>代表对开标过程和开标记录有疑义，以及认为采购人、采购代理机构相关工作人员有需要回避的情形的，应当场提出在线询问或者回避申请。采购人、采购代理机构对</w:t>
      </w:r>
      <w:r>
        <w:rPr>
          <w:rFonts w:hint="eastAsia" w:cs="宋体"/>
          <w:color w:val="auto"/>
          <w:kern w:val="0"/>
          <w:sz w:val="21"/>
          <w:szCs w:val="21"/>
          <w:highlight w:val="none"/>
          <w:lang w:val="en-US" w:eastAsia="zh-CN" w:bidi="zh-CN"/>
        </w:rPr>
        <w:t>投标人</w:t>
      </w:r>
      <w:r>
        <w:rPr>
          <w:rFonts w:hint="eastAsia" w:ascii="宋体" w:hAnsi="宋体" w:eastAsia="宋体" w:cs="宋体"/>
          <w:color w:val="auto"/>
          <w:kern w:val="0"/>
          <w:sz w:val="21"/>
          <w:szCs w:val="21"/>
          <w:highlight w:val="none"/>
          <w:lang w:val="en-US" w:eastAsia="zh-CN" w:bidi="zh-CN"/>
        </w:rPr>
        <w:t xml:space="preserve">代表提出的询问或者回避申请应当及时处理。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（6）开标结束。 </w:t>
      </w:r>
    </w:p>
    <w:p>
      <w:pPr>
        <w:autoSpaceDE w:val="0"/>
        <w:autoSpaceDN w:val="0"/>
        <w:adjustRightInd w:val="0"/>
        <w:snapToGrid w:val="0"/>
        <w:spacing w:before="0" w:after="0" w:line="360" w:lineRule="auto"/>
        <w:ind w:left="0" w:right="0" w:firstLine="422"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val="en-US" w:eastAsia="zh-CN" w:bidi="zh-CN"/>
        </w:rPr>
        <w:t>特别说明：</w:t>
      </w:r>
      <w:r>
        <w:rPr>
          <w:rFonts w:hint="eastAsia" w:ascii="宋体" w:hAnsi="宋体" w:eastAsia="宋体" w:cs="宋体"/>
          <w:color w:val="auto"/>
          <w:kern w:val="0"/>
          <w:sz w:val="21"/>
          <w:szCs w:val="21"/>
          <w:highlight w:val="none"/>
          <w:lang w:val="en-US" w:eastAsia="zh-CN" w:bidi="zh-CN"/>
        </w:rPr>
        <w:t xml:space="preserve">如遇“政采云”平台电子化开标或评审程序调整的，按调整后执行。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.1招标文件存在不合理条款或者招标程序不符合规定的，采购人、采购代理机构改正后依法重新招标；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.2招标文件没有不合理条款、招标程序符合规定，需要采用其他采购方式采购的，采购人应当依法报财政部门批准。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开标结束后，采购人或者采购代理机构应当依法对投标人的资格进行审查。</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如果资格审查合格的投标人不足3家，将不进行评标，采购人将依法重新组织招标或采用其他采购方式采购。</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投标人应当遵循公平竞争的原则，不得恶意串通，不得妨碍其他投标人的竞争行为，不得损害采购人或者其他投标人的合法权益。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在评标过程中发现投标人有上述情形的，评标委员会应当认定其</w:t>
      </w:r>
      <w:r>
        <w:rPr>
          <w:rFonts w:hint="eastAsia"/>
          <w:b/>
          <w:color w:val="auto"/>
          <w:sz w:val="21"/>
          <w:szCs w:val="21"/>
          <w:highlight w:val="none"/>
        </w:rPr>
        <w:t>投标无效</w:t>
      </w:r>
      <w:r>
        <w:rPr>
          <w:rFonts w:hint="eastAsia"/>
          <w:color w:val="auto"/>
          <w:sz w:val="21"/>
          <w:szCs w:val="21"/>
          <w:highlight w:val="none"/>
        </w:rPr>
        <w:t>，并书面报告本级财政部门。</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lang w:val="en-US"/>
        </w:rPr>
        <w:t>20</w:t>
      </w:r>
      <w:r>
        <w:rPr>
          <w:rFonts w:hint="eastAsia"/>
          <w:b/>
          <w:color w:val="auto"/>
          <w:sz w:val="21"/>
          <w:szCs w:val="21"/>
          <w:highlight w:val="none"/>
        </w:rPr>
        <w:t>.</w:t>
      </w:r>
      <w:r>
        <w:rPr>
          <w:rFonts w:hint="eastAsia"/>
          <w:b/>
          <w:color w:val="auto"/>
          <w:sz w:val="21"/>
          <w:szCs w:val="21"/>
          <w:highlight w:val="none"/>
          <w:lang w:val="en-US"/>
        </w:rPr>
        <w:t>6</w:t>
      </w:r>
      <w:r>
        <w:rPr>
          <w:rFonts w:hint="eastAsia"/>
          <w:b/>
          <w:color w:val="auto"/>
          <w:sz w:val="21"/>
          <w:szCs w:val="21"/>
          <w:highlight w:val="none"/>
        </w:rPr>
        <w:t>*有下列情形之一的，视为投标人串通投标，其投标无效，并对投标人依照《政府采购法》第七十七条的规定追究法律责任：</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不同投标人的投标文件由同一单位或者个人编制；</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不同投标人委托同一单位或者个人办理投标事宜；</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不同投标人的投标文件载明的项目管理成员或者联系人员为同一人；</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不同投标人的投标文件异常一致或者投标报价呈规律性差异；</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）不同投标人的投标文件相互混装；</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）不同投标人的投标保证金从同一单位或者个人的账户转出。</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21.评标委员会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.1采购人或者采购代理机构负责组织评标工作，并履行下列职责：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.1.2宣布评标纪律；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.1.3公布投标人名单，告知评标专家应当回避的情形；</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.1.4组织评标委员会推选评标组长，采购人代表不得担任组长；</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.1.5在评标期间采取必要的通讯管理措施，保证评标活动不受外界干扰；</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.1.6根据评标委员会的要求介绍政府采购相关政策法规、招标文件；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 xml:space="preserve">.1.8核对评标结果，有本须知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22.11</w:t>
      </w:r>
      <w:r>
        <w:rPr>
          <w:rFonts w:hint="eastAsia"/>
          <w:color w:val="auto"/>
          <w:sz w:val="21"/>
          <w:szCs w:val="21"/>
          <w:highlight w:val="none"/>
        </w:rPr>
        <w:t xml:space="preserve"> </w:t>
      </w:r>
      <w:r>
        <w:rPr>
          <w:rFonts w:hint="eastAsia"/>
          <w:color w:val="auto"/>
          <w:sz w:val="21"/>
          <w:szCs w:val="21"/>
          <w:highlight w:val="none"/>
        </w:rPr>
        <w:fldChar w:fldCharType="end"/>
      </w:r>
      <w:r>
        <w:rPr>
          <w:rFonts w:hint="eastAsia"/>
          <w:color w:val="auto"/>
          <w:sz w:val="21"/>
          <w:szCs w:val="21"/>
          <w:highlight w:val="none"/>
        </w:rPr>
        <w:t>条规定情形的，要求评标委员会复核或者书面说明理由，评标委员会拒绝的，应予记录并向本级财政部门报告；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.1.9评标工作完成后，按照规定向评标专家支付劳务报酬和异地评标差旅费，不得向评标专家以外的其他人员支付评标劳务报酬；</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.1.10处理与评标有关的其他事项。</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.2评标委员会负责具体评标事务，并独立履行下列职责：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.2.1审查、评价投标文件是否符合招标文件的商务、技术等实质性要求；</w:t>
      </w:r>
    </w:p>
    <w:p>
      <w:pPr>
        <w:adjustRightInd w:val="0"/>
        <w:snapToGrid w:val="0"/>
        <w:spacing w:line="360" w:lineRule="auto"/>
        <w:ind w:firstLine="420" w:firstLineChars="200"/>
        <w:rPr>
          <w:color w:val="auto"/>
          <w:sz w:val="21"/>
          <w:szCs w:val="21"/>
          <w:highlight w:val="none"/>
        </w:rPr>
      </w:pPr>
      <w:bookmarkStart w:id="44" w:name="OLE_LINK4"/>
      <w:r>
        <w:rPr>
          <w:rFonts w:hint="eastAsia"/>
          <w:color w:val="auto"/>
          <w:sz w:val="21"/>
          <w:szCs w:val="21"/>
          <w:highlight w:val="none"/>
          <w:lang w:val="en-US"/>
        </w:rPr>
        <w:t>21</w:t>
      </w:r>
      <w:r>
        <w:rPr>
          <w:rFonts w:hint="eastAsia"/>
          <w:color w:val="auto"/>
          <w:sz w:val="21"/>
          <w:szCs w:val="21"/>
          <w:highlight w:val="none"/>
        </w:rPr>
        <w:t>.2.</w:t>
      </w:r>
      <w:bookmarkEnd w:id="44"/>
      <w:r>
        <w:rPr>
          <w:rFonts w:hint="eastAsia"/>
          <w:color w:val="auto"/>
          <w:sz w:val="21"/>
          <w:szCs w:val="21"/>
          <w:highlight w:val="none"/>
        </w:rPr>
        <w:t>2要求投标人对投标文件有关事项作出澄清或者说明；</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.2.3对投标文件进行比较和评价；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.2.4确定中标候选人名单，或者根据采购人委托直接确定中标人；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.2.5向采购人、采购代理机构或者有关部门报告评标中发现的违法行为。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.3.1采购项目符合下列情形之一的，评标委员会成员人数应当为7人以上单数：</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（1）采购预算金额在1000万元以上；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（2）技术复杂；</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（3）社会影响较大。</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.3.3评标委员会成员名单在评标结果公告前应当保密。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.4采购人或者采购代理机构应当从省级以上财政部门设立的政府采购评标专家库中，通过随机方式抽取评标专家。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采购人或者采购代理机构应当将变更、重新组建评标委员会的情况予以记录，并随采购文件一并存档。</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lang w:val="en-US"/>
        </w:rPr>
        <w:t>21</w:t>
      </w:r>
      <w:r>
        <w:rPr>
          <w:rFonts w:hint="eastAsia"/>
          <w:b/>
          <w:color w:val="auto"/>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.8评标委员会及其成员不得有下列行为：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（1）确定参与评标至评标结束前私自接触投标人；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（2）接受投标人提出的与投标文件不一致的澄清或者说明，本招标文件投标须知正文第2</w:t>
      </w:r>
      <w:r>
        <w:rPr>
          <w:rFonts w:hint="eastAsia"/>
          <w:color w:val="auto"/>
          <w:sz w:val="21"/>
          <w:szCs w:val="21"/>
          <w:highlight w:val="none"/>
          <w:lang w:val="en-US"/>
        </w:rPr>
        <w:t>2</w:t>
      </w:r>
      <w:r>
        <w:rPr>
          <w:rFonts w:hint="eastAsia"/>
          <w:color w:val="auto"/>
          <w:sz w:val="21"/>
          <w:szCs w:val="21"/>
          <w:highlight w:val="none"/>
        </w:rPr>
        <w:t>.2条规定的情形除外；</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（3）违反评标纪律发表倾向性意见或者征询采购人的倾向性意见；</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（4）对需要专业判断的主观评标因素协商评分；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（5）在评标过程中擅离职守，影响评标程序正常进行的；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（6）记录、复制或者带走任何评标资料；</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（7）其他不遵守评标纪律的行为。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评标委员会成员有以上第1至5项行为之一的，其评标意见无效，并不得获取评标劳务报酬和报销异地评标差旅费。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.评标</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.1评标委员会按照第三章“评标方法</w:t>
      </w:r>
      <w:r>
        <w:rPr>
          <w:rFonts w:hint="eastAsia"/>
          <w:color w:val="auto"/>
          <w:sz w:val="21"/>
          <w:szCs w:val="21"/>
          <w:highlight w:val="none"/>
          <w:lang w:val="en-US"/>
        </w:rPr>
        <w:t>和评标</w:t>
      </w:r>
      <w:r>
        <w:rPr>
          <w:rFonts w:hint="eastAsia"/>
          <w:color w:val="auto"/>
          <w:sz w:val="21"/>
          <w:szCs w:val="21"/>
          <w:highlight w:val="none"/>
        </w:rPr>
        <w:t>标准”规定的评标方法、评标因素、标准和程序以及有关法律、法规及规章对投标文件进行评标，评标委员会应当对符合资格的投标人的投标文件进行符合性审查，以确定其是否满足招标文件的实质性要求。</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 投标文件的初步审查</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22.2.1 资格审查标准：详见</w:t>
      </w:r>
      <w:r>
        <w:rPr>
          <w:rFonts w:hint="eastAsia"/>
          <w:color w:val="auto"/>
          <w:sz w:val="21"/>
          <w:szCs w:val="21"/>
          <w:highlight w:val="none"/>
        </w:rPr>
        <w:t>第三章“评标方法</w:t>
      </w:r>
      <w:r>
        <w:rPr>
          <w:rFonts w:hint="eastAsia"/>
          <w:color w:val="auto"/>
          <w:sz w:val="21"/>
          <w:szCs w:val="21"/>
          <w:highlight w:val="none"/>
          <w:lang w:val="en-US"/>
        </w:rPr>
        <w:t>和评标</w:t>
      </w:r>
      <w:r>
        <w:rPr>
          <w:rFonts w:hint="eastAsia"/>
          <w:color w:val="auto"/>
          <w:sz w:val="21"/>
          <w:szCs w:val="21"/>
          <w:highlight w:val="none"/>
        </w:rPr>
        <w:t>标准”规定。</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22.2.2 符合性审查标准：详见</w:t>
      </w:r>
      <w:r>
        <w:rPr>
          <w:rFonts w:hint="eastAsia"/>
          <w:color w:val="auto"/>
          <w:sz w:val="21"/>
          <w:szCs w:val="21"/>
          <w:highlight w:val="none"/>
        </w:rPr>
        <w:t>第三章“评标方法</w:t>
      </w:r>
      <w:r>
        <w:rPr>
          <w:rFonts w:hint="eastAsia"/>
          <w:color w:val="auto"/>
          <w:sz w:val="21"/>
          <w:szCs w:val="21"/>
          <w:highlight w:val="none"/>
          <w:lang w:val="en-US"/>
        </w:rPr>
        <w:t>和评标</w:t>
      </w:r>
      <w:r>
        <w:rPr>
          <w:rFonts w:hint="eastAsia"/>
          <w:color w:val="auto"/>
          <w:sz w:val="21"/>
          <w:szCs w:val="21"/>
          <w:highlight w:val="none"/>
        </w:rPr>
        <w:t>标准”规定。</w:t>
      </w:r>
    </w:p>
    <w:p>
      <w:pPr>
        <w:pStyle w:val="33"/>
        <w:tabs>
          <w:tab w:val="left" w:pos="908"/>
        </w:tabs>
        <w:spacing w:before="0" w:line="360" w:lineRule="auto"/>
        <w:ind w:left="0" w:firstLine="420" w:firstLineChars="200"/>
        <w:rPr>
          <w:color w:val="auto"/>
          <w:sz w:val="21"/>
          <w:szCs w:val="21"/>
          <w:highlight w:val="none"/>
          <w:lang w:val="en-US"/>
        </w:rPr>
      </w:pPr>
      <w:bookmarkStart w:id="45" w:name="_bookmark52"/>
      <w:bookmarkEnd w:id="45"/>
      <w:r>
        <w:rPr>
          <w:rFonts w:hint="eastAsia"/>
          <w:color w:val="auto"/>
          <w:sz w:val="21"/>
          <w:szCs w:val="21"/>
          <w:highlight w:val="none"/>
          <w:lang w:val="en-US"/>
        </w:rPr>
        <w:t>22.2.3 在符合性审查时，如发现下列情况之一的，其</w:t>
      </w:r>
      <w:r>
        <w:rPr>
          <w:rFonts w:hint="eastAsia"/>
          <w:b/>
          <w:bCs/>
          <w:color w:val="auto"/>
          <w:sz w:val="21"/>
          <w:szCs w:val="21"/>
          <w:highlight w:val="none"/>
          <w:lang w:val="en-US"/>
        </w:rPr>
        <w:t>投标也将被否决</w:t>
      </w:r>
      <w:r>
        <w:rPr>
          <w:rFonts w:hint="eastAsia"/>
          <w:color w:val="auto"/>
          <w:sz w:val="21"/>
          <w:szCs w:val="21"/>
          <w:highlight w:val="none"/>
          <w:lang w:val="en-US"/>
        </w:rPr>
        <w:t>，为无效投标：</w:t>
      </w:r>
    </w:p>
    <w:p>
      <w:pPr>
        <w:pStyle w:val="33"/>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（1）投标文件含有采购人不能接受的附加条件的；</w:t>
      </w:r>
    </w:p>
    <w:p>
      <w:pPr>
        <w:pStyle w:val="33"/>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（2）出现《投标人须知前附表》列明的其他无效投标情况之一的；</w:t>
      </w:r>
    </w:p>
    <w:p>
      <w:pPr>
        <w:pStyle w:val="33"/>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（3）法律、法规规定的其他无效情形；</w:t>
      </w:r>
    </w:p>
    <w:p>
      <w:pPr>
        <w:pStyle w:val="33"/>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（4）投标文件符合招标文件中规定投标被否决的其他条款。</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22.2.4 评标委员会决定投标的响应性质根据投标本身的真实无误的内容，而不依据外部的证据，但投标有不真实不正确的内容时除外。</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22.2.5 投标文件报价出现前后不一致的，除《投标人须知前附表》另有规定外，按照下列规定修正：</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（1）公开唱出的开标一览表投标总价与投标文件中相应内容不一致的，以公开唱出的开标一览表为准；</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（2）公开唱出的开标一览表大写金额和小写金额不一致的，以大写金额为准；</w:t>
      </w:r>
    </w:p>
    <w:p>
      <w:pPr>
        <w:pStyle w:val="33"/>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（3）分项报价表中汇总金额与公开唱出的价格不一致，以公开唱出的开标一览表的总价为准，并修改单价。</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修正后的报价按照本须知 </w:t>
      </w:r>
      <w:r>
        <w:rPr>
          <w:color w:val="auto"/>
          <w:highlight w:val="none"/>
        </w:rPr>
        <w:fldChar w:fldCharType="begin"/>
      </w:r>
      <w:r>
        <w:rPr>
          <w:color w:val="auto"/>
          <w:highlight w:val="none"/>
        </w:rPr>
        <w:instrText xml:space="preserve"> HYPERLINK \l "_bookmark54" </w:instrText>
      </w:r>
      <w:r>
        <w:rPr>
          <w:color w:val="auto"/>
          <w:highlight w:val="none"/>
        </w:rPr>
        <w:fldChar w:fldCharType="separate"/>
      </w:r>
      <w:r>
        <w:rPr>
          <w:rFonts w:hint="eastAsia"/>
          <w:color w:val="auto"/>
          <w:sz w:val="21"/>
          <w:szCs w:val="21"/>
          <w:highlight w:val="none"/>
          <w:lang w:val="en-US"/>
        </w:rPr>
        <w:t xml:space="preserve">24 </w:t>
      </w:r>
      <w:r>
        <w:rPr>
          <w:rFonts w:hint="eastAsia"/>
          <w:color w:val="auto"/>
          <w:sz w:val="21"/>
          <w:szCs w:val="21"/>
          <w:highlight w:val="none"/>
          <w:lang w:val="en-US"/>
        </w:rPr>
        <w:fldChar w:fldCharType="end"/>
      </w:r>
      <w:r>
        <w:rPr>
          <w:rFonts w:hint="eastAsia"/>
          <w:color w:val="auto"/>
          <w:sz w:val="21"/>
          <w:szCs w:val="21"/>
          <w:highlight w:val="none"/>
          <w:lang w:val="en-US"/>
        </w:rPr>
        <w:t>条的规定经投标人确认后产生约束力，投标人不确认的， 其投标将被否决。</w:t>
      </w:r>
    </w:p>
    <w:p>
      <w:pPr>
        <w:pStyle w:val="33"/>
        <w:tabs>
          <w:tab w:val="left" w:pos="908"/>
        </w:tabs>
        <w:spacing w:before="0" w:line="360" w:lineRule="auto"/>
        <w:ind w:left="0" w:firstLine="420" w:firstLineChars="200"/>
        <w:rPr>
          <w:color w:val="auto"/>
          <w:sz w:val="21"/>
          <w:szCs w:val="21"/>
          <w:highlight w:val="none"/>
          <w:lang w:val="en-US"/>
        </w:rPr>
      </w:pPr>
      <w:bookmarkStart w:id="46" w:name="_bookmark53"/>
      <w:bookmarkEnd w:id="46"/>
      <w:r>
        <w:rPr>
          <w:rFonts w:hint="eastAsia"/>
          <w:color w:val="auto"/>
          <w:sz w:val="21"/>
          <w:szCs w:val="21"/>
          <w:highlight w:val="none"/>
          <w:lang w:val="en-US"/>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对于投标文件中含义不明确、同类问题表述不一致或者有明显文字和计算错误的内容，评标委员会应当以书面形式要求投标人作出必要的澄清、说明或者补正。</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投标文件报价出现前后不一致的，除招标文件另有规定外，按照下列规定修正：</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.1投标文件中开标一览表（报价表）内容与投标文件中相应内容不一致的，以开标一览表（报价表）为准；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.2大写金额和小写金额不一致的，以大写金额为准；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.3单价金额小数点或者百分比有明显错位的，以开标一览表的总价为准，并修改单价；</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.4总价金额与按单价汇总金额不一致的，以单价金额计算结果为准。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同时出现两种以上不一致的，按照前款规定的顺序修正。修正后的报价按照本招标文件</w:t>
      </w:r>
      <w:r>
        <w:rPr>
          <w:rFonts w:hint="eastAsia"/>
          <w:color w:val="auto"/>
          <w:sz w:val="21"/>
          <w:szCs w:val="21"/>
          <w:highlight w:val="none"/>
          <w:lang w:val="en-US"/>
        </w:rPr>
        <w:t xml:space="preserve">本须知 </w:t>
      </w: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.2</w:t>
      </w:r>
      <w:r>
        <w:rPr>
          <w:rFonts w:hint="eastAsia"/>
          <w:color w:val="auto"/>
          <w:sz w:val="21"/>
          <w:szCs w:val="21"/>
          <w:highlight w:val="none"/>
          <w:lang w:val="en-US"/>
        </w:rPr>
        <w:t xml:space="preserve"> 条</w:t>
      </w:r>
      <w:r>
        <w:rPr>
          <w:rFonts w:hint="eastAsia"/>
          <w:color w:val="auto"/>
          <w:sz w:val="21"/>
          <w:szCs w:val="21"/>
          <w:highlight w:val="none"/>
        </w:rPr>
        <w:t>的规定经投标人确认后产生约束力，*投标人拒绝确认的，其投标无效。</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评标委员会应当按照招标文件中规定的评标方法和标准，对资格性审查、符合性审查合格的投标文件进行商务和技术评估，综合比较与评价。</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本项目评标方法为：综合评分法。</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.1综合评分法，是投标文件满足招标文件全部实质性要求，且按照评标因素的量化指标评标得分最高的投标人为中标候选人的评标方法。</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评标因素的设定与投标人所提供货物服务的质量相关，包括投标报价、技术或者服务水平、履约能力、售后服务等。资格条件不得作为评标因素。</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.2评标时，评标委员会各成员应当独立对每个投标人的投标文件进行评价，并汇总每个投标人的得分。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.3评标过程中，不得去掉报价中的最高报价和最低报价。</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.4因落实政府采购政策进行价格调整的，以调整后的价格计算评标基准价和投标报价。</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9</w:t>
      </w:r>
      <w:r>
        <w:rPr>
          <w:rFonts w:hint="eastAsia"/>
          <w:color w:val="auto"/>
          <w:sz w:val="21"/>
          <w:szCs w:val="21"/>
          <w:highlight w:val="none"/>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10</w:t>
      </w:r>
      <w:r>
        <w:rPr>
          <w:rFonts w:hint="eastAsia"/>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1</w:t>
      </w:r>
      <w:r>
        <w:rPr>
          <w:rFonts w:hint="eastAsia"/>
          <w:color w:val="auto"/>
          <w:sz w:val="21"/>
          <w:szCs w:val="21"/>
          <w:highlight w:val="none"/>
        </w:rPr>
        <w:t>评标结果汇总完成后，除下列情形外，任何人不得修改评标结果：</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（1）分值汇总计算错误的；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（2）分项评分超出评分标准范围的；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（3）评标委员会成员对客观评标因素评分不一致的；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（4）经评标委员会认定评分畸高、畸低的。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投标人对上述(1)～(4)项提出质疑的，采购人或者采购代理机构可以组织原评标委员会进行重新评标，重新评标改变评标结果的，应当书面报告本级财政部门。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2</w:t>
      </w:r>
      <w:r>
        <w:rPr>
          <w:rFonts w:hint="eastAsia"/>
          <w:color w:val="auto"/>
          <w:sz w:val="21"/>
          <w:szCs w:val="21"/>
          <w:highlight w:val="none"/>
        </w:rPr>
        <w:t>评标委员会根据全体评标成员签字的原始评标记录和评标结果编写评标报告。评标报告应当包括以下内容：</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（1）招标公告刊登的媒体名称、开标日期和地点；</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（2）投标人名单和评标委员会成员名单；</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（3）评标方法和标准；</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（4）开标记录和评标情况及说明，包括无效投标人名单及原因；</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（5）评标结果，确定的中标候选人名单或者经采购人委托直接确定的中标人；</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（6）其他需要说明的情况，包括评标过程中投标人根据评标委员会要求进行的澄清、说明或者补正，评标委员会成员的更换等。</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3</w:t>
      </w:r>
      <w:r>
        <w:rPr>
          <w:rFonts w:hint="eastAsia"/>
          <w:color w:val="auto"/>
          <w:sz w:val="21"/>
          <w:szCs w:val="21"/>
          <w:highlight w:val="none"/>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4</w:t>
      </w:r>
      <w:r>
        <w:rPr>
          <w:rFonts w:hint="eastAsia"/>
          <w:color w:val="auto"/>
          <w:sz w:val="21"/>
          <w:szCs w:val="21"/>
          <w:highlight w:val="none"/>
        </w:rPr>
        <w:t>评标委员会或者其成员存在下列情形导致评标结果无效的，采购人、采购代理机构可以重新组建评标委员会进行评标，并书面报告本级财政部门，但采购合同已经履行的除外：</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（1）评标委员会组成不符合本招标文件规定的；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 xml:space="preserve">（2）有《政府采购货物和服务招标投标管理办法》（财政部令第87号）第六十二条第一至五项（即：本须知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21.8</w:t>
      </w:r>
      <w:r>
        <w:rPr>
          <w:rFonts w:hint="eastAsia"/>
          <w:color w:val="auto"/>
          <w:sz w:val="21"/>
          <w:szCs w:val="21"/>
          <w:highlight w:val="none"/>
        </w:rPr>
        <w:t xml:space="preserve"> </w:t>
      </w:r>
      <w:r>
        <w:rPr>
          <w:rFonts w:hint="eastAsia"/>
          <w:color w:val="auto"/>
          <w:sz w:val="21"/>
          <w:szCs w:val="21"/>
          <w:highlight w:val="none"/>
        </w:rPr>
        <w:fldChar w:fldCharType="end"/>
      </w:r>
      <w:r>
        <w:rPr>
          <w:rFonts w:hint="eastAsia"/>
          <w:color w:val="auto"/>
          <w:sz w:val="21"/>
          <w:szCs w:val="21"/>
          <w:highlight w:val="none"/>
        </w:rPr>
        <w:t>条第（1）至（5）项）情形的；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（3）评标委员会及其成员独立评标受到非法干预的；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（4）有《政府采购法实施条例》第七十五条规定的违法行为的。</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有违法违规行为的原评标委员会成员不得参加重新组建的评标委员会。</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5</w:t>
      </w:r>
      <w:r>
        <w:rPr>
          <w:rFonts w:hint="eastAsia"/>
          <w:color w:val="auto"/>
          <w:sz w:val="21"/>
          <w:szCs w:val="21"/>
          <w:highlight w:val="none"/>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.确定中标人</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.1定标</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.1.1采购代理机构应当在评标结束后2个工作日内将评标报告送采购人。</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.1.4采购人在收到评标报告5个工作日内未按评标报告推荐的中标候选人顺序确定中标人，又不能说明合法理由的，视同按评标报告推荐的顺序确定排名第一的中标候选人为中标人。</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23.1.5</w:t>
      </w:r>
      <w:r>
        <w:rPr>
          <w:rFonts w:hint="eastAsia"/>
          <w:color w:val="auto"/>
          <w:sz w:val="21"/>
          <w:szCs w:val="21"/>
          <w:highlight w:val="none"/>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23.1.6</w:t>
      </w:r>
      <w:r>
        <w:rPr>
          <w:rFonts w:hint="eastAsia"/>
          <w:color w:val="auto"/>
          <w:sz w:val="21"/>
          <w:szCs w:val="21"/>
          <w:highlight w:val="none"/>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23.1.7关于兼投不兼中要求：详见《投标人须知前附表》。</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.2中标结果公告</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.2.1采购人或者采购代理机构应当自中标人确定之日起2个工作日内，在省级以上财政部门指定的媒体上公告中标结果，招标文件应当随中标结果同时公告。</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.2.3中标公告期限为1个工作日。</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.3采购人不保证将合同授予最低投标报价的投标人。</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.4在确定中标人前，招标采购单位不得与投标人就投标价格、投标方案等实质性内容进行谈判。</w:t>
      </w:r>
    </w:p>
    <w:p>
      <w:pPr>
        <w:pStyle w:val="33"/>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.5采购人有权在定标之前拒绝任何有不正当行为或扰乱正常招标工作的投标人，由此对投标人造成的损失不负任何责任，同时对此也不做任何解释。</w:t>
      </w:r>
    </w:p>
    <w:p>
      <w:pPr>
        <w:pStyle w:val="33"/>
        <w:tabs>
          <w:tab w:val="left" w:pos="908"/>
        </w:tabs>
        <w:spacing w:before="0" w:line="360" w:lineRule="auto"/>
        <w:ind w:left="0" w:firstLine="420" w:firstLineChars="200"/>
        <w:rPr>
          <w:color w:val="auto"/>
          <w:sz w:val="21"/>
          <w:szCs w:val="21"/>
          <w:highlight w:val="none"/>
          <w:lang w:val="en-US"/>
        </w:rPr>
      </w:pPr>
      <w:bookmarkStart w:id="47" w:name="_bookmark54"/>
      <w:bookmarkEnd w:id="47"/>
      <w:r>
        <w:rPr>
          <w:rFonts w:hint="eastAsia"/>
          <w:color w:val="auto"/>
          <w:sz w:val="21"/>
          <w:szCs w:val="21"/>
          <w:highlight w:val="none"/>
          <w:lang w:val="en-US"/>
        </w:rPr>
        <w:t>24 投标文件的澄清、说明或补正</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24.1 投标人不得主动对投标文件进行澄清、说明或补正，评标委员会也不接受投标人的主动澄清、说明或补正。</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24.2 在评标期间，对于投标文件中含义不明确、同类问题表述不一致或者有明显文字和计算错误的内容，评标委员会将以书面形式要求投标人作出必要的澄清、说明或者补正。</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25.招标终止</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val="en-US"/>
        </w:rPr>
        <w:t>5</w:t>
      </w:r>
      <w:r>
        <w:rPr>
          <w:rFonts w:hint="eastAsia"/>
          <w:b/>
          <w:color w:val="auto"/>
          <w:sz w:val="21"/>
          <w:szCs w:val="21"/>
          <w:highlight w:val="none"/>
        </w:rPr>
        <w:t>.1在招标采购中，出现下列情形之一的，应予废标：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（1）符合专业条件的投标人或者对招标文件作实质响应的投标人不足三家的；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（2）出现影响采购公正的违法、违规行为的；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（3）投标人的报价均超过了采购预算，采购人不能支付的；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（4）因重大变故，采购任务取消的。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废标后，采购人应当将废标理由通知所有投标人。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val="en-US"/>
        </w:rPr>
        <w:t>5</w:t>
      </w:r>
      <w:r>
        <w:rPr>
          <w:rFonts w:hint="eastAsia"/>
          <w:b/>
          <w:color w:val="auto"/>
          <w:sz w:val="21"/>
          <w:szCs w:val="21"/>
          <w:highlight w:val="none"/>
        </w:rPr>
        <w:t>.2出现下列情形之一的，采购人或者采购代理机构应当终止招标采购活动，在财政部门指定的媒体上发布项目终止公告并说明原因，重新开展采购活动：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.2.1因情况变化，不再符合规定的招标采购方式适用情形的；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.2.2出现影响采购公正的违法、违规行为的；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.2.3已确定中标人但尚未签订政府采购合同的，中标结果无效，需从合格的中标候选人中另行确定中标人但没有合格的中标候选人的；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.2.4政府采购合同已签订但尚未履行的，撤销合同，需从合格的中标候选人中另行确定中标人但没有合格的中标候选人的；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.2.5因重大变故，采购任务取消的。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6</w:t>
      </w:r>
      <w:r>
        <w:rPr>
          <w:rFonts w:hint="eastAsia"/>
          <w:color w:val="auto"/>
          <w:sz w:val="21"/>
          <w:szCs w:val="21"/>
          <w:highlight w:val="none"/>
        </w:rPr>
        <w:t>.重新评标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6</w:t>
      </w:r>
      <w:r>
        <w:rPr>
          <w:rFonts w:hint="eastAsia"/>
          <w:color w:val="auto"/>
          <w:sz w:val="21"/>
          <w:szCs w:val="21"/>
          <w:highlight w:val="none"/>
        </w:rPr>
        <w:t>.1除本须知</w:t>
      </w:r>
      <w:r>
        <w:rPr>
          <w:rFonts w:hint="eastAsia"/>
          <w:color w:val="auto"/>
          <w:sz w:val="21"/>
          <w:szCs w:val="21"/>
          <w:highlight w:val="none"/>
          <w:lang w:val="en-US"/>
        </w:rPr>
        <w:t xml:space="preserve"> 22.11 条</w:t>
      </w:r>
      <w:r>
        <w:rPr>
          <w:rFonts w:hint="eastAsia"/>
          <w:color w:val="auto"/>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.保密与纪律事项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.1评标委员会成员以及与评标工作有关的人员不得泄露评标情况以及评标过程中获悉的国家秘密、商业秘密。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.3有下列情形之一的，属于恶意串通，投标无效，并依照《政府采购法》第七十七条的规定追究法律责任：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（1）投标人直接或者间接从采购人、采购代理机构获得其他投标人的投标情况，并修改其投标文件的；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（2）投标人按照采购人或采购代理机构授意撤换、修改投标文件的；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（3）投标人之间协商技术方案、合同条款以及报价等投标文件实质性内容的；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（4）属于同一集团、协会、商会等组织成员的投标人按照该组织要求协同参加政府采购活动的；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（5）投标人之间事先约定由某一特定投标人中标的；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（6）投标人之间商定部分投标人放弃提交投标文件或者退出招标或者放弃中标的；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（8）法律、行政法规或规章规定的其他串通行为。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（1）提供虚假材料谋取中标的；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（2）采取不正当手段诋毁、排挤其他投标人的；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（3）与采购人、其他投标人或者采购代理机构恶意串通的；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（4）向采购人、采购代理机构行贿或者提供其他不正当利益的；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（5）在招标采购过程中与采购人进行协商谈判的；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（6）拒绝有关部门监督检查或者提供虚假情况的。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投标人有上述第（1）至（5）项情形之一的，中标无效。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.5投标人有下列情形之一的，依照《政府采购法》第七十七条第一款的规定追究法律责任：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（1）向评标委员会成员行贿或者提供其他不正当利益；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（2）中标后无正当理由拒不与采购人签订政府采购合同；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（3）未按照采购文件确定的事项签订政府采购合同；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（4）将政府采购合同转包；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（5）提供假冒伪劣产品；</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（6）擅自变更、中止或者终止政府采购合同。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投标人捏造事实、提供虚假材料或者以非法手段取得证明材料进行投诉的，由财政部门列入不良行为记录名单，禁止其1至3年内参加政府采购活动。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27.7 电子交易活动的中止。采购过程中出现以下情形，导致电子交易平台无法正常运行，或者无法保证电子交易的公平、公正和安全时，采购机构可中止电子交易活动：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（1）电子交易平台发生故障而无法登录访问的；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（2）电子交易平台应用或数据库出现错误，不能进行正常操作的；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（3）电子交易平台发现严重安全漏洞，有潜在泄密危险的；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（4）病毒发作导致不能进行正常操作的；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（5）其他无法保证电子交易的公平、公正和安全的情况。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27.8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pStyle w:val="7"/>
        <w:spacing w:before="80"/>
        <w:ind w:right="113"/>
        <w:rPr>
          <w:rFonts w:ascii="宋体" w:hAnsi="宋体" w:eastAsia="宋体" w:cs="宋体"/>
          <w:color w:val="auto"/>
          <w:sz w:val="24"/>
          <w:szCs w:val="24"/>
          <w:highlight w:val="none"/>
        </w:rPr>
      </w:pPr>
      <w:bookmarkStart w:id="48" w:name="_Toc19292"/>
      <w:r>
        <w:rPr>
          <w:rFonts w:hint="eastAsia" w:ascii="宋体" w:hAnsi="宋体" w:eastAsia="宋体" w:cs="宋体"/>
          <w:color w:val="auto"/>
          <w:sz w:val="24"/>
          <w:szCs w:val="24"/>
          <w:highlight w:val="none"/>
        </w:rPr>
        <w:t>六、授予合同</w:t>
      </w:r>
      <w:bookmarkEnd w:id="48"/>
    </w:p>
    <w:p>
      <w:pPr>
        <w:pStyle w:val="33"/>
        <w:tabs>
          <w:tab w:val="left" w:pos="908"/>
        </w:tabs>
        <w:spacing w:before="0" w:line="360" w:lineRule="auto"/>
        <w:ind w:left="0" w:firstLine="420" w:firstLineChars="200"/>
        <w:rPr>
          <w:color w:val="auto"/>
          <w:sz w:val="21"/>
          <w:szCs w:val="21"/>
          <w:highlight w:val="none"/>
          <w:lang w:val="en-US"/>
        </w:rPr>
      </w:pPr>
      <w:bookmarkStart w:id="49" w:name="_bookmark62"/>
      <w:bookmarkEnd w:id="49"/>
      <w:r>
        <w:rPr>
          <w:rFonts w:hint="eastAsia"/>
          <w:color w:val="auto"/>
          <w:sz w:val="21"/>
          <w:szCs w:val="21"/>
          <w:highlight w:val="none"/>
          <w:lang w:val="en-US"/>
        </w:rPr>
        <w:t>28 中标人的确定及合同授予</w:t>
      </w:r>
    </w:p>
    <w:p>
      <w:pPr>
        <w:pStyle w:val="33"/>
        <w:tabs>
          <w:tab w:val="left" w:pos="908"/>
        </w:tabs>
        <w:spacing w:before="0" w:line="360" w:lineRule="auto"/>
        <w:ind w:left="0" w:firstLine="420" w:firstLineChars="200"/>
        <w:rPr>
          <w:color w:val="auto"/>
          <w:sz w:val="21"/>
          <w:szCs w:val="21"/>
          <w:highlight w:val="none"/>
          <w:lang w:val="en-US"/>
        </w:rPr>
      </w:pPr>
      <w:bookmarkStart w:id="50" w:name="_bookmark58"/>
      <w:bookmarkEnd w:id="50"/>
      <w:r>
        <w:rPr>
          <w:rFonts w:hint="eastAsia"/>
          <w:color w:val="auto"/>
          <w:sz w:val="21"/>
          <w:szCs w:val="21"/>
          <w:highlight w:val="none"/>
          <w:lang w:val="en-US"/>
        </w:rPr>
        <w:t>28.1 采购人将在评标报告确定的中标候选人名单中按顺序确定中标人，或者，采购人委托评标委员会直接确定的中标人，采用上述何种方式确定中标人详见《投标人须知前附表》。</w:t>
      </w:r>
    </w:p>
    <w:p>
      <w:pPr>
        <w:pStyle w:val="33"/>
        <w:tabs>
          <w:tab w:val="left" w:pos="908"/>
        </w:tabs>
        <w:spacing w:before="0" w:line="360" w:lineRule="auto"/>
        <w:ind w:left="0" w:firstLine="420" w:firstLineChars="200"/>
        <w:rPr>
          <w:color w:val="auto"/>
          <w:sz w:val="21"/>
          <w:szCs w:val="21"/>
          <w:highlight w:val="none"/>
          <w:lang w:val="en-US"/>
        </w:rPr>
      </w:pPr>
      <w:bookmarkStart w:id="51" w:name="_bookmark59"/>
      <w:bookmarkEnd w:id="51"/>
      <w:r>
        <w:rPr>
          <w:rFonts w:hint="eastAsia"/>
          <w:color w:val="auto"/>
          <w:sz w:val="21"/>
          <w:szCs w:val="21"/>
          <w:highlight w:val="none"/>
          <w:lang w:val="en-US"/>
        </w:rPr>
        <w:t>28.2 中标候选人并列的，由采购人或评标委员会按照《投标人须知前附表》规定的方式确定中标人；《投标人须知前附表》未规定的，采取随机抽取的方式确定。</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29.中标信息的公布</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29.1采购人或者采购代理机构应当自中标人确定之日起2个工作日内，发出中标通知书，并在省级以上人民政府财政部门指定的媒体上公告中标结果，招标文件随中标结果同时公告。</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29.2中标通知书对采购人和中标人具有同等法律效力。</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30.中标通知</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30.2中标人在收到中标通知书后10日内，应按照投标须知前附表的规定，向采购人提交履约担保。联合体中标的，履约担保由联合体各方或联合体中牵头人的名义提交。</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30.4中标人拒绝与采购人签订合同的，采购人可以按照评标报告推荐的中标候选人名单排序，确定下一候选人为中标人，也可以重新开展政府采购活动。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31.签订合同</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采购人不得向中标人提出任何不合理的要求作为签订合同的条件。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31.2政府采购合同应当包括采购人与中标人的名称和住所、标的、数量、质量、价款或者报酬、履行期限及地点和方式、验收要求、违约责任、解决争议的方法等内容。</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31.3采购人与中标人应当根据合同的约定依法履行合同义务。</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政府采购合同的履行、违约责任和解决争议的方法等适用《中华人民共和国民法典》。</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31.4采购人应当及时对采购项目进行验收。采购人可以邀请参加本项目的其他投标人或者第三方机构参与验收。参与验收的投标人或者第三方机构的意见作为验收书的参考资料一并存档。</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31.5采购人应当加强对中标人的履约管理，并按照采购合同约定，及时向中标人支付采购资金。对于中标人违反采购合同约定的行为，采购人应当及时处理，依法追究其违约责任。</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31.7中标人有下列情形之一的，责令限期改正，情节严重的，列入不良行为记录名单，在1至3年内禁止参加政府采购活动，并予以通报：</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31.7.1中标后无正当理由不与采购人签订合同的；</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31.7.2未按照招标文件确定的事项签订政府采购合同，或者与采购人另行订立背离合同实质性内容的协议的；</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31.7.3拒绝履行合同义务的；</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31.7.4违反法律、规章、规范性文件规定的。</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31.8政府采购合同的双方当事人不得擅自变更、中止或者终止合同。</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政府采购合同继续履行将损害国家利益和社会公共利益的，双方当事人应当变更、中止或者终止合同。有过错的一方应当承担赔偿责任，双方都有过错的，各自承担相应的责任。</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31.9采购人应当自政府采购合同签订之日起2个工作日内，将政府采购合同在省级以上人民政府财政部门指定的媒体上公告，但政府采购合同中涉及国家秘密、商业秘密的内容除外。</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32.政府采购合同履行中数量的变更</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32.1政府采购合同履行中，采购人需追加与合同标的相同的货物、工程或者服务的，在不改变合同其他条款的前提下，可以与中标人协商签订补充合同，但所有补充合同的采购金额不得超过原合同采购金额的10%。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33.政府采购合同公告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采购人或者受托采购代理机构应当自政府采购合同签订之日起 2 个工作日内，将政府采购合同在以下媒体上发布“新疆政府采购网”上公告，但政府采购合同中涉及国家秘密、商业秘密的内容除外。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 询问、质疑和投诉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 询问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34.1.1 </w:t>
      </w:r>
      <w:r>
        <w:rPr>
          <w:rFonts w:hint="eastAsia"/>
          <w:color w:val="auto"/>
          <w:sz w:val="21"/>
          <w:szCs w:val="21"/>
          <w:highlight w:val="none"/>
          <w:lang w:val="en-US" w:eastAsia="zh-CN"/>
        </w:rPr>
        <w:t>投标人</w:t>
      </w:r>
      <w:r>
        <w:rPr>
          <w:rFonts w:hint="eastAsia"/>
          <w:color w:val="auto"/>
          <w:sz w:val="21"/>
          <w:szCs w:val="21"/>
          <w:highlight w:val="none"/>
          <w:lang w:val="en-US"/>
        </w:rPr>
        <w:t xml:space="preserve">在开标前对政府采购活动事项有疑问的，可以向采购人或采购代理机构项目负责人提出询问。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34.1.2 采购人或采购人委托的采购代理机构自受理询问之日起 3 个工作日内对</w:t>
      </w:r>
      <w:r>
        <w:rPr>
          <w:rFonts w:hint="eastAsia"/>
          <w:color w:val="auto"/>
          <w:sz w:val="21"/>
          <w:szCs w:val="21"/>
          <w:highlight w:val="none"/>
          <w:lang w:val="en-US" w:eastAsia="zh-CN"/>
        </w:rPr>
        <w:t>投标人</w:t>
      </w:r>
      <w:r>
        <w:rPr>
          <w:rFonts w:hint="eastAsia"/>
          <w:color w:val="auto"/>
          <w:sz w:val="21"/>
          <w:szCs w:val="21"/>
          <w:highlight w:val="none"/>
          <w:lang w:val="en-US"/>
        </w:rPr>
        <w:t xml:space="preserve">依法提出的询问作出答复，但答复内容不得涉及商业秘密。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34.1.3 询问事项可能影响中标、成交结果的，采购人应当暂停签订合同，已经签订合同的，应当中止履行合同。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 质疑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34.2.1 </w:t>
      </w:r>
      <w:r>
        <w:rPr>
          <w:rFonts w:hint="eastAsia"/>
          <w:color w:val="auto"/>
          <w:sz w:val="21"/>
          <w:szCs w:val="21"/>
          <w:highlight w:val="none"/>
          <w:lang w:val="en-US" w:eastAsia="zh-CN"/>
        </w:rPr>
        <w:t>投标人</w:t>
      </w:r>
      <w:r>
        <w:rPr>
          <w:rFonts w:hint="eastAsia"/>
          <w:color w:val="auto"/>
          <w:sz w:val="21"/>
          <w:szCs w:val="21"/>
          <w:highlight w:val="none"/>
          <w:lang w:val="en-US"/>
        </w:rPr>
        <w:t xml:space="preserve">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（1）潜在</w:t>
      </w:r>
      <w:r>
        <w:rPr>
          <w:rFonts w:hint="eastAsia"/>
          <w:color w:val="auto"/>
          <w:sz w:val="21"/>
          <w:szCs w:val="21"/>
          <w:highlight w:val="none"/>
          <w:lang w:val="en-US" w:eastAsia="zh-CN"/>
        </w:rPr>
        <w:t>投标人</w:t>
      </w:r>
      <w:r>
        <w:rPr>
          <w:rFonts w:hint="eastAsia"/>
          <w:color w:val="auto"/>
          <w:sz w:val="21"/>
          <w:szCs w:val="21"/>
          <w:highlight w:val="none"/>
          <w:lang w:val="en-US"/>
        </w:rPr>
        <w:t xml:space="preserve">依法获取公开招标文件后，认为采购文件使自己的权益受到损害的，应当在公开招标文件公告期限届满之日起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w:t>
      </w:r>
      <w:r>
        <w:rPr>
          <w:rFonts w:hint="eastAsia"/>
          <w:color w:val="auto"/>
          <w:sz w:val="21"/>
          <w:szCs w:val="21"/>
          <w:highlight w:val="none"/>
          <w:lang w:val="en-US" w:eastAsia="zh-CN"/>
        </w:rPr>
        <w:t>投标人</w:t>
      </w:r>
      <w:r>
        <w:rPr>
          <w:rFonts w:hint="eastAsia"/>
          <w:color w:val="auto"/>
          <w:sz w:val="21"/>
          <w:szCs w:val="21"/>
          <w:highlight w:val="none"/>
          <w:lang w:val="en-US"/>
        </w:rPr>
        <w:t xml:space="preserve">认为采购过程使自己的权益受到损害的，应当在各采购程序环节结束之日起 7 个工作日内提出质疑。对采购过程中资格审查、符合性审查等具体评审情况的质疑应向采购人或代理机构提出，由采购人或代理机构受理并负责答复；对采购过程中采购执行程序的质疑由采购代理机构受理并负责答复。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w:t>
      </w:r>
      <w:r>
        <w:rPr>
          <w:rFonts w:hint="eastAsia"/>
          <w:color w:val="auto"/>
          <w:sz w:val="21"/>
          <w:szCs w:val="21"/>
          <w:highlight w:val="none"/>
          <w:lang w:val="en-US" w:eastAsia="zh-CN"/>
        </w:rPr>
        <w:t>投标人</w:t>
      </w:r>
      <w:r>
        <w:rPr>
          <w:rFonts w:hint="eastAsia"/>
          <w:color w:val="auto"/>
          <w:sz w:val="21"/>
          <w:szCs w:val="21"/>
          <w:highlight w:val="none"/>
          <w:lang w:val="en-US"/>
        </w:rPr>
        <w:t>认为中标或者成交结果使自己的权益受到损害的，应当在中标或者成交结果公告期限届满之日起 7 个工作日内提出质疑，由采购人受理并负责答复。</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34.2.2 </w:t>
      </w:r>
      <w:r>
        <w:rPr>
          <w:rFonts w:hint="eastAsia"/>
          <w:color w:val="auto"/>
          <w:sz w:val="21"/>
          <w:szCs w:val="21"/>
          <w:highlight w:val="none"/>
          <w:lang w:val="en-US" w:eastAsia="zh-CN"/>
        </w:rPr>
        <w:t>投标人</w:t>
      </w:r>
      <w:r>
        <w:rPr>
          <w:rFonts w:hint="eastAsia"/>
          <w:color w:val="auto"/>
          <w:sz w:val="21"/>
          <w:szCs w:val="21"/>
          <w:highlight w:val="none"/>
          <w:lang w:val="en-US"/>
        </w:rPr>
        <w:t xml:space="preserve">质疑实行实名制，其质疑应当有具体的质疑事项及事实根据，质疑应当坚持依法依规、诚实信用原则，不得进行虚假、恶意质疑。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34.2.3 质疑</w:t>
      </w:r>
      <w:r>
        <w:rPr>
          <w:rFonts w:hint="eastAsia"/>
          <w:color w:val="auto"/>
          <w:sz w:val="21"/>
          <w:szCs w:val="21"/>
          <w:highlight w:val="none"/>
          <w:lang w:val="en-US" w:eastAsia="zh-CN"/>
        </w:rPr>
        <w:t>投标人</w:t>
      </w:r>
      <w:r>
        <w:rPr>
          <w:rFonts w:hint="eastAsia"/>
          <w:color w:val="auto"/>
          <w:sz w:val="21"/>
          <w:szCs w:val="21"/>
          <w:highlight w:val="none"/>
          <w:lang w:val="en-US"/>
        </w:rPr>
        <w:t>可以委托代理人办理质疑事务。委托代理人应熟悉相关业务情况。代理人办理质疑事务时，除提交质疑书外，还应当提交质疑</w:t>
      </w:r>
      <w:r>
        <w:rPr>
          <w:rFonts w:hint="eastAsia"/>
          <w:color w:val="auto"/>
          <w:sz w:val="21"/>
          <w:szCs w:val="21"/>
          <w:highlight w:val="none"/>
          <w:lang w:val="en-US" w:eastAsia="zh-CN"/>
        </w:rPr>
        <w:t>投标人</w:t>
      </w:r>
      <w:r>
        <w:rPr>
          <w:rFonts w:hint="eastAsia"/>
          <w:color w:val="auto"/>
          <w:sz w:val="21"/>
          <w:szCs w:val="21"/>
          <w:highlight w:val="none"/>
          <w:lang w:val="en-US"/>
        </w:rPr>
        <w:t xml:space="preserve">的授权委托书和委托代理人身份证明复印件。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34.2.4 质疑</w:t>
      </w:r>
      <w:r>
        <w:rPr>
          <w:rFonts w:hint="eastAsia"/>
          <w:color w:val="auto"/>
          <w:sz w:val="21"/>
          <w:szCs w:val="21"/>
          <w:highlight w:val="none"/>
          <w:lang w:val="en-US" w:eastAsia="zh-CN"/>
        </w:rPr>
        <w:t>投标人</w:t>
      </w:r>
      <w:r>
        <w:rPr>
          <w:rFonts w:hint="eastAsia"/>
          <w:color w:val="auto"/>
          <w:sz w:val="21"/>
          <w:szCs w:val="21"/>
          <w:highlight w:val="none"/>
          <w:lang w:val="en-US"/>
        </w:rPr>
        <w:t xml:space="preserve">提起质疑应当符合下列条件：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（1）质疑</w:t>
      </w:r>
      <w:r>
        <w:rPr>
          <w:rFonts w:hint="eastAsia"/>
          <w:color w:val="auto"/>
          <w:sz w:val="21"/>
          <w:szCs w:val="21"/>
          <w:highlight w:val="none"/>
          <w:lang w:val="en-US" w:eastAsia="zh-CN"/>
        </w:rPr>
        <w:t>投标人</w:t>
      </w:r>
      <w:r>
        <w:rPr>
          <w:rFonts w:hint="eastAsia"/>
          <w:color w:val="auto"/>
          <w:sz w:val="21"/>
          <w:szCs w:val="21"/>
          <w:highlight w:val="none"/>
          <w:lang w:val="en-US"/>
        </w:rPr>
        <w:t>是参与所质疑项目采购活动的</w:t>
      </w:r>
      <w:r>
        <w:rPr>
          <w:rFonts w:hint="eastAsia"/>
          <w:color w:val="auto"/>
          <w:sz w:val="21"/>
          <w:szCs w:val="21"/>
          <w:highlight w:val="none"/>
          <w:lang w:val="en-US" w:eastAsia="zh-CN"/>
        </w:rPr>
        <w:t>投标人</w:t>
      </w:r>
      <w:r>
        <w:rPr>
          <w:rFonts w:hint="eastAsia"/>
          <w:color w:val="auto"/>
          <w:sz w:val="21"/>
          <w:szCs w:val="21"/>
          <w:highlight w:val="none"/>
          <w:lang w:val="en-US"/>
        </w:rPr>
        <w:t>（潜在</w:t>
      </w:r>
      <w:r>
        <w:rPr>
          <w:rFonts w:hint="eastAsia"/>
          <w:color w:val="auto"/>
          <w:sz w:val="21"/>
          <w:szCs w:val="21"/>
          <w:highlight w:val="none"/>
          <w:lang w:val="en-US" w:eastAsia="zh-CN"/>
        </w:rPr>
        <w:t>投标人</w:t>
      </w:r>
      <w:r>
        <w:rPr>
          <w:rFonts w:hint="eastAsia"/>
          <w:color w:val="auto"/>
          <w:sz w:val="21"/>
          <w:szCs w:val="21"/>
          <w:highlight w:val="none"/>
          <w:lang w:val="en-US"/>
        </w:rPr>
        <w:t xml:space="preserve">已依法获取可之一的采购文件的，可以对该采购文件质疑）；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（2）质疑函内容符合本章第 38.2.5 项的规定；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（3）在质疑有效期限内提起质疑；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（4）属于所质疑的采购人或采购人委托的采购代理机构组织的采购活动；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（5）同一质疑事项未经采购人或采购人委托的采购代理机构质疑处理；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w:t>
      </w:r>
      <w:r>
        <w:rPr>
          <w:rFonts w:hint="eastAsia"/>
          <w:color w:val="auto"/>
          <w:sz w:val="21"/>
          <w:szCs w:val="21"/>
          <w:highlight w:val="none"/>
          <w:lang w:val="en-US" w:eastAsia="zh-CN"/>
        </w:rPr>
        <w:t>投标人</w:t>
      </w:r>
      <w:r>
        <w:rPr>
          <w:rFonts w:hint="eastAsia"/>
          <w:color w:val="auto"/>
          <w:sz w:val="21"/>
          <w:szCs w:val="21"/>
          <w:highlight w:val="none"/>
          <w:lang w:val="en-US"/>
        </w:rPr>
        <w:t xml:space="preserve">对同一采购程序环节的质疑应当在质疑有效期内一次性提出；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w:t>
      </w:r>
      <w:r>
        <w:rPr>
          <w:rFonts w:hint="eastAsia"/>
          <w:color w:val="auto"/>
          <w:sz w:val="21"/>
          <w:szCs w:val="21"/>
          <w:highlight w:val="none"/>
          <w:lang w:val="en-US" w:eastAsia="zh-CN"/>
        </w:rPr>
        <w:t>投标人</w:t>
      </w:r>
      <w:r>
        <w:rPr>
          <w:rFonts w:hint="eastAsia"/>
          <w:color w:val="auto"/>
          <w:sz w:val="21"/>
          <w:szCs w:val="21"/>
          <w:highlight w:val="none"/>
          <w:lang w:val="en-US"/>
        </w:rPr>
        <w:t xml:space="preserve">提交质疑应当提交必要的证明材料，证明材料应以合法手段取得；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（8）财政部门规定的其他条件。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34.2.5 </w:t>
      </w:r>
      <w:r>
        <w:rPr>
          <w:rFonts w:hint="eastAsia"/>
          <w:color w:val="auto"/>
          <w:sz w:val="21"/>
          <w:szCs w:val="21"/>
          <w:highlight w:val="none"/>
          <w:lang w:val="en-US" w:eastAsia="zh-CN"/>
        </w:rPr>
        <w:t>投标人</w:t>
      </w:r>
      <w:r>
        <w:rPr>
          <w:rFonts w:hint="eastAsia"/>
          <w:color w:val="auto"/>
          <w:sz w:val="21"/>
          <w:szCs w:val="21"/>
          <w:highlight w:val="none"/>
          <w:lang w:val="en-US"/>
        </w:rPr>
        <w:t xml:space="preserve">提出质疑应当提交质疑函和必要的证明材料，针对同一采购程序环节的质疑必须在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法定质疑期内一次性提出。质疑函应当包括下列内容（质疑函格式后附）：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投标人</w:t>
      </w:r>
      <w:r>
        <w:rPr>
          <w:rFonts w:hint="eastAsia"/>
          <w:color w:val="auto"/>
          <w:sz w:val="21"/>
          <w:szCs w:val="21"/>
          <w:highlight w:val="none"/>
          <w:lang w:val="en-US"/>
        </w:rPr>
        <w:t xml:space="preserve">的姓名或者名称、地址、邮编、联系人及联系电话；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（2）质疑项目的名称、编号；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（3）具体、明确的质疑事项和与质疑事项相关的请求；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（4）事实依据（列明权益受到损害的事实和理由）；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（5）必要的法律依据；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（6）提出质疑的日期。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投标人</w:t>
      </w:r>
      <w:r>
        <w:rPr>
          <w:rFonts w:hint="eastAsia"/>
          <w:color w:val="auto"/>
          <w:sz w:val="21"/>
          <w:szCs w:val="21"/>
          <w:highlight w:val="none"/>
          <w:lang w:val="en-US"/>
        </w:rPr>
        <w:t>为自然人的，应当由本人签字；</w:t>
      </w:r>
      <w:r>
        <w:rPr>
          <w:rFonts w:hint="eastAsia"/>
          <w:color w:val="auto"/>
          <w:sz w:val="21"/>
          <w:szCs w:val="21"/>
          <w:highlight w:val="none"/>
          <w:lang w:val="en-US" w:eastAsia="zh-CN"/>
        </w:rPr>
        <w:t>投标人</w:t>
      </w:r>
      <w:r>
        <w:rPr>
          <w:rFonts w:hint="eastAsia"/>
          <w:color w:val="auto"/>
          <w:sz w:val="21"/>
          <w:szCs w:val="21"/>
          <w:highlight w:val="none"/>
          <w:lang w:val="en-US"/>
        </w:rPr>
        <w:t xml:space="preserve">为法人或者其他组织的，应当由法定代表人、主要负责人，或者其委托代理人签字或者盖章，并加盖公章。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34.2.6 采购人或采购人委托的采购代理机构在收到质疑函后 7 个工作日内作出答复，并以书面形式通知质疑</w:t>
      </w:r>
      <w:r>
        <w:rPr>
          <w:rFonts w:hint="eastAsia"/>
          <w:color w:val="auto"/>
          <w:sz w:val="21"/>
          <w:szCs w:val="21"/>
          <w:highlight w:val="none"/>
          <w:lang w:val="en-US" w:eastAsia="zh-CN"/>
        </w:rPr>
        <w:t>投标人</w:t>
      </w:r>
      <w:r>
        <w:rPr>
          <w:rFonts w:hint="eastAsia"/>
          <w:color w:val="auto"/>
          <w:sz w:val="21"/>
          <w:szCs w:val="21"/>
          <w:highlight w:val="none"/>
          <w:lang w:val="en-US"/>
        </w:rPr>
        <w:t>及其他有关</w:t>
      </w:r>
      <w:r>
        <w:rPr>
          <w:rFonts w:hint="eastAsia"/>
          <w:color w:val="auto"/>
          <w:sz w:val="21"/>
          <w:szCs w:val="21"/>
          <w:highlight w:val="none"/>
          <w:lang w:val="en-US" w:eastAsia="zh-CN"/>
        </w:rPr>
        <w:t>投标人</w:t>
      </w:r>
      <w:r>
        <w:rPr>
          <w:rFonts w:hint="eastAsia"/>
          <w:color w:val="auto"/>
          <w:sz w:val="21"/>
          <w:szCs w:val="21"/>
          <w:highlight w:val="none"/>
          <w:lang w:val="en-US"/>
        </w:rPr>
        <w:t xml:space="preserve">。对不符合质疑条件的质疑，答复不予受理，并说明理由；对符合质疑条件的质疑，对质疑事项作出答复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34.2.7 采购人、采购代理机构认为</w:t>
      </w:r>
      <w:r>
        <w:rPr>
          <w:rFonts w:hint="eastAsia"/>
          <w:color w:val="auto"/>
          <w:sz w:val="21"/>
          <w:szCs w:val="21"/>
          <w:highlight w:val="none"/>
          <w:lang w:val="en-US" w:eastAsia="zh-CN"/>
        </w:rPr>
        <w:t>投标人</w:t>
      </w:r>
      <w:r>
        <w:rPr>
          <w:rFonts w:hint="eastAsia"/>
          <w:color w:val="auto"/>
          <w:sz w:val="21"/>
          <w:szCs w:val="21"/>
          <w:highlight w:val="none"/>
          <w:lang w:val="en-US"/>
        </w:rPr>
        <w:t>质疑不成立，或者成立但未对中标结果构成影响的，继续开展采购活动；认为</w:t>
      </w:r>
      <w:r>
        <w:rPr>
          <w:rFonts w:hint="eastAsia"/>
          <w:color w:val="auto"/>
          <w:sz w:val="21"/>
          <w:szCs w:val="21"/>
          <w:highlight w:val="none"/>
          <w:lang w:val="en-US" w:eastAsia="zh-CN"/>
        </w:rPr>
        <w:t>投标人</w:t>
      </w:r>
      <w:r>
        <w:rPr>
          <w:rFonts w:hint="eastAsia"/>
          <w:color w:val="auto"/>
          <w:sz w:val="21"/>
          <w:szCs w:val="21"/>
          <w:highlight w:val="none"/>
          <w:lang w:val="en-US"/>
        </w:rPr>
        <w:t xml:space="preserve">质疑成立且影响或者可能影响中标结果的，按照下列情况处理：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（一）对招标文件提出的质疑，依法通过澄清或者修改可以继续开展采购活动的，澄清或者修改招标文件后继续开展采购活动；否则应当修改招标文件后重新开展采购活动。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（二）对采购过程、中标结果提出的质疑，合格</w:t>
      </w:r>
      <w:r>
        <w:rPr>
          <w:rFonts w:hint="eastAsia"/>
          <w:color w:val="auto"/>
          <w:sz w:val="21"/>
          <w:szCs w:val="21"/>
          <w:highlight w:val="none"/>
          <w:lang w:val="en-US" w:eastAsia="zh-CN"/>
        </w:rPr>
        <w:t>投标人</w:t>
      </w:r>
      <w:r>
        <w:rPr>
          <w:rFonts w:hint="eastAsia"/>
          <w:color w:val="auto"/>
          <w:sz w:val="21"/>
          <w:szCs w:val="21"/>
          <w:highlight w:val="none"/>
          <w:lang w:val="en-US"/>
        </w:rPr>
        <w:t>符合法定数量时，可以从合格的中标候选人中另行确定中标</w:t>
      </w:r>
      <w:r>
        <w:rPr>
          <w:rFonts w:hint="eastAsia"/>
          <w:color w:val="auto"/>
          <w:sz w:val="21"/>
          <w:szCs w:val="21"/>
          <w:highlight w:val="none"/>
          <w:lang w:val="en-US" w:eastAsia="zh-CN"/>
        </w:rPr>
        <w:t>投标人</w:t>
      </w:r>
      <w:r>
        <w:rPr>
          <w:rFonts w:hint="eastAsia"/>
          <w:color w:val="auto"/>
          <w:sz w:val="21"/>
          <w:szCs w:val="21"/>
          <w:highlight w:val="none"/>
          <w:lang w:val="en-US"/>
        </w:rPr>
        <w:t>的，应当依法另行确定中标</w:t>
      </w:r>
      <w:r>
        <w:rPr>
          <w:rFonts w:hint="eastAsia"/>
          <w:color w:val="auto"/>
          <w:sz w:val="21"/>
          <w:szCs w:val="21"/>
          <w:highlight w:val="none"/>
          <w:lang w:val="en-US" w:eastAsia="zh-CN"/>
        </w:rPr>
        <w:t>投标人</w:t>
      </w:r>
      <w:r>
        <w:rPr>
          <w:rFonts w:hint="eastAsia"/>
          <w:color w:val="auto"/>
          <w:sz w:val="21"/>
          <w:szCs w:val="21"/>
          <w:highlight w:val="none"/>
          <w:lang w:val="en-US"/>
        </w:rPr>
        <w:t>；否则应当重新开展采购活动。质疑答复导致中标结果改变的，采购人或者采购代理机构应当将有关情况书面报告本级财政部门。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 投诉</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34.3.1 </w:t>
      </w:r>
      <w:r>
        <w:rPr>
          <w:rFonts w:hint="eastAsia"/>
          <w:color w:val="auto"/>
          <w:sz w:val="21"/>
          <w:szCs w:val="21"/>
          <w:highlight w:val="none"/>
          <w:lang w:val="en-US" w:eastAsia="zh-CN"/>
        </w:rPr>
        <w:t>投标人</w:t>
      </w:r>
      <w:r>
        <w:rPr>
          <w:rFonts w:hint="eastAsia"/>
          <w:color w:val="auto"/>
          <w:sz w:val="21"/>
          <w:szCs w:val="21"/>
          <w:highlight w:val="none"/>
          <w:lang w:val="en-US"/>
        </w:rPr>
        <w:t>认为采购文件、采购过程、中标和成交结果使自己的合法权益受到损害的，应当首先依法向采购人或采购人委托的采购代理机构提出质疑。对采购人、采购代理机构的答复不满意，或者采购人、采购代理机构未在规定期限内做出答复的，</w:t>
      </w:r>
      <w:r>
        <w:rPr>
          <w:rFonts w:hint="eastAsia"/>
          <w:color w:val="auto"/>
          <w:sz w:val="21"/>
          <w:szCs w:val="21"/>
          <w:highlight w:val="none"/>
          <w:lang w:val="en-US" w:eastAsia="zh-CN"/>
        </w:rPr>
        <w:t>投标人</w:t>
      </w:r>
      <w:r>
        <w:rPr>
          <w:rFonts w:hint="eastAsia"/>
          <w:color w:val="auto"/>
          <w:sz w:val="21"/>
          <w:szCs w:val="21"/>
          <w:highlight w:val="none"/>
          <w:lang w:val="en-US"/>
        </w:rPr>
        <w:t>可以在答复期满后 15 个工作日内向新疆政府采购监督管理部门提起投诉，投诉方式见《投标人须知前附表》。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34.3.2 投诉人投诉时，应当提交投诉书，并按照被投诉采购人、采购代理机构和与投诉事项有关的</w:t>
      </w:r>
      <w:r>
        <w:rPr>
          <w:rFonts w:hint="eastAsia"/>
          <w:color w:val="auto"/>
          <w:sz w:val="21"/>
          <w:szCs w:val="21"/>
          <w:highlight w:val="none"/>
          <w:lang w:val="en-US" w:eastAsia="zh-CN"/>
        </w:rPr>
        <w:t>投标人</w:t>
      </w:r>
      <w:r>
        <w:rPr>
          <w:rFonts w:hint="eastAsia"/>
          <w:color w:val="auto"/>
          <w:sz w:val="21"/>
          <w:szCs w:val="21"/>
          <w:highlight w:val="none"/>
          <w:lang w:val="en-US"/>
        </w:rPr>
        <w:t>数量提供投诉书的副本。投诉书应当包括下列主要内容（如材料中有外文资料应同时附上对应的中文译本）：</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（1）投诉人和被投诉人的名称、地址、邮编、联系人及联系电话等；</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（2）质疑和质疑答复情况及相关证明材料；</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（3）具体、明确的投诉事项和与投诉事项相关的投诉请求；</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（4）事实依据；</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（5）法律依据；</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（6）提起投诉的日期。</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（7）附件材料：营业执照副本内页复印件（要求证件有效并清晰反映企业法人经营范围；近期连续 三个月依法缴纳税收和在职职工社会保障资金证明材料（复印件）。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34.3.3 投诉人可以委托代理人办理投诉事务。委托代理人应熟悉相关业务情况。代理人办理投诉事务时，除提交投诉书外，还应当提交投诉人的授权委托书和委托代理人身份证明复印件。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34.3.4 投诉人提起投诉应当符合下列条件：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（1）投诉人是参与所投诉政府采购活动的</w:t>
      </w:r>
      <w:r>
        <w:rPr>
          <w:rFonts w:hint="eastAsia"/>
          <w:color w:val="auto"/>
          <w:sz w:val="21"/>
          <w:szCs w:val="21"/>
          <w:highlight w:val="none"/>
          <w:lang w:val="en-US" w:eastAsia="zh-CN"/>
        </w:rPr>
        <w:t>投标人</w:t>
      </w:r>
      <w:r>
        <w:rPr>
          <w:rFonts w:hint="eastAsia"/>
          <w:color w:val="auto"/>
          <w:sz w:val="21"/>
          <w:szCs w:val="21"/>
          <w:highlight w:val="none"/>
          <w:lang w:val="en-US"/>
        </w:rPr>
        <w:t>；</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（2）提起投诉前已依法进行质疑；</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（3）投诉书内容符合本章的规定；</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（4）在投诉有效期限内提起投诉；</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（5）属于新疆政府采购监督管理部门管辖；</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（6）同一投诉事项未经新疆政府采购监督管理部门投诉处理；</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（7）国务院财政部门规定的其他条件。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34.3.5 新疆政府采购监督管理部门自受理投诉之日起 30 个工作日内，对投诉事项作出处理决定，并以书面形式通知投诉人、被投诉人及其他与投诉处理结果有利害关系的政府采购当事人。并将投诉结果在“新疆政府采购网”发布。</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34.3.6 新疆政府采购监督管理部门在处理投诉事项期间，可以视具体情况暂停采购活动。</w:t>
      </w:r>
    </w:p>
    <w:p>
      <w:pPr>
        <w:pStyle w:val="7"/>
        <w:spacing w:before="2"/>
        <w:ind w:right="113"/>
        <w:rPr>
          <w:rFonts w:ascii="宋体" w:hAnsi="宋体" w:eastAsia="宋体" w:cs="宋体"/>
          <w:color w:val="auto"/>
          <w:sz w:val="24"/>
          <w:szCs w:val="24"/>
          <w:highlight w:val="none"/>
        </w:rPr>
      </w:pPr>
      <w:bookmarkStart w:id="52" w:name="_Toc16003"/>
      <w:bookmarkStart w:id="53" w:name="_Toc10970"/>
      <w:r>
        <w:rPr>
          <w:rFonts w:hint="eastAsia" w:ascii="宋体" w:hAnsi="宋体" w:eastAsia="宋体" w:cs="宋体"/>
          <w:color w:val="auto"/>
          <w:sz w:val="24"/>
          <w:szCs w:val="24"/>
          <w:highlight w:val="none"/>
          <w:lang w:val="en-US"/>
        </w:rPr>
        <w:t>七、验收</w:t>
      </w:r>
      <w:bookmarkEnd w:id="52"/>
      <w:bookmarkEnd w:id="53"/>
      <w:r>
        <w:rPr>
          <w:rFonts w:hint="eastAsia" w:ascii="宋体" w:hAnsi="宋体" w:eastAsia="宋体" w:cs="宋体"/>
          <w:color w:val="auto"/>
          <w:sz w:val="24"/>
          <w:szCs w:val="24"/>
          <w:highlight w:val="none"/>
          <w:lang w:val="en-US"/>
        </w:rPr>
        <w:t xml:space="preserve">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35.验收 </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35.1 采购人组织对</w:t>
      </w:r>
      <w:r>
        <w:rPr>
          <w:rFonts w:hint="eastAsia"/>
          <w:color w:val="auto"/>
          <w:sz w:val="21"/>
          <w:szCs w:val="21"/>
          <w:highlight w:val="none"/>
          <w:lang w:val="en-US" w:eastAsia="zh-CN"/>
        </w:rPr>
        <w:t>投标人</w:t>
      </w:r>
      <w:r>
        <w:rPr>
          <w:rFonts w:hint="eastAsia"/>
          <w:color w:val="auto"/>
          <w:sz w:val="21"/>
          <w:szCs w:val="21"/>
          <w:highlight w:val="none"/>
          <w:lang w:val="en-US"/>
        </w:rPr>
        <w:t>履约的验收。大型或者复杂的政府采购项目，应当邀请国家认可的质量检测机构参加验收工作。验收方成员应当在验收书上签字，并承担相应的法律责任。如果发现与合同中要求不符，</w:t>
      </w:r>
      <w:r>
        <w:rPr>
          <w:rFonts w:hint="eastAsia"/>
          <w:color w:val="auto"/>
          <w:sz w:val="21"/>
          <w:szCs w:val="21"/>
          <w:highlight w:val="none"/>
          <w:lang w:val="en-US" w:eastAsia="zh-CN"/>
        </w:rPr>
        <w:t>投标人</w:t>
      </w:r>
      <w:r>
        <w:rPr>
          <w:rFonts w:hint="eastAsia"/>
          <w:color w:val="auto"/>
          <w:sz w:val="21"/>
          <w:szCs w:val="21"/>
          <w:highlight w:val="none"/>
          <w:lang w:val="en-US"/>
        </w:rPr>
        <w:t xml:space="preserve">须承担由此发生的一切损失和费用，并接受相应的处理。 </w:t>
      </w:r>
    </w:p>
    <w:p>
      <w:pPr>
        <w:pStyle w:val="33"/>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.2 </w:t>
      </w:r>
      <w:r>
        <w:rPr>
          <w:rFonts w:hint="eastAsia"/>
          <w:color w:val="auto"/>
          <w:sz w:val="21"/>
          <w:szCs w:val="21"/>
          <w:highlight w:val="none"/>
          <w:lang w:val="en-US"/>
        </w:rPr>
        <w:t xml:space="preserve">采购人可以邀请参加本项目的其他投标人或者第三方机构参与验收。参与验收的投标人或者第三方机构的意见作为验收书的参考资料一并存档。 </w:t>
      </w:r>
    </w:p>
    <w:p>
      <w:pPr>
        <w:pStyle w:val="33"/>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.3 </w:t>
      </w:r>
      <w:r>
        <w:rPr>
          <w:rFonts w:hint="eastAsia"/>
          <w:color w:val="auto"/>
          <w:sz w:val="21"/>
          <w:szCs w:val="21"/>
          <w:highlight w:val="none"/>
          <w:lang w:val="en-US"/>
        </w:rPr>
        <w:t>严格按照采购合同开展履约验收。采购人成立验收小组，按照采购合同的约定对</w:t>
      </w:r>
      <w:r>
        <w:rPr>
          <w:rFonts w:hint="eastAsia"/>
          <w:color w:val="auto"/>
          <w:sz w:val="21"/>
          <w:szCs w:val="21"/>
          <w:highlight w:val="none"/>
          <w:lang w:val="en-US" w:eastAsia="zh-CN"/>
        </w:rPr>
        <w:t>投标人</w:t>
      </w:r>
      <w:r>
        <w:rPr>
          <w:rFonts w:hint="eastAsia"/>
          <w:color w:val="auto"/>
          <w:sz w:val="21"/>
          <w:szCs w:val="21"/>
          <w:highlight w:val="none"/>
          <w:lang w:val="en-US"/>
        </w:rPr>
        <w:t xml:space="preserve">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 </w:t>
      </w:r>
    </w:p>
    <w:p>
      <w:pPr>
        <w:pStyle w:val="33"/>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.4 </w:t>
      </w:r>
      <w:r>
        <w:rPr>
          <w:rFonts w:hint="eastAsia"/>
          <w:color w:val="auto"/>
          <w:sz w:val="21"/>
          <w:szCs w:val="21"/>
          <w:highlight w:val="none"/>
          <w:lang w:val="en-US"/>
        </w:rPr>
        <w:t>验收合格的项目，采购人将根据采购合同的约定及时向</w:t>
      </w:r>
      <w:r>
        <w:rPr>
          <w:rFonts w:hint="eastAsia"/>
          <w:color w:val="auto"/>
          <w:sz w:val="21"/>
          <w:szCs w:val="21"/>
          <w:highlight w:val="none"/>
          <w:lang w:val="en-US" w:eastAsia="zh-CN"/>
        </w:rPr>
        <w:t>投标人</w:t>
      </w:r>
      <w:r>
        <w:rPr>
          <w:rFonts w:hint="eastAsia"/>
          <w:color w:val="auto"/>
          <w:sz w:val="21"/>
          <w:szCs w:val="21"/>
          <w:highlight w:val="none"/>
          <w:lang w:val="en-US"/>
        </w:rPr>
        <w:t>支付采购资金。验收不合格的项目，采购人将依法及时处理。采购合同的履行、违约责任和解决争议的方式等适用《中华人民共和国民法典》。</w:t>
      </w:r>
      <w:r>
        <w:rPr>
          <w:rFonts w:hint="eastAsia"/>
          <w:color w:val="auto"/>
          <w:sz w:val="21"/>
          <w:szCs w:val="21"/>
          <w:highlight w:val="none"/>
          <w:lang w:val="en-US" w:eastAsia="zh-CN"/>
        </w:rPr>
        <w:t>投标人</w:t>
      </w:r>
      <w:r>
        <w:rPr>
          <w:rFonts w:hint="eastAsia"/>
          <w:color w:val="auto"/>
          <w:sz w:val="21"/>
          <w:szCs w:val="21"/>
          <w:highlight w:val="none"/>
          <w:lang w:val="en-US"/>
        </w:rPr>
        <w:t xml:space="preserve">在履约过程中有政府采购法律法规规定的违法违规情形的，采购人应当及时报告本级财政部门。 </w:t>
      </w:r>
    </w:p>
    <w:p>
      <w:pPr>
        <w:pStyle w:val="7"/>
        <w:spacing w:before="2"/>
        <w:ind w:right="113"/>
        <w:rPr>
          <w:rFonts w:ascii="宋体" w:hAnsi="宋体" w:eastAsia="宋体" w:cs="宋体"/>
          <w:color w:val="auto"/>
          <w:sz w:val="24"/>
          <w:szCs w:val="24"/>
          <w:highlight w:val="none"/>
        </w:rPr>
      </w:pPr>
      <w:bookmarkStart w:id="54" w:name="_Toc25719"/>
      <w:bookmarkStart w:id="55" w:name="_Toc20902"/>
      <w:r>
        <w:rPr>
          <w:rFonts w:hint="eastAsia" w:ascii="宋体" w:hAnsi="宋体" w:eastAsia="宋体" w:cs="宋体"/>
          <w:color w:val="auto"/>
          <w:sz w:val="24"/>
          <w:szCs w:val="24"/>
          <w:highlight w:val="none"/>
          <w:lang w:val="en-US"/>
        </w:rPr>
        <w:t>八</w:t>
      </w:r>
      <w:r>
        <w:rPr>
          <w:rFonts w:hint="eastAsia" w:ascii="宋体" w:hAnsi="宋体" w:eastAsia="宋体" w:cs="宋体"/>
          <w:color w:val="auto"/>
          <w:sz w:val="24"/>
          <w:szCs w:val="24"/>
          <w:highlight w:val="none"/>
        </w:rPr>
        <w:t>、其他</w:t>
      </w:r>
      <w:bookmarkEnd w:id="54"/>
      <w:bookmarkEnd w:id="55"/>
    </w:p>
    <w:p>
      <w:pPr>
        <w:pStyle w:val="33"/>
        <w:tabs>
          <w:tab w:val="left" w:pos="908"/>
        </w:tabs>
        <w:spacing w:before="0" w:line="360" w:lineRule="auto"/>
        <w:ind w:left="0" w:firstLine="420" w:firstLineChars="200"/>
        <w:rPr>
          <w:color w:val="auto"/>
          <w:sz w:val="21"/>
          <w:szCs w:val="21"/>
          <w:highlight w:val="none"/>
          <w:lang w:val="en-US"/>
        </w:rPr>
      </w:pPr>
      <w:bookmarkStart w:id="56" w:name="_bookmark63"/>
      <w:bookmarkEnd w:id="56"/>
      <w:r>
        <w:rPr>
          <w:rFonts w:hint="eastAsia"/>
          <w:color w:val="auto"/>
          <w:sz w:val="21"/>
          <w:szCs w:val="21"/>
          <w:highlight w:val="none"/>
          <w:lang w:val="en-US"/>
        </w:rPr>
        <w:t>36 投标人的商业秘密</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36.1 投标人应在投标文件中将属于其商业秘密的内容进行明确标注，采购人、采购代理机构及其有关人员和评标委员会将对投标人的商业秘密进行保密。</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36.2 投标标的名称、规格型号、单价及合同金额等内容不得作为商业秘密。</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 保密条款</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37.2 除非执行合同需要，在事先未得到采购人书面同意的情况下，投标人不得使用本招标书中所提供的任何文件和资料。</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37.3 采购人对投标人提交的文件将给予保密，但无论中标与否，投标人的投标文件不予退还。</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 履约保证金</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38.1 第一成交候选人在收到成交公示结束后7个工作日内（签订合同前）向采购人缴纳采购人规定的履约保证金。否则视为自动放弃成交资格，由第二候选人成交，以此类推。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38.2 履约保证金形式：转账或银行保函</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成交单位未按本文件规定缴纳履约保证金的，其保证金将不予退还。</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38.3 履约保证金缴纳账户信息：根据签订合同账户汇款。</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39 采购代理服务费</w:t>
      </w:r>
    </w:p>
    <w:p>
      <w:pPr>
        <w:tabs>
          <w:tab w:val="left" w:pos="908"/>
        </w:tabs>
        <w:spacing w:line="360" w:lineRule="auto"/>
        <w:ind w:firstLine="420" w:firstLineChars="200"/>
        <w:rPr>
          <w:color w:val="auto"/>
          <w:sz w:val="21"/>
          <w:szCs w:val="21"/>
          <w:highlight w:val="none"/>
          <w:lang w:val="en-US"/>
        </w:rPr>
      </w:pPr>
      <w:bookmarkStart w:id="57" w:name="_bookmark61"/>
      <w:bookmarkEnd w:id="57"/>
      <w:r>
        <w:rPr>
          <w:rFonts w:hint="eastAsia"/>
          <w:color w:val="auto"/>
          <w:sz w:val="21"/>
          <w:szCs w:val="21"/>
          <w:highlight w:val="none"/>
          <w:lang w:val="en-US"/>
        </w:rPr>
        <w:t>代理服务收费标准及缴费账户详见《投标人须知前附表》，投标人为联合体的，可以由联合体中的一方或者多方共同交纳代理服务费。</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 xml:space="preserve"> 其他规定</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.1 采购人、采购代理机构应当建立真实完整的招标采购档案，妥善保存每项采购活动的采购文件。</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.2 本招标文件是根据《中华人民共和国政府采购法》、《中华人民共和国政府采购法实施条例》和《政府采购货物和服务招标投标管理办法》（财政部令第87号）的规定编制，解释权属采购人与采购代理机构。</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.3 本招标文件解释规则详见《投标人须知前附表》。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.4 其他事项详见《投标人须知前附表》。</w:t>
      </w:r>
    </w:p>
    <w:p>
      <w:pPr>
        <w:pStyle w:val="33"/>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.5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color w:val="auto"/>
          <w:sz w:val="21"/>
          <w:szCs w:val="21"/>
          <w:highlight w:val="none"/>
          <w:lang w:val="en-US" w:eastAsia="zh-CN"/>
        </w:rPr>
        <w:t>投标人</w:t>
      </w:r>
      <w:r>
        <w:rPr>
          <w:rFonts w:hint="eastAsia"/>
          <w:color w:val="auto"/>
          <w:sz w:val="21"/>
          <w:szCs w:val="21"/>
          <w:highlight w:val="none"/>
          <w:lang w:val="en-US"/>
        </w:rPr>
        <w:t>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 依据本文件规定享受扶持政策获得政府采购合同的，小微企业不得将合同分包给大中型企业，中型企业不得将合同分包给大型企业。</w:t>
      </w:r>
    </w:p>
    <w:p>
      <w:pPr>
        <w:pStyle w:val="33"/>
        <w:tabs>
          <w:tab w:val="left" w:pos="908"/>
        </w:tabs>
        <w:spacing w:before="0" w:line="360" w:lineRule="auto"/>
        <w:ind w:left="0" w:firstLine="420" w:firstLineChars="200"/>
        <w:rPr>
          <w:color w:val="auto"/>
          <w:sz w:val="21"/>
          <w:szCs w:val="21"/>
          <w:highlight w:val="none"/>
          <w:lang w:val="en-US"/>
        </w:rPr>
      </w:pPr>
    </w:p>
    <w:p>
      <w:pPr>
        <w:rPr>
          <w:color w:val="auto"/>
          <w:sz w:val="20"/>
          <w:szCs w:val="20"/>
          <w:highlight w:val="none"/>
        </w:rPr>
      </w:pPr>
      <w:bookmarkStart w:id="58" w:name="_bookmark65"/>
      <w:bookmarkEnd w:id="58"/>
      <w:r>
        <w:rPr>
          <w:rFonts w:hint="eastAsia"/>
          <w:color w:val="auto"/>
          <w:sz w:val="20"/>
          <w:szCs w:val="20"/>
          <w:highlight w:val="none"/>
        </w:rPr>
        <w:br w:type="page"/>
      </w:r>
    </w:p>
    <w:p>
      <w:pPr>
        <w:pStyle w:val="5"/>
        <w:tabs>
          <w:tab w:val="left" w:pos="1163"/>
        </w:tabs>
        <w:spacing w:line="240" w:lineRule="auto"/>
        <w:outlineLvl w:val="0"/>
        <w:rPr>
          <w:rFonts w:ascii="宋体" w:hAnsi="宋体" w:eastAsia="宋体" w:cs="宋体"/>
          <w:b/>
          <w:bCs/>
          <w:color w:val="auto"/>
          <w:sz w:val="32"/>
          <w:szCs w:val="32"/>
          <w:highlight w:val="none"/>
          <w:lang w:val="en-US"/>
        </w:rPr>
      </w:pPr>
      <w:bookmarkStart w:id="59" w:name="_Toc15591"/>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rPr>
        <w:t>三</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rPr>
        <w:t xml:space="preserve"> 采购需求</w:t>
      </w:r>
      <w:bookmarkEnd w:id="59"/>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bidi="ar-SA"/>
        </w:rPr>
        <w:t>说明：1、</w:t>
      </w:r>
      <w:r>
        <w:rPr>
          <w:rFonts w:hint="eastAsia" w:cs="宋体"/>
          <w:b/>
          <w:bCs/>
          <w:color w:val="auto"/>
          <w:spacing w:val="0"/>
          <w:w w:val="100"/>
          <w:kern w:val="2"/>
          <w:position w:val="0"/>
          <w:sz w:val="21"/>
          <w:szCs w:val="21"/>
          <w:lang w:val="en-US" w:eastAsia="zh-CN" w:bidi="ar-SA"/>
        </w:rPr>
        <w:t>投标人</w:t>
      </w:r>
      <w:r>
        <w:rPr>
          <w:rFonts w:hint="eastAsia" w:ascii="宋体" w:hAnsi="宋体" w:eastAsia="宋体" w:cs="宋体"/>
          <w:b/>
          <w:bCs/>
          <w:color w:val="auto"/>
          <w:spacing w:val="0"/>
          <w:w w:val="100"/>
          <w:kern w:val="2"/>
          <w:position w:val="0"/>
          <w:sz w:val="21"/>
          <w:szCs w:val="21"/>
          <w:lang w:val="en-US" w:bidi="ar-SA"/>
        </w:rPr>
        <w:t>须对以本项目为单位的</w:t>
      </w:r>
      <w:r>
        <w:rPr>
          <w:rFonts w:hint="eastAsia" w:ascii="宋体" w:hAnsi="宋体" w:eastAsia="宋体" w:cs="宋体"/>
          <w:b/>
          <w:bCs/>
          <w:color w:val="auto"/>
          <w:spacing w:val="0"/>
          <w:w w:val="100"/>
          <w:kern w:val="2"/>
          <w:position w:val="0"/>
          <w:sz w:val="21"/>
          <w:szCs w:val="21"/>
          <w:lang w:val="en-US" w:eastAsia="zh-CN" w:bidi="ar-SA"/>
        </w:rPr>
        <w:t>供货</w:t>
      </w:r>
      <w:r>
        <w:rPr>
          <w:rFonts w:hint="eastAsia" w:ascii="宋体" w:hAnsi="宋体" w:eastAsia="宋体" w:cs="宋体"/>
          <w:b/>
          <w:bCs/>
          <w:color w:val="auto"/>
          <w:spacing w:val="0"/>
          <w:w w:val="100"/>
          <w:kern w:val="2"/>
          <w:position w:val="0"/>
          <w:sz w:val="21"/>
          <w:szCs w:val="21"/>
          <w:lang w:val="en-US" w:bidi="ar-SA"/>
        </w:rPr>
        <w:t>进行响应，任何只对其中一部分内容进行的响应都被视为无效响应。</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2" w:firstLineChars="200"/>
        <w:jc w:val="both"/>
        <w:textAlignment w:val="auto"/>
        <w:rPr>
          <w:rFonts w:hint="eastAsia" w:ascii="宋体" w:hAnsi="宋体" w:eastAsia="宋体" w:cs="宋体"/>
          <w:b/>
          <w:bCs/>
          <w:color w:val="auto"/>
          <w:spacing w:val="0"/>
          <w:w w:val="100"/>
          <w:kern w:val="2"/>
          <w:position w:val="0"/>
          <w:sz w:val="21"/>
          <w:szCs w:val="21"/>
          <w:lang w:val="en-US" w:bidi="ar-SA"/>
        </w:rPr>
      </w:pPr>
      <w:r>
        <w:rPr>
          <w:rFonts w:hint="eastAsia" w:ascii="宋体" w:hAnsi="宋体" w:eastAsia="宋体" w:cs="宋体"/>
          <w:b/>
          <w:bCs/>
          <w:color w:val="auto"/>
          <w:spacing w:val="0"/>
          <w:w w:val="100"/>
          <w:kern w:val="2"/>
          <w:position w:val="0"/>
          <w:sz w:val="21"/>
          <w:szCs w:val="21"/>
          <w:lang w:val="en-US" w:bidi="ar-SA"/>
        </w:rPr>
        <w:t>2、注有“</w:t>
      </w:r>
      <w:r>
        <w:rPr>
          <w:rFonts w:hint="eastAsia" w:ascii="宋体" w:hAnsi="宋体" w:eastAsia="宋体" w:cs="宋体"/>
          <w:b/>
          <w:bCs/>
          <w:color w:val="auto"/>
          <w:spacing w:val="0"/>
          <w:w w:val="100"/>
          <w:kern w:val="2"/>
          <w:position w:val="0"/>
          <w:sz w:val="21"/>
          <w:szCs w:val="21"/>
          <w:lang w:val="en-US" w:eastAsia="zh-CN" w:bidi="ar-SA"/>
        </w:rPr>
        <w:t>★</w:t>
      </w:r>
      <w:r>
        <w:rPr>
          <w:rFonts w:hint="eastAsia" w:ascii="宋体" w:hAnsi="宋体" w:eastAsia="宋体" w:cs="宋体"/>
          <w:b/>
          <w:bCs/>
          <w:color w:val="auto"/>
          <w:spacing w:val="0"/>
          <w:w w:val="100"/>
          <w:kern w:val="2"/>
          <w:position w:val="0"/>
          <w:sz w:val="21"/>
          <w:szCs w:val="21"/>
          <w:lang w:val="en-US" w:bidi="ar-SA"/>
        </w:rPr>
        <w:t>”号的条款为重要技术条款</w:t>
      </w:r>
      <w:r>
        <w:rPr>
          <w:rFonts w:hint="eastAsia" w:ascii="宋体" w:hAnsi="宋体" w:eastAsia="宋体" w:cs="宋体"/>
          <w:b/>
          <w:bCs/>
          <w:color w:val="auto"/>
          <w:spacing w:val="0"/>
          <w:w w:val="100"/>
          <w:kern w:val="2"/>
          <w:position w:val="0"/>
          <w:sz w:val="21"/>
          <w:szCs w:val="21"/>
          <w:lang w:val="en-US" w:eastAsia="zh-CN" w:bidi="ar-SA"/>
        </w:rPr>
        <w:t>，出现负偏离为</w:t>
      </w:r>
      <w:r>
        <w:rPr>
          <w:rFonts w:hint="eastAsia" w:ascii="宋体" w:hAnsi="宋体" w:eastAsia="宋体" w:cs="宋体"/>
          <w:b/>
          <w:bCs/>
          <w:color w:val="auto"/>
          <w:spacing w:val="0"/>
          <w:w w:val="100"/>
          <w:kern w:val="2"/>
          <w:position w:val="0"/>
          <w:sz w:val="21"/>
          <w:szCs w:val="21"/>
          <w:lang w:val="en-US" w:bidi="ar-SA"/>
        </w:rPr>
        <w:t>无效响应。</w:t>
      </w:r>
    </w:p>
    <w:tbl>
      <w:tblPr>
        <w:tblStyle w:val="29"/>
        <w:tblW w:w="9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2340"/>
        <w:gridCol w:w="1140"/>
        <w:gridCol w:w="1464"/>
        <w:gridCol w:w="19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20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color w:val="auto"/>
                <w:spacing w:val="0"/>
                <w:w w:val="100"/>
                <w:kern w:val="2"/>
                <w:position w:val="0"/>
                <w:sz w:val="21"/>
                <w:szCs w:val="21"/>
                <w:lang w:val="en-US" w:bidi="ar-SA"/>
              </w:rPr>
            </w:pPr>
            <w:r>
              <w:rPr>
                <w:rFonts w:hint="eastAsia" w:cs="宋体"/>
                <w:color w:val="auto"/>
                <w:spacing w:val="0"/>
                <w:w w:val="100"/>
                <w:kern w:val="0"/>
                <w:position w:val="0"/>
                <w:sz w:val="21"/>
                <w:szCs w:val="21"/>
                <w:highlight w:val="none"/>
                <w:vertAlign w:val="baseline"/>
                <w:lang w:val="en-US" w:eastAsia="zh-CN" w:bidi="zh-CN"/>
              </w:rPr>
              <w:t>标项号</w:t>
            </w:r>
          </w:p>
        </w:tc>
        <w:tc>
          <w:tcPr>
            <w:tcW w:w="234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color w:val="auto"/>
                <w:spacing w:val="0"/>
                <w:w w:val="100"/>
                <w:kern w:val="2"/>
                <w:position w:val="0"/>
                <w:sz w:val="21"/>
                <w:szCs w:val="21"/>
                <w:lang w:val="en-US" w:bidi="ar-SA"/>
              </w:rPr>
            </w:pPr>
            <w:r>
              <w:rPr>
                <w:rFonts w:hint="eastAsia" w:cs="宋体"/>
                <w:color w:val="auto"/>
                <w:spacing w:val="0"/>
                <w:w w:val="100"/>
                <w:kern w:val="0"/>
                <w:position w:val="0"/>
                <w:sz w:val="21"/>
                <w:szCs w:val="21"/>
                <w:highlight w:val="none"/>
                <w:vertAlign w:val="baseline"/>
                <w:lang w:val="en-US" w:eastAsia="zh-CN" w:bidi="zh-CN"/>
              </w:rPr>
              <w:t>标项</w:t>
            </w:r>
            <w:r>
              <w:rPr>
                <w:rFonts w:hint="eastAsia" w:ascii="宋体" w:hAnsi="宋体" w:eastAsia="宋体" w:cs="宋体"/>
                <w:color w:val="auto"/>
                <w:spacing w:val="0"/>
                <w:w w:val="100"/>
                <w:kern w:val="0"/>
                <w:position w:val="0"/>
                <w:sz w:val="21"/>
                <w:szCs w:val="21"/>
                <w:highlight w:val="none"/>
                <w:vertAlign w:val="baseline"/>
                <w:lang w:val="zh-CN" w:eastAsia="zh-CN" w:bidi="zh-CN"/>
              </w:rPr>
              <w:t>名称</w:t>
            </w:r>
          </w:p>
        </w:tc>
        <w:tc>
          <w:tcPr>
            <w:tcW w:w="114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数量</w:t>
            </w:r>
          </w:p>
        </w:tc>
        <w:tc>
          <w:tcPr>
            <w:tcW w:w="1464"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最高限价</w:t>
            </w:r>
          </w:p>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（人民币元）</w:t>
            </w:r>
          </w:p>
        </w:tc>
        <w:tc>
          <w:tcPr>
            <w:tcW w:w="1917"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spacing w:val="0"/>
                <w:w w:val="100"/>
                <w:kern w:val="2"/>
                <w:position w:val="0"/>
                <w:sz w:val="21"/>
                <w:szCs w:val="21"/>
                <w:lang w:val="en-US" w:bidi="ar-SA"/>
              </w:rPr>
            </w:pPr>
            <w:r>
              <w:rPr>
                <w:rFonts w:hint="eastAsia" w:ascii="Times New Roman"/>
                <w:color w:val="auto"/>
                <w:kern w:val="2"/>
                <w:sz w:val="21"/>
                <w:szCs w:val="21"/>
                <w:highlight w:val="none"/>
                <w:lang w:val="en-US" w:bidi="ar-SA"/>
              </w:rPr>
              <w:t>供货期</w:t>
            </w:r>
          </w:p>
        </w:tc>
        <w:tc>
          <w:tcPr>
            <w:tcW w:w="1499"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eastAsia="宋体"/>
                <w:color w:val="auto"/>
                <w:kern w:val="2"/>
                <w:sz w:val="21"/>
                <w:szCs w:val="21"/>
                <w:highlight w:val="none"/>
                <w:lang w:val="en-US" w:eastAsia="zh-CN" w:bidi="ar-SA"/>
              </w:rPr>
            </w:pPr>
            <w:r>
              <w:rPr>
                <w:rFonts w:hint="eastAsia" w:ascii="Times New Roman"/>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208"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2"/>
                <w:position w:val="0"/>
                <w:sz w:val="21"/>
                <w:szCs w:val="21"/>
                <w:lang w:val="en-US" w:eastAsia="zh-CN" w:bidi="ar-SA"/>
              </w:rPr>
              <w:t>1</w:t>
            </w:r>
          </w:p>
        </w:tc>
        <w:tc>
          <w:tcPr>
            <w:tcW w:w="234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cs="宋体"/>
                <w:color w:val="auto"/>
                <w:spacing w:val="0"/>
                <w:w w:val="100"/>
                <w:kern w:val="2"/>
                <w:position w:val="0"/>
                <w:sz w:val="21"/>
                <w:szCs w:val="21"/>
                <w:lang w:val="en-US" w:eastAsia="zh-CN" w:bidi="ar-SA"/>
              </w:rPr>
              <w:t>自治区质检院第三批检测设备能力提升采购项目（进口部分）</w:t>
            </w:r>
          </w:p>
        </w:tc>
        <w:tc>
          <w:tcPr>
            <w:tcW w:w="114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2"/>
                <w:position w:val="0"/>
                <w:sz w:val="21"/>
                <w:szCs w:val="21"/>
                <w:lang w:val="en-US" w:eastAsia="zh-CN" w:bidi="ar-SA"/>
              </w:rPr>
            </w:pPr>
            <w:r>
              <w:rPr>
                <w:rFonts w:hint="eastAsia" w:ascii="宋体" w:hAnsi="宋体" w:eastAsia="宋体" w:cs="宋体"/>
                <w:color w:val="auto"/>
                <w:spacing w:val="0"/>
                <w:w w:val="100"/>
                <w:kern w:val="0"/>
                <w:position w:val="0"/>
                <w:sz w:val="21"/>
                <w:szCs w:val="21"/>
                <w:lang w:val="en-US" w:eastAsia="zh-CN" w:bidi="zh-CN"/>
              </w:rPr>
              <w:t>1</w:t>
            </w:r>
            <w:r>
              <w:rPr>
                <w:rFonts w:hint="eastAsia" w:cs="宋体"/>
                <w:color w:val="auto"/>
                <w:spacing w:val="0"/>
                <w:w w:val="100"/>
                <w:kern w:val="0"/>
                <w:position w:val="0"/>
                <w:sz w:val="21"/>
                <w:szCs w:val="21"/>
                <w:lang w:val="en-US" w:eastAsia="zh-CN" w:bidi="zh-CN"/>
              </w:rPr>
              <w:t>套</w:t>
            </w:r>
          </w:p>
        </w:tc>
        <w:tc>
          <w:tcPr>
            <w:tcW w:w="1464"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spacing w:val="0"/>
                <w:w w:val="100"/>
                <w:kern w:val="2"/>
                <w:position w:val="0"/>
                <w:sz w:val="21"/>
                <w:szCs w:val="21"/>
                <w:lang w:val="en-US" w:eastAsia="zh-CN" w:bidi="ar-SA"/>
              </w:rPr>
            </w:pPr>
            <w:r>
              <w:rPr>
                <w:rFonts w:hint="eastAsia" w:cs="宋体"/>
                <w:color w:val="auto"/>
                <w:spacing w:val="0"/>
                <w:w w:val="100"/>
                <w:kern w:val="2"/>
                <w:position w:val="0"/>
                <w:sz w:val="21"/>
                <w:szCs w:val="21"/>
                <w:lang w:val="en-US" w:eastAsia="zh-CN" w:bidi="ar-SA"/>
              </w:rPr>
              <w:t>260000</w:t>
            </w:r>
          </w:p>
        </w:tc>
        <w:tc>
          <w:tcPr>
            <w:tcW w:w="1917"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spacing w:val="0"/>
                <w:w w:val="100"/>
                <w:kern w:val="2"/>
                <w:position w:val="0"/>
                <w:sz w:val="21"/>
                <w:szCs w:val="21"/>
                <w:lang w:val="en-US" w:eastAsia="zh-CN" w:bidi="ar-SA"/>
              </w:rPr>
            </w:pPr>
            <w:r>
              <w:rPr>
                <w:rFonts w:hint="eastAsia" w:ascii="Times New Roman"/>
                <w:color w:val="auto"/>
                <w:sz w:val="21"/>
                <w:szCs w:val="21"/>
                <w:highlight w:val="none"/>
                <w:lang w:val="en-US" w:bidi="ar"/>
              </w:rPr>
              <w:t>合同签订后</w:t>
            </w:r>
            <w:r>
              <w:rPr>
                <w:rFonts w:hint="eastAsia" w:ascii="Times New Roman"/>
                <w:color w:val="auto"/>
                <w:sz w:val="21"/>
                <w:szCs w:val="21"/>
                <w:highlight w:val="none"/>
                <w:lang w:val="en-US" w:eastAsia="zh-CN" w:bidi="ar"/>
              </w:rPr>
              <w:t xml:space="preserve"> 90</w:t>
            </w:r>
            <w:r>
              <w:rPr>
                <w:rFonts w:hint="eastAsia" w:ascii="Times New Roman"/>
                <w:color w:val="auto"/>
                <w:sz w:val="21"/>
                <w:szCs w:val="21"/>
                <w:highlight w:val="none"/>
                <w:lang w:val="en-US" w:bidi="ar"/>
              </w:rPr>
              <w:t>个日历日</w:t>
            </w:r>
          </w:p>
        </w:tc>
        <w:tc>
          <w:tcPr>
            <w:tcW w:w="1499"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color w:val="auto"/>
                <w:sz w:val="21"/>
                <w:szCs w:val="21"/>
                <w:highlight w:val="none"/>
                <w:lang w:val="en-US" w:bidi="ar"/>
              </w:rPr>
            </w:pPr>
            <w:r>
              <w:rPr>
                <w:rFonts w:hint="eastAsia" w:ascii="宋体" w:hAnsi="宋体" w:eastAsia="宋体" w:cs="宋体"/>
                <w:i w:val="0"/>
                <w:iCs w:val="0"/>
                <w:caps w:val="0"/>
                <w:color w:val="auto"/>
                <w:spacing w:val="0"/>
                <w:w w:val="100"/>
                <w:position w:val="0"/>
                <w:sz w:val="21"/>
                <w:szCs w:val="21"/>
                <w:shd w:val="clear" w:fill="FFFFFF"/>
                <w:vertAlign w:val="baseline"/>
                <w:lang w:val="en-US" w:eastAsia="zh-CN" w:bidi="zh-CN"/>
              </w:rPr>
              <w:t>预算价:26万元(不含税)</w:t>
            </w:r>
          </w:p>
        </w:tc>
      </w:tr>
    </w:tbl>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注：1、</w:t>
      </w:r>
      <w:r>
        <w:rPr>
          <w:rFonts w:hint="eastAsia" w:cs="宋体"/>
          <w:color w:val="auto"/>
          <w:spacing w:val="0"/>
          <w:w w:val="100"/>
          <w:kern w:val="2"/>
          <w:position w:val="0"/>
          <w:sz w:val="21"/>
          <w:szCs w:val="21"/>
          <w:lang w:val="en-US" w:eastAsia="zh-CN" w:bidi="ar-SA"/>
        </w:rPr>
        <w:t>投标人</w:t>
      </w:r>
      <w:r>
        <w:rPr>
          <w:rFonts w:hint="eastAsia" w:ascii="宋体" w:hAnsi="宋体" w:eastAsia="宋体" w:cs="宋体"/>
          <w:color w:val="auto"/>
          <w:spacing w:val="0"/>
          <w:w w:val="100"/>
          <w:kern w:val="2"/>
          <w:position w:val="0"/>
          <w:sz w:val="21"/>
          <w:szCs w:val="21"/>
          <w:lang w:val="en-US" w:bidi="ar-SA"/>
        </w:rPr>
        <w:t>必须对本项目的全部内容进行</w:t>
      </w:r>
      <w:r>
        <w:rPr>
          <w:rFonts w:hint="eastAsia" w:cs="宋体"/>
          <w:color w:val="auto"/>
          <w:spacing w:val="0"/>
          <w:w w:val="100"/>
          <w:kern w:val="2"/>
          <w:position w:val="0"/>
          <w:sz w:val="21"/>
          <w:szCs w:val="21"/>
          <w:lang w:val="en-US" w:eastAsia="zh-CN" w:bidi="ar-SA"/>
        </w:rPr>
        <w:t>投标报价</w:t>
      </w:r>
      <w:r>
        <w:rPr>
          <w:rFonts w:hint="eastAsia" w:ascii="宋体" w:hAnsi="宋体" w:eastAsia="宋体" w:cs="宋体"/>
          <w:color w:val="auto"/>
          <w:spacing w:val="0"/>
          <w:w w:val="100"/>
          <w:kern w:val="2"/>
          <w:position w:val="0"/>
          <w:sz w:val="21"/>
          <w:szCs w:val="21"/>
          <w:lang w:val="en-US" w:bidi="ar-SA"/>
        </w:rPr>
        <w:t>，如有缺漏，将导致</w:t>
      </w:r>
      <w:r>
        <w:rPr>
          <w:rFonts w:hint="eastAsia" w:ascii="宋体" w:hAnsi="宋体" w:eastAsia="宋体" w:cs="宋体"/>
          <w:color w:val="auto"/>
          <w:spacing w:val="0"/>
          <w:w w:val="100"/>
          <w:kern w:val="2"/>
          <w:position w:val="0"/>
          <w:sz w:val="21"/>
          <w:szCs w:val="21"/>
          <w:lang w:val="en-US" w:eastAsia="zh-CN" w:bidi="ar-SA"/>
        </w:rPr>
        <w:t>投标</w:t>
      </w:r>
      <w:r>
        <w:rPr>
          <w:rFonts w:hint="eastAsia" w:ascii="宋体" w:hAnsi="宋体" w:eastAsia="宋体" w:cs="宋体"/>
          <w:color w:val="auto"/>
          <w:spacing w:val="0"/>
          <w:w w:val="100"/>
          <w:kern w:val="2"/>
          <w:position w:val="0"/>
          <w:sz w:val="21"/>
          <w:szCs w:val="21"/>
          <w:lang w:val="en-US" w:bidi="ar-SA"/>
        </w:rPr>
        <w:t>无效。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2、开标时</w:t>
      </w:r>
      <w:r>
        <w:rPr>
          <w:rFonts w:hint="eastAsia" w:cs="宋体"/>
          <w:color w:val="auto"/>
          <w:spacing w:val="0"/>
          <w:w w:val="100"/>
          <w:kern w:val="2"/>
          <w:position w:val="0"/>
          <w:sz w:val="21"/>
          <w:szCs w:val="21"/>
          <w:lang w:val="en-US" w:eastAsia="zh-CN" w:bidi="ar-SA"/>
        </w:rPr>
        <w:t>投标报价</w:t>
      </w:r>
      <w:r>
        <w:rPr>
          <w:rFonts w:hint="eastAsia" w:ascii="宋体" w:hAnsi="宋体" w:eastAsia="宋体" w:cs="宋体"/>
          <w:color w:val="auto"/>
          <w:spacing w:val="0"/>
          <w:w w:val="100"/>
          <w:kern w:val="2"/>
          <w:position w:val="0"/>
          <w:sz w:val="21"/>
          <w:szCs w:val="21"/>
          <w:lang w:val="en-US" w:bidi="ar-SA"/>
        </w:rPr>
        <w:t>超过预算金额为</w:t>
      </w:r>
      <w:r>
        <w:rPr>
          <w:rFonts w:hint="eastAsia" w:ascii="宋体" w:hAnsi="宋体" w:eastAsia="宋体" w:cs="宋体"/>
          <w:color w:val="auto"/>
          <w:spacing w:val="0"/>
          <w:w w:val="100"/>
          <w:kern w:val="2"/>
          <w:position w:val="0"/>
          <w:sz w:val="21"/>
          <w:szCs w:val="21"/>
          <w:lang w:val="en-US" w:eastAsia="zh-CN" w:bidi="ar-SA"/>
        </w:rPr>
        <w:t>投标</w:t>
      </w:r>
      <w:r>
        <w:rPr>
          <w:rFonts w:hint="eastAsia" w:ascii="宋体" w:hAnsi="宋体" w:eastAsia="宋体" w:cs="宋体"/>
          <w:color w:val="auto"/>
          <w:spacing w:val="0"/>
          <w:w w:val="100"/>
          <w:kern w:val="2"/>
          <w:position w:val="0"/>
          <w:sz w:val="21"/>
          <w:szCs w:val="21"/>
          <w:lang w:val="en-US" w:bidi="ar-SA"/>
        </w:rPr>
        <w:t>无效。</w:t>
      </w:r>
    </w:p>
    <w:p>
      <w:pPr>
        <w:keepNext w:val="0"/>
        <w:keepLines w:val="0"/>
        <w:pageBreakBefore w:val="0"/>
        <w:widowControl w:val="0"/>
        <w:kinsoku/>
        <w:wordWrap w:val="0"/>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宋体"/>
          <w:color w:val="auto"/>
          <w:spacing w:val="0"/>
          <w:w w:val="100"/>
          <w:kern w:val="2"/>
          <w:position w:val="0"/>
          <w:sz w:val="21"/>
          <w:szCs w:val="21"/>
          <w:lang w:val="en-US" w:bidi="ar-SA"/>
        </w:rPr>
      </w:pPr>
      <w:r>
        <w:rPr>
          <w:rFonts w:hint="eastAsia" w:ascii="宋体" w:hAnsi="宋体" w:eastAsia="宋体" w:cs="宋体"/>
          <w:color w:val="auto"/>
          <w:spacing w:val="0"/>
          <w:w w:val="100"/>
          <w:kern w:val="2"/>
          <w:position w:val="0"/>
          <w:sz w:val="21"/>
          <w:szCs w:val="21"/>
          <w:lang w:val="en-US" w:bidi="ar-SA"/>
        </w:rPr>
        <w:t>3、本项目为政府采购项目。</w:t>
      </w:r>
    </w:p>
    <w:p>
      <w:pPr>
        <w:wordWrap w:val="0"/>
        <w:autoSpaceDE/>
        <w:autoSpaceDN/>
        <w:spacing w:line="360" w:lineRule="auto"/>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一、采购标的需实现的功能或者目标，以及为落实政府采购政策需满足的要求：</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（一）采购标的需实现的功能或者目标</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本次招标采购是为</w:t>
      </w:r>
      <w:r>
        <w:rPr>
          <w:rFonts w:hint="eastAsia" w:ascii="宋体"/>
          <w:color w:val="auto"/>
          <w:sz w:val="21"/>
          <w:szCs w:val="21"/>
          <w:highlight w:val="none"/>
          <w:lang w:val="en-US"/>
        </w:rPr>
        <w:t>自治区质检院第三批检测设备能力提升采购项目（</w:t>
      </w:r>
      <w:r>
        <w:rPr>
          <w:rFonts w:hint="eastAsia" w:ascii="宋体" w:eastAsia="宋体"/>
          <w:color w:val="auto"/>
          <w:sz w:val="21"/>
          <w:szCs w:val="21"/>
          <w:highlight w:val="none"/>
          <w:lang w:val="en-US" w:eastAsia="zh-CN"/>
        </w:rPr>
        <w:t>进口</w:t>
      </w:r>
      <w:r>
        <w:rPr>
          <w:rFonts w:hint="eastAsia" w:ascii="宋体"/>
          <w:color w:val="auto"/>
          <w:sz w:val="21"/>
          <w:szCs w:val="21"/>
          <w:highlight w:val="none"/>
          <w:lang w:val="en-US"/>
        </w:rPr>
        <w:t>部分）</w:t>
      </w:r>
      <w:r>
        <w:rPr>
          <w:rFonts w:hint="eastAsia" w:ascii="宋体"/>
          <w:color w:val="auto"/>
          <w:kern w:val="2"/>
          <w:sz w:val="21"/>
          <w:szCs w:val="21"/>
          <w:highlight w:val="none"/>
          <w:lang w:val="en-US" w:bidi="ar-SA"/>
        </w:rPr>
        <w:t>，</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应根据</w:t>
      </w:r>
      <w:r>
        <w:rPr>
          <w:rFonts w:hint="eastAsia"/>
          <w:color w:val="auto"/>
          <w:kern w:val="2"/>
          <w:sz w:val="21"/>
          <w:szCs w:val="21"/>
          <w:highlight w:val="none"/>
          <w:lang w:val="en-US" w:eastAsia="zh-CN" w:bidi="ar-SA"/>
        </w:rPr>
        <w:t>招标文件</w:t>
      </w:r>
      <w:r>
        <w:rPr>
          <w:rFonts w:hint="eastAsia" w:ascii="宋体"/>
          <w:color w:val="auto"/>
          <w:kern w:val="2"/>
          <w:sz w:val="21"/>
          <w:szCs w:val="21"/>
          <w:highlight w:val="none"/>
          <w:lang w:val="en-US" w:bidi="ar-SA"/>
        </w:rPr>
        <w:t>所提出的产品规格和服务要求，综合考虑商品的适用性，及性能价格比前来投标。</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应以优良的商品、优良的服务和优惠的价格，充分显示自己的竞争实力。</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（二）为落实政府采购政策需满足的要求（专门面向中小企业采购或预留份额的情况不享受政策优惠扣除）</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1.促进中小企业发展政策：根据《政府采购促进中小企业发展管理办法》的通知（财库〔2020〕46号）规定，</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应出具《中小企业声明函》，否则评标时不予认可。</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应对提交的中小企业声明函的真实性负责，提交的中小企业声明函不真实的，应承担相应的法律责任。</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2.监狱企业扶持政策：</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如为监狱企业将视同为小型或微型企业，享受预留份额、评审中价格扣除等政府采购促进中小企业发展的政府采购政策。应提供由省级以上监狱管理局、戒毒管理局（含新疆生产建设兵团）出具的属于监狱企业的证明文件。</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应对提交的属于监狱企业的证明文件的真实性负责，提交的监狱企业的证明文件不真实的，应承担相应的法律责任。</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3.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4.鼓励节能政策：</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所投产品如属于财政部、国家发展改革委发布的最新一期的《节能产品政府采购清单》中的产品，</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需提供证明材料。《节能产品政府采购清单》可以在中国政府采购网（http：//www.ccgp.gov.cn/）上查阅下载。</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5.鼓励环保政策：</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所投产品如属于财政部、环境保护部发布的最新一期的《环境标志产品政府采购清单》中的产品，</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需提供证明材料。《环境标志产品政府采购清单》可以在中国政府采购网（http：//www.ccgp.gov.cn/）上查阅下载。</w:t>
      </w:r>
    </w:p>
    <w:p>
      <w:pPr>
        <w:wordWrap w:val="0"/>
        <w:autoSpaceDE/>
        <w:autoSpaceDN/>
        <w:spacing w:line="360" w:lineRule="auto"/>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二、采购标的需执行的国家相关标准、行业标准、地方标准或者其他标准、规范：</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投标产品及制造商应符合国家有关部门规定的相应技术法规及标准，如国家有关部门对投标产品或其制造商有强制性规定或要求的，投标产品或其制造商必须符合相应规定或要求，</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须提供相关证明文件的复印件并加盖单位公章。</w:t>
      </w:r>
    </w:p>
    <w:p>
      <w:pPr>
        <w:wordWrap w:val="0"/>
        <w:autoSpaceDE/>
        <w:autoSpaceDN/>
        <w:spacing w:line="360" w:lineRule="auto"/>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三、采购标的的数量、采购项目交付或者实施的时间和地点：</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（一）采购标的内容（标注★品目为</w:t>
      </w:r>
      <w:r>
        <w:rPr>
          <w:rFonts w:hint="eastAsia" w:ascii="宋体"/>
          <w:b/>
          <w:bCs/>
          <w:color w:val="auto"/>
          <w:sz w:val="21"/>
          <w:szCs w:val="21"/>
          <w:highlight w:val="none"/>
          <w:lang w:val="en-US" w:bidi="ar"/>
        </w:rPr>
        <w:t>核心产品</w:t>
      </w:r>
      <w:r>
        <w:rPr>
          <w:rFonts w:hint="eastAsia" w:ascii="宋体"/>
          <w:b/>
          <w:bCs/>
          <w:color w:val="auto"/>
          <w:kern w:val="2"/>
          <w:sz w:val="21"/>
          <w:szCs w:val="21"/>
          <w:highlight w:val="none"/>
          <w:lang w:val="en-US" w:bidi="ar-SA"/>
        </w:rPr>
        <w:t>）</w:t>
      </w:r>
    </w:p>
    <w:tbl>
      <w:tblPr>
        <w:tblStyle w:val="29"/>
        <w:tblW w:w="97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25"/>
        <w:gridCol w:w="1935"/>
        <w:gridCol w:w="1117"/>
        <w:gridCol w:w="1020"/>
        <w:gridCol w:w="1005"/>
        <w:gridCol w:w="1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900" w:type="dxa"/>
            <w:vAlign w:val="center"/>
          </w:tcPr>
          <w:p>
            <w:pPr>
              <w:widowControl/>
              <w:jc w:val="center"/>
              <w:textAlignment w:val="baseline"/>
              <w:rPr>
                <w:color w:val="auto"/>
                <w:kern w:val="2"/>
                <w:sz w:val="21"/>
                <w:szCs w:val="21"/>
                <w:highlight w:val="none"/>
                <w:lang w:val="en-US" w:bidi="ar-SA"/>
              </w:rPr>
            </w:pPr>
            <w:r>
              <w:rPr>
                <w:rFonts w:hint="eastAsia" w:ascii="宋体"/>
                <w:color w:val="auto"/>
                <w:sz w:val="21"/>
                <w:szCs w:val="21"/>
                <w:highlight w:val="none"/>
                <w:lang w:val="en-US"/>
              </w:rPr>
              <w:t>标项号</w:t>
            </w:r>
          </w:p>
        </w:tc>
        <w:tc>
          <w:tcPr>
            <w:tcW w:w="2325" w:type="dxa"/>
            <w:vAlign w:val="center"/>
          </w:tcPr>
          <w:p>
            <w:pPr>
              <w:widowControl/>
              <w:jc w:val="center"/>
              <w:textAlignment w:val="baseline"/>
              <w:rPr>
                <w:color w:val="auto"/>
                <w:kern w:val="2"/>
                <w:sz w:val="21"/>
                <w:szCs w:val="21"/>
                <w:highlight w:val="none"/>
                <w:lang w:val="en-US" w:bidi="ar-SA"/>
              </w:rPr>
            </w:pPr>
            <w:r>
              <w:rPr>
                <w:rFonts w:hint="eastAsia" w:ascii="宋体"/>
                <w:color w:val="auto"/>
                <w:sz w:val="21"/>
                <w:szCs w:val="21"/>
                <w:highlight w:val="none"/>
                <w:lang w:val="en-US"/>
              </w:rPr>
              <w:t>标项</w:t>
            </w:r>
            <w:r>
              <w:rPr>
                <w:rFonts w:hint="eastAsia"/>
                <w:color w:val="auto"/>
                <w:sz w:val="21"/>
                <w:szCs w:val="21"/>
                <w:highlight w:val="none"/>
              </w:rPr>
              <w:t>名称</w:t>
            </w:r>
          </w:p>
        </w:tc>
        <w:tc>
          <w:tcPr>
            <w:tcW w:w="1935" w:type="dxa"/>
            <w:vAlign w:val="center"/>
          </w:tcPr>
          <w:p>
            <w:pPr>
              <w:wordWrap w:val="0"/>
              <w:autoSpaceDE/>
              <w:autoSpaceDN/>
              <w:jc w:val="center"/>
              <w:rPr>
                <w:color w:val="auto"/>
                <w:kern w:val="2"/>
                <w:sz w:val="21"/>
                <w:szCs w:val="21"/>
                <w:highlight w:val="none"/>
                <w:lang w:val="en-US" w:bidi="ar-SA"/>
              </w:rPr>
            </w:pPr>
            <w:r>
              <w:rPr>
                <w:rFonts w:hint="eastAsia" w:ascii="宋体"/>
                <w:color w:val="auto"/>
                <w:kern w:val="2"/>
                <w:sz w:val="21"/>
                <w:szCs w:val="21"/>
                <w:highlight w:val="none"/>
                <w:lang w:val="en-US" w:bidi="ar-SA"/>
              </w:rPr>
              <w:t>品目名称</w:t>
            </w:r>
          </w:p>
        </w:tc>
        <w:tc>
          <w:tcPr>
            <w:tcW w:w="1117" w:type="dxa"/>
            <w:vAlign w:val="center"/>
          </w:tcPr>
          <w:p>
            <w:pPr>
              <w:wordWrap w:val="0"/>
              <w:autoSpaceDE/>
              <w:autoSpaceDN/>
              <w:jc w:val="center"/>
              <w:rPr>
                <w:rFonts w:hint="default" w:ascii="宋体" w:eastAsia="宋体"/>
                <w:color w:val="auto"/>
                <w:kern w:val="2"/>
                <w:sz w:val="21"/>
                <w:szCs w:val="21"/>
                <w:highlight w:val="none"/>
                <w:lang w:val="en-US" w:eastAsia="zh-CN" w:bidi="ar-SA"/>
              </w:rPr>
            </w:pPr>
            <w:r>
              <w:rPr>
                <w:rFonts w:hint="eastAsia" w:ascii="宋体" w:eastAsia="宋体"/>
                <w:color w:val="auto"/>
                <w:kern w:val="2"/>
                <w:sz w:val="21"/>
                <w:szCs w:val="21"/>
                <w:highlight w:val="none"/>
                <w:lang w:val="en-US" w:eastAsia="zh-CN" w:bidi="ar-SA"/>
              </w:rPr>
              <w:t>国产/进口</w:t>
            </w:r>
          </w:p>
        </w:tc>
        <w:tc>
          <w:tcPr>
            <w:tcW w:w="1020" w:type="dxa"/>
            <w:vAlign w:val="center"/>
          </w:tcPr>
          <w:p>
            <w:pPr>
              <w:wordWrap w:val="0"/>
              <w:autoSpaceDE/>
              <w:autoSpaceDN/>
              <w:jc w:val="center"/>
              <w:rPr>
                <w:color w:val="auto"/>
                <w:kern w:val="2"/>
                <w:sz w:val="21"/>
                <w:szCs w:val="21"/>
                <w:highlight w:val="none"/>
                <w:lang w:val="en-US" w:bidi="ar-SA"/>
              </w:rPr>
            </w:pPr>
            <w:r>
              <w:rPr>
                <w:rFonts w:hint="eastAsia" w:ascii="宋体"/>
                <w:color w:val="auto"/>
                <w:kern w:val="2"/>
                <w:sz w:val="21"/>
                <w:szCs w:val="21"/>
                <w:highlight w:val="none"/>
                <w:lang w:val="en-US" w:bidi="ar-SA"/>
              </w:rPr>
              <w:t>数量</w:t>
            </w:r>
          </w:p>
        </w:tc>
        <w:tc>
          <w:tcPr>
            <w:tcW w:w="1005" w:type="dxa"/>
            <w:vAlign w:val="center"/>
          </w:tcPr>
          <w:p>
            <w:pPr>
              <w:wordWrap w:val="0"/>
              <w:autoSpaceDE/>
              <w:autoSpaceDN/>
              <w:jc w:val="center"/>
              <w:rPr>
                <w:color w:val="auto"/>
                <w:kern w:val="2"/>
                <w:sz w:val="21"/>
                <w:szCs w:val="21"/>
                <w:highlight w:val="none"/>
                <w:lang w:val="en-US" w:bidi="ar-SA"/>
              </w:rPr>
            </w:pPr>
            <w:r>
              <w:rPr>
                <w:rFonts w:hint="eastAsia" w:ascii="宋体"/>
                <w:color w:val="auto"/>
                <w:kern w:val="2"/>
                <w:sz w:val="21"/>
                <w:szCs w:val="21"/>
                <w:highlight w:val="none"/>
                <w:lang w:val="en-US" w:bidi="ar-SA"/>
              </w:rPr>
              <w:t>*质保期</w:t>
            </w:r>
          </w:p>
        </w:tc>
        <w:tc>
          <w:tcPr>
            <w:tcW w:w="1485" w:type="dxa"/>
            <w:vAlign w:val="center"/>
          </w:tcPr>
          <w:p>
            <w:pPr>
              <w:wordWrap w:val="0"/>
              <w:autoSpaceDE/>
              <w:autoSpaceDN/>
              <w:jc w:val="center"/>
              <w:rPr>
                <w:color w:val="auto"/>
                <w:kern w:val="2"/>
                <w:sz w:val="21"/>
                <w:szCs w:val="21"/>
                <w:highlight w:val="none"/>
                <w:lang w:val="en-US" w:bidi="ar-SA"/>
              </w:rPr>
            </w:pPr>
            <w:r>
              <w:rPr>
                <w:rFonts w:hint="eastAsia" w:ascii="宋体"/>
                <w:color w:val="auto"/>
                <w:kern w:val="2"/>
                <w:sz w:val="21"/>
                <w:szCs w:val="21"/>
                <w:highlight w:val="none"/>
                <w:lang w:val="en-US" w:bidi="ar-SA"/>
              </w:rPr>
              <w:t>*供货期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0"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color w:val="auto"/>
                <w:kern w:val="2"/>
                <w:sz w:val="21"/>
                <w:szCs w:val="21"/>
                <w:highlight w:val="none"/>
                <w:lang w:val="en-US" w:bidi="ar-SA"/>
              </w:rPr>
            </w:pPr>
            <w:r>
              <w:rPr>
                <w:rFonts w:hint="eastAsia" w:ascii="宋体" w:hAnsi="宋体" w:eastAsia="宋体" w:cs="宋体"/>
                <w:color w:val="auto"/>
                <w:spacing w:val="0"/>
                <w:w w:val="100"/>
                <w:kern w:val="2"/>
                <w:position w:val="0"/>
                <w:sz w:val="21"/>
                <w:szCs w:val="21"/>
                <w:lang w:val="en-US" w:eastAsia="zh-CN" w:bidi="ar-SA"/>
              </w:rPr>
              <w:t>1</w:t>
            </w:r>
          </w:p>
        </w:tc>
        <w:tc>
          <w:tcPr>
            <w:tcW w:w="2325" w:type="dxa"/>
            <w:vAlign w:val="center"/>
          </w:tcPr>
          <w:p>
            <w:pPr>
              <w:keepNext w:val="0"/>
              <w:keepLines w:val="0"/>
              <w:pageBreakBefore w:val="0"/>
              <w:widowControl w:val="0"/>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rPr>
                <w:color w:val="auto"/>
                <w:kern w:val="2"/>
                <w:sz w:val="21"/>
                <w:szCs w:val="21"/>
                <w:highlight w:val="none"/>
                <w:lang w:val="en-US" w:bidi="ar-SA"/>
              </w:rPr>
            </w:pPr>
            <w:r>
              <w:rPr>
                <w:rFonts w:hint="eastAsia" w:cs="宋体"/>
                <w:color w:val="auto"/>
                <w:spacing w:val="0"/>
                <w:w w:val="100"/>
                <w:kern w:val="2"/>
                <w:position w:val="0"/>
                <w:sz w:val="21"/>
                <w:szCs w:val="21"/>
                <w:lang w:val="en-US" w:eastAsia="zh-CN" w:bidi="ar-SA"/>
              </w:rPr>
              <w:t>自治区质检院第三批检测设备能力提升采购项目（进口部分）</w:t>
            </w:r>
          </w:p>
        </w:tc>
        <w:tc>
          <w:tcPr>
            <w:tcW w:w="1935" w:type="dxa"/>
            <w:vAlign w:val="center"/>
          </w:tcPr>
          <w:p>
            <w:pPr>
              <w:wordWrap w:val="0"/>
              <w:autoSpaceDE/>
              <w:autoSpaceDN/>
              <w:jc w:val="center"/>
              <w:rPr>
                <w:color w:val="auto"/>
                <w:kern w:val="2"/>
                <w:sz w:val="21"/>
                <w:szCs w:val="21"/>
                <w:highlight w:val="none"/>
                <w:lang w:val="en-US" w:bidi="ar-SA"/>
              </w:rPr>
            </w:pPr>
            <w:r>
              <w:rPr>
                <w:rFonts w:hint="eastAsia" w:ascii="宋体"/>
                <w:b/>
                <w:bCs/>
                <w:color w:val="auto"/>
                <w:kern w:val="2"/>
                <w:sz w:val="21"/>
                <w:szCs w:val="21"/>
                <w:highlight w:val="none"/>
                <w:lang w:val="en-US" w:bidi="ar-SA"/>
              </w:rPr>
              <w:t>★</w:t>
            </w:r>
            <w:r>
              <w:rPr>
                <w:rFonts w:hint="eastAsia" w:ascii="宋体"/>
                <w:color w:val="auto"/>
                <w:kern w:val="2"/>
                <w:sz w:val="21"/>
                <w:szCs w:val="21"/>
                <w:highlight w:val="none"/>
                <w:lang w:val="en-US" w:bidi="ar-SA"/>
              </w:rPr>
              <w:t>绝缘油耐压测试仪</w:t>
            </w:r>
          </w:p>
        </w:tc>
        <w:tc>
          <w:tcPr>
            <w:tcW w:w="1117" w:type="dxa"/>
            <w:vAlign w:val="center"/>
          </w:tcPr>
          <w:p>
            <w:pPr>
              <w:wordWrap w:val="0"/>
              <w:autoSpaceDE/>
              <w:autoSpaceDN/>
              <w:jc w:val="center"/>
              <w:rPr>
                <w:color w:val="auto"/>
                <w:kern w:val="2"/>
                <w:sz w:val="21"/>
                <w:szCs w:val="21"/>
                <w:highlight w:val="none"/>
                <w:lang w:val="en-US" w:bidi="ar-SA"/>
              </w:rPr>
            </w:pPr>
            <w:r>
              <w:rPr>
                <w:rFonts w:hint="eastAsia" w:ascii="Times New Roman"/>
                <w:color w:val="auto"/>
                <w:sz w:val="21"/>
                <w:szCs w:val="21"/>
                <w:highlight w:val="none"/>
                <w:lang w:val="en-US" w:bidi="ar"/>
              </w:rPr>
              <w:t>进口</w:t>
            </w:r>
          </w:p>
        </w:tc>
        <w:tc>
          <w:tcPr>
            <w:tcW w:w="1020" w:type="dxa"/>
            <w:vAlign w:val="center"/>
          </w:tcPr>
          <w:p>
            <w:pPr>
              <w:wordWrap w:val="0"/>
              <w:autoSpaceDE/>
              <w:autoSpaceDN/>
              <w:jc w:val="center"/>
              <w:rPr>
                <w:rFonts w:hint="eastAsia" w:eastAsia="宋体"/>
                <w:color w:val="auto"/>
                <w:kern w:val="2"/>
                <w:sz w:val="21"/>
                <w:szCs w:val="21"/>
                <w:highlight w:val="none"/>
                <w:lang w:val="en-US" w:eastAsia="zh-CN" w:bidi="ar-SA"/>
              </w:rPr>
            </w:pPr>
            <w:r>
              <w:rPr>
                <w:color w:val="auto"/>
                <w:kern w:val="2"/>
                <w:sz w:val="21"/>
                <w:szCs w:val="21"/>
                <w:highlight w:val="none"/>
                <w:lang w:val="en-US" w:bidi="ar-SA"/>
              </w:rPr>
              <w:t>1</w:t>
            </w:r>
            <w:r>
              <w:rPr>
                <w:rFonts w:hint="eastAsia" w:ascii="宋体" w:eastAsia="宋体"/>
                <w:color w:val="auto"/>
                <w:kern w:val="2"/>
                <w:sz w:val="21"/>
                <w:szCs w:val="21"/>
                <w:highlight w:val="none"/>
                <w:lang w:val="en-US" w:eastAsia="zh-CN" w:bidi="ar-SA"/>
              </w:rPr>
              <w:t>套</w:t>
            </w:r>
          </w:p>
        </w:tc>
        <w:tc>
          <w:tcPr>
            <w:tcW w:w="1005" w:type="dxa"/>
            <w:vAlign w:val="center"/>
          </w:tcPr>
          <w:p>
            <w:pPr>
              <w:wordWrap w:val="0"/>
              <w:autoSpaceDE/>
              <w:autoSpaceDN/>
              <w:jc w:val="center"/>
              <w:rPr>
                <w:rFonts w:hint="default" w:eastAsia="宋体"/>
                <w:color w:val="auto"/>
                <w:kern w:val="2"/>
                <w:sz w:val="21"/>
                <w:szCs w:val="21"/>
                <w:highlight w:val="none"/>
                <w:lang w:val="en-US" w:eastAsia="zh-CN" w:bidi="ar-SA"/>
              </w:rPr>
            </w:pPr>
            <w:r>
              <w:rPr>
                <w:rFonts w:hint="eastAsia" w:ascii="宋体" w:eastAsia="宋体"/>
                <w:color w:val="auto"/>
                <w:kern w:val="2"/>
                <w:sz w:val="21"/>
                <w:szCs w:val="21"/>
                <w:highlight w:val="none"/>
                <w:lang w:val="en-US" w:eastAsia="zh-CN" w:bidi="ar-SA"/>
              </w:rPr>
              <w:t>1年</w:t>
            </w:r>
          </w:p>
        </w:tc>
        <w:tc>
          <w:tcPr>
            <w:tcW w:w="1485" w:type="dxa"/>
            <w:vAlign w:val="center"/>
          </w:tcPr>
          <w:p>
            <w:pPr>
              <w:wordWrap w:val="0"/>
              <w:autoSpaceDE/>
              <w:autoSpaceDN/>
              <w:jc w:val="center"/>
              <w:rPr>
                <w:color w:val="auto"/>
                <w:kern w:val="2"/>
                <w:sz w:val="21"/>
                <w:szCs w:val="21"/>
                <w:highlight w:val="none"/>
                <w:lang w:val="en-US" w:bidi="ar-SA"/>
              </w:rPr>
            </w:pPr>
            <w:r>
              <w:rPr>
                <w:rFonts w:hint="eastAsia" w:ascii="宋体" w:eastAsia="宋体"/>
                <w:color w:val="auto"/>
                <w:sz w:val="21"/>
                <w:szCs w:val="21"/>
                <w:highlight w:val="none"/>
                <w:lang w:val="en-US" w:eastAsia="zh-CN" w:bidi="ar"/>
              </w:rPr>
              <w:t>90</w:t>
            </w:r>
            <w:r>
              <w:rPr>
                <w:rFonts w:hint="eastAsia" w:ascii="宋体"/>
                <w:color w:val="auto"/>
                <w:sz w:val="21"/>
                <w:szCs w:val="21"/>
                <w:highlight w:val="none"/>
                <w:lang w:val="en-US" w:bidi="ar"/>
              </w:rPr>
              <w:t>个日历日</w:t>
            </w:r>
          </w:p>
        </w:tc>
      </w:tr>
    </w:tbl>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（二）采购项目交付或者实施的时间、地点和付款方式</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1.采购项目（标的）交货期：</w:t>
      </w:r>
      <w:r>
        <w:rPr>
          <w:rFonts w:hint="eastAsia" w:ascii="宋体"/>
          <w:color w:val="auto"/>
          <w:sz w:val="21"/>
          <w:szCs w:val="21"/>
          <w:highlight w:val="none"/>
          <w:lang w:val="en-US" w:bidi="ar"/>
        </w:rPr>
        <w:t>合同签订后</w:t>
      </w:r>
      <w:r>
        <w:rPr>
          <w:rFonts w:hint="eastAsia" w:ascii="宋体" w:eastAsia="宋体"/>
          <w:color w:val="auto"/>
          <w:sz w:val="21"/>
          <w:szCs w:val="21"/>
          <w:highlight w:val="none"/>
          <w:lang w:val="en-US" w:eastAsia="zh-CN" w:bidi="ar"/>
        </w:rPr>
        <w:t>90</w:t>
      </w:r>
      <w:r>
        <w:rPr>
          <w:rFonts w:hint="eastAsia" w:ascii="宋体"/>
          <w:color w:val="auto"/>
          <w:sz w:val="21"/>
          <w:szCs w:val="21"/>
          <w:highlight w:val="none"/>
          <w:lang w:val="en-US" w:bidi="ar"/>
        </w:rPr>
        <w:t>个日历日。</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2.采购项目（标的）交货地点：采购人指定地点</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3.★付款方式：合同签订后七日内支付给中标人合同总价30%的预付款。全部设备交货，且安装调试完毕后，由采购人和中标人双方共同组织验收且经采购人验收合格后一个月内，先由中标人提供向采购人出具合同总金额100%的正式发票，随后采购人出具付款手续，支付给中标人合同总金额65%的货款，按合同总金额的5%预留质量保证金。从全部设备验收合格之日起，1年后经再次复核并且产品均无质量问题，由采购人将质量保证金一次性支付给中标人。</w:t>
      </w:r>
    </w:p>
    <w:p>
      <w:pPr>
        <w:wordWrap w:val="0"/>
        <w:autoSpaceDE/>
        <w:autoSpaceDN/>
        <w:spacing w:line="360" w:lineRule="auto"/>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四、采购标的需满足的服务标准、期限、效率等要求：</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（一）采购招标的需满足的供货标准、效率要求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应有能力做好售后服务工作和提供技术保障。</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保修电话、固定电话）、零备件的储备等，说明</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与该售后服务（维修站）的关系并附上相关的证明文件，如合作协议等。质量保证期内的免费售后维修及服务包括所有投标产品及配件，并含第三方产品，同时</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应定期对所有投标产品提供维护保养服务。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发运货物时，每台设备要提供一整套中文的技术资料，包括安装、操作手册、使用说明、维修保养手册、电路图、零配件清单等，这些资料费应包括在投标报价内。如果采购人确认</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提供的技术资料不完整或在运输过程中丢失，</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需保证在收到采购人通知后 3 天内将这些资料免费寄给采购人。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3.</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应在保证在接到采购人通知的一周内，自付费用在采购人指定所在地对设备进行安装、调试和试运行，直到该产品的技术指标完全符合合同要求为止。</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技术人员的费用，如：差旅费、住宿费等应计入投标报价。</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安装人员应自备必要的专用工具、量具及调试用的材料等。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4.</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应负责投标货物质量保证期内的免费维修和配件供应，</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售后服务维修机构应备有所购货物及时维修所需的关键零部件。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5.</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应保证在质量保证期内提供投标货物专用的软件和相应数据库资料的免费升级服务。（如果有）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6.在合同执行期和质量保证期内，</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应保证在收到要求提供维修服务的通知后 2 小时内给予反馈，24 小时内派合格的技术人员赴现场提供免费服务，解决问题。如不能按采购人要求的时间予以修复，</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应保证免费提供同类备用设备，供采购人使用。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7.</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需提供设备易损件及消耗品清单。</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（二）采购招标的需满足的供货期限要求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★1、质量保证期：以详细参数为准，保修范围应包括提供的所有设备（含第三方设备或配件）和安装调试服务。</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要对所投产品的质量负有全部责任，需提供具体的质量保证措施方案。在保修期内应提供维修和技术咨询服务，矫正和免费更换有缺陷的设备或部件、排除系统出现的故障。质量保证期内，</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应对由于设计、工艺或材料的缺陷而发生的任何不足或故障负责，费用由</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负担。</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2、提供质量保证期（保修期）结束后的年度维保费用承诺，保修费用应含维保工时费、零配件费用和软件维护、升级费用，服务内容和细则与免费维保期相同。提供所有软件终身免费升级服务。</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3、</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和制造商需要同时提供包含上述质量保证期（保修期）、年度维保费用及其他服务要求的承诺函并加盖单位公章。</w:t>
      </w:r>
    </w:p>
    <w:p>
      <w:pPr>
        <w:wordWrap w:val="0"/>
        <w:autoSpaceDE/>
        <w:autoSpaceDN/>
        <w:spacing w:line="360" w:lineRule="auto"/>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五、采购标的的验收标准：</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检验的结果和详细要求应在质量证书中加以说明。</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2.包装和运输</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（1）所有设备应包装后运输。其包装应适于运输并保证设备在运输过程中不得受任何形式的损坏。</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（2）每一个包装箱都应正确地贴上说明标签。</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 xml:space="preserve">（3）备件应当单独包装运输，包装应保证备件在 3 年内不受损坏。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（4）包装箱内应保证清洁，在包装内不应有制造过程的废物和其他杂物。</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３.验收方式、标准：</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（1）货物接收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设备运到采购人指定地点当日，由采购人和中标人双方按本合同要求共同验货。验货按中标人提供的《货物签收单》要求进行。验货合格后，双方共同签署《货物签收单》。</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（2）货物验收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1）开箱检验：</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采购人和中标人双方根据装箱单和产品的技术指标及性能共同验收，如发现有不合格产品、错漏、损坏部件或与本合同约定的技术要求和规格不符时，双方应在现场联合作记录，签署备忘录。中标人负责在10天内按本合同要求标准予以更换，确保不影响工作进展，并承担一切费用。</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2）安装验收：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工作须在签署《货物签收单》之日后30个自然日内完成，安装测试结果如不符或测试结果不能确认，中标人应在10个自然日内调整配置直至重新测试合格，如果仍然测试不通过，采购人有权停止验收、拒收设备并解除合同，由中标人承担违约责任。如因采购人或不可抗力原因导致未能进行安装验收，采购人须向中标人出具和签署相关证明。</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3）调试验收：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全部产品由中标人安装并调试正常后，中标人负责派出相关技术人员现场指导采购人对设备功能进行测试，由采购人和中标人双方按投标文件规定的型号、技术参数、数量、产地，并根据制造商签发的《产品合格证》、《出厂清单》、中标人向采购人提供包含验收方案、验收内容、验收标准（包括行业通行标准、厂方出厂标准、</w:t>
      </w:r>
      <w:r>
        <w:rPr>
          <w:rFonts w:hint="eastAsia"/>
          <w:color w:val="auto"/>
          <w:kern w:val="2"/>
          <w:sz w:val="21"/>
          <w:szCs w:val="21"/>
          <w:highlight w:val="none"/>
          <w:lang w:val="en-US" w:eastAsia="zh-CN" w:bidi="ar-SA"/>
        </w:rPr>
        <w:t>招标文件</w:t>
      </w:r>
      <w:r>
        <w:rPr>
          <w:rFonts w:hint="eastAsia" w:ascii="宋体"/>
          <w:color w:val="auto"/>
          <w:kern w:val="2"/>
          <w:sz w:val="21"/>
          <w:szCs w:val="21"/>
          <w:highlight w:val="none"/>
          <w:lang w:val="en-US" w:bidi="ar-SA"/>
        </w:rPr>
        <w:t>要求和中标人投标文件的承诺，并不低于国家有关部门最新颁布的标准及规范）、省级以上计量检定部门出具的检定/校准合格证书、验收人员等验收申请，进行现场验收，现场验收包括设备验收和数据验收，设备验收是完成了数据采集工作后，系统功能和性能达到试运行条件时，系统进入试运行阶段，在对试运行期间暴露的所有缺陷、问题和未实现的功能完全解决后，系统达到稳定运行，在稳定运行后对数据进行验收，当设备和数据都满足要求时申请现场验收。现场验收合格后采购人和中标人双方根据测试结果共同签署《产品安装调试报告及验收报告》，现场验收完成后，系统正式投入运行，进入质保期。如对结果有异议，验收十个工作日内以书面形式通知对方。</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4）最终验收：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系统在质保期期间没有出现任何重大缺陷，在质保期满时申请最终验收。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5）综合验收：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如果任何被检验的货物或服务不符合质量要求，采购人均可以拒绝接受，中标人应及时更换被拒绝的货物或重新提供服务，且不得影响采购人正常工作，费用由中标人承担，如因更换或重作导致中标人逾期交付货物的，中标人还应承担逾期交付的违约责任。本规定并不免除中标人在本合同项下的货物质量保证义务或其他义务。</w:t>
      </w:r>
    </w:p>
    <w:p>
      <w:pPr>
        <w:wordWrap w:val="0"/>
        <w:autoSpaceDE/>
        <w:autoSpaceDN/>
        <w:spacing w:line="360" w:lineRule="auto"/>
        <w:jc w:val="both"/>
        <w:rPr>
          <w:b/>
          <w:bCs/>
          <w:color w:val="auto"/>
          <w:kern w:val="2"/>
          <w:sz w:val="21"/>
          <w:szCs w:val="21"/>
          <w:highlight w:val="none"/>
          <w:lang w:val="en-US" w:bidi="ar-SA"/>
        </w:rPr>
      </w:pPr>
      <w:r>
        <w:rPr>
          <w:rFonts w:hint="eastAsia" w:ascii="宋体"/>
          <w:b/>
          <w:bCs/>
          <w:color w:val="auto"/>
          <w:kern w:val="2"/>
          <w:sz w:val="21"/>
          <w:szCs w:val="21"/>
          <w:highlight w:val="none"/>
          <w:lang w:val="en-US" w:bidi="ar-SA"/>
        </w:rPr>
        <w:t>六、采购标的的其他技术、服务等要求：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1.</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须在投标文件中按照</w:t>
      </w:r>
      <w:r>
        <w:rPr>
          <w:rFonts w:hint="eastAsia"/>
          <w:color w:val="auto"/>
          <w:kern w:val="2"/>
          <w:sz w:val="21"/>
          <w:szCs w:val="21"/>
          <w:highlight w:val="none"/>
          <w:lang w:val="en-US" w:eastAsia="zh-CN" w:bidi="ar-SA"/>
        </w:rPr>
        <w:t>招标文件</w:t>
      </w:r>
      <w:r>
        <w:rPr>
          <w:rFonts w:hint="eastAsia" w:ascii="宋体"/>
          <w:color w:val="auto"/>
          <w:kern w:val="2"/>
          <w:sz w:val="21"/>
          <w:szCs w:val="21"/>
          <w:highlight w:val="none"/>
          <w:lang w:val="en-US" w:bidi="ar-SA"/>
        </w:rPr>
        <w:t>技术规格的要求提供技术应答的证明材料，如技术规格中无特殊要求，则应提交本条款规定的技术支持资料。其中 “技术支持资料”指生产厂家公开发布的印刷资料或制造厂家出具证明材料或制造商的官网截图（附截图的网址链接）或检测机构出具的检验报告。若</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技术响应与技术支持资料（或证明材料）不一致，将以技术支持资料（或证明材料）为准；若技术支持资料（或证明材料）之间不一致，评审依据依次为检测报告、官网截图、印刷资料。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2.对于技术规格中标注“</w:t>
      </w:r>
      <w:r>
        <w:rPr>
          <w:rFonts w:hint="eastAsia" w:ascii="宋体"/>
          <w:b/>
          <w:bCs/>
          <w:color w:val="auto"/>
          <w:kern w:val="2"/>
          <w:sz w:val="21"/>
          <w:szCs w:val="21"/>
          <w:highlight w:val="none"/>
          <w:lang w:val="en-US" w:bidi="ar-SA"/>
        </w:rPr>
        <w:t>★</w:t>
      </w:r>
      <w:r>
        <w:rPr>
          <w:rFonts w:hint="eastAsia" w:ascii="宋体"/>
          <w:color w:val="auto"/>
          <w:kern w:val="2"/>
          <w:sz w:val="21"/>
          <w:szCs w:val="21"/>
          <w:highlight w:val="none"/>
          <w:lang w:val="en-US" w:bidi="ar-SA"/>
        </w:rPr>
        <w:t>”号的技术参数，</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未提供投标产品技术支持资料（或证明材料）的，或提供的投标产品技术支持资料（或证明材料）未加盖</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公章的，或提供的技术支持资料（或证明材料）无法证明技术响应满足</w:t>
      </w:r>
      <w:r>
        <w:rPr>
          <w:rFonts w:hint="eastAsia"/>
          <w:color w:val="auto"/>
          <w:kern w:val="2"/>
          <w:sz w:val="21"/>
          <w:szCs w:val="21"/>
          <w:highlight w:val="none"/>
          <w:lang w:val="en-US" w:eastAsia="zh-CN" w:bidi="ar-SA"/>
        </w:rPr>
        <w:t>招标文件</w:t>
      </w:r>
      <w:r>
        <w:rPr>
          <w:rFonts w:hint="eastAsia" w:ascii="宋体"/>
          <w:color w:val="auto"/>
          <w:kern w:val="2"/>
          <w:sz w:val="21"/>
          <w:szCs w:val="21"/>
          <w:highlight w:val="none"/>
          <w:lang w:val="en-US" w:bidi="ar-SA"/>
        </w:rPr>
        <w:t>要求的，或提供的技术支持材料（或证明材料）语言为外文，且未提供中文翻译文本的，或在技术偏离表中未标明/未标清支持材料所在页码及所在具体位置，导致评标委员会无法找到响应依据的，评标委员会可不予承认，并可认为该技术应答不符合</w:t>
      </w:r>
      <w:r>
        <w:rPr>
          <w:rFonts w:hint="eastAsia"/>
          <w:color w:val="auto"/>
          <w:kern w:val="2"/>
          <w:sz w:val="21"/>
          <w:szCs w:val="21"/>
          <w:highlight w:val="none"/>
          <w:lang w:val="en-US" w:eastAsia="zh-CN" w:bidi="ar-SA"/>
        </w:rPr>
        <w:t>招标文件</w:t>
      </w:r>
      <w:r>
        <w:rPr>
          <w:rFonts w:hint="eastAsia" w:ascii="宋体"/>
          <w:color w:val="auto"/>
          <w:kern w:val="2"/>
          <w:sz w:val="21"/>
          <w:szCs w:val="21"/>
          <w:highlight w:val="none"/>
          <w:lang w:val="en-US" w:bidi="ar-SA"/>
        </w:rPr>
        <w:t>要求。由此产生的评标风险，由</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承担。</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3.</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应对</w:t>
      </w:r>
      <w:r>
        <w:rPr>
          <w:rFonts w:hint="eastAsia"/>
          <w:color w:val="auto"/>
          <w:kern w:val="2"/>
          <w:sz w:val="21"/>
          <w:szCs w:val="21"/>
          <w:highlight w:val="none"/>
          <w:lang w:val="en-US" w:eastAsia="zh-CN" w:bidi="ar-SA"/>
        </w:rPr>
        <w:t>招标文件</w:t>
      </w:r>
      <w:r>
        <w:rPr>
          <w:rFonts w:hint="eastAsia" w:ascii="宋体"/>
          <w:color w:val="auto"/>
          <w:kern w:val="2"/>
          <w:sz w:val="21"/>
          <w:szCs w:val="21"/>
          <w:highlight w:val="none"/>
          <w:lang w:val="en-US" w:bidi="ar-SA"/>
        </w:rPr>
        <w:t>采购需求中技术参数的内容给予逐条响应，以投标产品和服务所能达到的内容予以填写，而不应复制招标的技术要求作为响应内容，特别对有具体参数要求的指标，</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必须提供所投产品的具体参数值，否则视为无效投标。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4.</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所提供的部件之间及设备之间的连线或接插件均视为设备内部部件，应包含在相应的配置中。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5.工作条件：除了在技术规格中另有规定外，</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提供的一切仪器、设备和系统，应符合下列条件：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 xml:space="preserve">（1）仪器设备的插头要符合中国电工标准。如不符合，则应提供适合仪器插头的插座，必须要有接地。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（2）如果仪器设备需特殊的工作条件（如：水、电源、磁场强度、特殊温度、湿度、震动强度等），</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 xml:space="preserve">应在有关投标文件中加以说明。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ascii="宋体"/>
          <w:color w:val="auto"/>
          <w:kern w:val="2"/>
          <w:sz w:val="21"/>
          <w:szCs w:val="21"/>
          <w:highlight w:val="none"/>
          <w:lang w:val="en-US" w:bidi="ar-SA"/>
        </w:rPr>
        <w:t>6.培训要求：培训是指涉及产品基本原理、安装、调试、操作使用和保养维修等有关内容的学习。</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应保证在采购人指定交货地点对每包（品目）最终用户设备操作人员提供不少于 1 天的免费培训。</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投标时应提供详细的培训方案。培训教员的差旅费、食宿费、培训教材等费用，应计入投标报价。</w:t>
      </w:r>
    </w:p>
    <w:p>
      <w:pPr>
        <w:keepNext w:val="0"/>
        <w:keepLines w:val="0"/>
        <w:pageBreakBefore w:val="0"/>
        <w:widowControl w:val="0"/>
        <w:kinsoku/>
        <w:wordWrap w:val="0"/>
        <w:overflowPunct/>
        <w:topLinePunct w:val="0"/>
        <w:autoSpaceDE/>
        <w:autoSpaceDN/>
        <w:bidi w:val="0"/>
        <w:adjustRightInd/>
        <w:snapToGrid/>
        <w:spacing w:before="0" w:line="360" w:lineRule="auto"/>
        <w:ind w:left="0" w:right="0" w:firstLine="422" w:firstLineChars="200"/>
        <w:jc w:val="both"/>
        <w:textAlignment w:val="auto"/>
        <w:outlineLvl w:val="9"/>
        <w:rPr>
          <w:rFonts w:hint="eastAsia" w:ascii="宋体"/>
          <w:b/>
          <w:bCs/>
          <w:color w:val="auto"/>
          <w:kern w:val="2"/>
          <w:sz w:val="21"/>
          <w:szCs w:val="21"/>
          <w:highlight w:val="none"/>
          <w:lang w:val="en-US" w:bidi="ar-SA"/>
        </w:rPr>
      </w:pPr>
      <w:r>
        <w:rPr>
          <w:rFonts w:hint="eastAsia" w:ascii="宋体"/>
          <w:b/>
          <w:bCs/>
          <w:color w:val="auto"/>
          <w:kern w:val="2"/>
          <w:sz w:val="21"/>
          <w:szCs w:val="21"/>
          <w:highlight w:val="none"/>
          <w:lang w:val="en-US" w:bidi="ar-SA"/>
        </w:rPr>
        <w:t>七、需要满足的其他技术规格要求：</w:t>
      </w:r>
    </w:p>
    <w:tbl>
      <w:tblPr>
        <w:tblStyle w:val="29"/>
        <w:tblW w:w="9723" w:type="dxa"/>
        <w:jc w:val="center"/>
        <w:tblLayout w:type="fixed"/>
        <w:tblCellMar>
          <w:top w:w="0" w:type="dxa"/>
          <w:left w:w="108" w:type="dxa"/>
          <w:bottom w:w="0" w:type="dxa"/>
          <w:right w:w="108" w:type="dxa"/>
        </w:tblCellMar>
      </w:tblPr>
      <w:tblGrid>
        <w:gridCol w:w="457"/>
        <w:gridCol w:w="1135"/>
        <w:gridCol w:w="6915"/>
        <w:gridCol w:w="777"/>
        <w:gridCol w:w="439"/>
      </w:tblGrid>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ascii="宋体"/>
                <w:b/>
                <w:bCs/>
                <w:color w:val="auto"/>
                <w:sz w:val="21"/>
                <w:szCs w:val="21"/>
                <w:highlight w:val="none"/>
                <w:lang w:val="en-US"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ascii="宋体"/>
                <w:b/>
                <w:bCs/>
                <w:color w:val="auto"/>
                <w:sz w:val="21"/>
                <w:szCs w:val="21"/>
                <w:highlight w:val="none"/>
                <w:lang w:val="en-US" w:bidi="ar"/>
              </w:rPr>
              <w:t>设备名称</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ascii="宋体"/>
                <w:b/>
                <w:bCs/>
                <w:color w:val="auto"/>
                <w:sz w:val="21"/>
                <w:szCs w:val="21"/>
                <w:highlight w:val="none"/>
                <w:lang w:val="en-US" w:bidi="ar"/>
              </w:rPr>
              <w:t>主要技术参数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ascii="宋体"/>
                <w:b/>
                <w:bCs/>
                <w:color w:val="auto"/>
                <w:sz w:val="21"/>
                <w:szCs w:val="21"/>
                <w:highlight w:val="none"/>
                <w:lang w:val="en-US" w:bidi="ar"/>
              </w:rPr>
              <w:t>数量</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ascii="宋体"/>
                <w:b/>
                <w:bCs/>
                <w:color w:val="auto"/>
                <w:sz w:val="21"/>
                <w:szCs w:val="21"/>
                <w:highlight w:val="none"/>
                <w:lang w:val="en-US" w:bidi="ar"/>
              </w:rPr>
              <w:t>备注</w:t>
            </w:r>
          </w:p>
        </w:tc>
      </w:tr>
      <w:tr>
        <w:tblPrEx>
          <w:tblCellMar>
            <w:top w:w="0" w:type="dxa"/>
            <w:left w:w="108" w:type="dxa"/>
            <w:bottom w:w="0" w:type="dxa"/>
            <w:right w:w="108" w:type="dxa"/>
          </w:tblCellMar>
        </w:tblPrEx>
        <w:trPr>
          <w:trHeight w:val="7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kern w:val="2"/>
                <w:sz w:val="21"/>
                <w:szCs w:val="21"/>
                <w:highlight w:val="none"/>
                <w:lang w:val="en-US" w:bidi="ar-SA"/>
              </w:rPr>
            </w:pPr>
            <w:r>
              <w:rPr>
                <w:rFonts w:hint="eastAsia" w:ascii="宋体"/>
                <w:color w:val="auto"/>
                <w:sz w:val="21"/>
                <w:szCs w:val="21"/>
                <w:highlight w:val="none"/>
                <w:lang w:val="en-US"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hint="eastAsia" w:ascii="宋体"/>
                <w:color w:val="auto"/>
                <w:kern w:val="2"/>
                <w:sz w:val="21"/>
                <w:szCs w:val="21"/>
                <w:highlight w:val="none"/>
                <w:lang w:val="en-US" w:bidi="ar-SA"/>
              </w:rPr>
              <w:t>绝缘油耐压测试仪</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一、基本功能</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产品应符合标准：GB/T507标准， 用于对绝缘液体进行全自动的击穿强度检测，应为进口产品，行业内知名品牌。仪器测试速度快、精度高、抗干扰能力强。用于新绝缘油及运行中的绝缘油的检测检验。对绝缘油、矿物油、硅油和植物油可进行重复性击穿测量。</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通过最短的断电时间（&lt;10us）得到可靠的测量结果。测试电压0～100kVrms，对绝缘油、矿物油、硅油和植物油可进行重复性击穿测量，并可在指定电压下进行耐受测试具有RBM保护技术（功能）。电极光洁度高，测量重复性能好。产品使用年限不低于8年。</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二、技术要求</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额定电压：90V～264V（50Hz～60Hz）</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功耗：不大于70VA</w:t>
            </w:r>
          </w:p>
          <w:p>
            <w:pPr>
              <w:widowControl/>
              <w:textAlignment w:val="top"/>
              <w:rPr>
                <w:rFonts w:hint="eastAsia"/>
                <w:color w:val="auto"/>
                <w:kern w:val="2"/>
                <w:sz w:val="21"/>
                <w:szCs w:val="21"/>
                <w:highlight w:val="none"/>
                <w:lang w:val="en-US" w:bidi="ar-SA"/>
              </w:rPr>
            </w:pPr>
            <w:r>
              <w:rPr>
                <w:rFonts w:hint="eastAsia" w:ascii="宋体"/>
                <w:b/>
                <w:bCs/>
                <w:color w:val="auto"/>
                <w:kern w:val="2"/>
                <w:sz w:val="21"/>
                <w:szCs w:val="21"/>
                <w:highlight w:val="none"/>
                <w:lang w:val="en-US" w:bidi="ar-SA"/>
              </w:rPr>
              <w:t>★</w:t>
            </w:r>
            <w:r>
              <w:rPr>
                <w:rFonts w:hint="eastAsia" w:ascii="宋体"/>
                <w:color w:val="auto"/>
                <w:kern w:val="2"/>
                <w:sz w:val="21"/>
                <w:szCs w:val="21"/>
                <w:highlight w:val="none"/>
                <w:lang w:val="en-US" w:bidi="ar-SA"/>
              </w:rPr>
              <w:t>试验电压（绝缘液体）: 0～100 kVrms对称</w:t>
            </w:r>
          </w:p>
          <w:p>
            <w:pPr>
              <w:widowControl/>
              <w:textAlignment w:val="top"/>
              <w:rPr>
                <w:rFonts w:hint="eastAsia"/>
                <w:color w:val="auto"/>
                <w:kern w:val="2"/>
                <w:sz w:val="21"/>
                <w:szCs w:val="21"/>
                <w:highlight w:val="none"/>
                <w:lang w:val="en-US" w:bidi="ar-SA"/>
              </w:rPr>
            </w:pPr>
            <w:r>
              <w:rPr>
                <w:rFonts w:hint="eastAsia" w:ascii="宋体"/>
                <w:b/>
                <w:bCs/>
                <w:color w:val="auto"/>
                <w:kern w:val="2"/>
                <w:sz w:val="21"/>
                <w:szCs w:val="21"/>
                <w:highlight w:val="none"/>
                <w:lang w:val="en-US" w:bidi="ar-SA"/>
              </w:rPr>
              <w:t>★</w:t>
            </w:r>
            <w:r>
              <w:rPr>
                <w:rFonts w:hint="eastAsia" w:ascii="宋体"/>
                <w:color w:val="auto"/>
                <w:kern w:val="2"/>
                <w:sz w:val="21"/>
                <w:szCs w:val="21"/>
                <w:highlight w:val="none"/>
                <w:lang w:val="en-US" w:bidi="ar-SA"/>
              </w:rPr>
              <w:t>开断击穿时间: &lt;10μs</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错误监测: 自动监测已发生击穿（RMB）</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油样温度测量：0～99℃</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温度分辨率：1℃</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温度测量：集成式传感器，用于获取绝缘液体的温度</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开机自检：每次开启前通过检测高压输出电压 进行自检</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防干扰</w:t>
            </w:r>
          </w:p>
          <w:p>
            <w:pPr>
              <w:widowControl/>
              <w:textAlignment w:val="top"/>
              <w:rPr>
                <w:rFonts w:hint="eastAsia"/>
                <w:color w:val="auto"/>
                <w:kern w:val="2"/>
                <w:sz w:val="21"/>
                <w:szCs w:val="21"/>
                <w:highlight w:val="none"/>
                <w:lang w:val="en-US" w:bidi="ar-SA"/>
              </w:rPr>
            </w:pPr>
            <w:r>
              <w:rPr>
                <w:rFonts w:hint="eastAsia" w:ascii="宋体"/>
                <w:b/>
                <w:bCs/>
                <w:color w:val="auto"/>
                <w:kern w:val="2"/>
                <w:sz w:val="21"/>
                <w:szCs w:val="21"/>
                <w:highlight w:val="none"/>
                <w:lang w:val="en-US" w:bidi="ar-SA"/>
              </w:rPr>
              <w:t>★</w:t>
            </w:r>
            <w:r>
              <w:rPr>
                <w:rFonts w:hint="eastAsia" w:ascii="宋体"/>
                <w:color w:val="auto"/>
                <w:kern w:val="2"/>
                <w:sz w:val="21"/>
                <w:szCs w:val="21"/>
                <w:highlight w:val="none"/>
                <w:lang w:val="en-US" w:bidi="ar-SA"/>
              </w:rPr>
              <w:t>电压测量精确率: 0～100kV，±1 kV</w:t>
            </w:r>
          </w:p>
          <w:p>
            <w:pPr>
              <w:widowControl/>
              <w:textAlignment w:val="top"/>
              <w:rPr>
                <w:rFonts w:hint="eastAsia"/>
                <w:color w:val="auto"/>
                <w:kern w:val="2"/>
                <w:sz w:val="21"/>
                <w:szCs w:val="21"/>
                <w:highlight w:val="none"/>
                <w:lang w:val="en-US" w:bidi="ar-SA"/>
              </w:rPr>
            </w:pPr>
            <w:r>
              <w:rPr>
                <w:rFonts w:hint="eastAsia" w:ascii="宋体"/>
                <w:b/>
                <w:bCs/>
                <w:color w:val="auto"/>
                <w:kern w:val="2"/>
                <w:sz w:val="21"/>
                <w:szCs w:val="21"/>
                <w:highlight w:val="none"/>
                <w:lang w:val="en-US" w:bidi="ar-SA"/>
              </w:rPr>
              <w:t>★</w:t>
            </w:r>
            <w:r>
              <w:rPr>
                <w:rFonts w:hint="eastAsia" w:ascii="宋体"/>
                <w:color w:val="auto"/>
                <w:kern w:val="2"/>
                <w:sz w:val="21"/>
                <w:szCs w:val="21"/>
                <w:highlight w:val="none"/>
                <w:lang w:val="en-US" w:bidi="ar-SA"/>
              </w:rPr>
              <w:t>电压显示分辨率: 0.1 kV</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防护等级: IP 32</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客户自定义程序: 不低于10种</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安全和电磁兼容性: 符合 CE 标准， 符合低电压指令（2014/35/EC）、 电磁兼容性指令（2014/30/EC）、 环境影响 EN 60068-2 和后续版本</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三、仪器配置</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1、油耐压测试仪主机：1台</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2、400ml量杯:1个</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3、蘑菇形电极：1对</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4、磁式油搅拌器：1套</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5、油搅拌器抬升棒：1套</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6、2.5mm IEC尺规：1套</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四、售后服务</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1、仪器安装验收：供货商负责仪器的安装、调试及培训。</w:t>
            </w:r>
          </w:p>
          <w:p>
            <w:pPr>
              <w:widowControl/>
              <w:textAlignment w:val="top"/>
              <w:rPr>
                <w:rFonts w:hint="eastAsia"/>
                <w:color w:val="auto"/>
                <w:kern w:val="2"/>
                <w:sz w:val="21"/>
                <w:szCs w:val="21"/>
                <w:highlight w:val="none"/>
                <w:lang w:val="en-US" w:bidi="ar-SA"/>
              </w:rPr>
            </w:pPr>
            <w:r>
              <w:rPr>
                <w:rFonts w:hint="eastAsia" w:ascii="宋体"/>
                <w:color w:val="auto"/>
                <w:kern w:val="2"/>
                <w:sz w:val="21"/>
                <w:szCs w:val="21"/>
                <w:highlight w:val="none"/>
                <w:lang w:val="en-US" w:bidi="ar-SA"/>
              </w:rPr>
              <w:t>2、 技术培训：仪器安装调试现场培训内容包括仪器的基本原理、操作、日常维护等内容。</w:t>
            </w:r>
          </w:p>
          <w:p>
            <w:pPr>
              <w:widowControl/>
              <w:textAlignment w:val="top"/>
              <w:rPr>
                <w:color w:val="auto"/>
                <w:kern w:val="2"/>
                <w:sz w:val="21"/>
                <w:szCs w:val="21"/>
                <w:highlight w:val="none"/>
                <w:lang w:val="en-US" w:bidi="ar-SA"/>
              </w:rPr>
            </w:pPr>
            <w:r>
              <w:rPr>
                <w:rFonts w:hint="eastAsia" w:ascii="宋体"/>
                <w:color w:val="auto"/>
                <w:kern w:val="2"/>
                <w:sz w:val="21"/>
                <w:szCs w:val="21"/>
                <w:highlight w:val="none"/>
                <w:lang w:val="en-US" w:bidi="ar-SA"/>
              </w:rPr>
              <w:t>3、 质量保证：仪器验收合格后，应提供一年的整机保修服务，在保修期内，所有服务及配件全部免费。仪器安装调试完成后由用户进行验收，由</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提供省级以上计量检定部门出具的检定或校准证书。</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imes New Roman" w:hAnsi="Times New Roman" w:eastAsia="宋体" w:cs="Times New Roman"/>
                <w:color w:val="auto"/>
                <w:highlight w:val="none"/>
                <w:lang w:val="en-US" w:eastAsia="zh-CN" w:bidi="ar"/>
              </w:rPr>
            </w:pPr>
            <w:r>
              <w:rPr>
                <w:rFonts w:hint="eastAsia" w:ascii="Times New Roman" w:hAnsi="Times New Roman" w:cs="Times New Roman"/>
                <w:color w:val="auto"/>
                <w:highlight w:val="none"/>
                <w:lang w:val="en-US" w:eastAsia="zh-CN" w:bidi="ar"/>
              </w:rPr>
              <w:t>1套</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bl>
    <w:p>
      <w:pPr>
        <w:autoSpaceDE/>
        <w:autoSpaceDN/>
        <w:jc w:val="both"/>
        <w:rPr>
          <w:b/>
          <w:bCs/>
          <w:color w:val="auto"/>
          <w:kern w:val="2"/>
          <w:sz w:val="21"/>
          <w:szCs w:val="21"/>
          <w:highlight w:val="none"/>
          <w:lang w:val="en-US" w:bidi="ar-SA"/>
        </w:rPr>
      </w:pPr>
      <w:r>
        <w:rPr>
          <w:rFonts w:hint="eastAsia"/>
          <w:b/>
          <w:bCs/>
          <w:color w:val="auto"/>
          <w:kern w:val="2"/>
          <w:sz w:val="21"/>
          <w:szCs w:val="21"/>
          <w:highlight w:val="none"/>
          <w:lang w:val="en-US" w:bidi="ar-SA"/>
        </w:rPr>
        <w:br w:type="page"/>
      </w:r>
    </w:p>
    <w:p>
      <w:pPr>
        <w:pStyle w:val="5"/>
        <w:tabs>
          <w:tab w:val="left" w:pos="1163"/>
        </w:tabs>
        <w:spacing w:line="240" w:lineRule="auto"/>
        <w:outlineLvl w:val="0"/>
        <w:rPr>
          <w:rFonts w:ascii="宋体" w:hAnsi="宋体" w:eastAsia="宋体" w:cs="宋体"/>
          <w:b/>
          <w:bCs/>
          <w:color w:val="auto"/>
          <w:sz w:val="32"/>
          <w:szCs w:val="32"/>
          <w:highlight w:val="none"/>
        </w:rPr>
      </w:pPr>
      <w:bookmarkStart w:id="60" w:name="_Toc3546"/>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rPr>
        <w:t>四</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评标方法和评标标准</w:t>
      </w:r>
      <w:bookmarkEnd w:id="60"/>
    </w:p>
    <w:p>
      <w:pPr>
        <w:pStyle w:val="6"/>
        <w:outlineLvl w:val="1"/>
        <w:rPr>
          <w:rFonts w:ascii="宋体" w:hAnsi="宋体" w:eastAsia="宋体" w:cs="宋体"/>
          <w:color w:val="auto"/>
          <w:sz w:val="28"/>
          <w:szCs w:val="28"/>
          <w:highlight w:val="none"/>
        </w:rPr>
      </w:pPr>
      <w:bookmarkStart w:id="61" w:name="_bookmark66"/>
      <w:bookmarkEnd w:id="61"/>
      <w:bookmarkStart w:id="62" w:name="_Toc8398"/>
      <w:r>
        <w:rPr>
          <w:rFonts w:hint="eastAsia" w:ascii="宋体" w:hAnsi="宋体" w:eastAsia="宋体" w:cs="宋体"/>
          <w:color w:val="auto"/>
          <w:sz w:val="28"/>
          <w:szCs w:val="28"/>
          <w:highlight w:val="none"/>
        </w:rPr>
        <w:t>一、评标方法</w:t>
      </w:r>
      <w:bookmarkEnd w:id="62"/>
    </w:p>
    <w:p>
      <w:pPr>
        <w:adjustRightInd w:val="0"/>
        <w:snapToGrid w:val="0"/>
        <w:spacing w:line="360" w:lineRule="auto"/>
        <w:rPr>
          <w:b/>
          <w:color w:val="auto"/>
          <w:sz w:val="21"/>
          <w:szCs w:val="21"/>
          <w:highlight w:val="none"/>
        </w:rPr>
      </w:pPr>
      <w:r>
        <w:rPr>
          <w:rFonts w:hint="eastAsia"/>
          <w:b/>
          <w:color w:val="auto"/>
          <w:sz w:val="21"/>
          <w:szCs w:val="21"/>
          <w:highlight w:val="none"/>
        </w:rPr>
        <w:t>1.评标委员会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1.1评标由依法组建的评标委员会负责，其成员构成方式详见投标须知前附表。</w:t>
      </w:r>
    </w:p>
    <w:p>
      <w:pPr>
        <w:adjustRightInd w:val="0"/>
        <w:snapToGrid w:val="0"/>
        <w:spacing w:line="360" w:lineRule="auto"/>
        <w:rPr>
          <w:b/>
          <w:color w:val="auto"/>
          <w:sz w:val="21"/>
          <w:szCs w:val="21"/>
          <w:highlight w:val="none"/>
        </w:rPr>
      </w:pPr>
      <w:r>
        <w:rPr>
          <w:rFonts w:hint="eastAsia"/>
          <w:b/>
          <w:color w:val="auto"/>
          <w:sz w:val="21"/>
          <w:szCs w:val="21"/>
          <w:highlight w:val="none"/>
        </w:rPr>
        <w:t>2.评标方法</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2.1本项目评标方法为：综合评分法。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2.1.2评标时，评标委员会各成员应当独立对每个投标人的投标文件进行评价，并汇总每个投标人的得分。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2.1.3评标过程中，不得去掉报价中的最高报价和最低报价。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2.1.4因落实政府采购政策进行价格调整的，以调整后的价格计算评标基准价和投标报价。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rPr>
          <w:b/>
          <w:color w:val="auto"/>
          <w:sz w:val="21"/>
          <w:szCs w:val="21"/>
          <w:highlight w:val="none"/>
        </w:rPr>
      </w:pPr>
      <w:r>
        <w:rPr>
          <w:rFonts w:hint="eastAsia"/>
          <w:b/>
          <w:color w:val="auto"/>
          <w:sz w:val="21"/>
          <w:szCs w:val="21"/>
          <w:highlight w:val="none"/>
        </w:rPr>
        <w:t>3.评标原则和评标纪律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b/>
          <w:color w:val="auto"/>
          <w:sz w:val="21"/>
          <w:szCs w:val="21"/>
          <w:highlight w:val="none"/>
        </w:rPr>
        <w:t>评标委员会应当推选组长，但采购人代表不得担任组长</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3.4评标委员会成员应当履行的义务</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3.4.1评标委员会成员应根据政府采购法律法规和采购文件所载明的评标方法、标准进行评标，遵纪守法，客观、公正、廉洁地履行职责。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3.4.3对投标人的价格分等客观评分项的评分应当一致，对其他需要借助专业知识评判的主观评分项，应当严格按照评分细则公正评分。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3.4.7评标委员会应对评标过程和结果以及投标人的商业秘密保密。</w:t>
      </w:r>
    </w:p>
    <w:p>
      <w:pPr>
        <w:pStyle w:val="6"/>
        <w:outlineLvl w:val="1"/>
        <w:rPr>
          <w:rFonts w:ascii="宋体" w:hAnsi="宋体" w:eastAsia="宋体" w:cs="宋体"/>
          <w:color w:val="auto"/>
          <w:sz w:val="28"/>
          <w:szCs w:val="28"/>
          <w:highlight w:val="none"/>
        </w:rPr>
      </w:pPr>
      <w:bookmarkStart w:id="63" w:name="_Toc23742"/>
      <w:r>
        <w:rPr>
          <w:rFonts w:hint="eastAsia" w:ascii="宋体" w:hAnsi="宋体" w:eastAsia="宋体" w:cs="宋体"/>
          <w:color w:val="auto"/>
          <w:sz w:val="28"/>
          <w:szCs w:val="28"/>
          <w:highlight w:val="none"/>
        </w:rPr>
        <w:t>二、评标程序</w:t>
      </w:r>
      <w:bookmarkEnd w:id="63"/>
    </w:p>
    <w:p>
      <w:pPr>
        <w:adjustRightInd w:val="0"/>
        <w:snapToGrid w:val="0"/>
        <w:spacing w:line="360" w:lineRule="auto"/>
        <w:rPr>
          <w:b/>
          <w:color w:val="auto"/>
          <w:sz w:val="21"/>
          <w:szCs w:val="21"/>
          <w:highlight w:val="none"/>
        </w:rPr>
      </w:pPr>
      <w:r>
        <w:rPr>
          <w:rFonts w:hint="eastAsia"/>
          <w:b/>
          <w:color w:val="auto"/>
          <w:sz w:val="21"/>
          <w:szCs w:val="21"/>
          <w:highlight w:val="none"/>
        </w:rPr>
        <w:t>4．投标文件的初步评标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4.1初步评标分为资格性检查和符合性检查。</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4.1.1资格性检查</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根据法律法规和招标文件的规定，对投标文件中的资格证明文件、投标保证金等进行审查，以确定投标人是否具备投标资格。审查事项如下：</w:t>
      </w:r>
    </w:p>
    <w:p>
      <w:pPr>
        <w:pStyle w:val="13"/>
        <w:rPr>
          <w:rFonts w:hint="default" w:eastAsia="宋体"/>
          <w:b/>
          <w:bCs/>
          <w:color w:val="auto"/>
          <w:highlight w:val="none"/>
          <w:lang w:val="en-US" w:eastAsia="zh-CN"/>
        </w:rPr>
      </w:pPr>
      <w:r>
        <w:rPr>
          <w:rFonts w:hint="eastAsia"/>
          <w:b/>
          <w:bCs/>
          <w:color w:val="auto"/>
          <w:sz w:val="21"/>
          <w:szCs w:val="21"/>
          <w:highlight w:val="none"/>
          <w:lang w:val="en-US"/>
        </w:rPr>
        <w:t>标项1</w:t>
      </w:r>
      <w:r>
        <w:rPr>
          <w:rFonts w:hint="eastAsia"/>
          <w:b/>
          <w:bCs/>
          <w:color w:val="auto"/>
          <w:sz w:val="21"/>
          <w:szCs w:val="21"/>
          <w:highlight w:val="none"/>
          <w:lang w:val="en-US" w:eastAsia="zh-CN"/>
        </w:rPr>
        <w:t>、2、3</w:t>
      </w:r>
    </w:p>
    <w:p>
      <w:pPr>
        <w:snapToGrid w:val="0"/>
        <w:jc w:val="center"/>
        <w:rPr>
          <w:b/>
          <w:bCs/>
          <w:color w:val="auto"/>
          <w:sz w:val="21"/>
          <w:szCs w:val="21"/>
          <w:highlight w:val="none"/>
        </w:rPr>
      </w:pPr>
      <w:r>
        <w:rPr>
          <w:rFonts w:hint="eastAsia"/>
          <w:b/>
          <w:bCs/>
          <w:color w:val="auto"/>
          <w:sz w:val="21"/>
          <w:szCs w:val="21"/>
          <w:highlight w:val="none"/>
        </w:rPr>
        <w:t>资格性检查表</w:t>
      </w:r>
    </w:p>
    <w:tbl>
      <w:tblPr>
        <w:tblStyle w:val="2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69"/>
        <w:gridCol w:w="2763"/>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6" w:type="dxa"/>
            <w:vAlign w:val="center"/>
          </w:tcPr>
          <w:p>
            <w:pPr>
              <w:jc w:val="center"/>
              <w:rPr>
                <w:color w:val="auto"/>
                <w:sz w:val="21"/>
                <w:szCs w:val="21"/>
                <w:highlight w:val="none"/>
              </w:rPr>
            </w:pPr>
            <w:r>
              <w:rPr>
                <w:rFonts w:hint="eastAsia"/>
                <w:color w:val="auto"/>
                <w:sz w:val="21"/>
                <w:szCs w:val="21"/>
                <w:highlight w:val="none"/>
              </w:rPr>
              <w:t>序号</w:t>
            </w:r>
          </w:p>
        </w:tc>
        <w:tc>
          <w:tcPr>
            <w:tcW w:w="3232" w:type="dxa"/>
            <w:gridSpan w:val="2"/>
            <w:vAlign w:val="center"/>
          </w:tcPr>
          <w:p>
            <w:pPr>
              <w:jc w:val="center"/>
              <w:rPr>
                <w:color w:val="auto"/>
                <w:sz w:val="21"/>
                <w:szCs w:val="21"/>
                <w:highlight w:val="none"/>
              </w:rPr>
            </w:pPr>
            <w:r>
              <w:rPr>
                <w:rFonts w:hint="eastAsia"/>
                <w:color w:val="auto"/>
                <w:sz w:val="21"/>
                <w:szCs w:val="21"/>
                <w:highlight w:val="none"/>
              </w:rPr>
              <w:t>检查因素</w:t>
            </w:r>
          </w:p>
        </w:tc>
        <w:tc>
          <w:tcPr>
            <w:tcW w:w="6021" w:type="dxa"/>
            <w:vAlign w:val="center"/>
          </w:tcPr>
          <w:p>
            <w:pPr>
              <w:jc w:val="center"/>
              <w:rPr>
                <w:color w:val="auto"/>
                <w:sz w:val="21"/>
                <w:szCs w:val="21"/>
                <w:highlight w:val="none"/>
              </w:rPr>
            </w:pPr>
            <w:r>
              <w:rPr>
                <w:rFonts w:hint="eastAsia"/>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636" w:type="dxa"/>
            <w:vMerge w:val="restart"/>
            <w:vAlign w:val="center"/>
          </w:tcPr>
          <w:p>
            <w:pPr>
              <w:jc w:val="center"/>
              <w:rPr>
                <w:color w:val="auto"/>
                <w:sz w:val="21"/>
                <w:szCs w:val="21"/>
                <w:highlight w:val="none"/>
              </w:rPr>
            </w:pPr>
            <w:r>
              <w:rPr>
                <w:rFonts w:hint="eastAsia"/>
                <w:color w:val="auto"/>
                <w:sz w:val="21"/>
                <w:szCs w:val="21"/>
                <w:highlight w:val="none"/>
              </w:rPr>
              <w:t>1</w:t>
            </w:r>
          </w:p>
        </w:tc>
        <w:tc>
          <w:tcPr>
            <w:tcW w:w="469" w:type="dxa"/>
            <w:vMerge w:val="restart"/>
            <w:vAlign w:val="center"/>
          </w:tcPr>
          <w:p>
            <w:pPr>
              <w:rPr>
                <w:color w:val="auto"/>
                <w:sz w:val="21"/>
                <w:szCs w:val="21"/>
                <w:highlight w:val="none"/>
              </w:rPr>
            </w:pPr>
            <w:r>
              <w:rPr>
                <w:rFonts w:hint="eastAsia"/>
                <w:color w:val="auto"/>
                <w:sz w:val="21"/>
                <w:szCs w:val="21"/>
                <w:highlight w:val="none"/>
              </w:rPr>
              <w:t>符合《中华人民共和国政府采购法》第二十二条规定</w:t>
            </w:r>
          </w:p>
        </w:tc>
        <w:tc>
          <w:tcPr>
            <w:tcW w:w="2763" w:type="dxa"/>
            <w:vAlign w:val="center"/>
          </w:tcPr>
          <w:p>
            <w:pPr>
              <w:jc w:val="center"/>
              <w:rPr>
                <w:color w:val="auto"/>
                <w:sz w:val="21"/>
                <w:szCs w:val="21"/>
                <w:highlight w:val="none"/>
              </w:rPr>
            </w:pPr>
            <w:r>
              <w:rPr>
                <w:rFonts w:hint="eastAsia"/>
                <w:color w:val="auto"/>
                <w:sz w:val="21"/>
                <w:szCs w:val="21"/>
                <w:highlight w:val="none"/>
              </w:rPr>
              <w:t>（1）具有独立承担民事责任的能力</w:t>
            </w:r>
          </w:p>
        </w:tc>
        <w:tc>
          <w:tcPr>
            <w:tcW w:w="6021" w:type="dxa"/>
            <w:vAlign w:val="center"/>
          </w:tcPr>
          <w:p>
            <w:pPr>
              <w:widowControl/>
              <w:rPr>
                <w:color w:val="auto"/>
                <w:sz w:val="21"/>
                <w:szCs w:val="21"/>
                <w:highlight w:val="none"/>
              </w:rPr>
            </w:pPr>
            <w:r>
              <w:rPr>
                <w:rFonts w:hint="eastAsia"/>
                <w:color w:val="auto"/>
                <w:sz w:val="21"/>
                <w:szCs w:val="21"/>
                <w:highlight w:val="none"/>
                <w:lang w:val="en-US"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（2）具有良好的商业信誉和健全的财务会计制度</w:t>
            </w:r>
          </w:p>
        </w:tc>
        <w:tc>
          <w:tcPr>
            <w:tcW w:w="6021" w:type="dxa"/>
            <w:vAlign w:val="center"/>
          </w:tcPr>
          <w:p>
            <w:pPr>
              <w:widowControl/>
              <w:rPr>
                <w:color w:val="auto"/>
                <w:kern w:val="2"/>
                <w:sz w:val="21"/>
                <w:szCs w:val="21"/>
                <w:highlight w:val="none"/>
                <w:lang w:val="en-US" w:bidi="ar-SA"/>
              </w:rPr>
            </w:pPr>
            <w:r>
              <w:rPr>
                <w:rFonts w:hint="eastAsia"/>
                <w:color w:val="auto"/>
                <w:kern w:val="2"/>
                <w:sz w:val="21"/>
                <w:szCs w:val="21"/>
                <w:highlight w:val="none"/>
                <w:lang w:val="en-US"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（3）具有履行合同所必需的设备和专业技术能力</w:t>
            </w:r>
          </w:p>
        </w:tc>
        <w:tc>
          <w:tcPr>
            <w:tcW w:w="6021" w:type="dxa"/>
            <w:vAlign w:val="center"/>
          </w:tcPr>
          <w:p>
            <w:pPr>
              <w:widowControl/>
              <w:rPr>
                <w:color w:val="auto"/>
                <w:kern w:val="2"/>
                <w:sz w:val="21"/>
                <w:szCs w:val="21"/>
                <w:highlight w:val="none"/>
                <w:lang w:val="en-US" w:bidi="ar-SA"/>
              </w:rPr>
            </w:pPr>
            <w:r>
              <w:rPr>
                <w:rFonts w:hint="eastAsia"/>
                <w:color w:val="auto"/>
                <w:kern w:val="2"/>
                <w:sz w:val="21"/>
                <w:szCs w:val="21"/>
                <w:highlight w:val="none"/>
                <w:lang w:val="en-US"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（4）有依法缴纳税收和社会保障资金的良好记录</w:t>
            </w:r>
          </w:p>
        </w:tc>
        <w:tc>
          <w:tcPr>
            <w:tcW w:w="6021" w:type="dxa"/>
            <w:vAlign w:val="center"/>
          </w:tcPr>
          <w:p>
            <w:pPr>
              <w:widowControl/>
              <w:rPr>
                <w:color w:val="auto"/>
                <w:kern w:val="2"/>
                <w:sz w:val="21"/>
                <w:szCs w:val="21"/>
                <w:highlight w:val="none"/>
                <w:lang w:val="en-US" w:bidi="ar-SA"/>
              </w:rPr>
            </w:pPr>
            <w:r>
              <w:rPr>
                <w:rFonts w:hint="eastAsia"/>
                <w:color w:val="auto"/>
                <w:kern w:val="2"/>
                <w:sz w:val="21"/>
                <w:szCs w:val="21"/>
                <w:highlight w:val="none"/>
                <w:lang w:val="en-US" w:bidi="ar-SA"/>
              </w:rPr>
              <w:t>1）依法缴纳税收的相关材料：</w:t>
            </w:r>
          </w:p>
          <w:p>
            <w:pPr>
              <w:widowControl/>
              <w:autoSpaceDE/>
              <w:autoSpaceDN/>
              <w:rPr>
                <w:color w:val="auto"/>
                <w:sz w:val="21"/>
                <w:szCs w:val="21"/>
                <w:highlight w:val="none"/>
                <w:lang w:val="en-US" w:bidi="ar"/>
              </w:rPr>
            </w:pPr>
            <w:r>
              <w:rPr>
                <w:rFonts w:hint="eastAsia"/>
                <w:color w:val="auto"/>
                <w:sz w:val="21"/>
                <w:szCs w:val="21"/>
                <w:highlight w:val="none"/>
                <w:lang w:val="en-US" w:bidi="ar"/>
              </w:rPr>
              <w:t>开标日前6个月内任意一月缴纳税收的凭证复印件；缴纳凭证复印件须清晰可辨，并能显示出税种种类，单位代扣代缴的个人所得税不能作为单位纳税的凭证；依法免税的投标人，应提供相应文件证明其依法免税；或者依法缴纳税收的承诺函。</w:t>
            </w:r>
          </w:p>
          <w:p>
            <w:pPr>
              <w:widowControl/>
              <w:rPr>
                <w:color w:val="auto"/>
                <w:kern w:val="2"/>
                <w:sz w:val="21"/>
                <w:szCs w:val="21"/>
                <w:highlight w:val="none"/>
                <w:lang w:val="en-US" w:bidi="ar-SA"/>
              </w:rPr>
            </w:pPr>
            <w:r>
              <w:rPr>
                <w:rFonts w:hint="eastAsia"/>
                <w:color w:val="auto"/>
                <w:kern w:val="2"/>
                <w:sz w:val="21"/>
                <w:szCs w:val="21"/>
                <w:highlight w:val="none"/>
                <w:lang w:val="en-US" w:bidi="ar-SA"/>
              </w:rPr>
              <w:t>2）依法缴纳社会保障资金的相关材料：</w:t>
            </w:r>
          </w:p>
          <w:p>
            <w:pPr>
              <w:widowControl/>
              <w:autoSpaceDE/>
              <w:autoSpaceDN/>
              <w:rPr>
                <w:color w:val="auto"/>
                <w:kern w:val="2"/>
                <w:sz w:val="21"/>
                <w:szCs w:val="21"/>
                <w:highlight w:val="none"/>
                <w:lang w:val="en-US" w:bidi="ar-SA"/>
              </w:rPr>
            </w:pPr>
            <w:r>
              <w:rPr>
                <w:rFonts w:hint="eastAsia"/>
                <w:color w:val="auto"/>
                <w:sz w:val="21"/>
                <w:szCs w:val="21"/>
                <w:highlight w:val="none"/>
                <w:lang w:val="en-US" w:bidi="ar"/>
              </w:rPr>
              <w:t>开标日前6个月内（至少提供1个月）缴纳社会保险的凭据（专用收据或社会保险缴纳清单）；投标人为其他组织或自然人的，也需要按此项规定提供缴纳税收的凭据和缴纳社会保险的凭据；或者投标人依法缴纳社会保障资金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（5）参加政府采购活动近3年内，在经营活动中没有重大违法记录</w:t>
            </w:r>
          </w:p>
        </w:tc>
        <w:tc>
          <w:tcPr>
            <w:tcW w:w="6021" w:type="dxa"/>
            <w:vAlign w:val="center"/>
          </w:tcPr>
          <w:p>
            <w:pPr>
              <w:rPr>
                <w:color w:val="auto"/>
                <w:kern w:val="2"/>
                <w:sz w:val="21"/>
                <w:szCs w:val="21"/>
                <w:highlight w:val="none"/>
                <w:lang w:val="en-US" w:bidi="ar-SA"/>
              </w:rPr>
            </w:pPr>
            <w:r>
              <w:rPr>
                <w:rFonts w:hint="eastAsia"/>
                <w:color w:val="auto"/>
                <w:kern w:val="2"/>
                <w:sz w:val="21"/>
                <w:szCs w:val="21"/>
                <w:highlight w:val="none"/>
                <w:lang w:val="en-US" w:bidi="ar-SA"/>
              </w:rPr>
              <w:t>投标人须提供投标人参加政府采购活动前3年内在经营活动中没有重大违法记录的书面声明（格式自拟）；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636" w:type="dxa"/>
            <w:vAlign w:val="center"/>
          </w:tcPr>
          <w:p>
            <w:pPr>
              <w:jc w:val="center"/>
              <w:rPr>
                <w:color w:val="auto"/>
                <w:sz w:val="21"/>
                <w:szCs w:val="21"/>
                <w:highlight w:val="none"/>
                <w:lang w:val="en-US"/>
              </w:rPr>
            </w:pPr>
            <w:r>
              <w:rPr>
                <w:rFonts w:hint="eastAsia"/>
                <w:color w:val="auto"/>
                <w:sz w:val="21"/>
                <w:szCs w:val="21"/>
                <w:highlight w:val="none"/>
                <w:lang w:val="en-US"/>
              </w:rPr>
              <w:t>2</w:t>
            </w:r>
          </w:p>
        </w:tc>
        <w:tc>
          <w:tcPr>
            <w:tcW w:w="3232" w:type="dxa"/>
            <w:gridSpan w:val="2"/>
            <w:vAlign w:val="center"/>
          </w:tcPr>
          <w:p>
            <w:pPr>
              <w:jc w:val="center"/>
              <w:rPr>
                <w:color w:val="auto"/>
                <w:sz w:val="21"/>
                <w:szCs w:val="21"/>
                <w:highlight w:val="none"/>
              </w:rPr>
            </w:pPr>
            <w:r>
              <w:rPr>
                <w:rFonts w:hint="eastAsia"/>
                <w:color w:val="auto"/>
                <w:sz w:val="21"/>
                <w:szCs w:val="21"/>
                <w:highlight w:val="none"/>
              </w:rPr>
              <w:t>信用查询</w:t>
            </w:r>
          </w:p>
        </w:tc>
        <w:tc>
          <w:tcPr>
            <w:tcW w:w="6021" w:type="dxa"/>
            <w:vAlign w:val="center"/>
          </w:tcPr>
          <w:p>
            <w:pPr>
              <w:rPr>
                <w:color w:val="auto"/>
                <w:kern w:val="2"/>
                <w:sz w:val="21"/>
                <w:szCs w:val="21"/>
                <w:highlight w:val="none"/>
                <w:lang w:val="en-US" w:bidi="ar-SA"/>
              </w:rPr>
            </w:pP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Align w:val="center"/>
          </w:tcPr>
          <w:p>
            <w:pPr>
              <w:jc w:val="center"/>
              <w:rPr>
                <w:color w:val="auto"/>
                <w:sz w:val="21"/>
                <w:szCs w:val="21"/>
                <w:highlight w:val="none"/>
                <w:lang w:val="en-US"/>
              </w:rPr>
            </w:pPr>
            <w:r>
              <w:rPr>
                <w:rFonts w:hint="eastAsia"/>
                <w:color w:val="auto"/>
                <w:sz w:val="21"/>
                <w:szCs w:val="21"/>
                <w:highlight w:val="none"/>
                <w:lang w:val="en-US"/>
              </w:rPr>
              <w:t>3</w:t>
            </w:r>
          </w:p>
        </w:tc>
        <w:tc>
          <w:tcPr>
            <w:tcW w:w="3232" w:type="dxa"/>
            <w:gridSpan w:val="2"/>
            <w:vAlign w:val="center"/>
          </w:tcPr>
          <w:p>
            <w:pPr>
              <w:jc w:val="center"/>
              <w:rPr>
                <w:color w:val="auto"/>
                <w:sz w:val="21"/>
                <w:szCs w:val="21"/>
                <w:highlight w:val="none"/>
                <w:lang w:val="en-US"/>
              </w:rPr>
            </w:pPr>
            <w:r>
              <w:rPr>
                <w:rFonts w:hint="eastAsia"/>
                <w:color w:val="auto"/>
                <w:sz w:val="21"/>
                <w:szCs w:val="21"/>
                <w:highlight w:val="none"/>
                <w:lang w:val="en-US"/>
              </w:rPr>
              <w:t>限制行为</w:t>
            </w:r>
          </w:p>
        </w:tc>
        <w:tc>
          <w:tcPr>
            <w:tcW w:w="6021" w:type="dxa"/>
            <w:vAlign w:val="center"/>
          </w:tcPr>
          <w:p>
            <w:pPr>
              <w:rPr>
                <w:color w:val="auto"/>
                <w:kern w:val="2"/>
                <w:sz w:val="21"/>
                <w:szCs w:val="21"/>
                <w:highlight w:val="none"/>
                <w:lang w:val="en-US" w:bidi="ar-SA"/>
              </w:rPr>
            </w:pPr>
            <w:r>
              <w:rPr>
                <w:rFonts w:hint="eastAsia"/>
                <w:color w:val="auto"/>
                <w:kern w:val="2"/>
                <w:sz w:val="21"/>
                <w:szCs w:val="21"/>
                <w:highlight w:val="none"/>
                <w:lang w:val="en-US" w:bidi="ar-SA"/>
              </w:rPr>
              <w:t>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636" w:type="dxa"/>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3232" w:type="dxa"/>
            <w:gridSpan w:val="2"/>
            <w:vAlign w:val="center"/>
          </w:tcPr>
          <w:p>
            <w:pPr>
              <w:jc w:val="center"/>
              <w:rPr>
                <w:color w:val="auto"/>
                <w:sz w:val="21"/>
                <w:szCs w:val="21"/>
                <w:highlight w:val="none"/>
              </w:rPr>
            </w:pPr>
            <w:r>
              <w:rPr>
                <w:rFonts w:hint="eastAsia"/>
                <w:color w:val="auto"/>
                <w:sz w:val="21"/>
                <w:szCs w:val="21"/>
                <w:highlight w:val="none"/>
              </w:rPr>
              <w:t>其他要求</w:t>
            </w:r>
          </w:p>
        </w:tc>
        <w:tc>
          <w:tcPr>
            <w:tcW w:w="6021" w:type="dxa"/>
            <w:vAlign w:val="center"/>
          </w:tcPr>
          <w:p>
            <w:pPr>
              <w:widowControl/>
              <w:rPr>
                <w:color w:val="auto"/>
                <w:sz w:val="21"/>
                <w:szCs w:val="21"/>
                <w:highlight w:val="none"/>
                <w:lang w:val="en-US" w:bidi="ar-SA"/>
              </w:rPr>
            </w:pPr>
            <w:r>
              <w:rPr>
                <w:rFonts w:hint="eastAsia"/>
                <w:color w:val="auto"/>
                <w:sz w:val="21"/>
                <w:szCs w:val="21"/>
                <w:highlight w:val="none"/>
                <w:lang w:val="en-US" w:bidi="ar-SA"/>
              </w:rPr>
              <w:t>/</w:t>
            </w:r>
          </w:p>
        </w:tc>
      </w:tr>
    </w:tbl>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4.1.2符合性检查</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4.1.2.1依据招标文件的规定，从投标文件的有效性、完整性和对招标文件的响应程度进行审查，以确定是否对招标文件的实质性要求做出响应。评标委员会评标投标文件的响应性质根据投标文件真实无误的内容，而不依据外部的证据，但投标文件有不真实、不正确的内容时除外。</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4.1.2.2投标人不得通过修正或撤销不符合要求的偏离从而使其投标成为实质上响应的投标。</w:t>
      </w:r>
    </w:p>
    <w:p>
      <w:pPr>
        <w:pStyle w:val="13"/>
        <w:rPr>
          <w:rFonts w:hint="default" w:eastAsia="宋体"/>
          <w:b/>
          <w:bCs/>
          <w:color w:val="auto"/>
          <w:highlight w:val="none"/>
          <w:lang w:val="en-US" w:eastAsia="zh-CN"/>
        </w:rPr>
      </w:pPr>
      <w:r>
        <w:rPr>
          <w:rFonts w:hint="eastAsia"/>
          <w:b/>
          <w:bCs/>
          <w:color w:val="auto"/>
          <w:sz w:val="21"/>
          <w:szCs w:val="21"/>
          <w:highlight w:val="none"/>
          <w:lang w:val="en-US"/>
        </w:rPr>
        <w:t>标项1</w:t>
      </w:r>
      <w:r>
        <w:rPr>
          <w:rFonts w:hint="eastAsia"/>
          <w:b/>
          <w:bCs/>
          <w:color w:val="auto"/>
          <w:sz w:val="21"/>
          <w:szCs w:val="21"/>
          <w:highlight w:val="none"/>
          <w:lang w:val="en-US" w:eastAsia="zh-CN"/>
        </w:rPr>
        <w:t>、2、3</w:t>
      </w:r>
    </w:p>
    <w:p>
      <w:pPr>
        <w:snapToGrid w:val="0"/>
        <w:spacing w:line="500" w:lineRule="exact"/>
        <w:jc w:val="center"/>
        <w:rPr>
          <w:b/>
          <w:bCs/>
          <w:color w:val="auto"/>
          <w:sz w:val="21"/>
          <w:szCs w:val="21"/>
          <w:highlight w:val="none"/>
        </w:rPr>
      </w:pPr>
      <w:r>
        <w:rPr>
          <w:rFonts w:hint="eastAsia"/>
          <w:b/>
          <w:bCs/>
          <w:color w:val="auto"/>
          <w:sz w:val="21"/>
          <w:szCs w:val="21"/>
          <w:highlight w:val="none"/>
        </w:rPr>
        <w:t>符合性检查表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946"/>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03"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序号</w:t>
            </w:r>
          </w:p>
        </w:tc>
        <w:tc>
          <w:tcPr>
            <w:tcW w:w="976"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审查因素</w:t>
            </w:r>
          </w:p>
        </w:tc>
        <w:tc>
          <w:tcPr>
            <w:tcW w:w="3620"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授权委托书</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2</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响应完整性</w:t>
            </w:r>
          </w:p>
        </w:tc>
        <w:tc>
          <w:tcPr>
            <w:tcW w:w="3620"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bidi="ar-SA"/>
              </w:rPr>
              <w:t>未将一个标项中的内容拆开投标响应；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3</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投标报价</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eastAsia="zh-CN" w:bidi="ar-SA"/>
              </w:rPr>
              <w:t>投标人</w:t>
            </w:r>
            <w:r>
              <w:rPr>
                <w:rFonts w:hint="eastAsia"/>
                <w:color w:val="auto"/>
                <w:sz w:val="21"/>
                <w:szCs w:val="21"/>
                <w:highlight w:val="none"/>
                <w:lang w:bidi="ar-SA"/>
              </w:rPr>
              <w:t>其报价未超过</w:t>
            </w:r>
            <w:r>
              <w:rPr>
                <w:rFonts w:hint="eastAsia"/>
                <w:color w:val="auto"/>
                <w:sz w:val="21"/>
                <w:szCs w:val="21"/>
                <w:highlight w:val="none"/>
                <w:lang w:val="en-US" w:bidi="ar-SA"/>
              </w:rPr>
              <w:t>最高限制单价；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4</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报价唯一性</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投标文件未</w:t>
            </w:r>
            <w:r>
              <w:rPr>
                <w:rFonts w:hint="eastAsia"/>
                <w:color w:val="auto"/>
                <w:kern w:val="2"/>
                <w:sz w:val="21"/>
                <w:szCs w:val="21"/>
                <w:highlight w:val="none"/>
                <w:lang w:val="en-US" w:bidi="ar-SA"/>
              </w:rPr>
              <w:t>出现可选择性或可调整的报价（招标文件另有规定的除外）</w:t>
            </w:r>
            <w:r>
              <w:rPr>
                <w:rFonts w:hint="eastAsia"/>
                <w:color w:val="auto"/>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5</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投标有效期</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6</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签署、盖章</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7</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投标保证金</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bidi="ar-SA"/>
              </w:rPr>
              <w:t>按时、足额缴纳</w:t>
            </w:r>
            <w:r>
              <w:rPr>
                <w:rFonts w:hint="eastAsia"/>
                <w:color w:val="auto"/>
                <w:sz w:val="21"/>
                <w:szCs w:val="21"/>
                <w:highlight w:val="none"/>
                <w:lang w:val="en-US" w:bidi="ar-SA"/>
              </w:rPr>
              <w:t>投标</w:t>
            </w:r>
            <w:r>
              <w:rPr>
                <w:rFonts w:hint="eastAsia"/>
                <w:color w:val="auto"/>
                <w:sz w:val="21"/>
                <w:szCs w:val="21"/>
                <w:highlight w:val="none"/>
                <w:lang w:bidi="ar-SA"/>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8</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付款方式</w:t>
            </w:r>
          </w:p>
        </w:tc>
        <w:tc>
          <w:tcPr>
            <w:tcW w:w="3620" w:type="pct"/>
            <w:vAlign w:val="center"/>
          </w:tcPr>
          <w:p>
            <w:pPr>
              <w:widowControl/>
              <w:autoSpaceDE/>
              <w:autoSpaceDN/>
              <w:rPr>
                <w:color w:val="auto"/>
                <w:sz w:val="21"/>
                <w:szCs w:val="21"/>
                <w:highlight w:val="none"/>
                <w:lang w:bidi="ar-SA"/>
              </w:rPr>
            </w:pPr>
            <w:r>
              <w:rPr>
                <w:rFonts w:hint="eastAsia"/>
                <w:color w:val="auto"/>
                <w:sz w:val="21"/>
                <w:szCs w:val="21"/>
                <w:highlight w:val="none"/>
                <w:lang w:val="en-US" w:bidi="ar-SA"/>
              </w:rPr>
              <w:t>投标文件承诺的付款方式满足招标文件要求；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eastAsia="zh-CN" w:bidi="ar-SA"/>
              </w:rPr>
              <w:t>9</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rPr>
              <w:t>交货期</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0</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报价合理性</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报价合理，或</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的报价明显低于其他通过符合性审查</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color w:val="auto"/>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1</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公平竞争</w:t>
            </w:r>
          </w:p>
        </w:tc>
        <w:tc>
          <w:tcPr>
            <w:tcW w:w="3620"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遵循公平竞争的原则，不存在恶意串通，妨碍其他</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的竞争行为，不存在损害采购人或者其他</w:t>
            </w: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2</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附加条件</w:t>
            </w:r>
          </w:p>
        </w:tc>
        <w:tc>
          <w:tcPr>
            <w:tcW w:w="3620"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03" w:type="pct"/>
            <w:vAlign w:val="center"/>
          </w:tcPr>
          <w:p>
            <w:pPr>
              <w:widowControl/>
              <w:autoSpaceDE/>
              <w:autoSpaceDN/>
              <w:jc w:val="center"/>
              <w:rPr>
                <w:rFonts w:hint="eastAsia" w:eastAsia="宋体"/>
                <w:color w:val="auto"/>
                <w:sz w:val="21"/>
                <w:szCs w:val="21"/>
                <w:highlight w:val="none"/>
                <w:lang w:val="en-US" w:eastAsia="zh-CN" w:bidi="ar-SA"/>
              </w:rPr>
            </w:pPr>
            <w:r>
              <w:rPr>
                <w:rFonts w:hint="eastAsia"/>
                <w:color w:val="auto"/>
                <w:sz w:val="21"/>
                <w:szCs w:val="21"/>
                <w:highlight w:val="none"/>
                <w:lang w:val="en-US" w:bidi="ar-SA"/>
              </w:rPr>
              <w:t>1</w:t>
            </w:r>
            <w:r>
              <w:rPr>
                <w:rFonts w:hint="eastAsia"/>
                <w:color w:val="auto"/>
                <w:sz w:val="21"/>
                <w:szCs w:val="21"/>
                <w:highlight w:val="none"/>
                <w:lang w:val="en-US" w:eastAsia="zh-CN" w:bidi="ar-SA"/>
              </w:rPr>
              <w:t>3</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其他无效情形</w:t>
            </w:r>
          </w:p>
        </w:tc>
        <w:tc>
          <w:tcPr>
            <w:tcW w:w="3620"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eastAsia="zh-CN" w:bidi="ar-SA"/>
              </w:rPr>
              <w:t>投标人</w:t>
            </w:r>
            <w:r>
              <w:rPr>
                <w:rFonts w:hint="eastAsia"/>
                <w:color w:val="auto"/>
                <w:kern w:val="2"/>
                <w:sz w:val="21"/>
                <w:szCs w:val="21"/>
                <w:highlight w:val="none"/>
                <w:lang w:val="en-US" w:bidi="ar-SA"/>
              </w:rPr>
              <w:t>、投标文件不存在不符合法律、法规和招标文件规定的其他无效情形。</w:t>
            </w:r>
          </w:p>
        </w:tc>
      </w:tr>
    </w:tbl>
    <w:p>
      <w:pPr>
        <w:adjustRightInd w:val="0"/>
        <w:snapToGrid w:val="0"/>
        <w:spacing w:line="360" w:lineRule="auto"/>
        <w:ind w:firstLine="420" w:firstLineChars="200"/>
        <w:rPr>
          <w:color w:val="auto"/>
          <w:sz w:val="21"/>
          <w:szCs w:val="21"/>
          <w:highlight w:val="none"/>
        </w:rPr>
      </w:pPr>
      <w:bookmarkStart w:id="64" w:name="_bookmark67"/>
      <w:bookmarkEnd w:id="64"/>
      <w:r>
        <w:rPr>
          <w:rFonts w:hint="eastAsia"/>
          <w:color w:val="auto"/>
          <w:sz w:val="21"/>
          <w:szCs w:val="21"/>
          <w:highlight w:val="none"/>
        </w:rPr>
        <w:t>4.2有下列情形之一时，评标委员会应予废标，并将理由通知所有投标人：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）符合专业条件的投标人或者对招标文件作实质性响应的投标人不足三家的；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）出现影响招标公正的违法、违规行为的；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）投标人的报价均超过了采购预算，采购人不能支付的；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）因重大变故，采购任务取消的。</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rPr>
          <w:b/>
          <w:color w:val="auto"/>
          <w:sz w:val="21"/>
          <w:szCs w:val="21"/>
          <w:highlight w:val="none"/>
        </w:rPr>
      </w:pPr>
      <w:r>
        <w:rPr>
          <w:rFonts w:hint="eastAsia"/>
          <w:b/>
          <w:color w:val="auto"/>
          <w:sz w:val="21"/>
          <w:szCs w:val="21"/>
          <w:highlight w:val="none"/>
        </w:rPr>
        <w:t>5．澄清有关问题</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5.2投标人不得对下列内容进行澄清或补充：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(1)投标报价、质量标准、合同履行期限等实质性内容。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(2)不满足投标人须知2.10</w:t>
      </w:r>
      <w:r>
        <w:rPr>
          <w:rFonts w:hint="eastAsia"/>
          <w:color w:val="auto"/>
          <w:sz w:val="21"/>
          <w:szCs w:val="21"/>
          <w:highlight w:val="none"/>
          <w:lang w:val="en-US"/>
        </w:rPr>
        <w:t>条</w:t>
      </w:r>
      <w:r>
        <w:rPr>
          <w:rFonts w:hint="eastAsia"/>
          <w:color w:val="auto"/>
          <w:sz w:val="21"/>
          <w:szCs w:val="21"/>
          <w:highlight w:val="none"/>
        </w:rPr>
        <w:t>规定的实质性要求的投标文件内容。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5.3投标文件报价出现前后不一致的，除招标文件另有规定外，按照下列规定修正：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（1）投标文件中开标一览表（报价表）内容与投标文件中相应内容不一致的，以开标一览表（报价表）为准；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（2）大写金额和小写金额不一致的，以大写金额为准；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（3）单价金额小数点或者百分比有明显错位的，以开标一览表的总价为准，并修改单价；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（4）总价金额与按单价汇总金额不一致的，以单价金额计算结果为准。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同时出现两种以上不一致的，按照前款规定的顺序修正。修正后的报价按照本章5.1款的规定经投标人确认后产生约束力，▲</w:t>
      </w:r>
      <w:r>
        <w:rPr>
          <w:rFonts w:hint="eastAsia"/>
          <w:b/>
          <w:color w:val="auto"/>
          <w:sz w:val="21"/>
          <w:szCs w:val="21"/>
          <w:highlight w:val="none"/>
        </w:rPr>
        <w:t>投标人不确认或拒绝修正的，其投标无效</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5.4投标人按照评标委员会要求提供的有效书面澄清材料，是投标文件的补充材料，成为其投标文件的组成部分。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b/>
          <w:color w:val="auto"/>
          <w:sz w:val="21"/>
          <w:szCs w:val="21"/>
          <w:highlight w:val="none"/>
        </w:rPr>
        <w:t>投标人规定的时间内不能证明其报价合理性的，评标委员会应当将其作为无效投标处理</w:t>
      </w:r>
      <w:r>
        <w:rPr>
          <w:rFonts w:hint="eastAsia"/>
          <w:color w:val="auto"/>
          <w:sz w:val="21"/>
          <w:szCs w:val="21"/>
          <w:highlight w:val="none"/>
        </w:rPr>
        <w:t>。</w:t>
      </w:r>
    </w:p>
    <w:p>
      <w:pPr>
        <w:adjustRightInd w:val="0"/>
        <w:snapToGrid w:val="0"/>
        <w:spacing w:line="360" w:lineRule="auto"/>
        <w:rPr>
          <w:b/>
          <w:color w:val="auto"/>
          <w:sz w:val="21"/>
          <w:szCs w:val="21"/>
          <w:highlight w:val="none"/>
        </w:rPr>
      </w:pPr>
      <w:r>
        <w:rPr>
          <w:rFonts w:hint="eastAsia"/>
          <w:b/>
          <w:color w:val="auto"/>
          <w:sz w:val="21"/>
          <w:szCs w:val="21"/>
          <w:highlight w:val="none"/>
        </w:rPr>
        <w:t>6．详细评标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rPr>
          <w:color w:val="auto"/>
          <w:sz w:val="20"/>
          <w:szCs w:val="20"/>
          <w:highlight w:val="none"/>
        </w:rPr>
      </w:pPr>
      <w:r>
        <w:rPr>
          <w:rFonts w:hint="eastAsia"/>
          <w:color w:val="auto"/>
          <w:sz w:val="21"/>
          <w:szCs w:val="21"/>
          <w:highlight w:val="none"/>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6.2评标时，评标委员会各成员应当独立对每个投标人的投标文件进行评价、评分，然后汇总每个投标人每项评分因素的得分。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6.3投标人在评标过程中，所进行的试图影响评标结果的不符合招标规则的活动，可能导致其被取消中标资格。</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rPr>
        <w:t>6.4评分标准：具体</w:t>
      </w:r>
      <w:r>
        <w:rPr>
          <w:rFonts w:hint="eastAsia"/>
          <w:color w:val="auto"/>
          <w:sz w:val="21"/>
          <w:szCs w:val="21"/>
          <w:highlight w:val="none"/>
          <w:lang w:val="en-US"/>
        </w:rPr>
        <w:t>见三、评标标准</w:t>
      </w:r>
    </w:p>
    <w:p>
      <w:pPr>
        <w:adjustRightInd w:val="0"/>
        <w:snapToGrid w:val="0"/>
        <w:spacing w:line="360" w:lineRule="auto"/>
        <w:rPr>
          <w:b/>
          <w:color w:val="auto"/>
          <w:sz w:val="21"/>
          <w:szCs w:val="21"/>
          <w:highlight w:val="none"/>
        </w:rPr>
      </w:pPr>
      <w:r>
        <w:rPr>
          <w:rFonts w:hint="eastAsia"/>
          <w:b/>
          <w:color w:val="auto"/>
          <w:sz w:val="21"/>
          <w:szCs w:val="21"/>
          <w:highlight w:val="none"/>
        </w:rPr>
        <w:t>7．推荐中标候选人名单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7.2评标结果汇总完成后，除下列情形外，任何人不得修改评标结果：</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(1)分值汇总计算错误的；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(2)分项评分超出评分标准范围的；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(3)评标委员会成员对客观评标因素评分不一致的；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(4)经评标委员会认定评分畸高、畸低的。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投标人对上述（1)～(4)提出质疑的，采购人或者采购代理机构可以组织原评标委员会进行重新评标，重新评标改变评标结果的，应当书面报告本级财政部门。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7.3评标委员会根据全体评标成员签字的原始评标记录和评标结果编写评标报告。评标报告应当包括以下内容：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（1）招标公告刊登的媒体名称、开标日期和地点；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（2）投标人名单和评标委员会成员名单；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（3）评标方法和标准；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（4）开标记录和评标情况及说明，包括无效投标人名单及原因；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（5）评标结果，确定的中标候选人名单或者经采购人委托直接确定的中标人；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（6）其他需要说明的情况，包括评标过程中投标人根据评标委员会要求进行的澄清、说明或者补正，评标委员会成员的更换等。</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7.4本次招标采购推荐的中标候选人数量见投标须知前附表。</w:t>
      </w:r>
    </w:p>
    <w:p>
      <w:pPr>
        <w:pStyle w:val="6"/>
        <w:outlineLvl w:val="1"/>
        <w:rPr>
          <w:rFonts w:ascii="宋体" w:hAnsi="宋体" w:eastAsia="宋体" w:cs="宋体"/>
          <w:color w:val="auto"/>
          <w:sz w:val="28"/>
          <w:szCs w:val="28"/>
          <w:highlight w:val="none"/>
        </w:rPr>
      </w:pPr>
      <w:bookmarkStart w:id="65" w:name="_Toc30712"/>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rPr>
        <w:t>、评标中的落实政府采购政策具体办法</w:t>
      </w:r>
      <w:bookmarkEnd w:id="65"/>
    </w:p>
    <w:p>
      <w:pPr>
        <w:pStyle w:val="33"/>
        <w:tabs>
          <w:tab w:val="left" w:pos="908"/>
        </w:tabs>
        <w:spacing w:before="0"/>
        <w:ind w:left="0" w:firstLine="422" w:firstLineChars="200"/>
        <w:rPr>
          <w:b/>
          <w:bCs/>
          <w:color w:val="auto"/>
          <w:sz w:val="21"/>
          <w:szCs w:val="21"/>
          <w:highlight w:val="none"/>
          <w:lang w:val="en-US"/>
        </w:rPr>
      </w:pPr>
      <w:bookmarkStart w:id="66" w:name="_bookmark68"/>
      <w:bookmarkEnd w:id="66"/>
      <w:r>
        <w:rPr>
          <w:rFonts w:hint="eastAsia"/>
          <w:b/>
          <w:bCs/>
          <w:color w:val="auto"/>
          <w:sz w:val="21"/>
          <w:szCs w:val="21"/>
          <w:highlight w:val="none"/>
          <w:lang w:val="en-US"/>
        </w:rPr>
        <w:t>1、促进中小企业、残疾人福利性单位、监狱企业政策落实</w:t>
      </w:r>
    </w:p>
    <w:p>
      <w:pPr>
        <w:tabs>
          <w:tab w:val="left" w:pos="908"/>
        </w:tabs>
        <w:spacing w:line="360" w:lineRule="auto"/>
        <w:ind w:firstLine="420" w:firstLineChars="200"/>
        <w:rPr>
          <w:color w:val="auto"/>
          <w:kern w:val="2"/>
          <w:sz w:val="21"/>
          <w:szCs w:val="21"/>
          <w:highlight w:val="none"/>
          <w:lang w:val="en-US"/>
        </w:rPr>
      </w:pPr>
      <w:bookmarkStart w:id="67" w:name="_bookmark69"/>
      <w:bookmarkEnd w:id="67"/>
      <w:r>
        <w:rPr>
          <w:rFonts w:hint="eastAsia"/>
          <w:color w:val="auto"/>
          <w:kern w:val="2"/>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（2）在政府采购活动中，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提供的货物、工程或者服务符合下列情形的，享受本办法规定的中小企业扶持政策：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（一）在货物采购项目中，货物由中小企业制造，即货物由中小企业生产且使用该中小企业商号或者注册商标；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（二）在工程采购项目中，工程由中小企业承建，即工程施工单位为中小企业；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在货物采购项目中，</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 xml:space="preserve">提供的货物既有中小企业制造货物，也有大型企业制造货物的，不享受本办法规定的中小企业扶持政策。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价格扣除比例或者价格分加分比例对小型企业和微型企业同等对待，不作区分。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（4）中小企业参加政府采购活动，应当出具《中小企业声明函》，否则不得享受相关中小企业扶持政策，《中小企业声明函》格式见投标文件格式。</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（6）根据《关于促进残疾人就业政府采购政策的通知》（财库〔2017〕141 号）规定， </w:t>
      </w:r>
      <w:r>
        <w:rPr>
          <w:rFonts w:hint="eastAsia"/>
          <w:color w:val="auto"/>
          <w:kern w:val="2"/>
          <w:sz w:val="21"/>
          <w:szCs w:val="21"/>
          <w:highlight w:val="none"/>
          <w:lang w:val="en-US" w:eastAsia="zh-CN"/>
        </w:rPr>
        <w:t>投标人</w:t>
      </w:r>
      <w:r>
        <w:rPr>
          <w:rFonts w:hint="eastAsia"/>
          <w:color w:val="auto"/>
          <w:kern w:val="2"/>
          <w:sz w:val="21"/>
          <w:szCs w:val="21"/>
          <w:highlight w:val="none"/>
          <w:lang w:val="en-US"/>
        </w:rPr>
        <w:t>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（一）安置的残疾人占本单位在职职工人数的比例不低于 25%（含 25%），并且安置的残疾人人数不少于 10 人（含 10 人）；</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（二）依法与安置的每位残疾人签订了一年以上（含一年）的劳动合同或服务协议；</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（三）为安置的每位残疾人按月足额缴纳了基本养老保险、基本医疗保险、失业保险、工伤保险和生育保险等社会保险费；</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（7）具体扣除比例说明：</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（一）对给予中小企业的扣除说明：</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1.是否为专门面向中小企业采购：否</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2.是否为本项目面向中小企业采购预留份额：否</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3.符合要求的中小型和微型企业扣除比例：</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对符合规定的小微企业报价给予10%~20%（工程项目为6%~10%）的扣除，用扣除后的价格参与评标，本项目具体扣除比例为10%。</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4.政府采购项目价格和得分计算方法。</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1）适用价格扣除方法政府采购项目价格及得分计算方法：</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评标价格=投标报价-投标报价*扣除比例；</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投标报价得分=（评标基准价/评标价格）*价格权值*100</w:t>
      </w:r>
    </w:p>
    <w:p>
      <w:pPr>
        <w:tabs>
          <w:tab w:val="left" w:pos="908"/>
        </w:tabs>
        <w:spacing w:line="360" w:lineRule="auto"/>
        <w:ind w:firstLine="420" w:firstLineChars="200"/>
        <w:rPr>
          <w:rFonts w:hint="eastAsia"/>
          <w:color w:val="auto"/>
          <w:kern w:val="2"/>
          <w:sz w:val="21"/>
          <w:szCs w:val="21"/>
          <w:highlight w:val="none"/>
          <w:lang w:val="en-US"/>
        </w:rPr>
      </w:pPr>
      <w:r>
        <w:rPr>
          <w:rFonts w:hint="eastAsia"/>
          <w:color w:val="auto"/>
          <w:kern w:val="2"/>
          <w:sz w:val="21"/>
          <w:szCs w:val="21"/>
          <w:highlight w:val="none"/>
          <w:lang w:val="en-US"/>
        </w:rPr>
        <w:t>2）适用招标投标法的政府采购工程项目按照综合评估法（未采用低价优先法）计算基础价格得分后，按以下公式计算最终报价得分。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最终报价得分=基础价格得分+基础价格得分*加分比例；</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（二）对给予</w:t>
      </w:r>
      <w:r>
        <w:rPr>
          <w:rFonts w:hint="eastAsia"/>
          <w:color w:val="auto"/>
          <w:sz w:val="21"/>
          <w:szCs w:val="24"/>
          <w:highlight w:val="none"/>
        </w:rPr>
        <w:t>残疾人</w:t>
      </w:r>
      <w:r>
        <w:rPr>
          <w:rFonts w:hint="eastAsia"/>
          <w:color w:val="auto"/>
          <w:sz w:val="21"/>
          <w:szCs w:val="24"/>
          <w:highlight w:val="none"/>
          <w:lang w:val="en-US"/>
        </w:rPr>
        <w:t>企业</w:t>
      </w:r>
      <w:r>
        <w:rPr>
          <w:rFonts w:hint="eastAsia"/>
          <w:color w:val="auto"/>
          <w:sz w:val="21"/>
          <w:szCs w:val="24"/>
          <w:highlight w:val="none"/>
        </w:rPr>
        <w:t>、</w:t>
      </w:r>
      <w:r>
        <w:rPr>
          <w:rFonts w:hint="eastAsia"/>
          <w:color w:val="auto"/>
          <w:sz w:val="21"/>
          <w:szCs w:val="24"/>
          <w:highlight w:val="none"/>
          <w:lang w:val="en-US"/>
        </w:rPr>
        <w:t>监狱企业的扣除说明：</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w:t>
      </w:r>
      <w:r>
        <w:rPr>
          <w:rFonts w:hint="eastAsia"/>
          <w:color w:val="auto"/>
          <w:sz w:val="21"/>
          <w:szCs w:val="24"/>
          <w:highlight w:val="none"/>
          <w:lang w:val="en-US" w:eastAsia="zh-CN"/>
        </w:rPr>
        <w:t>投标人</w:t>
      </w:r>
      <w:r>
        <w:rPr>
          <w:rFonts w:hint="eastAsia"/>
          <w:color w:val="auto"/>
          <w:sz w:val="21"/>
          <w:szCs w:val="24"/>
          <w:highlight w:val="none"/>
          <w:lang w:val="en-US"/>
        </w:rPr>
        <w:t>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color w:val="auto"/>
          <w:kern w:val="2"/>
          <w:sz w:val="21"/>
          <w:szCs w:val="21"/>
          <w:highlight w:val="none"/>
          <w:lang w:val="en-US" w:eastAsia="zh-CN" w:bidi="ar-SA"/>
        </w:rPr>
        <w:t>本项目具体扣除比例为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2.监狱企业扶持政策：</w:t>
      </w:r>
      <w:r>
        <w:rPr>
          <w:rFonts w:hint="eastAsia"/>
          <w:color w:val="auto"/>
          <w:sz w:val="21"/>
          <w:szCs w:val="24"/>
          <w:highlight w:val="none"/>
          <w:lang w:val="en-US" w:eastAsia="zh-CN"/>
        </w:rPr>
        <w:t>投标人</w:t>
      </w:r>
      <w:r>
        <w:rPr>
          <w:rFonts w:hint="eastAsia"/>
          <w:color w:val="auto"/>
          <w:sz w:val="21"/>
          <w:szCs w:val="24"/>
          <w:highlight w:val="none"/>
          <w:lang w:val="en-US"/>
        </w:rPr>
        <w:t>如为监狱企业将视同为小型或微型企业，享受预留份额、评审中价格扣除等政府采购促进中小企业发展的政府采购政策。应提供由省级以上监狱管理局、戒毒管理局（含新疆生产建设兵团）出具的属于监狱企业的证明文件。</w:t>
      </w:r>
      <w:r>
        <w:rPr>
          <w:rFonts w:hint="eastAsia"/>
          <w:color w:val="auto"/>
          <w:sz w:val="21"/>
          <w:szCs w:val="24"/>
          <w:highlight w:val="none"/>
          <w:lang w:val="en-US" w:eastAsia="zh-CN"/>
        </w:rPr>
        <w:t>投标人</w:t>
      </w:r>
      <w:r>
        <w:rPr>
          <w:rFonts w:hint="eastAsia"/>
          <w:color w:val="auto"/>
          <w:sz w:val="21"/>
          <w:szCs w:val="24"/>
          <w:highlight w:val="none"/>
          <w:lang w:val="en-US"/>
        </w:rPr>
        <w:t>应对提交的属于监狱企业的证明文件的真实性负责，提交的监狱企业的证明文件不真实的，应承担相应的法律责任。</w:t>
      </w:r>
      <w:r>
        <w:rPr>
          <w:rFonts w:hint="eastAsia" w:ascii="宋体" w:hAnsi="宋体" w:eastAsia="宋体" w:cs="宋体"/>
          <w:b/>
          <w:bCs/>
          <w:color w:val="auto"/>
          <w:kern w:val="2"/>
          <w:sz w:val="21"/>
          <w:szCs w:val="21"/>
          <w:highlight w:val="none"/>
          <w:lang w:val="en-US" w:eastAsia="zh-CN" w:bidi="ar-SA"/>
        </w:rPr>
        <w:t>本项目具体扣除比例为</w:t>
      </w:r>
      <w:r>
        <w:rPr>
          <w:rFonts w:hint="eastAsia"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w:t>
      </w:r>
    </w:p>
    <w:p>
      <w:pPr>
        <w:pStyle w:val="33"/>
        <w:tabs>
          <w:tab w:val="left" w:pos="908"/>
        </w:tabs>
        <w:spacing w:before="0"/>
        <w:ind w:left="0" w:firstLine="422" w:firstLineChars="200"/>
        <w:rPr>
          <w:b/>
          <w:bCs/>
          <w:color w:val="auto"/>
          <w:sz w:val="21"/>
          <w:szCs w:val="21"/>
          <w:highlight w:val="none"/>
          <w:lang w:val="en-US"/>
        </w:rPr>
      </w:pPr>
      <w:r>
        <w:rPr>
          <w:rFonts w:hint="eastAsia"/>
          <w:b/>
          <w:bCs/>
          <w:color w:val="auto"/>
          <w:sz w:val="21"/>
          <w:szCs w:val="21"/>
          <w:highlight w:val="none"/>
          <w:lang w:val="en-US"/>
        </w:rPr>
        <w:t>2、鼓励节能、环保政策落实</w:t>
      </w:r>
    </w:p>
    <w:p>
      <w:pPr>
        <w:tabs>
          <w:tab w:val="left" w:pos="908"/>
        </w:tabs>
        <w:spacing w:line="360" w:lineRule="auto"/>
        <w:ind w:firstLine="420" w:firstLineChars="200"/>
        <w:rPr>
          <w:color w:val="auto"/>
          <w:sz w:val="21"/>
          <w:szCs w:val="21"/>
          <w:highlight w:val="none"/>
          <w:lang w:val="en-US"/>
        </w:rPr>
      </w:pPr>
      <w:bookmarkStart w:id="68" w:name="_bookmark70"/>
      <w:bookmarkEnd w:id="68"/>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w:t>
      </w:r>
      <w:r>
        <w:rPr>
          <w:rFonts w:hint="eastAsia"/>
          <w:color w:val="auto"/>
          <w:sz w:val="21"/>
          <w:szCs w:val="21"/>
          <w:highlight w:val="none"/>
          <w:lang w:val="en-US" w:eastAsia="zh-CN"/>
        </w:rPr>
        <w:t>投标人</w:t>
      </w:r>
      <w:r>
        <w:rPr>
          <w:rFonts w:hint="eastAsia"/>
          <w:color w:val="auto"/>
          <w:sz w:val="21"/>
          <w:szCs w:val="21"/>
          <w:highlight w:val="none"/>
          <w:lang w:val="en-US"/>
        </w:rPr>
        <w:t>应提供带有投标产品型号的节能产品认证证书复印件作为证明。</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（2）鼓励环保政策：在性能、技术、服务等指标同等条件下，优先采购国家确定的认证机构出具的、处于有效期之内的环境标志产品认证证书标志产品。投标涉及上述产品的，</w:t>
      </w:r>
      <w:r>
        <w:rPr>
          <w:rFonts w:hint="eastAsia"/>
          <w:color w:val="auto"/>
          <w:sz w:val="21"/>
          <w:szCs w:val="21"/>
          <w:highlight w:val="none"/>
          <w:lang w:val="en-US" w:eastAsia="zh-CN"/>
        </w:rPr>
        <w:t>投标人</w:t>
      </w:r>
      <w:r>
        <w:rPr>
          <w:rFonts w:hint="eastAsia"/>
          <w:color w:val="auto"/>
          <w:sz w:val="21"/>
          <w:szCs w:val="21"/>
          <w:highlight w:val="none"/>
          <w:lang w:val="en-US"/>
        </w:rPr>
        <w:t>应提供带有投标产品型号的环境标志产品认证证书复印件作为证明。</w:t>
      </w:r>
    </w:p>
    <w:p>
      <w:pPr>
        <w:pStyle w:val="6"/>
        <w:outlineLvl w:val="1"/>
        <w:rPr>
          <w:rFonts w:ascii="宋体" w:hAnsi="宋体" w:eastAsia="宋体" w:cs="宋体"/>
          <w:color w:val="auto"/>
          <w:sz w:val="28"/>
          <w:szCs w:val="28"/>
          <w:highlight w:val="none"/>
          <w:lang w:val="en-US"/>
        </w:rPr>
      </w:pPr>
      <w:bookmarkStart w:id="69" w:name="_Toc28891"/>
      <w:r>
        <w:rPr>
          <w:rFonts w:hint="eastAsia" w:ascii="宋体" w:hAnsi="宋体" w:eastAsia="宋体" w:cs="宋体"/>
          <w:color w:val="auto"/>
          <w:sz w:val="28"/>
          <w:szCs w:val="28"/>
          <w:highlight w:val="none"/>
          <w:lang w:val="en-US"/>
        </w:rPr>
        <w:t>四、评标标准</w:t>
      </w:r>
      <w:bookmarkEnd w:id="69"/>
    </w:p>
    <w:p>
      <w:pPr>
        <w:jc w:val="center"/>
        <w:rPr>
          <w:color w:val="auto"/>
          <w:sz w:val="24"/>
          <w:szCs w:val="24"/>
          <w:highlight w:val="none"/>
        </w:rPr>
      </w:pPr>
      <w:r>
        <w:rPr>
          <w:rFonts w:hint="eastAsia"/>
          <w:b/>
          <w:bCs/>
          <w:color w:val="auto"/>
          <w:sz w:val="24"/>
          <w:szCs w:val="24"/>
          <w:highlight w:val="none"/>
        </w:rPr>
        <w:t>详细评标表（满分100分）</w:t>
      </w:r>
    </w:p>
    <w:tbl>
      <w:tblPr>
        <w:tblStyle w:val="29"/>
        <w:tblW w:w="92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17"/>
        <w:gridCol w:w="47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 w:hRule="atLeast"/>
          <w:jc w:val="center"/>
        </w:trPr>
        <w:tc>
          <w:tcPr>
            <w:tcW w:w="4517" w:type="dxa"/>
            <w:tcBorders>
              <w:bottom w:val="single" w:color="000000" w:sz="6" w:space="0"/>
              <w:right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评分因素</w:t>
            </w:r>
          </w:p>
        </w:tc>
        <w:tc>
          <w:tcPr>
            <w:tcW w:w="4719" w:type="dxa"/>
            <w:tcBorders>
              <w:left w:val="single" w:color="000000" w:sz="6" w:space="0"/>
              <w:bottom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分值分配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投标报价</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商务部分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20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技术部分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50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righ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合计</w:t>
            </w:r>
          </w:p>
        </w:tc>
        <w:tc>
          <w:tcPr>
            <w:tcW w:w="4719" w:type="dxa"/>
            <w:tcBorders>
              <w:top w:val="single" w:color="000000" w:sz="6" w:space="0"/>
              <w:lef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100 分</w:t>
            </w:r>
          </w:p>
        </w:tc>
      </w:tr>
    </w:tbl>
    <w:p>
      <w:pPr>
        <w:jc w:val="center"/>
        <w:rPr>
          <w:b/>
          <w:bCs/>
          <w:color w:val="auto"/>
          <w:sz w:val="24"/>
          <w:szCs w:val="24"/>
          <w:highlight w:val="none"/>
        </w:rPr>
      </w:pPr>
      <w:r>
        <w:rPr>
          <w:rFonts w:hint="eastAsia"/>
          <w:b/>
          <w:bCs/>
          <w:color w:val="auto"/>
          <w:sz w:val="24"/>
          <w:szCs w:val="24"/>
          <w:highlight w:val="none"/>
        </w:rPr>
        <w:t>评分细则</w:t>
      </w:r>
    </w:p>
    <w:p>
      <w:pPr>
        <w:jc w:val="center"/>
        <w:rPr>
          <w:b/>
          <w:bCs/>
          <w:color w:val="auto"/>
          <w:sz w:val="24"/>
          <w:szCs w:val="24"/>
          <w:highlight w:val="none"/>
        </w:rPr>
      </w:pPr>
      <w:r>
        <w:rPr>
          <w:rFonts w:hint="eastAsia"/>
          <w:b/>
          <w:bCs/>
          <w:color w:val="auto"/>
          <w:sz w:val="24"/>
          <w:szCs w:val="24"/>
          <w:highlight w:val="none"/>
          <w:lang w:val="en-US"/>
        </w:rPr>
        <w:t>投标价格部分30分</w:t>
      </w:r>
    </w:p>
    <w:tbl>
      <w:tblPr>
        <w:tblStyle w:val="2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79"/>
        <w:gridCol w:w="940"/>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bCs/>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6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spacing w:val="0"/>
                <w:w w:val="100"/>
                <w:kern w:val="2"/>
                <w:position w:val="0"/>
                <w:sz w:val="21"/>
                <w:szCs w:val="21"/>
                <w:highlight w:val="none"/>
                <w:vertAlign w:val="baseline"/>
                <w:lang w:val="en-US" w:eastAsia="zh-CN" w:bidi="ar-SA"/>
              </w:rPr>
              <w:t>1</w:t>
            </w:r>
          </w:p>
        </w:tc>
        <w:tc>
          <w:tcPr>
            <w:tcW w:w="132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cs="宋体"/>
                <w:b w:val="0"/>
                <w:bCs w:val="0"/>
                <w:color w:val="auto"/>
                <w:spacing w:val="0"/>
                <w:w w:val="100"/>
                <w:kern w:val="2"/>
                <w:position w:val="0"/>
                <w:sz w:val="21"/>
                <w:szCs w:val="21"/>
                <w:highlight w:val="none"/>
                <w:vertAlign w:val="baseline"/>
                <w:lang w:val="en-US" w:eastAsia="zh-CN" w:bidi="ar-SA"/>
              </w:rPr>
              <w:t>投标报价</w:t>
            </w:r>
            <w:r>
              <w:rPr>
                <w:rFonts w:hint="eastAsia" w:ascii="宋体" w:hAnsi="宋体" w:eastAsia="宋体" w:cs="宋体"/>
                <w:b w:val="0"/>
                <w:bCs w:val="0"/>
                <w:color w:val="auto"/>
                <w:kern w:val="2"/>
                <w:sz w:val="21"/>
                <w:szCs w:val="21"/>
                <w:highlight w:val="none"/>
                <w:vertAlign w:val="baseline"/>
                <w:lang w:val="en-US" w:eastAsia="zh-CN" w:bidi="ar-SA"/>
              </w:rPr>
              <w:t>（</w:t>
            </w:r>
            <w:r>
              <w:rPr>
                <w:rFonts w:hint="eastAsia" w:cs="宋体"/>
                <w:b w:val="0"/>
                <w:bCs w:val="0"/>
                <w:color w:val="auto"/>
                <w:kern w:val="2"/>
                <w:sz w:val="21"/>
                <w:szCs w:val="21"/>
                <w:highlight w:val="none"/>
                <w:vertAlign w:val="baseline"/>
                <w:lang w:val="en-US" w:eastAsia="zh-CN" w:bidi="ar-SA"/>
              </w:rPr>
              <w:t>监狱企业，</w:t>
            </w:r>
            <w:r>
              <w:rPr>
                <w:rFonts w:hint="eastAsia" w:ascii="宋体" w:hAnsi="宋体" w:eastAsia="宋体" w:cs="宋体"/>
                <w:b w:val="0"/>
                <w:bCs w:val="0"/>
                <w:color w:val="auto"/>
                <w:kern w:val="2"/>
                <w:sz w:val="21"/>
                <w:szCs w:val="21"/>
                <w:highlight w:val="none"/>
                <w:vertAlign w:val="baseline"/>
                <w:lang w:val="en-US" w:eastAsia="zh-CN" w:bidi="ar-SA"/>
              </w:rPr>
              <w:t>残疾人福利性单位，属于小型、微型企业的，不重复享受政策。）</w:t>
            </w:r>
          </w:p>
        </w:tc>
        <w:tc>
          <w:tcPr>
            <w:tcW w:w="9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cs="宋体"/>
                <w:color w:val="auto"/>
                <w:spacing w:val="0"/>
                <w:w w:val="100"/>
                <w:kern w:val="2"/>
                <w:position w:val="0"/>
                <w:sz w:val="21"/>
                <w:szCs w:val="21"/>
                <w:highlight w:val="none"/>
                <w:vertAlign w:val="baseline"/>
                <w:lang w:val="en-US" w:eastAsia="zh-CN" w:bidi="ar-SA"/>
              </w:rPr>
              <w:t>3</w:t>
            </w:r>
            <w:r>
              <w:rPr>
                <w:rFonts w:hint="eastAsia" w:ascii="宋体" w:hAnsi="宋体" w:eastAsia="宋体" w:cs="宋体"/>
                <w:color w:val="auto"/>
                <w:spacing w:val="0"/>
                <w:w w:val="100"/>
                <w:kern w:val="2"/>
                <w:position w:val="0"/>
                <w:sz w:val="21"/>
                <w:szCs w:val="21"/>
                <w:highlight w:val="none"/>
                <w:vertAlign w:val="baseline"/>
                <w:lang w:val="en-US" w:eastAsia="zh-CN" w:bidi="ar-SA"/>
              </w:rPr>
              <w:t>0分</w:t>
            </w:r>
          </w:p>
        </w:tc>
        <w:tc>
          <w:tcPr>
            <w:tcW w:w="6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ar-SA"/>
              </w:rPr>
              <w:t>投标人</w:t>
            </w:r>
            <w:r>
              <w:rPr>
                <w:rFonts w:hint="eastAsia" w:ascii="宋体" w:hAnsi="宋体" w:eastAsia="宋体" w:cs="宋体"/>
                <w:color w:val="auto"/>
                <w:spacing w:val="0"/>
                <w:w w:val="100"/>
                <w:kern w:val="2"/>
                <w:position w:val="0"/>
                <w:sz w:val="21"/>
                <w:szCs w:val="21"/>
                <w:highlight w:val="none"/>
                <w:lang w:val="en-US" w:eastAsia="zh-CN" w:bidi="ar-SA"/>
              </w:rPr>
              <w:t>的价格分统一按照下列公式计算：</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ar-SA"/>
              </w:rPr>
              <w:t>投标报价</w:t>
            </w:r>
            <w:r>
              <w:rPr>
                <w:rFonts w:hint="eastAsia" w:ascii="宋体" w:hAnsi="宋体" w:eastAsia="宋体" w:cs="宋体"/>
                <w:color w:val="auto"/>
                <w:spacing w:val="0"/>
                <w:w w:val="100"/>
                <w:kern w:val="2"/>
                <w:position w:val="0"/>
                <w:sz w:val="21"/>
                <w:szCs w:val="21"/>
                <w:highlight w:val="none"/>
                <w:lang w:val="en-US" w:eastAsia="zh-CN" w:bidi="ar-SA"/>
              </w:rPr>
              <w:t>得分=（评标基准价／</w:t>
            </w:r>
            <w:r>
              <w:rPr>
                <w:rFonts w:hint="eastAsia" w:ascii="宋体" w:hAnsi="宋体" w:eastAsia="宋体" w:cs="宋体"/>
                <w:color w:val="auto"/>
                <w:kern w:val="2"/>
                <w:sz w:val="21"/>
                <w:szCs w:val="21"/>
                <w:highlight w:val="none"/>
                <w:lang w:val="en-US" w:eastAsia="zh-CN" w:bidi="ar-SA"/>
              </w:rPr>
              <w:t>修正后</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spacing w:val="0"/>
                <w:w w:val="100"/>
                <w:kern w:val="2"/>
                <w:position w:val="0"/>
                <w:sz w:val="21"/>
                <w:szCs w:val="21"/>
                <w:highlight w:val="none"/>
                <w:lang w:val="en-US" w:eastAsia="zh-CN" w:bidi="ar-SA"/>
              </w:rPr>
              <w:t>）×</w:t>
            </w:r>
            <w:r>
              <w:rPr>
                <w:rFonts w:hint="eastAsia" w:cs="宋体"/>
                <w:color w:val="auto"/>
                <w:spacing w:val="0"/>
                <w:w w:val="100"/>
                <w:kern w:val="2"/>
                <w:position w:val="0"/>
                <w:sz w:val="21"/>
                <w:szCs w:val="21"/>
                <w:highlight w:val="none"/>
                <w:lang w:val="en-US" w:eastAsia="zh-CN" w:bidi="ar-SA"/>
              </w:rPr>
              <w:t>3</w:t>
            </w:r>
            <w:r>
              <w:rPr>
                <w:rFonts w:hint="eastAsia" w:ascii="宋体" w:hAnsi="宋体" w:eastAsia="宋体" w:cs="宋体"/>
                <w:color w:val="auto"/>
                <w:spacing w:val="0"/>
                <w:w w:val="100"/>
                <w:kern w:val="2"/>
                <w:position w:val="0"/>
                <w:sz w:val="21"/>
                <w:szCs w:val="21"/>
                <w:highlight w:val="none"/>
                <w:lang w:val="en-US" w:eastAsia="zh-CN" w:bidi="ar-SA"/>
              </w:rPr>
              <w:t>0%×100</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备注：</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w:t>
            </w:r>
            <w:r>
              <w:rPr>
                <w:rFonts w:hint="eastAsia" w:cs="宋体"/>
                <w:color w:val="auto"/>
                <w:spacing w:val="0"/>
                <w:w w:val="100"/>
                <w:kern w:val="2"/>
                <w:position w:val="0"/>
                <w:sz w:val="21"/>
                <w:szCs w:val="21"/>
                <w:highlight w:val="none"/>
                <w:lang w:val="en-US" w:eastAsia="zh-CN" w:bidi="ar-SA"/>
              </w:rPr>
              <w:t>投标报价</w:t>
            </w:r>
            <w:r>
              <w:rPr>
                <w:rFonts w:hint="eastAsia" w:ascii="宋体" w:hAnsi="宋体" w:eastAsia="宋体" w:cs="宋体"/>
                <w:color w:val="auto"/>
                <w:spacing w:val="0"/>
                <w:w w:val="100"/>
                <w:kern w:val="2"/>
                <w:position w:val="0"/>
                <w:sz w:val="21"/>
                <w:szCs w:val="21"/>
                <w:highlight w:val="none"/>
                <w:lang w:val="en-US" w:eastAsia="zh-CN" w:bidi="ar-SA"/>
              </w:rPr>
              <w:t>评分采用低价优先法计算；</w:t>
            </w:r>
          </w:p>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2.评标基准价：满足</w:t>
            </w:r>
            <w:r>
              <w:rPr>
                <w:rFonts w:hint="eastAsia" w:cs="宋体"/>
                <w:color w:val="auto"/>
                <w:kern w:val="2"/>
                <w:sz w:val="21"/>
                <w:szCs w:val="21"/>
                <w:highlight w:val="none"/>
                <w:lang w:val="en-US" w:eastAsia="zh-CN" w:bidi="ar-SA"/>
              </w:rPr>
              <w:t>招标文件</w:t>
            </w:r>
            <w:r>
              <w:rPr>
                <w:rFonts w:hint="eastAsia" w:ascii="宋体" w:hAnsi="宋体" w:eastAsia="宋体" w:cs="宋体"/>
                <w:color w:val="auto"/>
                <w:kern w:val="2"/>
                <w:sz w:val="21"/>
                <w:szCs w:val="21"/>
                <w:highlight w:val="none"/>
                <w:lang w:val="en-US" w:eastAsia="zh-CN" w:bidi="ar-SA"/>
              </w:rPr>
              <w:t>要求且经修正，依据政府采购政策进行价格扣除后的最低报价为评标基准价；</w:t>
            </w:r>
          </w:p>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both"/>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3.修正后</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：评标委员会以</w:t>
            </w:r>
            <w:r>
              <w:rPr>
                <w:rFonts w:hint="eastAsia" w:cs="宋体"/>
                <w:color w:val="auto"/>
                <w:kern w:val="2"/>
                <w:sz w:val="21"/>
                <w:szCs w:val="21"/>
                <w:highlight w:val="none"/>
                <w:lang w:val="en-US" w:eastAsia="zh-CN" w:bidi="ar-SA"/>
              </w:rPr>
              <w:t>最终报价</w:t>
            </w:r>
            <w:r>
              <w:rPr>
                <w:rFonts w:hint="eastAsia" w:ascii="宋体" w:hAnsi="宋体" w:eastAsia="宋体" w:cs="宋体"/>
                <w:color w:val="auto"/>
                <w:kern w:val="2"/>
                <w:sz w:val="21"/>
                <w:szCs w:val="21"/>
                <w:highlight w:val="none"/>
                <w:lang w:val="en-US" w:eastAsia="zh-CN" w:bidi="ar-SA"/>
              </w:rPr>
              <w:t>中</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为基础，对其进行修正，依据政府采购政策进行价格扣除后，作为</w:t>
            </w:r>
            <w:r>
              <w:rPr>
                <w:rFonts w:hint="eastAsia"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eastAsia="zh-CN" w:bidi="ar-SA"/>
              </w:rPr>
              <w:t>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60"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1320"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p>
        </w:tc>
        <w:tc>
          <w:tcPr>
            <w:tcW w:w="900" w:type="dxa"/>
            <w:vMerge w:val="continue"/>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cs="宋体"/>
                <w:color w:val="auto"/>
                <w:spacing w:val="0"/>
                <w:w w:val="100"/>
                <w:kern w:val="2"/>
                <w:position w:val="0"/>
                <w:sz w:val="21"/>
                <w:szCs w:val="21"/>
                <w:highlight w:val="none"/>
                <w:vertAlign w:val="baseline"/>
                <w:lang w:val="en-US" w:eastAsia="zh-CN" w:bidi="ar-SA"/>
              </w:rPr>
            </w:pPr>
          </w:p>
        </w:tc>
        <w:tc>
          <w:tcPr>
            <w:tcW w:w="6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属于中小企业评标优惠内容及价格扣除幅度</w:t>
            </w:r>
            <w:r>
              <w:rPr>
                <w:rFonts w:hint="eastAsia" w:ascii="宋体" w:hAnsi="宋体" w:eastAsia="宋体" w:cs="宋体"/>
                <w:b/>
                <w:bCs/>
                <w:color w:val="auto"/>
                <w:kern w:val="2"/>
                <w:sz w:val="21"/>
                <w:szCs w:val="21"/>
                <w:highlight w:val="none"/>
                <w:lang w:val="en-US" w:eastAsia="zh-CN" w:bidi="ar"/>
              </w:rPr>
              <w:t>，本项目的价格扣除为</w:t>
            </w:r>
            <w:r>
              <w:rPr>
                <w:rFonts w:hint="eastAsia" w:cs="宋体"/>
                <w:b/>
                <w:bCs/>
                <w:color w:val="auto"/>
                <w:kern w:val="2"/>
                <w:sz w:val="21"/>
                <w:szCs w:val="21"/>
                <w:highlight w:val="none"/>
                <w:lang w:val="en-US" w:eastAsia="zh-CN" w:bidi="ar"/>
              </w:rPr>
              <w:t>10</w:t>
            </w:r>
            <w:r>
              <w:rPr>
                <w:rFonts w:hint="eastAsia" w:ascii="宋体" w:hAnsi="宋体" w:eastAsia="宋体" w:cs="宋体"/>
                <w:b/>
                <w:bCs/>
                <w:color w:val="auto"/>
                <w:kern w:val="2"/>
                <w:sz w:val="21"/>
                <w:szCs w:val="21"/>
                <w:highlight w:val="none"/>
                <w:lang w:val="en-US" w:eastAsia="zh-CN" w:bidi="ar"/>
              </w:rPr>
              <w:t>%。具体标准详见“评标中的落实政府采购政策具体办法”。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p>
        </w:tc>
        <w:tc>
          <w:tcPr>
            <w:tcW w:w="132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p>
        </w:tc>
        <w:tc>
          <w:tcPr>
            <w:tcW w:w="9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right="0"/>
              <w:jc w:val="center"/>
              <w:textAlignment w:val="auto"/>
              <w:rPr>
                <w:rFonts w:hint="eastAsia" w:cs="宋体"/>
                <w:color w:val="auto"/>
                <w:spacing w:val="0"/>
                <w:w w:val="100"/>
                <w:kern w:val="2"/>
                <w:position w:val="0"/>
                <w:sz w:val="21"/>
                <w:szCs w:val="21"/>
                <w:highlight w:val="none"/>
                <w:vertAlign w:val="baseline"/>
                <w:lang w:val="en-US" w:eastAsia="zh-CN" w:bidi="ar-SA"/>
              </w:rPr>
            </w:pPr>
          </w:p>
        </w:tc>
        <w:tc>
          <w:tcPr>
            <w:tcW w:w="6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before="0" w:after="0" w:line="240" w:lineRule="auto"/>
              <w:ind w:left="0" w:leftChars="0" w:right="0" w:right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属于享受政府采购支持政策的残疾人福利性单位</w:t>
            </w:r>
            <w:r>
              <w:rPr>
                <w:rFonts w:hint="eastAsia" w:cs="宋体"/>
                <w:b/>
                <w:bCs/>
                <w:color w:val="auto"/>
                <w:kern w:val="2"/>
                <w:sz w:val="21"/>
                <w:szCs w:val="21"/>
                <w:highlight w:val="none"/>
                <w:lang w:val="en-US" w:eastAsia="zh-CN" w:bidi="ar-SA"/>
              </w:rPr>
              <w:t>或监狱企业</w:t>
            </w:r>
            <w:r>
              <w:rPr>
                <w:rFonts w:hint="eastAsia" w:ascii="宋体" w:hAnsi="宋体" w:eastAsia="宋体" w:cs="宋体"/>
                <w:b/>
                <w:bCs/>
                <w:color w:val="auto"/>
                <w:kern w:val="2"/>
                <w:sz w:val="21"/>
                <w:szCs w:val="21"/>
                <w:highlight w:val="none"/>
                <w:lang w:val="en-US" w:eastAsia="zh-CN" w:bidi="ar-SA"/>
              </w:rPr>
              <w:t>评标优惠内容及价格扣除幅度</w:t>
            </w:r>
            <w:r>
              <w:rPr>
                <w:rFonts w:hint="eastAsia" w:ascii="宋体" w:hAnsi="宋体" w:eastAsia="宋体" w:cs="宋体"/>
                <w:b/>
                <w:bCs/>
                <w:color w:val="auto"/>
                <w:kern w:val="2"/>
                <w:sz w:val="21"/>
                <w:szCs w:val="21"/>
                <w:highlight w:val="none"/>
                <w:lang w:val="en-US" w:eastAsia="zh-CN" w:bidi="ar"/>
              </w:rPr>
              <w:t>按小型、微型企业评标中价格扣除</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
              </w:rPr>
              <w:t>本项目的价格扣除为</w:t>
            </w:r>
            <w:r>
              <w:rPr>
                <w:rFonts w:hint="eastAsia" w:cs="宋体"/>
                <w:b/>
                <w:bCs/>
                <w:color w:val="auto"/>
                <w:kern w:val="2"/>
                <w:sz w:val="21"/>
                <w:szCs w:val="21"/>
                <w:highlight w:val="none"/>
                <w:lang w:val="en-US" w:eastAsia="zh-CN" w:bidi="ar"/>
              </w:rPr>
              <w:t>10</w:t>
            </w:r>
            <w:r>
              <w:rPr>
                <w:rFonts w:hint="eastAsia" w:ascii="宋体" w:hAnsi="宋体" w:eastAsia="宋体" w:cs="宋体"/>
                <w:b/>
                <w:bCs/>
                <w:color w:val="auto"/>
                <w:kern w:val="2"/>
                <w:sz w:val="21"/>
                <w:szCs w:val="21"/>
                <w:highlight w:val="none"/>
                <w:lang w:val="en-US" w:eastAsia="zh-CN" w:bidi="ar"/>
              </w:rPr>
              <w:t>%。具体标准详见“评标中的落实政府采购政策具体办法”。</w:t>
            </w:r>
          </w:p>
        </w:tc>
      </w:tr>
    </w:tbl>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lang w:val="zh-CN" w:eastAsia="zh-CN"/>
        </w:rPr>
      </w:pPr>
      <w:r>
        <w:rPr>
          <w:rFonts w:hint="eastAsia" w:ascii="宋体" w:hAnsi="宋体" w:eastAsia="宋体" w:cs="宋体"/>
          <w:b/>
          <w:bCs/>
          <w:color w:val="auto"/>
          <w:spacing w:val="0"/>
          <w:w w:val="100"/>
          <w:position w:val="0"/>
          <w:sz w:val="22"/>
          <w:szCs w:val="22"/>
          <w:highlight w:val="none"/>
          <w:shd w:val="clear" w:color="auto" w:fill="auto"/>
          <w:lang w:val="en-US" w:eastAsia="zh-CN"/>
        </w:rPr>
        <w:t>商务部分</w:t>
      </w:r>
      <w:r>
        <w:rPr>
          <w:rFonts w:hint="eastAsia" w:cs="宋体"/>
          <w:b/>
          <w:bCs/>
          <w:color w:val="auto"/>
          <w:spacing w:val="0"/>
          <w:w w:val="100"/>
          <w:position w:val="0"/>
          <w:sz w:val="22"/>
          <w:szCs w:val="22"/>
          <w:highlight w:val="none"/>
          <w:shd w:val="clear" w:color="auto" w:fill="auto"/>
          <w:lang w:val="en-US" w:eastAsia="zh-CN"/>
        </w:rPr>
        <w:t>20</w:t>
      </w:r>
      <w:r>
        <w:rPr>
          <w:rFonts w:hint="eastAsia" w:ascii="宋体" w:hAnsi="宋体" w:eastAsia="宋体" w:cs="宋体"/>
          <w:b/>
          <w:bCs/>
          <w:color w:val="auto"/>
          <w:spacing w:val="0"/>
          <w:w w:val="100"/>
          <w:position w:val="0"/>
          <w:sz w:val="22"/>
          <w:szCs w:val="22"/>
          <w:highlight w:val="none"/>
          <w:shd w:val="clear" w:color="auto" w:fill="auto"/>
          <w:lang w:val="en-US" w:eastAsia="zh-CN"/>
        </w:rPr>
        <w:t>分</w:t>
      </w:r>
    </w:p>
    <w:tbl>
      <w:tblPr>
        <w:tblStyle w:val="2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692"/>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b w:val="0"/>
                <w:bCs w:val="0"/>
                <w:color w:val="auto"/>
                <w:spacing w:val="0"/>
                <w:w w:val="100"/>
                <w:kern w:val="2"/>
                <w:position w:val="0"/>
                <w:sz w:val="21"/>
                <w:szCs w:val="21"/>
                <w:highlight w:val="none"/>
                <w:vertAlign w:val="baseline"/>
                <w:lang w:val="en-US" w:eastAsia="zh-CN" w:bidi="ar-SA"/>
              </w:rPr>
            </w:pPr>
            <w:r>
              <w:rPr>
                <w:rFonts w:hint="eastAsia" w:ascii="宋体"/>
                <w:color w:val="auto"/>
                <w:sz w:val="21"/>
                <w:szCs w:val="21"/>
                <w:highlight w:val="none"/>
                <w:lang w:val="en-US" w:bidi="ar"/>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color w:val="auto"/>
                <w:sz w:val="21"/>
                <w:szCs w:val="21"/>
                <w:lang w:val="en-US" w:eastAsia="zh-CN" w:bidi="ar"/>
              </w:rPr>
            </w:pPr>
            <w:r>
              <w:rPr>
                <w:rFonts w:hint="eastAsia" w:ascii="宋体"/>
                <w:color w:val="auto"/>
                <w:kern w:val="2"/>
                <w:sz w:val="21"/>
                <w:szCs w:val="21"/>
                <w:highlight w:val="none"/>
                <w:lang w:val="en-US" w:bidi="ar-SA"/>
              </w:rPr>
              <w:t>类似业绩</w:t>
            </w:r>
          </w:p>
        </w:tc>
        <w:tc>
          <w:tcPr>
            <w:tcW w:w="692"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color w:val="auto"/>
                <w:sz w:val="21"/>
                <w:szCs w:val="21"/>
                <w:lang w:val="en-US" w:eastAsia="zh-CN" w:bidi="ar"/>
              </w:rPr>
            </w:pPr>
            <w:r>
              <w:rPr>
                <w:rFonts w:hint="eastAsia" w:ascii="宋体"/>
                <w:color w:val="auto"/>
                <w:kern w:val="2"/>
                <w:sz w:val="21"/>
                <w:szCs w:val="21"/>
                <w:highlight w:val="none"/>
                <w:lang w:val="en-US" w:bidi="ar-SA"/>
              </w:rPr>
              <w:t>5分</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adjustRightInd w:val="0"/>
              <w:jc w:val="both"/>
              <w:rPr>
                <w:rFonts w:hint="eastAsia" w:ascii="宋体" w:hAnsi="宋体" w:eastAsia="宋体" w:cs="宋体"/>
                <w:b w:val="0"/>
                <w:bCs w:val="0"/>
                <w:color w:val="auto"/>
                <w:spacing w:val="0"/>
                <w:w w:val="100"/>
                <w:kern w:val="2"/>
                <w:position w:val="0"/>
                <w:sz w:val="21"/>
                <w:szCs w:val="21"/>
                <w:highlight w:val="none"/>
                <w:lang w:val="en-US" w:eastAsia="zh-CN" w:bidi="ar-SA"/>
              </w:rPr>
            </w:pP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应提供近三年（2019 年至 2022 年）同类产品（同类产品指：至少包含核心产品）的相关业绩证明资料（合同首页、金额页、合同双方盖章页）。（审核依据为证明资料复印件并加盖</w:t>
            </w: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单位公章）每提供一份有效的业绩得 1 分，满分为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color w:val="auto"/>
                <w:sz w:val="21"/>
                <w:szCs w:val="21"/>
                <w:highlight w:val="none"/>
                <w:lang w:val="en-US" w:bidi="ar"/>
              </w:rPr>
              <w:t>2</w:t>
            </w:r>
          </w:p>
        </w:tc>
        <w:tc>
          <w:tcPr>
            <w:tcW w:w="1260" w:type="dxa"/>
            <w:tcBorders>
              <w:top w:val="single" w:color="auto" w:sz="4" w:space="0"/>
              <w:left w:val="single" w:color="auto" w:sz="4" w:space="0"/>
              <w:right w:val="single" w:color="auto" w:sz="4" w:space="0"/>
            </w:tcBorders>
            <w:noWrap w:val="0"/>
            <w:vAlign w:val="center"/>
          </w:tcPr>
          <w:p>
            <w:pPr>
              <w:adjustRightInd w:val="0"/>
              <w:jc w:val="center"/>
              <w:rPr>
                <w:rFonts w:hint="eastAsia" w:ascii="宋体" w:hAnsi="宋体" w:eastAsia="宋体" w:cs="宋体"/>
                <w:color w:val="auto"/>
                <w:sz w:val="21"/>
                <w:szCs w:val="21"/>
                <w:lang w:val="en-US" w:eastAsia="zh-CN" w:bidi="zh-CN"/>
              </w:rPr>
            </w:pPr>
            <w:r>
              <w:rPr>
                <w:rFonts w:hint="eastAsia" w:ascii="宋体"/>
                <w:color w:val="auto"/>
                <w:kern w:val="2"/>
                <w:sz w:val="21"/>
                <w:szCs w:val="21"/>
                <w:highlight w:val="none"/>
                <w:lang w:val="en-US" w:bidi="ar-SA"/>
              </w:rPr>
              <w:t>产品认证</w:t>
            </w:r>
          </w:p>
        </w:tc>
        <w:tc>
          <w:tcPr>
            <w:tcW w:w="692" w:type="dxa"/>
            <w:tcBorders>
              <w:top w:val="single" w:color="auto" w:sz="4" w:space="0"/>
              <w:left w:val="single" w:color="auto" w:sz="4" w:space="0"/>
              <w:right w:val="single" w:color="auto" w:sz="4" w:space="0"/>
            </w:tcBorders>
            <w:noWrap w:val="0"/>
            <w:vAlign w:val="center"/>
          </w:tcPr>
          <w:p>
            <w:pPr>
              <w:adjustRightInd w:val="0"/>
              <w:jc w:val="center"/>
              <w:rPr>
                <w:rFonts w:hint="eastAsia" w:ascii="宋体" w:hAnsi="宋体" w:eastAsia="宋体" w:cs="宋体"/>
                <w:color w:val="auto"/>
                <w:sz w:val="21"/>
                <w:szCs w:val="21"/>
                <w:lang w:val="en-US" w:eastAsia="zh-CN" w:bidi="zh-CN"/>
              </w:rPr>
            </w:pPr>
            <w:r>
              <w:rPr>
                <w:rFonts w:hint="eastAsia" w:ascii="宋体"/>
                <w:color w:val="auto"/>
                <w:kern w:val="2"/>
                <w:sz w:val="21"/>
                <w:szCs w:val="21"/>
                <w:highlight w:val="none"/>
                <w:lang w:val="en-US" w:bidi="ar-SA"/>
              </w:rPr>
              <w:t>2分</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adjustRightInd w:val="0"/>
              <w:jc w:val="both"/>
              <w:rPr>
                <w:rFonts w:hint="default" w:ascii="宋体" w:hAnsi="宋体" w:eastAsia="宋体" w:cs="宋体"/>
                <w:color w:val="auto"/>
                <w:sz w:val="21"/>
                <w:szCs w:val="21"/>
                <w:lang w:val="en-US" w:eastAsia="zh-CN" w:bidi="zh-CN"/>
              </w:rPr>
            </w:pPr>
            <w:r>
              <w:rPr>
                <w:rFonts w:hint="eastAsia"/>
                <w:color w:val="auto"/>
                <w:kern w:val="2"/>
                <w:sz w:val="21"/>
                <w:szCs w:val="21"/>
                <w:highlight w:val="none"/>
                <w:lang w:val="en-US" w:eastAsia="zh-CN" w:bidi="ar-SA"/>
              </w:rPr>
              <w:t>投标人</w:t>
            </w:r>
            <w:r>
              <w:rPr>
                <w:rFonts w:hint="eastAsia" w:ascii="宋体"/>
                <w:color w:val="auto"/>
                <w:kern w:val="2"/>
                <w:sz w:val="21"/>
                <w:szCs w:val="21"/>
                <w:highlight w:val="none"/>
                <w:lang w:val="en-US" w:bidi="ar-SA"/>
              </w:rPr>
              <w:t>需提供设备厂家商务资质：3C认证证书，CE认证证书，ROHS认证证书，ISO9001体系认证证书，OHSAS18001体系认证证书；每提供一项认证加0.5分，最高得2分。未提供不得分。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eastAsia="宋体" w:cs="宋体"/>
                <w:color w:val="auto"/>
                <w:spacing w:val="0"/>
                <w:w w:val="100"/>
                <w:kern w:val="2"/>
                <w:position w:val="0"/>
                <w:sz w:val="21"/>
                <w:szCs w:val="21"/>
                <w:highlight w:val="none"/>
                <w:vertAlign w:val="baseline"/>
                <w:lang w:val="en-US" w:eastAsia="zh-CN" w:bidi="ar-SA"/>
              </w:rPr>
            </w:pPr>
            <w:r>
              <w:rPr>
                <w:rFonts w:hint="eastAsia" w:ascii="宋体" w:eastAsia="宋体"/>
                <w:color w:val="auto"/>
                <w:sz w:val="21"/>
                <w:szCs w:val="21"/>
                <w:highlight w:val="none"/>
                <w:lang w:val="en-US" w:eastAsia="zh-CN" w:bidi="ar"/>
              </w:rPr>
              <w:t>3</w:t>
            </w:r>
          </w:p>
        </w:tc>
        <w:tc>
          <w:tcPr>
            <w:tcW w:w="126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r>
              <w:rPr>
                <w:rFonts w:hint="eastAsia" w:ascii="宋体"/>
                <w:color w:val="auto"/>
                <w:sz w:val="21"/>
                <w:szCs w:val="21"/>
                <w:highlight w:val="none"/>
                <w:lang w:val="en-US" w:bidi="ar"/>
              </w:rPr>
              <w:t>对</w:t>
            </w:r>
            <w:r>
              <w:rPr>
                <w:rFonts w:hint="eastAsia"/>
                <w:color w:val="auto"/>
                <w:sz w:val="21"/>
                <w:szCs w:val="21"/>
                <w:highlight w:val="none"/>
                <w:lang w:val="en-US" w:eastAsia="zh-CN" w:bidi="ar"/>
              </w:rPr>
              <w:t>投标人</w:t>
            </w:r>
            <w:r>
              <w:rPr>
                <w:rFonts w:hint="eastAsia" w:ascii="宋体"/>
                <w:color w:val="auto"/>
                <w:sz w:val="21"/>
                <w:szCs w:val="21"/>
                <w:highlight w:val="none"/>
                <w:lang w:val="en-US" w:bidi="ar"/>
              </w:rPr>
              <w:t>培训方案、售后服务能力的评价及备品备件</w:t>
            </w:r>
          </w:p>
        </w:tc>
        <w:tc>
          <w:tcPr>
            <w:tcW w:w="692"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r>
              <w:rPr>
                <w:color w:val="auto"/>
                <w:sz w:val="21"/>
                <w:szCs w:val="21"/>
                <w:highlight w:val="none"/>
                <w:lang w:val="en-US" w:bidi="ar"/>
              </w:rPr>
              <w:t>1</w:t>
            </w:r>
            <w:r>
              <w:rPr>
                <w:rFonts w:hint="eastAsia" w:ascii="宋体" w:eastAsia="宋体"/>
                <w:color w:val="auto"/>
                <w:sz w:val="21"/>
                <w:szCs w:val="21"/>
                <w:highlight w:val="none"/>
                <w:lang w:val="en-US" w:eastAsia="zh-CN" w:bidi="ar"/>
              </w:rPr>
              <w:t>2</w:t>
            </w:r>
            <w:r>
              <w:rPr>
                <w:color w:val="auto"/>
                <w:sz w:val="21"/>
                <w:szCs w:val="21"/>
                <w:highlight w:val="none"/>
                <w:lang w:val="en-US" w:bidi="ar"/>
              </w:rPr>
              <w:t>分</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color w:val="auto"/>
                <w:sz w:val="21"/>
                <w:szCs w:val="21"/>
                <w:highlight w:val="none"/>
                <w:lang w:val="en-US" w:bidi="ar"/>
              </w:rPr>
            </w:pPr>
            <w:r>
              <w:rPr>
                <w:rFonts w:hint="eastAsia" w:ascii="宋体" w:eastAsia="宋体"/>
                <w:color w:val="auto"/>
                <w:sz w:val="21"/>
                <w:szCs w:val="21"/>
                <w:highlight w:val="none"/>
                <w:lang w:val="en-US" w:eastAsia="zh-CN" w:bidi="ar"/>
              </w:rPr>
              <w:t>（4分）</w:t>
            </w:r>
            <w:r>
              <w:rPr>
                <w:rFonts w:hint="eastAsia" w:ascii="宋体"/>
                <w:color w:val="auto"/>
                <w:sz w:val="21"/>
                <w:szCs w:val="21"/>
                <w:highlight w:val="none"/>
                <w:lang w:val="en-US" w:bidi="ar"/>
              </w:rPr>
              <w:t>1、根据</w:t>
            </w:r>
            <w:r>
              <w:rPr>
                <w:rFonts w:hint="eastAsia"/>
                <w:color w:val="auto"/>
                <w:sz w:val="21"/>
                <w:szCs w:val="21"/>
                <w:highlight w:val="none"/>
                <w:lang w:val="en-US" w:eastAsia="zh-CN" w:bidi="ar"/>
              </w:rPr>
              <w:t>投标人</w:t>
            </w:r>
            <w:r>
              <w:rPr>
                <w:rFonts w:hint="eastAsia" w:ascii="宋体"/>
                <w:color w:val="auto"/>
                <w:sz w:val="21"/>
                <w:szCs w:val="21"/>
                <w:highlight w:val="none"/>
                <w:lang w:val="en-US" w:bidi="ar"/>
              </w:rPr>
              <w:t>提供的售后服务方案，包括但不限于：售后服务措施，售后服务情况表，出现故障时的应急响应方案等，</w:t>
            </w:r>
            <w:r>
              <w:rPr>
                <w:rFonts w:hint="eastAsia" w:ascii="Times New Roman"/>
                <w:color w:val="auto"/>
                <w:sz w:val="21"/>
                <w:szCs w:val="21"/>
                <w:highlight w:val="none"/>
                <w:lang w:val="en-US" w:bidi="ar"/>
              </w:rPr>
              <w:t>由评委综合评分</w:t>
            </w:r>
            <w:r>
              <w:rPr>
                <w:rFonts w:hint="eastAsia" w:ascii="Times New Roman" w:eastAsia="宋体"/>
                <w:color w:val="auto"/>
                <w:sz w:val="21"/>
                <w:szCs w:val="21"/>
                <w:highlight w:val="none"/>
                <w:lang w:val="en-US" w:eastAsia="zh-CN" w:bidi="ar"/>
              </w:rPr>
              <w:t>：</w:t>
            </w:r>
          </w:p>
          <w:p>
            <w:pPr>
              <w:widowControl/>
              <w:jc w:val="both"/>
              <w:rPr>
                <w:color w:val="auto"/>
                <w:sz w:val="21"/>
                <w:szCs w:val="21"/>
                <w:highlight w:val="none"/>
                <w:lang w:val="en-US" w:bidi="ar"/>
              </w:rPr>
            </w:pPr>
            <w:r>
              <w:rPr>
                <w:rFonts w:hint="eastAsia" w:ascii="宋体"/>
                <w:color w:val="auto"/>
                <w:sz w:val="21"/>
                <w:szCs w:val="21"/>
                <w:highlight w:val="none"/>
                <w:lang w:val="en-US" w:bidi="ar"/>
              </w:rPr>
              <w:t>1）售后服务方案和措施完整、维护响应时间方案具体且设立的售后服务机构能够完全满足</w:t>
            </w:r>
            <w:r>
              <w:rPr>
                <w:rFonts w:hint="eastAsia"/>
                <w:color w:val="auto"/>
                <w:sz w:val="21"/>
                <w:szCs w:val="21"/>
                <w:highlight w:val="none"/>
                <w:lang w:val="en-US" w:eastAsia="zh-CN" w:bidi="ar"/>
              </w:rPr>
              <w:t>招标文件</w:t>
            </w:r>
            <w:r>
              <w:rPr>
                <w:rFonts w:hint="eastAsia" w:ascii="宋体"/>
                <w:color w:val="auto"/>
                <w:sz w:val="21"/>
                <w:szCs w:val="21"/>
                <w:highlight w:val="none"/>
                <w:lang w:val="en-US" w:bidi="ar"/>
              </w:rPr>
              <w:t>要求的得</w:t>
            </w:r>
            <w:r>
              <w:rPr>
                <w:rFonts w:hint="eastAsia" w:ascii="宋体" w:eastAsia="宋体"/>
                <w:color w:val="auto"/>
                <w:sz w:val="21"/>
                <w:szCs w:val="21"/>
                <w:highlight w:val="none"/>
                <w:lang w:val="en-US" w:eastAsia="zh-CN" w:bidi="ar"/>
              </w:rPr>
              <w:t>4</w:t>
            </w:r>
            <w:r>
              <w:rPr>
                <w:rFonts w:hint="eastAsia" w:ascii="宋体"/>
                <w:color w:val="auto"/>
                <w:sz w:val="21"/>
                <w:szCs w:val="21"/>
                <w:highlight w:val="none"/>
                <w:lang w:val="en-US" w:bidi="ar"/>
              </w:rPr>
              <w:t>分；</w:t>
            </w:r>
          </w:p>
          <w:p>
            <w:pPr>
              <w:widowControl/>
              <w:jc w:val="both"/>
              <w:rPr>
                <w:color w:val="auto"/>
                <w:sz w:val="21"/>
                <w:szCs w:val="21"/>
                <w:highlight w:val="none"/>
                <w:lang w:val="en-US" w:bidi="ar"/>
              </w:rPr>
            </w:pPr>
            <w:r>
              <w:rPr>
                <w:rFonts w:hint="eastAsia" w:ascii="宋体"/>
                <w:color w:val="auto"/>
                <w:sz w:val="21"/>
                <w:szCs w:val="21"/>
                <w:highlight w:val="none"/>
                <w:lang w:val="en-US" w:bidi="ar"/>
              </w:rPr>
              <w:t>2）售后服务方案措施和维护响应时间方案基本具体或设立的售后服务机构满足</w:t>
            </w:r>
            <w:r>
              <w:rPr>
                <w:rFonts w:hint="eastAsia"/>
                <w:color w:val="auto"/>
                <w:sz w:val="21"/>
                <w:szCs w:val="21"/>
                <w:highlight w:val="none"/>
                <w:lang w:val="en-US" w:eastAsia="zh-CN" w:bidi="ar"/>
              </w:rPr>
              <w:t>招标文件</w:t>
            </w:r>
            <w:r>
              <w:rPr>
                <w:rFonts w:hint="eastAsia" w:ascii="宋体"/>
                <w:color w:val="auto"/>
                <w:sz w:val="21"/>
                <w:szCs w:val="21"/>
                <w:highlight w:val="none"/>
                <w:lang w:val="en-US" w:bidi="ar"/>
              </w:rPr>
              <w:t>要求的得</w:t>
            </w:r>
            <w:r>
              <w:rPr>
                <w:rFonts w:hint="eastAsia" w:ascii="宋体" w:eastAsia="宋体"/>
                <w:color w:val="auto"/>
                <w:sz w:val="21"/>
                <w:szCs w:val="21"/>
                <w:highlight w:val="none"/>
                <w:lang w:val="en-US" w:eastAsia="zh-CN" w:bidi="ar"/>
              </w:rPr>
              <w:t>2.5</w:t>
            </w:r>
            <w:r>
              <w:rPr>
                <w:rFonts w:hint="eastAsia" w:ascii="宋体"/>
                <w:color w:val="auto"/>
                <w:sz w:val="21"/>
                <w:szCs w:val="21"/>
                <w:highlight w:val="none"/>
                <w:lang w:val="en-US" w:bidi="ar"/>
              </w:rPr>
              <w:t>分；</w:t>
            </w:r>
          </w:p>
          <w:p>
            <w:pPr>
              <w:widowControl/>
              <w:jc w:val="both"/>
              <w:rPr>
                <w:color w:val="auto"/>
                <w:sz w:val="21"/>
                <w:szCs w:val="21"/>
                <w:highlight w:val="none"/>
                <w:lang w:val="en-US" w:bidi="ar"/>
              </w:rPr>
            </w:pPr>
            <w:r>
              <w:rPr>
                <w:rFonts w:hint="eastAsia" w:ascii="宋体"/>
                <w:color w:val="auto"/>
                <w:sz w:val="21"/>
                <w:szCs w:val="21"/>
                <w:highlight w:val="none"/>
                <w:lang w:val="en-US" w:bidi="ar"/>
              </w:rPr>
              <w:t>3）售后服务方案措施和维护响应时间方案不够具体或设立的售后服务机构基本满足</w:t>
            </w:r>
            <w:r>
              <w:rPr>
                <w:rFonts w:hint="eastAsia"/>
                <w:color w:val="auto"/>
                <w:sz w:val="21"/>
                <w:szCs w:val="21"/>
                <w:highlight w:val="none"/>
                <w:lang w:val="en-US" w:eastAsia="zh-CN" w:bidi="ar"/>
              </w:rPr>
              <w:t>招标文件</w:t>
            </w:r>
            <w:r>
              <w:rPr>
                <w:rFonts w:hint="eastAsia" w:ascii="宋体"/>
                <w:color w:val="auto"/>
                <w:sz w:val="21"/>
                <w:szCs w:val="21"/>
                <w:highlight w:val="none"/>
                <w:lang w:val="en-US" w:bidi="ar"/>
              </w:rPr>
              <w:t>要求的得1分；</w:t>
            </w:r>
          </w:p>
          <w:p>
            <w:pPr>
              <w:widowControl/>
              <w:jc w:val="both"/>
              <w:rPr>
                <w:rFonts w:hint="default" w:ascii="宋体" w:hAnsi="宋体" w:eastAsia="宋体" w:cs="宋体"/>
                <w:color w:val="auto"/>
                <w:sz w:val="21"/>
                <w:szCs w:val="21"/>
                <w:lang w:val="en-US" w:eastAsia="zh-CN" w:bidi="ar"/>
              </w:rPr>
            </w:pPr>
            <w:r>
              <w:rPr>
                <w:rFonts w:hint="eastAsia" w:ascii="宋体"/>
                <w:color w:val="auto"/>
                <w:sz w:val="21"/>
                <w:szCs w:val="21"/>
                <w:highlight w:val="none"/>
                <w:lang w:val="en-US" w:bidi="ar"/>
              </w:rPr>
              <w:t>4）未提供售后服务方案措施和维护响应时间方案或没有售后服务机构的得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vMerge w:val="continue"/>
            <w:tcBorders>
              <w:left w:val="single" w:color="auto" w:sz="4" w:space="0"/>
              <w:right w:val="single" w:color="auto" w:sz="4" w:space="0"/>
            </w:tcBorders>
            <w:noWrap w:val="0"/>
            <w:vAlign w:val="center"/>
          </w:tcPr>
          <w:p>
            <w:pPr>
              <w:widowControl/>
              <w:jc w:val="center"/>
              <w:rPr>
                <w:rFonts w:hint="eastAsia"/>
                <w:color w:val="auto"/>
                <w:sz w:val="21"/>
                <w:szCs w:val="21"/>
                <w:highlight w:val="none"/>
                <w:lang w:val="en-US" w:bidi="ar"/>
              </w:rPr>
            </w:pPr>
          </w:p>
        </w:tc>
        <w:tc>
          <w:tcPr>
            <w:tcW w:w="1260" w:type="dxa"/>
            <w:vMerge w:val="continue"/>
            <w:tcBorders>
              <w:left w:val="single" w:color="auto" w:sz="4" w:space="0"/>
              <w:right w:val="single" w:color="auto" w:sz="4" w:space="0"/>
            </w:tcBorders>
            <w:noWrap w:val="0"/>
            <w:vAlign w:val="center"/>
          </w:tcPr>
          <w:p>
            <w:pPr>
              <w:widowControl/>
              <w:jc w:val="center"/>
              <w:rPr>
                <w:rFonts w:hint="eastAsia"/>
                <w:color w:val="auto"/>
                <w:sz w:val="21"/>
                <w:szCs w:val="21"/>
                <w:highlight w:val="none"/>
                <w:lang w:val="en-US" w:bidi="ar"/>
              </w:rPr>
            </w:pPr>
          </w:p>
        </w:tc>
        <w:tc>
          <w:tcPr>
            <w:tcW w:w="692" w:type="dxa"/>
            <w:vMerge w:val="continue"/>
            <w:tcBorders>
              <w:left w:val="single" w:color="auto" w:sz="4" w:space="0"/>
              <w:right w:val="single" w:color="auto" w:sz="4" w:space="0"/>
            </w:tcBorders>
            <w:noWrap w:val="0"/>
            <w:vAlign w:val="center"/>
          </w:tcPr>
          <w:p>
            <w:pPr>
              <w:widowControl/>
              <w:jc w:val="center"/>
              <w:rPr>
                <w:color w:val="auto"/>
                <w:sz w:val="21"/>
                <w:szCs w:val="21"/>
                <w:highlight w:val="none"/>
                <w:lang w:val="en-US" w:bidi="ar"/>
              </w:rPr>
            </w:pPr>
          </w:p>
        </w:tc>
        <w:tc>
          <w:tcPr>
            <w:tcW w:w="686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Times New Roman"/>
                <w:color w:val="auto"/>
                <w:sz w:val="21"/>
                <w:szCs w:val="21"/>
                <w:highlight w:val="none"/>
                <w:lang w:val="en-US" w:bidi="ar"/>
              </w:rPr>
            </w:pPr>
            <w:r>
              <w:rPr>
                <w:rFonts w:hint="eastAsia" w:ascii="Times New Roman" w:eastAsia="宋体"/>
                <w:color w:val="auto"/>
                <w:sz w:val="21"/>
                <w:szCs w:val="21"/>
                <w:highlight w:val="none"/>
                <w:lang w:val="en-US" w:eastAsia="zh-CN" w:bidi="ar"/>
              </w:rPr>
              <w:t>（</w:t>
            </w:r>
            <w:r>
              <w:rPr>
                <w:rFonts w:hint="eastAsia" w:ascii="Times New Roman"/>
                <w:color w:val="auto"/>
                <w:sz w:val="21"/>
                <w:szCs w:val="21"/>
                <w:highlight w:val="none"/>
                <w:lang w:val="en-US" w:eastAsia="zh-CN" w:bidi="ar"/>
              </w:rPr>
              <w:t>3</w:t>
            </w:r>
            <w:r>
              <w:rPr>
                <w:rFonts w:hint="eastAsia" w:ascii="Times New Roman" w:eastAsia="宋体"/>
                <w:color w:val="auto"/>
                <w:sz w:val="21"/>
                <w:szCs w:val="21"/>
                <w:highlight w:val="none"/>
                <w:lang w:val="en-US" w:eastAsia="zh-CN" w:bidi="ar"/>
              </w:rPr>
              <w:t>分）</w:t>
            </w:r>
            <w:r>
              <w:rPr>
                <w:rFonts w:hint="eastAsia" w:ascii="Times New Roman"/>
                <w:color w:val="auto"/>
                <w:sz w:val="21"/>
                <w:szCs w:val="21"/>
                <w:highlight w:val="none"/>
                <w:lang w:val="en-US" w:eastAsia="zh-CN" w:bidi="ar"/>
              </w:rPr>
              <w:t>2</w:t>
            </w:r>
            <w:r>
              <w:rPr>
                <w:rFonts w:hint="eastAsia" w:ascii="Times New Roman"/>
                <w:color w:val="auto"/>
                <w:sz w:val="21"/>
                <w:szCs w:val="21"/>
                <w:highlight w:val="none"/>
                <w:lang w:val="en-US" w:bidi="ar"/>
              </w:rPr>
              <w:t>、根据</w:t>
            </w:r>
            <w:r>
              <w:rPr>
                <w:rFonts w:hint="eastAsia" w:ascii="Times New Roman"/>
                <w:color w:val="auto"/>
                <w:sz w:val="21"/>
                <w:szCs w:val="21"/>
                <w:highlight w:val="none"/>
                <w:lang w:val="en-US" w:eastAsia="zh-CN" w:bidi="ar"/>
              </w:rPr>
              <w:t>投标人</w:t>
            </w:r>
            <w:r>
              <w:rPr>
                <w:rFonts w:hint="eastAsia" w:ascii="Times New Roman"/>
                <w:color w:val="auto"/>
                <w:sz w:val="21"/>
                <w:szCs w:val="21"/>
                <w:highlight w:val="none"/>
                <w:lang w:val="en-US" w:bidi="ar"/>
              </w:rPr>
              <w:t>提供的验收培训方案，包括但不限于：验收内容、验收标准、培训计划、培训时间、授课人员、</w:t>
            </w:r>
            <w:r>
              <w:rPr>
                <w:rFonts w:hint="eastAsia" w:ascii="Times New Roman"/>
                <w:color w:val="auto"/>
                <w:sz w:val="21"/>
                <w:szCs w:val="21"/>
                <w:highlight w:val="none"/>
                <w:lang w:val="en-US" w:eastAsia="zh-CN" w:bidi="ar"/>
              </w:rPr>
              <w:t>招标文件</w:t>
            </w:r>
            <w:r>
              <w:rPr>
                <w:rFonts w:hint="eastAsia" w:ascii="Times New Roman"/>
                <w:color w:val="auto"/>
                <w:sz w:val="21"/>
                <w:szCs w:val="21"/>
                <w:highlight w:val="none"/>
                <w:lang w:val="en-US" w:bidi="ar"/>
              </w:rPr>
              <w:t>服务要求中关于培训的要求等，由评委综合评分</w:t>
            </w:r>
            <w:r>
              <w:rPr>
                <w:rFonts w:hint="eastAsia" w:ascii="Times New Roman" w:eastAsia="宋体"/>
                <w:color w:val="auto"/>
                <w:sz w:val="21"/>
                <w:szCs w:val="21"/>
                <w:highlight w:val="none"/>
                <w:lang w:val="en-US" w:eastAsia="zh-CN" w:bidi="ar"/>
              </w:rPr>
              <w:t>：</w:t>
            </w:r>
          </w:p>
          <w:p>
            <w:pPr>
              <w:widowControl/>
              <w:jc w:val="both"/>
              <w:rPr>
                <w:rFonts w:hint="eastAsia"/>
              </w:rPr>
            </w:pPr>
            <w:r>
              <w:rPr>
                <w:rFonts w:hint="eastAsia" w:ascii="宋体" w:eastAsia="宋体"/>
                <w:lang w:val="en-US" w:eastAsia="zh-CN"/>
              </w:rPr>
              <w:t>1）</w:t>
            </w:r>
            <w:r>
              <w:rPr>
                <w:rFonts w:hint="eastAsia" w:ascii="Times New Roman"/>
                <w:color w:val="auto"/>
                <w:sz w:val="21"/>
                <w:szCs w:val="21"/>
                <w:highlight w:val="none"/>
                <w:lang w:val="en-US" w:bidi="ar"/>
              </w:rPr>
              <w:t>培训</w:t>
            </w:r>
            <w:r>
              <w:rPr>
                <w:rFonts w:hint="eastAsia"/>
              </w:rPr>
              <w:t>方案具有全面性、科学性、合理性和可操作性的得</w:t>
            </w:r>
            <w:r>
              <w:rPr>
                <w:rFonts w:hint="eastAsia" w:ascii="宋体" w:eastAsia="宋体"/>
                <w:lang w:val="en-US" w:eastAsia="zh-CN"/>
              </w:rPr>
              <w:t>3</w:t>
            </w:r>
            <w:r>
              <w:rPr>
                <w:rFonts w:hint="eastAsia"/>
              </w:rPr>
              <w:t>分；</w:t>
            </w:r>
          </w:p>
          <w:p>
            <w:pPr>
              <w:widowControl/>
              <w:jc w:val="both"/>
              <w:rPr>
                <w:rFonts w:hint="eastAsia"/>
              </w:rPr>
            </w:pPr>
            <w:r>
              <w:rPr>
                <w:rFonts w:hint="eastAsia" w:ascii="宋体" w:eastAsia="宋体"/>
                <w:lang w:val="en-US" w:eastAsia="zh-CN"/>
              </w:rPr>
              <w:t>2）</w:t>
            </w:r>
            <w:r>
              <w:rPr>
                <w:rFonts w:hint="eastAsia" w:ascii="Times New Roman"/>
                <w:color w:val="auto"/>
                <w:sz w:val="21"/>
                <w:szCs w:val="21"/>
                <w:highlight w:val="none"/>
                <w:lang w:val="en-US" w:bidi="ar"/>
              </w:rPr>
              <w:t>培训</w:t>
            </w:r>
            <w:r>
              <w:rPr>
                <w:rFonts w:hint="eastAsia"/>
              </w:rPr>
              <w:t>方案略有瑕疵，具有的科学性、合理性和可操作性一般的得</w:t>
            </w:r>
            <w:r>
              <w:rPr>
                <w:rFonts w:hint="eastAsia" w:ascii="宋体" w:eastAsia="宋体"/>
                <w:lang w:val="en-US" w:eastAsia="zh-CN"/>
              </w:rPr>
              <w:t>2</w:t>
            </w:r>
            <w:r>
              <w:rPr>
                <w:rFonts w:hint="eastAsia"/>
              </w:rPr>
              <w:t>分；</w:t>
            </w:r>
          </w:p>
          <w:p>
            <w:pPr>
              <w:widowControl/>
              <w:jc w:val="both"/>
              <w:rPr>
                <w:rFonts w:hint="eastAsia"/>
              </w:rPr>
            </w:pPr>
            <w:r>
              <w:rPr>
                <w:rFonts w:hint="eastAsia" w:ascii="宋体" w:eastAsia="宋体"/>
                <w:lang w:val="en-US" w:eastAsia="zh-CN"/>
              </w:rPr>
              <w:t>3）</w:t>
            </w:r>
            <w:r>
              <w:rPr>
                <w:rFonts w:hint="eastAsia" w:ascii="Times New Roman"/>
                <w:color w:val="auto"/>
                <w:sz w:val="21"/>
                <w:szCs w:val="21"/>
                <w:highlight w:val="none"/>
                <w:lang w:val="en-US" w:bidi="ar"/>
              </w:rPr>
              <w:t>培训</w:t>
            </w:r>
            <w:r>
              <w:rPr>
                <w:rFonts w:hint="eastAsia"/>
              </w:rPr>
              <w:t>方案片面，且具有的科学性、合理性和可操作性较差的得</w:t>
            </w:r>
            <w:r>
              <w:rPr>
                <w:rFonts w:hint="eastAsia" w:ascii="宋体" w:eastAsia="宋体"/>
                <w:lang w:val="en-US" w:eastAsia="zh-CN"/>
              </w:rPr>
              <w:t>1</w:t>
            </w:r>
            <w:r>
              <w:rPr>
                <w:rFonts w:hint="eastAsia"/>
              </w:rPr>
              <w:t>分；</w:t>
            </w:r>
          </w:p>
          <w:p>
            <w:pPr>
              <w:widowControl/>
              <w:jc w:val="both"/>
              <w:rPr>
                <w:rFonts w:hint="eastAsia"/>
                <w:color w:val="auto"/>
                <w:sz w:val="21"/>
                <w:szCs w:val="21"/>
                <w:highlight w:val="none"/>
                <w:lang w:val="en-US" w:bidi="ar"/>
              </w:rPr>
            </w:pPr>
            <w:r>
              <w:rPr>
                <w:rFonts w:hint="eastAsia" w:ascii="宋体" w:eastAsia="宋体"/>
                <w:lang w:val="en-US" w:eastAsia="zh-CN"/>
              </w:rPr>
              <w:t>4）</w:t>
            </w:r>
            <w:r>
              <w:rPr>
                <w:rFonts w:hint="eastAsi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vMerge w:val="continue"/>
            <w:tcBorders>
              <w:left w:val="single" w:color="auto" w:sz="4" w:space="0"/>
              <w:right w:val="single" w:color="auto" w:sz="4" w:space="0"/>
            </w:tcBorders>
            <w:noWrap w:val="0"/>
            <w:vAlign w:val="center"/>
          </w:tcPr>
          <w:p>
            <w:pPr>
              <w:widowControl/>
              <w:jc w:val="center"/>
              <w:rPr>
                <w:rFonts w:hint="eastAsia" w:cs="宋体"/>
                <w:color w:val="auto"/>
                <w:spacing w:val="0"/>
                <w:w w:val="100"/>
                <w:kern w:val="2"/>
                <w:position w:val="0"/>
                <w:sz w:val="21"/>
                <w:szCs w:val="21"/>
                <w:highlight w:val="none"/>
                <w:vertAlign w:val="baseline"/>
                <w:lang w:val="en-US" w:eastAsia="zh-CN" w:bidi="ar-SA"/>
              </w:rPr>
            </w:pPr>
          </w:p>
        </w:tc>
        <w:tc>
          <w:tcPr>
            <w:tcW w:w="126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p>
        </w:tc>
        <w:tc>
          <w:tcPr>
            <w:tcW w:w="69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p>
        </w:tc>
        <w:tc>
          <w:tcPr>
            <w:tcW w:w="686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eastAsia="宋体"/>
                <w:color w:val="auto"/>
                <w:sz w:val="21"/>
                <w:szCs w:val="21"/>
                <w:highlight w:val="none"/>
                <w:lang w:val="en-US" w:eastAsia="zh-CN" w:bidi="ar"/>
              </w:rPr>
            </w:pPr>
            <w:r>
              <w:rPr>
                <w:rFonts w:hint="eastAsia" w:ascii="宋体" w:eastAsia="宋体"/>
                <w:color w:val="auto"/>
                <w:sz w:val="21"/>
                <w:szCs w:val="21"/>
                <w:highlight w:val="none"/>
                <w:lang w:val="en-US" w:eastAsia="zh-CN" w:bidi="ar"/>
              </w:rPr>
              <w:t>（1分）</w:t>
            </w:r>
            <w:r>
              <w:rPr>
                <w:rFonts w:hint="eastAsia"/>
                <w:color w:val="auto"/>
                <w:sz w:val="21"/>
                <w:szCs w:val="21"/>
                <w:highlight w:val="none"/>
                <w:lang w:val="en-US" w:eastAsia="zh-CN" w:bidi="ar"/>
              </w:rPr>
              <w:t>3</w:t>
            </w:r>
            <w:r>
              <w:rPr>
                <w:rFonts w:hint="eastAsia" w:ascii="宋体"/>
                <w:color w:val="auto"/>
                <w:sz w:val="21"/>
                <w:szCs w:val="21"/>
                <w:highlight w:val="none"/>
                <w:lang w:val="en-US" w:bidi="ar"/>
              </w:rPr>
              <w:t>、</w:t>
            </w:r>
            <w:r>
              <w:rPr>
                <w:rFonts w:hint="eastAsia"/>
                <w:color w:val="auto"/>
                <w:sz w:val="21"/>
                <w:szCs w:val="21"/>
                <w:highlight w:val="none"/>
                <w:lang w:val="en-US" w:eastAsia="zh-CN" w:bidi="ar"/>
              </w:rPr>
              <w:t>投标人</w:t>
            </w:r>
            <w:r>
              <w:rPr>
                <w:rFonts w:hint="eastAsia" w:ascii="宋体"/>
                <w:color w:val="auto"/>
                <w:sz w:val="21"/>
                <w:szCs w:val="21"/>
                <w:highlight w:val="none"/>
                <w:lang w:val="en-US" w:bidi="ar"/>
              </w:rPr>
              <w:t>提供质保期满后服务承诺，质保期外配件价格清单及折扣率情况(作为附件在投标文件中提供)，由评委综合评分</w:t>
            </w:r>
            <w:r>
              <w:rPr>
                <w:rFonts w:hint="eastAsia" w:ascii="宋体" w:eastAsia="宋体"/>
                <w:color w:val="auto"/>
                <w:sz w:val="21"/>
                <w:szCs w:val="21"/>
                <w:highlight w:val="none"/>
                <w:lang w:val="en-US" w:eastAsia="zh-CN" w:bidi="ar"/>
              </w:rPr>
              <w:t>：</w:t>
            </w:r>
          </w:p>
          <w:p>
            <w:pPr>
              <w:widowControl/>
              <w:jc w:val="both"/>
              <w:rPr>
                <w:rFonts w:hint="eastAsia"/>
                <w:color w:val="auto"/>
                <w:sz w:val="21"/>
                <w:szCs w:val="21"/>
                <w:highlight w:val="none"/>
                <w:lang w:val="en-US" w:bidi="ar"/>
              </w:rPr>
            </w:pPr>
            <w:r>
              <w:rPr>
                <w:rFonts w:hint="eastAsia" w:ascii="宋体" w:eastAsia="宋体"/>
                <w:color w:val="auto"/>
                <w:sz w:val="21"/>
                <w:szCs w:val="21"/>
                <w:highlight w:val="none"/>
                <w:lang w:val="en-US" w:eastAsia="zh-CN" w:bidi="ar"/>
              </w:rPr>
              <w:t>1）</w:t>
            </w:r>
            <w:r>
              <w:rPr>
                <w:rFonts w:hint="eastAsia" w:ascii="宋体"/>
                <w:color w:val="auto"/>
                <w:sz w:val="21"/>
                <w:szCs w:val="21"/>
                <w:highlight w:val="none"/>
                <w:lang w:val="en-US" w:bidi="ar"/>
              </w:rPr>
              <w:t>价格清单详细和折扣率高的，得</w:t>
            </w:r>
            <w:r>
              <w:rPr>
                <w:rFonts w:hint="eastAsia" w:ascii="宋体" w:eastAsia="宋体"/>
                <w:color w:val="auto"/>
                <w:sz w:val="21"/>
                <w:szCs w:val="21"/>
                <w:highlight w:val="none"/>
                <w:lang w:val="en-US" w:eastAsia="zh-CN" w:bidi="ar"/>
              </w:rPr>
              <w:t>1</w:t>
            </w:r>
            <w:r>
              <w:rPr>
                <w:rFonts w:hint="eastAsia" w:ascii="宋体"/>
                <w:color w:val="auto"/>
                <w:sz w:val="21"/>
                <w:szCs w:val="21"/>
                <w:highlight w:val="none"/>
                <w:lang w:val="en-US" w:bidi="ar"/>
              </w:rPr>
              <w:t>分；</w:t>
            </w:r>
          </w:p>
          <w:p>
            <w:pPr>
              <w:widowControl/>
              <w:jc w:val="both"/>
              <w:rPr>
                <w:rFonts w:hint="eastAsia"/>
                <w:color w:val="auto"/>
                <w:sz w:val="21"/>
                <w:szCs w:val="21"/>
                <w:highlight w:val="none"/>
                <w:lang w:val="en-US" w:bidi="ar"/>
              </w:rPr>
            </w:pPr>
            <w:r>
              <w:rPr>
                <w:rFonts w:hint="eastAsia" w:ascii="宋体" w:eastAsia="宋体"/>
                <w:color w:val="auto"/>
                <w:sz w:val="21"/>
                <w:szCs w:val="21"/>
                <w:highlight w:val="none"/>
                <w:lang w:val="en-US" w:eastAsia="zh-CN" w:bidi="ar"/>
              </w:rPr>
              <w:t>2）</w:t>
            </w:r>
            <w:r>
              <w:rPr>
                <w:rFonts w:hint="eastAsia" w:ascii="宋体"/>
                <w:color w:val="auto"/>
                <w:sz w:val="21"/>
                <w:szCs w:val="21"/>
                <w:highlight w:val="none"/>
                <w:lang w:val="en-US" w:bidi="ar"/>
              </w:rPr>
              <w:t>价格清单提供和折扣率一般的，得</w:t>
            </w:r>
            <w:r>
              <w:rPr>
                <w:rFonts w:hint="eastAsia" w:ascii="宋体" w:eastAsia="宋体"/>
                <w:color w:val="auto"/>
                <w:sz w:val="21"/>
                <w:szCs w:val="21"/>
                <w:highlight w:val="none"/>
                <w:lang w:val="en-US" w:eastAsia="zh-CN" w:bidi="ar"/>
              </w:rPr>
              <w:t>0.5</w:t>
            </w:r>
            <w:r>
              <w:rPr>
                <w:rFonts w:hint="eastAsia" w:ascii="宋体"/>
                <w:color w:val="auto"/>
                <w:sz w:val="21"/>
                <w:szCs w:val="21"/>
                <w:highlight w:val="none"/>
                <w:lang w:val="en-US" w:bidi="ar"/>
              </w:rPr>
              <w:t>分；</w:t>
            </w:r>
          </w:p>
          <w:p>
            <w:pPr>
              <w:widowControl/>
              <w:jc w:val="both"/>
              <w:rPr>
                <w:rFonts w:hint="default" w:ascii="宋体" w:hAnsi="宋体" w:eastAsia="宋体" w:cs="宋体"/>
                <w:color w:val="auto"/>
                <w:sz w:val="21"/>
                <w:szCs w:val="21"/>
                <w:lang w:val="en-US" w:eastAsia="zh-CN" w:bidi="ar"/>
              </w:rPr>
            </w:pPr>
            <w:r>
              <w:rPr>
                <w:rFonts w:hint="eastAsia" w:ascii="宋体" w:eastAsia="宋体"/>
                <w:color w:val="auto"/>
                <w:sz w:val="21"/>
                <w:szCs w:val="21"/>
                <w:highlight w:val="none"/>
                <w:lang w:val="en-US" w:eastAsia="zh-CN" w:bidi="ar"/>
              </w:rPr>
              <w:t>3）</w:t>
            </w:r>
            <w:r>
              <w:rPr>
                <w:rFonts w:hint="eastAsia" w:ascii="宋体"/>
                <w:color w:val="auto"/>
                <w:sz w:val="21"/>
                <w:szCs w:val="21"/>
                <w:highlight w:val="none"/>
                <w:lang w:val="en-US" w:bidi="ar"/>
              </w:rPr>
              <w:t>提供不完整的本项评审不得分。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vMerge w:val="continue"/>
            <w:tcBorders>
              <w:left w:val="single" w:color="auto" w:sz="4" w:space="0"/>
              <w:right w:val="single" w:color="auto" w:sz="4" w:space="0"/>
            </w:tcBorders>
            <w:noWrap w:val="0"/>
            <w:vAlign w:val="center"/>
          </w:tcPr>
          <w:p>
            <w:pPr>
              <w:widowControl/>
              <w:jc w:val="center"/>
              <w:rPr>
                <w:rFonts w:hint="eastAsia" w:cs="宋体"/>
                <w:color w:val="auto"/>
                <w:spacing w:val="0"/>
                <w:w w:val="100"/>
                <w:kern w:val="2"/>
                <w:position w:val="0"/>
                <w:sz w:val="21"/>
                <w:szCs w:val="21"/>
                <w:highlight w:val="none"/>
                <w:vertAlign w:val="baseline"/>
                <w:lang w:val="en-US" w:eastAsia="zh-CN" w:bidi="ar-SA"/>
              </w:rPr>
            </w:pPr>
          </w:p>
        </w:tc>
        <w:tc>
          <w:tcPr>
            <w:tcW w:w="126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p>
        </w:tc>
        <w:tc>
          <w:tcPr>
            <w:tcW w:w="69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p>
        </w:tc>
        <w:tc>
          <w:tcPr>
            <w:tcW w:w="6861"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color w:val="auto"/>
                <w:sz w:val="21"/>
                <w:szCs w:val="21"/>
                <w:lang w:val="en-US" w:eastAsia="zh-CN" w:bidi="ar"/>
              </w:rPr>
            </w:pPr>
            <w:r>
              <w:rPr>
                <w:rFonts w:hint="eastAsia" w:ascii="宋体" w:eastAsia="宋体"/>
                <w:color w:val="auto"/>
                <w:sz w:val="21"/>
                <w:szCs w:val="21"/>
                <w:highlight w:val="none"/>
                <w:lang w:val="en-US" w:eastAsia="zh-CN" w:bidi="ar"/>
              </w:rPr>
              <w:t>（1分）</w:t>
            </w:r>
            <w:r>
              <w:rPr>
                <w:rFonts w:hint="eastAsia"/>
                <w:color w:val="auto"/>
                <w:sz w:val="21"/>
                <w:szCs w:val="21"/>
                <w:highlight w:val="none"/>
                <w:lang w:val="en-US" w:eastAsia="zh-CN" w:bidi="ar"/>
              </w:rPr>
              <w:t>4</w:t>
            </w:r>
            <w:r>
              <w:rPr>
                <w:rFonts w:hint="eastAsia" w:ascii="宋体"/>
                <w:color w:val="auto"/>
                <w:sz w:val="21"/>
                <w:szCs w:val="21"/>
                <w:highlight w:val="none"/>
                <w:lang w:val="en-US" w:bidi="ar"/>
              </w:rPr>
              <w:t>、</w:t>
            </w:r>
            <w:r>
              <w:rPr>
                <w:rFonts w:hint="eastAsia"/>
                <w:color w:val="auto"/>
                <w:sz w:val="21"/>
                <w:szCs w:val="21"/>
                <w:highlight w:val="none"/>
                <w:lang w:val="en-US" w:eastAsia="zh-CN" w:bidi="ar"/>
              </w:rPr>
              <w:t>投标人</w:t>
            </w:r>
            <w:r>
              <w:rPr>
                <w:rFonts w:hint="eastAsia" w:ascii="宋体"/>
                <w:color w:val="auto"/>
                <w:sz w:val="21"/>
                <w:szCs w:val="21"/>
                <w:highlight w:val="none"/>
                <w:lang w:val="en-US" w:bidi="ar"/>
              </w:rPr>
              <w:t>提供的整机（该包全部品目）（含第三方设备或配件）质量保证期（保修期）在</w:t>
            </w:r>
            <w:r>
              <w:rPr>
                <w:rFonts w:hint="eastAsia"/>
                <w:color w:val="auto"/>
                <w:sz w:val="21"/>
                <w:szCs w:val="21"/>
                <w:highlight w:val="none"/>
                <w:lang w:val="en-US" w:eastAsia="zh-CN" w:bidi="ar"/>
              </w:rPr>
              <w:t>招标文件</w:t>
            </w:r>
            <w:r>
              <w:rPr>
                <w:rFonts w:hint="eastAsia" w:ascii="宋体"/>
                <w:color w:val="auto"/>
                <w:sz w:val="21"/>
                <w:szCs w:val="21"/>
                <w:highlight w:val="none"/>
                <w:lang w:val="en-US" w:bidi="ar"/>
              </w:rPr>
              <w:t>要求的基础上每多一年加 0.5 分，最多得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vMerge w:val="continue"/>
            <w:tcBorders>
              <w:left w:val="single" w:color="auto" w:sz="4" w:space="0"/>
              <w:right w:val="single" w:color="auto" w:sz="4" w:space="0"/>
            </w:tcBorders>
            <w:noWrap w:val="0"/>
            <w:vAlign w:val="center"/>
          </w:tcPr>
          <w:p>
            <w:pPr>
              <w:widowControl/>
              <w:jc w:val="center"/>
              <w:rPr>
                <w:rFonts w:hint="eastAsia" w:cs="宋体"/>
                <w:color w:val="auto"/>
                <w:spacing w:val="0"/>
                <w:w w:val="100"/>
                <w:kern w:val="2"/>
                <w:position w:val="0"/>
                <w:sz w:val="21"/>
                <w:szCs w:val="21"/>
                <w:highlight w:val="none"/>
                <w:vertAlign w:val="baseline"/>
                <w:lang w:val="en-US" w:eastAsia="zh-CN" w:bidi="ar-SA"/>
              </w:rPr>
            </w:pPr>
          </w:p>
        </w:tc>
        <w:tc>
          <w:tcPr>
            <w:tcW w:w="126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p>
        </w:tc>
        <w:tc>
          <w:tcPr>
            <w:tcW w:w="692"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p>
        </w:tc>
        <w:tc>
          <w:tcPr>
            <w:tcW w:w="6861" w:type="dxa"/>
            <w:tcBorders>
              <w:top w:val="single" w:color="auto" w:sz="4" w:space="0"/>
              <w:left w:val="single" w:color="auto" w:sz="4" w:space="0"/>
              <w:bottom w:val="single" w:color="auto" w:sz="4" w:space="0"/>
              <w:right w:val="single" w:color="auto" w:sz="4" w:space="0"/>
            </w:tcBorders>
            <w:noWrap w:val="0"/>
            <w:vAlign w:val="center"/>
          </w:tcPr>
          <w:p>
            <w:pPr>
              <w:widowControl/>
              <w:jc w:val="both"/>
              <w:rPr>
                <w:color w:val="auto"/>
                <w:sz w:val="21"/>
                <w:szCs w:val="21"/>
                <w:highlight w:val="none"/>
                <w:lang w:val="en-US" w:bidi="ar"/>
              </w:rPr>
            </w:pPr>
            <w:r>
              <w:rPr>
                <w:rFonts w:hint="eastAsia" w:ascii="宋体" w:eastAsia="宋体"/>
                <w:color w:val="auto"/>
                <w:sz w:val="21"/>
                <w:szCs w:val="21"/>
                <w:highlight w:val="none"/>
                <w:lang w:val="en-US" w:eastAsia="zh-CN" w:bidi="ar"/>
              </w:rPr>
              <w:t>（3分）</w:t>
            </w:r>
            <w:r>
              <w:rPr>
                <w:rFonts w:hint="eastAsia"/>
                <w:color w:val="auto"/>
                <w:sz w:val="21"/>
                <w:szCs w:val="21"/>
                <w:highlight w:val="none"/>
                <w:lang w:val="en-US" w:eastAsia="zh-CN" w:bidi="ar"/>
              </w:rPr>
              <w:t>5</w:t>
            </w:r>
            <w:r>
              <w:rPr>
                <w:rFonts w:hint="eastAsia" w:ascii="宋体"/>
                <w:color w:val="auto"/>
                <w:sz w:val="21"/>
                <w:szCs w:val="21"/>
                <w:highlight w:val="none"/>
                <w:lang w:val="en-US" w:bidi="ar"/>
              </w:rPr>
              <w:t>、备品、备件：根据</w:t>
            </w:r>
            <w:r>
              <w:rPr>
                <w:rFonts w:hint="eastAsia"/>
                <w:color w:val="auto"/>
                <w:sz w:val="21"/>
                <w:szCs w:val="21"/>
                <w:highlight w:val="none"/>
                <w:lang w:val="en-US" w:eastAsia="zh-CN" w:bidi="ar"/>
              </w:rPr>
              <w:t>投标人</w:t>
            </w:r>
            <w:r>
              <w:rPr>
                <w:rFonts w:hint="eastAsia" w:ascii="宋体"/>
                <w:color w:val="auto"/>
                <w:sz w:val="21"/>
                <w:szCs w:val="21"/>
                <w:highlight w:val="none"/>
                <w:lang w:val="en-US" w:bidi="ar"/>
              </w:rPr>
              <w:t>提供的所投产品的详细配置、备品备件等满足</w:t>
            </w:r>
            <w:r>
              <w:rPr>
                <w:rFonts w:hint="eastAsia"/>
                <w:color w:val="auto"/>
                <w:sz w:val="21"/>
                <w:szCs w:val="21"/>
                <w:highlight w:val="none"/>
                <w:lang w:val="en-US" w:eastAsia="zh-CN" w:bidi="ar"/>
              </w:rPr>
              <w:t>招标文件</w:t>
            </w:r>
            <w:r>
              <w:rPr>
                <w:rFonts w:hint="eastAsia" w:ascii="宋体"/>
                <w:color w:val="auto"/>
                <w:sz w:val="21"/>
                <w:szCs w:val="21"/>
                <w:highlight w:val="none"/>
                <w:lang w:val="en-US" w:bidi="ar"/>
              </w:rPr>
              <w:t>要求的情况</w:t>
            </w:r>
            <w:r>
              <w:rPr>
                <w:rFonts w:hint="eastAsia" w:ascii="宋体" w:eastAsia="宋体"/>
                <w:color w:val="auto"/>
                <w:sz w:val="21"/>
                <w:szCs w:val="21"/>
                <w:highlight w:val="none"/>
                <w:lang w:val="en-US" w:eastAsia="zh-CN" w:bidi="ar"/>
              </w:rPr>
              <w:t>，由评委综合评分：</w:t>
            </w:r>
          </w:p>
          <w:p>
            <w:pPr>
              <w:widowControl/>
              <w:jc w:val="both"/>
              <w:rPr>
                <w:color w:val="auto"/>
                <w:sz w:val="21"/>
                <w:szCs w:val="21"/>
                <w:highlight w:val="none"/>
                <w:lang w:val="en-US" w:bidi="ar"/>
              </w:rPr>
            </w:pPr>
            <w:r>
              <w:rPr>
                <w:rFonts w:hint="eastAsia" w:ascii="宋体"/>
                <w:color w:val="auto"/>
                <w:sz w:val="21"/>
                <w:szCs w:val="21"/>
                <w:highlight w:val="none"/>
                <w:lang w:val="en-US" w:bidi="ar"/>
              </w:rPr>
              <w:t>1）提供的投标产品的易损易坏部件以及备品备件的品种、数量较多，优于产品需求的得3分；</w:t>
            </w:r>
          </w:p>
          <w:p>
            <w:pPr>
              <w:widowControl/>
              <w:jc w:val="both"/>
              <w:rPr>
                <w:color w:val="auto"/>
                <w:sz w:val="21"/>
                <w:szCs w:val="21"/>
                <w:highlight w:val="none"/>
                <w:lang w:val="en-US" w:bidi="ar"/>
              </w:rPr>
            </w:pPr>
            <w:r>
              <w:rPr>
                <w:rFonts w:hint="eastAsia" w:ascii="宋体"/>
                <w:color w:val="auto"/>
                <w:sz w:val="21"/>
                <w:szCs w:val="21"/>
                <w:highlight w:val="none"/>
                <w:lang w:val="en-US" w:bidi="ar"/>
              </w:rPr>
              <w:t>2）提供的投标产品的易损易坏部件以及备品备件的品种、数量一般，基本满足产品需求的得2分；</w:t>
            </w:r>
          </w:p>
          <w:p>
            <w:pPr>
              <w:widowControl/>
              <w:jc w:val="both"/>
              <w:rPr>
                <w:color w:val="auto"/>
                <w:sz w:val="21"/>
                <w:szCs w:val="21"/>
                <w:highlight w:val="none"/>
                <w:lang w:val="en-US"/>
              </w:rPr>
            </w:pPr>
            <w:r>
              <w:rPr>
                <w:rFonts w:hint="eastAsia" w:ascii="宋体"/>
                <w:color w:val="auto"/>
                <w:sz w:val="21"/>
                <w:szCs w:val="21"/>
                <w:highlight w:val="none"/>
                <w:lang w:val="en-US" w:bidi="ar"/>
              </w:rPr>
              <w:t>3）有提供投标产品的易损易坏部件以及备品备件的品种、数量的得1分；</w:t>
            </w:r>
          </w:p>
          <w:p>
            <w:pPr>
              <w:widowControl/>
              <w:jc w:val="both"/>
              <w:rPr>
                <w:rFonts w:hint="eastAsia"/>
                <w:color w:val="auto"/>
                <w:sz w:val="21"/>
                <w:szCs w:val="21"/>
                <w:highlight w:val="none"/>
                <w:lang w:val="en-US" w:eastAsia="zh-CN" w:bidi="ar"/>
              </w:rPr>
            </w:pPr>
            <w:r>
              <w:rPr>
                <w:rFonts w:hint="eastAsia" w:ascii="宋体"/>
                <w:color w:val="auto"/>
                <w:sz w:val="21"/>
                <w:szCs w:val="21"/>
                <w:highlight w:val="none"/>
                <w:lang w:val="en-US" w:bidi="ar"/>
              </w:rPr>
              <w:t>4）没有提供投标产品的易损易坏部件以及备品备件的品种、数量的得0分。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blHeader/>
          <w:jc w:val="center"/>
        </w:trPr>
        <w:tc>
          <w:tcPr>
            <w:tcW w:w="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cs="宋体"/>
                <w:color w:val="auto"/>
                <w:spacing w:val="0"/>
                <w:w w:val="100"/>
                <w:kern w:val="2"/>
                <w:position w:val="0"/>
                <w:sz w:val="21"/>
                <w:szCs w:val="21"/>
                <w:highlight w:val="none"/>
                <w:vertAlign w:val="baseline"/>
                <w:lang w:val="en-US" w:eastAsia="zh-CN" w:bidi="ar-SA"/>
              </w:rPr>
            </w:pPr>
            <w:r>
              <w:rPr>
                <w:rFonts w:hint="eastAsia" w:ascii="宋体" w:eastAsia="宋体"/>
                <w:color w:val="auto"/>
                <w:sz w:val="21"/>
                <w:szCs w:val="21"/>
                <w:highlight w:val="none"/>
                <w:lang w:val="en-US" w:eastAsia="zh-CN" w:bidi="ar"/>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r>
              <w:rPr>
                <w:rFonts w:hint="eastAsia" w:ascii="宋体"/>
                <w:color w:val="auto"/>
                <w:sz w:val="21"/>
                <w:szCs w:val="21"/>
                <w:highlight w:val="none"/>
                <w:lang w:val="en-US" w:bidi="ar"/>
              </w:rPr>
              <w:t>“节能产品政府采购清单”和“环境标志产品政府采购清单”</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1"/>
                <w:szCs w:val="21"/>
                <w:lang w:val="en-US" w:eastAsia="zh-CN" w:bidi="zh-CN"/>
              </w:rPr>
            </w:pPr>
            <w:r>
              <w:rPr>
                <w:rFonts w:hint="eastAsia" w:ascii="宋体"/>
                <w:color w:val="auto"/>
                <w:sz w:val="21"/>
                <w:szCs w:val="21"/>
                <w:highlight w:val="none"/>
                <w:lang w:val="en-US" w:bidi="ar"/>
              </w:rPr>
              <w:t>1分</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widowControl/>
              <w:jc w:val="both"/>
              <w:rPr>
                <w:color w:val="auto"/>
                <w:sz w:val="21"/>
                <w:szCs w:val="21"/>
                <w:highlight w:val="none"/>
                <w:lang w:val="en-US" w:bidi="ar"/>
              </w:rPr>
            </w:pPr>
            <w:r>
              <w:rPr>
                <w:rFonts w:hint="eastAsia" w:ascii="宋体"/>
                <w:color w:val="auto"/>
                <w:sz w:val="21"/>
                <w:szCs w:val="21"/>
                <w:highlight w:val="none"/>
                <w:lang w:val="en-US" w:bidi="ar"/>
              </w:rPr>
              <w:t xml:space="preserve">政府采购的强制产品除外： </w:t>
            </w:r>
          </w:p>
          <w:p>
            <w:pPr>
              <w:widowControl/>
              <w:jc w:val="both"/>
              <w:rPr>
                <w:color w:val="auto"/>
                <w:sz w:val="21"/>
                <w:szCs w:val="21"/>
                <w:highlight w:val="none"/>
                <w:lang w:val="en-US" w:bidi="ar"/>
              </w:rPr>
            </w:pPr>
            <w:r>
              <w:rPr>
                <w:rFonts w:hint="eastAsia" w:ascii="宋体"/>
                <w:color w:val="auto"/>
                <w:sz w:val="21"/>
                <w:szCs w:val="21"/>
                <w:highlight w:val="none"/>
                <w:lang w:val="en-US" w:bidi="ar"/>
              </w:rPr>
              <w:t>投标产品属于</w:t>
            </w:r>
            <w:r>
              <w:rPr>
                <w:color w:val="auto"/>
                <w:sz w:val="21"/>
                <w:szCs w:val="21"/>
                <w:highlight w:val="none"/>
                <w:lang w:val="en-US" w:bidi="ar"/>
              </w:rPr>
              <w:t>“</w:t>
            </w:r>
            <w:r>
              <w:rPr>
                <w:rFonts w:hint="eastAsia" w:ascii="宋体"/>
                <w:color w:val="auto"/>
                <w:sz w:val="21"/>
                <w:szCs w:val="21"/>
                <w:highlight w:val="none"/>
                <w:lang w:val="en-US" w:bidi="ar"/>
              </w:rPr>
              <w:t>节能产品政府采购清单</w:t>
            </w:r>
            <w:r>
              <w:rPr>
                <w:color w:val="auto"/>
                <w:sz w:val="21"/>
                <w:szCs w:val="21"/>
                <w:highlight w:val="none"/>
                <w:lang w:val="en-US" w:bidi="ar"/>
              </w:rPr>
              <w:t>”</w:t>
            </w:r>
            <w:r>
              <w:rPr>
                <w:rFonts w:hint="eastAsia" w:ascii="宋体"/>
                <w:color w:val="auto"/>
                <w:sz w:val="21"/>
                <w:szCs w:val="21"/>
                <w:highlight w:val="none"/>
                <w:lang w:val="en-US" w:bidi="ar"/>
              </w:rPr>
              <w:t>产品的，且认证证书在有效截止日期内，得 0.5</w:t>
            </w:r>
            <w:r>
              <w:rPr>
                <w:color w:val="auto"/>
                <w:sz w:val="21"/>
                <w:szCs w:val="21"/>
                <w:highlight w:val="none"/>
                <w:lang w:val="en-US" w:bidi="ar"/>
              </w:rPr>
              <w:t xml:space="preserve"> </w:t>
            </w:r>
            <w:r>
              <w:rPr>
                <w:rFonts w:hint="eastAsia" w:ascii="宋体"/>
                <w:color w:val="auto"/>
                <w:sz w:val="21"/>
                <w:szCs w:val="21"/>
                <w:highlight w:val="none"/>
                <w:lang w:val="en-US" w:bidi="ar"/>
              </w:rPr>
              <w:t xml:space="preserve">分；不是的为 </w:t>
            </w:r>
            <w:r>
              <w:rPr>
                <w:color w:val="auto"/>
                <w:sz w:val="21"/>
                <w:szCs w:val="21"/>
                <w:highlight w:val="none"/>
                <w:lang w:val="en-US" w:bidi="ar"/>
              </w:rPr>
              <w:t xml:space="preserve">0 </w:t>
            </w:r>
            <w:r>
              <w:rPr>
                <w:rFonts w:hint="eastAsia" w:ascii="宋体"/>
                <w:color w:val="auto"/>
                <w:sz w:val="21"/>
                <w:szCs w:val="21"/>
                <w:highlight w:val="none"/>
                <w:lang w:val="en-US" w:bidi="ar"/>
              </w:rPr>
              <w:t xml:space="preserve">分； </w:t>
            </w:r>
          </w:p>
          <w:p>
            <w:pPr>
              <w:widowControl/>
              <w:jc w:val="both"/>
              <w:rPr>
                <w:rFonts w:hint="default" w:ascii="宋体" w:hAnsi="宋体" w:eastAsia="宋体" w:cs="宋体"/>
                <w:color w:val="auto"/>
                <w:sz w:val="21"/>
                <w:szCs w:val="21"/>
                <w:lang w:val="en-US" w:eastAsia="zh-CN" w:bidi="ar"/>
              </w:rPr>
            </w:pPr>
            <w:r>
              <w:rPr>
                <w:rFonts w:hint="eastAsia" w:ascii="宋体"/>
                <w:color w:val="auto"/>
                <w:sz w:val="21"/>
                <w:szCs w:val="21"/>
                <w:highlight w:val="none"/>
                <w:lang w:val="en-US" w:bidi="ar"/>
              </w:rPr>
              <w:t>投标产品属于</w:t>
            </w:r>
            <w:r>
              <w:rPr>
                <w:color w:val="auto"/>
                <w:sz w:val="21"/>
                <w:szCs w:val="21"/>
                <w:highlight w:val="none"/>
                <w:lang w:val="en-US" w:bidi="ar"/>
              </w:rPr>
              <w:t>“</w:t>
            </w:r>
            <w:r>
              <w:rPr>
                <w:rFonts w:hint="eastAsia" w:ascii="宋体"/>
                <w:color w:val="auto"/>
                <w:sz w:val="21"/>
                <w:szCs w:val="21"/>
                <w:highlight w:val="none"/>
                <w:lang w:val="en-US" w:bidi="ar"/>
              </w:rPr>
              <w:t>环境标志产品政府采购清单</w:t>
            </w:r>
            <w:r>
              <w:rPr>
                <w:color w:val="auto"/>
                <w:sz w:val="21"/>
                <w:szCs w:val="21"/>
                <w:highlight w:val="none"/>
                <w:lang w:val="en-US" w:bidi="ar"/>
              </w:rPr>
              <w:t>”</w:t>
            </w:r>
            <w:r>
              <w:rPr>
                <w:rFonts w:hint="eastAsia" w:ascii="宋体"/>
                <w:color w:val="auto"/>
                <w:sz w:val="21"/>
                <w:szCs w:val="21"/>
                <w:highlight w:val="none"/>
                <w:lang w:val="en-US" w:bidi="ar"/>
              </w:rPr>
              <w:t>产品的，且认证证书在有效截止日期内，得 0.5</w:t>
            </w:r>
            <w:r>
              <w:rPr>
                <w:color w:val="auto"/>
                <w:sz w:val="21"/>
                <w:szCs w:val="21"/>
                <w:highlight w:val="none"/>
                <w:lang w:val="en-US" w:bidi="ar"/>
              </w:rPr>
              <w:t xml:space="preserve"> </w:t>
            </w:r>
            <w:r>
              <w:rPr>
                <w:rFonts w:hint="eastAsia" w:ascii="宋体"/>
                <w:color w:val="auto"/>
                <w:sz w:val="21"/>
                <w:szCs w:val="21"/>
                <w:highlight w:val="none"/>
                <w:lang w:val="en-US" w:bidi="ar"/>
              </w:rPr>
              <w:t xml:space="preserve">分；不是的为 </w:t>
            </w:r>
            <w:r>
              <w:rPr>
                <w:color w:val="auto"/>
                <w:sz w:val="21"/>
                <w:szCs w:val="21"/>
                <w:highlight w:val="none"/>
                <w:lang w:val="en-US" w:bidi="ar"/>
              </w:rPr>
              <w:t xml:space="preserve">0 </w:t>
            </w:r>
            <w:r>
              <w:rPr>
                <w:rFonts w:hint="eastAsia" w:ascii="宋体"/>
                <w:color w:val="auto"/>
                <w:sz w:val="21"/>
                <w:szCs w:val="21"/>
                <w:highlight w:val="none"/>
                <w:lang w:val="en-U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合计</w:t>
            </w:r>
          </w:p>
        </w:tc>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20</w:t>
            </w: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分</w:t>
            </w:r>
          </w:p>
        </w:tc>
        <w:tc>
          <w:tcPr>
            <w:tcW w:w="6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both"/>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zh-CN"/>
              </w:rPr>
            </w:pPr>
          </w:p>
        </w:tc>
      </w:tr>
    </w:tbl>
    <w:p>
      <w:pPr>
        <w:shd w:val="clear"/>
        <w:spacing w:line="240" w:lineRule="auto"/>
        <w:ind w:left="0" w:leftChars="0" w:right="0" w:rightChars="0" w:firstLine="0" w:firstLineChars="0"/>
        <w:jc w:val="center"/>
        <w:rPr>
          <w:rFonts w:hint="eastAsia" w:ascii="宋体" w:hAnsi="宋体" w:eastAsia="宋体" w:cs="宋体"/>
          <w:b/>
          <w:bCs/>
          <w:color w:val="auto"/>
          <w:spacing w:val="0"/>
          <w:w w:val="100"/>
          <w:position w:val="0"/>
          <w:sz w:val="22"/>
          <w:szCs w:val="22"/>
          <w:highlight w:val="none"/>
          <w:shd w:val="clear" w:color="auto" w:fill="auto"/>
          <w:lang w:val="zh-CN" w:eastAsia="zh-CN"/>
        </w:rPr>
      </w:pPr>
      <w:r>
        <w:rPr>
          <w:rFonts w:hint="eastAsia" w:ascii="宋体" w:hAnsi="宋体" w:eastAsia="宋体" w:cs="宋体"/>
          <w:b/>
          <w:bCs/>
          <w:color w:val="auto"/>
          <w:spacing w:val="0"/>
          <w:w w:val="100"/>
          <w:position w:val="0"/>
          <w:sz w:val="22"/>
          <w:szCs w:val="22"/>
          <w:highlight w:val="none"/>
          <w:shd w:val="clear" w:color="auto" w:fill="auto"/>
          <w:lang w:val="en-US" w:eastAsia="zh-CN"/>
        </w:rPr>
        <w:t>技术部分</w:t>
      </w:r>
      <w:r>
        <w:rPr>
          <w:rFonts w:hint="eastAsia" w:cs="宋体"/>
          <w:b/>
          <w:bCs/>
          <w:color w:val="auto"/>
          <w:spacing w:val="0"/>
          <w:w w:val="100"/>
          <w:position w:val="0"/>
          <w:sz w:val="22"/>
          <w:szCs w:val="22"/>
          <w:highlight w:val="none"/>
          <w:shd w:val="clear" w:color="auto" w:fill="auto"/>
          <w:lang w:val="en-US" w:eastAsia="zh-CN"/>
        </w:rPr>
        <w:t>50</w:t>
      </w:r>
      <w:r>
        <w:rPr>
          <w:rFonts w:hint="eastAsia" w:ascii="宋体" w:hAnsi="宋体" w:eastAsia="宋体" w:cs="宋体"/>
          <w:b/>
          <w:bCs/>
          <w:color w:val="auto"/>
          <w:spacing w:val="0"/>
          <w:w w:val="100"/>
          <w:position w:val="0"/>
          <w:sz w:val="22"/>
          <w:szCs w:val="22"/>
          <w:highlight w:val="none"/>
          <w:shd w:val="clear" w:color="auto" w:fill="auto"/>
          <w:lang w:val="en-US" w:eastAsia="zh-CN"/>
        </w:rPr>
        <w:t>分</w:t>
      </w:r>
    </w:p>
    <w:tbl>
      <w:tblPr>
        <w:tblStyle w:val="29"/>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711"/>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2"/>
                <w:position w:val="0"/>
                <w:sz w:val="21"/>
                <w:szCs w:val="21"/>
                <w:highlight w:val="none"/>
                <w:vertAlign w:val="baseline"/>
                <w:lang w:val="en-US" w:eastAsia="zh-CN" w:bidi="ar-SA"/>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vertAlign w:val="baseline"/>
                <w:lang w:val="en-US" w:eastAsia="zh-CN" w:bidi="ar-SA"/>
              </w:rPr>
            </w:pPr>
            <w:r>
              <w:rPr>
                <w:rFonts w:hint="eastAsia" w:ascii="宋体" w:hAnsi="宋体" w:eastAsia="宋体" w:cs="宋体"/>
                <w:b/>
                <w:bCs/>
                <w:color w:val="auto"/>
                <w:spacing w:val="0"/>
                <w:w w:val="100"/>
                <w:kern w:val="0"/>
                <w:position w:val="0"/>
                <w:sz w:val="21"/>
                <w:szCs w:val="21"/>
                <w:highlight w:val="none"/>
                <w:lang w:val="en-US" w:eastAsia="zh-CN" w:bidi="ar-SA"/>
              </w:rPr>
              <w:t>评审内容</w:t>
            </w:r>
          </w:p>
        </w:tc>
        <w:tc>
          <w:tcPr>
            <w:tcW w:w="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分值</w:t>
            </w:r>
          </w:p>
        </w:tc>
        <w:tc>
          <w:tcPr>
            <w:tcW w:w="68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spacing w:before="0" w:after="0" w:line="240" w:lineRule="auto"/>
              <w:ind w:left="0" w:leftChars="0" w:right="0"/>
              <w:jc w:val="center"/>
              <w:textAlignment w:val="auto"/>
              <w:rPr>
                <w:rFonts w:hint="eastAsia" w:ascii="宋体" w:hAnsi="宋体" w:eastAsia="宋体" w:cs="宋体"/>
                <w:color w:val="auto"/>
                <w:spacing w:val="0"/>
                <w:w w:val="100"/>
                <w:kern w:val="2"/>
                <w:position w:val="0"/>
                <w:sz w:val="21"/>
                <w:szCs w:val="21"/>
                <w:highlight w:val="none"/>
                <w:shd w:val="clear" w:color="auto" w:fill="auto"/>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spacing w:val="0"/>
                <w:w w:val="100"/>
                <w:kern w:val="0"/>
                <w:position w:val="0"/>
                <w:sz w:val="21"/>
                <w:szCs w:val="21"/>
                <w:highlight w:val="none"/>
                <w:vertAlign w:val="baseline"/>
                <w:lang w:val="en-US" w:eastAsia="zh-CN" w:bidi="ar-SA"/>
              </w:rPr>
            </w:pPr>
            <w:r>
              <w:rPr>
                <w:rFonts w:hint="eastAsia" w:ascii="宋体"/>
                <w:color w:val="auto"/>
                <w:sz w:val="21"/>
                <w:szCs w:val="21"/>
                <w:highlight w:val="none"/>
                <w:lang w:val="en-US" w:bidi="ar"/>
              </w:rPr>
              <w:t>产品技术参数响应</w:t>
            </w:r>
          </w:p>
        </w:tc>
        <w:tc>
          <w:tcPr>
            <w:tcW w:w="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pacing w:val="0"/>
                <w:w w:val="100"/>
                <w:kern w:val="0"/>
                <w:position w:val="0"/>
                <w:sz w:val="21"/>
                <w:szCs w:val="21"/>
                <w:highlight w:val="none"/>
                <w:vertAlign w:val="baseline"/>
                <w:lang w:val="en-US" w:eastAsia="zh-CN" w:bidi="ar-SA"/>
              </w:rPr>
            </w:pPr>
            <w:r>
              <w:rPr>
                <w:rFonts w:hint="eastAsia" w:ascii="宋体" w:eastAsia="宋体"/>
                <w:color w:val="auto"/>
                <w:sz w:val="21"/>
                <w:szCs w:val="21"/>
                <w:highlight w:val="none"/>
                <w:lang w:val="en-US" w:eastAsia="zh-CN" w:bidi="ar"/>
              </w:rPr>
              <w:t>25</w:t>
            </w:r>
            <w:r>
              <w:rPr>
                <w:rFonts w:hint="eastAsia" w:ascii="宋体"/>
                <w:color w:val="auto"/>
                <w:sz w:val="21"/>
                <w:szCs w:val="21"/>
                <w:highlight w:val="none"/>
                <w:lang w:val="en-US" w:bidi="ar"/>
              </w:rPr>
              <w:t>分</w:t>
            </w:r>
          </w:p>
        </w:tc>
        <w:tc>
          <w:tcPr>
            <w:tcW w:w="686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bidi="ar"/>
              </w:rPr>
              <w:t>根据</w:t>
            </w:r>
            <w:r>
              <w:rPr>
                <w:rFonts w:hint="eastAsia" w:cs="宋体"/>
                <w:color w:val="auto"/>
                <w:sz w:val="21"/>
                <w:szCs w:val="21"/>
                <w:highlight w:val="none"/>
                <w:lang w:val="en-US" w:eastAsia="zh-CN" w:bidi="ar"/>
              </w:rPr>
              <w:t>投标人</w:t>
            </w:r>
            <w:r>
              <w:rPr>
                <w:rFonts w:hint="eastAsia" w:ascii="宋体" w:hAnsi="宋体" w:eastAsia="宋体" w:cs="宋体"/>
                <w:color w:val="auto"/>
                <w:sz w:val="21"/>
                <w:szCs w:val="21"/>
                <w:highlight w:val="none"/>
                <w:lang w:val="en-US" w:bidi="ar"/>
              </w:rPr>
              <w:t>提供的产品的技术性能说明、技术偏离等情况描述，由评委进行客观评价；完全响应的得</w:t>
            </w:r>
            <w:r>
              <w:rPr>
                <w:rFonts w:hint="eastAsia"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val="en-US" w:bidi="ar"/>
              </w:rPr>
              <w:t>分</w:t>
            </w:r>
            <w:r>
              <w:rPr>
                <w:rFonts w:hint="eastAsia" w:ascii="宋体" w:hAnsi="宋体" w:eastAsia="宋体" w:cs="宋体"/>
                <w:color w:val="auto"/>
                <w:sz w:val="21"/>
                <w:szCs w:val="21"/>
                <w:highlight w:val="none"/>
                <w:lang w:val="en-US" w:eastAsia="zh-CN" w:bidi="ar"/>
              </w:rPr>
              <w:t>。</w:t>
            </w:r>
          </w:p>
          <w:p>
            <w:pPr>
              <w:widowControl/>
              <w:jc w:val="both"/>
              <w:rPr>
                <w:rFonts w:hint="default" w:ascii="宋体" w:hAnsi="宋体" w:eastAsia="宋体" w:cs="宋体"/>
                <w:color w:val="auto"/>
                <w:sz w:val="21"/>
                <w:szCs w:val="21"/>
                <w:lang w:val="en-US" w:eastAsia="zh-CN" w:bidi="zh-CN"/>
              </w:rPr>
            </w:pPr>
            <w:r>
              <w:rPr>
                <w:rFonts w:hint="eastAsia" w:ascii="宋体" w:hAnsi="宋体" w:eastAsia="宋体" w:cs="宋体"/>
                <w:color w:val="auto"/>
                <w:sz w:val="21"/>
                <w:szCs w:val="21"/>
                <w:highlight w:val="none"/>
                <w:lang w:val="en-US" w:bidi="ar"/>
              </w:rPr>
              <w:t>技术参数标注“★”为主要技术参数，每有1个不满足的扣3分，未标注的一般参数，每有1个不满足的扣2分。要求</w:t>
            </w:r>
            <w:r>
              <w:rPr>
                <w:rFonts w:hint="eastAsia" w:cs="宋体"/>
                <w:color w:val="auto"/>
                <w:sz w:val="21"/>
                <w:szCs w:val="21"/>
                <w:highlight w:val="none"/>
                <w:lang w:val="en-US" w:eastAsia="zh-CN" w:bidi="ar"/>
              </w:rPr>
              <w:t>投标人</w:t>
            </w:r>
            <w:r>
              <w:rPr>
                <w:rFonts w:hint="eastAsia" w:ascii="宋体" w:hAnsi="宋体" w:eastAsia="宋体" w:cs="宋体"/>
                <w:color w:val="auto"/>
                <w:sz w:val="21"/>
                <w:szCs w:val="21"/>
                <w:highlight w:val="none"/>
                <w:lang w:val="en-US" w:bidi="ar"/>
              </w:rPr>
              <w:t>提供可以满足“★”技术参数的详细技术资料（有效的满足参数的检验报告或产品彩页或技术白皮书等相关证明材料，如“★”技术参数有具体要求的，提供材料以要求为准），完全按照</w:t>
            </w:r>
            <w:r>
              <w:rPr>
                <w:rFonts w:hint="eastAsia" w:cs="宋体"/>
                <w:color w:val="auto"/>
                <w:sz w:val="21"/>
                <w:szCs w:val="21"/>
                <w:highlight w:val="none"/>
                <w:lang w:val="en-US" w:eastAsia="zh-CN" w:bidi="ar"/>
              </w:rPr>
              <w:t>招标文件</w:t>
            </w:r>
            <w:r>
              <w:rPr>
                <w:rFonts w:hint="eastAsia" w:ascii="宋体" w:hAnsi="宋体" w:eastAsia="宋体" w:cs="宋体"/>
                <w:color w:val="auto"/>
                <w:sz w:val="21"/>
                <w:szCs w:val="21"/>
                <w:highlight w:val="none"/>
                <w:lang w:val="en-US" w:bidi="ar"/>
              </w:rPr>
              <w:t>技术参数复制作为投标文件技术参数的以及未提供详细技术资料的，评标委员会有可能视为不满足。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ascii="宋体" w:hAnsi="宋体" w:eastAsia="宋体" w:cs="宋体"/>
                <w:color w:val="auto"/>
                <w:spacing w:val="0"/>
                <w:w w:val="100"/>
                <w:kern w:val="0"/>
                <w:position w:val="0"/>
                <w:sz w:val="21"/>
                <w:szCs w:val="21"/>
                <w:highlight w:val="none"/>
                <w:shd w:val="clear" w:color="auto" w:fill="auto"/>
                <w:lang w:val="en-US" w:eastAsia="zh-CN" w:bidi="ar-SA"/>
              </w:rPr>
              <w:t>2</w:t>
            </w:r>
          </w:p>
        </w:tc>
        <w:tc>
          <w:tcPr>
            <w:tcW w:w="1275"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Cs w:val="21"/>
                <w:lang w:val="en-US" w:eastAsia="zh-CN" w:bidi="ar"/>
              </w:rPr>
            </w:pPr>
            <w:r>
              <w:rPr>
                <w:rFonts w:hint="eastAsia" w:ascii="宋体"/>
                <w:color w:val="auto"/>
                <w:sz w:val="21"/>
                <w:szCs w:val="21"/>
                <w:highlight w:val="none"/>
                <w:lang w:val="en-US" w:bidi="ar"/>
              </w:rPr>
              <w:t>对投标产品整体性能的评价</w:t>
            </w:r>
          </w:p>
        </w:tc>
        <w:tc>
          <w:tcPr>
            <w:tcW w:w="71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Cs w:val="21"/>
                <w:lang w:val="en-US" w:eastAsia="zh-CN" w:bidi="ar"/>
              </w:rPr>
            </w:pPr>
            <w:r>
              <w:rPr>
                <w:rFonts w:hint="eastAsia" w:ascii="宋体" w:eastAsia="宋体"/>
                <w:color w:val="auto"/>
                <w:sz w:val="21"/>
                <w:szCs w:val="21"/>
                <w:highlight w:val="none"/>
                <w:lang w:val="en-US" w:eastAsia="zh-CN" w:bidi="ar"/>
              </w:rPr>
              <w:t>5</w:t>
            </w:r>
            <w:r>
              <w:rPr>
                <w:rFonts w:hint="eastAsia" w:ascii="宋体"/>
                <w:color w:val="auto"/>
                <w:sz w:val="21"/>
                <w:szCs w:val="21"/>
                <w:highlight w:val="none"/>
                <w:lang w:val="en-US" w:bidi="ar"/>
              </w:rPr>
              <w:t>分</w:t>
            </w:r>
          </w:p>
        </w:tc>
        <w:tc>
          <w:tcPr>
            <w:tcW w:w="6862" w:type="dxa"/>
            <w:tcBorders>
              <w:top w:val="single" w:color="auto" w:sz="4" w:space="0"/>
              <w:left w:val="single" w:color="auto" w:sz="4" w:space="0"/>
              <w:bottom w:val="single" w:color="auto" w:sz="4" w:space="0"/>
              <w:right w:val="single" w:color="auto" w:sz="4" w:space="0"/>
            </w:tcBorders>
            <w:noWrap w:val="0"/>
            <w:vAlign w:val="center"/>
          </w:tcPr>
          <w:p>
            <w:pPr>
              <w:widowControl/>
              <w:jc w:val="both"/>
              <w:rPr>
                <w:color w:val="auto"/>
                <w:sz w:val="21"/>
                <w:szCs w:val="21"/>
                <w:highlight w:val="none"/>
                <w:lang w:val="en-US" w:bidi="ar"/>
              </w:rPr>
            </w:pPr>
            <w:r>
              <w:rPr>
                <w:rFonts w:hint="eastAsia" w:ascii="宋体"/>
                <w:color w:val="auto"/>
                <w:sz w:val="21"/>
                <w:szCs w:val="21"/>
                <w:highlight w:val="none"/>
                <w:lang w:val="en-US" w:bidi="ar"/>
              </w:rPr>
              <w:t>根据</w:t>
            </w:r>
            <w:r>
              <w:rPr>
                <w:rFonts w:hint="eastAsia"/>
                <w:color w:val="auto"/>
                <w:sz w:val="21"/>
                <w:szCs w:val="21"/>
                <w:highlight w:val="none"/>
                <w:lang w:val="en-US" w:eastAsia="zh-CN" w:bidi="ar"/>
              </w:rPr>
              <w:t>招标文件</w:t>
            </w:r>
            <w:r>
              <w:rPr>
                <w:rFonts w:hint="eastAsia" w:ascii="宋体"/>
                <w:color w:val="auto"/>
                <w:sz w:val="21"/>
                <w:szCs w:val="21"/>
                <w:highlight w:val="none"/>
                <w:lang w:val="en-US" w:bidi="ar"/>
              </w:rPr>
              <w:t>要求结合项目需求，对投标产品选型过程中，提供的投标产品的功能、质量、产品配置、性能优良，并满足用户对产品功能、质量、使用、操作等方面的需求</w:t>
            </w:r>
            <w:r>
              <w:rPr>
                <w:rFonts w:hint="eastAsia" w:ascii="宋体" w:eastAsia="宋体"/>
                <w:color w:val="auto"/>
                <w:sz w:val="21"/>
                <w:szCs w:val="21"/>
                <w:highlight w:val="none"/>
                <w:lang w:val="en-US" w:eastAsia="zh-CN" w:bidi="ar"/>
              </w:rPr>
              <w:t>，由评委综合评分：</w:t>
            </w:r>
          </w:p>
          <w:p>
            <w:pPr>
              <w:widowControl/>
              <w:jc w:val="both"/>
              <w:rPr>
                <w:color w:val="auto"/>
                <w:sz w:val="21"/>
                <w:szCs w:val="21"/>
                <w:highlight w:val="none"/>
                <w:lang w:val="en-US" w:bidi="ar"/>
              </w:rPr>
            </w:pPr>
            <w:r>
              <w:rPr>
                <w:color w:val="auto"/>
                <w:sz w:val="21"/>
                <w:szCs w:val="21"/>
                <w:highlight w:val="none"/>
                <w:lang w:val="en-US" w:bidi="ar"/>
              </w:rPr>
              <w:t>1</w:t>
            </w:r>
            <w:r>
              <w:rPr>
                <w:rFonts w:hint="eastAsia" w:ascii="宋体"/>
                <w:color w:val="auto"/>
                <w:sz w:val="21"/>
                <w:szCs w:val="21"/>
                <w:highlight w:val="none"/>
                <w:lang w:val="en-US" w:bidi="ar"/>
              </w:rPr>
              <w:t>）投标产品整体技术性能、质量、使用及操作方法满足或优于项目需求，得 5</w:t>
            </w:r>
            <w:r>
              <w:rPr>
                <w:color w:val="auto"/>
                <w:sz w:val="21"/>
                <w:szCs w:val="21"/>
                <w:highlight w:val="none"/>
                <w:lang w:val="en-US" w:bidi="ar"/>
              </w:rPr>
              <w:t xml:space="preserve"> </w:t>
            </w:r>
            <w:r>
              <w:rPr>
                <w:rFonts w:hint="eastAsia" w:ascii="宋体"/>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w:t>
            </w:r>
            <w:r>
              <w:rPr>
                <w:rFonts w:hint="eastAsia" w:ascii="宋体"/>
                <w:color w:val="auto"/>
                <w:sz w:val="21"/>
                <w:szCs w:val="21"/>
                <w:highlight w:val="none"/>
                <w:lang w:val="en-US" w:bidi="ar"/>
              </w:rPr>
              <w:t>）投标产品整体技术性能、质量、使用及操作方法基本满足项目需求，得 3</w:t>
            </w:r>
            <w:r>
              <w:rPr>
                <w:color w:val="auto"/>
                <w:sz w:val="21"/>
                <w:szCs w:val="21"/>
                <w:highlight w:val="none"/>
                <w:lang w:val="en-US" w:bidi="ar"/>
              </w:rPr>
              <w:t xml:space="preserve"> </w:t>
            </w:r>
            <w:r>
              <w:rPr>
                <w:rFonts w:hint="eastAsia" w:ascii="宋体"/>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3</w:t>
            </w:r>
            <w:r>
              <w:rPr>
                <w:rFonts w:hint="eastAsia" w:ascii="宋体"/>
                <w:color w:val="auto"/>
                <w:sz w:val="21"/>
                <w:szCs w:val="21"/>
                <w:highlight w:val="none"/>
                <w:lang w:val="en-US" w:bidi="ar"/>
              </w:rPr>
              <w:t>）投标产品整体技术性能、质量、使用及操作方法与项目需求相差较多得 1</w:t>
            </w:r>
            <w:r>
              <w:rPr>
                <w:color w:val="auto"/>
                <w:sz w:val="21"/>
                <w:szCs w:val="21"/>
                <w:highlight w:val="none"/>
                <w:lang w:val="en-US" w:bidi="ar"/>
              </w:rPr>
              <w:t xml:space="preserve"> </w:t>
            </w:r>
            <w:r>
              <w:rPr>
                <w:rFonts w:hint="eastAsia" w:ascii="宋体"/>
                <w:color w:val="auto"/>
                <w:sz w:val="21"/>
                <w:szCs w:val="21"/>
                <w:highlight w:val="none"/>
                <w:lang w:val="en-US" w:bidi="ar"/>
              </w:rPr>
              <w:t>分。</w:t>
            </w:r>
          </w:p>
          <w:p>
            <w:pPr>
              <w:widowControl/>
              <w:jc w:val="both"/>
              <w:rPr>
                <w:rFonts w:hint="eastAsia" w:ascii="宋体" w:hAnsi="宋体" w:eastAsia="宋体" w:cs="宋体"/>
                <w:color w:val="auto"/>
                <w:sz w:val="21"/>
                <w:szCs w:val="21"/>
                <w:lang w:val="en-US" w:eastAsia="zh-CN" w:bidi="zh-CN"/>
              </w:rPr>
            </w:pPr>
            <w:r>
              <w:rPr>
                <w:rFonts w:hint="eastAsia" w:ascii="宋体"/>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blHeader/>
          <w:jc w:val="center"/>
        </w:trPr>
        <w:tc>
          <w:tcPr>
            <w:tcW w:w="56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default"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3</w:t>
            </w:r>
          </w:p>
        </w:tc>
        <w:tc>
          <w:tcPr>
            <w:tcW w:w="1275" w:type="dxa"/>
            <w:tcBorders>
              <w:top w:val="single" w:color="auto" w:sz="4" w:space="0"/>
              <w:left w:val="single" w:color="auto" w:sz="4" w:space="0"/>
              <w:right w:val="single" w:color="auto" w:sz="4" w:space="0"/>
            </w:tcBorders>
            <w:noWrap w:val="0"/>
            <w:vAlign w:val="center"/>
          </w:tcPr>
          <w:p>
            <w:pPr>
              <w:adjustRightInd w:val="0"/>
              <w:jc w:val="center"/>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安装、调试及仪器设备应用验证方案</w:t>
            </w:r>
          </w:p>
        </w:tc>
        <w:tc>
          <w:tcPr>
            <w:tcW w:w="711" w:type="dxa"/>
            <w:tcBorders>
              <w:top w:val="single" w:color="auto" w:sz="4" w:space="0"/>
              <w:left w:val="single" w:color="auto" w:sz="4" w:space="0"/>
              <w:right w:val="single" w:color="auto" w:sz="4" w:space="0"/>
            </w:tcBorders>
            <w:noWrap w:val="0"/>
            <w:vAlign w:val="center"/>
          </w:tcPr>
          <w:p>
            <w:pPr>
              <w:adjustRightInd w:val="0"/>
              <w:jc w:val="center"/>
              <w:rPr>
                <w:rFonts w:hint="eastAsia" w:ascii="宋体" w:hAnsi="宋体" w:eastAsia="宋体" w:cs="宋体"/>
                <w:color w:val="auto"/>
                <w:szCs w:val="21"/>
                <w:lang w:val="en-US" w:eastAsia="zh-CN" w:bidi="ar"/>
              </w:rPr>
            </w:pPr>
            <w:r>
              <w:rPr>
                <w:rFonts w:hint="eastAsia" w:ascii="宋体"/>
                <w:color w:val="auto"/>
                <w:kern w:val="2"/>
                <w:sz w:val="21"/>
                <w:szCs w:val="21"/>
                <w:highlight w:val="none"/>
                <w:lang w:val="en-US" w:bidi="ar-SA"/>
              </w:rPr>
              <w:t>5分</w:t>
            </w:r>
          </w:p>
        </w:tc>
        <w:tc>
          <w:tcPr>
            <w:tcW w:w="686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eastAsia="宋体"/>
                <w:color w:val="auto"/>
                <w:sz w:val="21"/>
                <w:szCs w:val="21"/>
                <w:highlight w:val="none"/>
                <w:lang w:val="en-US" w:eastAsia="zh-CN" w:bidi="ar"/>
              </w:rPr>
            </w:pPr>
            <w:r>
              <w:rPr>
                <w:rFonts w:hint="eastAsia" w:ascii="宋体" w:eastAsia="宋体"/>
                <w:color w:val="auto"/>
                <w:sz w:val="21"/>
                <w:szCs w:val="21"/>
                <w:highlight w:val="none"/>
                <w:lang w:val="en-US" w:eastAsia="zh-CN" w:bidi="ar"/>
              </w:rPr>
              <w:t>根据</w:t>
            </w:r>
            <w:r>
              <w:rPr>
                <w:rFonts w:hint="eastAsia"/>
                <w:color w:val="auto"/>
                <w:sz w:val="21"/>
                <w:szCs w:val="21"/>
                <w:highlight w:val="none"/>
                <w:lang w:val="en-US" w:eastAsia="zh-CN" w:bidi="ar"/>
              </w:rPr>
              <w:t>投标人</w:t>
            </w:r>
            <w:r>
              <w:rPr>
                <w:rFonts w:hint="eastAsia" w:ascii="宋体"/>
                <w:color w:val="auto"/>
                <w:sz w:val="21"/>
                <w:szCs w:val="21"/>
                <w:highlight w:val="none"/>
                <w:lang w:val="en-US" w:bidi="ar"/>
              </w:rPr>
              <w:t>的安装、调试方案及所要求的仪器设备应用方案</w:t>
            </w:r>
            <w:r>
              <w:rPr>
                <w:rFonts w:hint="eastAsia" w:ascii="宋体" w:eastAsia="宋体"/>
                <w:color w:val="auto"/>
                <w:sz w:val="21"/>
                <w:szCs w:val="21"/>
                <w:highlight w:val="none"/>
                <w:lang w:val="en-US" w:eastAsia="zh-CN" w:bidi="ar"/>
              </w:rPr>
              <w:t>，由评委综合评分：</w:t>
            </w:r>
          </w:p>
          <w:p>
            <w:pPr>
              <w:widowControl/>
              <w:jc w:val="both"/>
              <w:rPr>
                <w:color w:val="auto"/>
                <w:sz w:val="21"/>
                <w:szCs w:val="21"/>
                <w:highlight w:val="none"/>
                <w:lang w:val="en-US" w:bidi="ar"/>
              </w:rPr>
            </w:pPr>
            <w:r>
              <w:rPr>
                <w:color w:val="auto"/>
                <w:sz w:val="21"/>
                <w:szCs w:val="21"/>
                <w:highlight w:val="none"/>
                <w:lang w:val="en-US" w:bidi="ar"/>
              </w:rPr>
              <w:t>1</w:t>
            </w:r>
            <w:r>
              <w:rPr>
                <w:rFonts w:hint="eastAsia" w:ascii="宋体"/>
                <w:color w:val="auto"/>
                <w:sz w:val="21"/>
                <w:szCs w:val="21"/>
                <w:highlight w:val="none"/>
                <w:lang w:val="en-US" w:bidi="ar"/>
              </w:rPr>
              <w:t>）能根据本项目实际情况提出方案，且安装调试方案科学、合理、安装程序与进度保障措施完善的得 5</w:t>
            </w:r>
            <w:r>
              <w:rPr>
                <w:color w:val="auto"/>
                <w:sz w:val="21"/>
                <w:szCs w:val="21"/>
                <w:highlight w:val="none"/>
                <w:lang w:val="en-US" w:bidi="ar"/>
              </w:rPr>
              <w:t xml:space="preserve"> </w:t>
            </w:r>
            <w:r>
              <w:rPr>
                <w:rFonts w:hint="eastAsia" w:ascii="宋体"/>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w:t>
            </w:r>
            <w:r>
              <w:rPr>
                <w:rFonts w:hint="eastAsia" w:ascii="宋体"/>
                <w:color w:val="auto"/>
                <w:sz w:val="21"/>
                <w:szCs w:val="21"/>
                <w:highlight w:val="none"/>
                <w:lang w:val="en-US" w:bidi="ar"/>
              </w:rPr>
              <w:t xml:space="preserve">）安装调试方案基本可行、具备安装程序与进度保障措施的得 3 分； </w:t>
            </w:r>
          </w:p>
          <w:p>
            <w:pPr>
              <w:widowControl/>
              <w:jc w:val="both"/>
              <w:rPr>
                <w:color w:val="auto"/>
                <w:sz w:val="21"/>
                <w:szCs w:val="21"/>
                <w:highlight w:val="none"/>
                <w:lang w:val="en-US" w:bidi="ar"/>
              </w:rPr>
            </w:pPr>
            <w:r>
              <w:rPr>
                <w:color w:val="auto"/>
                <w:sz w:val="21"/>
                <w:szCs w:val="21"/>
                <w:highlight w:val="none"/>
                <w:lang w:val="en-US" w:bidi="ar"/>
              </w:rPr>
              <w:t>3</w:t>
            </w:r>
            <w:r>
              <w:rPr>
                <w:rFonts w:hint="eastAsia" w:ascii="宋体"/>
                <w:color w:val="auto"/>
                <w:sz w:val="21"/>
                <w:szCs w:val="21"/>
                <w:highlight w:val="none"/>
                <w:lang w:val="en-US" w:bidi="ar"/>
              </w:rPr>
              <w:t>）安装调试方案不完善、安装程序与进度保障措施考虑不周全的得 1</w:t>
            </w:r>
            <w:r>
              <w:rPr>
                <w:color w:val="auto"/>
                <w:sz w:val="21"/>
                <w:szCs w:val="21"/>
                <w:highlight w:val="none"/>
                <w:lang w:val="en-US" w:bidi="ar"/>
              </w:rPr>
              <w:t xml:space="preserve"> </w:t>
            </w:r>
            <w:r>
              <w:rPr>
                <w:rFonts w:hint="eastAsia" w:ascii="宋体"/>
                <w:color w:val="auto"/>
                <w:sz w:val="21"/>
                <w:szCs w:val="21"/>
                <w:highlight w:val="none"/>
                <w:lang w:val="en-US" w:bidi="ar"/>
              </w:rPr>
              <w:t>分；</w:t>
            </w:r>
          </w:p>
          <w:p>
            <w:pPr>
              <w:widowControl/>
              <w:jc w:val="both"/>
              <w:rPr>
                <w:rFonts w:hint="eastAsia" w:ascii="宋体" w:hAnsi="宋体" w:eastAsia="宋体" w:cs="宋体"/>
                <w:color w:val="auto"/>
                <w:sz w:val="21"/>
                <w:szCs w:val="21"/>
                <w:lang w:val="en-US" w:eastAsia="zh-CN" w:bidi="zh-CN"/>
              </w:rPr>
            </w:pPr>
            <w:r>
              <w:rPr>
                <w:rFonts w:hint="eastAsia" w:ascii="宋体"/>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val="0"/>
              <w:autoSpaceDN w:val="0"/>
              <w:bidi w:val="0"/>
              <w:adjustRightInd w:val="0"/>
              <w:snapToGrid w:val="0"/>
              <w:spacing w:before="0" w:after="0" w:line="240" w:lineRule="auto"/>
              <w:ind w:left="0" w:leftChars="0" w:right="0" w:right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SA"/>
              </w:rPr>
            </w:pPr>
            <w:r>
              <w:rPr>
                <w:rFonts w:hint="eastAsia" w:cs="宋体"/>
                <w:color w:val="auto"/>
                <w:spacing w:val="0"/>
                <w:w w:val="100"/>
                <w:kern w:val="0"/>
                <w:position w:val="0"/>
                <w:sz w:val="21"/>
                <w:szCs w:val="21"/>
                <w:highlight w:val="none"/>
                <w:shd w:val="clear" w:color="auto" w:fill="auto"/>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宋体" w:hAnsi="宋体" w:eastAsia="宋体" w:cs="宋体"/>
                <w:color w:val="auto"/>
                <w:sz w:val="21"/>
                <w:szCs w:val="21"/>
                <w:lang w:val="en-US" w:eastAsia="zh-CN" w:bidi="zh-CN"/>
              </w:rPr>
            </w:pPr>
            <w:r>
              <w:rPr>
                <w:rFonts w:hint="eastAsia" w:ascii="宋体" w:eastAsia="宋体"/>
                <w:color w:val="auto"/>
                <w:kern w:val="2"/>
                <w:sz w:val="21"/>
                <w:szCs w:val="21"/>
                <w:highlight w:val="none"/>
                <w:lang w:val="en-US" w:eastAsia="zh-CN" w:bidi="ar-SA"/>
              </w:rPr>
              <w:t>供货方案</w:t>
            </w:r>
          </w:p>
        </w:tc>
        <w:tc>
          <w:tcPr>
            <w:tcW w:w="711"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ascii="宋体" w:hAnsi="宋体" w:eastAsia="宋体" w:cs="宋体"/>
                <w:color w:val="auto"/>
                <w:sz w:val="21"/>
                <w:szCs w:val="21"/>
                <w:lang w:val="en-US" w:eastAsia="zh-CN" w:bidi="zh-CN"/>
              </w:rPr>
            </w:pPr>
            <w:r>
              <w:rPr>
                <w:rFonts w:hint="eastAsia" w:ascii="宋体"/>
                <w:color w:val="auto"/>
                <w:kern w:val="2"/>
                <w:sz w:val="21"/>
                <w:szCs w:val="21"/>
                <w:highlight w:val="none"/>
                <w:lang w:val="en-US" w:bidi="ar-SA"/>
              </w:rPr>
              <w:t>1</w:t>
            </w:r>
            <w:r>
              <w:rPr>
                <w:rFonts w:hint="eastAsia" w:ascii="宋体" w:eastAsia="宋体"/>
                <w:color w:val="auto"/>
                <w:kern w:val="2"/>
                <w:sz w:val="21"/>
                <w:szCs w:val="21"/>
                <w:highlight w:val="none"/>
                <w:lang w:val="en-US" w:eastAsia="zh-CN" w:bidi="ar-SA"/>
              </w:rPr>
              <w:t>5</w:t>
            </w:r>
            <w:r>
              <w:rPr>
                <w:rFonts w:hint="eastAsia" w:ascii="宋体"/>
                <w:color w:val="auto"/>
                <w:kern w:val="2"/>
                <w:sz w:val="21"/>
                <w:szCs w:val="21"/>
                <w:highlight w:val="none"/>
                <w:lang w:val="en-US" w:bidi="ar-SA"/>
              </w:rPr>
              <w:t>分</w:t>
            </w:r>
          </w:p>
        </w:tc>
        <w:tc>
          <w:tcPr>
            <w:tcW w:w="686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rPr>
            </w:pPr>
            <w:r>
              <w:rPr>
                <w:rFonts w:hint="eastAsia"/>
              </w:rPr>
              <w:t>根据</w:t>
            </w:r>
            <w:r>
              <w:rPr>
                <w:rFonts w:hint="eastAsia"/>
                <w:lang w:eastAsia="zh-CN"/>
              </w:rPr>
              <w:t>投标人</w:t>
            </w:r>
            <w:r>
              <w:rPr>
                <w:rFonts w:hint="eastAsia"/>
              </w:rPr>
              <w:t>针对本项目的采购方案（包括购买、包装、运输）、仪器校准检定要求、仪器使用应急替换方案、进度、质量、安全控制措施等</w:t>
            </w:r>
            <w:r>
              <w:rPr>
                <w:rFonts w:hint="eastAsia" w:eastAsia="宋体"/>
                <w:lang w:eastAsia="zh-CN"/>
              </w:rPr>
              <w:t>，由评委综合评分：</w:t>
            </w:r>
          </w:p>
          <w:p>
            <w:pPr>
              <w:widowControl/>
              <w:jc w:val="both"/>
              <w:rPr>
                <w:rFonts w:hint="eastAsia"/>
              </w:rPr>
            </w:pPr>
            <w:r>
              <w:rPr>
                <w:rFonts w:hint="eastAsia" w:ascii="宋体" w:eastAsia="宋体"/>
                <w:lang w:val="en-US" w:eastAsia="zh-CN"/>
              </w:rPr>
              <w:t>1）</w:t>
            </w:r>
            <w:r>
              <w:rPr>
                <w:rFonts w:hint="eastAsia" w:ascii="Times New Roman" w:eastAsia="宋体"/>
                <w:color w:val="auto"/>
                <w:kern w:val="2"/>
                <w:sz w:val="21"/>
                <w:szCs w:val="21"/>
                <w:highlight w:val="none"/>
                <w:lang w:val="en-US" w:eastAsia="zh-CN" w:bidi="ar-SA"/>
              </w:rPr>
              <w:t>供货方案</w:t>
            </w:r>
            <w:r>
              <w:rPr>
                <w:rFonts w:hint="eastAsia"/>
              </w:rPr>
              <w:t>具有全面性、科学性、合理性和可操作性的得1</w:t>
            </w:r>
            <w:r>
              <w:rPr>
                <w:rFonts w:hint="eastAsia" w:ascii="宋体" w:eastAsia="宋体"/>
                <w:lang w:val="en-US" w:eastAsia="zh-CN"/>
              </w:rPr>
              <w:t>5</w:t>
            </w:r>
            <w:r>
              <w:rPr>
                <w:rFonts w:hint="eastAsia"/>
              </w:rPr>
              <w:t>分；</w:t>
            </w:r>
          </w:p>
          <w:p>
            <w:pPr>
              <w:widowControl/>
              <w:jc w:val="both"/>
              <w:rPr>
                <w:rFonts w:hint="eastAsia"/>
              </w:rPr>
            </w:pPr>
            <w:r>
              <w:rPr>
                <w:rFonts w:hint="eastAsia" w:ascii="宋体" w:eastAsia="宋体"/>
                <w:lang w:val="en-US" w:eastAsia="zh-CN"/>
              </w:rPr>
              <w:t>2）</w:t>
            </w:r>
            <w:r>
              <w:rPr>
                <w:rFonts w:hint="eastAsia" w:ascii="Times New Roman" w:eastAsia="宋体"/>
                <w:color w:val="auto"/>
                <w:kern w:val="2"/>
                <w:sz w:val="21"/>
                <w:szCs w:val="21"/>
                <w:highlight w:val="none"/>
                <w:lang w:val="en-US" w:eastAsia="zh-CN" w:bidi="ar-SA"/>
              </w:rPr>
              <w:t>供货方案</w:t>
            </w:r>
            <w:r>
              <w:rPr>
                <w:rFonts w:hint="eastAsia"/>
              </w:rPr>
              <w:t>略有瑕疵，具有的科学性、合理性和可操作性一般的得</w:t>
            </w:r>
            <w:r>
              <w:rPr>
                <w:rFonts w:hint="eastAsia" w:ascii="宋体" w:eastAsia="宋体"/>
                <w:lang w:val="en-US" w:eastAsia="zh-CN"/>
              </w:rPr>
              <w:t>10</w:t>
            </w:r>
            <w:r>
              <w:rPr>
                <w:rFonts w:hint="eastAsia"/>
              </w:rPr>
              <w:t>分；</w:t>
            </w:r>
          </w:p>
          <w:p>
            <w:pPr>
              <w:widowControl/>
              <w:jc w:val="both"/>
              <w:rPr>
                <w:rFonts w:hint="eastAsia"/>
              </w:rPr>
            </w:pPr>
            <w:r>
              <w:rPr>
                <w:rFonts w:hint="eastAsia" w:ascii="宋体" w:eastAsia="宋体"/>
                <w:lang w:val="en-US" w:eastAsia="zh-CN"/>
              </w:rPr>
              <w:t>3）</w:t>
            </w:r>
            <w:r>
              <w:rPr>
                <w:rFonts w:hint="eastAsia" w:ascii="Times New Roman" w:eastAsia="宋体"/>
                <w:color w:val="auto"/>
                <w:kern w:val="2"/>
                <w:sz w:val="21"/>
                <w:szCs w:val="21"/>
                <w:highlight w:val="none"/>
                <w:lang w:val="en-US" w:eastAsia="zh-CN" w:bidi="ar-SA"/>
              </w:rPr>
              <w:t>供货方案</w:t>
            </w:r>
            <w:r>
              <w:rPr>
                <w:rFonts w:hint="eastAsia"/>
              </w:rPr>
              <w:t>片面，且具有的科学性、合理性和可操作性较差的得</w:t>
            </w:r>
            <w:r>
              <w:rPr>
                <w:rFonts w:hint="eastAsia" w:ascii="宋体" w:eastAsia="宋体"/>
                <w:lang w:val="en-US" w:eastAsia="zh-CN"/>
              </w:rPr>
              <w:t>5</w:t>
            </w:r>
            <w:r>
              <w:rPr>
                <w:rFonts w:hint="eastAsia"/>
              </w:rPr>
              <w:t>分；</w:t>
            </w:r>
          </w:p>
          <w:p>
            <w:pPr>
              <w:widowControl/>
              <w:jc w:val="both"/>
              <w:rPr>
                <w:rFonts w:hint="eastAsia" w:ascii="宋体" w:hAnsi="宋体" w:eastAsia="宋体" w:cs="宋体"/>
                <w:color w:val="auto"/>
                <w:sz w:val="21"/>
                <w:szCs w:val="21"/>
                <w:lang w:val="en-US" w:eastAsia="zh-CN" w:bidi="zh-CN"/>
              </w:rPr>
            </w:pPr>
            <w:r>
              <w:rPr>
                <w:rFonts w:hint="eastAsia" w:ascii="宋体" w:eastAsia="宋体"/>
                <w:lang w:val="en-US" w:eastAsia="zh-CN"/>
              </w:rPr>
              <w:t>4）</w:t>
            </w:r>
            <w:r>
              <w:rPr>
                <w:rFonts w:hint="eastAsi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color="auto" w:fill="auto"/>
              <w:kinsoku/>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ascii="宋体" w:hAnsi="宋体" w:eastAsia="宋体" w:cs="宋体"/>
                <w:color w:val="auto"/>
                <w:spacing w:val="0"/>
                <w:w w:val="100"/>
                <w:kern w:val="0"/>
                <w:position w:val="0"/>
                <w:sz w:val="21"/>
                <w:szCs w:val="21"/>
                <w:highlight w:val="none"/>
                <w:shd w:val="clear" w:color="auto" w:fill="auto"/>
                <w:lang w:val="en-US" w:eastAsia="zh-CN" w:bidi="ar"/>
              </w:rPr>
              <w:t>合计</w:t>
            </w:r>
          </w:p>
        </w:tc>
        <w:tc>
          <w:tcPr>
            <w:tcW w:w="75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color="auto" w:fill="auto"/>
              <w:autoSpaceDE w:val="0"/>
              <w:autoSpaceDN w:val="0"/>
              <w:spacing w:before="0" w:after="0" w:line="240" w:lineRule="auto"/>
              <w:ind w:left="0" w:leftChars="0" w:right="0" w:rightChars="0"/>
              <w:jc w:val="left"/>
              <w:rPr>
                <w:rFonts w:hint="eastAsia" w:ascii="宋体" w:hAnsi="宋体" w:eastAsia="宋体" w:cs="宋体"/>
                <w:color w:val="auto"/>
                <w:spacing w:val="0"/>
                <w:w w:val="100"/>
                <w:kern w:val="0"/>
                <w:position w:val="0"/>
                <w:sz w:val="21"/>
                <w:szCs w:val="21"/>
                <w:highlight w:val="none"/>
                <w:shd w:val="clear" w:color="auto" w:fill="auto"/>
                <w:lang w:val="en-US" w:eastAsia="zh-CN" w:bidi="ar"/>
              </w:rPr>
            </w:pPr>
            <w:r>
              <w:rPr>
                <w:rFonts w:hint="eastAsia" w:cs="宋体"/>
                <w:color w:val="auto"/>
                <w:spacing w:val="0"/>
                <w:w w:val="100"/>
                <w:kern w:val="0"/>
                <w:position w:val="0"/>
                <w:sz w:val="21"/>
                <w:szCs w:val="21"/>
                <w:highlight w:val="none"/>
                <w:shd w:val="clear" w:color="auto" w:fill="auto"/>
                <w:lang w:val="en-US" w:eastAsia="zh-CN" w:bidi="ar"/>
              </w:rPr>
              <w:t>50</w:t>
            </w:r>
            <w:r>
              <w:rPr>
                <w:rFonts w:hint="eastAsia" w:ascii="宋体" w:hAnsi="宋体" w:eastAsia="宋体" w:cs="宋体"/>
                <w:color w:val="auto"/>
                <w:spacing w:val="0"/>
                <w:w w:val="100"/>
                <w:kern w:val="0"/>
                <w:position w:val="0"/>
                <w:sz w:val="21"/>
                <w:szCs w:val="21"/>
                <w:highlight w:val="none"/>
                <w:shd w:val="clear" w:color="auto" w:fill="auto"/>
                <w:lang w:val="en-US" w:eastAsia="zh-CN" w:bidi="ar"/>
              </w:rPr>
              <w:t>分</w:t>
            </w:r>
          </w:p>
        </w:tc>
      </w:tr>
    </w:tbl>
    <w:p>
      <w:pPr>
        <w:rPr>
          <w:color w:val="auto"/>
          <w:sz w:val="21"/>
          <w:szCs w:val="20"/>
          <w:highlight w:val="none"/>
        </w:rPr>
      </w:pPr>
      <w:r>
        <w:rPr>
          <w:rFonts w:hint="eastAsia"/>
          <w:color w:val="auto"/>
          <w:sz w:val="21"/>
          <w:szCs w:val="20"/>
          <w:highlight w:val="none"/>
        </w:rPr>
        <w:br w:type="page"/>
      </w:r>
    </w:p>
    <w:p>
      <w:pPr>
        <w:pStyle w:val="5"/>
        <w:tabs>
          <w:tab w:val="left" w:pos="1163"/>
        </w:tabs>
        <w:spacing w:line="240" w:lineRule="auto"/>
        <w:outlineLvl w:val="0"/>
        <w:rPr>
          <w:rFonts w:ascii="宋体" w:hAnsi="宋体" w:eastAsia="宋体" w:cs="宋体"/>
          <w:b/>
          <w:bCs/>
          <w:color w:val="auto"/>
          <w:sz w:val="32"/>
          <w:szCs w:val="32"/>
          <w:highlight w:val="none"/>
        </w:rPr>
      </w:pPr>
      <w:bookmarkStart w:id="70" w:name="_bookmark71"/>
      <w:bookmarkEnd w:id="70"/>
      <w:bookmarkStart w:id="71" w:name="_bookmark80"/>
      <w:bookmarkEnd w:id="71"/>
      <w:bookmarkStart w:id="72" w:name="_Toc16237"/>
      <w:r>
        <w:rPr>
          <w:rFonts w:hint="eastAsia" w:ascii="宋体" w:hAnsi="宋体" w:eastAsia="宋体" w:cs="宋体"/>
          <w:b/>
          <w:bCs/>
          <w:color w:val="auto"/>
          <w:sz w:val="32"/>
          <w:szCs w:val="32"/>
          <w:highlight w:val="none"/>
        </w:rPr>
        <w:t>第五章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拟签订的合同文本</w:t>
      </w:r>
      <w:bookmarkEnd w:id="72"/>
    </w:p>
    <w:p>
      <w:pPr>
        <w:jc w:val="center"/>
        <w:rPr>
          <w:color w:val="auto"/>
          <w:sz w:val="20"/>
          <w:szCs w:val="20"/>
          <w:highlight w:val="none"/>
        </w:rPr>
      </w:pPr>
      <w:r>
        <w:rPr>
          <w:rFonts w:hint="eastAsia"/>
          <w:color w:val="auto"/>
          <w:sz w:val="20"/>
          <w:szCs w:val="20"/>
          <w:highlight w:val="none"/>
        </w:rPr>
        <w:t>（以最终签订合同为准，本合同条款仅供参考）</w:t>
      </w:r>
    </w:p>
    <w:p>
      <w:pPr>
        <w:adjustRightInd w:val="0"/>
        <w:spacing w:line="480" w:lineRule="auto"/>
        <w:jc w:val="center"/>
        <w:rPr>
          <w:b/>
          <w:color w:val="auto"/>
          <w:sz w:val="48"/>
          <w:szCs w:val="24"/>
          <w:highlight w:val="none"/>
          <w:lang w:val="en-US" w:bidi="ar-SA"/>
        </w:rPr>
      </w:pPr>
      <w:r>
        <w:rPr>
          <w:rFonts w:hint="eastAsia"/>
          <w:b/>
          <w:color w:val="auto"/>
          <w:sz w:val="48"/>
          <w:szCs w:val="48"/>
          <w:highlight w:val="none"/>
          <w:lang w:val="en-US" w:bidi="ar-SA"/>
        </w:rPr>
        <w:t>新疆维吾尔自治区产品质量监督检验研究院</w:t>
      </w:r>
    </w:p>
    <w:p>
      <w:pPr>
        <w:adjustRightInd w:val="0"/>
        <w:spacing w:line="360" w:lineRule="auto"/>
        <w:jc w:val="center"/>
        <w:rPr>
          <w:color w:val="auto"/>
          <w:sz w:val="48"/>
          <w:szCs w:val="24"/>
          <w:highlight w:val="none"/>
          <w:lang w:val="en-US" w:bidi="ar-SA"/>
        </w:rPr>
      </w:pPr>
    </w:p>
    <w:p>
      <w:pPr>
        <w:adjustRightInd w:val="0"/>
        <w:spacing w:line="360" w:lineRule="auto"/>
        <w:rPr>
          <w:color w:val="auto"/>
          <w:sz w:val="32"/>
          <w:szCs w:val="24"/>
          <w:highlight w:val="none"/>
          <w:lang w:val="en-US" w:bidi="ar-SA"/>
        </w:rPr>
      </w:pPr>
    </w:p>
    <w:p>
      <w:pPr>
        <w:adjustRightInd w:val="0"/>
        <w:spacing w:line="360" w:lineRule="auto"/>
        <w:jc w:val="center"/>
        <w:rPr>
          <w:color w:val="auto"/>
          <w:sz w:val="96"/>
          <w:szCs w:val="24"/>
          <w:highlight w:val="none"/>
          <w:lang w:val="en-US" w:bidi="ar-SA"/>
        </w:rPr>
      </w:pPr>
      <w:r>
        <w:rPr>
          <w:rFonts w:hint="eastAsia"/>
          <w:color w:val="auto"/>
          <w:sz w:val="96"/>
          <w:szCs w:val="112"/>
          <w:highlight w:val="none"/>
          <w:lang w:val="en-US" w:bidi="ar-SA"/>
        </w:rPr>
        <w:t>合  同  文  本</w:t>
      </w:r>
    </w:p>
    <w:p>
      <w:pPr>
        <w:adjustRightInd w:val="0"/>
        <w:spacing w:line="360" w:lineRule="auto"/>
        <w:rPr>
          <w:color w:val="auto"/>
          <w:sz w:val="32"/>
          <w:szCs w:val="24"/>
          <w:highlight w:val="none"/>
          <w:lang w:val="en-US" w:bidi="ar-SA"/>
        </w:rPr>
      </w:pPr>
      <w:r>
        <w:rPr>
          <w:rFonts w:hint="eastAsia"/>
          <w:color w:val="auto"/>
          <w:sz w:val="32"/>
          <w:szCs w:val="24"/>
          <w:highlight w:val="none"/>
          <w:lang w:val="en-US" w:bidi="ar-SA"/>
        </w:rPr>
        <w:t xml:space="preserve">                                               </w:t>
      </w:r>
    </w:p>
    <w:p>
      <w:pPr>
        <w:adjustRightInd w:val="0"/>
        <w:spacing w:line="360" w:lineRule="auto"/>
        <w:ind w:firstLine="1920" w:firstLineChars="600"/>
        <w:rPr>
          <w:color w:val="auto"/>
          <w:sz w:val="32"/>
          <w:szCs w:val="24"/>
          <w:highlight w:val="none"/>
          <w:lang w:val="en-US" w:bidi="ar-SA"/>
        </w:rPr>
      </w:pPr>
    </w:p>
    <w:p>
      <w:pPr>
        <w:autoSpaceDE/>
        <w:autoSpaceDN/>
        <w:ind w:left="2341" w:leftChars="1064"/>
        <w:jc w:val="both"/>
        <w:rPr>
          <w:color w:val="auto"/>
          <w:kern w:val="2"/>
          <w:sz w:val="24"/>
          <w:szCs w:val="24"/>
          <w:highlight w:val="none"/>
          <w:lang w:val="en-US" w:bidi="ar-SA"/>
        </w:rPr>
      </w:pPr>
    </w:p>
    <w:p>
      <w:pPr>
        <w:adjustRightInd w:val="0"/>
        <w:spacing w:line="360" w:lineRule="auto"/>
        <w:ind w:firstLine="944" w:firstLineChars="295"/>
        <w:rPr>
          <w:color w:val="auto"/>
          <w:sz w:val="32"/>
          <w:szCs w:val="31"/>
          <w:highlight w:val="none"/>
          <w:lang w:val="en-US" w:bidi="ar-SA"/>
        </w:rPr>
      </w:pPr>
    </w:p>
    <w:p>
      <w:pPr>
        <w:adjustRightInd w:val="0"/>
        <w:spacing w:line="360" w:lineRule="auto"/>
        <w:ind w:firstLine="1180" w:firstLineChars="295"/>
        <w:rPr>
          <w:color w:val="auto"/>
          <w:spacing w:val="40"/>
          <w:sz w:val="32"/>
          <w:szCs w:val="24"/>
          <w:highlight w:val="none"/>
          <w:lang w:val="en-US" w:bidi="ar-SA"/>
        </w:rPr>
      </w:pPr>
    </w:p>
    <w:p>
      <w:pPr>
        <w:adjustRightInd w:val="0"/>
        <w:spacing w:line="360" w:lineRule="auto"/>
        <w:rPr>
          <w:color w:val="auto"/>
          <w:sz w:val="32"/>
          <w:szCs w:val="24"/>
          <w:highlight w:val="none"/>
          <w:u w:val="single"/>
          <w:lang w:val="en-US" w:bidi="ar-SA"/>
        </w:rPr>
      </w:pPr>
    </w:p>
    <w:p>
      <w:pPr>
        <w:adjustRightInd w:val="0"/>
        <w:spacing w:line="360" w:lineRule="auto"/>
        <w:jc w:val="center"/>
        <w:rPr>
          <w:color w:val="auto"/>
          <w:spacing w:val="40"/>
          <w:sz w:val="32"/>
          <w:szCs w:val="24"/>
          <w:highlight w:val="none"/>
          <w:lang w:val="en-US" w:bidi="ar-SA"/>
        </w:rPr>
      </w:pPr>
    </w:p>
    <w:p>
      <w:pPr>
        <w:adjustRightInd w:val="0"/>
        <w:spacing w:line="360" w:lineRule="auto"/>
        <w:jc w:val="center"/>
        <w:rPr>
          <w:color w:val="auto"/>
          <w:spacing w:val="40"/>
          <w:sz w:val="32"/>
          <w:szCs w:val="24"/>
          <w:highlight w:val="none"/>
          <w:lang w:val="en-US" w:bidi="ar-SA"/>
        </w:rPr>
      </w:pPr>
    </w:p>
    <w:p>
      <w:pPr>
        <w:adjustRightInd w:val="0"/>
        <w:spacing w:line="360" w:lineRule="auto"/>
        <w:jc w:val="center"/>
        <w:rPr>
          <w:color w:val="auto"/>
          <w:spacing w:val="40"/>
          <w:sz w:val="32"/>
          <w:szCs w:val="24"/>
          <w:highlight w:val="none"/>
          <w:lang w:val="en-US" w:bidi="ar-SA"/>
        </w:rPr>
      </w:pPr>
      <w:r>
        <w:rPr>
          <w:rFonts w:hint="eastAsia"/>
          <w:color w:val="auto"/>
          <w:spacing w:val="40"/>
          <w:sz w:val="32"/>
          <w:szCs w:val="24"/>
          <w:highlight w:val="none"/>
          <w:lang w:val="en-US" w:bidi="ar-SA"/>
        </w:rPr>
        <w:t>二〇二二年  月  日</w:t>
      </w:r>
    </w:p>
    <w:p>
      <w:pPr>
        <w:widowControl/>
        <w:autoSpaceDE/>
        <w:autoSpaceDN/>
        <w:rPr>
          <w:color w:val="auto"/>
          <w:spacing w:val="40"/>
          <w:sz w:val="32"/>
          <w:szCs w:val="24"/>
          <w:highlight w:val="none"/>
          <w:lang w:val="en-US" w:bidi="ar-SA"/>
        </w:rPr>
      </w:pPr>
      <w:r>
        <w:rPr>
          <w:rFonts w:hint="eastAsia"/>
          <w:color w:val="auto"/>
          <w:spacing w:val="40"/>
          <w:kern w:val="2"/>
          <w:sz w:val="32"/>
          <w:szCs w:val="24"/>
          <w:highlight w:val="none"/>
          <w:lang w:val="en-US" w:bidi="ar-SA"/>
        </w:rPr>
        <w:br w:type="page"/>
      </w:r>
    </w:p>
    <w:p>
      <w:pPr>
        <w:autoSpaceDE/>
        <w:autoSpaceDN/>
        <w:jc w:val="center"/>
        <w:rPr>
          <w:color w:val="auto"/>
          <w:kern w:val="2"/>
          <w:sz w:val="32"/>
          <w:szCs w:val="32"/>
          <w:highlight w:val="none"/>
          <w:lang w:val="en-US" w:bidi="ar-SA"/>
        </w:rPr>
      </w:pPr>
      <w:bookmarkStart w:id="73" w:name="OLE_LINK6"/>
      <w:bookmarkStart w:id="74" w:name="OLE_LINK1"/>
      <w:bookmarkStart w:id="75" w:name="OLE_LINK5"/>
      <w:bookmarkStart w:id="76" w:name="OLE_LINK3"/>
      <w:r>
        <w:rPr>
          <w:rFonts w:hint="eastAsia"/>
          <w:b/>
          <w:color w:val="auto"/>
          <w:kern w:val="2"/>
          <w:sz w:val="48"/>
          <w:szCs w:val="48"/>
          <w:highlight w:val="none"/>
          <w:lang w:val="en-US" w:bidi="ar-SA"/>
        </w:rPr>
        <w:t>新疆维吾尔自治区政府采购合同</w:t>
      </w:r>
    </w:p>
    <w:bookmarkEnd w:id="73"/>
    <w:bookmarkEnd w:id="74"/>
    <w:bookmarkEnd w:id="75"/>
    <w:bookmarkEnd w:id="76"/>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甲方：</w:t>
      </w:r>
      <w:r>
        <w:rPr>
          <w:rFonts w:hint="eastAsia"/>
          <w:b/>
          <w:bCs/>
          <w:color w:val="auto"/>
          <w:kern w:val="2"/>
          <w:sz w:val="24"/>
          <w:szCs w:val="24"/>
          <w:highlight w:val="none"/>
          <w:u w:val="single"/>
          <w:lang w:val="en-US" w:bidi="ar-SA"/>
        </w:rPr>
        <w:t>新疆维吾尔自治区产品质量监督检验研究院</w:t>
      </w:r>
      <w:r>
        <w:rPr>
          <w:rFonts w:hint="eastAsia"/>
          <w:color w:val="auto"/>
          <w:kern w:val="2"/>
          <w:sz w:val="24"/>
          <w:szCs w:val="24"/>
          <w:highlight w:val="none"/>
          <w:u w:val="single"/>
          <w:lang w:val="en-US" w:bidi="ar-SA"/>
        </w:rPr>
        <w:t xml:space="preserve"> </w:t>
      </w:r>
    </w:p>
    <w:p>
      <w:pPr>
        <w:autoSpaceDE/>
        <w:autoSpaceDN/>
        <w:jc w:val="both"/>
        <w:rPr>
          <w:b/>
          <w:bCs/>
          <w:color w:val="auto"/>
          <w:kern w:val="2"/>
          <w:sz w:val="24"/>
          <w:szCs w:val="24"/>
          <w:highlight w:val="none"/>
          <w:u w:val="single"/>
          <w:lang w:val="en-US" w:bidi="ar-SA"/>
        </w:rPr>
      </w:pPr>
      <w:r>
        <w:rPr>
          <w:rFonts w:hint="eastAsia"/>
          <w:color w:val="auto"/>
          <w:kern w:val="2"/>
          <w:sz w:val="24"/>
          <w:szCs w:val="24"/>
          <w:highlight w:val="none"/>
          <w:lang w:val="en-US" w:bidi="ar-SA"/>
        </w:rPr>
        <w:t>乙方：</w:t>
      </w:r>
      <w:r>
        <w:rPr>
          <w:rFonts w:hint="eastAsia"/>
          <w:b/>
          <w:bCs/>
          <w:color w:val="auto"/>
          <w:kern w:val="2"/>
          <w:sz w:val="24"/>
          <w:szCs w:val="24"/>
          <w:highlight w:val="none"/>
          <w:u w:val="single"/>
          <w:lang w:val="en-US" w:bidi="ar-SA"/>
        </w:rPr>
        <w:t xml:space="preserve">                                       </w:t>
      </w:r>
    </w:p>
    <w:p>
      <w:pPr>
        <w:autoSpaceDE/>
        <w:autoSpaceDN/>
        <w:spacing w:line="360" w:lineRule="auto"/>
        <w:ind w:right="-209" w:rightChars="-95" w:firstLine="417" w:firstLineChars="174"/>
        <w:rPr>
          <w:b/>
          <w:bCs/>
          <w:color w:val="auto"/>
          <w:kern w:val="2"/>
          <w:sz w:val="24"/>
          <w:szCs w:val="24"/>
          <w:highlight w:val="none"/>
          <w:u w:val="single"/>
          <w:lang w:val="en-US" w:bidi="ar-SA"/>
        </w:rPr>
      </w:pPr>
      <w:r>
        <w:rPr>
          <w:rFonts w:hint="eastAsia"/>
          <w:color w:val="auto"/>
          <w:kern w:val="2"/>
          <w:sz w:val="24"/>
          <w:szCs w:val="24"/>
          <w:highlight w:val="none"/>
          <w:lang w:val="en-US" w:bidi="ar-SA"/>
        </w:rPr>
        <w:t>由</w:t>
      </w:r>
      <w:r>
        <w:rPr>
          <w:rFonts w:hint="eastAsia"/>
          <w:b/>
          <w:bCs/>
          <w:color w:val="auto"/>
          <w:kern w:val="2"/>
          <w:sz w:val="24"/>
          <w:szCs w:val="24"/>
          <w:highlight w:val="none"/>
          <w:u w:val="single"/>
          <w:lang w:val="en-US" w:bidi="ar-SA"/>
        </w:rPr>
        <w:t xml:space="preserve">                           </w:t>
      </w:r>
      <w:r>
        <w:rPr>
          <w:rFonts w:hint="eastAsia"/>
          <w:color w:val="auto"/>
          <w:kern w:val="2"/>
          <w:sz w:val="24"/>
          <w:szCs w:val="24"/>
          <w:highlight w:val="none"/>
          <w:lang w:val="en-US" w:bidi="ar-SA"/>
        </w:rPr>
        <w:t>组织的关于</w:t>
      </w:r>
      <w:r>
        <w:rPr>
          <w:rFonts w:hint="eastAsia"/>
          <w:b/>
          <w:bCs/>
          <w:color w:val="auto"/>
          <w:kern w:val="2"/>
          <w:sz w:val="24"/>
          <w:szCs w:val="24"/>
          <w:highlight w:val="none"/>
          <w:u w:val="single"/>
          <w:lang w:val="en-US" w:bidi="ar-SA"/>
        </w:rPr>
        <w:t>自治区质检院能力提升检测设备采购项目第★批</w:t>
      </w:r>
      <w:r>
        <w:rPr>
          <w:rFonts w:hint="eastAsia"/>
          <w:color w:val="auto"/>
          <w:kern w:val="2"/>
          <w:sz w:val="24"/>
          <w:szCs w:val="24"/>
          <w:highlight w:val="none"/>
          <w:lang w:val="en-US" w:bidi="ar-SA"/>
        </w:rPr>
        <w:t>的招标采购中，经评定，乙方为中标方，中标金额为人民币：</w:t>
      </w:r>
      <w:r>
        <w:rPr>
          <w:rFonts w:hint="eastAsia"/>
          <w:color w:val="auto"/>
          <w:kern w:val="2"/>
          <w:sz w:val="24"/>
          <w:szCs w:val="24"/>
          <w:highlight w:val="none"/>
          <w:u w:val="single"/>
          <w:lang w:val="en-US" w:bidi="ar-SA"/>
        </w:rPr>
        <w:t xml:space="preserve">         </w:t>
      </w:r>
      <w:r>
        <w:rPr>
          <w:rFonts w:hint="eastAsia"/>
          <w:color w:val="auto"/>
          <w:kern w:val="2"/>
          <w:sz w:val="24"/>
          <w:szCs w:val="24"/>
          <w:highlight w:val="none"/>
          <w:lang w:val="en-US" w:bidi="ar-SA"/>
        </w:rPr>
        <w:t>，</w:t>
      </w:r>
      <w:r>
        <w:rPr>
          <w:rFonts w:hint="eastAsia"/>
          <w:color w:val="auto"/>
          <w:kern w:val="2"/>
          <w:sz w:val="24"/>
          <w:szCs w:val="24"/>
          <w:highlight w:val="none"/>
          <w:u w:val="single"/>
          <w:lang w:val="en-US" w:bidi="ar-SA"/>
        </w:rPr>
        <w:t xml:space="preserve">￥          </w:t>
      </w:r>
      <w:r>
        <w:rPr>
          <w:rFonts w:hint="eastAsia"/>
          <w:color w:val="auto"/>
          <w:kern w:val="2"/>
          <w:sz w:val="24"/>
          <w:szCs w:val="24"/>
          <w:highlight w:val="none"/>
          <w:lang w:val="en-US" w:bidi="ar-SA"/>
        </w:rPr>
        <w:t>元。</w:t>
      </w:r>
    </w:p>
    <w:p>
      <w:pPr>
        <w:autoSpaceDE/>
        <w:autoSpaceDN/>
        <w:ind w:firstLine="480" w:firstLineChars="200"/>
        <w:jc w:val="both"/>
        <w:rPr>
          <w:color w:val="auto"/>
          <w:kern w:val="2"/>
          <w:sz w:val="24"/>
          <w:szCs w:val="24"/>
          <w:highlight w:val="none"/>
          <w:lang w:val="en-US" w:bidi="ar-SA"/>
        </w:rPr>
      </w:pPr>
      <w:r>
        <w:rPr>
          <w:rFonts w:hint="eastAsia"/>
          <w:color w:val="auto"/>
          <w:kern w:val="2"/>
          <w:sz w:val="24"/>
          <w:szCs w:val="24"/>
          <w:highlight w:val="none"/>
          <w:lang w:val="en-US" w:bidi="ar-SA"/>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1"/>
        </w:numPr>
        <w:autoSpaceDE/>
        <w:autoSpaceDN/>
        <w:jc w:val="both"/>
        <w:rPr>
          <w:b/>
          <w:color w:val="auto"/>
          <w:kern w:val="2"/>
          <w:sz w:val="24"/>
          <w:szCs w:val="24"/>
          <w:highlight w:val="none"/>
          <w:lang w:val="en-US" w:bidi="ar-SA"/>
        </w:rPr>
      </w:pPr>
      <w:r>
        <w:rPr>
          <w:rFonts w:hint="eastAsia"/>
          <w:b/>
          <w:color w:val="auto"/>
          <w:kern w:val="2"/>
          <w:sz w:val="24"/>
          <w:szCs w:val="24"/>
          <w:highlight w:val="none"/>
          <w:lang w:val="en-US" w:bidi="ar-SA"/>
        </w:rPr>
        <w:t>货物名称、型号、数量及价格</w:t>
      </w:r>
    </w:p>
    <w:tbl>
      <w:tblPr>
        <w:tblStyle w:val="2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8"/>
        <w:gridCol w:w="1352"/>
        <w:gridCol w:w="1210"/>
        <w:gridCol w:w="723"/>
        <w:gridCol w:w="1351"/>
        <w:gridCol w:w="14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720"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序号</w:t>
            </w:r>
          </w:p>
        </w:tc>
        <w:tc>
          <w:tcPr>
            <w:tcW w:w="1458"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名称</w:t>
            </w:r>
          </w:p>
        </w:tc>
        <w:tc>
          <w:tcPr>
            <w:tcW w:w="1352" w:type="dxa"/>
            <w:vAlign w:val="center"/>
          </w:tcPr>
          <w:p>
            <w:pPr>
              <w:autoSpaceDE/>
              <w:autoSpaceDN/>
              <w:spacing w:line="400" w:lineRule="exact"/>
              <w:jc w:val="center"/>
              <w:rPr>
                <w:color w:val="auto"/>
                <w:kern w:val="2"/>
                <w:sz w:val="24"/>
                <w:szCs w:val="24"/>
                <w:highlight w:val="none"/>
                <w:lang w:val="en-US" w:bidi="ar-SA"/>
              </w:rPr>
            </w:pPr>
            <w:r>
              <w:rPr>
                <w:rFonts w:hint="eastAsia"/>
                <w:color w:val="auto"/>
                <w:kern w:val="2"/>
                <w:sz w:val="24"/>
                <w:szCs w:val="24"/>
                <w:highlight w:val="none"/>
                <w:lang w:val="en-US" w:bidi="ar-SA"/>
              </w:rPr>
              <w:t>品牌</w:t>
            </w:r>
          </w:p>
        </w:tc>
        <w:tc>
          <w:tcPr>
            <w:tcW w:w="1210" w:type="dxa"/>
            <w:vAlign w:val="center"/>
          </w:tcPr>
          <w:p>
            <w:pPr>
              <w:autoSpaceDE/>
              <w:autoSpaceDN/>
              <w:spacing w:line="400" w:lineRule="exact"/>
              <w:jc w:val="center"/>
              <w:rPr>
                <w:color w:val="auto"/>
                <w:kern w:val="2"/>
                <w:sz w:val="24"/>
                <w:szCs w:val="24"/>
                <w:highlight w:val="none"/>
                <w:lang w:val="en-US" w:bidi="ar-SA"/>
              </w:rPr>
            </w:pPr>
            <w:r>
              <w:rPr>
                <w:rFonts w:hint="eastAsia"/>
                <w:color w:val="auto"/>
                <w:kern w:val="2"/>
                <w:sz w:val="24"/>
                <w:szCs w:val="24"/>
                <w:highlight w:val="none"/>
                <w:lang w:val="en-US" w:bidi="ar-SA"/>
              </w:rPr>
              <w:t>型号</w:t>
            </w:r>
          </w:p>
        </w:tc>
        <w:tc>
          <w:tcPr>
            <w:tcW w:w="723"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总数</w:t>
            </w:r>
          </w:p>
        </w:tc>
        <w:tc>
          <w:tcPr>
            <w:tcW w:w="1351"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单价（万元）</w:t>
            </w:r>
          </w:p>
        </w:tc>
        <w:tc>
          <w:tcPr>
            <w:tcW w:w="1454"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总价（万元）</w:t>
            </w:r>
          </w:p>
        </w:tc>
        <w:tc>
          <w:tcPr>
            <w:tcW w:w="850"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0" w:type="dxa"/>
            <w:vAlign w:val="center"/>
          </w:tcPr>
          <w:p>
            <w:pPr>
              <w:autoSpaceDE/>
              <w:autoSpaceDN/>
              <w:spacing w:line="400" w:lineRule="exact"/>
              <w:jc w:val="both"/>
              <w:rPr>
                <w:color w:val="auto"/>
                <w:kern w:val="2"/>
                <w:sz w:val="24"/>
                <w:szCs w:val="24"/>
                <w:highlight w:val="none"/>
                <w:lang w:val="en-US" w:bidi="ar-SA"/>
              </w:rPr>
            </w:pPr>
          </w:p>
        </w:tc>
        <w:tc>
          <w:tcPr>
            <w:tcW w:w="1458" w:type="dxa"/>
            <w:vAlign w:val="center"/>
          </w:tcPr>
          <w:p>
            <w:pPr>
              <w:autoSpaceDE/>
              <w:autoSpaceDN/>
              <w:spacing w:line="400" w:lineRule="exact"/>
              <w:jc w:val="both"/>
              <w:rPr>
                <w:color w:val="auto"/>
                <w:kern w:val="2"/>
                <w:sz w:val="24"/>
                <w:szCs w:val="24"/>
                <w:highlight w:val="none"/>
                <w:lang w:val="en-US" w:bidi="ar-SA"/>
              </w:rPr>
            </w:pPr>
          </w:p>
        </w:tc>
        <w:tc>
          <w:tcPr>
            <w:tcW w:w="1352" w:type="dxa"/>
            <w:vAlign w:val="center"/>
          </w:tcPr>
          <w:p>
            <w:pPr>
              <w:autoSpaceDE/>
              <w:autoSpaceDN/>
              <w:spacing w:line="400" w:lineRule="exact"/>
              <w:jc w:val="both"/>
              <w:rPr>
                <w:color w:val="auto"/>
                <w:kern w:val="2"/>
                <w:sz w:val="24"/>
                <w:szCs w:val="24"/>
                <w:highlight w:val="none"/>
                <w:lang w:val="en-US" w:bidi="ar-SA"/>
              </w:rPr>
            </w:pPr>
          </w:p>
        </w:tc>
        <w:tc>
          <w:tcPr>
            <w:tcW w:w="1210" w:type="dxa"/>
            <w:vAlign w:val="center"/>
          </w:tcPr>
          <w:p>
            <w:pPr>
              <w:autoSpaceDE/>
              <w:autoSpaceDN/>
              <w:spacing w:line="400" w:lineRule="exact"/>
              <w:jc w:val="center"/>
              <w:rPr>
                <w:color w:val="auto"/>
                <w:kern w:val="2"/>
                <w:sz w:val="24"/>
                <w:szCs w:val="24"/>
                <w:highlight w:val="none"/>
                <w:lang w:val="en-US" w:bidi="ar-SA"/>
              </w:rPr>
            </w:pPr>
          </w:p>
        </w:tc>
        <w:tc>
          <w:tcPr>
            <w:tcW w:w="723" w:type="dxa"/>
            <w:vAlign w:val="center"/>
          </w:tcPr>
          <w:p>
            <w:pPr>
              <w:autoSpaceDE/>
              <w:autoSpaceDN/>
              <w:spacing w:line="400" w:lineRule="exact"/>
              <w:jc w:val="both"/>
              <w:rPr>
                <w:color w:val="auto"/>
                <w:kern w:val="2"/>
                <w:sz w:val="24"/>
                <w:szCs w:val="24"/>
                <w:highlight w:val="none"/>
                <w:lang w:val="en-US" w:bidi="ar-SA"/>
              </w:rPr>
            </w:pPr>
          </w:p>
        </w:tc>
        <w:tc>
          <w:tcPr>
            <w:tcW w:w="1351"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1454"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850" w:type="dxa"/>
            <w:vMerge w:val="restart"/>
            <w:vAlign w:val="center"/>
          </w:tcPr>
          <w:p>
            <w:pPr>
              <w:autoSpaceDE/>
              <w:autoSpaceDN/>
              <w:spacing w:line="400" w:lineRule="exact"/>
              <w:jc w:val="both"/>
              <w:rPr>
                <w:color w:val="auto"/>
                <w:kern w:val="2"/>
                <w:sz w:val="24"/>
                <w:szCs w:val="24"/>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0" w:type="dxa"/>
            <w:vAlign w:val="center"/>
          </w:tcPr>
          <w:p>
            <w:pPr>
              <w:autoSpaceDE/>
              <w:autoSpaceDN/>
              <w:spacing w:line="400" w:lineRule="exact"/>
              <w:jc w:val="both"/>
              <w:rPr>
                <w:color w:val="auto"/>
                <w:kern w:val="2"/>
                <w:sz w:val="24"/>
                <w:szCs w:val="24"/>
                <w:highlight w:val="none"/>
                <w:lang w:val="en-US" w:bidi="ar-SA"/>
              </w:rPr>
            </w:pPr>
          </w:p>
        </w:tc>
        <w:tc>
          <w:tcPr>
            <w:tcW w:w="1458" w:type="dxa"/>
            <w:vAlign w:val="center"/>
          </w:tcPr>
          <w:p>
            <w:pPr>
              <w:autoSpaceDE/>
              <w:autoSpaceDN/>
              <w:spacing w:line="400" w:lineRule="exact"/>
              <w:jc w:val="both"/>
              <w:rPr>
                <w:color w:val="auto"/>
                <w:kern w:val="2"/>
                <w:sz w:val="24"/>
                <w:szCs w:val="24"/>
                <w:highlight w:val="none"/>
                <w:lang w:val="en-US" w:bidi="ar-SA"/>
              </w:rPr>
            </w:pPr>
          </w:p>
        </w:tc>
        <w:tc>
          <w:tcPr>
            <w:tcW w:w="1352" w:type="dxa"/>
            <w:vAlign w:val="center"/>
          </w:tcPr>
          <w:p>
            <w:pPr>
              <w:autoSpaceDE/>
              <w:autoSpaceDN/>
              <w:spacing w:line="400" w:lineRule="exact"/>
              <w:jc w:val="both"/>
              <w:rPr>
                <w:color w:val="auto"/>
                <w:kern w:val="2"/>
                <w:sz w:val="24"/>
                <w:szCs w:val="24"/>
                <w:highlight w:val="none"/>
                <w:lang w:val="en-US" w:bidi="ar-SA"/>
              </w:rPr>
            </w:pPr>
          </w:p>
        </w:tc>
        <w:tc>
          <w:tcPr>
            <w:tcW w:w="1210" w:type="dxa"/>
            <w:vAlign w:val="center"/>
          </w:tcPr>
          <w:p>
            <w:pPr>
              <w:autoSpaceDE/>
              <w:autoSpaceDN/>
              <w:spacing w:line="400" w:lineRule="exact"/>
              <w:jc w:val="center"/>
              <w:rPr>
                <w:color w:val="auto"/>
                <w:kern w:val="2"/>
                <w:sz w:val="24"/>
                <w:szCs w:val="24"/>
                <w:highlight w:val="none"/>
                <w:lang w:val="en-US" w:bidi="ar-SA"/>
              </w:rPr>
            </w:pPr>
          </w:p>
        </w:tc>
        <w:tc>
          <w:tcPr>
            <w:tcW w:w="723" w:type="dxa"/>
            <w:vAlign w:val="center"/>
          </w:tcPr>
          <w:p>
            <w:pPr>
              <w:autoSpaceDE/>
              <w:autoSpaceDN/>
              <w:spacing w:line="400" w:lineRule="exact"/>
              <w:jc w:val="both"/>
              <w:rPr>
                <w:color w:val="auto"/>
                <w:kern w:val="2"/>
                <w:sz w:val="24"/>
                <w:szCs w:val="24"/>
                <w:highlight w:val="none"/>
                <w:lang w:val="en-US" w:bidi="ar-SA"/>
              </w:rPr>
            </w:pPr>
          </w:p>
        </w:tc>
        <w:tc>
          <w:tcPr>
            <w:tcW w:w="1351"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1454"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850" w:type="dxa"/>
            <w:vMerge w:val="continue"/>
            <w:vAlign w:val="center"/>
          </w:tcPr>
          <w:p>
            <w:pPr>
              <w:autoSpaceDE/>
              <w:autoSpaceDN/>
              <w:spacing w:line="400" w:lineRule="exact"/>
              <w:jc w:val="both"/>
              <w:rPr>
                <w:color w:val="auto"/>
                <w:kern w:val="2"/>
                <w:sz w:val="24"/>
                <w:szCs w:val="24"/>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0" w:type="dxa"/>
            <w:vAlign w:val="center"/>
          </w:tcPr>
          <w:p>
            <w:pPr>
              <w:autoSpaceDE/>
              <w:autoSpaceDN/>
              <w:spacing w:line="400" w:lineRule="exact"/>
              <w:jc w:val="both"/>
              <w:rPr>
                <w:color w:val="auto"/>
                <w:kern w:val="2"/>
                <w:sz w:val="24"/>
                <w:szCs w:val="24"/>
                <w:highlight w:val="none"/>
                <w:lang w:val="en-US" w:bidi="ar-SA"/>
              </w:rPr>
            </w:pPr>
          </w:p>
        </w:tc>
        <w:tc>
          <w:tcPr>
            <w:tcW w:w="4743" w:type="dxa"/>
            <w:gridSpan w:val="4"/>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合计：      元（          元整）</w:t>
            </w:r>
          </w:p>
        </w:tc>
        <w:tc>
          <w:tcPr>
            <w:tcW w:w="1351" w:type="dxa"/>
            <w:vAlign w:val="center"/>
          </w:tcPr>
          <w:p>
            <w:pPr>
              <w:autoSpaceDE/>
              <w:autoSpaceDN/>
              <w:spacing w:line="400" w:lineRule="exact"/>
              <w:jc w:val="both"/>
              <w:rPr>
                <w:color w:val="auto"/>
                <w:kern w:val="2"/>
                <w:sz w:val="24"/>
                <w:szCs w:val="24"/>
                <w:highlight w:val="none"/>
                <w:lang w:val="en-US" w:bidi="ar-SA"/>
              </w:rPr>
            </w:pPr>
          </w:p>
        </w:tc>
        <w:tc>
          <w:tcPr>
            <w:tcW w:w="1454" w:type="dxa"/>
            <w:vAlign w:val="center"/>
          </w:tcPr>
          <w:p>
            <w:pPr>
              <w:autoSpaceDE/>
              <w:autoSpaceDN/>
              <w:spacing w:line="400" w:lineRule="exact"/>
              <w:jc w:val="both"/>
              <w:rPr>
                <w:color w:val="auto"/>
                <w:kern w:val="2"/>
                <w:sz w:val="24"/>
                <w:szCs w:val="24"/>
                <w:highlight w:val="none"/>
                <w:lang w:val="en-US" w:bidi="ar-SA"/>
              </w:rPr>
            </w:pPr>
          </w:p>
        </w:tc>
        <w:tc>
          <w:tcPr>
            <w:tcW w:w="850" w:type="dxa"/>
            <w:vMerge w:val="continue"/>
            <w:vAlign w:val="center"/>
          </w:tcPr>
          <w:p>
            <w:pPr>
              <w:autoSpaceDE/>
              <w:autoSpaceDN/>
              <w:spacing w:line="400" w:lineRule="exact"/>
              <w:jc w:val="both"/>
              <w:rPr>
                <w:color w:val="auto"/>
                <w:kern w:val="2"/>
                <w:sz w:val="24"/>
                <w:szCs w:val="24"/>
                <w:highlight w:val="none"/>
                <w:lang w:val="en-US" w:bidi="ar-SA"/>
              </w:rPr>
            </w:pPr>
          </w:p>
        </w:tc>
      </w:tr>
    </w:tbl>
    <w:p>
      <w:pPr>
        <w:ind w:firstLine="360" w:firstLineChars="150"/>
        <w:rPr>
          <w:color w:val="auto"/>
          <w:kern w:val="2"/>
          <w:sz w:val="24"/>
          <w:szCs w:val="24"/>
          <w:highlight w:val="none"/>
          <w:lang w:val="en-US" w:bidi="ar-SA"/>
        </w:rPr>
      </w:pPr>
      <w:r>
        <w:rPr>
          <w:rFonts w:hint="eastAsia"/>
          <w:color w:val="auto"/>
          <w:kern w:val="2"/>
          <w:sz w:val="24"/>
          <w:szCs w:val="24"/>
          <w:highlight w:val="none"/>
          <w:lang w:val="en-US" w:bidi="ar-SA"/>
        </w:rPr>
        <w:t>1、本合同中“中标货物”、“设备”均指上面列表中的货物及相关软件。</w:t>
      </w:r>
    </w:p>
    <w:p>
      <w:pPr>
        <w:ind w:firstLine="360" w:firstLineChars="150"/>
        <w:rPr>
          <w:color w:val="auto"/>
          <w:sz w:val="24"/>
          <w:szCs w:val="24"/>
          <w:highlight w:val="none"/>
          <w:lang w:val="en-US" w:bidi="ar-SA"/>
        </w:rPr>
      </w:pPr>
      <w:r>
        <w:rPr>
          <w:rFonts w:hint="eastAsia"/>
          <w:color w:val="auto"/>
          <w:sz w:val="24"/>
          <w:szCs w:val="24"/>
          <w:highlight w:val="none"/>
          <w:lang w:val="en-US" w:bidi="ar-SA"/>
        </w:rPr>
        <w:t>2、“技术服务”指由乙方所提供的有关运输、保险、安装、集成、调试、培训、技术支持、维护和维修以及其他使货物正常运转所必需的服务。</w:t>
      </w:r>
    </w:p>
    <w:p>
      <w:pPr>
        <w:autoSpaceDE/>
        <w:autoSpaceDN/>
        <w:ind w:firstLine="482" w:firstLineChars="200"/>
        <w:jc w:val="both"/>
        <w:rPr>
          <w:b/>
          <w:color w:val="auto"/>
          <w:kern w:val="2"/>
          <w:sz w:val="24"/>
          <w:szCs w:val="24"/>
          <w:highlight w:val="none"/>
          <w:lang w:val="en-US" w:bidi="ar-SA"/>
        </w:rPr>
      </w:pPr>
      <w:r>
        <w:rPr>
          <w:rFonts w:hint="eastAsia"/>
          <w:b/>
          <w:color w:val="auto"/>
          <w:kern w:val="2"/>
          <w:sz w:val="24"/>
          <w:szCs w:val="24"/>
          <w:highlight w:val="none"/>
          <w:lang w:val="en-US" w:bidi="ar-SA"/>
        </w:rPr>
        <w:t>二、报价币种、合同总价</w:t>
      </w:r>
    </w:p>
    <w:p>
      <w:pPr>
        <w:autoSpaceDE/>
        <w:autoSpaceDN/>
        <w:ind w:firstLine="480" w:firstLineChars="200"/>
        <w:jc w:val="both"/>
        <w:rPr>
          <w:color w:val="auto"/>
          <w:kern w:val="2"/>
          <w:sz w:val="24"/>
          <w:szCs w:val="24"/>
          <w:highlight w:val="none"/>
          <w:lang w:val="en-US" w:bidi="ar-SA"/>
        </w:rPr>
      </w:pPr>
      <w:r>
        <w:rPr>
          <w:rFonts w:hint="eastAsia"/>
          <w:color w:val="auto"/>
          <w:kern w:val="2"/>
          <w:sz w:val="24"/>
          <w:szCs w:val="24"/>
          <w:highlight w:val="none"/>
          <w:lang w:val="en-US" w:bidi="ar-SA"/>
        </w:rPr>
        <w:t>1、本合同总金额</w:t>
      </w:r>
      <w:r>
        <w:rPr>
          <w:rFonts w:hint="eastAsia"/>
          <w:color w:val="auto"/>
          <w:kern w:val="2"/>
          <w:sz w:val="24"/>
          <w:szCs w:val="24"/>
          <w:highlight w:val="none"/>
          <w:u w:val="single"/>
          <w:lang w:val="en-US" w:bidi="ar-SA"/>
        </w:rPr>
        <w:t xml:space="preserve">        元整</w:t>
      </w:r>
      <w:r>
        <w:rPr>
          <w:rFonts w:hint="eastAsia"/>
          <w:color w:val="auto"/>
          <w:kern w:val="2"/>
          <w:sz w:val="24"/>
          <w:szCs w:val="24"/>
          <w:highlight w:val="none"/>
          <w:lang w:val="en-US" w:bidi="ar-SA"/>
        </w:rPr>
        <w:t>，</w:t>
      </w:r>
      <w:r>
        <w:rPr>
          <w:rFonts w:hint="eastAsia"/>
          <w:color w:val="auto"/>
          <w:kern w:val="2"/>
          <w:sz w:val="24"/>
          <w:szCs w:val="24"/>
          <w:highlight w:val="none"/>
          <w:u w:val="single"/>
          <w:lang w:val="en-US" w:bidi="ar-SA"/>
        </w:rPr>
        <w:t>￥</w:t>
      </w:r>
      <w:r>
        <w:rPr>
          <w:rFonts w:hint="eastAsia"/>
          <w:b/>
          <w:color w:val="auto"/>
          <w:kern w:val="2"/>
          <w:sz w:val="24"/>
          <w:szCs w:val="24"/>
          <w:highlight w:val="none"/>
          <w:u w:val="single"/>
          <w:lang w:val="en-US" w:bidi="ar-SA"/>
        </w:rPr>
        <w:t xml:space="preserve">        </w:t>
      </w:r>
      <w:r>
        <w:rPr>
          <w:rFonts w:hint="eastAsia"/>
          <w:b/>
          <w:color w:val="auto"/>
          <w:kern w:val="2"/>
          <w:sz w:val="24"/>
          <w:szCs w:val="24"/>
          <w:highlight w:val="none"/>
          <w:lang w:val="en-US" w:bidi="ar-SA"/>
        </w:rPr>
        <w:t>元</w:t>
      </w:r>
      <w:r>
        <w:rPr>
          <w:rFonts w:hint="eastAsia"/>
          <w:color w:val="auto"/>
          <w:kern w:val="2"/>
          <w:sz w:val="24"/>
          <w:szCs w:val="24"/>
          <w:highlight w:val="none"/>
          <w:lang w:val="en-US" w:bidi="ar-SA"/>
        </w:rPr>
        <w:t>。合同总金额中包含设备及其运输、保管、税金、保险、组装、服务等所有的费用。</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2、本合同正式签订后，若无重大变更，价格不再做任何调整，甲方为此项目不再向乙方支付任何费用。</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三、付款方式</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1、合同签订后七日内支付给乙方合同总价30%的预付款，计人民币</w:t>
      </w:r>
      <w:r>
        <w:rPr>
          <w:rFonts w:hint="eastAsia"/>
          <w:color w:val="auto"/>
          <w:kern w:val="2"/>
          <w:sz w:val="24"/>
          <w:szCs w:val="24"/>
          <w:highlight w:val="none"/>
          <w:u w:val="single"/>
          <w:lang w:val="en-US" w:bidi="ar-SA"/>
        </w:rPr>
        <w:t xml:space="preserve">        元</w:t>
      </w:r>
      <w:r>
        <w:rPr>
          <w:rFonts w:hint="eastAsia"/>
          <w:b/>
          <w:bCs/>
          <w:color w:val="auto"/>
          <w:kern w:val="2"/>
          <w:sz w:val="24"/>
          <w:szCs w:val="24"/>
          <w:highlight w:val="none"/>
          <w:u w:val="single"/>
          <w:lang w:val="en-US" w:bidi="ar-SA"/>
        </w:rPr>
        <w:t>整</w:t>
      </w:r>
      <w:r>
        <w:rPr>
          <w:rFonts w:hint="eastAsia"/>
          <w:b/>
          <w:bCs/>
          <w:color w:val="auto"/>
          <w:kern w:val="2"/>
          <w:sz w:val="24"/>
          <w:szCs w:val="24"/>
          <w:highlight w:val="none"/>
          <w:lang w:val="en-US" w:bidi="ar-SA"/>
        </w:rPr>
        <w:t>，</w:t>
      </w:r>
      <w:r>
        <w:rPr>
          <w:rFonts w:hint="eastAsia"/>
          <w:color w:val="auto"/>
          <w:kern w:val="2"/>
          <w:sz w:val="24"/>
          <w:szCs w:val="24"/>
          <w:highlight w:val="none"/>
          <w:lang w:val="en-US" w:bidi="ar-SA"/>
        </w:rPr>
        <w:t>￥</w:t>
      </w:r>
      <w:r>
        <w:rPr>
          <w:rFonts w:hint="eastAsia"/>
          <w:b/>
          <w:bCs/>
          <w:color w:val="auto"/>
          <w:sz w:val="24"/>
          <w:szCs w:val="24"/>
          <w:highlight w:val="none"/>
          <w:u w:val="single"/>
          <w:lang w:val="en-US" w:bidi="ar-SA"/>
        </w:rPr>
        <w:t xml:space="preserve">                 </w:t>
      </w:r>
      <w:r>
        <w:rPr>
          <w:rFonts w:hint="eastAsia"/>
          <w:color w:val="auto"/>
          <w:kern w:val="2"/>
          <w:sz w:val="24"/>
          <w:szCs w:val="24"/>
          <w:highlight w:val="none"/>
          <w:lang w:val="en-US" w:bidi="ar-SA"/>
        </w:rPr>
        <w:t>元</w:t>
      </w:r>
    </w:p>
    <w:p>
      <w:pPr>
        <w:autoSpaceDE/>
        <w:autoSpaceDN/>
        <w:ind w:firstLine="480" w:firstLineChars="200"/>
        <w:jc w:val="both"/>
        <w:rPr>
          <w:b/>
          <w:bCs/>
          <w:color w:val="auto"/>
          <w:kern w:val="2"/>
          <w:sz w:val="24"/>
          <w:szCs w:val="24"/>
          <w:highlight w:val="none"/>
          <w:lang w:val="en-US" w:bidi="ar-SA"/>
        </w:rPr>
      </w:pPr>
      <w:r>
        <w:rPr>
          <w:rFonts w:hint="eastAsia"/>
          <w:color w:val="auto"/>
          <w:kern w:val="2"/>
          <w:sz w:val="24"/>
          <w:szCs w:val="24"/>
          <w:highlight w:val="none"/>
          <w:lang w:val="en-US" w:bidi="ar-SA"/>
        </w:rPr>
        <w:t>2、全部设备交货，且安装调试完毕后，由甲乙双方共同组织验收且经甲方验收合格后一个月内，先由乙方提供向甲方出具合同总金额100%的正式发票，随后甲方出具付款手续，支付给乙方合同总金额65%的货款，计人民币</w:t>
      </w:r>
      <w:r>
        <w:rPr>
          <w:rFonts w:hint="eastAsia"/>
          <w:color w:val="auto"/>
          <w:kern w:val="2"/>
          <w:sz w:val="24"/>
          <w:szCs w:val="24"/>
          <w:highlight w:val="none"/>
          <w:u w:val="single"/>
          <w:lang w:val="en-US" w:bidi="ar-SA"/>
        </w:rPr>
        <w:t xml:space="preserve">     </w:t>
      </w:r>
      <w:r>
        <w:rPr>
          <w:rFonts w:hint="eastAsia"/>
          <w:b/>
          <w:bCs/>
          <w:color w:val="auto"/>
          <w:kern w:val="2"/>
          <w:sz w:val="24"/>
          <w:szCs w:val="24"/>
          <w:highlight w:val="none"/>
          <w:u w:val="single"/>
          <w:lang w:val="en-US" w:bidi="ar-SA"/>
        </w:rPr>
        <w:t xml:space="preserve"> </w:t>
      </w:r>
      <w:r>
        <w:rPr>
          <w:rFonts w:hint="eastAsia"/>
          <w:b/>
          <w:bCs/>
          <w:color w:val="auto"/>
          <w:kern w:val="2"/>
          <w:sz w:val="24"/>
          <w:szCs w:val="24"/>
          <w:highlight w:val="none"/>
          <w:lang w:val="en-US" w:bidi="ar-SA"/>
        </w:rPr>
        <w:t>，￥</w:t>
      </w:r>
      <w:r>
        <w:rPr>
          <w:rFonts w:hint="eastAsia"/>
          <w:b/>
          <w:bCs/>
          <w:color w:val="auto"/>
          <w:sz w:val="24"/>
          <w:szCs w:val="24"/>
          <w:highlight w:val="none"/>
          <w:u w:val="single"/>
          <w:lang w:val="en-US" w:bidi="ar-SA"/>
        </w:rPr>
        <w:t xml:space="preserve">         </w:t>
      </w:r>
      <w:r>
        <w:rPr>
          <w:rFonts w:hint="eastAsia"/>
          <w:b/>
          <w:bCs/>
          <w:color w:val="auto"/>
          <w:kern w:val="2"/>
          <w:sz w:val="24"/>
          <w:szCs w:val="24"/>
          <w:highlight w:val="none"/>
          <w:lang w:val="en-US" w:bidi="ar-SA"/>
        </w:rPr>
        <w:t>元。</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3、按合同总金额的5%预留质量保证金，计人民币</w:t>
      </w:r>
      <w:r>
        <w:rPr>
          <w:rFonts w:hint="eastAsia"/>
          <w:b/>
          <w:bCs/>
          <w:color w:val="auto"/>
          <w:kern w:val="2"/>
          <w:sz w:val="24"/>
          <w:szCs w:val="24"/>
          <w:highlight w:val="none"/>
          <w:u w:val="single"/>
          <w:lang w:val="en-US" w:bidi="ar-SA"/>
        </w:rPr>
        <w:t xml:space="preserve">        元整</w:t>
      </w:r>
      <w:r>
        <w:rPr>
          <w:rFonts w:hint="eastAsia"/>
          <w:b/>
          <w:bCs/>
          <w:color w:val="auto"/>
          <w:kern w:val="2"/>
          <w:sz w:val="24"/>
          <w:szCs w:val="24"/>
          <w:highlight w:val="none"/>
          <w:lang w:val="en-US" w:bidi="ar-SA"/>
        </w:rPr>
        <w:t>，</w:t>
      </w:r>
      <w:r>
        <w:rPr>
          <w:rFonts w:hint="eastAsia"/>
          <w:b/>
          <w:bCs/>
          <w:color w:val="auto"/>
          <w:kern w:val="2"/>
          <w:sz w:val="24"/>
          <w:szCs w:val="24"/>
          <w:highlight w:val="none"/>
          <w:u w:val="single"/>
          <w:lang w:val="en-US" w:bidi="ar-SA"/>
        </w:rPr>
        <w:t xml:space="preserve">￥        </w:t>
      </w:r>
      <w:r>
        <w:rPr>
          <w:rFonts w:hint="eastAsia"/>
          <w:color w:val="auto"/>
          <w:kern w:val="2"/>
          <w:sz w:val="24"/>
          <w:szCs w:val="24"/>
          <w:highlight w:val="none"/>
          <w:lang w:val="en-US" w:bidi="ar-SA"/>
        </w:rPr>
        <w:t>元。从全部设备验收合格之日起，1年后经再次复核并且产品均无质量问题，由甲方将质量保证金一次性支付给乙方。</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四、交货日期</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合同签订后</w:t>
      </w:r>
      <w:r>
        <w:rPr>
          <w:rFonts w:hint="eastAsia"/>
          <w:color w:val="auto"/>
          <w:kern w:val="2"/>
          <w:sz w:val="24"/>
          <w:szCs w:val="24"/>
          <w:highlight w:val="none"/>
          <w:lang w:val="en-US" w:eastAsia="zh-CN" w:bidi="ar-SA"/>
        </w:rPr>
        <w:t xml:space="preserve">    </w:t>
      </w:r>
      <w:r>
        <w:rPr>
          <w:rFonts w:hint="eastAsia"/>
          <w:color w:val="auto"/>
          <w:kern w:val="2"/>
          <w:sz w:val="24"/>
          <w:szCs w:val="24"/>
          <w:highlight w:val="none"/>
          <w:lang w:val="en-US" w:bidi="ar-SA"/>
        </w:rPr>
        <w:t>个日历日内到货，安装调试根据用户实际情况安排。</w:t>
      </w:r>
    </w:p>
    <w:p>
      <w:pPr>
        <w:autoSpaceDE/>
        <w:autoSpaceDN/>
        <w:ind w:firstLine="470" w:firstLineChars="196"/>
        <w:jc w:val="both"/>
        <w:rPr>
          <w:b/>
          <w:color w:val="auto"/>
          <w:kern w:val="2"/>
          <w:sz w:val="24"/>
          <w:szCs w:val="24"/>
          <w:highlight w:val="none"/>
          <w:lang w:val="en-US" w:bidi="ar-SA"/>
        </w:rPr>
      </w:pPr>
      <w:r>
        <w:rPr>
          <w:rFonts w:hint="eastAsia"/>
          <w:color w:val="auto"/>
          <w:kern w:val="2"/>
          <w:sz w:val="24"/>
          <w:szCs w:val="24"/>
          <w:highlight w:val="none"/>
          <w:lang w:val="en-US" w:bidi="ar-SA"/>
        </w:rPr>
        <w:t>其他备注说明：乙方技术人员必须来甲方使用现场进行设备的安装调试，并指导、培训甲方设备使用人员，确保甲方人员会操作使用设备。</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五、交货地点、方式及运费承担</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交货地点：送货至甲方指定的地点（详细收货地址由甲方另行提供）运费、装卸搬运费由乙方承担。</w:t>
      </w:r>
    </w:p>
    <w:p>
      <w:pPr>
        <w:autoSpaceDE/>
        <w:autoSpaceDN/>
        <w:ind w:firstLine="480" w:firstLineChars="200"/>
        <w:jc w:val="both"/>
        <w:rPr>
          <w:b/>
          <w:color w:val="auto"/>
          <w:kern w:val="2"/>
          <w:sz w:val="24"/>
          <w:szCs w:val="24"/>
          <w:highlight w:val="none"/>
          <w:lang w:val="en-US" w:bidi="ar-SA"/>
        </w:rPr>
      </w:pPr>
      <w:r>
        <w:rPr>
          <w:rFonts w:hint="eastAsia"/>
          <w:color w:val="auto"/>
          <w:kern w:val="2"/>
          <w:sz w:val="24"/>
          <w:szCs w:val="24"/>
          <w:highlight w:val="none"/>
          <w:lang w:val="en-US" w:bidi="ar-SA"/>
        </w:rPr>
        <w:t>新疆维吾尔自治区产品质量监督检验研究院指定的设备安装现场。</w:t>
      </w:r>
    </w:p>
    <w:p>
      <w:pPr>
        <w:autoSpaceDE/>
        <w:autoSpaceDN/>
        <w:ind w:firstLine="482" w:firstLineChars="200"/>
        <w:jc w:val="both"/>
        <w:rPr>
          <w:b/>
          <w:color w:val="auto"/>
          <w:kern w:val="2"/>
          <w:sz w:val="24"/>
          <w:szCs w:val="24"/>
          <w:highlight w:val="none"/>
          <w:lang w:val="en-US" w:bidi="ar-SA"/>
        </w:rPr>
      </w:pPr>
      <w:r>
        <w:rPr>
          <w:rFonts w:hint="eastAsia"/>
          <w:b/>
          <w:color w:val="auto"/>
          <w:kern w:val="2"/>
          <w:sz w:val="24"/>
          <w:szCs w:val="24"/>
          <w:highlight w:val="none"/>
          <w:lang w:val="en-US" w:bidi="ar-SA"/>
        </w:rPr>
        <w:t>六、产品质量保证</w:t>
      </w:r>
    </w:p>
    <w:p>
      <w:pPr>
        <w:autoSpaceDE/>
        <w:autoSpaceDN/>
        <w:ind w:firstLine="720"/>
        <w:jc w:val="both"/>
        <w:rPr>
          <w:color w:val="auto"/>
          <w:kern w:val="2"/>
          <w:sz w:val="24"/>
          <w:szCs w:val="24"/>
          <w:highlight w:val="none"/>
          <w:lang w:val="en-US" w:bidi="ar-SA"/>
        </w:rPr>
      </w:pPr>
      <w:r>
        <w:rPr>
          <w:rFonts w:hint="eastAsia"/>
          <w:color w:val="auto"/>
          <w:kern w:val="2"/>
          <w:sz w:val="24"/>
          <w:szCs w:val="24"/>
          <w:highlight w:val="none"/>
          <w:lang w:val="en-US" w:bidi="ar-SA"/>
        </w:rPr>
        <w:t>1、乙方保证提供的</w:t>
      </w:r>
      <w:r>
        <w:rPr>
          <w:rFonts w:hint="eastAsia"/>
          <w:color w:val="auto"/>
          <w:kern w:val="2"/>
          <w:sz w:val="24"/>
          <w:szCs w:val="24"/>
          <w:highlight w:val="none"/>
          <w:u w:val="single"/>
          <w:lang w:val="en-US" w:bidi="ar-SA"/>
        </w:rPr>
        <w:t>合同</w:t>
      </w:r>
      <w:r>
        <w:rPr>
          <w:rFonts w:hint="eastAsia"/>
          <w:color w:val="auto"/>
          <w:kern w:val="2"/>
          <w:sz w:val="24"/>
          <w:szCs w:val="24"/>
          <w:highlight w:val="none"/>
          <w:lang w:val="en-US" w:bidi="ar-SA"/>
        </w:rPr>
        <w:t>货物为全新的产品。</w:t>
      </w:r>
    </w:p>
    <w:p>
      <w:pPr>
        <w:ind w:firstLine="360" w:firstLineChars="150"/>
        <w:rPr>
          <w:color w:val="auto"/>
          <w:kern w:val="2"/>
          <w:sz w:val="24"/>
          <w:szCs w:val="24"/>
          <w:highlight w:val="none"/>
          <w:lang w:val="en-US" w:bidi="ar-SA"/>
        </w:rPr>
      </w:pPr>
      <w:r>
        <w:rPr>
          <w:rFonts w:hint="eastAsia"/>
          <w:color w:val="auto"/>
          <w:kern w:val="2"/>
          <w:sz w:val="24"/>
          <w:szCs w:val="24"/>
          <w:highlight w:val="none"/>
          <w:lang w:val="en-US" w:bidi="ar-SA"/>
        </w:rPr>
        <w:t xml:space="preserve">  2、乙方所提供的货物的型号、数量、规格及技术、质量标准、售后服务必须满足</w:t>
      </w:r>
      <w:r>
        <w:rPr>
          <w:rFonts w:hint="eastAsia"/>
          <w:color w:val="auto"/>
          <w:kern w:val="2"/>
          <w:sz w:val="24"/>
          <w:szCs w:val="24"/>
          <w:highlight w:val="none"/>
          <w:u w:val="single"/>
          <w:lang w:val="en-US" w:bidi="ar-SA"/>
        </w:rPr>
        <w:t>附件</w:t>
      </w:r>
      <w:r>
        <w:rPr>
          <w:rFonts w:hint="eastAsia"/>
          <w:color w:val="auto"/>
          <w:kern w:val="2"/>
          <w:sz w:val="24"/>
          <w:szCs w:val="24"/>
          <w:highlight w:val="none"/>
          <w:lang w:val="en-US" w:bidi="ar-SA"/>
        </w:rPr>
        <w:t>文件规定的技术要求。</w:t>
      </w:r>
    </w:p>
    <w:p>
      <w:pPr>
        <w:autoSpaceDE/>
        <w:autoSpaceDN/>
        <w:ind w:firstLine="720"/>
        <w:jc w:val="both"/>
        <w:rPr>
          <w:color w:val="auto"/>
          <w:kern w:val="2"/>
          <w:sz w:val="24"/>
          <w:szCs w:val="24"/>
          <w:highlight w:val="none"/>
          <w:lang w:val="en-US" w:bidi="ar-SA"/>
        </w:rPr>
      </w:pPr>
      <w:r>
        <w:rPr>
          <w:rFonts w:hint="eastAsia"/>
          <w:color w:val="auto"/>
          <w:kern w:val="2"/>
          <w:sz w:val="24"/>
          <w:szCs w:val="24"/>
          <w:highlight w:val="none"/>
          <w:lang w:val="en-US" w:bidi="ar-SA"/>
        </w:rPr>
        <w:t>3、乙方保证提供的货物按国家标准要求制造，质量完全满足甲方用户的要求。</w:t>
      </w:r>
    </w:p>
    <w:p>
      <w:pPr>
        <w:autoSpaceDE/>
        <w:autoSpaceDN/>
        <w:ind w:firstLine="482" w:firstLineChars="200"/>
        <w:jc w:val="both"/>
        <w:rPr>
          <w:b/>
          <w:color w:val="auto"/>
          <w:kern w:val="2"/>
          <w:sz w:val="24"/>
          <w:szCs w:val="24"/>
          <w:highlight w:val="none"/>
          <w:lang w:val="en-US" w:bidi="ar-SA"/>
        </w:rPr>
      </w:pPr>
      <w:r>
        <w:rPr>
          <w:rFonts w:hint="eastAsia"/>
          <w:b/>
          <w:color w:val="auto"/>
          <w:kern w:val="2"/>
          <w:sz w:val="24"/>
          <w:szCs w:val="24"/>
          <w:highlight w:val="none"/>
          <w:lang w:val="en-US" w:bidi="ar-SA"/>
        </w:rPr>
        <w:t>七、质量保证期</w:t>
      </w:r>
    </w:p>
    <w:p>
      <w:pPr>
        <w:ind w:firstLine="360" w:firstLineChars="150"/>
        <w:rPr>
          <w:color w:val="auto"/>
          <w:kern w:val="2"/>
          <w:sz w:val="24"/>
          <w:szCs w:val="24"/>
          <w:highlight w:val="none"/>
          <w:lang w:val="en-US" w:bidi="ar-SA"/>
        </w:rPr>
      </w:pPr>
      <w:r>
        <w:rPr>
          <w:rFonts w:hint="eastAsia"/>
          <w:color w:val="auto"/>
          <w:kern w:val="2"/>
          <w:sz w:val="24"/>
          <w:szCs w:val="24"/>
          <w:highlight w:val="none"/>
          <w:lang w:val="en-US" w:bidi="ar-SA"/>
        </w:rPr>
        <w:t xml:space="preserve">  </w:t>
      </w:r>
      <w:r>
        <w:rPr>
          <w:rFonts w:hint="eastAsia"/>
          <w:color w:val="auto"/>
          <w:kern w:val="2"/>
          <w:sz w:val="24"/>
          <w:szCs w:val="24"/>
          <w:highlight w:val="none"/>
          <w:u w:val="single"/>
          <w:lang w:val="en-US" w:bidi="ar-SA"/>
        </w:rPr>
        <w:t>中标</w:t>
      </w:r>
      <w:r>
        <w:rPr>
          <w:rFonts w:hint="eastAsia"/>
          <w:color w:val="auto"/>
          <w:kern w:val="2"/>
          <w:sz w:val="24"/>
          <w:szCs w:val="24"/>
          <w:highlight w:val="none"/>
          <w:lang w:val="en-US" w:bidi="ar-SA"/>
        </w:rPr>
        <w:t>货物质保期为</w:t>
      </w:r>
      <w:r>
        <w:rPr>
          <w:rFonts w:hint="eastAsia"/>
          <w:color w:val="auto"/>
          <w:kern w:val="2"/>
          <w:sz w:val="24"/>
          <w:szCs w:val="24"/>
          <w:highlight w:val="none"/>
          <w:u w:val="single"/>
          <w:lang w:val="en-US" w:bidi="ar-SA"/>
        </w:rPr>
        <w:t>叁</w:t>
      </w:r>
      <w:r>
        <w:rPr>
          <w:rFonts w:hint="eastAsia"/>
          <w:color w:val="auto"/>
          <w:kern w:val="2"/>
          <w:sz w:val="24"/>
          <w:szCs w:val="24"/>
          <w:highlight w:val="none"/>
          <w:lang w:val="en-US" w:bidi="ar-SA"/>
        </w:rPr>
        <w:t>年，自全部中标货物验收合格之日起算。在质量保证期内，因产品质量出现问题，乙方负责免费维修或更换，并承担与维修和更换相关的运费、安装、调试、保险等全部费用。因维修或更换造成产品无法正常使用的时间，应当相应顺延质保期限。</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八、技术资料</w:t>
      </w:r>
    </w:p>
    <w:p>
      <w:pPr>
        <w:ind w:firstLine="480" w:firstLineChars="200"/>
        <w:rPr>
          <w:color w:val="auto"/>
          <w:sz w:val="24"/>
          <w:szCs w:val="24"/>
          <w:highlight w:val="none"/>
          <w:lang w:val="en-US" w:bidi="ar-SA"/>
        </w:rPr>
      </w:pPr>
      <w:r>
        <w:rPr>
          <w:rFonts w:hint="eastAsia"/>
          <w:color w:val="auto"/>
          <w:sz w:val="24"/>
          <w:szCs w:val="24"/>
          <w:highlight w:val="none"/>
          <w:lang w:val="en-US" w:bidi="ar-SA"/>
        </w:rPr>
        <w:t>乙方需向甲方提供下述资料：</w:t>
      </w:r>
    </w:p>
    <w:p>
      <w:pPr>
        <w:ind w:firstLine="480" w:firstLineChars="200"/>
        <w:rPr>
          <w:color w:val="auto"/>
          <w:sz w:val="24"/>
          <w:szCs w:val="24"/>
          <w:highlight w:val="none"/>
          <w:lang w:val="en-US" w:bidi="ar-SA"/>
        </w:rPr>
      </w:pPr>
      <w:r>
        <w:rPr>
          <w:rFonts w:hint="eastAsia"/>
          <w:color w:val="auto"/>
          <w:sz w:val="24"/>
          <w:szCs w:val="24"/>
          <w:highlight w:val="none"/>
          <w:lang w:val="en-US" w:bidi="ar-SA"/>
        </w:rPr>
        <w:t>所供货物的型号、规格、数量及生产厂家的产品检验证书、出厂检验报告、保修证明，提供甲方认可的省级以上计量检定机构出具确认合格的校准/检定证书。</w:t>
      </w:r>
    </w:p>
    <w:p>
      <w:pPr>
        <w:ind w:firstLine="482" w:firstLineChars="200"/>
        <w:rPr>
          <w:b/>
          <w:color w:val="auto"/>
          <w:sz w:val="24"/>
          <w:szCs w:val="24"/>
          <w:highlight w:val="none"/>
          <w:lang w:val="en-US" w:bidi="ar-SA"/>
        </w:rPr>
      </w:pPr>
      <w:r>
        <w:rPr>
          <w:rFonts w:hint="eastAsia"/>
          <w:b/>
          <w:color w:val="auto"/>
          <w:sz w:val="24"/>
          <w:szCs w:val="24"/>
          <w:highlight w:val="none"/>
          <w:lang w:val="en-US" w:bidi="ar-SA"/>
        </w:rPr>
        <w:t>九、包装及验收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１、乙方所提供设备必须进行包装，免收包装费，包装物不回收。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２、设备运输过程中的保险费用由乙方承担，在运输过程中发生毁损、灭失均由乙方承担完全责任。</w:t>
      </w:r>
    </w:p>
    <w:p>
      <w:pPr>
        <w:ind w:firstLine="480" w:firstLineChars="200"/>
        <w:rPr>
          <w:color w:val="auto"/>
          <w:sz w:val="24"/>
          <w:szCs w:val="24"/>
          <w:highlight w:val="none"/>
          <w:lang w:val="en-US" w:bidi="ar-SA"/>
        </w:rPr>
      </w:pPr>
      <w:r>
        <w:rPr>
          <w:rFonts w:hint="eastAsia"/>
          <w:color w:val="auto"/>
          <w:sz w:val="24"/>
          <w:szCs w:val="24"/>
          <w:highlight w:val="none"/>
          <w:lang w:val="en-US" w:bidi="ar-SA"/>
        </w:rPr>
        <w:t>３、验收方式、标准：</w:t>
      </w:r>
    </w:p>
    <w:p>
      <w:pPr>
        <w:ind w:firstLine="480" w:firstLineChars="200"/>
        <w:rPr>
          <w:color w:val="auto"/>
          <w:sz w:val="24"/>
          <w:szCs w:val="24"/>
          <w:highlight w:val="none"/>
          <w:lang w:val="en-US" w:bidi="ar-SA"/>
        </w:rPr>
      </w:pPr>
      <w:r>
        <w:rPr>
          <w:rFonts w:hint="eastAsia"/>
          <w:color w:val="auto"/>
          <w:sz w:val="24"/>
          <w:szCs w:val="24"/>
          <w:highlight w:val="none"/>
          <w:lang w:val="en-US" w:bidi="ar-SA"/>
        </w:rPr>
        <w:t>3.1货物接收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设备运到甲方指定地点当日，由甲乙双方按本合同要求共同验货。验货按乙方提供的《货物签收单》要求进行。验货合格后，双方共同签署《货物签收单》。</w:t>
      </w:r>
    </w:p>
    <w:p>
      <w:pPr>
        <w:ind w:firstLine="480" w:firstLineChars="200"/>
        <w:rPr>
          <w:color w:val="auto"/>
          <w:sz w:val="24"/>
          <w:szCs w:val="24"/>
          <w:highlight w:val="none"/>
          <w:lang w:val="en-US" w:bidi="ar-SA"/>
        </w:rPr>
      </w:pPr>
      <w:r>
        <w:rPr>
          <w:rFonts w:hint="eastAsia"/>
          <w:color w:val="auto"/>
          <w:sz w:val="24"/>
          <w:szCs w:val="24"/>
          <w:highlight w:val="none"/>
          <w:lang w:val="en-US" w:bidi="ar-SA"/>
        </w:rPr>
        <w:t>3.2货物验收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3.2.1开箱检验：</w:t>
      </w:r>
    </w:p>
    <w:p>
      <w:pPr>
        <w:ind w:firstLine="480" w:firstLineChars="200"/>
        <w:rPr>
          <w:color w:val="auto"/>
          <w:sz w:val="24"/>
          <w:szCs w:val="24"/>
          <w:highlight w:val="none"/>
          <w:lang w:val="en-US" w:bidi="ar-SA"/>
        </w:rPr>
      </w:pPr>
      <w:r>
        <w:rPr>
          <w:rFonts w:hint="eastAsia"/>
          <w:color w:val="auto"/>
          <w:sz w:val="24"/>
          <w:szCs w:val="24"/>
          <w:highlight w:val="none"/>
          <w:lang w:val="en-US" w:bidi="ar-SA"/>
        </w:rPr>
        <w:t>甲乙双方根据装箱单和产品的技术指标及性能共同验收，如发现有不合格产品、错漏、损坏部件或与本合同约定的技术要求和规格不符时，双方应在现场联合作记录，签署备忘录。乙方负责在10天内按本合同要求标准予以更换，确保不影响工作进展，并承担一切费用。</w:t>
      </w:r>
    </w:p>
    <w:p>
      <w:pPr>
        <w:ind w:firstLine="480" w:firstLineChars="200"/>
        <w:rPr>
          <w:color w:val="auto"/>
          <w:sz w:val="24"/>
          <w:szCs w:val="24"/>
          <w:highlight w:val="none"/>
          <w:lang w:val="en-US" w:bidi="ar-SA"/>
        </w:rPr>
      </w:pPr>
      <w:r>
        <w:rPr>
          <w:rFonts w:hint="eastAsia"/>
          <w:color w:val="auto"/>
          <w:sz w:val="24"/>
          <w:szCs w:val="24"/>
          <w:highlight w:val="none"/>
          <w:lang w:val="en-US" w:bidi="ar-SA"/>
        </w:rPr>
        <w:t>3.2.2安装验收：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工作须在签署《货物签收单》之日后30个自然日内完成，安装测试结果如不符或测试结果不能确认，乙方应在10个自然日内调整配置直至重新测试合格，如果仍然测试不通过，甲方有权停止验收、拒收设备并解除合同，由乙方承担违约责任。如因甲方或不可抗力原因导致未能进行安装验收，甲方须向乙方出具和签署相关证明。</w:t>
      </w:r>
    </w:p>
    <w:p>
      <w:pPr>
        <w:ind w:firstLine="480" w:firstLineChars="200"/>
        <w:rPr>
          <w:color w:val="auto"/>
          <w:sz w:val="24"/>
          <w:szCs w:val="24"/>
          <w:highlight w:val="none"/>
          <w:lang w:val="en-US" w:bidi="ar-SA"/>
        </w:rPr>
      </w:pPr>
      <w:r>
        <w:rPr>
          <w:rFonts w:hint="eastAsia"/>
          <w:color w:val="auto"/>
          <w:sz w:val="24"/>
          <w:szCs w:val="24"/>
          <w:highlight w:val="none"/>
          <w:lang w:val="en-US" w:bidi="ar-SA"/>
        </w:rPr>
        <w:t>3.2.3调试验收：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全部产品由乙方安装并调试正常后，乙方负责派出相关技术人员现场指导甲方对设备功能进行测试，由甲乙双方按投标文件规定的型号、技术参数、数量、产地，并根据制造商签发的《产品合格证》、《出厂清单》、乙方向甲方提供包含验收方案、验收内容、验收标准（包括行业通行标准、厂房出厂标准、招标文件要求和乙方投标文件的承诺，并不低于国家有关部门最新颁布的标准及规范）、省级以上计量检定部门出具的检定/校准合格证书、验收人员等验收申请，进行现场验收，现场验收包括设备验收和数据验收，设备验收是完成了数据采集工作后，系统功能和性能达到试运行条件时，系统进入试运行阶段，在对试运行期间暴露的所有缺陷、问题和未实现的功能完全解决后，系统达到稳定运行，在稳定运行后对数据进行验收，当设备和数据都满足要求时申请现场验收。现场验收合格后甲乙双方根据测试结果共同签署《产品安装调试报告及验收报告》，现场验收完成后，系统正式投入运行，进入质保期。如对结果有异议，验收十个工作日内以书面形式通知对方。</w:t>
      </w:r>
    </w:p>
    <w:p>
      <w:pPr>
        <w:ind w:firstLine="480" w:firstLineChars="200"/>
        <w:rPr>
          <w:color w:val="auto"/>
          <w:sz w:val="24"/>
          <w:szCs w:val="24"/>
          <w:highlight w:val="none"/>
          <w:lang w:val="en-US" w:bidi="ar-SA"/>
        </w:rPr>
      </w:pPr>
      <w:r>
        <w:rPr>
          <w:rFonts w:hint="eastAsia"/>
          <w:color w:val="auto"/>
          <w:sz w:val="24"/>
          <w:szCs w:val="24"/>
          <w:highlight w:val="none"/>
          <w:lang w:val="en-US" w:bidi="ar-SA"/>
        </w:rPr>
        <w:t>3.2.4最终验收：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系统在质保期间没有出现任何重大缺陷，在质保期满时申请最终验收。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3.2.5综合验收：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十、甲、乙双方的权利及义务</w:t>
      </w:r>
    </w:p>
    <w:p>
      <w:pPr>
        <w:ind w:firstLine="480" w:firstLineChars="200"/>
        <w:rPr>
          <w:color w:val="auto"/>
          <w:sz w:val="24"/>
          <w:szCs w:val="24"/>
          <w:highlight w:val="none"/>
          <w:lang w:val="en-US" w:bidi="ar-SA"/>
        </w:rPr>
      </w:pPr>
      <w:r>
        <w:rPr>
          <w:rFonts w:hint="eastAsia"/>
          <w:color w:val="auto"/>
          <w:sz w:val="24"/>
          <w:szCs w:val="24"/>
          <w:highlight w:val="none"/>
          <w:lang w:val="en-US" w:bidi="ar-SA"/>
        </w:rPr>
        <w:t>1、若甲方对订购的货物有任何更改，包括货物的型号、品种、规格、数量、颜色、交货期等事宜，必须在双方签订合同后七天内书面通知乙方，经乙方同意并变更后，交货期相应从变更之日起顺延，若超过七天乙方不予更改。由于变更引起的合同总额的增减，则由甲乙双方友好协商后，多退少补。</w:t>
      </w:r>
    </w:p>
    <w:p>
      <w:pPr>
        <w:ind w:firstLine="480" w:firstLineChars="200"/>
        <w:rPr>
          <w:color w:val="auto"/>
          <w:sz w:val="24"/>
          <w:szCs w:val="24"/>
          <w:highlight w:val="none"/>
          <w:lang w:val="en-US" w:bidi="ar-SA"/>
        </w:rPr>
      </w:pPr>
      <w:r>
        <w:rPr>
          <w:rFonts w:hint="eastAsia"/>
          <w:color w:val="auto"/>
          <w:sz w:val="24"/>
          <w:szCs w:val="24"/>
          <w:highlight w:val="none"/>
          <w:lang w:val="en-US" w:bidi="ar-SA"/>
        </w:rPr>
        <w:t>2、若乙方在交货时，由于甲方的原因或要求，不能及时将货物送达指定地点和验收时，则甲方负责承担与仓储及再次运输相关的费用，并给予乙方书面确认书，视为乙方已按期交付货物。</w:t>
      </w:r>
    </w:p>
    <w:p>
      <w:pPr>
        <w:ind w:firstLine="480" w:firstLineChars="200"/>
        <w:rPr>
          <w:color w:val="auto"/>
          <w:sz w:val="24"/>
          <w:szCs w:val="24"/>
          <w:highlight w:val="none"/>
          <w:lang w:val="en-US" w:bidi="ar-SA"/>
        </w:rPr>
      </w:pPr>
      <w:r>
        <w:rPr>
          <w:rFonts w:hint="eastAsia"/>
          <w:color w:val="auto"/>
          <w:sz w:val="24"/>
          <w:szCs w:val="24"/>
          <w:highlight w:val="none"/>
          <w:lang w:val="en-US" w:bidi="ar-SA"/>
        </w:rPr>
        <w:t>3、若甲方在验收后的质量保证期内，发现货物内有部分出现质量问题，应及时通知乙方，乙方应3天内到现场查看，若需要更换时，乙方应在接到通知后10天内给予更换。</w:t>
      </w:r>
    </w:p>
    <w:p>
      <w:pPr>
        <w:ind w:firstLine="480" w:firstLineChars="200"/>
        <w:rPr>
          <w:color w:val="auto"/>
          <w:sz w:val="24"/>
          <w:szCs w:val="24"/>
          <w:highlight w:val="none"/>
          <w:lang w:val="en-US" w:bidi="ar-SA"/>
        </w:rPr>
      </w:pPr>
      <w:r>
        <w:rPr>
          <w:rFonts w:hint="eastAsia"/>
          <w:color w:val="auto"/>
          <w:sz w:val="24"/>
          <w:szCs w:val="24"/>
          <w:highlight w:val="none"/>
          <w:lang w:val="en-US" w:bidi="ar-SA"/>
        </w:rPr>
        <w:t>4、乙方须按合同要求提供质量合格的货物，如期在甲方指定的交货地点交付货物，并提供免费的安装调试。</w:t>
      </w:r>
    </w:p>
    <w:p>
      <w:pPr>
        <w:ind w:firstLine="480" w:firstLineChars="200"/>
        <w:rPr>
          <w:color w:val="auto"/>
          <w:sz w:val="24"/>
          <w:szCs w:val="24"/>
          <w:highlight w:val="none"/>
          <w:lang w:val="en-US" w:bidi="ar-SA"/>
        </w:rPr>
      </w:pPr>
      <w:r>
        <w:rPr>
          <w:rFonts w:hint="eastAsia"/>
          <w:color w:val="auto"/>
          <w:sz w:val="24"/>
          <w:szCs w:val="24"/>
          <w:highlight w:val="none"/>
          <w:lang w:val="en-US" w:bidi="ar-SA"/>
        </w:rPr>
        <w:t>5、乙方对售予甲方的货物提供的质量保证期的质量保证范围，不包括意外事件、不可抗力原因及违规使用。</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十一、合同变更、违约及其它</w:t>
      </w:r>
    </w:p>
    <w:p>
      <w:pPr>
        <w:ind w:firstLine="470" w:firstLineChars="196"/>
        <w:rPr>
          <w:color w:val="auto"/>
          <w:sz w:val="24"/>
          <w:szCs w:val="24"/>
          <w:highlight w:val="none"/>
          <w:lang w:val="en-US" w:bidi="ar-SA"/>
        </w:rPr>
      </w:pPr>
      <w:r>
        <w:rPr>
          <w:rFonts w:hint="eastAsia"/>
          <w:color w:val="auto"/>
          <w:sz w:val="24"/>
          <w:szCs w:val="24"/>
          <w:highlight w:val="none"/>
          <w:lang w:val="en-US" w:bidi="ar-SA"/>
        </w:rPr>
        <w:t>1、甲方按合同规定的付款要求履约，合同价格不变，甲方由于非不可抗力原因不能在本合同规定的时间内支付合同款项时，应事先告知乙方，并征求乙方的同意，否则甲方应向乙方支付违约金。其支付办法是：每延误七天按迟付款总金额的千分之五支付；不满七天按七天计算，依次类推。</w:t>
      </w:r>
    </w:p>
    <w:p>
      <w:pPr>
        <w:ind w:firstLine="470" w:firstLineChars="196"/>
        <w:rPr>
          <w:color w:val="auto"/>
          <w:sz w:val="24"/>
          <w:szCs w:val="24"/>
          <w:highlight w:val="none"/>
          <w:lang w:val="en-US" w:bidi="ar-SA"/>
        </w:rPr>
      </w:pPr>
      <w:r>
        <w:rPr>
          <w:rFonts w:hint="eastAsia"/>
          <w:color w:val="auto"/>
          <w:sz w:val="24"/>
          <w:szCs w:val="24"/>
          <w:highlight w:val="none"/>
          <w:lang w:val="en-US" w:bidi="ar-SA"/>
        </w:rPr>
        <w:t>2、乙方必须在本合同规定的时间内按时交货，否则由乙方负责承担全部违约责任。乙方迟延交货需向甲方支付违约金：每延误七天按合同总金额的千分之五支付；不满七天按七天计算，依次类推。乙方超过交货期限 35个自然日内仍不能交付全部货物时，甲方有权因乙方违约解除合同。</w:t>
      </w:r>
    </w:p>
    <w:p>
      <w:pPr>
        <w:rPr>
          <w:color w:val="auto"/>
          <w:sz w:val="24"/>
          <w:szCs w:val="24"/>
          <w:highlight w:val="none"/>
          <w:lang w:val="en-US" w:bidi="ar-SA"/>
        </w:rPr>
      </w:pPr>
      <w:r>
        <w:rPr>
          <w:rFonts w:hint="eastAsia"/>
          <w:color w:val="auto"/>
          <w:sz w:val="24"/>
          <w:szCs w:val="24"/>
          <w:highlight w:val="none"/>
          <w:lang w:val="en-US" w:bidi="ar-SA"/>
        </w:rPr>
        <w:t xml:space="preserve">     3、乙方应严格按照招标、投标文件中规定的产品规格、型号名称、数量和质量提供相应的产品及服务，兑现服务承诺，否则将视为乙方违约，并按合同总价款的</w:t>
      </w:r>
      <w:r>
        <w:rPr>
          <w:rFonts w:hint="eastAsia"/>
          <w:color w:val="auto"/>
          <w:sz w:val="24"/>
          <w:szCs w:val="24"/>
          <w:highlight w:val="none"/>
          <w:u w:val="single"/>
          <w:lang w:val="en-US" w:bidi="ar-SA"/>
        </w:rPr>
        <w:t>10</w:t>
      </w:r>
      <w:r>
        <w:rPr>
          <w:rFonts w:hint="eastAsia"/>
          <w:color w:val="auto"/>
          <w:sz w:val="24"/>
          <w:szCs w:val="24"/>
          <w:highlight w:val="none"/>
          <w:lang w:val="en-US" w:bidi="ar-SA"/>
        </w:rPr>
        <w:t>%或单件设备款价的</w:t>
      </w:r>
      <w:r>
        <w:rPr>
          <w:rFonts w:hint="eastAsia"/>
          <w:color w:val="auto"/>
          <w:sz w:val="24"/>
          <w:szCs w:val="24"/>
          <w:highlight w:val="none"/>
          <w:u w:val="single"/>
          <w:lang w:val="en-US" w:bidi="ar-SA"/>
        </w:rPr>
        <w:t>30</w:t>
      </w:r>
      <w:r>
        <w:rPr>
          <w:rFonts w:hint="eastAsia"/>
          <w:color w:val="auto"/>
          <w:sz w:val="24"/>
          <w:szCs w:val="24"/>
          <w:highlight w:val="none"/>
          <w:lang w:val="en-US" w:bidi="ar-SA"/>
        </w:rPr>
        <w:t>%承担违约金。</w:t>
      </w:r>
    </w:p>
    <w:p>
      <w:pPr>
        <w:rPr>
          <w:color w:val="auto"/>
          <w:sz w:val="24"/>
          <w:szCs w:val="24"/>
          <w:highlight w:val="none"/>
          <w:lang w:val="en-US" w:bidi="ar-SA"/>
        </w:rPr>
      </w:pPr>
      <w:r>
        <w:rPr>
          <w:rFonts w:hint="eastAsia"/>
          <w:color w:val="auto"/>
          <w:sz w:val="24"/>
          <w:szCs w:val="24"/>
          <w:highlight w:val="none"/>
          <w:lang w:val="en-US" w:bidi="ar-SA"/>
        </w:rPr>
        <w:t xml:space="preserve">    4、合同文本不得涂改，如需修改应在合同附件中注明。经甲、乙双方协商达成一致修改意见，需经甲、乙双方代表共同签署此附件，并通报自治区政府采购中心认可后，方能生效。</w:t>
      </w:r>
    </w:p>
    <w:p>
      <w:pPr>
        <w:ind w:firstLine="645"/>
        <w:rPr>
          <w:color w:val="auto"/>
          <w:sz w:val="24"/>
          <w:szCs w:val="24"/>
          <w:highlight w:val="none"/>
          <w:lang w:val="en-US" w:bidi="ar-SA"/>
        </w:rPr>
      </w:pPr>
      <w:r>
        <w:rPr>
          <w:rFonts w:hint="eastAsia"/>
          <w:color w:val="auto"/>
          <w:sz w:val="24"/>
          <w:szCs w:val="24"/>
          <w:highlight w:val="none"/>
          <w:lang w:val="en-US" w:bidi="ar-SA"/>
        </w:rPr>
        <w:t>5、招标文件、投标文件及开标会议上签名的答疑记录、售后服务承诺等均作为合同的附件，是合同文本不可分割的组成部分。合同文本未述及不详之处，以附件为准。</w:t>
      </w:r>
    </w:p>
    <w:p>
      <w:pPr>
        <w:ind w:firstLine="480" w:firstLineChars="200"/>
        <w:rPr>
          <w:color w:val="auto"/>
          <w:sz w:val="24"/>
          <w:szCs w:val="24"/>
          <w:highlight w:val="none"/>
          <w:lang w:val="en-US" w:bidi="ar-SA"/>
        </w:rPr>
      </w:pPr>
      <w:r>
        <w:rPr>
          <w:rFonts w:hint="eastAsia"/>
          <w:color w:val="auto"/>
          <w:sz w:val="24"/>
          <w:szCs w:val="24"/>
          <w:highlight w:val="none"/>
          <w:lang w:val="en-US" w:bidi="ar-SA"/>
        </w:rPr>
        <w:t>6、合同经甲、乙双方签字盖章后即行生效。合同生效后 ，乙方中途废止合同（不可抗力原因除外），乙方中途解除合同（不可抗力原因除外）应按实际损失向甲方支付赔偿金，并向甲方支付合同总金额</w:t>
      </w:r>
      <w:r>
        <w:rPr>
          <w:rFonts w:hint="eastAsia"/>
          <w:color w:val="auto"/>
          <w:sz w:val="24"/>
          <w:szCs w:val="24"/>
          <w:highlight w:val="none"/>
          <w:u w:val="single"/>
          <w:lang w:val="en-US" w:bidi="ar-SA"/>
        </w:rPr>
        <w:t>10</w:t>
      </w:r>
      <w:r>
        <w:rPr>
          <w:rFonts w:hint="eastAsia"/>
          <w:color w:val="auto"/>
          <w:sz w:val="24"/>
          <w:szCs w:val="24"/>
          <w:highlight w:val="none"/>
          <w:lang w:val="en-US" w:bidi="ar-SA"/>
        </w:rPr>
        <w:t>%的违约金；甲方中途废止合同（不可抗力原因除外），甲方中途解除合同（不可抗力原因除外），向乙方支付合同总金额的</w:t>
      </w:r>
      <w:r>
        <w:rPr>
          <w:rFonts w:hint="eastAsia"/>
          <w:color w:val="auto"/>
          <w:sz w:val="24"/>
          <w:szCs w:val="24"/>
          <w:highlight w:val="none"/>
          <w:u w:val="single"/>
          <w:lang w:val="en-US" w:bidi="ar-SA"/>
        </w:rPr>
        <w:t>10</w:t>
      </w:r>
      <w:r>
        <w:rPr>
          <w:rFonts w:hint="eastAsia"/>
          <w:color w:val="auto"/>
          <w:sz w:val="24"/>
          <w:szCs w:val="24"/>
          <w:highlight w:val="none"/>
          <w:lang w:val="en-US" w:bidi="ar-SA"/>
        </w:rPr>
        <w:t>%的违约金。</w:t>
      </w:r>
    </w:p>
    <w:p>
      <w:pPr>
        <w:autoSpaceDE/>
        <w:autoSpaceDN/>
        <w:ind w:firstLine="480" w:firstLineChars="200"/>
        <w:jc w:val="both"/>
        <w:rPr>
          <w:color w:val="auto"/>
          <w:sz w:val="24"/>
          <w:szCs w:val="24"/>
          <w:highlight w:val="none"/>
          <w:lang w:val="en-US" w:bidi="ar-SA"/>
        </w:rPr>
      </w:pPr>
      <w:r>
        <w:rPr>
          <w:rFonts w:hint="eastAsia"/>
          <w:color w:val="auto"/>
          <w:sz w:val="24"/>
          <w:szCs w:val="24"/>
          <w:highlight w:val="none"/>
          <w:lang w:val="en-US" w:bidi="ar-SA"/>
        </w:rPr>
        <w:t>7、本合同依照《中华人民共和国政府采购法》和《</w:t>
      </w:r>
      <w:r>
        <w:rPr>
          <w:rFonts w:hint="eastAsia"/>
          <w:color w:val="auto"/>
          <w:kern w:val="2"/>
          <w:sz w:val="24"/>
          <w:szCs w:val="24"/>
          <w:highlight w:val="none"/>
          <w:lang w:val="en-US" w:bidi="ar-SA"/>
        </w:rPr>
        <w:t>《中华人民共和国民法典》</w:t>
      </w:r>
      <w:r>
        <w:rPr>
          <w:rFonts w:hint="eastAsia"/>
          <w:color w:val="auto"/>
          <w:sz w:val="24"/>
          <w:szCs w:val="24"/>
          <w:highlight w:val="none"/>
          <w:lang w:val="en-US" w:bidi="ar-SA"/>
        </w:rPr>
        <w:t>等相关法律法规制定。未尽事项皆受上述法律法规约束。甲、乙双方发生争议时，应先协商解决，经协商在30天内不能达成协议时，应提交甲方所在地人民法院进行诉讼。</w:t>
      </w:r>
    </w:p>
    <w:p>
      <w:pPr>
        <w:autoSpaceDE/>
        <w:autoSpaceDN/>
        <w:ind w:firstLine="480" w:firstLineChars="200"/>
        <w:jc w:val="both"/>
        <w:rPr>
          <w:color w:val="auto"/>
          <w:sz w:val="24"/>
          <w:szCs w:val="24"/>
          <w:highlight w:val="none"/>
          <w:lang w:val="en-US" w:bidi="ar-SA"/>
        </w:rPr>
      </w:pPr>
      <w:r>
        <w:rPr>
          <w:rFonts w:hint="eastAsia"/>
          <w:color w:val="auto"/>
          <w:sz w:val="24"/>
          <w:szCs w:val="24"/>
          <w:highlight w:val="none"/>
          <w:lang w:val="en-US" w:bidi="ar-SA"/>
        </w:rPr>
        <w:t>8、人民法院生效判决为最终决定，并对双方具有约束力。</w:t>
      </w:r>
    </w:p>
    <w:p>
      <w:pPr>
        <w:ind w:firstLine="556"/>
        <w:rPr>
          <w:color w:val="auto"/>
          <w:sz w:val="24"/>
          <w:szCs w:val="24"/>
          <w:highlight w:val="none"/>
          <w:lang w:val="en-US" w:bidi="ar-SA"/>
        </w:rPr>
      </w:pPr>
      <w:r>
        <w:rPr>
          <w:rFonts w:hint="eastAsia"/>
          <w:color w:val="auto"/>
          <w:sz w:val="24"/>
          <w:szCs w:val="24"/>
          <w:highlight w:val="none"/>
          <w:lang w:val="en-US" w:bidi="ar-SA"/>
        </w:rPr>
        <w:t>9、本合同一式六份，甲方执四份，乙方执二份。</w:t>
      </w:r>
    </w:p>
    <w:p>
      <w:pPr>
        <w:ind w:firstLine="556"/>
        <w:rPr>
          <w:color w:val="auto"/>
          <w:sz w:val="24"/>
          <w:szCs w:val="24"/>
          <w:highlight w:val="none"/>
          <w:lang w:val="en-US" w:bidi="ar-SA"/>
        </w:rPr>
      </w:pPr>
      <w:r>
        <w:rPr>
          <w:rFonts w:hint="eastAsia"/>
          <w:color w:val="auto"/>
          <w:sz w:val="24"/>
          <w:szCs w:val="24"/>
          <w:highlight w:val="none"/>
          <w:lang w:val="en-US" w:bidi="ar-SA"/>
        </w:rPr>
        <w:t>10、本合同自签字盖章完毕之日起生效，质量保证期满后终止。</w:t>
      </w:r>
    </w:p>
    <w:p>
      <w:pPr>
        <w:ind w:firstLine="556"/>
        <w:rPr>
          <w:color w:val="auto"/>
          <w:sz w:val="24"/>
          <w:szCs w:val="24"/>
          <w:highlight w:val="none"/>
          <w:lang w:val="en-US" w:bidi="ar-SA"/>
        </w:rPr>
      </w:pPr>
      <w:r>
        <w:rPr>
          <w:rFonts w:hint="eastAsia"/>
          <w:color w:val="auto"/>
          <w:sz w:val="24"/>
          <w:szCs w:val="24"/>
          <w:highlight w:val="none"/>
          <w:lang w:val="en-US" w:bidi="ar-SA"/>
        </w:rPr>
        <w:t>11、本合同附件（一）</w:t>
      </w:r>
      <w:bookmarkStart w:id="77" w:name="OLE_LINK7"/>
      <w:r>
        <w:rPr>
          <w:rFonts w:hint="eastAsia"/>
          <w:color w:val="auto"/>
          <w:sz w:val="24"/>
          <w:szCs w:val="24"/>
          <w:highlight w:val="none"/>
          <w:lang w:val="en-US" w:bidi="ar-SA"/>
        </w:rPr>
        <w:t>技术协议</w:t>
      </w:r>
      <w:bookmarkEnd w:id="77"/>
      <w:r>
        <w:rPr>
          <w:rFonts w:hint="eastAsia"/>
          <w:color w:val="auto"/>
          <w:sz w:val="24"/>
          <w:szCs w:val="24"/>
          <w:highlight w:val="none"/>
          <w:lang w:val="en-US" w:bidi="ar-SA"/>
        </w:rPr>
        <w:t>属合同不可分割内容，与本合同具有同等法律效力。</w:t>
      </w:r>
    </w:p>
    <w:p>
      <w:pPr>
        <w:rPr>
          <w:color w:val="auto"/>
          <w:sz w:val="24"/>
          <w:szCs w:val="24"/>
          <w:highlight w:val="none"/>
          <w:lang w:val="en-US" w:bidi="ar-SA"/>
        </w:rPr>
      </w:pPr>
    </w:p>
    <w:p>
      <w:pPr>
        <w:ind w:firstLine="556"/>
        <w:rPr>
          <w:color w:val="auto"/>
          <w:sz w:val="24"/>
          <w:szCs w:val="24"/>
          <w:highlight w:val="none"/>
          <w:lang w:val="en-US" w:bidi="ar-SA"/>
        </w:rPr>
      </w:pPr>
    </w:p>
    <w:tbl>
      <w:tblPr>
        <w:tblStyle w:val="29"/>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1"/>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甲方（公章）：新疆维吾尔自治区产品质量监督检验研究院</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 xml:space="preserve">乙方（公章）：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授权代表签字：</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地址：乌鲁木齐市新市区河北东路188号</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电话：0991</w:t>
            </w:r>
            <w:r>
              <w:rPr>
                <w:rFonts w:hint="eastAsia"/>
                <w:color w:val="auto"/>
                <w:kern w:val="2"/>
                <w:sz w:val="24"/>
                <w:szCs w:val="24"/>
                <w:highlight w:val="none"/>
                <w:lang w:val="en-US" w:eastAsia="zh-CN" w:bidi="ar-SA"/>
              </w:rPr>
              <w:t>-</w:t>
            </w:r>
            <w:r>
              <w:rPr>
                <w:rFonts w:hint="eastAsia"/>
                <w:color w:val="auto"/>
                <w:kern w:val="2"/>
                <w:sz w:val="24"/>
                <w:szCs w:val="24"/>
                <w:highlight w:val="none"/>
                <w:lang w:val="en-US" w:bidi="ar-SA"/>
              </w:rPr>
              <w:t>3191306</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开户行：招行乌鲁木齐西虹东路支行</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 xml:space="preserve">开户行：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帐  号：991903366510903</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税  号：126500004576007000</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税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签订日期：</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签订日期：</w:t>
            </w:r>
          </w:p>
        </w:tc>
      </w:tr>
    </w:tbl>
    <w:p>
      <w:pPr>
        <w:pStyle w:val="26"/>
        <w:widowControl w:val="0"/>
        <w:shd w:val="clear" w:color="auto" w:fill="FFFFFF"/>
        <w:spacing w:line="460" w:lineRule="exact"/>
        <w:rPr>
          <w:color w:val="auto"/>
          <w:highlight w:val="none"/>
        </w:rPr>
      </w:pPr>
      <w:r>
        <w:rPr>
          <w:rFonts w:hint="eastAsia"/>
          <w:b/>
          <w:bCs/>
          <w:color w:val="auto"/>
          <w:highlight w:val="none"/>
        </w:rPr>
        <w:t>注：以上为合同模板，具体签订方式、内容以甲方提供合同为准</w:t>
      </w:r>
    </w:p>
    <w:p>
      <w:pPr>
        <w:rPr>
          <w:color w:val="auto"/>
          <w:sz w:val="18"/>
          <w:szCs w:val="20"/>
          <w:highlight w:val="none"/>
        </w:rPr>
      </w:pPr>
      <w:r>
        <w:rPr>
          <w:rFonts w:hint="eastAsia"/>
          <w:color w:val="auto"/>
          <w:sz w:val="18"/>
          <w:szCs w:val="20"/>
          <w:highlight w:val="none"/>
        </w:rPr>
        <w:br w:type="page"/>
      </w:r>
    </w:p>
    <w:p>
      <w:pPr>
        <w:pStyle w:val="5"/>
        <w:tabs>
          <w:tab w:val="left" w:pos="1163"/>
        </w:tabs>
        <w:spacing w:line="240" w:lineRule="auto"/>
        <w:outlineLvl w:val="0"/>
        <w:rPr>
          <w:rFonts w:ascii="宋体" w:hAnsi="宋体" w:eastAsia="宋体" w:cs="宋体"/>
          <w:b/>
          <w:bCs/>
          <w:color w:val="auto"/>
          <w:sz w:val="32"/>
          <w:szCs w:val="32"/>
          <w:highlight w:val="none"/>
        </w:rPr>
      </w:pPr>
      <w:bookmarkStart w:id="78" w:name="_bookmark103"/>
      <w:bookmarkEnd w:id="78"/>
      <w:bookmarkStart w:id="79" w:name="_Toc7476"/>
      <w:r>
        <w:rPr>
          <w:rFonts w:hint="eastAsia" w:ascii="宋体" w:hAnsi="宋体" w:eastAsia="宋体" w:cs="宋体"/>
          <w:b/>
          <w:bCs/>
          <w:color w:val="auto"/>
          <w:sz w:val="32"/>
          <w:szCs w:val="32"/>
          <w:highlight w:val="none"/>
        </w:rPr>
        <w:t>第六章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投标文件格式</w:t>
      </w:r>
      <w:bookmarkEnd w:id="79"/>
    </w:p>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投标人提交的材料将被保密，但不退还。全部文件应按规定的份数按标项编制并按标项提交。如果招标文件采购内容未注明分标项采购，即全部采购内容为一个标项（即第 1 标项），标项号为“1”标项名称仍为标项名称。格式如下：</w:t>
      </w:r>
    </w:p>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章未给出格式的材料或附件，由投标人自行提供或编制，但应注意招标文件相应盖章要求。本章明确指明是“建议格式”的文件其格式仅供参考，均不做强制要求，投标人可自行编制，但应注意招标文件相应盖章要求。</w:t>
      </w:r>
    </w:p>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（2）本章明确指明为“格式”的文件：</w:t>
      </w:r>
    </w:p>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格式名称为“表”的，表头给定内容不得删减、改变，可根据实际需要增减行，需要填写的空格或空白应有效填写。格式属于文字内容性质的，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（3）本章提供的格式表格中括号“【】”中内容表示填写说明或举例说明，并非给定内容，投标人应跟根据自身投标情况据实填写。本章提供的格式中“注：”的内容也是填写说明，也非给定内容。</w:t>
      </w:r>
    </w:p>
    <w:p>
      <w:pPr>
        <w:rPr>
          <w:color w:val="auto"/>
          <w:sz w:val="20"/>
          <w:szCs w:val="20"/>
          <w:highlight w:val="none"/>
        </w:rPr>
      </w:pPr>
      <w:bookmarkStart w:id="80" w:name="_bookmark104"/>
      <w:bookmarkEnd w:id="80"/>
      <w:r>
        <w:rPr>
          <w:rFonts w:hint="eastAsia"/>
          <w:color w:val="auto"/>
          <w:sz w:val="20"/>
          <w:szCs w:val="20"/>
          <w:highlight w:val="none"/>
        </w:rPr>
        <w:br w:type="page"/>
      </w:r>
    </w:p>
    <w:p>
      <w:pPr>
        <w:pStyle w:val="6"/>
        <w:spacing w:before="31"/>
        <w:ind w:right="115"/>
        <w:rPr>
          <w:rFonts w:ascii="宋体" w:hAnsi="宋体" w:eastAsia="宋体" w:cs="宋体"/>
          <w:color w:val="auto"/>
          <w:sz w:val="28"/>
          <w:szCs w:val="28"/>
          <w:highlight w:val="none"/>
        </w:rPr>
      </w:pPr>
      <w:bookmarkStart w:id="81" w:name="_Toc2007"/>
      <w:r>
        <w:rPr>
          <w:rFonts w:hint="eastAsia" w:ascii="宋体" w:hAnsi="宋体" w:eastAsia="宋体" w:cs="宋体"/>
          <w:color w:val="auto"/>
          <w:sz w:val="28"/>
          <w:szCs w:val="28"/>
          <w:highlight w:val="none"/>
          <w:lang w:val="en-US"/>
        </w:rPr>
        <w:t>投标</w:t>
      </w:r>
      <w:r>
        <w:rPr>
          <w:rFonts w:hint="eastAsia" w:ascii="宋体" w:hAnsi="宋体" w:eastAsia="宋体" w:cs="宋体"/>
          <w:color w:val="auto"/>
          <w:sz w:val="28"/>
          <w:szCs w:val="28"/>
          <w:highlight w:val="none"/>
        </w:rPr>
        <w:t>文件封面建议格式</w:t>
      </w:r>
      <w:bookmarkEnd w:id="81"/>
    </w:p>
    <w:p>
      <w:pPr>
        <w:spacing w:before="212"/>
        <w:ind w:right="341"/>
        <w:jc w:val="right"/>
        <w:rPr>
          <w:b/>
          <w:color w:val="auto"/>
          <w:sz w:val="24"/>
          <w:szCs w:val="20"/>
          <w:highlight w:val="none"/>
        </w:rPr>
      </w:pPr>
      <w:r>
        <w:rPr>
          <w:rFonts w:hint="eastAsia"/>
          <w:b/>
          <w:color w:val="auto"/>
          <w:sz w:val="24"/>
          <w:szCs w:val="20"/>
          <w:highlight w:val="none"/>
        </w:rPr>
        <w:t>正本【或副本】</w:t>
      </w:r>
    </w:p>
    <w:p>
      <w:pPr>
        <w:pStyle w:val="15"/>
        <w:rPr>
          <w:b/>
          <w:color w:val="auto"/>
          <w:sz w:val="28"/>
          <w:szCs w:val="28"/>
          <w:highlight w:val="none"/>
        </w:rPr>
      </w:pPr>
    </w:p>
    <w:p>
      <w:pPr>
        <w:tabs>
          <w:tab w:val="left" w:pos="5896"/>
        </w:tabs>
        <w:spacing w:line="360" w:lineRule="auto"/>
        <w:ind w:left="880" w:leftChars="400"/>
        <w:rPr>
          <w:color w:val="auto"/>
          <w:sz w:val="28"/>
          <w:szCs w:val="28"/>
          <w:highlight w:val="none"/>
          <w:u w:val="single"/>
        </w:rPr>
      </w:pPr>
      <w:r>
        <w:rPr>
          <w:rFonts w:hint="eastAsia"/>
          <w:color w:val="auto"/>
          <w:sz w:val="28"/>
          <w:szCs w:val="28"/>
          <w:highlight w:val="none"/>
        </w:rPr>
        <w:t>项目名称：</w:t>
      </w:r>
      <w:r>
        <w:rPr>
          <w:rFonts w:hint="eastAsia"/>
          <w:color w:val="auto"/>
          <w:sz w:val="28"/>
          <w:szCs w:val="28"/>
          <w:highlight w:val="none"/>
          <w:u w:val="single"/>
        </w:rPr>
        <w:t xml:space="preserve">                             </w:t>
      </w:r>
    </w:p>
    <w:p>
      <w:pPr>
        <w:tabs>
          <w:tab w:val="left" w:pos="6875"/>
        </w:tabs>
        <w:spacing w:line="360" w:lineRule="auto"/>
        <w:ind w:left="880" w:leftChars="400"/>
        <w:rPr>
          <w:color w:val="auto"/>
          <w:sz w:val="28"/>
          <w:szCs w:val="28"/>
          <w:highlight w:val="none"/>
        </w:rPr>
      </w:pPr>
      <w:r>
        <w:rPr>
          <w:rFonts w:hint="eastAsia"/>
          <w:color w:val="auto"/>
          <w:sz w:val="28"/>
          <w:szCs w:val="28"/>
          <w:highlight w:val="none"/>
        </w:rPr>
        <w:t>项目编号：</w:t>
      </w:r>
      <w:r>
        <w:rPr>
          <w:rFonts w:hint="eastAsia"/>
          <w:color w:val="auto"/>
          <w:sz w:val="28"/>
          <w:szCs w:val="28"/>
          <w:highlight w:val="none"/>
          <w:u w:val="single"/>
        </w:rPr>
        <w:t xml:space="preserve">                             </w:t>
      </w:r>
    </w:p>
    <w:p>
      <w:pPr>
        <w:tabs>
          <w:tab w:val="left" w:pos="6875"/>
        </w:tabs>
        <w:spacing w:line="360" w:lineRule="auto"/>
        <w:ind w:left="880" w:leftChars="400"/>
        <w:rPr>
          <w:color w:val="auto"/>
          <w:sz w:val="28"/>
          <w:szCs w:val="28"/>
          <w:highlight w:val="none"/>
          <w:lang w:val="en-US"/>
        </w:rPr>
      </w:pPr>
      <w:r>
        <w:rPr>
          <w:rFonts w:hint="eastAsia"/>
          <w:color w:val="auto"/>
          <w:sz w:val="28"/>
          <w:szCs w:val="28"/>
          <w:highlight w:val="none"/>
        </w:rPr>
        <w:t>标项号：</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p>
    <w:p>
      <w:pPr>
        <w:tabs>
          <w:tab w:val="left" w:pos="5896"/>
        </w:tabs>
        <w:spacing w:line="360" w:lineRule="auto"/>
        <w:ind w:left="880" w:leftChars="400"/>
        <w:rPr>
          <w:color w:val="auto"/>
          <w:sz w:val="28"/>
          <w:szCs w:val="28"/>
          <w:highlight w:val="none"/>
          <w:lang w:val="en-US"/>
        </w:rPr>
      </w:pPr>
      <w:r>
        <w:rPr>
          <w:rFonts w:hint="eastAsia"/>
          <w:color w:val="auto"/>
          <w:sz w:val="28"/>
          <w:szCs w:val="28"/>
          <w:highlight w:val="none"/>
        </w:rPr>
        <w:t>标项名称：</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p>
    <w:p>
      <w:pPr>
        <w:pStyle w:val="15"/>
        <w:rPr>
          <w:color w:val="auto"/>
          <w:sz w:val="16"/>
          <w:szCs w:val="21"/>
          <w:highlight w:val="none"/>
        </w:rPr>
      </w:pPr>
    </w:p>
    <w:p>
      <w:pPr>
        <w:pStyle w:val="15"/>
        <w:rPr>
          <w:color w:val="auto"/>
          <w:sz w:val="16"/>
          <w:szCs w:val="21"/>
          <w:highlight w:val="none"/>
        </w:rPr>
      </w:pPr>
    </w:p>
    <w:p>
      <w:pPr>
        <w:pStyle w:val="15"/>
        <w:rPr>
          <w:color w:val="auto"/>
          <w:sz w:val="16"/>
          <w:szCs w:val="21"/>
          <w:highlight w:val="none"/>
        </w:rPr>
      </w:pPr>
    </w:p>
    <w:p>
      <w:pPr>
        <w:pStyle w:val="16"/>
        <w:rPr>
          <w:rFonts w:ascii="宋体" w:hAnsi="宋体" w:eastAsia="宋体" w:cs="宋体"/>
          <w:color w:val="auto"/>
          <w:sz w:val="16"/>
          <w:szCs w:val="21"/>
          <w:highlight w:val="none"/>
        </w:rPr>
      </w:pPr>
    </w:p>
    <w:p>
      <w:pPr>
        <w:pStyle w:val="16"/>
        <w:rPr>
          <w:rFonts w:ascii="宋体" w:hAnsi="宋体" w:eastAsia="宋体" w:cs="宋体"/>
          <w:color w:val="auto"/>
          <w:sz w:val="16"/>
          <w:szCs w:val="21"/>
          <w:highlight w:val="none"/>
        </w:rPr>
      </w:pPr>
    </w:p>
    <w:p>
      <w:pPr>
        <w:pStyle w:val="15"/>
        <w:spacing w:before="5"/>
        <w:rPr>
          <w:color w:val="auto"/>
          <w:sz w:val="21"/>
          <w:szCs w:val="21"/>
          <w:highlight w:val="none"/>
        </w:rPr>
      </w:pPr>
    </w:p>
    <w:p>
      <w:pPr>
        <w:ind w:right="113"/>
        <w:jc w:val="center"/>
        <w:rPr>
          <w:b/>
          <w:bCs/>
          <w:color w:val="auto"/>
          <w:sz w:val="112"/>
          <w:szCs w:val="112"/>
          <w:highlight w:val="none"/>
        </w:rPr>
      </w:pPr>
      <w:r>
        <w:rPr>
          <w:rFonts w:hint="eastAsia"/>
          <w:b/>
          <w:bCs/>
          <w:color w:val="auto"/>
          <w:sz w:val="112"/>
          <w:szCs w:val="112"/>
          <w:highlight w:val="none"/>
        </w:rPr>
        <w:t>投</w:t>
      </w:r>
      <w:r>
        <w:rPr>
          <w:rFonts w:hint="eastAsia"/>
          <w:b/>
          <w:bCs/>
          <w:color w:val="auto"/>
          <w:sz w:val="112"/>
          <w:szCs w:val="112"/>
          <w:highlight w:val="none"/>
          <w:lang w:val="en-US"/>
        </w:rPr>
        <w:t xml:space="preserve"> </w:t>
      </w:r>
      <w:r>
        <w:rPr>
          <w:rFonts w:hint="eastAsia"/>
          <w:b/>
          <w:bCs/>
          <w:color w:val="auto"/>
          <w:sz w:val="112"/>
          <w:szCs w:val="112"/>
          <w:highlight w:val="none"/>
        </w:rPr>
        <w:t>标</w:t>
      </w:r>
      <w:r>
        <w:rPr>
          <w:rFonts w:hint="eastAsia"/>
          <w:b/>
          <w:bCs/>
          <w:color w:val="auto"/>
          <w:sz w:val="112"/>
          <w:szCs w:val="112"/>
          <w:highlight w:val="none"/>
          <w:lang w:val="en-US"/>
        </w:rPr>
        <w:t xml:space="preserve"> </w:t>
      </w:r>
      <w:r>
        <w:rPr>
          <w:rFonts w:hint="eastAsia"/>
          <w:b/>
          <w:bCs/>
          <w:color w:val="auto"/>
          <w:sz w:val="112"/>
          <w:szCs w:val="112"/>
          <w:highlight w:val="none"/>
        </w:rPr>
        <w:t>文</w:t>
      </w:r>
      <w:r>
        <w:rPr>
          <w:rFonts w:hint="eastAsia"/>
          <w:b/>
          <w:bCs/>
          <w:color w:val="auto"/>
          <w:sz w:val="112"/>
          <w:szCs w:val="112"/>
          <w:highlight w:val="none"/>
          <w:lang w:val="en-US"/>
        </w:rPr>
        <w:t xml:space="preserve"> </w:t>
      </w:r>
      <w:r>
        <w:rPr>
          <w:rFonts w:hint="eastAsia"/>
          <w:b/>
          <w:bCs/>
          <w:color w:val="auto"/>
          <w:sz w:val="112"/>
          <w:szCs w:val="112"/>
          <w:highlight w:val="none"/>
        </w:rPr>
        <w:t>件</w:t>
      </w:r>
    </w:p>
    <w:p>
      <w:pPr>
        <w:spacing w:before="177" w:line="302" w:lineRule="auto"/>
        <w:ind w:left="295" w:right="413"/>
        <w:jc w:val="center"/>
        <w:rPr>
          <w:color w:val="auto"/>
          <w:sz w:val="24"/>
          <w:szCs w:val="20"/>
          <w:highlight w:val="none"/>
        </w:rPr>
      </w:pPr>
      <w:r>
        <w:rPr>
          <w:rFonts w:hint="eastAsia"/>
          <w:color w:val="auto"/>
          <w:sz w:val="24"/>
          <w:szCs w:val="20"/>
          <w:highlight w:val="none"/>
        </w:rPr>
        <w:t>【</w:t>
      </w:r>
      <w:r>
        <w:rPr>
          <w:rFonts w:hint="eastAsia"/>
          <w:color w:val="auto"/>
          <w:sz w:val="24"/>
          <w:szCs w:val="20"/>
          <w:highlight w:val="none"/>
          <w:lang w:val="en-US"/>
        </w:rPr>
        <w:t>投标文件</w:t>
      </w:r>
      <w:r>
        <w:rPr>
          <w:rFonts w:hint="eastAsia"/>
          <w:color w:val="auto"/>
          <w:sz w:val="24"/>
          <w:szCs w:val="20"/>
          <w:highlight w:val="none"/>
        </w:rPr>
        <w:t>再分册装订或有其他组成部分的，在此处注明，例如“上册”、“上册”、“下册”、“图纸”或“附件”等】</w:t>
      </w:r>
    </w:p>
    <w:p>
      <w:pPr>
        <w:pStyle w:val="15"/>
        <w:rPr>
          <w:color w:val="auto"/>
          <w:szCs w:val="21"/>
          <w:highlight w:val="none"/>
        </w:rPr>
      </w:pPr>
    </w:p>
    <w:p>
      <w:pPr>
        <w:pStyle w:val="15"/>
        <w:rPr>
          <w:color w:val="auto"/>
          <w:szCs w:val="21"/>
          <w:highlight w:val="none"/>
        </w:rPr>
      </w:pPr>
    </w:p>
    <w:p>
      <w:pPr>
        <w:pStyle w:val="15"/>
        <w:rPr>
          <w:color w:val="auto"/>
          <w:szCs w:val="21"/>
          <w:highlight w:val="none"/>
        </w:rPr>
      </w:pPr>
    </w:p>
    <w:p>
      <w:pPr>
        <w:pStyle w:val="15"/>
        <w:rPr>
          <w:color w:val="auto"/>
          <w:szCs w:val="21"/>
          <w:highlight w:val="none"/>
        </w:rPr>
      </w:pPr>
    </w:p>
    <w:p>
      <w:pPr>
        <w:pStyle w:val="16"/>
        <w:rPr>
          <w:rFonts w:ascii="宋体" w:hAnsi="宋体" w:eastAsia="宋体" w:cs="宋体"/>
          <w:color w:val="auto"/>
          <w:sz w:val="24"/>
          <w:szCs w:val="21"/>
          <w:highlight w:val="none"/>
        </w:rPr>
      </w:pPr>
    </w:p>
    <w:p>
      <w:pPr>
        <w:pStyle w:val="16"/>
        <w:rPr>
          <w:rFonts w:ascii="宋体" w:hAnsi="宋体" w:eastAsia="宋体" w:cs="宋体"/>
          <w:color w:val="auto"/>
          <w:sz w:val="24"/>
          <w:szCs w:val="21"/>
          <w:highlight w:val="none"/>
        </w:rPr>
      </w:pPr>
    </w:p>
    <w:p>
      <w:pPr>
        <w:pStyle w:val="16"/>
        <w:rPr>
          <w:rFonts w:ascii="宋体" w:hAnsi="宋体" w:eastAsia="宋体" w:cs="宋体"/>
          <w:color w:val="auto"/>
          <w:sz w:val="24"/>
          <w:szCs w:val="21"/>
          <w:highlight w:val="none"/>
        </w:rPr>
      </w:pPr>
    </w:p>
    <w:p>
      <w:pPr>
        <w:pStyle w:val="16"/>
        <w:rPr>
          <w:rFonts w:ascii="宋体" w:hAnsi="宋体" w:eastAsia="宋体" w:cs="宋体"/>
          <w:color w:val="auto"/>
          <w:sz w:val="24"/>
          <w:szCs w:val="21"/>
          <w:highlight w:val="none"/>
        </w:rPr>
      </w:pPr>
    </w:p>
    <w:p>
      <w:pPr>
        <w:pStyle w:val="16"/>
        <w:rPr>
          <w:rFonts w:ascii="宋体" w:hAnsi="宋体" w:eastAsia="宋体" w:cs="宋体"/>
          <w:color w:val="auto"/>
          <w:sz w:val="24"/>
          <w:szCs w:val="21"/>
          <w:highlight w:val="none"/>
        </w:rPr>
      </w:pPr>
    </w:p>
    <w:p>
      <w:pPr>
        <w:pStyle w:val="15"/>
        <w:spacing w:before="7"/>
        <w:rPr>
          <w:color w:val="auto"/>
          <w:highlight w:val="none"/>
        </w:rPr>
      </w:pPr>
    </w:p>
    <w:p>
      <w:pPr>
        <w:spacing w:line="480" w:lineRule="auto"/>
        <w:ind w:left="880" w:leftChars="400"/>
        <w:rPr>
          <w:b/>
          <w:bCs/>
          <w:color w:val="auto"/>
          <w:sz w:val="28"/>
          <w:szCs w:val="28"/>
          <w:highlight w:val="none"/>
        </w:rPr>
      </w:pPr>
      <w:bookmarkStart w:id="82" w:name="_bookmark105"/>
      <w:bookmarkEnd w:id="82"/>
      <w:r>
        <w:rPr>
          <w:rFonts w:hint="eastAsia"/>
          <w:b/>
          <w:bCs/>
          <w:color w:val="auto"/>
          <w:sz w:val="28"/>
          <w:szCs w:val="28"/>
          <w:highlight w:val="none"/>
        </w:rPr>
        <w:t>投标人</w:t>
      </w:r>
      <w:r>
        <w:rPr>
          <w:rFonts w:hint="eastAsia"/>
          <w:b/>
          <w:bCs/>
          <w:color w:val="auto"/>
          <w:sz w:val="28"/>
          <w:szCs w:val="28"/>
          <w:highlight w:val="none"/>
          <w:lang w:val="en-US"/>
        </w:rPr>
        <w:t>名称</w:t>
      </w:r>
      <w:r>
        <w:rPr>
          <w:rFonts w:hint="eastAsia"/>
          <w:b/>
          <w:bCs/>
          <w:color w:val="auto"/>
          <w:sz w:val="28"/>
          <w:szCs w:val="28"/>
          <w:highlight w:val="none"/>
        </w:rPr>
        <w:t>：（</w:t>
      </w:r>
      <w:r>
        <w:rPr>
          <w:rFonts w:hint="eastAsia"/>
          <w:b/>
          <w:bCs/>
          <w:color w:val="auto"/>
          <w:sz w:val="28"/>
          <w:szCs w:val="28"/>
          <w:highlight w:val="none"/>
          <w:lang w:val="en-US"/>
        </w:rPr>
        <w:t>盖章</w:t>
      </w:r>
      <w:r>
        <w:rPr>
          <w:rFonts w:hint="eastAsia"/>
          <w:b/>
          <w:bCs/>
          <w:color w:val="auto"/>
          <w:sz w:val="28"/>
          <w:szCs w:val="28"/>
          <w:highlight w:val="none"/>
        </w:rPr>
        <w:t>）</w:t>
      </w:r>
    </w:p>
    <w:p>
      <w:pPr>
        <w:spacing w:line="480" w:lineRule="auto"/>
        <w:ind w:left="880" w:leftChars="400"/>
        <w:rPr>
          <w:b/>
          <w:bCs/>
          <w:color w:val="auto"/>
          <w:sz w:val="28"/>
          <w:szCs w:val="28"/>
          <w:highlight w:val="none"/>
          <w:lang w:val="en-US"/>
        </w:rPr>
      </w:pPr>
      <w:r>
        <w:rPr>
          <w:rFonts w:hint="eastAsia"/>
          <w:b/>
          <w:bCs/>
          <w:color w:val="auto"/>
          <w:sz w:val="28"/>
          <w:szCs w:val="28"/>
          <w:highlight w:val="none"/>
          <w:lang w:val="en-US"/>
        </w:rPr>
        <w:t>法定代表人或授权代表：</w:t>
      </w:r>
    </w:p>
    <w:p>
      <w:pPr>
        <w:snapToGrid w:val="0"/>
        <w:spacing w:line="480" w:lineRule="auto"/>
        <w:ind w:left="880" w:leftChars="400"/>
        <w:rPr>
          <w:b/>
          <w:bCs/>
          <w:color w:val="auto"/>
          <w:sz w:val="28"/>
          <w:szCs w:val="28"/>
          <w:highlight w:val="none"/>
          <w:lang w:val="en-US"/>
        </w:rPr>
      </w:pPr>
      <w:r>
        <w:rPr>
          <w:rFonts w:hint="eastAsia"/>
          <w:b/>
          <w:bCs/>
          <w:color w:val="auto"/>
          <w:sz w:val="28"/>
          <w:szCs w:val="28"/>
          <w:highlight w:val="none"/>
          <w:lang w:val="en-US"/>
        </w:rPr>
        <w:t>联系人：</w:t>
      </w:r>
    </w:p>
    <w:p>
      <w:pPr>
        <w:snapToGrid w:val="0"/>
        <w:spacing w:line="480" w:lineRule="auto"/>
        <w:ind w:left="880" w:leftChars="400"/>
        <w:rPr>
          <w:b/>
          <w:bCs/>
          <w:color w:val="auto"/>
          <w:sz w:val="28"/>
          <w:szCs w:val="28"/>
          <w:highlight w:val="none"/>
          <w:lang w:val="en-US"/>
        </w:rPr>
      </w:pPr>
      <w:r>
        <w:rPr>
          <w:rFonts w:hint="eastAsia"/>
          <w:b/>
          <w:bCs/>
          <w:color w:val="auto"/>
          <w:sz w:val="28"/>
          <w:szCs w:val="28"/>
          <w:highlight w:val="none"/>
          <w:lang w:val="en-US"/>
        </w:rPr>
        <w:t>电话：</w:t>
      </w:r>
    </w:p>
    <w:p>
      <w:pPr>
        <w:spacing w:line="480" w:lineRule="auto"/>
        <w:ind w:left="880" w:leftChars="400"/>
        <w:rPr>
          <w:b/>
          <w:bCs/>
          <w:color w:val="auto"/>
          <w:sz w:val="28"/>
          <w:szCs w:val="28"/>
          <w:highlight w:val="none"/>
          <w:lang w:val="en-US"/>
        </w:rPr>
      </w:pPr>
      <w:r>
        <w:rPr>
          <w:rFonts w:hint="eastAsia"/>
          <w:b/>
          <w:bCs/>
          <w:color w:val="auto"/>
          <w:sz w:val="28"/>
          <w:szCs w:val="28"/>
          <w:highlight w:val="none"/>
          <w:lang w:val="en-US"/>
        </w:rPr>
        <w:t>日期：</w:t>
      </w:r>
    </w:p>
    <w:p>
      <w:pPr>
        <w:rPr>
          <w:b/>
          <w:color w:val="auto"/>
          <w:sz w:val="24"/>
          <w:szCs w:val="20"/>
          <w:highlight w:val="none"/>
        </w:rPr>
      </w:pPr>
      <w:r>
        <w:rPr>
          <w:rFonts w:hint="eastAsia"/>
          <w:b/>
          <w:color w:val="auto"/>
          <w:sz w:val="24"/>
          <w:szCs w:val="20"/>
          <w:highlight w:val="none"/>
        </w:rPr>
        <w:br w:type="page"/>
      </w:r>
    </w:p>
    <w:p>
      <w:pPr>
        <w:spacing w:before="31"/>
        <w:ind w:right="119"/>
        <w:jc w:val="center"/>
        <w:rPr>
          <w:b/>
          <w:color w:val="auto"/>
          <w:sz w:val="28"/>
          <w:szCs w:val="28"/>
          <w:highlight w:val="none"/>
        </w:rPr>
      </w:pPr>
      <w:r>
        <w:rPr>
          <w:rFonts w:hint="eastAsia"/>
          <w:b/>
          <w:color w:val="auto"/>
          <w:sz w:val="28"/>
          <w:szCs w:val="28"/>
          <w:highlight w:val="none"/>
        </w:rPr>
        <w:t>评分索引表建议格式</w:t>
      </w:r>
    </w:p>
    <w:p>
      <w:pPr>
        <w:spacing w:before="31"/>
        <w:ind w:right="119"/>
        <w:jc w:val="center"/>
        <w:rPr>
          <w:b/>
          <w:color w:val="auto"/>
          <w:sz w:val="24"/>
          <w:szCs w:val="24"/>
          <w:highlight w:val="none"/>
        </w:rPr>
      </w:pPr>
      <w:r>
        <w:rPr>
          <w:rFonts w:hint="eastAsia"/>
          <w:b/>
          <w:color w:val="auto"/>
          <w:sz w:val="24"/>
          <w:szCs w:val="24"/>
          <w:highlight w:val="none"/>
        </w:rPr>
        <w:t>评分索引表</w:t>
      </w:r>
    </w:p>
    <w:p>
      <w:pPr>
        <w:pStyle w:val="15"/>
        <w:spacing w:before="5"/>
        <w:rPr>
          <w:b/>
          <w:color w:val="auto"/>
          <w:sz w:val="13"/>
          <w:szCs w:val="21"/>
          <w:highlight w:val="none"/>
        </w:rPr>
      </w:pPr>
    </w:p>
    <w:tbl>
      <w:tblPr>
        <w:tblStyle w:val="29"/>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05"/>
        <w:gridCol w:w="3120"/>
        <w:gridCol w:w="2336"/>
        <w:gridCol w:w="2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vAlign w:val="center"/>
          </w:tcPr>
          <w:p>
            <w:pPr>
              <w:pStyle w:val="34"/>
              <w:spacing w:before="156" w:line="242" w:lineRule="auto"/>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序号</w:t>
            </w:r>
          </w:p>
        </w:tc>
        <w:tc>
          <w:tcPr>
            <w:tcW w:w="1305" w:type="dxa"/>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评审内容</w:t>
            </w:r>
          </w:p>
        </w:tc>
        <w:tc>
          <w:tcPr>
            <w:tcW w:w="3120" w:type="dxa"/>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评分标准</w:t>
            </w:r>
          </w:p>
        </w:tc>
        <w:tc>
          <w:tcPr>
            <w:tcW w:w="2336" w:type="dxa"/>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投标响应情况简述</w:t>
            </w:r>
          </w:p>
        </w:tc>
        <w:tc>
          <w:tcPr>
            <w:tcW w:w="2055" w:type="dxa"/>
            <w:vAlign w:val="center"/>
          </w:tcPr>
          <w:p>
            <w:pPr>
              <w:pStyle w:val="34"/>
              <w:spacing w:before="2" w:line="242" w:lineRule="auto"/>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投标文件对应章节及页码索引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74" w:type="dxa"/>
            <w:vAlign w:val="center"/>
          </w:tcPr>
          <w:p>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4" w:type="dxa"/>
            <w:vAlign w:val="center"/>
          </w:tcPr>
          <w:p>
            <w:pPr>
              <w:pStyle w:val="34"/>
              <w:jc w:val="center"/>
              <w:rPr>
                <w:rFonts w:ascii="宋体" w:hAnsi="宋体" w:eastAsia="宋体" w:cs="宋体"/>
                <w:color w:val="auto"/>
                <w:sz w:val="21"/>
                <w:szCs w:val="21"/>
                <w:highlight w:val="none"/>
              </w:rPr>
            </w:pP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4" w:type="dxa"/>
            <w:vAlign w:val="center"/>
          </w:tcPr>
          <w:p>
            <w:pPr>
              <w:pStyle w:val="34"/>
              <w:jc w:val="center"/>
              <w:rPr>
                <w:rFonts w:ascii="宋体" w:hAnsi="宋体" w:eastAsia="宋体" w:cs="宋体"/>
                <w:color w:val="auto"/>
                <w:sz w:val="21"/>
                <w:szCs w:val="21"/>
                <w:highlight w:val="none"/>
              </w:rPr>
            </w:pPr>
          </w:p>
        </w:tc>
        <w:tc>
          <w:tcPr>
            <w:tcW w:w="1305" w:type="dxa"/>
            <w:vAlign w:val="center"/>
          </w:tcPr>
          <w:p>
            <w:pPr>
              <w:pStyle w:val="34"/>
              <w:jc w:val="center"/>
              <w:rPr>
                <w:rFonts w:ascii="宋体" w:hAnsi="宋体" w:eastAsia="宋体" w:cs="宋体"/>
                <w:color w:val="auto"/>
                <w:sz w:val="21"/>
                <w:szCs w:val="21"/>
                <w:highlight w:val="none"/>
              </w:rPr>
            </w:pPr>
          </w:p>
        </w:tc>
        <w:tc>
          <w:tcPr>
            <w:tcW w:w="3120" w:type="dxa"/>
            <w:vAlign w:val="center"/>
          </w:tcPr>
          <w:p>
            <w:pPr>
              <w:pStyle w:val="34"/>
              <w:jc w:val="center"/>
              <w:rPr>
                <w:rFonts w:ascii="宋体" w:hAnsi="宋体" w:eastAsia="宋体" w:cs="宋体"/>
                <w:color w:val="auto"/>
                <w:sz w:val="21"/>
                <w:szCs w:val="21"/>
                <w:highlight w:val="none"/>
              </w:rPr>
            </w:pPr>
          </w:p>
        </w:tc>
        <w:tc>
          <w:tcPr>
            <w:tcW w:w="2336" w:type="dxa"/>
            <w:vAlign w:val="center"/>
          </w:tcPr>
          <w:p>
            <w:pPr>
              <w:pStyle w:val="34"/>
              <w:jc w:val="center"/>
              <w:rPr>
                <w:rFonts w:ascii="宋体" w:hAnsi="宋体" w:eastAsia="宋体" w:cs="宋体"/>
                <w:color w:val="auto"/>
                <w:sz w:val="21"/>
                <w:szCs w:val="21"/>
                <w:highlight w:val="none"/>
              </w:rPr>
            </w:pPr>
          </w:p>
        </w:tc>
        <w:tc>
          <w:tcPr>
            <w:tcW w:w="2055" w:type="dxa"/>
            <w:vAlign w:val="center"/>
          </w:tcPr>
          <w:p>
            <w:pPr>
              <w:pStyle w:val="34"/>
              <w:jc w:val="center"/>
              <w:rPr>
                <w:rFonts w:ascii="宋体" w:hAnsi="宋体" w:eastAsia="宋体" w:cs="宋体"/>
                <w:color w:val="auto"/>
                <w:sz w:val="21"/>
                <w:szCs w:val="21"/>
                <w:highlight w:val="none"/>
              </w:rPr>
            </w:pPr>
          </w:p>
        </w:tc>
      </w:tr>
    </w:tbl>
    <w:p>
      <w:pPr>
        <w:pStyle w:val="37"/>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注：投标人应根据招标文件第四章“评标标准”中列明的商务及技术部分评审内容，逐条（价格部分除外）索引至投标文件对应的响应内容所在章节和页码，以方便评标委员会评审。</w:t>
      </w:r>
    </w:p>
    <w:p>
      <w:pPr>
        <w:rPr>
          <w:color w:val="auto"/>
          <w:sz w:val="20"/>
          <w:szCs w:val="20"/>
          <w:highlight w:val="none"/>
        </w:rPr>
      </w:pPr>
      <w:r>
        <w:rPr>
          <w:rFonts w:hint="eastAsia"/>
          <w:color w:val="auto"/>
          <w:sz w:val="20"/>
          <w:szCs w:val="20"/>
          <w:highlight w:val="none"/>
        </w:rPr>
        <w:br w:type="page"/>
      </w:r>
    </w:p>
    <w:p>
      <w:pPr>
        <w:pStyle w:val="6"/>
        <w:spacing w:before="31"/>
        <w:ind w:right="115"/>
        <w:rPr>
          <w:rFonts w:ascii="宋体" w:hAnsi="宋体" w:eastAsia="宋体" w:cs="宋体"/>
          <w:color w:val="auto"/>
          <w:sz w:val="28"/>
          <w:szCs w:val="28"/>
          <w:highlight w:val="none"/>
        </w:rPr>
      </w:pPr>
      <w:bookmarkStart w:id="83" w:name="_bookmark106"/>
      <w:bookmarkEnd w:id="83"/>
      <w:bookmarkStart w:id="84" w:name="_Toc23222"/>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rPr>
        <w:t>一</w:t>
      </w:r>
      <w:r>
        <w:rPr>
          <w:rFonts w:hint="eastAsia" w:ascii="宋体" w:hAnsi="宋体" w:eastAsia="宋体" w:cs="宋体"/>
          <w:color w:val="auto"/>
          <w:sz w:val="28"/>
          <w:szCs w:val="28"/>
          <w:highlight w:val="none"/>
        </w:rPr>
        <w:t>节 商务</w:t>
      </w:r>
      <w:r>
        <w:rPr>
          <w:rFonts w:hint="eastAsia" w:ascii="宋体" w:hAnsi="宋体" w:eastAsia="宋体" w:cs="宋体"/>
          <w:color w:val="auto"/>
          <w:sz w:val="28"/>
          <w:szCs w:val="28"/>
          <w:highlight w:val="none"/>
          <w:lang w:val="en-US"/>
        </w:rPr>
        <w:t>技术</w:t>
      </w:r>
      <w:r>
        <w:rPr>
          <w:rFonts w:hint="eastAsia" w:ascii="宋体" w:hAnsi="宋体" w:eastAsia="宋体" w:cs="宋体"/>
          <w:color w:val="auto"/>
          <w:sz w:val="28"/>
          <w:szCs w:val="28"/>
          <w:highlight w:val="none"/>
        </w:rPr>
        <w:t>文件格式</w:t>
      </w:r>
      <w:bookmarkEnd w:id="84"/>
    </w:p>
    <w:p>
      <w:pPr>
        <w:pStyle w:val="7"/>
        <w:spacing w:before="31"/>
        <w:ind w:right="115"/>
        <w:rPr>
          <w:rFonts w:ascii="宋体" w:hAnsi="宋体" w:eastAsia="宋体" w:cs="宋体"/>
          <w:color w:val="auto"/>
          <w:sz w:val="28"/>
          <w:szCs w:val="28"/>
          <w:highlight w:val="none"/>
        </w:rPr>
      </w:pPr>
      <w:bookmarkStart w:id="85" w:name="_Toc3506"/>
      <w:r>
        <w:rPr>
          <w:rFonts w:hint="eastAsia" w:ascii="宋体" w:hAnsi="宋体" w:eastAsia="宋体" w:cs="宋体"/>
          <w:color w:val="auto"/>
          <w:sz w:val="28"/>
          <w:szCs w:val="28"/>
          <w:highlight w:val="none"/>
        </w:rPr>
        <w:t>附件 1 投标函格式</w:t>
      </w:r>
      <w:bookmarkEnd w:id="85"/>
    </w:p>
    <w:p>
      <w:pPr>
        <w:spacing w:before="212"/>
        <w:ind w:right="113"/>
        <w:jc w:val="center"/>
        <w:rPr>
          <w:b/>
          <w:color w:val="auto"/>
          <w:sz w:val="24"/>
          <w:szCs w:val="20"/>
          <w:highlight w:val="none"/>
        </w:rPr>
      </w:pPr>
      <w:r>
        <w:rPr>
          <w:rFonts w:hint="eastAsia"/>
          <w:b/>
          <w:color w:val="auto"/>
          <w:sz w:val="24"/>
          <w:szCs w:val="20"/>
          <w:highlight w:val="none"/>
        </w:rPr>
        <w:t>投标函</w:t>
      </w:r>
    </w:p>
    <w:p>
      <w:pPr>
        <w:pStyle w:val="15"/>
        <w:tabs>
          <w:tab w:val="left" w:pos="1428"/>
          <w:tab w:val="left" w:pos="4188"/>
        </w:tabs>
        <w:spacing w:line="520" w:lineRule="exact"/>
        <w:rPr>
          <w:color w:val="auto"/>
          <w:sz w:val="21"/>
          <w:szCs w:val="21"/>
          <w:highlight w:val="none"/>
        </w:rPr>
      </w:pPr>
      <w:r>
        <w:rPr>
          <w:rFonts w:hint="eastAsia"/>
          <w:color w:val="auto"/>
          <w:sz w:val="21"/>
          <w:szCs w:val="21"/>
          <w:highlight w:val="none"/>
        </w:rPr>
        <w:t>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【采购代理机构】</w:t>
      </w:r>
      <w:r>
        <w:rPr>
          <w:rFonts w:hint="eastAsia"/>
          <w:color w:val="auto"/>
          <w:sz w:val="21"/>
          <w:szCs w:val="21"/>
          <w:highlight w:val="none"/>
          <w:u w:val="single"/>
        </w:rPr>
        <w:tab/>
      </w:r>
    </w:p>
    <w:p>
      <w:pPr>
        <w:pStyle w:val="15"/>
        <w:tabs>
          <w:tab w:val="left" w:pos="3920"/>
          <w:tab w:val="left" w:pos="5946"/>
          <w:tab w:val="left" w:pos="7732"/>
          <w:tab w:val="left" w:pos="7789"/>
        </w:tabs>
        <w:spacing w:line="520" w:lineRule="exact"/>
        <w:ind w:firstLine="420" w:firstLineChars="200"/>
        <w:rPr>
          <w:color w:val="auto"/>
          <w:sz w:val="21"/>
          <w:szCs w:val="21"/>
          <w:highlight w:val="none"/>
        </w:rPr>
      </w:pPr>
      <w:r>
        <w:rPr>
          <w:rFonts w:hint="eastAsia"/>
          <w:color w:val="auto"/>
          <w:sz w:val="21"/>
          <w:szCs w:val="21"/>
          <w:highlight w:val="none"/>
        </w:rPr>
        <w:t>根据贵方为</w:t>
      </w:r>
      <w:r>
        <w:rPr>
          <w:rFonts w:hint="eastAsia"/>
          <w:color w:val="auto"/>
          <w:sz w:val="21"/>
          <w:szCs w:val="21"/>
          <w:highlight w:val="none"/>
          <w:u w:val="single"/>
        </w:rPr>
        <w:t xml:space="preserve"> 【项目名称】</w:t>
      </w:r>
      <w:r>
        <w:rPr>
          <w:rFonts w:hint="eastAsia"/>
          <w:color w:val="auto"/>
          <w:sz w:val="21"/>
          <w:szCs w:val="21"/>
          <w:highlight w:val="none"/>
          <w:u w:val="single"/>
        </w:rPr>
        <w:tab/>
      </w:r>
      <w:r>
        <w:rPr>
          <w:rFonts w:hint="eastAsia"/>
          <w:color w:val="auto"/>
          <w:sz w:val="21"/>
          <w:szCs w:val="21"/>
          <w:highlight w:val="none"/>
        </w:rPr>
        <w:t>项目招标采购的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【项目编号】</w:t>
      </w:r>
      <w:r>
        <w:rPr>
          <w:rFonts w:hint="eastAsia"/>
          <w:color w:val="auto"/>
          <w:sz w:val="21"/>
          <w:szCs w:val="21"/>
          <w:highlight w:val="none"/>
          <w:u w:val="single"/>
        </w:rPr>
        <w:tab/>
      </w:r>
      <w:r>
        <w:rPr>
          <w:rFonts w:hint="eastAsia"/>
          <w:color w:val="auto"/>
          <w:sz w:val="21"/>
          <w:szCs w:val="21"/>
          <w:highlight w:val="none"/>
        </w:rPr>
        <w:t xml:space="preserve">招标文件，签字代表 </w:t>
      </w:r>
      <w:r>
        <w:rPr>
          <w:rFonts w:hint="eastAsia"/>
          <w:color w:val="auto"/>
          <w:sz w:val="21"/>
          <w:szCs w:val="21"/>
          <w:highlight w:val="none"/>
          <w:u w:val="single"/>
        </w:rPr>
        <w:t>【全名、职务】</w:t>
      </w:r>
      <w:r>
        <w:rPr>
          <w:rFonts w:hint="eastAsia"/>
          <w:color w:val="auto"/>
          <w:sz w:val="21"/>
          <w:szCs w:val="21"/>
          <w:highlight w:val="none"/>
        </w:rPr>
        <w:t>经正式授权并代表投标人</w:t>
      </w:r>
      <w:r>
        <w:rPr>
          <w:rFonts w:hint="eastAsia"/>
          <w:color w:val="auto"/>
          <w:sz w:val="21"/>
          <w:szCs w:val="21"/>
          <w:highlight w:val="none"/>
          <w:u w:val="single"/>
        </w:rPr>
        <w:t xml:space="preserve">  【投标人名称、地址】</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提交下述文件：</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1.本投标函</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2.开标一览表；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3.投标分项报价表；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4.技术服务需求偏离表；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5.商务条款偏离表；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6.【法定代表人授权书 或者 法定代表人的身份证明复印件】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t>；</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7.投标保证金承诺函；</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8.代理服务费承诺函；</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9.详细的技术服务响应；</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10.资格、资信证明文件；</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11.其他。</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在此，我方郑重承诺：</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提交的投标文件资料是完整的、真实的和准确的。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据此函，我方宣布同意如下：</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1.所附投标价格表中规定的应提交和交付的投标报价见《开标一览表》。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2.我方将按招标文件的规定履行合同责任和义务。</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3.我方己详细审查全部招标文件，包括澄清或修改文件（如果有的话）。我们完全理解并同意放弃对这方面有不明及误解的权利。</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4.本投标有效期为自投标截止时间起【60】日 。</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5.我方同意提供按照贵方可能要求的与投标有关的一切数据或资料，完全理解贵方不一定接受最低价的投标或收到的任何投标。</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6.所有有关本投标文件的函电，请按下列地址联系：</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投标人：</w:t>
      </w:r>
      <w:r>
        <w:rPr>
          <w:rFonts w:hint="eastAsia"/>
          <w:color w:val="auto"/>
          <w:sz w:val="21"/>
          <w:szCs w:val="20"/>
          <w:highlight w:val="none"/>
          <w:u w:val="single"/>
          <w:lang w:val="en-US"/>
        </w:rPr>
        <w:t xml:space="preserve">                                         </w:t>
      </w:r>
      <w:r>
        <w:rPr>
          <w:rFonts w:hint="eastAsia"/>
          <w:color w:val="auto"/>
          <w:sz w:val="21"/>
          <w:szCs w:val="20"/>
          <w:highlight w:val="none"/>
          <w:lang w:val="en-US"/>
        </w:rPr>
        <w:t>（盖单位公章）</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法定代表人或其委托代理人：</w:t>
      </w:r>
      <w:r>
        <w:rPr>
          <w:rFonts w:hint="eastAsia"/>
          <w:color w:val="auto"/>
          <w:sz w:val="21"/>
          <w:szCs w:val="20"/>
          <w:highlight w:val="none"/>
          <w:u w:val="single"/>
          <w:lang w:val="en-US"/>
        </w:rPr>
        <w:t xml:space="preserve">                       </w:t>
      </w:r>
      <w:r>
        <w:rPr>
          <w:rFonts w:hint="eastAsia"/>
          <w:color w:val="auto"/>
          <w:sz w:val="21"/>
          <w:szCs w:val="20"/>
          <w:highlight w:val="none"/>
          <w:lang w:val="en-US"/>
        </w:rPr>
        <w:t>（签字或盖章）</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地址：</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电话：</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传真：</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联系人：</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开户名称：</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开户银行：</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银行账号：</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3"/>
        <w:tabs>
          <w:tab w:val="left" w:pos="1265"/>
          <w:tab w:val="left" w:pos="1266"/>
        </w:tabs>
        <w:spacing w:before="0" w:line="520" w:lineRule="exact"/>
        <w:ind w:left="0" w:firstLine="420" w:firstLineChars="200"/>
        <w:rPr>
          <w:color w:val="auto"/>
          <w:sz w:val="21"/>
          <w:szCs w:val="20"/>
          <w:highlight w:val="none"/>
          <w:u w:val="single"/>
          <w:lang w:val="en-US"/>
        </w:rPr>
      </w:pPr>
      <w:r>
        <w:rPr>
          <w:rFonts w:hint="eastAsia"/>
          <w:color w:val="auto"/>
          <w:sz w:val="21"/>
          <w:szCs w:val="20"/>
          <w:highlight w:val="none"/>
          <w:lang w:val="en-US"/>
        </w:rPr>
        <w:t>日期：</w:t>
      </w:r>
      <w:r>
        <w:rPr>
          <w:rFonts w:hint="eastAsia"/>
          <w:color w:val="auto"/>
          <w:sz w:val="21"/>
          <w:szCs w:val="20"/>
          <w:highlight w:val="none"/>
          <w:u w:val="single"/>
          <w:lang w:val="en-US"/>
        </w:rPr>
        <w:t xml:space="preserve">                                            </w:t>
      </w:r>
    </w:p>
    <w:p>
      <w:pPr>
        <w:pStyle w:val="15"/>
        <w:rPr>
          <w:color w:val="auto"/>
          <w:sz w:val="16"/>
          <w:szCs w:val="21"/>
          <w:highlight w:val="none"/>
        </w:rPr>
      </w:pPr>
    </w:p>
    <w:p>
      <w:pPr>
        <w:pStyle w:val="7"/>
        <w:spacing w:before="43"/>
        <w:ind w:left="363" w:right="434"/>
        <w:rPr>
          <w:rFonts w:ascii="宋体" w:hAnsi="宋体" w:eastAsia="宋体" w:cs="宋体"/>
          <w:color w:val="auto"/>
          <w:sz w:val="28"/>
          <w:szCs w:val="28"/>
          <w:highlight w:val="none"/>
        </w:rPr>
      </w:pPr>
      <w:r>
        <w:rPr>
          <w:rFonts w:hint="eastAsia" w:ascii="宋体" w:hAnsi="宋体" w:eastAsia="宋体" w:cs="宋体"/>
          <w:color w:val="auto"/>
          <w:sz w:val="18"/>
          <w:szCs w:val="20"/>
          <w:highlight w:val="none"/>
        </w:rPr>
        <w:br w:type="page"/>
      </w:r>
      <w:bookmarkStart w:id="86" w:name="_Toc1577"/>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rPr>
        <w:t xml:space="preserve"> 技术服务需求偏离表格式</w:t>
      </w:r>
      <w:bookmarkEnd w:id="86"/>
    </w:p>
    <w:p>
      <w:pPr>
        <w:pStyle w:val="15"/>
        <w:ind w:left="400"/>
        <w:jc w:val="center"/>
        <w:rPr>
          <w:b/>
          <w:bCs/>
          <w:color w:val="auto"/>
          <w:highlight w:val="none"/>
        </w:rPr>
      </w:pPr>
      <w:r>
        <w:rPr>
          <w:rFonts w:hint="eastAsia"/>
          <w:b/>
          <w:bCs/>
          <w:color w:val="auto"/>
          <w:highlight w:val="none"/>
        </w:rPr>
        <w:t>技术服务需求偏离表</w:t>
      </w:r>
    </w:p>
    <w:p>
      <w:pPr>
        <w:pStyle w:val="15"/>
        <w:ind w:left="400"/>
        <w:rPr>
          <w:color w:val="auto"/>
          <w:sz w:val="21"/>
          <w:szCs w:val="21"/>
          <w:highlight w:val="none"/>
        </w:rPr>
      </w:pPr>
      <w:r>
        <w:rPr>
          <w:rFonts w:hint="eastAsia"/>
          <w:color w:val="auto"/>
          <w:sz w:val="21"/>
          <w:szCs w:val="21"/>
          <w:highlight w:val="none"/>
        </w:rPr>
        <w:t>项目名称：</w:t>
      </w:r>
    </w:p>
    <w:p>
      <w:pPr>
        <w:pStyle w:val="15"/>
        <w:tabs>
          <w:tab w:val="left" w:pos="4961"/>
        </w:tabs>
        <w:spacing w:before="158"/>
        <w:ind w:left="400"/>
        <w:rPr>
          <w:color w:val="auto"/>
          <w:sz w:val="21"/>
          <w:szCs w:val="21"/>
          <w:highlight w:val="none"/>
        </w:rPr>
      </w:pPr>
      <w:r>
        <w:rPr>
          <w:rFonts w:hint="eastAsia"/>
          <w:color w:val="auto"/>
          <w:sz w:val="21"/>
          <w:szCs w:val="21"/>
          <w:highlight w:val="none"/>
        </w:rPr>
        <w:t>项目编号：</w:t>
      </w:r>
    </w:p>
    <w:p>
      <w:pPr>
        <w:pStyle w:val="15"/>
        <w:tabs>
          <w:tab w:val="left" w:pos="4961"/>
        </w:tabs>
        <w:spacing w:before="158"/>
        <w:ind w:left="40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rPr>
        <w:tab/>
      </w:r>
      <w:r>
        <w:rPr>
          <w:rFonts w:hint="eastAsia"/>
          <w:color w:val="auto"/>
          <w:sz w:val="21"/>
          <w:szCs w:val="21"/>
          <w:highlight w:val="none"/>
        </w:rPr>
        <w:t>标项名称：</w:t>
      </w:r>
    </w:p>
    <w:p>
      <w:pPr>
        <w:pStyle w:val="15"/>
        <w:spacing w:before="7"/>
        <w:rPr>
          <w:color w:val="auto"/>
          <w:sz w:val="10"/>
          <w:szCs w:val="21"/>
          <w:highlight w:val="none"/>
        </w:rPr>
      </w:pPr>
    </w:p>
    <w:tbl>
      <w:tblPr>
        <w:tblStyle w:val="29"/>
        <w:tblW w:w="943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35"/>
        <w:gridCol w:w="1558"/>
        <w:gridCol w:w="2258"/>
        <w:gridCol w:w="2892"/>
        <w:gridCol w:w="1608"/>
        <w:gridCol w:w="5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2" w:hRule="atLeast"/>
          <w:jc w:val="center"/>
        </w:trPr>
        <w:tc>
          <w:tcPr>
            <w:tcW w:w="535" w:type="dxa"/>
            <w:tcBorders>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558"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设备名称</w:t>
            </w:r>
          </w:p>
        </w:tc>
        <w:tc>
          <w:tcPr>
            <w:tcW w:w="2258"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招标文件需求要求</w:t>
            </w:r>
          </w:p>
        </w:tc>
        <w:tc>
          <w:tcPr>
            <w:tcW w:w="2892"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投标货物及服务的技术参数和性能</w:t>
            </w:r>
          </w:p>
        </w:tc>
        <w:tc>
          <w:tcPr>
            <w:tcW w:w="1608"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偏离说明</w:t>
            </w:r>
          </w:p>
        </w:tc>
        <w:tc>
          <w:tcPr>
            <w:tcW w:w="582" w:type="dxa"/>
            <w:tcBorders>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40"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【填写招标文件技术服务需求书要求的编号】</w:t>
            </w:r>
          </w:p>
        </w:tc>
        <w:tc>
          <w:tcPr>
            <w:tcW w:w="2258"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【填写招标文件的技术服务需求中该编号对应的 具体 要</w:t>
            </w:r>
          </w:p>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求】</w:t>
            </w:r>
          </w:p>
        </w:tc>
        <w:tc>
          <w:tcPr>
            <w:tcW w:w="2892"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【填写投标货物及服务对该要求的技术参数和性能响应】</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【填写：优于、满足或不满足，并可进一步进行说明】</w:t>
            </w: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jc w:val="center"/>
        </w:trPr>
        <w:tc>
          <w:tcPr>
            <w:tcW w:w="535" w:type="dxa"/>
            <w:tcBorders>
              <w:top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tcBorders>
            <w:vAlign w:val="center"/>
          </w:tcPr>
          <w:p>
            <w:pPr>
              <w:pStyle w:val="34"/>
              <w:jc w:val="center"/>
              <w:rPr>
                <w:rFonts w:ascii="宋体" w:hAnsi="宋体" w:eastAsia="宋体" w:cs="宋体"/>
                <w:color w:val="auto"/>
                <w:sz w:val="21"/>
                <w:szCs w:val="20"/>
                <w:highlight w:val="none"/>
              </w:rPr>
            </w:pPr>
          </w:p>
        </w:tc>
      </w:tr>
    </w:tbl>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15"/>
        <w:rPr>
          <w:color w:val="auto"/>
          <w:sz w:val="20"/>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rPr>
        <w:tab/>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1、要求投标人对招标文件中《采购需求》中“</w:t>
      </w:r>
      <w:r>
        <w:rPr>
          <w:rFonts w:hint="eastAsia" w:ascii="宋体" w:hAnsi="宋体" w:cs="宋体"/>
          <w:b/>
          <w:bCs/>
          <w:color w:val="auto"/>
          <w:sz w:val="21"/>
          <w:szCs w:val="21"/>
          <w:highlight w:val="none"/>
          <w:lang w:bidi="ar"/>
        </w:rPr>
        <w:t>主要技术参数</w:t>
      </w:r>
      <w:r>
        <w:rPr>
          <w:rFonts w:hint="eastAsia" w:ascii="宋体" w:hAnsi="宋体" w:cs="宋体"/>
          <w:color w:val="auto"/>
          <w:sz w:val="21"/>
          <w:szCs w:val="21"/>
          <w:highlight w:val="none"/>
        </w:rPr>
        <w:t>”进行逐条（项目背景介绍和采购需求一览表除外）应答。</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2、投标人应提供明确的说明文件及证明文件在投标文件中的页码索引。</w:t>
      </w:r>
    </w:p>
    <w:p>
      <w:pPr>
        <w:rPr>
          <w:color w:val="auto"/>
          <w:sz w:val="20"/>
          <w:szCs w:val="20"/>
          <w:highlight w:val="none"/>
        </w:rPr>
      </w:pPr>
      <w:r>
        <w:rPr>
          <w:rFonts w:hint="eastAsia"/>
          <w:color w:val="auto"/>
          <w:sz w:val="20"/>
          <w:szCs w:val="20"/>
          <w:highlight w:val="none"/>
        </w:rPr>
        <w:br w:type="page"/>
      </w:r>
    </w:p>
    <w:p>
      <w:pPr>
        <w:pStyle w:val="7"/>
        <w:spacing w:before="43"/>
        <w:ind w:left="363" w:right="435"/>
        <w:rPr>
          <w:rFonts w:ascii="宋体" w:hAnsi="宋体" w:eastAsia="宋体" w:cs="宋体"/>
          <w:color w:val="auto"/>
          <w:sz w:val="28"/>
          <w:szCs w:val="28"/>
          <w:highlight w:val="none"/>
        </w:rPr>
      </w:pPr>
      <w:bookmarkStart w:id="87" w:name="_bookmark112"/>
      <w:bookmarkEnd w:id="87"/>
      <w:bookmarkStart w:id="88" w:name="_Toc27637"/>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3</w:t>
      </w:r>
      <w:r>
        <w:rPr>
          <w:rFonts w:hint="eastAsia" w:ascii="宋体" w:hAnsi="宋体" w:eastAsia="宋体" w:cs="宋体"/>
          <w:color w:val="auto"/>
          <w:sz w:val="28"/>
          <w:szCs w:val="28"/>
          <w:highlight w:val="none"/>
        </w:rPr>
        <w:t xml:space="preserve"> 商务条款偏离表格式</w:t>
      </w:r>
      <w:bookmarkEnd w:id="88"/>
    </w:p>
    <w:p>
      <w:pPr>
        <w:pStyle w:val="15"/>
        <w:ind w:left="400"/>
        <w:jc w:val="center"/>
        <w:rPr>
          <w:b/>
          <w:bCs/>
          <w:color w:val="auto"/>
          <w:highlight w:val="none"/>
        </w:rPr>
      </w:pPr>
      <w:r>
        <w:rPr>
          <w:rFonts w:hint="eastAsia"/>
          <w:b/>
          <w:bCs/>
          <w:color w:val="auto"/>
          <w:highlight w:val="none"/>
        </w:rPr>
        <w:t>商务条款偏离表</w:t>
      </w:r>
    </w:p>
    <w:p>
      <w:pPr>
        <w:pStyle w:val="15"/>
        <w:ind w:left="400"/>
        <w:rPr>
          <w:color w:val="auto"/>
          <w:sz w:val="21"/>
          <w:szCs w:val="21"/>
          <w:highlight w:val="none"/>
        </w:rPr>
      </w:pPr>
      <w:r>
        <w:rPr>
          <w:rFonts w:hint="eastAsia"/>
          <w:color w:val="auto"/>
          <w:sz w:val="21"/>
          <w:szCs w:val="21"/>
          <w:highlight w:val="none"/>
        </w:rPr>
        <w:t>项目名称：</w:t>
      </w:r>
    </w:p>
    <w:p>
      <w:pPr>
        <w:pStyle w:val="15"/>
        <w:tabs>
          <w:tab w:val="left" w:pos="4961"/>
        </w:tabs>
        <w:spacing w:before="158"/>
        <w:ind w:left="400"/>
        <w:rPr>
          <w:color w:val="auto"/>
          <w:sz w:val="21"/>
          <w:szCs w:val="21"/>
          <w:highlight w:val="none"/>
        </w:rPr>
      </w:pPr>
      <w:r>
        <w:rPr>
          <w:rFonts w:hint="eastAsia"/>
          <w:color w:val="auto"/>
          <w:sz w:val="21"/>
          <w:szCs w:val="21"/>
          <w:highlight w:val="none"/>
        </w:rPr>
        <w:t>项目编号：</w:t>
      </w:r>
    </w:p>
    <w:p>
      <w:pPr>
        <w:pStyle w:val="15"/>
        <w:tabs>
          <w:tab w:val="left" w:pos="4961"/>
        </w:tabs>
        <w:spacing w:before="158"/>
        <w:ind w:left="40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rPr>
        <w:tab/>
      </w:r>
      <w:r>
        <w:rPr>
          <w:rFonts w:hint="eastAsia"/>
          <w:color w:val="auto"/>
          <w:sz w:val="21"/>
          <w:szCs w:val="21"/>
          <w:highlight w:val="none"/>
        </w:rPr>
        <w:t>标项名称：</w:t>
      </w:r>
    </w:p>
    <w:p>
      <w:pPr>
        <w:pStyle w:val="15"/>
        <w:spacing w:before="7"/>
        <w:rPr>
          <w:color w:val="auto"/>
          <w:sz w:val="10"/>
          <w:szCs w:val="21"/>
          <w:highlight w:val="none"/>
        </w:rPr>
      </w:pPr>
    </w:p>
    <w:tbl>
      <w:tblPr>
        <w:tblStyle w:val="29"/>
        <w:tblW w:w="944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921"/>
        <w:gridCol w:w="2401"/>
        <w:gridCol w:w="2471"/>
        <w:gridCol w:w="19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921"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招标文件条目号</w:t>
            </w:r>
          </w:p>
        </w:tc>
        <w:tc>
          <w:tcPr>
            <w:tcW w:w="2401"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招标文件的商务条款</w:t>
            </w:r>
          </w:p>
        </w:tc>
        <w:tc>
          <w:tcPr>
            <w:tcW w:w="2471"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投标文件的商务条款</w:t>
            </w:r>
          </w:p>
        </w:tc>
        <w:tc>
          <w:tcPr>
            <w:tcW w:w="1944" w:type="dxa"/>
            <w:tcBorders>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06"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【填写招标文件技术服务需求书要求的编号】</w:t>
            </w:r>
          </w:p>
        </w:tc>
        <w:tc>
          <w:tcPr>
            <w:tcW w:w="2401"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【填写招标文件的拟签订的合同文本中该编号具体要求】</w:t>
            </w:r>
          </w:p>
        </w:tc>
        <w:tc>
          <w:tcPr>
            <w:tcW w:w="2471"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【填写投标人对该要求的响应】</w:t>
            </w: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【填写：优于、满足或不满足，并可进一步进行 偏离 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4"/>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jc w:val="center"/>
        </w:trPr>
        <w:tc>
          <w:tcPr>
            <w:tcW w:w="708" w:type="dxa"/>
            <w:tcBorders>
              <w:top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right w:val="single" w:color="000000" w:sz="4" w:space="0"/>
            </w:tcBorders>
            <w:vAlign w:val="center"/>
          </w:tcPr>
          <w:p>
            <w:pPr>
              <w:pStyle w:val="34"/>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tcBorders>
            <w:vAlign w:val="center"/>
          </w:tcPr>
          <w:p>
            <w:pPr>
              <w:pStyle w:val="34"/>
              <w:jc w:val="center"/>
              <w:rPr>
                <w:rFonts w:ascii="宋体" w:hAnsi="宋体" w:eastAsia="宋体" w:cs="宋体"/>
                <w:color w:val="auto"/>
                <w:sz w:val="21"/>
                <w:szCs w:val="20"/>
                <w:highlight w:val="none"/>
              </w:rPr>
            </w:pPr>
          </w:p>
        </w:tc>
      </w:tr>
    </w:tbl>
    <w:p>
      <w:pPr>
        <w:pStyle w:val="15"/>
        <w:rPr>
          <w:color w:val="auto"/>
          <w:sz w:val="21"/>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15"/>
        <w:spacing w:before="10"/>
        <w:rPr>
          <w:color w:val="auto"/>
          <w:sz w:val="22"/>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rPr>
        <w:tab/>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1、投标人如果对招标文件第五章“拟签订的合同文本”中的合同条款的响应有任何偏离，请在本表中详细列明填写；满足的合同条款不必列出。</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2、除以上“偏离说明”栏中列明的“不满足”或“优于”项外，视为投标人无条件满足并接受招标文件规定的所有其他商务条款。</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3、如不列出，视为投标人无条件满足并接受招标文件规定的所有商务条款。</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4、如无偏离，则填写“商务条款无偏离”。</w:t>
      </w:r>
    </w:p>
    <w:p>
      <w:pPr>
        <w:rPr>
          <w:color w:val="auto"/>
          <w:sz w:val="20"/>
          <w:szCs w:val="20"/>
          <w:highlight w:val="none"/>
        </w:rPr>
      </w:pPr>
      <w:r>
        <w:rPr>
          <w:rFonts w:hint="eastAsia"/>
          <w:color w:val="auto"/>
          <w:sz w:val="20"/>
          <w:szCs w:val="20"/>
          <w:highlight w:val="none"/>
        </w:rPr>
        <w:br w:type="page"/>
      </w:r>
    </w:p>
    <w:p>
      <w:pPr>
        <w:pStyle w:val="7"/>
        <w:spacing w:before="43"/>
        <w:ind w:left="363" w:right="436"/>
        <w:rPr>
          <w:rFonts w:ascii="宋体" w:hAnsi="宋体" w:eastAsia="宋体" w:cs="宋体"/>
          <w:color w:val="auto"/>
          <w:sz w:val="28"/>
          <w:szCs w:val="28"/>
          <w:highlight w:val="none"/>
        </w:rPr>
      </w:pPr>
      <w:bookmarkStart w:id="89" w:name="_bookmark113"/>
      <w:bookmarkEnd w:id="89"/>
      <w:bookmarkStart w:id="90" w:name="_Toc682"/>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4</w:t>
      </w:r>
      <w:r>
        <w:rPr>
          <w:rFonts w:hint="eastAsia" w:ascii="宋体" w:hAnsi="宋体" w:eastAsia="宋体" w:cs="宋体"/>
          <w:color w:val="auto"/>
          <w:sz w:val="28"/>
          <w:szCs w:val="28"/>
          <w:highlight w:val="none"/>
        </w:rPr>
        <w:t xml:space="preserve"> 法定代表人授权书格式</w:t>
      </w:r>
      <w:bookmarkEnd w:id="90"/>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【投标人为无法定代表人的其他团体组织等时，法定代表人则系指其负责人。法定代表人（或负责人）签字、盖手签章或盖姓名章均为有效法定代表人签署。】</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【投标人须知前附表加注“★”的投标文件构成部分其他文件均由法定代表人在相应位置直接签署时，无需提供法定代表人授权书，但应提供法定代表人身份证明复印件】</w:t>
      </w:r>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法定代表人授权书</w:t>
      </w:r>
    </w:p>
    <w:p>
      <w:pPr>
        <w:pStyle w:val="15"/>
        <w:spacing w:before="6"/>
        <w:rPr>
          <w:b/>
          <w:color w:val="auto"/>
          <w:sz w:val="22"/>
          <w:szCs w:val="21"/>
          <w:highlight w:val="none"/>
        </w:rPr>
      </w:pPr>
    </w:p>
    <w:p>
      <w:pPr>
        <w:pStyle w:val="15"/>
        <w:spacing w:line="560" w:lineRule="exact"/>
        <w:ind w:firstLine="420" w:firstLineChars="200"/>
        <w:rPr>
          <w:color w:val="auto"/>
          <w:sz w:val="21"/>
          <w:szCs w:val="21"/>
          <w:highlight w:val="none"/>
        </w:rPr>
      </w:pPr>
      <w:r>
        <w:rPr>
          <w:rFonts w:hint="eastAsia"/>
          <w:color w:val="auto"/>
          <w:sz w:val="21"/>
          <w:szCs w:val="21"/>
          <w:highlight w:val="none"/>
        </w:rPr>
        <w:t>致</w:t>
      </w:r>
      <w:r>
        <w:rPr>
          <w:rFonts w:hint="eastAsia"/>
          <w:color w:val="auto"/>
          <w:sz w:val="21"/>
          <w:szCs w:val="21"/>
          <w:highlight w:val="none"/>
          <w:u w:val="single"/>
        </w:rPr>
        <w:t>【采购代理机构】</w:t>
      </w:r>
      <w:r>
        <w:rPr>
          <w:rFonts w:hint="eastAsia"/>
          <w:color w:val="auto"/>
          <w:sz w:val="21"/>
          <w:szCs w:val="21"/>
          <w:highlight w:val="none"/>
        </w:rPr>
        <w:t>：</w:t>
      </w:r>
    </w:p>
    <w:p>
      <w:pPr>
        <w:pStyle w:val="15"/>
        <w:spacing w:line="560" w:lineRule="exact"/>
        <w:ind w:firstLine="420" w:firstLineChars="200"/>
        <w:jc w:val="both"/>
        <w:rPr>
          <w:color w:val="auto"/>
          <w:sz w:val="21"/>
          <w:szCs w:val="21"/>
          <w:highlight w:val="none"/>
        </w:rPr>
      </w:pPr>
      <w:r>
        <w:rPr>
          <w:rFonts w:hint="eastAsia"/>
          <w:color w:val="auto"/>
          <w:sz w:val="21"/>
          <w:szCs w:val="21"/>
          <w:highlight w:val="none"/>
        </w:rPr>
        <w:t>本授权书声明：注册于</w:t>
      </w:r>
      <w:r>
        <w:rPr>
          <w:rFonts w:hint="eastAsia"/>
          <w:color w:val="auto"/>
          <w:sz w:val="21"/>
          <w:szCs w:val="21"/>
          <w:highlight w:val="none"/>
          <w:u w:val="single"/>
        </w:rPr>
        <w:t xml:space="preserve">  【注册地址】 </w:t>
      </w:r>
      <w:r>
        <w:rPr>
          <w:rFonts w:hint="eastAsia"/>
          <w:color w:val="auto"/>
          <w:sz w:val="21"/>
          <w:szCs w:val="21"/>
          <w:highlight w:val="none"/>
        </w:rPr>
        <w:t>的</w:t>
      </w:r>
      <w:r>
        <w:rPr>
          <w:rFonts w:hint="eastAsia"/>
          <w:color w:val="auto"/>
          <w:sz w:val="21"/>
          <w:szCs w:val="21"/>
          <w:highlight w:val="none"/>
          <w:u w:val="single"/>
        </w:rPr>
        <w:t xml:space="preserve"> 【某某公司或某某单位】</w:t>
      </w:r>
      <w:r>
        <w:rPr>
          <w:rFonts w:hint="eastAsia"/>
          <w:color w:val="auto"/>
          <w:sz w:val="21"/>
          <w:szCs w:val="21"/>
          <w:highlight w:val="none"/>
        </w:rPr>
        <w:t xml:space="preserve"> 的在下面签字的</w:t>
      </w:r>
      <w:r>
        <w:rPr>
          <w:rFonts w:hint="eastAsia"/>
          <w:color w:val="auto"/>
          <w:sz w:val="21"/>
          <w:szCs w:val="21"/>
          <w:highlight w:val="none"/>
          <w:u w:val="single"/>
        </w:rPr>
        <w:t xml:space="preserve">  【法定代表人或负责人姓名、职务】 </w:t>
      </w:r>
      <w:r>
        <w:rPr>
          <w:rFonts w:hint="eastAsia"/>
          <w:color w:val="auto"/>
          <w:sz w:val="21"/>
          <w:szCs w:val="21"/>
          <w:highlight w:val="none"/>
        </w:rPr>
        <w:t>代表本公司授权在下面签字的</w:t>
      </w:r>
      <w:r>
        <w:rPr>
          <w:rFonts w:hint="eastAsia"/>
          <w:color w:val="auto"/>
          <w:sz w:val="21"/>
          <w:szCs w:val="21"/>
          <w:highlight w:val="none"/>
          <w:u w:val="single"/>
        </w:rPr>
        <w:t>【被授权人的姓名、职务】</w:t>
      </w:r>
      <w:r>
        <w:rPr>
          <w:rFonts w:hint="eastAsia"/>
          <w:color w:val="auto"/>
          <w:sz w:val="21"/>
          <w:szCs w:val="21"/>
          <w:highlight w:val="none"/>
        </w:rPr>
        <w:t xml:space="preserve"> 为本公司的合法代理人，就</w:t>
      </w:r>
      <w:r>
        <w:rPr>
          <w:rFonts w:hint="eastAsia"/>
          <w:color w:val="auto"/>
          <w:sz w:val="21"/>
          <w:szCs w:val="21"/>
          <w:highlight w:val="none"/>
          <w:u w:val="single"/>
        </w:rPr>
        <w:t xml:space="preserve"> 【项目名称】</w:t>
      </w:r>
      <w:r>
        <w:rPr>
          <w:rFonts w:hint="eastAsia"/>
          <w:color w:val="auto"/>
          <w:sz w:val="21"/>
          <w:szCs w:val="21"/>
          <w:highlight w:val="none"/>
        </w:rPr>
        <w:t xml:space="preserve"> 的投标及合同的执行，以本公司名义处理一切与之有关的事务。</w:t>
      </w:r>
    </w:p>
    <w:p>
      <w:pPr>
        <w:pStyle w:val="15"/>
        <w:tabs>
          <w:tab w:val="left" w:pos="2620"/>
          <w:tab w:val="left" w:pos="3460"/>
          <w:tab w:val="left" w:pos="4300"/>
        </w:tabs>
        <w:spacing w:line="560" w:lineRule="exact"/>
        <w:ind w:firstLine="420" w:firstLineChars="200"/>
        <w:rPr>
          <w:color w:val="auto"/>
          <w:sz w:val="21"/>
          <w:szCs w:val="21"/>
          <w:highlight w:val="none"/>
        </w:rPr>
      </w:pPr>
      <w:r>
        <w:rPr>
          <w:rFonts w:hint="eastAsia"/>
          <w:color w:val="auto"/>
          <w:sz w:val="21"/>
          <w:szCs w:val="21"/>
          <w:highlight w:val="none"/>
        </w:rPr>
        <w:t>本授权书于</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日签字生效，特此声明。</w:t>
      </w:r>
    </w:p>
    <w:p>
      <w:pPr>
        <w:pStyle w:val="15"/>
        <w:spacing w:line="560" w:lineRule="exact"/>
        <w:ind w:firstLine="320" w:firstLineChars="200"/>
        <w:rPr>
          <w:color w:val="auto"/>
          <w:sz w:val="16"/>
          <w:szCs w:val="21"/>
          <w:highlight w:val="none"/>
        </w:rPr>
      </w:pPr>
    </w:p>
    <w:p>
      <w:pPr>
        <w:pStyle w:val="15"/>
        <w:tabs>
          <w:tab w:val="left" w:pos="4956"/>
        </w:tabs>
        <w:spacing w:line="560" w:lineRule="exact"/>
        <w:ind w:firstLine="420" w:firstLineChars="200"/>
        <w:rPr>
          <w:color w:val="auto"/>
          <w:sz w:val="21"/>
          <w:szCs w:val="21"/>
          <w:highlight w:val="none"/>
        </w:rPr>
      </w:pPr>
      <w:r>
        <w:rPr>
          <w:rFonts w:hint="eastAsia"/>
          <w:color w:val="auto"/>
          <w:sz w:val="21"/>
          <w:szCs w:val="21"/>
          <w:highlight w:val="none"/>
        </w:rPr>
        <w:t>法定代表人签署：</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5436"/>
        </w:tabs>
        <w:spacing w:line="560" w:lineRule="exact"/>
        <w:ind w:firstLine="420" w:firstLineChars="200"/>
        <w:rPr>
          <w:color w:val="auto"/>
          <w:sz w:val="21"/>
          <w:szCs w:val="21"/>
          <w:highlight w:val="none"/>
        </w:rPr>
      </w:pPr>
      <w:r>
        <w:rPr>
          <w:rFonts w:hint="eastAsia"/>
          <w:color w:val="auto"/>
          <w:sz w:val="21"/>
          <w:szCs w:val="21"/>
          <w:highlight w:val="none"/>
        </w:rPr>
        <w:t>代理人（被授权人）签字：</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5436"/>
          <w:tab w:val="left" w:pos="6396"/>
        </w:tabs>
        <w:spacing w:line="560" w:lineRule="exact"/>
        <w:ind w:firstLine="420" w:firstLineChars="200"/>
        <w:rPr>
          <w:color w:val="auto"/>
          <w:sz w:val="21"/>
          <w:szCs w:val="21"/>
          <w:highlight w:val="none"/>
        </w:rPr>
      </w:pPr>
      <w:r>
        <w:rPr>
          <w:rFonts w:hint="eastAsia"/>
          <w:color w:val="auto"/>
          <w:sz w:val="21"/>
          <w:szCs w:val="21"/>
          <w:highlight w:val="none"/>
        </w:rPr>
        <w:t>代理人职务：</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单位名称（公章）：</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spacing w:line="560" w:lineRule="exact"/>
        <w:ind w:firstLine="420" w:firstLineChars="200"/>
        <w:rPr>
          <w:color w:val="auto"/>
          <w:sz w:val="21"/>
          <w:szCs w:val="21"/>
          <w:highlight w:val="none"/>
        </w:rPr>
      </w:pPr>
      <w:r>
        <w:rPr>
          <w:rFonts w:hint="eastAsia"/>
          <w:color w:val="auto"/>
          <w:sz w:val="21"/>
          <w:szCs w:val="21"/>
          <w:highlight w:val="none"/>
        </w:rPr>
        <w:t>附： 法定代表人（或负责人）身份证复印件</w:t>
      </w:r>
    </w:p>
    <w:p>
      <w:pPr>
        <w:pStyle w:val="15"/>
        <w:spacing w:before="4"/>
        <w:rPr>
          <w:color w:val="auto"/>
          <w:sz w:val="10"/>
          <w:szCs w:val="21"/>
          <w:highlight w:val="none"/>
        </w:rPr>
      </w:pPr>
    </w:p>
    <w:tbl>
      <w:tblPr>
        <w:tblStyle w:val="29"/>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4460" w:type="dxa"/>
          </w:tcPr>
          <w:p>
            <w:pPr>
              <w:pStyle w:val="15"/>
              <w:spacing w:line="560" w:lineRule="exact"/>
              <w:jc w:val="center"/>
              <w:rPr>
                <w:color w:val="auto"/>
                <w:sz w:val="21"/>
                <w:szCs w:val="21"/>
                <w:highlight w:val="none"/>
              </w:rPr>
            </w:pPr>
            <w:r>
              <w:rPr>
                <w:rFonts w:hint="eastAsia"/>
                <w:color w:val="auto"/>
                <w:sz w:val="21"/>
                <w:szCs w:val="21"/>
                <w:highlight w:val="none"/>
              </w:rPr>
              <w:t>【法定代表人居民身份证复印件粘贴处】</w:t>
            </w:r>
          </w:p>
          <w:p>
            <w:pPr>
              <w:pStyle w:val="15"/>
              <w:spacing w:line="560" w:lineRule="exact"/>
              <w:jc w:val="center"/>
              <w:rPr>
                <w:color w:val="auto"/>
                <w:sz w:val="21"/>
                <w:szCs w:val="21"/>
                <w:highlight w:val="none"/>
              </w:rPr>
            </w:pPr>
          </w:p>
          <w:p>
            <w:pPr>
              <w:pStyle w:val="15"/>
              <w:spacing w:line="560" w:lineRule="exact"/>
              <w:jc w:val="center"/>
              <w:rPr>
                <w:color w:val="auto"/>
                <w:sz w:val="21"/>
                <w:szCs w:val="21"/>
                <w:highlight w:val="none"/>
              </w:rPr>
            </w:pPr>
            <w:r>
              <w:rPr>
                <w:rFonts w:hint="eastAsia"/>
                <w:color w:val="auto"/>
                <w:sz w:val="21"/>
                <w:szCs w:val="21"/>
                <w:highlight w:val="none"/>
              </w:rPr>
              <w:t>【正面】</w:t>
            </w:r>
          </w:p>
        </w:tc>
        <w:tc>
          <w:tcPr>
            <w:tcW w:w="4460" w:type="dxa"/>
          </w:tcPr>
          <w:p>
            <w:pPr>
              <w:pStyle w:val="15"/>
              <w:spacing w:line="560" w:lineRule="exact"/>
              <w:jc w:val="center"/>
              <w:rPr>
                <w:color w:val="auto"/>
                <w:sz w:val="21"/>
                <w:szCs w:val="21"/>
                <w:highlight w:val="none"/>
              </w:rPr>
            </w:pPr>
            <w:r>
              <w:rPr>
                <w:rFonts w:hint="eastAsia"/>
                <w:color w:val="auto"/>
                <w:sz w:val="21"/>
                <w:szCs w:val="21"/>
                <w:highlight w:val="none"/>
              </w:rPr>
              <w:t>【法定代表人居民身份证复印件粘贴处】</w:t>
            </w:r>
          </w:p>
          <w:p>
            <w:pPr>
              <w:pStyle w:val="15"/>
              <w:spacing w:line="560" w:lineRule="exact"/>
              <w:jc w:val="center"/>
              <w:rPr>
                <w:color w:val="auto"/>
                <w:sz w:val="21"/>
                <w:szCs w:val="21"/>
                <w:highlight w:val="none"/>
              </w:rPr>
            </w:pPr>
          </w:p>
          <w:p>
            <w:pPr>
              <w:pStyle w:val="15"/>
              <w:spacing w:line="560" w:lineRule="exact"/>
              <w:jc w:val="center"/>
              <w:rPr>
                <w:color w:val="auto"/>
                <w:sz w:val="21"/>
                <w:szCs w:val="21"/>
                <w:highlight w:val="none"/>
              </w:rPr>
            </w:pPr>
            <w:r>
              <w:rPr>
                <w:rFonts w:hint="eastAsia"/>
                <w:color w:val="auto"/>
                <w:sz w:val="21"/>
                <w:szCs w:val="21"/>
                <w:highlight w:val="none"/>
              </w:rPr>
              <w:t>【反面】</w:t>
            </w:r>
          </w:p>
        </w:tc>
      </w:tr>
    </w:tbl>
    <w:p>
      <w:pPr>
        <w:pStyle w:val="15"/>
        <w:spacing w:line="560" w:lineRule="exact"/>
        <w:ind w:firstLine="420" w:firstLineChars="200"/>
        <w:rPr>
          <w:color w:val="auto"/>
          <w:sz w:val="21"/>
          <w:szCs w:val="21"/>
          <w:highlight w:val="none"/>
        </w:rPr>
      </w:pPr>
      <w:r>
        <w:rPr>
          <w:rFonts w:hint="eastAsia"/>
          <w:color w:val="auto"/>
          <w:sz w:val="21"/>
          <w:szCs w:val="21"/>
          <w:highlight w:val="none"/>
        </w:rPr>
        <w:t>被授权人身份证复印件</w:t>
      </w:r>
    </w:p>
    <w:p>
      <w:pPr>
        <w:pStyle w:val="15"/>
        <w:spacing w:before="3"/>
        <w:rPr>
          <w:color w:val="auto"/>
          <w:sz w:val="2"/>
          <w:szCs w:val="21"/>
          <w:highlight w:val="none"/>
        </w:rPr>
      </w:pPr>
    </w:p>
    <w:tbl>
      <w:tblPr>
        <w:tblStyle w:val="29"/>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4460" w:type="dxa"/>
          </w:tcPr>
          <w:p>
            <w:pPr>
              <w:pStyle w:val="34"/>
              <w:spacing w:before="2" w:line="304" w:lineRule="auto"/>
              <w:ind w:right="50"/>
              <w:jc w:val="center"/>
              <w:rPr>
                <w:rFonts w:ascii="宋体" w:hAnsi="宋体" w:eastAsia="宋体" w:cs="宋体"/>
                <w:color w:val="auto"/>
                <w:sz w:val="24"/>
                <w:szCs w:val="20"/>
                <w:highlight w:val="none"/>
              </w:rPr>
            </w:pPr>
            <w:r>
              <w:rPr>
                <w:rFonts w:hint="eastAsia" w:ascii="宋体" w:hAnsi="宋体" w:eastAsia="宋体" w:cs="宋体"/>
                <w:color w:val="auto"/>
                <w:sz w:val="21"/>
                <w:szCs w:val="20"/>
                <w:highlight w:val="none"/>
              </w:rPr>
              <w:t>【被授权人（授权代表） 居民身份证复印件粘贴处】</w:t>
            </w:r>
          </w:p>
          <w:p>
            <w:pPr>
              <w:pStyle w:val="34"/>
              <w:ind w:right="518"/>
              <w:jc w:val="center"/>
              <w:rPr>
                <w:rFonts w:ascii="宋体" w:hAnsi="宋体" w:eastAsia="宋体" w:cs="宋体"/>
                <w:color w:val="auto"/>
                <w:sz w:val="21"/>
                <w:szCs w:val="20"/>
                <w:highlight w:val="none"/>
              </w:rPr>
            </w:pPr>
          </w:p>
          <w:p>
            <w:pPr>
              <w:pStyle w:val="34"/>
              <w:ind w:right="518"/>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【正面】</w:t>
            </w:r>
          </w:p>
        </w:tc>
        <w:tc>
          <w:tcPr>
            <w:tcW w:w="4460" w:type="dxa"/>
          </w:tcPr>
          <w:p>
            <w:pPr>
              <w:pStyle w:val="34"/>
              <w:spacing w:before="2" w:line="304" w:lineRule="auto"/>
              <w:ind w:right="5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【被授权人（授权代表） 居民身份证复印件粘贴处】</w:t>
            </w:r>
          </w:p>
          <w:p>
            <w:pPr>
              <w:pStyle w:val="34"/>
              <w:spacing w:before="3"/>
              <w:jc w:val="center"/>
              <w:rPr>
                <w:rFonts w:ascii="宋体" w:hAnsi="宋体" w:eastAsia="宋体" w:cs="宋体"/>
                <w:color w:val="auto"/>
                <w:sz w:val="24"/>
                <w:szCs w:val="20"/>
                <w:highlight w:val="none"/>
              </w:rPr>
            </w:pPr>
          </w:p>
          <w:p>
            <w:pPr>
              <w:pStyle w:val="34"/>
              <w:ind w:right="52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【反面】</w:t>
            </w:r>
          </w:p>
        </w:tc>
      </w:tr>
    </w:tbl>
    <w:p>
      <w:pPr>
        <w:rPr>
          <w:color w:val="auto"/>
          <w:sz w:val="21"/>
          <w:szCs w:val="20"/>
          <w:highlight w:val="none"/>
        </w:rPr>
      </w:pPr>
      <w:r>
        <w:rPr>
          <w:rFonts w:hint="eastAsia"/>
          <w:color w:val="auto"/>
          <w:sz w:val="21"/>
          <w:szCs w:val="20"/>
          <w:highlight w:val="none"/>
        </w:rPr>
        <w:br w:type="page"/>
      </w:r>
    </w:p>
    <w:p>
      <w:pPr>
        <w:pStyle w:val="7"/>
        <w:spacing w:before="43"/>
        <w:ind w:left="363" w:right="436"/>
        <w:rPr>
          <w:rFonts w:ascii="宋体" w:hAnsi="宋体" w:eastAsia="宋体" w:cs="宋体"/>
          <w:color w:val="auto"/>
          <w:sz w:val="28"/>
          <w:szCs w:val="28"/>
          <w:highlight w:val="none"/>
          <w:lang w:val="en-US"/>
        </w:rPr>
      </w:pPr>
      <w:bookmarkStart w:id="91" w:name="_bookmark114"/>
      <w:bookmarkEnd w:id="91"/>
      <w:bookmarkStart w:id="92" w:name="_Toc1324"/>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5</w:t>
      </w:r>
      <w:r>
        <w:rPr>
          <w:rFonts w:hint="eastAsia" w:ascii="宋体" w:hAnsi="宋体" w:eastAsia="宋体" w:cs="宋体"/>
          <w:color w:val="auto"/>
          <w:sz w:val="28"/>
          <w:szCs w:val="28"/>
          <w:highlight w:val="none"/>
        </w:rPr>
        <w:t xml:space="preserve"> 投标保证金承诺函格式</w:t>
      </w:r>
      <w:r>
        <w:rPr>
          <w:rFonts w:hint="eastAsia" w:ascii="宋体" w:hAnsi="宋体" w:eastAsia="宋体" w:cs="宋体"/>
          <w:color w:val="auto"/>
          <w:sz w:val="28"/>
          <w:szCs w:val="28"/>
          <w:highlight w:val="none"/>
          <w:lang w:val="en-US"/>
        </w:rPr>
        <w:t>和退还保证金说明函</w:t>
      </w:r>
      <w:bookmarkEnd w:id="92"/>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投标保证金承诺函</w:t>
      </w:r>
    </w:p>
    <w:p>
      <w:pPr>
        <w:pStyle w:val="15"/>
        <w:spacing w:before="8"/>
        <w:rPr>
          <w:b/>
          <w:color w:val="auto"/>
          <w:sz w:val="28"/>
          <w:szCs w:val="21"/>
          <w:highlight w:val="none"/>
        </w:rPr>
      </w:pPr>
    </w:p>
    <w:p>
      <w:pPr>
        <w:adjustRightInd w:val="0"/>
        <w:spacing w:before="154" w:line="480" w:lineRule="exact"/>
        <w:ind w:left="118"/>
        <w:rPr>
          <w:b/>
          <w:color w:val="auto"/>
          <w:sz w:val="21"/>
          <w:szCs w:val="21"/>
          <w:highlight w:val="none"/>
          <w:lang w:val="en-US" w:bidi="ar-SA"/>
        </w:rPr>
      </w:pPr>
      <w:r>
        <w:rPr>
          <w:rFonts w:hint="eastAsia"/>
          <w:b/>
          <w:color w:val="auto"/>
          <w:sz w:val="21"/>
          <w:szCs w:val="21"/>
          <w:highlight w:val="none"/>
          <w:lang w:val="en-US" w:bidi="ar-SA"/>
        </w:rPr>
        <w:t>致：</w:t>
      </w:r>
      <w:r>
        <w:rPr>
          <w:rFonts w:hint="eastAsia"/>
          <w:color w:val="auto"/>
          <w:sz w:val="20"/>
          <w:szCs w:val="20"/>
          <w:highlight w:val="none"/>
          <w:u w:val="single"/>
        </w:rPr>
        <w:t>【采购代理机构】</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我方于</w:t>
      </w:r>
      <w:r>
        <w:rPr>
          <w:rFonts w:hint="eastAsia"/>
          <w:color w:val="auto"/>
          <w:sz w:val="21"/>
          <w:szCs w:val="21"/>
          <w:highlight w:val="none"/>
          <w:lang w:val="en-US" w:bidi="ar-SA"/>
        </w:rPr>
        <w:tab/>
      </w:r>
      <w:r>
        <w:rPr>
          <w:rFonts w:hint="eastAsia"/>
          <w:color w:val="auto"/>
          <w:sz w:val="21"/>
          <w:szCs w:val="21"/>
          <w:highlight w:val="none"/>
          <w:lang w:val="en-US" w:bidi="ar-SA"/>
        </w:rPr>
        <w:t>年</w:t>
      </w:r>
      <w:r>
        <w:rPr>
          <w:rFonts w:hint="eastAsia"/>
          <w:color w:val="auto"/>
          <w:sz w:val="21"/>
          <w:szCs w:val="21"/>
          <w:highlight w:val="none"/>
          <w:u w:val="single"/>
          <w:lang w:val="en-US" w:bidi="ar-SA"/>
        </w:rPr>
        <w:tab/>
      </w:r>
      <w:r>
        <w:rPr>
          <w:rFonts w:hint="eastAsia"/>
          <w:color w:val="auto"/>
          <w:sz w:val="21"/>
          <w:szCs w:val="21"/>
          <w:highlight w:val="none"/>
          <w:lang w:val="en-US" w:bidi="ar-SA"/>
        </w:rPr>
        <w:t>月</w:t>
      </w:r>
      <w:r>
        <w:rPr>
          <w:rFonts w:hint="eastAsia"/>
          <w:color w:val="auto"/>
          <w:sz w:val="21"/>
          <w:szCs w:val="21"/>
          <w:highlight w:val="none"/>
          <w:u w:val="single"/>
          <w:lang w:val="en-US" w:bidi="ar-SA"/>
        </w:rPr>
        <w:tab/>
      </w:r>
      <w:r>
        <w:rPr>
          <w:rFonts w:hint="eastAsia"/>
          <w:color w:val="auto"/>
          <w:sz w:val="21"/>
          <w:szCs w:val="21"/>
          <w:highlight w:val="none"/>
          <w:lang w:val="en-US" w:bidi="ar-SA"/>
        </w:rPr>
        <w:t>日参加</w:t>
      </w:r>
      <w:r>
        <w:rPr>
          <w:rFonts w:hint="eastAsia"/>
          <w:color w:val="auto"/>
          <w:sz w:val="21"/>
          <w:szCs w:val="21"/>
          <w:highlight w:val="none"/>
          <w:u w:val="single"/>
          <w:lang w:val="en-US" w:bidi="ar-SA"/>
        </w:rPr>
        <w:tab/>
      </w:r>
      <w:r>
        <w:rPr>
          <w:rFonts w:hint="eastAsia"/>
          <w:color w:val="auto"/>
          <w:sz w:val="21"/>
          <w:szCs w:val="21"/>
          <w:highlight w:val="none"/>
          <w:u w:val="single"/>
          <w:lang w:val="en-US" w:bidi="ar-SA"/>
        </w:rPr>
        <w:t>（项目名称）</w:t>
      </w:r>
      <w:r>
        <w:rPr>
          <w:rFonts w:hint="eastAsia"/>
          <w:color w:val="auto"/>
          <w:sz w:val="21"/>
          <w:szCs w:val="21"/>
          <w:highlight w:val="none"/>
          <w:lang w:val="en-US" w:bidi="ar-SA"/>
        </w:rPr>
        <w:t>的投标，现保证：我方在规定的投标有效期内撤销或修改投标文件的，或者在收到中标通知书后无正当理由拒签合同或拒交规定履约担保的，投标保证金不予退还。</w:t>
      </w:r>
    </w:p>
    <w:p>
      <w:pPr>
        <w:adjustRightInd w:val="0"/>
        <w:spacing w:line="480" w:lineRule="exact"/>
        <w:ind w:left="118"/>
        <w:rPr>
          <w:b/>
          <w:color w:val="auto"/>
          <w:sz w:val="21"/>
          <w:szCs w:val="21"/>
          <w:highlight w:val="none"/>
          <w:lang w:val="en-US" w:bidi="ar-SA"/>
        </w:rPr>
      </w:pPr>
    </w:p>
    <w:p>
      <w:pPr>
        <w:adjustRightInd w:val="0"/>
        <w:spacing w:line="480" w:lineRule="exact"/>
        <w:ind w:left="118"/>
        <w:rPr>
          <w:b/>
          <w:color w:val="auto"/>
          <w:sz w:val="21"/>
          <w:szCs w:val="21"/>
          <w:highlight w:val="none"/>
          <w:lang w:val="en-US" w:bidi="ar-SA"/>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adjustRightInd w:val="0"/>
        <w:spacing w:before="154" w:line="480" w:lineRule="exact"/>
        <w:jc w:val="center"/>
        <w:rPr>
          <w:b/>
          <w:color w:val="auto"/>
          <w:sz w:val="21"/>
          <w:szCs w:val="21"/>
          <w:highlight w:val="none"/>
          <w:lang w:val="en-US" w:bidi="ar-SA"/>
        </w:rPr>
      </w:pPr>
      <w:r>
        <w:rPr>
          <w:rFonts w:hint="eastAsia"/>
          <w:b/>
          <w:color w:val="auto"/>
          <w:sz w:val="21"/>
          <w:szCs w:val="21"/>
          <w:highlight w:val="none"/>
          <w:lang w:val="en-US" w:bidi="ar-SA"/>
        </w:rPr>
        <w:t>缴费回单（复印件应附在投标文件中）</w:t>
      </w:r>
    </w:p>
    <w:p>
      <w:pPr>
        <w:adjustRightInd w:val="0"/>
        <w:spacing w:before="154" w:line="480" w:lineRule="exact"/>
        <w:rPr>
          <w:b/>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pStyle w:val="37"/>
        <w:spacing w:line="400" w:lineRule="exact"/>
        <w:ind w:left="440" w:leftChars="200"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★备注：投标保证金缴费回单复印件加盖公章</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说明：投标保证金提交方式为银行电汇或其他方式缴纳，电汇须从投标人基本账户转出，投标保证金必须在投标截止时间前到指定的账户，并在汇款单上注明所投项目名称。未领取招标文件、缴纳保证金的投标人不得参与投标，投标保证金以其他方式递交未按规定时间到账的，由投标人自行承担。</w:t>
      </w:r>
    </w:p>
    <w:p>
      <w:pPr>
        <w:rPr>
          <w:color w:val="auto"/>
          <w:sz w:val="21"/>
          <w:szCs w:val="21"/>
          <w:highlight w:val="none"/>
          <w:lang w:val="en-US"/>
        </w:rPr>
      </w:pPr>
      <w:r>
        <w:rPr>
          <w:rFonts w:hint="eastAsia"/>
          <w:color w:val="auto"/>
          <w:sz w:val="21"/>
          <w:szCs w:val="21"/>
          <w:highlight w:val="none"/>
          <w:lang w:val="en-US"/>
        </w:rPr>
        <w:br w:type="page"/>
      </w:r>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退还保证金说明函</w:t>
      </w:r>
    </w:p>
    <w:p>
      <w:pPr>
        <w:adjustRightInd w:val="0"/>
        <w:spacing w:line="480" w:lineRule="exact"/>
        <w:ind w:left="118"/>
        <w:rPr>
          <w:bCs/>
          <w:color w:val="auto"/>
          <w:sz w:val="21"/>
          <w:szCs w:val="21"/>
          <w:highlight w:val="none"/>
          <w:lang w:val="en-US" w:bidi="ar-SA"/>
        </w:rPr>
      </w:pPr>
      <w:r>
        <w:rPr>
          <w:rFonts w:hint="eastAsia"/>
          <w:bCs/>
          <w:color w:val="auto"/>
          <w:sz w:val="21"/>
          <w:szCs w:val="21"/>
          <w:highlight w:val="none"/>
          <w:lang w:val="en-US" w:bidi="ar-SA"/>
        </w:rPr>
        <w:t>致：</w:t>
      </w:r>
      <w:r>
        <w:rPr>
          <w:rFonts w:hint="eastAsia"/>
          <w:color w:val="auto"/>
          <w:sz w:val="20"/>
          <w:szCs w:val="20"/>
          <w:highlight w:val="none"/>
          <w:u w:val="single"/>
        </w:rPr>
        <w:t>【采购代理机构】</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我单位已按项目（项目号：）的招标文件要求，提交的报价保证金（</w:t>
      </w:r>
      <w:r>
        <w:rPr>
          <w:rFonts w:hint="eastAsia"/>
          <w:color w:val="auto"/>
          <w:sz w:val="21"/>
          <w:szCs w:val="21"/>
          <w:highlight w:val="none"/>
          <w:u w:val="single"/>
          <w:lang w:val="en-US" w:bidi="ar-SA"/>
        </w:rPr>
        <w:t>大写金额</w:t>
      </w:r>
      <w:r>
        <w:rPr>
          <w:rFonts w:hint="eastAsia"/>
          <w:color w:val="auto"/>
          <w:sz w:val="21"/>
          <w:szCs w:val="21"/>
          <w:highlight w:val="none"/>
          <w:lang w:val="en-US" w:bidi="ar-SA"/>
        </w:rPr>
        <w:t>）元，请贵公司退还时划到以下账户：</w:t>
      </w:r>
    </w:p>
    <w:p>
      <w:pPr>
        <w:adjustRightInd w:val="0"/>
        <w:spacing w:line="480" w:lineRule="exact"/>
        <w:ind w:firstLine="420" w:firstLineChars="200"/>
        <w:rPr>
          <w:color w:val="auto"/>
          <w:sz w:val="21"/>
          <w:szCs w:val="21"/>
          <w:highlight w:val="none"/>
          <w:lang w:val="en-US" w:bidi="ar-SA"/>
        </w:rPr>
      </w:pP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收款单位：</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收款单位地址：</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开户银行：</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帐号：</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联系人：</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联系电话：</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行号：</w:t>
      </w:r>
    </w:p>
    <w:p>
      <w:pPr>
        <w:adjustRightInd w:val="0"/>
        <w:spacing w:line="480" w:lineRule="exact"/>
        <w:ind w:firstLine="420" w:firstLineChars="200"/>
        <w:rPr>
          <w:color w:val="auto"/>
          <w:sz w:val="21"/>
          <w:szCs w:val="21"/>
          <w:highlight w:val="none"/>
          <w:lang w:val="en-US" w:bidi="ar-SA"/>
        </w:rPr>
      </w:pP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（联系人和电话请填写财务人员，以便我公司财务人员核实退还保证金账户正确性）</w:t>
      </w:r>
    </w:p>
    <w:p>
      <w:pPr>
        <w:adjustRightInd w:val="0"/>
        <w:spacing w:line="480" w:lineRule="exact"/>
        <w:ind w:firstLine="420" w:firstLineChars="200"/>
        <w:rPr>
          <w:color w:val="auto"/>
          <w:sz w:val="21"/>
          <w:szCs w:val="21"/>
          <w:highlight w:val="none"/>
          <w:lang w:val="en-US" w:bidi="ar-SA"/>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1"/>
          <w:szCs w:val="21"/>
          <w:highlight w:val="none"/>
          <w:lang w:val="en-US"/>
        </w:rPr>
      </w:pPr>
      <w:r>
        <w:rPr>
          <w:rFonts w:hint="eastAsia"/>
          <w:color w:val="auto"/>
          <w:sz w:val="21"/>
          <w:szCs w:val="21"/>
          <w:highlight w:val="none"/>
          <w:lang w:val="en-US"/>
        </w:rPr>
        <w:br w:type="page"/>
      </w:r>
    </w:p>
    <w:p>
      <w:pPr>
        <w:pStyle w:val="7"/>
        <w:tabs>
          <w:tab w:val="left" w:pos="1204"/>
        </w:tabs>
        <w:spacing w:before="43"/>
        <w:ind w:right="74"/>
        <w:rPr>
          <w:rFonts w:ascii="宋体" w:hAnsi="宋体" w:eastAsia="宋体" w:cs="宋体"/>
          <w:color w:val="auto"/>
          <w:sz w:val="28"/>
          <w:szCs w:val="28"/>
          <w:highlight w:val="none"/>
        </w:rPr>
      </w:pPr>
      <w:bookmarkStart w:id="93" w:name="_bookmark115"/>
      <w:bookmarkEnd w:id="93"/>
      <w:bookmarkStart w:id="94" w:name="_Toc3319"/>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代理服务费承诺函格式</w:t>
      </w:r>
      <w:bookmarkEnd w:id="94"/>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代理服务费承诺函</w:t>
      </w:r>
    </w:p>
    <w:p>
      <w:pPr>
        <w:pStyle w:val="15"/>
        <w:spacing w:before="2"/>
        <w:rPr>
          <w:b/>
          <w:color w:val="auto"/>
          <w:sz w:val="28"/>
          <w:szCs w:val="21"/>
          <w:highlight w:val="none"/>
        </w:rPr>
      </w:pPr>
    </w:p>
    <w:p>
      <w:pPr>
        <w:pStyle w:val="15"/>
        <w:spacing w:before="1"/>
        <w:ind w:left="363" w:right="7206"/>
        <w:jc w:val="center"/>
        <w:rPr>
          <w:color w:val="auto"/>
          <w:sz w:val="21"/>
          <w:szCs w:val="21"/>
          <w:highlight w:val="none"/>
        </w:rPr>
      </w:pPr>
      <w:r>
        <w:rPr>
          <w:rFonts w:hint="eastAsia"/>
          <w:color w:val="auto"/>
          <w:sz w:val="21"/>
          <w:szCs w:val="21"/>
          <w:highlight w:val="none"/>
          <w:u w:val="single"/>
        </w:rPr>
        <w:t>【采购代理机构】</w:t>
      </w:r>
      <w:r>
        <w:rPr>
          <w:rFonts w:hint="eastAsia"/>
          <w:color w:val="auto"/>
          <w:sz w:val="21"/>
          <w:szCs w:val="21"/>
          <w:highlight w:val="none"/>
        </w:rPr>
        <w:t>：</w:t>
      </w:r>
    </w:p>
    <w:p>
      <w:pPr>
        <w:pStyle w:val="15"/>
        <w:spacing w:before="9" w:line="304" w:lineRule="auto"/>
        <w:ind w:left="400" w:right="474" w:firstLine="479"/>
        <w:jc w:val="both"/>
        <w:rPr>
          <w:color w:val="auto"/>
          <w:sz w:val="21"/>
          <w:szCs w:val="21"/>
          <w:highlight w:val="none"/>
        </w:rPr>
      </w:pPr>
      <w:r>
        <w:rPr>
          <w:rFonts w:hint="eastAsia"/>
          <w:color w:val="auto"/>
          <w:sz w:val="21"/>
          <w:szCs w:val="21"/>
          <w:highlight w:val="none"/>
        </w:rPr>
        <w:t>我司在贵公司组织的</w:t>
      </w:r>
      <w:r>
        <w:rPr>
          <w:rFonts w:hint="eastAsia"/>
          <w:color w:val="auto"/>
          <w:sz w:val="21"/>
          <w:szCs w:val="21"/>
          <w:highlight w:val="none"/>
          <w:u w:val="single"/>
        </w:rPr>
        <w:t xml:space="preserve"> 【项目名称】  </w:t>
      </w:r>
      <w:r>
        <w:rPr>
          <w:rFonts w:hint="eastAsia"/>
          <w:color w:val="auto"/>
          <w:sz w:val="21"/>
          <w:szCs w:val="21"/>
          <w:highlight w:val="none"/>
        </w:rPr>
        <w:t>项目（项目编号：</w:t>
      </w:r>
      <w:r>
        <w:rPr>
          <w:rFonts w:hint="eastAsia"/>
          <w:color w:val="auto"/>
          <w:sz w:val="21"/>
          <w:szCs w:val="21"/>
          <w:highlight w:val="none"/>
          <w:u w:val="single"/>
        </w:rPr>
        <w:t xml:space="preserve">  【项目编号】</w:t>
      </w:r>
      <w:r>
        <w:rPr>
          <w:rFonts w:hint="eastAsia"/>
          <w:color w:val="auto"/>
          <w:sz w:val="21"/>
          <w:szCs w:val="21"/>
          <w:highlight w:val="none"/>
        </w:rPr>
        <w:t>_）招标中若获中标，我司保证在接到中标通知后三日内按招标文件的规定，以电汇形式向中化商务电子招投标平台收款子账户支付服务费（中标人须按投标人须知规定的标准向采购代理机构支付</w:t>
      </w:r>
      <w:r>
        <w:rPr>
          <w:rFonts w:hint="eastAsia"/>
          <w:color w:val="auto"/>
          <w:sz w:val="21"/>
          <w:szCs w:val="21"/>
          <w:highlight w:val="none"/>
          <w:lang w:val="en-US"/>
        </w:rPr>
        <w:t>采购</w:t>
      </w:r>
      <w:r>
        <w:rPr>
          <w:rFonts w:hint="eastAsia"/>
          <w:color w:val="auto"/>
          <w:sz w:val="21"/>
          <w:szCs w:val="21"/>
          <w:highlight w:val="none"/>
        </w:rPr>
        <w:t>代理服务费）。由此产生的一切法律后果和责任由我司承担，我司声明放弃对此提出任何异议和追索的权利。</w:t>
      </w:r>
    </w:p>
    <w:p>
      <w:pPr>
        <w:pStyle w:val="15"/>
        <w:spacing w:line="302" w:lineRule="exact"/>
        <w:ind w:left="363" w:right="7206"/>
        <w:jc w:val="center"/>
        <w:rPr>
          <w:color w:val="auto"/>
          <w:sz w:val="21"/>
          <w:szCs w:val="21"/>
          <w:highlight w:val="none"/>
        </w:rPr>
      </w:pPr>
      <w:r>
        <w:rPr>
          <w:rFonts w:hint="eastAsia"/>
          <w:color w:val="auto"/>
          <w:sz w:val="21"/>
          <w:szCs w:val="21"/>
          <w:highlight w:val="none"/>
        </w:rPr>
        <w:t>特此承诺！</w:t>
      </w:r>
    </w:p>
    <w:p>
      <w:pPr>
        <w:pStyle w:val="15"/>
        <w:spacing w:before="10"/>
        <w:rPr>
          <w:color w:val="auto"/>
          <w:szCs w:val="21"/>
          <w:highlight w:val="none"/>
        </w:rPr>
      </w:pPr>
    </w:p>
    <w:p>
      <w:pPr>
        <w:pStyle w:val="15"/>
        <w:tabs>
          <w:tab w:val="left" w:pos="6575"/>
          <w:tab w:val="left" w:pos="7176"/>
        </w:tabs>
        <w:spacing w:before="1" w:line="302" w:lineRule="auto"/>
        <w:ind w:left="400" w:right="2628"/>
        <w:rPr>
          <w:color w:val="auto"/>
          <w:sz w:val="21"/>
          <w:szCs w:val="21"/>
          <w:highlight w:val="none"/>
          <w:u w:val="single"/>
        </w:rPr>
      </w:pPr>
      <w:r>
        <w:rPr>
          <w:rFonts w:hint="eastAsia"/>
          <w:color w:val="auto"/>
          <w:sz w:val="21"/>
          <w:szCs w:val="21"/>
          <w:highlight w:val="none"/>
        </w:rPr>
        <w:t>投标人名称（电子签章）：</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5"/>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邮编：</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5"/>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电话：</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传真：</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5"/>
        <w:tabs>
          <w:tab w:val="left" w:pos="3640"/>
          <w:tab w:val="left" w:pos="4175"/>
          <w:tab w:val="left" w:pos="6936"/>
        </w:tabs>
        <w:spacing w:before="9" w:line="254" w:lineRule="auto"/>
        <w:ind w:left="400" w:right="2868"/>
        <w:jc w:val="both"/>
        <w:rPr>
          <w:color w:val="auto"/>
          <w:sz w:val="21"/>
          <w:szCs w:val="21"/>
          <w:highlight w:val="none"/>
        </w:rPr>
      </w:pPr>
      <w:r>
        <w:rPr>
          <w:rFonts w:hint="eastAsia"/>
          <w:color w:val="auto"/>
          <w:sz w:val="21"/>
          <w:szCs w:val="21"/>
          <w:highlight w:val="none"/>
        </w:rPr>
        <w:t>承诺日期：</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pPr>
        <w:rPr>
          <w:color w:val="auto"/>
          <w:sz w:val="20"/>
          <w:szCs w:val="20"/>
          <w:highlight w:val="none"/>
        </w:rPr>
      </w:pPr>
      <w:r>
        <w:rPr>
          <w:rFonts w:hint="eastAsia"/>
          <w:color w:val="auto"/>
          <w:sz w:val="20"/>
          <w:szCs w:val="20"/>
          <w:highlight w:val="none"/>
        </w:rPr>
        <w:br w:type="page"/>
      </w:r>
    </w:p>
    <w:p>
      <w:pPr>
        <w:spacing w:before="212"/>
        <w:ind w:right="113"/>
        <w:jc w:val="center"/>
        <w:rPr>
          <w:b/>
          <w:color w:val="auto"/>
          <w:sz w:val="24"/>
          <w:szCs w:val="20"/>
          <w:highlight w:val="none"/>
        </w:rPr>
      </w:pPr>
      <w:r>
        <w:rPr>
          <w:rFonts w:hint="eastAsia"/>
          <w:b/>
          <w:color w:val="auto"/>
          <w:sz w:val="24"/>
          <w:szCs w:val="20"/>
          <w:highlight w:val="none"/>
        </w:rPr>
        <w:t>投标人开票信息表格式</w:t>
      </w:r>
    </w:p>
    <w:p>
      <w:pPr>
        <w:spacing w:before="212"/>
        <w:ind w:right="113"/>
        <w:jc w:val="center"/>
        <w:rPr>
          <w:b/>
          <w:color w:val="auto"/>
          <w:sz w:val="24"/>
          <w:szCs w:val="20"/>
          <w:highlight w:val="none"/>
        </w:rPr>
      </w:pPr>
      <w:r>
        <w:rPr>
          <w:rFonts w:hint="eastAsia"/>
          <w:b/>
          <w:color w:val="auto"/>
          <w:sz w:val="24"/>
          <w:szCs w:val="20"/>
          <w:highlight w:val="none"/>
        </w:rPr>
        <w:t>开票信息表格式</w:t>
      </w:r>
    </w:p>
    <w:p>
      <w:pPr>
        <w:pStyle w:val="15"/>
        <w:tabs>
          <w:tab w:val="left" w:pos="4843"/>
        </w:tabs>
        <w:spacing w:before="213" w:line="302" w:lineRule="auto"/>
        <w:ind w:left="228" w:right="5142"/>
        <w:rPr>
          <w:color w:val="auto"/>
          <w:sz w:val="21"/>
          <w:szCs w:val="21"/>
          <w:highlight w:val="none"/>
          <w:u w:val="single"/>
        </w:rPr>
      </w:pPr>
      <w:r>
        <w:rPr>
          <w:rFonts w:hint="eastAsia"/>
          <w:color w:val="auto"/>
          <w:sz w:val="21"/>
          <w:szCs w:val="21"/>
          <w:highlight w:val="none"/>
        </w:rPr>
        <w:t>项目名称：</w:t>
      </w:r>
      <w:r>
        <w:rPr>
          <w:rFonts w:hint="eastAsia"/>
          <w:color w:val="auto"/>
          <w:sz w:val="21"/>
          <w:szCs w:val="21"/>
          <w:highlight w:val="none"/>
          <w:u w:val="single"/>
        </w:rPr>
        <w:t xml:space="preserve">                           </w:t>
      </w:r>
    </w:p>
    <w:p>
      <w:pPr>
        <w:pStyle w:val="15"/>
        <w:tabs>
          <w:tab w:val="left" w:pos="4843"/>
        </w:tabs>
        <w:spacing w:before="213" w:line="302" w:lineRule="auto"/>
        <w:ind w:left="228" w:right="5142"/>
        <w:rPr>
          <w:color w:val="auto"/>
          <w:sz w:val="21"/>
          <w:szCs w:val="21"/>
          <w:highlight w:val="none"/>
          <w:lang w:val="en-US"/>
        </w:rPr>
      </w:pPr>
      <w:r>
        <w:rPr>
          <w:rFonts w:hint="eastAsia"/>
          <w:color w:val="auto"/>
          <w:sz w:val="21"/>
          <w:szCs w:val="21"/>
          <w:highlight w:val="none"/>
        </w:rPr>
        <w:t>项目编号：</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lang w:val="en-US" w:bidi="ar-SA"/>
        </w:rPr>
        <w:t xml:space="preserve">     </w:t>
      </w:r>
      <w:r>
        <w:rPr>
          <w:rFonts w:hint="eastAsia"/>
          <w:color w:val="auto"/>
          <w:sz w:val="21"/>
          <w:szCs w:val="21"/>
          <w:highlight w:val="none"/>
          <w:u w:val="single"/>
          <w:lang w:val="en-US"/>
        </w:rPr>
        <w:t xml:space="preserve"> </w:t>
      </w:r>
    </w:p>
    <w:p>
      <w:pPr>
        <w:pStyle w:val="15"/>
        <w:spacing w:line="520" w:lineRule="exact"/>
        <w:ind w:left="440" w:leftChars="200" w:firstLine="420" w:firstLineChars="200"/>
        <w:rPr>
          <w:color w:val="auto"/>
          <w:sz w:val="21"/>
          <w:szCs w:val="21"/>
          <w:highlight w:val="none"/>
        </w:rPr>
      </w:pPr>
      <w:r>
        <w:rPr>
          <w:rFonts w:hint="eastAsia"/>
          <w:color w:val="auto"/>
          <w:sz w:val="21"/>
          <w:szCs w:val="21"/>
          <w:highlight w:val="none"/>
        </w:rPr>
        <w:t>如果我单位中标/成交，请贵单位开具服务费发票：</w:t>
      </w:r>
    </w:p>
    <w:p>
      <w:pPr>
        <w:pStyle w:val="15"/>
        <w:tabs>
          <w:tab w:val="left" w:pos="3348"/>
          <w:tab w:val="left" w:pos="5509"/>
        </w:tabs>
        <w:spacing w:line="520" w:lineRule="exact"/>
        <w:ind w:left="440" w:leftChars="200" w:firstLine="420" w:firstLineChars="200"/>
        <w:rPr>
          <w:color w:val="auto"/>
          <w:sz w:val="21"/>
          <w:szCs w:val="21"/>
          <w:highlight w:val="none"/>
        </w:rPr>
      </w:pPr>
      <w:r>
        <w:rPr>
          <w:rFonts w:hint="eastAsia"/>
          <w:color w:val="auto"/>
          <w:sz w:val="21"/>
          <w:szCs w:val="21"/>
          <w:highlight w:val="none"/>
        </w:rPr>
        <w:t>我单位开票信息为：</w:t>
      </w:r>
    </w:p>
    <w:p>
      <w:pPr>
        <w:pStyle w:val="15"/>
        <w:tabs>
          <w:tab w:val="left" w:pos="5323"/>
        </w:tabs>
        <w:spacing w:line="520" w:lineRule="exact"/>
        <w:ind w:left="440" w:leftChars="200" w:firstLine="420" w:firstLineChars="200"/>
        <w:rPr>
          <w:color w:val="auto"/>
          <w:sz w:val="21"/>
          <w:szCs w:val="21"/>
          <w:highlight w:val="none"/>
        </w:rPr>
      </w:pPr>
      <w:r>
        <w:rPr>
          <w:rFonts w:hint="eastAsia"/>
          <w:color w:val="auto"/>
          <w:sz w:val="21"/>
          <w:szCs w:val="21"/>
          <w:highlight w:val="none"/>
        </w:rPr>
        <w:t>单位全称：</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5803"/>
        </w:tabs>
        <w:spacing w:line="520" w:lineRule="exact"/>
        <w:ind w:left="440" w:leftChars="200" w:firstLine="420" w:firstLineChars="200"/>
        <w:rPr>
          <w:color w:val="auto"/>
          <w:sz w:val="21"/>
          <w:szCs w:val="21"/>
          <w:highlight w:val="none"/>
        </w:rPr>
      </w:pPr>
      <w:r>
        <w:rPr>
          <w:rFonts w:hint="eastAsia"/>
          <w:color w:val="auto"/>
          <w:sz w:val="21"/>
          <w:szCs w:val="21"/>
          <w:highlight w:val="none"/>
        </w:rPr>
        <w:t>纳税人识别号：</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6523"/>
        </w:tabs>
        <w:spacing w:line="520" w:lineRule="exact"/>
        <w:ind w:left="440" w:leftChars="200" w:firstLine="420" w:firstLineChars="200"/>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5"/>
        <w:tabs>
          <w:tab w:val="left" w:pos="6523"/>
        </w:tabs>
        <w:spacing w:line="520" w:lineRule="exact"/>
        <w:ind w:left="440" w:leftChars="200" w:firstLine="420" w:firstLineChars="200"/>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tabs>
          <w:tab w:val="left" w:pos="7243"/>
        </w:tabs>
        <w:spacing w:line="520" w:lineRule="exact"/>
        <w:ind w:left="440" w:leftChars="200" w:firstLine="420" w:firstLineChars="200"/>
        <w:rPr>
          <w:color w:val="auto"/>
          <w:sz w:val="21"/>
          <w:szCs w:val="21"/>
          <w:highlight w:val="none"/>
          <w:u w:val="single"/>
        </w:rPr>
      </w:pPr>
      <w:r>
        <w:rPr>
          <w:rFonts w:hint="eastAsia"/>
          <w:color w:val="auto"/>
          <w:sz w:val="21"/>
          <w:szCs w:val="21"/>
          <w:highlight w:val="none"/>
        </w:rPr>
        <w:t>开户行名称：</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5"/>
        <w:tabs>
          <w:tab w:val="left" w:pos="7243"/>
        </w:tabs>
        <w:spacing w:line="520" w:lineRule="exact"/>
        <w:ind w:left="440" w:leftChars="200" w:firstLine="420" w:firstLineChars="200"/>
        <w:rPr>
          <w:color w:val="auto"/>
          <w:sz w:val="21"/>
          <w:szCs w:val="21"/>
          <w:highlight w:val="none"/>
        </w:rPr>
      </w:pPr>
      <w:r>
        <w:rPr>
          <w:rFonts w:hint="eastAsia"/>
          <w:color w:val="auto"/>
          <w:sz w:val="21"/>
          <w:szCs w:val="21"/>
          <w:highlight w:val="none"/>
        </w:rPr>
        <w:t>开户行账号：</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5"/>
        <w:spacing w:before="3" w:line="360" w:lineRule="auto"/>
        <w:ind w:firstLine="840" w:firstLineChars="400"/>
        <w:rPr>
          <w:color w:val="auto"/>
          <w:sz w:val="21"/>
          <w:szCs w:val="21"/>
          <w:highlight w:val="none"/>
          <w:lang w:val="en-US"/>
        </w:rPr>
      </w:pPr>
    </w:p>
    <w:p>
      <w:pPr>
        <w:pStyle w:val="15"/>
        <w:spacing w:before="3" w:line="360" w:lineRule="auto"/>
        <w:ind w:firstLine="840" w:firstLineChars="400"/>
        <w:rPr>
          <w:color w:val="auto"/>
          <w:sz w:val="21"/>
          <w:szCs w:val="21"/>
          <w:highlight w:val="none"/>
          <w:u w:val="single"/>
          <w:lang w:val="en-US"/>
        </w:rPr>
      </w:pPr>
      <w:r>
        <w:rPr>
          <w:rFonts w:hint="eastAsia"/>
          <w:color w:val="auto"/>
          <w:sz w:val="21"/>
          <w:szCs w:val="21"/>
          <w:highlight w:val="none"/>
          <w:lang w:val="en-US"/>
        </w:rPr>
        <w:t>发票接收邮箱：</w:t>
      </w:r>
      <w:r>
        <w:rPr>
          <w:rFonts w:hint="eastAsia"/>
          <w:color w:val="auto"/>
          <w:sz w:val="21"/>
          <w:szCs w:val="21"/>
          <w:highlight w:val="none"/>
          <w:u w:val="single"/>
          <w:lang w:val="en-US"/>
        </w:rPr>
        <w:t xml:space="preserve">                                      </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我单位将发票开出后，会发至邮箱。</w:t>
      </w:r>
    </w:p>
    <w:p>
      <w:pPr>
        <w:pStyle w:val="37"/>
        <w:spacing w:line="520" w:lineRule="exact"/>
        <w:ind w:left="440" w:leftChars="200" w:firstLine="420" w:firstLineChars="200"/>
        <w:rPr>
          <w:rFonts w:ascii="宋体" w:hAnsi="宋体" w:cs="宋体"/>
          <w:color w:val="auto"/>
          <w:sz w:val="21"/>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37"/>
        <w:spacing w:line="520" w:lineRule="exact"/>
        <w:ind w:left="440" w:leftChars="200" w:firstLine="320" w:firstLineChars="200"/>
        <w:rPr>
          <w:rFonts w:ascii="宋体" w:hAnsi="宋体" w:cs="宋体"/>
          <w:color w:val="auto"/>
          <w:sz w:val="16"/>
          <w:szCs w:val="21"/>
          <w:highlight w:val="none"/>
        </w:rPr>
      </w:pPr>
      <w:r>
        <w:rPr>
          <w:rFonts w:hint="eastAsia" w:ascii="宋体" w:hAnsi="宋体" w:cs="宋体"/>
          <w:color w:val="auto"/>
          <w:sz w:val="16"/>
          <w:szCs w:val="21"/>
          <w:highlight w:val="none"/>
        </w:rPr>
        <w:br w:type="page"/>
      </w:r>
    </w:p>
    <w:p>
      <w:pPr>
        <w:pStyle w:val="7"/>
        <w:spacing w:before="43"/>
        <w:ind w:left="363" w:right="434"/>
        <w:rPr>
          <w:rFonts w:ascii="宋体" w:hAnsi="宋体" w:eastAsia="宋体" w:cs="宋体"/>
          <w:color w:val="auto"/>
          <w:sz w:val="28"/>
          <w:szCs w:val="28"/>
          <w:highlight w:val="none"/>
        </w:rPr>
      </w:pPr>
      <w:bookmarkStart w:id="95" w:name="_bookmark116"/>
      <w:bookmarkEnd w:id="95"/>
      <w:bookmarkStart w:id="96" w:name="_Toc24078"/>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7</w:t>
      </w:r>
      <w:r>
        <w:rPr>
          <w:rFonts w:hint="eastAsia" w:ascii="宋体" w:hAnsi="宋体" w:eastAsia="宋体" w:cs="宋体"/>
          <w:color w:val="auto"/>
          <w:sz w:val="28"/>
          <w:szCs w:val="28"/>
          <w:highlight w:val="none"/>
        </w:rPr>
        <w:t xml:space="preserve"> 投标人情况表建议格式</w:t>
      </w:r>
      <w:bookmarkEnd w:id="96"/>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投标人情况表</w:t>
      </w:r>
    </w:p>
    <w:p>
      <w:pPr>
        <w:pStyle w:val="15"/>
        <w:rPr>
          <w:b/>
          <w:color w:val="auto"/>
          <w:sz w:val="16"/>
          <w:szCs w:val="21"/>
          <w:highlight w:val="none"/>
        </w:rPr>
      </w:pPr>
    </w:p>
    <w:p>
      <w:pPr>
        <w:pStyle w:val="15"/>
        <w:spacing w:before="6"/>
        <w:rPr>
          <w:b/>
          <w:color w:val="auto"/>
          <w:sz w:val="11"/>
          <w:szCs w:val="21"/>
          <w:highlight w:val="none"/>
        </w:rPr>
      </w:pPr>
    </w:p>
    <w:tbl>
      <w:tblPr>
        <w:tblStyle w:val="29"/>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单位名称</w:t>
            </w:r>
          </w:p>
        </w:tc>
        <w:tc>
          <w:tcPr>
            <w:tcW w:w="7693" w:type="dxa"/>
            <w:gridSpan w:val="6"/>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详细地址</w:t>
            </w:r>
          </w:p>
        </w:tc>
        <w:tc>
          <w:tcPr>
            <w:tcW w:w="7693" w:type="dxa"/>
            <w:gridSpan w:val="6"/>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主管部门</w:t>
            </w:r>
          </w:p>
        </w:tc>
        <w:tc>
          <w:tcPr>
            <w:tcW w:w="1455" w:type="dxa"/>
            <w:gridSpan w:val="2"/>
            <w:vAlign w:val="center"/>
          </w:tcPr>
          <w:p>
            <w:pPr>
              <w:pStyle w:val="34"/>
              <w:jc w:val="center"/>
              <w:rPr>
                <w:rFonts w:ascii="宋体" w:hAnsi="宋体" w:eastAsia="宋体" w:cs="宋体"/>
                <w:color w:val="auto"/>
                <w:sz w:val="21"/>
                <w:szCs w:val="20"/>
                <w:highlight w:val="none"/>
              </w:rPr>
            </w:pPr>
          </w:p>
        </w:tc>
        <w:tc>
          <w:tcPr>
            <w:tcW w:w="148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法定代表人或负责人</w:t>
            </w: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经济类型</w:t>
            </w:r>
          </w:p>
        </w:tc>
        <w:tc>
          <w:tcPr>
            <w:tcW w:w="1455" w:type="dxa"/>
            <w:gridSpan w:val="2"/>
            <w:vAlign w:val="center"/>
          </w:tcPr>
          <w:p>
            <w:pPr>
              <w:pStyle w:val="34"/>
              <w:jc w:val="center"/>
              <w:rPr>
                <w:rFonts w:ascii="宋体" w:hAnsi="宋体" w:eastAsia="宋体" w:cs="宋体"/>
                <w:color w:val="auto"/>
                <w:sz w:val="21"/>
                <w:szCs w:val="20"/>
                <w:highlight w:val="none"/>
              </w:rPr>
            </w:pPr>
          </w:p>
        </w:tc>
        <w:tc>
          <w:tcPr>
            <w:tcW w:w="148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授权代表</w:t>
            </w: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邮政编码</w:t>
            </w:r>
          </w:p>
        </w:tc>
        <w:tc>
          <w:tcPr>
            <w:tcW w:w="1455" w:type="dxa"/>
            <w:gridSpan w:val="2"/>
            <w:vAlign w:val="center"/>
          </w:tcPr>
          <w:p>
            <w:pPr>
              <w:pStyle w:val="34"/>
              <w:jc w:val="center"/>
              <w:rPr>
                <w:rFonts w:ascii="宋体" w:hAnsi="宋体" w:eastAsia="宋体" w:cs="宋体"/>
                <w:color w:val="auto"/>
                <w:sz w:val="21"/>
                <w:szCs w:val="20"/>
                <w:highlight w:val="none"/>
              </w:rPr>
            </w:pPr>
          </w:p>
        </w:tc>
        <w:tc>
          <w:tcPr>
            <w:tcW w:w="148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电话</w:t>
            </w: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传真</w:t>
            </w: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单位简介及机构情况</w:t>
            </w:r>
          </w:p>
        </w:tc>
        <w:tc>
          <w:tcPr>
            <w:tcW w:w="7693" w:type="dxa"/>
            <w:gridSpan w:val="6"/>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单位优势及特长</w:t>
            </w:r>
          </w:p>
        </w:tc>
        <w:tc>
          <w:tcPr>
            <w:tcW w:w="7693" w:type="dxa"/>
            <w:gridSpan w:val="6"/>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单位概况</w:t>
            </w:r>
          </w:p>
        </w:tc>
        <w:tc>
          <w:tcPr>
            <w:tcW w:w="1239"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职工总数</w:t>
            </w:r>
          </w:p>
        </w:tc>
        <w:tc>
          <w:tcPr>
            <w:tcW w:w="1696" w:type="dxa"/>
            <w:gridSpan w:val="2"/>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w:t>
            </w:r>
          </w:p>
        </w:tc>
        <w:tc>
          <w:tcPr>
            <w:tcW w:w="4758" w:type="dxa"/>
            <w:gridSpan w:val="3"/>
            <w:vAlign w:val="center"/>
          </w:tcPr>
          <w:p>
            <w:pPr>
              <w:pStyle w:val="34"/>
              <w:tabs>
                <w:tab w:val="left" w:pos="3251"/>
              </w:tabs>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生产工人/管理人员</w:t>
            </w:r>
            <w:r>
              <w:rPr>
                <w:rFonts w:hint="eastAsia" w:ascii="宋体" w:hAnsi="宋体" w:eastAsia="宋体" w:cs="宋体"/>
                <w:color w:val="auto"/>
                <w:sz w:val="21"/>
                <w:szCs w:val="20"/>
                <w:highlight w:val="none"/>
              </w:rPr>
              <w:tab/>
            </w:r>
            <w:r>
              <w:rPr>
                <w:rFonts w:hint="eastAsia" w:ascii="宋体" w:hAnsi="宋体" w:eastAsia="宋体" w:cs="宋体"/>
                <w:color w:val="auto"/>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jc w:val="center"/>
              <w:rPr>
                <w:color w:val="auto"/>
                <w:sz w:val="2"/>
                <w:szCs w:val="2"/>
                <w:highlight w:val="none"/>
              </w:rPr>
            </w:pPr>
          </w:p>
        </w:tc>
        <w:tc>
          <w:tcPr>
            <w:tcW w:w="1239" w:type="dxa"/>
            <w:vMerge w:val="continue"/>
            <w:tcBorders>
              <w:top w:val="nil"/>
            </w:tcBorders>
            <w:vAlign w:val="center"/>
          </w:tcPr>
          <w:p>
            <w:pPr>
              <w:jc w:val="center"/>
              <w:rPr>
                <w:color w:val="auto"/>
                <w:sz w:val="2"/>
                <w:szCs w:val="2"/>
                <w:highlight w:val="none"/>
              </w:rPr>
            </w:pPr>
          </w:p>
        </w:tc>
        <w:tc>
          <w:tcPr>
            <w:tcW w:w="1696" w:type="dxa"/>
            <w:gridSpan w:val="2"/>
            <w:vMerge w:val="continue"/>
            <w:tcBorders>
              <w:top w:val="nil"/>
            </w:tcBorders>
            <w:vAlign w:val="center"/>
          </w:tcPr>
          <w:p>
            <w:pPr>
              <w:jc w:val="center"/>
              <w:rPr>
                <w:color w:val="auto"/>
                <w:sz w:val="2"/>
                <w:szCs w:val="2"/>
                <w:highlight w:val="none"/>
              </w:rPr>
            </w:pPr>
          </w:p>
        </w:tc>
        <w:tc>
          <w:tcPr>
            <w:tcW w:w="4758" w:type="dxa"/>
            <w:gridSpan w:val="3"/>
            <w:vAlign w:val="center"/>
          </w:tcPr>
          <w:p>
            <w:pPr>
              <w:pStyle w:val="34"/>
              <w:tabs>
                <w:tab w:val="left" w:pos="3251"/>
              </w:tabs>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技术人员</w:t>
            </w:r>
            <w:r>
              <w:rPr>
                <w:rFonts w:hint="eastAsia" w:ascii="宋体" w:hAnsi="宋体" w:eastAsia="宋体" w:cs="宋体"/>
                <w:color w:val="auto"/>
                <w:sz w:val="21"/>
                <w:szCs w:val="20"/>
                <w:highlight w:val="none"/>
              </w:rPr>
              <w:tab/>
            </w:r>
            <w:r>
              <w:rPr>
                <w:rFonts w:hint="eastAsia" w:ascii="宋体" w:hAnsi="宋体" w:eastAsia="宋体" w:cs="宋体"/>
                <w:color w:val="auto"/>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员工情况</w:t>
            </w:r>
          </w:p>
        </w:tc>
        <w:tc>
          <w:tcPr>
            <w:tcW w:w="1696"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高级职称</w:t>
            </w:r>
          </w:p>
        </w:tc>
        <w:tc>
          <w:tcPr>
            <w:tcW w:w="146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中级职称</w:t>
            </w: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初级职称</w:t>
            </w:r>
          </w:p>
        </w:tc>
        <w:tc>
          <w:tcPr>
            <w:tcW w:w="187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人数</w:t>
            </w:r>
          </w:p>
        </w:tc>
        <w:tc>
          <w:tcPr>
            <w:tcW w:w="1696" w:type="dxa"/>
            <w:gridSpan w:val="2"/>
            <w:vAlign w:val="center"/>
          </w:tcPr>
          <w:p>
            <w:pPr>
              <w:pStyle w:val="34"/>
              <w:jc w:val="center"/>
              <w:rPr>
                <w:rFonts w:ascii="宋体" w:hAnsi="宋体" w:eastAsia="宋体" w:cs="宋体"/>
                <w:color w:val="auto"/>
                <w:sz w:val="21"/>
                <w:szCs w:val="20"/>
                <w:highlight w:val="none"/>
              </w:rPr>
            </w:pP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jc w:val="center"/>
              <w:rPr>
                <w:color w:val="auto"/>
                <w:sz w:val="2"/>
                <w:szCs w:val="2"/>
                <w:highlight w:val="none"/>
              </w:rPr>
            </w:pPr>
          </w:p>
        </w:tc>
        <w:tc>
          <w:tcPr>
            <w:tcW w:w="1239"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流动资金</w:t>
            </w:r>
          </w:p>
        </w:tc>
        <w:tc>
          <w:tcPr>
            <w:tcW w:w="1696" w:type="dxa"/>
            <w:gridSpan w:val="2"/>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c>
          <w:tcPr>
            <w:tcW w:w="1463"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资金来源</w:t>
            </w: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自有资金</w:t>
            </w:r>
          </w:p>
        </w:tc>
        <w:tc>
          <w:tcPr>
            <w:tcW w:w="187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jc w:val="center"/>
              <w:rPr>
                <w:color w:val="auto"/>
                <w:sz w:val="2"/>
                <w:szCs w:val="2"/>
                <w:highlight w:val="none"/>
              </w:rPr>
            </w:pPr>
          </w:p>
        </w:tc>
        <w:tc>
          <w:tcPr>
            <w:tcW w:w="1239" w:type="dxa"/>
            <w:vMerge w:val="continue"/>
            <w:tcBorders>
              <w:top w:val="nil"/>
            </w:tcBorders>
            <w:vAlign w:val="center"/>
          </w:tcPr>
          <w:p>
            <w:pPr>
              <w:jc w:val="center"/>
              <w:rPr>
                <w:color w:val="auto"/>
                <w:sz w:val="2"/>
                <w:szCs w:val="2"/>
                <w:highlight w:val="none"/>
              </w:rPr>
            </w:pPr>
          </w:p>
        </w:tc>
        <w:tc>
          <w:tcPr>
            <w:tcW w:w="1696" w:type="dxa"/>
            <w:gridSpan w:val="2"/>
            <w:vMerge w:val="continue"/>
            <w:tcBorders>
              <w:top w:val="nil"/>
            </w:tcBorders>
            <w:vAlign w:val="center"/>
          </w:tcPr>
          <w:p>
            <w:pPr>
              <w:jc w:val="center"/>
              <w:rPr>
                <w:color w:val="auto"/>
                <w:sz w:val="2"/>
                <w:szCs w:val="2"/>
                <w:highlight w:val="none"/>
              </w:rPr>
            </w:pPr>
          </w:p>
        </w:tc>
        <w:tc>
          <w:tcPr>
            <w:tcW w:w="1463" w:type="dxa"/>
            <w:vMerge w:val="continue"/>
            <w:tcBorders>
              <w:top w:val="nil"/>
            </w:tcBorders>
            <w:vAlign w:val="center"/>
          </w:tcPr>
          <w:p>
            <w:pPr>
              <w:jc w:val="center"/>
              <w:rPr>
                <w:color w:val="auto"/>
                <w:sz w:val="2"/>
                <w:szCs w:val="2"/>
                <w:highlight w:val="none"/>
              </w:rPr>
            </w:pP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银行贷款</w:t>
            </w:r>
          </w:p>
        </w:tc>
        <w:tc>
          <w:tcPr>
            <w:tcW w:w="187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固定资产</w:t>
            </w:r>
          </w:p>
        </w:tc>
        <w:tc>
          <w:tcPr>
            <w:tcW w:w="1696"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原值</w:t>
            </w:r>
          </w:p>
        </w:tc>
        <w:tc>
          <w:tcPr>
            <w:tcW w:w="146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净值</w:t>
            </w:r>
          </w:p>
        </w:tc>
        <w:tc>
          <w:tcPr>
            <w:tcW w:w="187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企业财务状况</w:t>
            </w:r>
          </w:p>
        </w:tc>
        <w:tc>
          <w:tcPr>
            <w:tcW w:w="1239" w:type="dxa"/>
            <w:vAlign w:val="center"/>
          </w:tcPr>
          <w:p>
            <w:pPr>
              <w:pStyle w:val="34"/>
              <w:jc w:val="center"/>
              <w:rPr>
                <w:rFonts w:ascii="宋体" w:hAnsi="宋体" w:eastAsia="宋体" w:cs="宋体"/>
                <w:color w:val="auto"/>
                <w:sz w:val="21"/>
                <w:szCs w:val="20"/>
                <w:highlight w:val="none"/>
              </w:rPr>
            </w:pPr>
          </w:p>
        </w:tc>
        <w:tc>
          <w:tcPr>
            <w:tcW w:w="1696"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收入总额</w:t>
            </w:r>
          </w:p>
        </w:tc>
        <w:tc>
          <w:tcPr>
            <w:tcW w:w="146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利润总额</w:t>
            </w:r>
          </w:p>
        </w:tc>
        <w:tc>
          <w:tcPr>
            <w:tcW w:w="142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净利润</w:t>
            </w:r>
          </w:p>
        </w:tc>
        <w:tc>
          <w:tcPr>
            <w:tcW w:w="187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年（近一年）</w:t>
            </w:r>
          </w:p>
        </w:tc>
        <w:tc>
          <w:tcPr>
            <w:tcW w:w="1696" w:type="dxa"/>
            <w:gridSpan w:val="2"/>
            <w:vAlign w:val="center"/>
          </w:tcPr>
          <w:p>
            <w:pPr>
              <w:pStyle w:val="34"/>
              <w:jc w:val="center"/>
              <w:rPr>
                <w:rFonts w:ascii="宋体" w:hAnsi="宋体" w:eastAsia="宋体" w:cs="宋体"/>
                <w:color w:val="auto"/>
                <w:sz w:val="21"/>
                <w:szCs w:val="20"/>
                <w:highlight w:val="none"/>
              </w:rPr>
            </w:pP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年（近二年）</w:t>
            </w:r>
          </w:p>
        </w:tc>
        <w:tc>
          <w:tcPr>
            <w:tcW w:w="1696" w:type="dxa"/>
            <w:gridSpan w:val="2"/>
            <w:vAlign w:val="center"/>
          </w:tcPr>
          <w:p>
            <w:pPr>
              <w:pStyle w:val="34"/>
              <w:jc w:val="center"/>
              <w:rPr>
                <w:rFonts w:ascii="宋体" w:hAnsi="宋体" w:eastAsia="宋体" w:cs="宋体"/>
                <w:color w:val="auto"/>
                <w:sz w:val="21"/>
                <w:szCs w:val="20"/>
                <w:highlight w:val="none"/>
              </w:rPr>
            </w:pP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年（近三年）</w:t>
            </w:r>
          </w:p>
        </w:tc>
        <w:tc>
          <w:tcPr>
            <w:tcW w:w="1696" w:type="dxa"/>
            <w:gridSpan w:val="2"/>
            <w:vAlign w:val="center"/>
          </w:tcPr>
          <w:p>
            <w:pPr>
              <w:pStyle w:val="34"/>
              <w:jc w:val="center"/>
              <w:rPr>
                <w:rFonts w:ascii="宋体" w:hAnsi="宋体" w:eastAsia="宋体" w:cs="宋体"/>
                <w:color w:val="auto"/>
                <w:sz w:val="21"/>
                <w:szCs w:val="20"/>
                <w:highlight w:val="none"/>
              </w:rPr>
            </w:pPr>
          </w:p>
        </w:tc>
        <w:tc>
          <w:tcPr>
            <w:tcW w:w="1463" w:type="dxa"/>
            <w:vAlign w:val="center"/>
          </w:tcPr>
          <w:p>
            <w:pPr>
              <w:pStyle w:val="34"/>
              <w:jc w:val="center"/>
              <w:rPr>
                <w:rFonts w:ascii="宋体" w:hAnsi="宋体" w:eastAsia="宋体" w:cs="宋体"/>
                <w:color w:val="auto"/>
                <w:sz w:val="21"/>
                <w:szCs w:val="20"/>
                <w:highlight w:val="none"/>
              </w:rPr>
            </w:pPr>
          </w:p>
        </w:tc>
        <w:tc>
          <w:tcPr>
            <w:tcW w:w="1422" w:type="dxa"/>
            <w:vAlign w:val="center"/>
          </w:tcPr>
          <w:p>
            <w:pPr>
              <w:pStyle w:val="34"/>
              <w:jc w:val="center"/>
              <w:rPr>
                <w:rFonts w:ascii="宋体" w:hAnsi="宋体" w:eastAsia="宋体" w:cs="宋体"/>
                <w:color w:val="auto"/>
                <w:sz w:val="21"/>
                <w:szCs w:val="20"/>
                <w:highlight w:val="none"/>
              </w:rPr>
            </w:pPr>
          </w:p>
        </w:tc>
        <w:tc>
          <w:tcPr>
            <w:tcW w:w="187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办公地点</w:t>
            </w:r>
          </w:p>
        </w:tc>
        <w:tc>
          <w:tcPr>
            <w:tcW w:w="6454" w:type="dxa"/>
            <w:gridSpan w:val="5"/>
            <w:vAlign w:val="center"/>
          </w:tcPr>
          <w:p>
            <w:pPr>
              <w:pStyle w:val="34"/>
              <w:jc w:val="center"/>
              <w:rPr>
                <w:rFonts w:ascii="宋体" w:hAnsi="宋体" w:eastAsia="宋体" w:cs="宋体"/>
                <w:color w:val="auto"/>
                <w:sz w:val="21"/>
                <w:szCs w:val="20"/>
                <w:highlight w:val="none"/>
              </w:rPr>
            </w:pPr>
          </w:p>
        </w:tc>
      </w:tr>
    </w:tbl>
    <w:p>
      <w:pPr>
        <w:pStyle w:val="37"/>
        <w:spacing w:line="400" w:lineRule="exact"/>
        <w:ind w:firstLine="420" w:firstLineChars="200"/>
        <w:rPr>
          <w:rFonts w:ascii="宋体" w:hAnsi="宋体" w:cs="宋体"/>
          <w:color w:val="auto"/>
          <w:sz w:val="21"/>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7"/>
        <w:spacing w:before="43"/>
        <w:ind w:left="363" w:right="437"/>
        <w:rPr>
          <w:rFonts w:ascii="宋体" w:hAnsi="宋体" w:eastAsia="宋体" w:cs="宋体"/>
          <w:color w:val="auto"/>
          <w:sz w:val="28"/>
          <w:szCs w:val="28"/>
          <w:highlight w:val="none"/>
        </w:rPr>
      </w:pPr>
      <w:bookmarkStart w:id="97" w:name="_bookmark117"/>
      <w:bookmarkEnd w:id="97"/>
      <w:bookmarkStart w:id="98" w:name="_Toc11796"/>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8</w:t>
      </w:r>
      <w:r>
        <w:rPr>
          <w:rFonts w:hint="eastAsia" w:ascii="宋体" w:hAnsi="宋体" w:eastAsia="宋体" w:cs="宋体"/>
          <w:color w:val="auto"/>
          <w:sz w:val="28"/>
          <w:szCs w:val="28"/>
          <w:highlight w:val="none"/>
        </w:rPr>
        <w:t xml:space="preserve"> 详细的技术服务响应</w:t>
      </w:r>
      <w:bookmarkEnd w:id="98"/>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投标人技术响应</w:t>
      </w:r>
    </w:p>
    <w:p>
      <w:pPr>
        <w:pStyle w:val="15"/>
        <w:spacing w:before="9" w:line="304" w:lineRule="auto"/>
        <w:ind w:left="400" w:right="474" w:firstLine="479"/>
        <w:jc w:val="both"/>
        <w:rPr>
          <w:color w:val="auto"/>
          <w:sz w:val="21"/>
          <w:szCs w:val="21"/>
          <w:highlight w:val="none"/>
        </w:rPr>
      </w:pPr>
      <w:r>
        <w:rPr>
          <w:rFonts w:hint="eastAsia"/>
          <w:color w:val="auto"/>
          <w:sz w:val="21"/>
          <w:szCs w:val="21"/>
          <w:highlight w:val="none"/>
        </w:rPr>
        <w:t>【投标人对照招标文件第三章评分标准和第四章技术服务需求编写响应技术文件。由投标人自行编制，须对招标文件的所有相关技术服务需求要求作出详尽响应。】</w:t>
      </w:r>
    </w:p>
    <w:p>
      <w:pPr>
        <w:pStyle w:val="15"/>
        <w:spacing w:before="9" w:line="304" w:lineRule="auto"/>
        <w:ind w:left="400" w:right="474" w:firstLine="479"/>
        <w:jc w:val="both"/>
        <w:rPr>
          <w:color w:val="auto"/>
          <w:sz w:val="21"/>
          <w:szCs w:val="21"/>
          <w:highlight w:val="none"/>
        </w:rPr>
      </w:pPr>
      <w:r>
        <w:rPr>
          <w:rFonts w:hint="eastAsia"/>
          <w:color w:val="auto"/>
          <w:sz w:val="21"/>
          <w:szCs w:val="21"/>
          <w:highlight w:val="none"/>
        </w:rPr>
        <w:t xml:space="preserve">【拟派实施人员相关内容请按附件 </w:t>
      </w:r>
      <w:r>
        <w:rPr>
          <w:rFonts w:hint="eastAsia"/>
          <w:color w:val="auto"/>
          <w:sz w:val="21"/>
          <w:szCs w:val="21"/>
          <w:highlight w:val="none"/>
          <w:lang w:val="en-US"/>
        </w:rPr>
        <w:t>8</w:t>
      </w:r>
      <w:r>
        <w:rPr>
          <w:rFonts w:hint="eastAsia"/>
          <w:color w:val="auto"/>
          <w:sz w:val="21"/>
          <w:szCs w:val="21"/>
          <w:highlight w:val="none"/>
        </w:rPr>
        <w:t xml:space="preserve">-1 和 </w:t>
      </w:r>
      <w:r>
        <w:rPr>
          <w:rFonts w:hint="eastAsia"/>
          <w:color w:val="auto"/>
          <w:sz w:val="21"/>
          <w:szCs w:val="21"/>
          <w:highlight w:val="none"/>
          <w:lang w:val="en-US"/>
        </w:rPr>
        <w:t>8</w:t>
      </w:r>
      <w:r>
        <w:rPr>
          <w:rFonts w:hint="eastAsia"/>
          <w:color w:val="auto"/>
          <w:sz w:val="21"/>
          <w:szCs w:val="21"/>
          <w:highlight w:val="none"/>
        </w:rPr>
        <w:t>-2 格式填写，以便评标时查阅。】</w:t>
      </w:r>
    </w:p>
    <w:p>
      <w:pPr>
        <w:pStyle w:val="37"/>
        <w:spacing w:line="400" w:lineRule="exact"/>
        <w:jc w:val="center"/>
        <w:rPr>
          <w:rFonts w:ascii="宋体" w:hAnsi="宋体" w:cs="宋体"/>
          <w:b/>
          <w:color w:val="auto"/>
          <w:sz w:val="24"/>
          <w:szCs w:val="21"/>
          <w:highlight w:val="none"/>
        </w:rPr>
      </w:pPr>
      <w:bookmarkStart w:id="99" w:name="_bookmark118"/>
      <w:bookmarkEnd w:id="99"/>
      <w:r>
        <w:rPr>
          <w:rFonts w:hint="eastAsia" w:ascii="宋体" w:hAnsi="宋体" w:cs="宋体"/>
          <w:b/>
          <w:color w:val="auto"/>
          <w:sz w:val="24"/>
          <w:szCs w:val="21"/>
          <w:highlight w:val="none"/>
        </w:rPr>
        <w:t>8-1 拟派实施人员汇总表格式</w:t>
      </w:r>
    </w:p>
    <w:p>
      <w:pPr>
        <w:pStyle w:val="37"/>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拟派实施人员表</w:t>
      </w:r>
    </w:p>
    <w:p>
      <w:pPr>
        <w:pStyle w:val="15"/>
        <w:spacing w:before="5"/>
        <w:rPr>
          <w:b/>
          <w:color w:val="auto"/>
          <w:sz w:val="10"/>
          <w:szCs w:val="21"/>
          <w:highlight w:val="none"/>
        </w:rPr>
      </w:pPr>
    </w:p>
    <w:tbl>
      <w:tblPr>
        <w:tblStyle w:val="2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姓名</w:t>
            </w:r>
          </w:p>
        </w:tc>
        <w:tc>
          <w:tcPr>
            <w:tcW w:w="17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联系方式</w:t>
            </w:r>
          </w:p>
        </w:tc>
        <w:tc>
          <w:tcPr>
            <w:tcW w:w="269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本项目中拟任岗位</w:t>
            </w:r>
          </w:p>
        </w:tc>
        <w:tc>
          <w:tcPr>
            <w:tcW w:w="177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相关资质认证</w:t>
            </w:r>
          </w:p>
        </w:tc>
        <w:tc>
          <w:tcPr>
            <w:tcW w:w="2127"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4"/>
              <w:jc w:val="center"/>
              <w:rPr>
                <w:rFonts w:ascii="宋体" w:hAnsi="宋体" w:eastAsia="宋体" w:cs="宋体"/>
                <w:color w:val="auto"/>
                <w:sz w:val="21"/>
                <w:szCs w:val="20"/>
                <w:highlight w:val="none"/>
              </w:rPr>
            </w:pPr>
          </w:p>
        </w:tc>
        <w:tc>
          <w:tcPr>
            <w:tcW w:w="1704" w:type="dxa"/>
            <w:vAlign w:val="center"/>
          </w:tcPr>
          <w:p>
            <w:pPr>
              <w:pStyle w:val="34"/>
              <w:jc w:val="center"/>
              <w:rPr>
                <w:rFonts w:ascii="宋体" w:hAnsi="宋体" w:eastAsia="宋体" w:cs="宋体"/>
                <w:color w:val="auto"/>
                <w:sz w:val="21"/>
                <w:szCs w:val="20"/>
                <w:highlight w:val="none"/>
              </w:rPr>
            </w:pPr>
          </w:p>
        </w:tc>
        <w:tc>
          <w:tcPr>
            <w:tcW w:w="2693" w:type="dxa"/>
            <w:vAlign w:val="center"/>
          </w:tcPr>
          <w:p>
            <w:pPr>
              <w:pStyle w:val="34"/>
              <w:jc w:val="center"/>
              <w:rPr>
                <w:rFonts w:ascii="宋体" w:hAnsi="宋体" w:eastAsia="宋体" w:cs="宋体"/>
                <w:color w:val="auto"/>
                <w:sz w:val="21"/>
                <w:szCs w:val="20"/>
                <w:highlight w:val="none"/>
              </w:rPr>
            </w:pPr>
          </w:p>
        </w:tc>
        <w:tc>
          <w:tcPr>
            <w:tcW w:w="1772" w:type="dxa"/>
            <w:vAlign w:val="center"/>
          </w:tcPr>
          <w:p>
            <w:pPr>
              <w:pStyle w:val="34"/>
              <w:jc w:val="center"/>
              <w:rPr>
                <w:rFonts w:ascii="宋体" w:hAnsi="宋体" w:eastAsia="宋体" w:cs="宋体"/>
                <w:color w:val="auto"/>
                <w:sz w:val="21"/>
                <w:szCs w:val="20"/>
                <w:highlight w:val="none"/>
              </w:rPr>
            </w:pPr>
          </w:p>
        </w:tc>
        <w:tc>
          <w:tcPr>
            <w:tcW w:w="2127" w:type="dxa"/>
            <w:vAlign w:val="center"/>
          </w:tcPr>
          <w:p>
            <w:pPr>
              <w:pStyle w:val="34"/>
              <w:jc w:val="center"/>
              <w:rPr>
                <w:rFonts w:ascii="宋体" w:hAnsi="宋体" w:eastAsia="宋体" w:cs="宋体"/>
                <w:color w:val="auto"/>
                <w:sz w:val="21"/>
                <w:szCs w:val="20"/>
                <w:highlight w:val="none"/>
              </w:rPr>
            </w:pPr>
          </w:p>
        </w:tc>
      </w:tr>
    </w:tbl>
    <w:p>
      <w:pPr>
        <w:pStyle w:val="15"/>
        <w:spacing w:before="1"/>
        <w:rPr>
          <w:b/>
          <w:color w:val="auto"/>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37"/>
        <w:spacing w:line="400" w:lineRule="exact"/>
        <w:jc w:val="center"/>
        <w:rPr>
          <w:rFonts w:ascii="宋体" w:hAnsi="宋体" w:cs="宋体"/>
          <w:b/>
          <w:color w:val="auto"/>
          <w:sz w:val="24"/>
          <w:szCs w:val="21"/>
          <w:highlight w:val="none"/>
        </w:rPr>
      </w:pPr>
      <w:bookmarkStart w:id="100" w:name="_bookmark119"/>
      <w:bookmarkEnd w:id="100"/>
      <w:r>
        <w:rPr>
          <w:rFonts w:hint="eastAsia" w:ascii="宋体" w:hAnsi="宋体" w:cs="宋体"/>
          <w:b/>
          <w:color w:val="auto"/>
          <w:sz w:val="24"/>
          <w:szCs w:val="21"/>
          <w:highlight w:val="none"/>
        </w:rPr>
        <w:t>8-2 拟派实施人员表格式</w:t>
      </w:r>
    </w:p>
    <w:p>
      <w:pPr>
        <w:pStyle w:val="37"/>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人员简历</w:t>
      </w:r>
    </w:p>
    <w:p>
      <w:pPr>
        <w:pStyle w:val="15"/>
        <w:spacing w:before="7"/>
        <w:rPr>
          <w:b/>
          <w:color w:val="auto"/>
          <w:sz w:val="10"/>
          <w:szCs w:val="21"/>
          <w:highlight w:val="none"/>
        </w:rPr>
      </w:pPr>
    </w:p>
    <w:tbl>
      <w:tblPr>
        <w:tblStyle w:val="2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姓名</w:t>
            </w:r>
          </w:p>
        </w:tc>
        <w:tc>
          <w:tcPr>
            <w:tcW w:w="1660" w:type="dxa"/>
            <w:vAlign w:val="center"/>
          </w:tcPr>
          <w:p>
            <w:pPr>
              <w:pStyle w:val="34"/>
              <w:jc w:val="center"/>
              <w:rPr>
                <w:rFonts w:ascii="宋体" w:hAnsi="宋体" w:eastAsia="宋体" w:cs="宋体"/>
                <w:color w:val="auto"/>
                <w:sz w:val="21"/>
                <w:szCs w:val="20"/>
                <w:highlight w:val="none"/>
              </w:rPr>
            </w:pPr>
          </w:p>
        </w:tc>
        <w:tc>
          <w:tcPr>
            <w:tcW w:w="170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358" w:type="dxa"/>
            <w:vAlign w:val="center"/>
          </w:tcPr>
          <w:p>
            <w:pPr>
              <w:pStyle w:val="34"/>
              <w:jc w:val="center"/>
              <w:rPr>
                <w:rFonts w:ascii="宋体" w:hAnsi="宋体" w:eastAsia="宋体" w:cs="宋体"/>
                <w:color w:val="auto"/>
                <w:sz w:val="21"/>
                <w:szCs w:val="20"/>
                <w:highlight w:val="none"/>
              </w:rPr>
            </w:pPr>
          </w:p>
        </w:tc>
        <w:tc>
          <w:tcPr>
            <w:tcW w:w="1617"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职称</w:t>
            </w:r>
          </w:p>
        </w:tc>
        <w:tc>
          <w:tcPr>
            <w:tcW w:w="184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年龄</w:t>
            </w:r>
          </w:p>
        </w:tc>
        <w:tc>
          <w:tcPr>
            <w:tcW w:w="1660" w:type="dxa"/>
            <w:vAlign w:val="center"/>
          </w:tcPr>
          <w:p>
            <w:pPr>
              <w:pStyle w:val="34"/>
              <w:jc w:val="center"/>
              <w:rPr>
                <w:rFonts w:ascii="宋体" w:hAnsi="宋体" w:eastAsia="宋体" w:cs="宋体"/>
                <w:color w:val="auto"/>
                <w:sz w:val="21"/>
                <w:szCs w:val="20"/>
                <w:highlight w:val="none"/>
              </w:rPr>
            </w:pPr>
          </w:p>
        </w:tc>
        <w:tc>
          <w:tcPr>
            <w:tcW w:w="170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本项目拟任职</w:t>
            </w:r>
          </w:p>
        </w:tc>
        <w:tc>
          <w:tcPr>
            <w:tcW w:w="1358" w:type="dxa"/>
            <w:vAlign w:val="center"/>
          </w:tcPr>
          <w:p>
            <w:pPr>
              <w:pStyle w:val="34"/>
              <w:jc w:val="center"/>
              <w:rPr>
                <w:rFonts w:ascii="宋体" w:hAnsi="宋体" w:eastAsia="宋体" w:cs="宋体"/>
                <w:color w:val="auto"/>
                <w:sz w:val="21"/>
                <w:szCs w:val="20"/>
                <w:highlight w:val="none"/>
              </w:rPr>
            </w:pPr>
          </w:p>
        </w:tc>
        <w:tc>
          <w:tcPr>
            <w:tcW w:w="1617"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单位任职时间</w:t>
            </w:r>
          </w:p>
        </w:tc>
        <w:tc>
          <w:tcPr>
            <w:tcW w:w="1843"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tcPr>
          <w:p>
            <w:pPr>
              <w:pStyle w:val="34"/>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pStyle w:val="34"/>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tcPr>
          <w:p>
            <w:pPr>
              <w:pStyle w:val="34"/>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pStyle w:val="34"/>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年份</w:t>
            </w:r>
          </w:p>
        </w:tc>
        <w:tc>
          <w:tcPr>
            <w:tcW w:w="5771" w:type="dxa"/>
            <w:gridSpan w:val="4"/>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最近参加过的主要项目名称</w:t>
            </w:r>
          </w:p>
        </w:tc>
        <w:tc>
          <w:tcPr>
            <w:tcW w:w="2409" w:type="dxa"/>
            <w:gridSpan w:val="2"/>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担任职务或承担的主</w:t>
            </w:r>
          </w:p>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4"/>
              <w:jc w:val="center"/>
              <w:rPr>
                <w:rFonts w:ascii="宋体" w:hAnsi="宋体" w:eastAsia="宋体" w:cs="宋体"/>
                <w:color w:val="auto"/>
                <w:sz w:val="21"/>
                <w:szCs w:val="20"/>
                <w:highlight w:val="none"/>
              </w:rPr>
            </w:pPr>
          </w:p>
        </w:tc>
        <w:tc>
          <w:tcPr>
            <w:tcW w:w="5771" w:type="dxa"/>
            <w:gridSpan w:val="4"/>
            <w:vAlign w:val="center"/>
          </w:tcPr>
          <w:p>
            <w:pPr>
              <w:pStyle w:val="34"/>
              <w:jc w:val="center"/>
              <w:rPr>
                <w:rFonts w:ascii="宋体" w:hAnsi="宋体" w:eastAsia="宋体" w:cs="宋体"/>
                <w:color w:val="auto"/>
                <w:sz w:val="21"/>
                <w:szCs w:val="20"/>
                <w:highlight w:val="none"/>
              </w:rPr>
            </w:pPr>
          </w:p>
        </w:tc>
        <w:tc>
          <w:tcPr>
            <w:tcW w:w="2409" w:type="dxa"/>
            <w:gridSpan w:val="2"/>
            <w:vAlign w:val="center"/>
          </w:tcPr>
          <w:p>
            <w:pPr>
              <w:pStyle w:val="34"/>
              <w:jc w:val="center"/>
              <w:rPr>
                <w:rFonts w:ascii="宋体" w:hAnsi="宋体" w:eastAsia="宋体" w:cs="宋体"/>
                <w:color w:val="auto"/>
                <w:sz w:val="21"/>
                <w:szCs w:val="20"/>
                <w:highlight w:val="none"/>
              </w:rPr>
            </w:pPr>
          </w:p>
        </w:tc>
      </w:tr>
    </w:tbl>
    <w:p>
      <w:pPr>
        <w:pStyle w:val="15"/>
        <w:spacing w:before="2"/>
        <w:ind w:left="400"/>
        <w:rPr>
          <w:color w:val="auto"/>
          <w:sz w:val="21"/>
          <w:szCs w:val="21"/>
          <w:highlight w:val="none"/>
        </w:rPr>
      </w:pPr>
      <w:r>
        <w:rPr>
          <w:rFonts w:hint="eastAsia"/>
          <w:color w:val="auto"/>
          <w:sz w:val="21"/>
          <w:szCs w:val="21"/>
          <w:highlight w:val="none"/>
        </w:rPr>
        <w:t>注：按照评分标准细则要求提供人员相关证明文件（如有）。</w:t>
      </w:r>
    </w:p>
    <w:p>
      <w:pPr>
        <w:rPr>
          <w:color w:val="auto"/>
          <w:sz w:val="20"/>
          <w:szCs w:val="20"/>
          <w:highlight w:val="none"/>
        </w:rPr>
      </w:pPr>
      <w:r>
        <w:rPr>
          <w:rFonts w:hint="eastAsia"/>
          <w:color w:val="auto"/>
          <w:sz w:val="20"/>
          <w:szCs w:val="20"/>
          <w:highlight w:val="none"/>
        </w:rPr>
        <w:br w:type="page"/>
      </w:r>
    </w:p>
    <w:p>
      <w:pPr>
        <w:pStyle w:val="37"/>
        <w:spacing w:line="400" w:lineRule="exact"/>
        <w:jc w:val="center"/>
        <w:rPr>
          <w:rFonts w:ascii="宋体" w:hAnsi="宋体" w:cs="宋体"/>
          <w:b/>
          <w:color w:val="auto"/>
          <w:sz w:val="24"/>
          <w:szCs w:val="21"/>
          <w:highlight w:val="none"/>
        </w:rPr>
      </w:pPr>
      <w:bookmarkStart w:id="101" w:name="_bookmark120"/>
      <w:bookmarkEnd w:id="101"/>
      <w:r>
        <w:rPr>
          <w:rFonts w:hint="eastAsia" w:ascii="宋体" w:hAnsi="宋体" w:cs="宋体"/>
          <w:b/>
          <w:color w:val="auto"/>
          <w:sz w:val="24"/>
          <w:szCs w:val="21"/>
          <w:highlight w:val="none"/>
        </w:rPr>
        <w:t>8-3 主、辅件一览表格式</w:t>
      </w:r>
    </w:p>
    <w:tbl>
      <w:tblPr>
        <w:tblStyle w:val="29"/>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194"/>
        <w:gridCol w:w="1212"/>
        <w:gridCol w:w="943"/>
        <w:gridCol w:w="941"/>
        <w:gridCol w:w="1081"/>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219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原材料、五金件名称</w:t>
            </w:r>
          </w:p>
        </w:tc>
        <w:tc>
          <w:tcPr>
            <w:tcW w:w="121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规格型号</w:t>
            </w:r>
          </w:p>
        </w:tc>
        <w:tc>
          <w:tcPr>
            <w:tcW w:w="94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品牌</w:t>
            </w:r>
          </w:p>
        </w:tc>
        <w:tc>
          <w:tcPr>
            <w:tcW w:w="941"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产地</w:t>
            </w:r>
          </w:p>
        </w:tc>
        <w:tc>
          <w:tcPr>
            <w:tcW w:w="1081"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制造商</w:t>
            </w:r>
          </w:p>
        </w:tc>
        <w:tc>
          <w:tcPr>
            <w:tcW w:w="19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备注所应用的投标产品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一</w:t>
            </w: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4"/>
              <w:jc w:val="center"/>
              <w:rPr>
                <w:rFonts w:ascii="宋体" w:hAnsi="宋体" w:eastAsia="宋体" w:cs="宋体"/>
                <w:color w:val="auto"/>
                <w:sz w:val="21"/>
                <w:szCs w:val="20"/>
                <w:highlight w:val="none"/>
              </w:rPr>
            </w:pP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二</w:t>
            </w: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4"/>
              <w:jc w:val="center"/>
              <w:rPr>
                <w:rFonts w:ascii="宋体" w:hAnsi="宋体" w:eastAsia="宋体" w:cs="宋体"/>
                <w:color w:val="auto"/>
                <w:sz w:val="21"/>
                <w:szCs w:val="20"/>
                <w:highlight w:val="none"/>
              </w:rPr>
            </w:pP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三</w:t>
            </w: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4"/>
              <w:jc w:val="center"/>
              <w:rPr>
                <w:rFonts w:ascii="宋体" w:hAnsi="宋体" w:eastAsia="宋体" w:cs="宋体"/>
                <w:color w:val="auto"/>
                <w:sz w:val="21"/>
                <w:szCs w:val="20"/>
                <w:highlight w:val="none"/>
              </w:rPr>
            </w:pP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四</w:t>
            </w: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4"/>
              <w:jc w:val="center"/>
              <w:rPr>
                <w:rFonts w:ascii="宋体" w:hAnsi="宋体" w:eastAsia="宋体" w:cs="宋体"/>
                <w:color w:val="auto"/>
                <w:sz w:val="21"/>
                <w:szCs w:val="20"/>
                <w:highlight w:val="none"/>
              </w:rPr>
            </w:pP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五</w:t>
            </w: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4"/>
              <w:jc w:val="center"/>
              <w:rPr>
                <w:rFonts w:ascii="宋体" w:hAnsi="宋体" w:eastAsia="宋体" w:cs="宋体"/>
                <w:color w:val="auto"/>
                <w:sz w:val="21"/>
                <w:szCs w:val="20"/>
                <w:highlight w:val="none"/>
              </w:rPr>
            </w:pP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六</w:t>
            </w: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4"/>
              <w:jc w:val="center"/>
              <w:rPr>
                <w:rFonts w:ascii="宋体" w:hAnsi="宋体" w:eastAsia="宋体" w:cs="宋体"/>
                <w:color w:val="auto"/>
                <w:sz w:val="21"/>
                <w:szCs w:val="20"/>
                <w:highlight w:val="none"/>
              </w:rPr>
            </w:pPr>
          </w:p>
        </w:tc>
        <w:tc>
          <w:tcPr>
            <w:tcW w:w="2194" w:type="dxa"/>
            <w:vAlign w:val="center"/>
          </w:tcPr>
          <w:p>
            <w:pPr>
              <w:pStyle w:val="34"/>
              <w:jc w:val="center"/>
              <w:rPr>
                <w:rFonts w:ascii="宋体" w:hAnsi="宋体" w:eastAsia="宋体" w:cs="宋体"/>
                <w:color w:val="auto"/>
                <w:sz w:val="21"/>
                <w:szCs w:val="20"/>
                <w:highlight w:val="none"/>
              </w:rPr>
            </w:pP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七</w:t>
            </w:r>
          </w:p>
        </w:tc>
        <w:tc>
          <w:tcPr>
            <w:tcW w:w="219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w:t>
            </w:r>
          </w:p>
        </w:tc>
        <w:tc>
          <w:tcPr>
            <w:tcW w:w="1212" w:type="dxa"/>
            <w:vAlign w:val="center"/>
          </w:tcPr>
          <w:p>
            <w:pPr>
              <w:pStyle w:val="34"/>
              <w:jc w:val="center"/>
              <w:rPr>
                <w:rFonts w:ascii="宋体" w:hAnsi="宋体" w:eastAsia="宋体" w:cs="宋体"/>
                <w:color w:val="auto"/>
                <w:sz w:val="21"/>
                <w:szCs w:val="20"/>
                <w:highlight w:val="none"/>
              </w:rPr>
            </w:pPr>
          </w:p>
        </w:tc>
        <w:tc>
          <w:tcPr>
            <w:tcW w:w="943" w:type="dxa"/>
            <w:vAlign w:val="center"/>
          </w:tcPr>
          <w:p>
            <w:pPr>
              <w:pStyle w:val="34"/>
              <w:jc w:val="center"/>
              <w:rPr>
                <w:rFonts w:ascii="宋体" w:hAnsi="宋体" w:eastAsia="宋体" w:cs="宋体"/>
                <w:color w:val="auto"/>
                <w:sz w:val="21"/>
                <w:szCs w:val="20"/>
                <w:highlight w:val="none"/>
              </w:rPr>
            </w:pPr>
          </w:p>
        </w:tc>
        <w:tc>
          <w:tcPr>
            <w:tcW w:w="941" w:type="dxa"/>
            <w:vAlign w:val="center"/>
          </w:tcPr>
          <w:p>
            <w:pPr>
              <w:pStyle w:val="34"/>
              <w:jc w:val="center"/>
              <w:rPr>
                <w:rFonts w:ascii="宋体" w:hAnsi="宋体" w:eastAsia="宋体" w:cs="宋体"/>
                <w:color w:val="auto"/>
                <w:sz w:val="21"/>
                <w:szCs w:val="20"/>
                <w:highlight w:val="none"/>
              </w:rPr>
            </w:pPr>
          </w:p>
        </w:tc>
        <w:tc>
          <w:tcPr>
            <w:tcW w:w="1081" w:type="dxa"/>
            <w:vAlign w:val="center"/>
          </w:tcPr>
          <w:p>
            <w:pPr>
              <w:pStyle w:val="34"/>
              <w:jc w:val="center"/>
              <w:rPr>
                <w:rFonts w:ascii="宋体" w:hAnsi="宋体" w:eastAsia="宋体" w:cs="宋体"/>
                <w:color w:val="auto"/>
                <w:sz w:val="21"/>
                <w:szCs w:val="20"/>
                <w:highlight w:val="none"/>
              </w:rPr>
            </w:pPr>
          </w:p>
        </w:tc>
        <w:tc>
          <w:tcPr>
            <w:tcW w:w="1904" w:type="dxa"/>
            <w:vAlign w:val="center"/>
          </w:tcPr>
          <w:p>
            <w:pPr>
              <w:pStyle w:val="34"/>
              <w:jc w:val="center"/>
              <w:rPr>
                <w:rFonts w:ascii="宋体" w:hAnsi="宋体" w:eastAsia="宋体" w:cs="宋体"/>
                <w:color w:val="auto"/>
                <w:sz w:val="21"/>
                <w:szCs w:val="20"/>
                <w:highlight w:val="none"/>
              </w:rPr>
            </w:pPr>
          </w:p>
        </w:tc>
      </w:tr>
    </w:tbl>
    <w:p>
      <w:pPr>
        <w:pStyle w:val="15"/>
        <w:spacing w:before="2"/>
        <w:rPr>
          <w:b/>
          <w:color w:val="auto"/>
          <w:sz w:val="22"/>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7"/>
        <w:spacing w:before="43"/>
        <w:ind w:left="363" w:right="437"/>
        <w:rPr>
          <w:rFonts w:ascii="宋体" w:hAnsi="宋体" w:eastAsia="宋体" w:cs="宋体"/>
          <w:color w:val="auto"/>
          <w:sz w:val="28"/>
          <w:szCs w:val="28"/>
          <w:highlight w:val="none"/>
        </w:rPr>
      </w:pPr>
      <w:bookmarkStart w:id="102" w:name="_bookmark121"/>
      <w:bookmarkEnd w:id="102"/>
      <w:bookmarkStart w:id="103" w:name="_Toc15892"/>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9</w:t>
      </w:r>
      <w:r>
        <w:rPr>
          <w:rFonts w:hint="eastAsia" w:ascii="宋体" w:hAnsi="宋体" w:eastAsia="宋体" w:cs="宋体"/>
          <w:color w:val="auto"/>
          <w:sz w:val="28"/>
          <w:szCs w:val="28"/>
          <w:highlight w:val="none"/>
        </w:rPr>
        <w:t xml:space="preserve"> 其他商务技术文件材料</w:t>
      </w:r>
      <w:bookmarkEnd w:id="103"/>
    </w:p>
    <w:p>
      <w:pPr>
        <w:pStyle w:val="37"/>
        <w:spacing w:line="400" w:lineRule="exact"/>
        <w:jc w:val="center"/>
        <w:rPr>
          <w:rFonts w:ascii="宋体" w:hAnsi="宋体" w:cs="宋体"/>
          <w:b/>
          <w:color w:val="auto"/>
          <w:sz w:val="24"/>
          <w:szCs w:val="21"/>
          <w:highlight w:val="none"/>
        </w:rPr>
      </w:pPr>
      <w:bookmarkStart w:id="104" w:name="_bookmark122"/>
      <w:bookmarkEnd w:id="104"/>
      <w:r>
        <w:rPr>
          <w:rFonts w:hint="eastAsia" w:ascii="宋体" w:hAnsi="宋体" w:cs="宋体"/>
          <w:b/>
          <w:color w:val="auto"/>
          <w:sz w:val="24"/>
          <w:szCs w:val="21"/>
          <w:highlight w:val="none"/>
        </w:rPr>
        <w:t>9-1、相关业绩表建议格式</w:t>
      </w:r>
    </w:p>
    <w:tbl>
      <w:tblPr>
        <w:tblStyle w:val="29"/>
        <w:tblW w:w="0" w:type="auto"/>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378"/>
        <w:gridCol w:w="1305"/>
        <w:gridCol w:w="1353"/>
        <w:gridCol w:w="2119"/>
        <w:gridCol w:w="892"/>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378"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案例项目名称</w:t>
            </w:r>
          </w:p>
        </w:tc>
        <w:tc>
          <w:tcPr>
            <w:tcW w:w="1305"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用户单位</w:t>
            </w:r>
          </w:p>
        </w:tc>
        <w:tc>
          <w:tcPr>
            <w:tcW w:w="135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合同签订日期</w:t>
            </w:r>
          </w:p>
        </w:tc>
        <w:tc>
          <w:tcPr>
            <w:tcW w:w="211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案例概况简介</w:t>
            </w:r>
          </w:p>
        </w:tc>
        <w:tc>
          <w:tcPr>
            <w:tcW w:w="89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所在页码</w:t>
            </w:r>
          </w:p>
        </w:tc>
        <w:tc>
          <w:tcPr>
            <w:tcW w:w="127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p>
        </w:tc>
        <w:tc>
          <w:tcPr>
            <w:tcW w:w="1378" w:type="dxa"/>
            <w:vAlign w:val="center"/>
          </w:tcPr>
          <w:p>
            <w:pPr>
              <w:pStyle w:val="34"/>
              <w:jc w:val="center"/>
              <w:rPr>
                <w:rFonts w:ascii="宋体" w:hAnsi="宋体" w:eastAsia="宋体" w:cs="宋体"/>
                <w:color w:val="auto"/>
                <w:szCs w:val="20"/>
                <w:highlight w:val="none"/>
              </w:rPr>
            </w:pPr>
          </w:p>
        </w:tc>
        <w:tc>
          <w:tcPr>
            <w:tcW w:w="1305" w:type="dxa"/>
            <w:vAlign w:val="center"/>
          </w:tcPr>
          <w:p>
            <w:pPr>
              <w:pStyle w:val="34"/>
              <w:jc w:val="center"/>
              <w:rPr>
                <w:rFonts w:ascii="宋体" w:hAnsi="宋体" w:eastAsia="宋体" w:cs="宋体"/>
                <w:color w:val="auto"/>
                <w:szCs w:val="20"/>
                <w:highlight w:val="none"/>
              </w:rPr>
            </w:pPr>
          </w:p>
        </w:tc>
        <w:tc>
          <w:tcPr>
            <w:tcW w:w="1353" w:type="dxa"/>
            <w:vAlign w:val="center"/>
          </w:tcPr>
          <w:p>
            <w:pPr>
              <w:pStyle w:val="34"/>
              <w:jc w:val="center"/>
              <w:rPr>
                <w:rFonts w:ascii="宋体" w:hAnsi="宋体" w:eastAsia="宋体" w:cs="宋体"/>
                <w:color w:val="auto"/>
                <w:szCs w:val="20"/>
                <w:highlight w:val="none"/>
              </w:rPr>
            </w:pPr>
          </w:p>
        </w:tc>
        <w:tc>
          <w:tcPr>
            <w:tcW w:w="2119" w:type="dxa"/>
            <w:vAlign w:val="center"/>
          </w:tcPr>
          <w:p>
            <w:pPr>
              <w:pStyle w:val="34"/>
              <w:jc w:val="center"/>
              <w:rPr>
                <w:rFonts w:ascii="宋体" w:hAnsi="宋体" w:eastAsia="宋体" w:cs="宋体"/>
                <w:color w:val="auto"/>
                <w:szCs w:val="20"/>
                <w:highlight w:val="none"/>
              </w:rPr>
            </w:pPr>
          </w:p>
        </w:tc>
        <w:tc>
          <w:tcPr>
            <w:tcW w:w="892" w:type="dxa"/>
            <w:vAlign w:val="center"/>
          </w:tcPr>
          <w:p>
            <w:pPr>
              <w:pStyle w:val="34"/>
              <w:jc w:val="center"/>
              <w:rPr>
                <w:rFonts w:ascii="宋体" w:hAnsi="宋体" w:eastAsia="宋体" w:cs="宋体"/>
                <w:color w:val="auto"/>
                <w:szCs w:val="20"/>
                <w:highlight w:val="none"/>
              </w:rPr>
            </w:pPr>
          </w:p>
        </w:tc>
        <w:tc>
          <w:tcPr>
            <w:tcW w:w="1274" w:type="dxa"/>
            <w:vAlign w:val="center"/>
          </w:tcPr>
          <w:p>
            <w:pPr>
              <w:pStyle w:val="34"/>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2</w:t>
            </w:r>
          </w:p>
        </w:tc>
        <w:tc>
          <w:tcPr>
            <w:tcW w:w="1378" w:type="dxa"/>
            <w:vAlign w:val="center"/>
          </w:tcPr>
          <w:p>
            <w:pPr>
              <w:pStyle w:val="34"/>
              <w:jc w:val="center"/>
              <w:rPr>
                <w:rFonts w:ascii="宋体" w:hAnsi="宋体" w:eastAsia="宋体" w:cs="宋体"/>
                <w:color w:val="auto"/>
                <w:szCs w:val="20"/>
                <w:highlight w:val="none"/>
              </w:rPr>
            </w:pPr>
          </w:p>
        </w:tc>
        <w:tc>
          <w:tcPr>
            <w:tcW w:w="1305" w:type="dxa"/>
            <w:vAlign w:val="center"/>
          </w:tcPr>
          <w:p>
            <w:pPr>
              <w:pStyle w:val="34"/>
              <w:jc w:val="center"/>
              <w:rPr>
                <w:rFonts w:ascii="宋体" w:hAnsi="宋体" w:eastAsia="宋体" w:cs="宋体"/>
                <w:color w:val="auto"/>
                <w:szCs w:val="20"/>
                <w:highlight w:val="none"/>
              </w:rPr>
            </w:pPr>
          </w:p>
        </w:tc>
        <w:tc>
          <w:tcPr>
            <w:tcW w:w="1353" w:type="dxa"/>
            <w:vAlign w:val="center"/>
          </w:tcPr>
          <w:p>
            <w:pPr>
              <w:pStyle w:val="34"/>
              <w:jc w:val="center"/>
              <w:rPr>
                <w:rFonts w:ascii="宋体" w:hAnsi="宋体" w:eastAsia="宋体" w:cs="宋体"/>
                <w:color w:val="auto"/>
                <w:szCs w:val="20"/>
                <w:highlight w:val="none"/>
              </w:rPr>
            </w:pPr>
          </w:p>
        </w:tc>
        <w:tc>
          <w:tcPr>
            <w:tcW w:w="2119" w:type="dxa"/>
            <w:vAlign w:val="center"/>
          </w:tcPr>
          <w:p>
            <w:pPr>
              <w:pStyle w:val="34"/>
              <w:jc w:val="center"/>
              <w:rPr>
                <w:rFonts w:ascii="宋体" w:hAnsi="宋体" w:eastAsia="宋体" w:cs="宋体"/>
                <w:color w:val="auto"/>
                <w:szCs w:val="20"/>
                <w:highlight w:val="none"/>
              </w:rPr>
            </w:pPr>
          </w:p>
        </w:tc>
        <w:tc>
          <w:tcPr>
            <w:tcW w:w="892" w:type="dxa"/>
            <w:vAlign w:val="center"/>
          </w:tcPr>
          <w:p>
            <w:pPr>
              <w:pStyle w:val="34"/>
              <w:jc w:val="center"/>
              <w:rPr>
                <w:rFonts w:ascii="宋体" w:hAnsi="宋体" w:eastAsia="宋体" w:cs="宋体"/>
                <w:color w:val="auto"/>
                <w:szCs w:val="20"/>
                <w:highlight w:val="none"/>
              </w:rPr>
            </w:pPr>
          </w:p>
        </w:tc>
        <w:tc>
          <w:tcPr>
            <w:tcW w:w="1274" w:type="dxa"/>
            <w:vAlign w:val="center"/>
          </w:tcPr>
          <w:p>
            <w:pPr>
              <w:pStyle w:val="34"/>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3</w:t>
            </w:r>
          </w:p>
        </w:tc>
        <w:tc>
          <w:tcPr>
            <w:tcW w:w="1378" w:type="dxa"/>
            <w:vAlign w:val="center"/>
          </w:tcPr>
          <w:p>
            <w:pPr>
              <w:pStyle w:val="34"/>
              <w:jc w:val="center"/>
              <w:rPr>
                <w:rFonts w:ascii="宋体" w:hAnsi="宋体" w:eastAsia="宋体" w:cs="宋体"/>
                <w:color w:val="auto"/>
                <w:szCs w:val="20"/>
                <w:highlight w:val="none"/>
              </w:rPr>
            </w:pPr>
          </w:p>
        </w:tc>
        <w:tc>
          <w:tcPr>
            <w:tcW w:w="1305" w:type="dxa"/>
            <w:vAlign w:val="center"/>
          </w:tcPr>
          <w:p>
            <w:pPr>
              <w:pStyle w:val="34"/>
              <w:jc w:val="center"/>
              <w:rPr>
                <w:rFonts w:ascii="宋体" w:hAnsi="宋体" w:eastAsia="宋体" w:cs="宋体"/>
                <w:color w:val="auto"/>
                <w:szCs w:val="20"/>
                <w:highlight w:val="none"/>
              </w:rPr>
            </w:pPr>
          </w:p>
        </w:tc>
        <w:tc>
          <w:tcPr>
            <w:tcW w:w="1353" w:type="dxa"/>
            <w:vAlign w:val="center"/>
          </w:tcPr>
          <w:p>
            <w:pPr>
              <w:pStyle w:val="34"/>
              <w:jc w:val="center"/>
              <w:rPr>
                <w:rFonts w:ascii="宋体" w:hAnsi="宋体" w:eastAsia="宋体" w:cs="宋体"/>
                <w:color w:val="auto"/>
                <w:szCs w:val="20"/>
                <w:highlight w:val="none"/>
              </w:rPr>
            </w:pPr>
          </w:p>
        </w:tc>
        <w:tc>
          <w:tcPr>
            <w:tcW w:w="2119" w:type="dxa"/>
            <w:vAlign w:val="center"/>
          </w:tcPr>
          <w:p>
            <w:pPr>
              <w:pStyle w:val="34"/>
              <w:jc w:val="center"/>
              <w:rPr>
                <w:rFonts w:ascii="宋体" w:hAnsi="宋体" w:eastAsia="宋体" w:cs="宋体"/>
                <w:color w:val="auto"/>
                <w:szCs w:val="20"/>
                <w:highlight w:val="none"/>
              </w:rPr>
            </w:pPr>
          </w:p>
        </w:tc>
        <w:tc>
          <w:tcPr>
            <w:tcW w:w="892" w:type="dxa"/>
            <w:vAlign w:val="center"/>
          </w:tcPr>
          <w:p>
            <w:pPr>
              <w:pStyle w:val="34"/>
              <w:jc w:val="center"/>
              <w:rPr>
                <w:rFonts w:ascii="宋体" w:hAnsi="宋体" w:eastAsia="宋体" w:cs="宋体"/>
                <w:color w:val="auto"/>
                <w:szCs w:val="20"/>
                <w:highlight w:val="none"/>
              </w:rPr>
            </w:pPr>
          </w:p>
        </w:tc>
        <w:tc>
          <w:tcPr>
            <w:tcW w:w="1274" w:type="dxa"/>
            <w:vAlign w:val="center"/>
          </w:tcPr>
          <w:p>
            <w:pPr>
              <w:pStyle w:val="34"/>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4</w:t>
            </w:r>
          </w:p>
        </w:tc>
        <w:tc>
          <w:tcPr>
            <w:tcW w:w="1378" w:type="dxa"/>
            <w:vAlign w:val="center"/>
          </w:tcPr>
          <w:p>
            <w:pPr>
              <w:pStyle w:val="34"/>
              <w:jc w:val="center"/>
              <w:rPr>
                <w:rFonts w:ascii="宋体" w:hAnsi="宋体" w:eastAsia="宋体" w:cs="宋体"/>
                <w:color w:val="auto"/>
                <w:szCs w:val="20"/>
                <w:highlight w:val="none"/>
              </w:rPr>
            </w:pPr>
          </w:p>
        </w:tc>
        <w:tc>
          <w:tcPr>
            <w:tcW w:w="1305" w:type="dxa"/>
            <w:vAlign w:val="center"/>
          </w:tcPr>
          <w:p>
            <w:pPr>
              <w:pStyle w:val="34"/>
              <w:jc w:val="center"/>
              <w:rPr>
                <w:rFonts w:ascii="宋体" w:hAnsi="宋体" w:eastAsia="宋体" w:cs="宋体"/>
                <w:color w:val="auto"/>
                <w:szCs w:val="20"/>
                <w:highlight w:val="none"/>
              </w:rPr>
            </w:pPr>
          </w:p>
        </w:tc>
        <w:tc>
          <w:tcPr>
            <w:tcW w:w="1353" w:type="dxa"/>
            <w:vAlign w:val="center"/>
          </w:tcPr>
          <w:p>
            <w:pPr>
              <w:pStyle w:val="34"/>
              <w:jc w:val="center"/>
              <w:rPr>
                <w:rFonts w:ascii="宋体" w:hAnsi="宋体" w:eastAsia="宋体" w:cs="宋体"/>
                <w:color w:val="auto"/>
                <w:szCs w:val="20"/>
                <w:highlight w:val="none"/>
              </w:rPr>
            </w:pPr>
          </w:p>
        </w:tc>
        <w:tc>
          <w:tcPr>
            <w:tcW w:w="2119" w:type="dxa"/>
            <w:vAlign w:val="center"/>
          </w:tcPr>
          <w:p>
            <w:pPr>
              <w:pStyle w:val="34"/>
              <w:jc w:val="center"/>
              <w:rPr>
                <w:rFonts w:ascii="宋体" w:hAnsi="宋体" w:eastAsia="宋体" w:cs="宋体"/>
                <w:color w:val="auto"/>
                <w:szCs w:val="20"/>
                <w:highlight w:val="none"/>
              </w:rPr>
            </w:pPr>
          </w:p>
        </w:tc>
        <w:tc>
          <w:tcPr>
            <w:tcW w:w="892" w:type="dxa"/>
            <w:vAlign w:val="center"/>
          </w:tcPr>
          <w:p>
            <w:pPr>
              <w:pStyle w:val="34"/>
              <w:jc w:val="center"/>
              <w:rPr>
                <w:rFonts w:ascii="宋体" w:hAnsi="宋体" w:eastAsia="宋体" w:cs="宋体"/>
                <w:color w:val="auto"/>
                <w:szCs w:val="20"/>
                <w:highlight w:val="none"/>
              </w:rPr>
            </w:pPr>
          </w:p>
        </w:tc>
        <w:tc>
          <w:tcPr>
            <w:tcW w:w="1274" w:type="dxa"/>
            <w:vAlign w:val="center"/>
          </w:tcPr>
          <w:p>
            <w:pPr>
              <w:pStyle w:val="34"/>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5</w:t>
            </w:r>
          </w:p>
        </w:tc>
        <w:tc>
          <w:tcPr>
            <w:tcW w:w="1378" w:type="dxa"/>
            <w:vAlign w:val="center"/>
          </w:tcPr>
          <w:p>
            <w:pPr>
              <w:pStyle w:val="34"/>
              <w:jc w:val="center"/>
              <w:rPr>
                <w:rFonts w:ascii="宋体" w:hAnsi="宋体" w:eastAsia="宋体" w:cs="宋体"/>
                <w:color w:val="auto"/>
                <w:szCs w:val="20"/>
                <w:highlight w:val="none"/>
              </w:rPr>
            </w:pPr>
          </w:p>
        </w:tc>
        <w:tc>
          <w:tcPr>
            <w:tcW w:w="1305" w:type="dxa"/>
            <w:vAlign w:val="center"/>
          </w:tcPr>
          <w:p>
            <w:pPr>
              <w:pStyle w:val="34"/>
              <w:jc w:val="center"/>
              <w:rPr>
                <w:rFonts w:ascii="宋体" w:hAnsi="宋体" w:eastAsia="宋体" w:cs="宋体"/>
                <w:color w:val="auto"/>
                <w:szCs w:val="20"/>
                <w:highlight w:val="none"/>
              </w:rPr>
            </w:pPr>
          </w:p>
        </w:tc>
        <w:tc>
          <w:tcPr>
            <w:tcW w:w="1353" w:type="dxa"/>
            <w:vAlign w:val="center"/>
          </w:tcPr>
          <w:p>
            <w:pPr>
              <w:pStyle w:val="34"/>
              <w:jc w:val="center"/>
              <w:rPr>
                <w:rFonts w:ascii="宋体" w:hAnsi="宋体" w:eastAsia="宋体" w:cs="宋体"/>
                <w:color w:val="auto"/>
                <w:szCs w:val="20"/>
                <w:highlight w:val="none"/>
              </w:rPr>
            </w:pPr>
          </w:p>
        </w:tc>
        <w:tc>
          <w:tcPr>
            <w:tcW w:w="2119" w:type="dxa"/>
            <w:vAlign w:val="center"/>
          </w:tcPr>
          <w:p>
            <w:pPr>
              <w:pStyle w:val="34"/>
              <w:jc w:val="center"/>
              <w:rPr>
                <w:rFonts w:ascii="宋体" w:hAnsi="宋体" w:eastAsia="宋体" w:cs="宋体"/>
                <w:color w:val="auto"/>
                <w:szCs w:val="20"/>
                <w:highlight w:val="none"/>
              </w:rPr>
            </w:pPr>
          </w:p>
        </w:tc>
        <w:tc>
          <w:tcPr>
            <w:tcW w:w="892" w:type="dxa"/>
            <w:vAlign w:val="center"/>
          </w:tcPr>
          <w:p>
            <w:pPr>
              <w:pStyle w:val="34"/>
              <w:jc w:val="center"/>
              <w:rPr>
                <w:rFonts w:ascii="宋体" w:hAnsi="宋体" w:eastAsia="宋体" w:cs="宋体"/>
                <w:color w:val="auto"/>
                <w:szCs w:val="20"/>
                <w:highlight w:val="none"/>
              </w:rPr>
            </w:pPr>
          </w:p>
        </w:tc>
        <w:tc>
          <w:tcPr>
            <w:tcW w:w="1274" w:type="dxa"/>
            <w:vAlign w:val="center"/>
          </w:tcPr>
          <w:p>
            <w:pPr>
              <w:pStyle w:val="34"/>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4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78"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05"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53"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2119"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892"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27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r>
    </w:tbl>
    <w:p>
      <w:pPr>
        <w:pStyle w:val="15"/>
        <w:spacing w:before="5"/>
        <w:rPr>
          <w:b/>
          <w:color w:val="auto"/>
          <w:szCs w:val="21"/>
          <w:highlight w:val="none"/>
        </w:rPr>
      </w:pPr>
    </w:p>
    <w:p>
      <w:pPr>
        <w:pStyle w:val="33"/>
        <w:tabs>
          <w:tab w:val="left" w:pos="1354"/>
        </w:tabs>
        <w:spacing w:before="0"/>
        <w:ind w:left="-1" w:right="75" w:firstLine="0"/>
        <w:jc w:val="center"/>
        <w:rPr>
          <w:b/>
          <w:color w:val="auto"/>
          <w:szCs w:val="20"/>
          <w:highlight w:val="none"/>
        </w:rPr>
      </w:pPr>
      <w:bookmarkStart w:id="105" w:name="_bookmark123"/>
      <w:bookmarkEnd w:id="105"/>
      <w:r>
        <w:rPr>
          <w:rFonts w:hint="eastAsia"/>
          <w:b/>
          <w:color w:val="auto"/>
          <w:szCs w:val="20"/>
          <w:highlight w:val="none"/>
          <w:lang w:val="en-US"/>
        </w:rPr>
        <w:t>9-2</w:t>
      </w:r>
      <w:r>
        <w:rPr>
          <w:rFonts w:hint="eastAsia"/>
          <w:b/>
          <w:color w:val="auto"/>
          <w:szCs w:val="20"/>
          <w:highlight w:val="none"/>
        </w:rPr>
        <w:t>、其它招标文件要求的或投标人认为应当或有必要提供的资料</w:t>
      </w:r>
    </w:p>
    <w:p>
      <w:pPr>
        <w:jc w:val="center"/>
        <w:outlineLvl w:val="1"/>
        <w:rPr>
          <w:color w:val="auto"/>
          <w:szCs w:val="20"/>
          <w:highlight w:val="none"/>
        </w:rPr>
      </w:pPr>
      <w:r>
        <w:rPr>
          <w:rFonts w:hint="eastAsia"/>
          <w:color w:val="auto"/>
          <w:szCs w:val="20"/>
          <w:highlight w:val="none"/>
        </w:rPr>
        <w:br w:type="page"/>
      </w:r>
      <w:bookmarkStart w:id="106" w:name="_Toc28685"/>
      <w:bookmarkStart w:id="107" w:name="_Toc19797"/>
      <w:bookmarkStart w:id="108" w:name="_Toc5916"/>
      <w:r>
        <w:rPr>
          <w:rFonts w:hint="eastAsia"/>
          <w:b/>
          <w:bCs/>
          <w:color w:val="auto"/>
          <w:sz w:val="28"/>
          <w:szCs w:val="28"/>
          <w:highlight w:val="none"/>
        </w:rPr>
        <w:t>第</w:t>
      </w:r>
      <w:r>
        <w:rPr>
          <w:rFonts w:hint="eastAsia"/>
          <w:b/>
          <w:bCs/>
          <w:color w:val="auto"/>
          <w:sz w:val="28"/>
          <w:szCs w:val="28"/>
          <w:highlight w:val="none"/>
          <w:lang w:val="en-US"/>
        </w:rPr>
        <w:t>二</w:t>
      </w:r>
      <w:r>
        <w:rPr>
          <w:rFonts w:hint="eastAsia"/>
          <w:b/>
          <w:bCs/>
          <w:color w:val="auto"/>
          <w:sz w:val="28"/>
          <w:szCs w:val="28"/>
          <w:highlight w:val="none"/>
        </w:rPr>
        <w:t>节 报价文件格式</w:t>
      </w:r>
      <w:bookmarkEnd w:id="106"/>
      <w:bookmarkEnd w:id="107"/>
      <w:bookmarkEnd w:id="108"/>
    </w:p>
    <w:p>
      <w:pPr>
        <w:pStyle w:val="7"/>
        <w:spacing w:before="43"/>
        <w:ind w:right="116"/>
        <w:rPr>
          <w:rFonts w:ascii="宋体" w:hAnsi="宋体" w:eastAsia="宋体" w:cs="宋体"/>
          <w:color w:val="auto"/>
          <w:sz w:val="28"/>
          <w:szCs w:val="28"/>
          <w:highlight w:val="none"/>
        </w:rPr>
      </w:pPr>
      <w:bookmarkStart w:id="109" w:name="_bookmark107"/>
      <w:bookmarkEnd w:id="109"/>
      <w:bookmarkStart w:id="110" w:name="_Toc19883"/>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1</w:t>
      </w:r>
      <w:r>
        <w:rPr>
          <w:rFonts w:hint="eastAsia" w:ascii="宋体" w:hAnsi="宋体" w:eastAsia="宋体" w:cs="宋体"/>
          <w:color w:val="auto"/>
          <w:sz w:val="28"/>
          <w:szCs w:val="28"/>
          <w:highlight w:val="none"/>
        </w:rPr>
        <w:t xml:space="preserve"> 开标一览表格式</w:t>
      </w:r>
      <w:bookmarkEnd w:id="110"/>
    </w:p>
    <w:p>
      <w:pPr>
        <w:spacing w:before="212"/>
        <w:ind w:right="113"/>
        <w:jc w:val="center"/>
        <w:rPr>
          <w:b/>
          <w:color w:val="auto"/>
          <w:sz w:val="24"/>
          <w:szCs w:val="20"/>
          <w:highlight w:val="none"/>
        </w:rPr>
      </w:pPr>
      <w:r>
        <w:rPr>
          <w:rFonts w:hint="eastAsia"/>
          <w:b/>
          <w:color w:val="auto"/>
          <w:sz w:val="24"/>
          <w:szCs w:val="20"/>
          <w:highlight w:val="none"/>
        </w:rPr>
        <w:t>开标一览表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pPr>
        <w:pStyle w:val="37"/>
        <w:spacing w:line="520" w:lineRule="exact"/>
        <w:ind w:left="440" w:leftChars="200"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pPr>
        <w:pStyle w:val="37"/>
        <w:spacing w:line="520" w:lineRule="exact"/>
        <w:ind w:left="440" w:leftChars="200"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p>
    <w:tbl>
      <w:tblPr>
        <w:tblStyle w:val="29"/>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635"/>
        <w:gridCol w:w="2736"/>
        <w:gridCol w:w="2179"/>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65"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标项号</w:t>
            </w:r>
          </w:p>
        </w:tc>
        <w:tc>
          <w:tcPr>
            <w:tcW w:w="1635"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标项名称</w:t>
            </w:r>
          </w:p>
        </w:tc>
        <w:tc>
          <w:tcPr>
            <w:tcW w:w="2736"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投标总价</w:t>
            </w:r>
          </w:p>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（单位人民币元）</w:t>
            </w:r>
          </w:p>
        </w:tc>
        <w:tc>
          <w:tcPr>
            <w:tcW w:w="2179" w:type="dxa"/>
            <w:vAlign w:val="center"/>
          </w:tcPr>
          <w:p>
            <w:pPr>
              <w:pStyle w:val="34"/>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rPr>
              <w:t>投标保证金</w:t>
            </w:r>
            <w:r>
              <w:rPr>
                <w:rFonts w:hint="eastAsia" w:ascii="宋体" w:hAnsi="宋体" w:eastAsia="宋体" w:cs="宋体"/>
                <w:color w:val="auto"/>
                <w:sz w:val="21"/>
                <w:szCs w:val="20"/>
                <w:highlight w:val="none"/>
                <w:lang w:val="en-US"/>
              </w:rPr>
              <w:t>金额及形式</w:t>
            </w:r>
          </w:p>
        </w:tc>
        <w:tc>
          <w:tcPr>
            <w:tcW w:w="1814" w:type="dxa"/>
            <w:vAlign w:val="center"/>
          </w:tcPr>
          <w:p>
            <w:pPr>
              <w:pStyle w:val="34"/>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265" w:type="dxa"/>
            <w:vAlign w:val="center"/>
          </w:tcPr>
          <w:p>
            <w:pPr>
              <w:pStyle w:val="34"/>
              <w:jc w:val="center"/>
              <w:rPr>
                <w:rFonts w:ascii="宋体" w:hAnsi="宋体" w:eastAsia="宋体" w:cs="宋体"/>
                <w:color w:val="auto"/>
                <w:sz w:val="21"/>
                <w:szCs w:val="20"/>
                <w:highlight w:val="none"/>
              </w:rPr>
            </w:pPr>
          </w:p>
        </w:tc>
        <w:tc>
          <w:tcPr>
            <w:tcW w:w="1635" w:type="dxa"/>
            <w:vAlign w:val="center"/>
          </w:tcPr>
          <w:p>
            <w:pPr>
              <w:pStyle w:val="34"/>
              <w:jc w:val="center"/>
              <w:rPr>
                <w:rFonts w:ascii="宋体" w:hAnsi="宋体" w:eastAsia="宋体" w:cs="宋体"/>
                <w:color w:val="auto"/>
                <w:sz w:val="21"/>
                <w:szCs w:val="20"/>
                <w:highlight w:val="none"/>
              </w:rPr>
            </w:pPr>
          </w:p>
        </w:tc>
        <w:tc>
          <w:tcPr>
            <w:tcW w:w="2736" w:type="dxa"/>
            <w:vAlign w:val="center"/>
          </w:tcPr>
          <w:p>
            <w:pPr>
              <w:pStyle w:val="34"/>
              <w:spacing w:line="242" w:lineRule="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 xml:space="preserve">大写： </w:t>
            </w:r>
          </w:p>
          <w:p>
            <w:pPr>
              <w:pStyle w:val="34"/>
              <w:spacing w:line="242" w:lineRule="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小写：</w:t>
            </w:r>
          </w:p>
        </w:tc>
        <w:tc>
          <w:tcPr>
            <w:tcW w:w="2179" w:type="dxa"/>
            <w:vAlign w:val="center"/>
          </w:tcPr>
          <w:p>
            <w:pPr>
              <w:pStyle w:val="34"/>
              <w:spacing w:line="242" w:lineRule="auto"/>
              <w:ind w:hanging="18"/>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【保证金金额及形式，例如“XX 元， 电汇” 】</w:t>
            </w:r>
          </w:p>
        </w:tc>
        <w:tc>
          <w:tcPr>
            <w:tcW w:w="1814" w:type="dxa"/>
            <w:vAlign w:val="center"/>
          </w:tcPr>
          <w:p>
            <w:pPr>
              <w:pStyle w:val="34"/>
              <w:spacing w:line="242" w:lineRule="auto"/>
              <w:ind w:firstLine="79"/>
              <w:jc w:val="center"/>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不含税</w:t>
            </w:r>
          </w:p>
        </w:tc>
      </w:tr>
    </w:tbl>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1.此表正本应按投标人须知的规定单独密封提交，以便在开标时使用（投标文件副本中仍需保留本表并装订入投标文件）。</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（1）投标总价填写无条件折扣后的总价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不含税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，不得填写除价格外的任何其他优惠。</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（2）不得填写有条件折扣。</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（3）一个标项只能填写一个报价，不得将一个标项拆开报价。</w:t>
      </w:r>
    </w:p>
    <w:p>
      <w:pPr>
        <w:pStyle w:val="37"/>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2.此表中，投标总价应与附件 3 分项报价表中的投标总价一致。</w:t>
      </w:r>
    </w:p>
    <w:p>
      <w:pPr>
        <w:pStyle w:val="15"/>
        <w:spacing w:before="7"/>
        <w:rPr>
          <w:color w:val="auto"/>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p>
    <w:p>
      <w:pPr>
        <w:pStyle w:val="37"/>
        <w:spacing w:line="520" w:lineRule="exact"/>
        <w:ind w:left="440" w:leftChars="200" w:firstLine="420" w:firstLineChars="200"/>
        <w:rPr>
          <w:rFonts w:ascii="宋体" w:hAnsi="宋体" w:cs="宋体"/>
          <w:color w:val="auto"/>
          <w:sz w:val="21"/>
          <w:szCs w:val="21"/>
          <w:highlight w:val="none"/>
          <w:u w:val="single"/>
        </w:rPr>
      </w:pPr>
      <w:bookmarkStart w:id="111" w:name="_bookmark108"/>
      <w:bookmarkEnd w:id="111"/>
    </w:p>
    <w:p>
      <w:pPr>
        <w:rPr>
          <w:color w:val="auto"/>
          <w:sz w:val="20"/>
          <w:szCs w:val="20"/>
          <w:highlight w:val="none"/>
        </w:rPr>
        <w:sectPr>
          <w:footerReference r:id="rId5" w:type="default"/>
          <w:pgSz w:w="11910" w:h="16840"/>
          <w:pgMar w:top="1440" w:right="1080" w:bottom="1440" w:left="1080" w:header="850" w:footer="999" w:gutter="0"/>
          <w:pgNumType w:fmt="numberInDash" w:start="1"/>
          <w:cols w:space="720" w:num="1"/>
        </w:sectPr>
      </w:pPr>
    </w:p>
    <w:p>
      <w:pPr>
        <w:pStyle w:val="7"/>
        <w:spacing w:before="43"/>
        <w:ind w:right="116"/>
        <w:rPr>
          <w:rFonts w:ascii="宋体" w:hAnsi="宋体" w:eastAsia="宋体" w:cs="宋体"/>
          <w:color w:val="auto"/>
          <w:sz w:val="28"/>
          <w:szCs w:val="28"/>
          <w:highlight w:val="none"/>
        </w:rPr>
      </w:pPr>
      <w:bookmarkStart w:id="112" w:name="_bookmark109"/>
      <w:bookmarkEnd w:id="112"/>
      <w:bookmarkStart w:id="113" w:name="_Toc19941"/>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rPr>
        <w:t xml:space="preserve"> 投标分项报价表格式</w:t>
      </w:r>
      <w:bookmarkEnd w:id="113"/>
    </w:p>
    <w:p>
      <w:pPr>
        <w:spacing w:before="212"/>
        <w:ind w:right="113"/>
        <w:jc w:val="center"/>
        <w:rPr>
          <w:b/>
          <w:color w:val="auto"/>
          <w:sz w:val="24"/>
          <w:szCs w:val="20"/>
          <w:highlight w:val="none"/>
          <w:lang w:val="en-US"/>
        </w:rPr>
      </w:pPr>
      <w:r>
        <w:rPr>
          <w:rFonts w:hint="eastAsia"/>
          <w:b/>
          <w:color w:val="auto"/>
          <w:sz w:val="24"/>
          <w:szCs w:val="20"/>
          <w:highlight w:val="none"/>
          <w:lang w:val="en-US"/>
        </w:rPr>
        <w:t>投标分项报价表（货物类适用）</w:t>
      </w:r>
    </w:p>
    <w:p>
      <w:pPr>
        <w:pStyle w:val="15"/>
        <w:tabs>
          <w:tab w:val="left" w:pos="4855"/>
        </w:tabs>
        <w:spacing w:before="74"/>
        <w:ind w:left="240"/>
        <w:rPr>
          <w:color w:val="auto"/>
          <w:sz w:val="21"/>
          <w:szCs w:val="21"/>
          <w:highlight w:val="none"/>
          <w:u w:val="single"/>
          <w:lang w:val="en-US"/>
        </w:rPr>
      </w:pPr>
      <w:r>
        <w:rPr>
          <w:rFonts w:hint="eastAsia"/>
          <w:color w:val="auto"/>
          <w:sz w:val="21"/>
          <w:szCs w:val="21"/>
          <w:highlight w:val="none"/>
        </w:rPr>
        <w:t>项目名称：</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lang w:val="en-US"/>
        </w:rPr>
        <w:t xml:space="preserve">                   </w:t>
      </w:r>
      <w:r>
        <w:rPr>
          <w:rFonts w:hint="eastAsia"/>
          <w:color w:val="auto"/>
          <w:sz w:val="21"/>
          <w:szCs w:val="21"/>
          <w:highlight w:val="none"/>
        </w:rPr>
        <w:t>项目编号：</w:t>
      </w:r>
      <w:r>
        <w:rPr>
          <w:rFonts w:hint="eastAsia"/>
          <w:color w:val="auto"/>
          <w:sz w:val="21"/>
          <w:szCs w:val="21"/>
          <w:highlight w:val="none"/>
          <w:u w:val="single"/>
          <w:lang w:val="en-US"/>
        </w:rPr>
        <w:t xml:space="preserve">                       </w:t>
      </w:r>
    </w:p>
    <w:p>
      <w:pPr>
        <w:pStyle w:val="15"/>
        <w:tabs>
          <w:tab w:val="left" w:pos="4855"/>
        </w:tabs>
        <w:spacing w:before="74"/>
        <w:ind w:left="24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lang w:val="en-US"/>
        </w:rPr>
        <w:t xml:space="preserve">                   </w:t>
      </w:r>
      <w:r>
        <w:rPr>
          <w:rFonts w:hint="eastAsia"/>
          <w:color w:val="auto"/>
          <w:sz w:val="21"/>
          <w:szCs w:val="21"/>
          <w:highlight w:val="none"/>
        </w:rPr>
        <w:t>标项名称：</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u w:val="single"/>
        </w:rPr>
        <w:tab/>
      </w:r>
    </w:p>
    <w:p>
      <w:pPr>
        <w:pStyle w:val="15"/>
        <w:spacing w:before="1"/>
        <w:ind w:left="240"/>
        <w:jc w:val="right"/>
        <w:rPr>
          <w:color w:val="auto"/>
          <w:sz w:val="21"/>
          <w:szCs w:val="21"/>
          <w:highlight w:val="none"/>
        </w:rPr>
      </w:pPr>
      <w:r>
        <w:rPr>
          <w:rFonts w:hint="eastAsia"/>
          <w:color w:val="auto"/>
          <w:sz w:val="21"/>
          <w:szCs w:val="21"/>
          <w:highlight w:val="none"/>
        </w:rPr>
        <w:t>价格单位：人民币元</w:t>
      </w:r>
    </w:p>
    <w:p>
      <w:pPr>
        <w:pStyle w:val="15"/>
        <w:spacing w:before="4"/>
        <w:rPr>
          <w:color w:val="auto"/>
          <w:sz w:val="10"/>
          <w:szCs w:val="21"/>
          <w:highlight w:val="none"/>
        </w:rPr>
      </w:pPr>
    </w:p>
    <w:tbl>
      <w:tblPr>
        <w:tblStyle w:val="29"/>
        <w:tblW w:w="1424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7"/>
        <w:gridCol w:w="2069"/>
        <w:gridCol w:w="30"/>
        <w:gridCol w:w="956"/>
        <w:gridCol w:w="2047"/>
        <w:gridCol w:w="1839"/>
        <w:gridCol w:w="2563"/>
        <w:gridCol w:w="855"/>
        <w:gridCol w:w="1305"/>
        <w:gridCol w:w="825"/>
        <w:gridCol w:w="8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序号</w:t>
            </w:r>
          </w:p>
        </w:tc>
        <w:tc>
          <w:tcPr>
            <w:tcW w:w="2069"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名称</w:t>
            </w:r>
          </w:p>
        </w:tc>
        <w:tc>
          <w:tcPr>
            <w:tcW w:w="986" w:type="dxa"/>
            <w:gridSpan w:val="2"/>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数量</w:t>
            </w:r>
          </w:p>
        </w:tc>
        <w:tc>
          <w:tcPr>
            <w:tcW w:w="2047"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型号和规格</w:t>
            </w:r>
          </w:p>
        </w:tc>
        <w:tc>
          <w:tcPr>
            <w:tcW w:w="1839"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lang w:val="en-US"/>
              </w:rPr>
            </w:pPr>
            <w:r>
              <w:rPr>
                <w:rFonts w:hint="eastAsia" w:ascii="宋体" w:hAnsi="宋体" w:eastAsia="宋体" w:cs="宋体"/>
                <w:b/>
                <w:color w:val="auto"/>
                <w:sz w:val="21"/>
                <w:szCs w:val="20"/>
                <w:highlight w:val="none"/>
                <w:lang w:val="en-US"/>
              </w:rPr>
              <w:t>品牌</w:t>
            </w:r>
          </w:p>
        </w:tc>
        <w:tc>
          <w:tcPr>
            <w:tcW w:w="2563"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原产地和制造商名称</w:t>
            </w:r>
          </w:p>
        </w:tc>
        <w:tc>
          <w:tcPr>
            <w:tcW w:w="855" w:type="dxa"/>
            <w:tcBorders>
              <w:left w:val="single" w:color="000000" w:sz="4" w:space="0"/>
              <w:bottom w:val="single" w:color="000000" w:sz="4" w:space="0"/>
              <w:right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单价</w:t>
            </w:r>
          </w:p>
        </w:tc>
        <w:tc>
          <w:tcPr>
            <w:tcW w:w="1305" w:type="dxa"/>
            <w:tcBorders>
              <w:left w:val="single" w:color="000000" w:sz="4" w:space="0"/>
              <w:bottom w:val="single" w:color="000000" w:sz="4" w:space="0"/>
            </w:tcBorders>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分项合计</w:t>
            </w:r>
          </w:p>
        </w:tc>
        <w:tc>
          <w:tcPr>
            <w:tcW w:w="825" w:type="dxa"/>
            <w:tcBorders>
              <w:left w:val="single" w:color="000000" w:sz="4" w:space="0"/>
              <w:bottom w:val="single" w:color="000000" w:sz="4" w:space="0"/>
            </w:tcBorders>
            <w:vAlign w:val="center"/>
          </w:tcPr>
          <w:p>
            <w:pPr>
              <w:pStyle w:val="34"/>
              <w:jc w:val="center"/>
              <w:rPr>
                <w:rFonts w:hint="eastAsia" w:ascii="宋体" w:hAnsi="宋体" w:eastAsia="宋体" w:cs="宋体"/>
                <w:b/>
                <w:color w:val="auto"/>
                <w:sz w:val="21"/>
                <w:szCs w:val="20"/>
                <w:highlight w:val="none"/>
                <w:lang w:val="en-US" w:eastAsia="zh-CN"/>
              </w:rPr>
            </w:pPr>
            <w:r>
              <w:rPr>
                <w:rFonts w:hint="eastAsia" w:ascii="宋体" w:hAnsi="宋体" w:eastAsia="宋体" w:cs="宋体"/>
                <w:b/>
                <w:color w:val="auto"/>
                <w:sz w:val="21"/>
                <w:szCs w:val="20"/>
                <w:highlight w:val="none"/>
                <w:lang w:val="en-US" w:eastAsia="zh-CN"/>
              </w:rPr>
              <w:t>税金</w:t>
            </w:r>
          </w:p>
        </w:tc>
        <w:tc>
          <w:tcPr>
            <w:tcW w:w="825" w:type="dxa"/>
            <w:tcBorders>
              <w:left w:val="single" w:color="000000" w:sz="4" w:space="0"/>
              <w:bottom w:val="single" w:color="000000" w:sz="4" w:space="0"/>
            </w:tcBorders>
            <w:vAlign w:val="center"/>
          </w:tcPr>
          <w:p>
            <w:pPr>
              <w:pStyle w:val="34"/>
              <w:jc w:val="center"/>
              <w:rPr>
                <w:rFonts w:hint="default" w:ascii="宋体" w:hAnsi="宋体" w:eastAsia="宋体" w:cs="宋体"/>
                <w:b/>
                <w:color w:val="auto"/>
                <w:sz w:val="21"/>
                <w:szCs w:val="20"/>
                <w:highlight w:val="none"/>
                <w:lang w:val="en-US" w:eastAsia="zh-CN"/>
              </w:rPr>
            </w:pPr>
            <w:r>
              <w:rPr>
                <w:rFonts w:hint="eastAsia" w:ascii="宋体" w:hAnsi="宋体" w:eastAsia="宋体" w:cs="宋体"/>
                <w:b/>
                <w:color w:val="auto"/>
                <w:sz w:val="21"/>
                <w:szCs w:val="20"/>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1"/>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2563"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855" w:type="dxa"/>
            <w:tcBorders>
              <w:top w:val="single" w:color="000000" w:sz="4" w:space="0"/>
              <w:left w:val="single" w:color="000000" w:sz="4" w:space="0"/>
              <w:bottom w:val="single" w:color="000000" w:sz="4" w:space="0"/>
              <w:right w:val="single" w:color="000000" w:sz="4" w:space="0"/>
            </w:tcBorders>
          </w:tcPr>
          <w:p>
            <w:pPr>
              <w:pStyle w:val="34"/>
              <w:rPr>
                <w:rFonts w:ascii="宋体" w:hAnsi="宋体" w:eastAsia="宋体" w:cs="宋体"/>
                <w:color w:val="auto"/>
                <w:sz w:val="20"/>
                <w:szCs w:val="20"/>
                <w:highlight w:val="none"/>
              </w:rPr>
            </w:pPr>
          </w:p>
        </w:tc>
        <w:tc>
          <w:tcPr>
            <w:tcW w:w="130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c>
          <w:tcPr>
            <w:tcW w:w="825" w:type="dxa"/>
            <w:tcBorders>
              <w:top w:val="single" w:color="000000" w:sz="4" w:space="0"/>
              <w:left w:val="single" w:color="000000" w:sz="4" w:space="0"/>
              <w:bottom w:val="single" w:color="000000" w:sz="4" w:space="0"/>
            </w:tcBorders>
          </w:tcPr>
          <w:p>
            <w:pPr>
              <w:pStyle w:val="34"/>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jc w:val="center"/>
        </w:trPr>
        <w:tc>
          <w:tcPr>
            <w:tcW w:w="3026" w:type="dxa"/>
            <w:gridSpan w:val="3"/>
            <w:tcBorders>
              <w:top w:val="single" w:color="000000" w:sz="4" w:space="0"/>
              <w:right w:val="single" w:color="000000" w:sz="4" w:space="0"/>
            </w:tcBorders>
          </w:tcPr>
          <w:p>
            <w:pPr>
              <w:pStyle w:val="34"/>
              <w:jc w:val="right"/>
              <w:rPr>
                <w:rFonts w:ascii="宋体" w:hAnsi="宋体" w:eastAsia="宋体" w:cs="宋体"/>
                <w:color w:val="auto"/>
                <w:sz w:val="21"/>
                <w:szCs w:val="20"/>
                <w:highlight w:val="none"/>
              </w:rPr>
            </w:pPr>
          </w:p>
        </w:tc>
        <w:tc>
          <w:tcPr>
            <w:tcW w:w="8260" w:type="dxa"/>
            <w:gridSpan w:val="5"/>
            <w:tcBorders>
              <w:top w:val="single" w:color="000000" w:sz="4" w:space="0"/>
              <w:right w:val="single" w:color="000000" w:sz="4" w:space="0"/>
            </w:tcBorders>
          </w:tcPr>
          <w:p>
            <w:pPr>
              <w:pStyle w:val="34"/>
              <w:jc w:val="right"/>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投标总价</w:t>
            </w:r>
          </w:p>
        </w:tc>
        <w:tc>
          <w:tcPr>
            <w:tcW w:w="1305" w:type="dxa"/>
            <w:tcBorders>
              <w:top w:val="single" w:color="000000" w:sz="4" w:space="0"/>
              <w:left w:val="single" w:color="000000" w:sz="4" w:space="0"/>
            </w:tcBorders>
          </w:tcPr>
          <w:p>
            <w:pPr>
              <w:pStyle w:val="34"/>
              <w:rPr>
                <w:rFonts w:ascii="宋体" w:hAnsi="宋体" w:eastAsia="宋体" w:cs="宋体"/>
                <w:color w:val="auto"/>
                <w:sz w:val="21"/>
                <w:szCs w:val="20"/>
                <w:highlight w:val="none"/>
              </w:rPr>
            </w:pPr>
          </w:p>
        </w:tc>
        <w:tc>
          <w:tcPr>
            <w:tcW w:w="825" w:type="dxa"/>
            <w:tcBorders>
              <w:top w:val="single" w:color="000000" w:sz="4" w:space="0"/>
              <w:left w:val="single" w:color="000000" w:sz="4" w:space="0"/>
            </w:tcBorders>
          </w:tcPr>
          <w:p>
            <w:pPr>
              <w:pStyle w:val="34"/>
              <w:rPr>
                <w:rFonts w:ascii="宋体" w:hAnsi="宋体" w:eastAsia="宋体" w:cs="宋体"/>
                <w:color w:val="auto"/>
                <w:sz w:val="21"/>
                <w:szCs w:val="20"/>
                <w:highlight w:val="none"/>
              </w:rPr>
            </w:pPr>
          </w:p>
        </w:tc>
        <w:tc>
          <w:tcPr>
            <w:tcW w:w="825" w:type="dxa"/>
            <w:tcBorders>
              <w:top w:val="single" w:color="000000" w:sz="4" w:space="0"/>
              <w:left w:val="single" w:color="000000" w:sz="4" w:space="0"/>
            </w:tcBorders>
          </w:tcPr>
          <w:p>
            <w:pPr>
              <w:pStyle w:val="34"/>
              <w:rPr>
                <w:rFonts w:ascii="宋体" w:hAnsi="宋体" w:eastAsia="宋体" w:cs="宋体"/>
                <w:color w:val="auto"/>
                <w:sz w:val="21"/>
                <w:szCs w:val="20"/>
                <w:highlight w:val="none"/>
              </w:rPr>
            </w:pPr>
          </w:p>
        </w:tc>
      </w:tr>
    </w:tbl>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注：1、投标总价应为各分项合计汇总之和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不含税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税金单独计算</w:t>
      </w:r>
      <w:r>
        <w:rPr>
          <w:rFonts w:hint="eastAsia" w:ascii="宋体" w:hAnsi="宋体" w:cs="宋体"/>
          <w:color w:val="auto"/>
          <w:sz w:val="21"/>
          <w:szCs w:val="21"/>
          <w:highlight w:val="none"/>
        </w:rPr>
        <w:t>。</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2、如果不提供投标分项报价表将视为没有实质性响应招标文件。</w:t>
      </w:r>
    </w:p>
    <w:p>
      <w:pPr>
        <w:pStyle w:val="37"/>
        <w:spacing w:line="400" w:lineRule="exact"/>
        <w:ind w:left="440" w:leftChars="200" w:firstLine="420" w:firstLineChars="200"/>
        <w:rPr>
          <w:rFonts w:ascii="宋体" w:hAnsi="宋体" w:cs="宋体"/>
          <w:color w:val="auto"/>
          <w:sz w:val="21"/>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bookmarkStart w:id="114" w:name="_bookmark110"/>
      <w:bookmarkEnd w:id="114"/>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p>
    <w:p>
      <w:pPr>
        <w:pStyle w:val="13"/>
        <w:rPr>
          <w:color w:val="auto"/>
          <w:highlight w:val="none"/>
        </w:rPr>
        <w:sectPr>
          <w:headerReference r:id="rId6" w:type="default"/>
          <w:footerReference r:id="rId7" w:type="default"/>
          <w:pgSz w:w="16840" w:h="11910" w:orient="landscape"/>
          <w:pgMar w:top="1440" w:right="1080" w:bottom="1440" w:left="1080" w:header="850" w:footer="999" w:gutter="0"/>
          <w:pgNumType w:fmt="numberInDash"/>
          <w:cols w:space="720" w:num="1"/>
        </w:sectPr>
      </w:pPr>
    </w:p>
    <w:p>
      <w:pPr>
        <w:pStyle w:val="6"/>
        <w:spacing w:before="43"/>
        <w:ind w:left="363" w:right="437"/>
        <w:rPr>
          <w:rFonts w:ascii="宋体" w:hAnsi="宋体" w:eastAsia="宋体" w:cs="宋体"/>
          <w:color w:val="auto"/>
          <w:sz w:val="28"/>
          <w:szCs w:val="28"/>
          <w:highlight w:val="none"/>
          <w:lang w:val="en-US"/>
        </w:rPr>
      </w:pPr>
      <w:bookmarkStart w:id="115" w:name="_bookmark111"/>
      <w:bookmarkEnd w:id="115"/>
      <w:bookmarkStart w:id="116" w:name="_bookmark124"/>
      <w:bookmarkEnd w:id="116"/>
      <w:bookmarkStart w:id="117" w:name="_Toc26343"/>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rPr>
        <w:t xml:space="preserve">节 </w:t>
      </w:r>
      <w:r>
        <w:rPr>
          <w:rFonts w:hint="eastAsia" w:ascii="宋体" w:hAnsi="宋体" w:eastAsia="宋体" w:cs="宋体"/>
          <w:color w:val="auto"/>
          <w:sz w:val="28"/>
          <w:szCs w:val="28"/>
          <w:highlight w:val="none"/>
          <w:lang w:val="en-US"/>
        </w:rPr>
        <w:t>政府采购政策的证明文件</w:t>
      </w:r>
      <w:bookmarkEnd w:id="117"/>
    </w:p>
    <w:p>
      <w:pPr>
        <w:pStyle w:val="7"/>
        <w:spacing w:before="43"/>
        <w:ind w:left="363" w:right="437"/>
        <w:rPr>
          <w:rFonts w:ascii="宋体" w:hAnsi="宋体" w:eastAsia="宋体" w:cs="宋体"/>
          <w:color w:val="auto"/>
          <w:sz w:val="28"/>
          <w:szCs w:val="28"/>
          <w:highlight w:val="none"/>
          <w:lang w:val="en-US"/>
        </w:rPr>
      </w:pPr>
      <w:bookmarkStart w:id="118" w:name="_Toc24570"/>
      <w:r>
        <w:rPr>
          <w:rFonts w:hint="eastAsia" w:ascii="宋体" w:hAnsi="宋体" w:eastAsia="宋体" w:cs="宋体"/>
          <w:color w:val="auto"/>
          <w:sz w:val="28"/>
          <w:szCs w:val="28"/>
          <w:highlight w:val="none"/>
          <w:lang w:val="en-US"/>
        </w:rPr>
        <w:t>附件 1 中小企业声明函（货物）</w:t>
      </w:r>
      <w:bookmarkEnd w:id="118"/>
    </w:p>
    <w:p>
      <w:pPr>
        <w:jc w:val="center"/>
        <w:rPr>
          <w:b/>
          <w:color w:val="auto"/>
          <w:sz w:val="24"/>
          <w:szCs w:val="24"/>
          <w:highlight w:val="none"/>
        </w:rPr>
      </w:pPr>
      <w:r>
        <w:rPr>
          <w:rFonts w:hint="eastAsia"/>
          <w:b/>
          <w:color w:val="auto"/>
          <w:sz w:val="24"/>
          <w:szCs w:val="24"/>
          <w:highlight w:val="none"/>
        </w:rPr>
        <w:t>中小企业声明函（货物）</w:t>
      </w:r>
    </w:p>
    <w:p>
      <w:pPr>
        <w:pStyle w:val="15"/>
        <w:ind w:left="800"/>
        <w:rPr>
          <w:color w:val="auto"/>
          <w:sz w:val="21"/>
          <w:szCs w:val="21"/>
          <w:highlight w:val="none"/>
        </w:rPr>
      </w:pPr>
      <w:r>
        <w:rPr>
          <w:rFonts w:hint="eastAsia"/>
          <w:color w:val="auto"/>
          <w:sz w:val="21"/>
          <w:szCs w:val="21"/>
          <w:highlight w:val="none"/>
        </w:rPr>
        <w:t>本公司（联合体）郑重声明，根据《政府采购促进中小企业发展管理办法》</w:t>
      </w:r>
    </w:p>
    <w:p>
      <w:pPr>
        <w:pStyle w:val="15"/>
        <w:spacing w:before="158" w:line="364" w:lineRule="auto"/>
        <w:ind w:left="320" w:right="462"/>
        <w:jc w:val="both"/>
        <w:rPr>
          <w:color w:val="auto"/>
          <w:sz w:val="21"/>
          <w:szCs w:val="21"/>
          <w:highlight w:val="none"/>
        </w:rPr>
      </w:pPr>
      <w:r>
        <w:rPr>
          <w:rFonts w:hint="eastAsia"/>
          <w:color w:val="auto"/>
          <w:sz w:val="21"/>
          <w:szCs w:val="21"/>
          <w:highlight w:val="none"/>
        </w:rPr>
        <w:t>（财库〔2020〕46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 xml:space="preserve"> （项目名称） </w:t>
      </w:r>
      <w:r>
        <w:rPr>
          <w:rFonts w:hint="eastAsia"/>
          <w:color w:val="auto"/>
          <w:sz w:val="21"/>
          <w:szCs w:val="21"/>
          <w:highlight w:val="none"/>
        </w:rPr>
        <w:t>采购活动，提供的货物全部由符合政策要求的中小企业制造。相关企业（ 含联合体中的中小企业、签订分包意向协议的中小企业）的具体情况如下：</w:t>
      </w:r>
    </w:p>
    <w:p>
      <w:pPr>
        <w:pStyle w:val="33"/>
        <w:numPr>
          <w:ilvl w:val="0"/>
          <w:numId w:val="2"/>
        </w:numPr>
        <w:tabs>
          <w:tab w:val="left" w:pos="982"/>
          <w:tab w:val="left" w:pos="6725"/>
        </w:tabs>
        <w:spacing w:before="0" w:line="364" w:lineRule="auto"/>
        <w:ind w:right="553" w:firstLine="479"/>
        <w:jc w:val="both"/>
        <w:rPr>
          <w:color w:val="auto"/>
          <w:sz w:val="21"/>
          <w:szCs w:val="20"/>
          <w:highlight w:val="none"/>
        </w:rPr>
      </w:pPr>
      <w:r>
        <w:rPr>
          <w:rFonts w:hint="eastAsia"/>
          <w:color w:val="auto"/>
          <w:sz w:val="21"/>
          <w:szCs w:val="20"/>
          <w:highlight w:val="none"/>
          <w:u w:val="single"/>
        </w:rPr>
        <w:t xml:space="preserve">    （标的名称）</w:t>
      </w:r>
      <w:r>
        <w:rPr>
          <w:rFonts w:hint="eastAsia"/>
          <w:color w:val="auto"/>
          <w:sz w:val="21"/>
          <w:szCs w:val="20"/>
          <w:highlight w:val="none"/>
        </w:rPr>
        <w:t xml:space="preserve"> ，属于</w:t>
      </w:r>
      <w:r>
        <w:rPr>
          <w:rFonts w:hint="eastAsia"/>
          <w:color w:val="auto"/>
          <w:sz w:val="21"/>
          <w:szCs w:val="20"/>
          <w:highlight w:val="none"/>
          <w:u w:val="single"/>
        </w:rPr>
        <w:t xml:space="preserve"> （采购文件中明确的所属行业）行业</w:t>
      </w:r>
      <w:r>
        <w:rPr>
          <w:rFonts w:hint="eastAsia"/>
          <w:color w:val="auto"/>
          <w:sz w:val="21"/>
          <w:szCs w:val="20"/>
          <w:highlight w:val="none"/>
        </w:rPr>
        <w:t xml:space="preserve"> ；制造商为</w:t>
      </w:r>
      <w:r>
        <w:rPr>
          <w:rFonts w:hint="eastAsia"/>
          <w:color w:val="auto"/>
          <w:sz w:val="21"/>
          <w:szCs w:val="20"/>
          <w:highlight w:val="none"/>
          <w:u w:val="single"/>
        </w:rPr>
        <w:t xml:space="preserve"> （企业名称）</w:t>
      </w:r>
      <w:r>
        <w:rPr>
          <w:rFonts w:hint="eastAsia"/>
          <w:color w:val="auto"/>
          <w:sz w:val="21"/>
          <w:szCs w:val="20"/>
          <w:highlight w:val="none"/>
        </w:rPr>
        <w:t xml:space="preserve"> ，从业人员</w:t>
      </w:r>
      <w:r>
        <w:rPr>
          <w:rFonts w:hint="eastAsia"/>
          <w:color w:val="auto"/>
          <w:sz w:val="21"/>
          <w:szCs w:val="20"/>
          <w:highlight w:val="none"/>
          <w:u w:val="single"/>
        </w:rPr>
        <w:t xml:space="preserve"> </w:t>
      </w:r>
      <w:r>
        <w:rPr>
          <w:rFonts w:hint="eastAsia"/>
          <w:color w:val="auto"/>
          <w:sz w:val="21"/>
          <w:szCs w:val="20"/>
          <w:highlight w:val="none"/>
          <w:u w:val="single"/>
          <w:lang w:val="en-US"/>
        </w:rPr>
        <w:t xml:space="preserve">    </w:t>
      </w:r>
      <w:r>
        <w:rPr>
          <w:rFonts w:hint="eastAsia"/>
          <w:color w:val="auto"/>
          <w:sz w:val="21"/>
          <w:szCs w:val="20"/>
          <w:highlight w:val="none"/>
          <w:u w:val="single"/>
        </w:rPr>
        <w:t xml:space="preserve">  </w:t>
      </w:r>
      <w:r>
        <w:rPr>
          <w:rFonts w:hint="eastAsia"/>
          <w:color w:val="auto"/>
          <w:sz w:val="21"/>
          <w:szCs w:val="20"/>
          <w:highlight w:val="none"/>
        </w:rPr>
        <w:t xml:space="preserve"> 人，营业收入为</w:t>
      </w:r>
      <w:r>
        <w:rPr>
          <w:rFonts w:hint="eastAsia"/>
          <w:color w:val="auto"/>
          <w:sz w:val="21"/>
          <w:szCs w:val="20"/>
          <w:highlight w:val="none"/>
          <w:u w:val="single"/>
        </w:rPr>
        <w:t xml:space="preserve"> </w:t>
      </w:r>
      <w:r>
        <w:rPr>
          <w:rFonts w:hint="eastAsia"/>
          <w:color w:val="auto"/>
          <w:sz w:val="21"/>
          <w:szCs w:val="20"/>
          <w:highlight w:val="none"/>
          <w:u w:val="single"/>
          <w:lang w:val="en-US"/>
        </w:rPr>
        <w:t xml:space="preserve">        </w:t>
      </w:r>
      <w:r>
        <w:rPr>
          <w:rFonts w:hint="eastAsia"/>
          <w:color w:val="auto"/>
          <w:sz w:val="21"/>
          <w:szCs w:val="20"/>
          <w:highlight w:val="none"/>
          <w:u w:val="single"/>
        </w:rPr>
        <w:tab/>
      </w:r>
      <w:r>
        <w:rPr>
          <w:rFonts w:hint="eastAsia"/>
          <w:color w:val="auto"/>
          <w:sz w:val="21"/>
          <w:szCs w:val="20"/>
          <w:highlight w:val="none"/>
        </w:rPr>
        <w:t xml:space="preserve">万元，资产总额为万元 </w:t>
      </w:r>
      <w:r>
        <w:rPr>
          <w:rFonts w:hint="eastAsia"/>
          <w:color w:val="auto"/>
          <w:sz w:val="21"/>
          <w:szCs w:val="20"/>
          <w:highlight w:val="none"/>
          <w:vertAlign w:val="superscript"/>
        </w:rPr>
        <w:t>1</w:t>
      </w:r>
      <w:r>
        <w:rPr>
          <w:rFonts w:hint="eastAsia"/>
          <w:color w:val="auto"/>
          <w:sz w:val="21"/>
          <w:szCs w:val="20"/>
          <w:highlight w:val="none"/>
        </w:rPr>
        <w:t>，属于</w:t>
      </w:r>
      <w:r>
        <w:rPr>
          <w:rFonts w:hint="eastAsia"/>
          <w:color w:val="auto"/>
          <w:sz w:val="21"/>
          <w:szCs w:val="20"/>
          <w:highlight w:val="none"/>
          <w:u w:val="single"/>
        </w:rPr>
        <w:t>（中型企业、小型企业、微型企业）</w:t>
      </w:r>
      <w:r>
        <w:rPr>
          <w:rFonts w:hint="eastAsia"/>
          <w:color w:val="auto"/>
          <w:sz w:val="21"/>
          <w:szCs w:val="20"/>
          <w:highlight w:val="none"/>
        </w:rPr>
        <w:t>；</w:t>
      </w:r>
    </w:p>
    <w:p>
      <w:pPr>
        <w:pStyle w:val="33"/>
        <w:numPr>
          <w:ilvl w:val="0"/>
          <w:numId w:val="2"/>
        </w:numPr>
        <w:tabs>
          <w:tab w:val="left" w:pos="982"/>
          <w:tab w:val="left" w:pos="6725"/>
        </w:tabs>
        <w:spacing w:before="0" w:line="364" w:lineRule="auto"/>
        <w:ind w:right="553" w:firstLine="479"/>
        <w:jc w:val="both"/>
        <w:rPr>
          <w:color w:val="auto"/>
          <w:sz w:val="21"/>
          <w:szCs w:val="20"/>
          <w:highlight w:val="none"/>
        </w:rPr>
      </w:pPr>
      <w:r>
        <w:rPr>
          <w:rFonts w:hint="eastAsia"/>
          <w:color w:val="auto"/>
          <w:sz w:val="21"/>
          <w:szCs w:val="20"/>
          <w:highlight w:val="none"/>
          <w:u w:val="single"/>
        </w:rPr>
        <w:t xml:space="preserve">    （标的名称）</w:t>
      </w:r>
      <w:r>
        <w:rPr>
          <w:rFonts w:hint="eastAsia"/>
          <w:color w:val="auto"/>
          <w:sz w:val="21"/>
          <w:szCs w:val="20"/>
          <w:highlight w:val="none"/>
        </w:rPr>
        <w:t xml:space="preserve"> ，属于</w:t>
      </w:r>
      <w:r>
        <w:rPr>
          <w:rFonts w:hint="eastAsia"/>
          <w:color w:val="auto"/>
          <w:sz w:val="21"/>
          <w:szCs w:val="20"/>
          <w:highlight w:val="none"/>
          <w:u w:val="single"/>
        </w:rPr>
        <w:t xml:space="preserve"> （采购文件中明确的所属行业）行业</w:t>
      </w:r>
      <w:r>
        <w:rPr>
          <w:rFonts w:hint="eastAsia"/>
          <w:color w:val="auto"/>
          <w:sz w:val="21"/>
          <w:szCs w:val="20"/>
          <w:highlight w:val="none"/>
        </w:rPr>
        <w:t xml:space="preserve"> ；制造商为</w:t>
      </w:r>
      <w:r>
        <w:rPr>
          <w:rFonts w:hint="eastAsia"/>
          <w:color w:val="auto"/>
          <w:sz w:val="21"/>
          <w:szCs w:val="20"/>
          <w:highlight w:val="none"/>
          <w:u w:val="single"/>
        </w:rPr>
        <w:t xml:space="preserve"> （企业名称）</w:t>
      </w:r>
      <w:r>
        <w:rPr>
          <w:rFonts w:hint="eastAsia"/>
          <w:color w:val="auto"/>
          <w:sz w:val="21"/>
          <w:szCs w:val="20"/>
          <w:highlight w:val="none"/>
        </w:rPr>
        <w:t xml:space="preserve"> ，从业人员</w:t>
      </w:r>
      <w:r>
        <w:rPr>
          <w:rFonts w:hint="eastAsia"/>
          <w:color w:val="auto"/>
          <w:sz w:val="21"/>
          <w:szCs w:val="20"/>
          <w:highlight w:val="none"/>
          <w:u w:val="single"/>
        </w:rPr>
        <w:t xml:space="preserve">   </w:t>
      </w:r>
      <w:r>
        <w:rPr>
          <w:rFonts w:hint="eastAsia"/>
          <w:color w:val="auto"/>
          <w:sz w:val="21"/>
          <w:szCs w:val="20"/>
          <w:highlight w:val="none"/>
        </w:rPr>
        <w:t xml:space="preserve"> 人，营业收入为</w:t>
      </w:r>
      <w:r>
        <w:rPr>
          <w:rFonts w:hint="eastAsia"/>
          <w:color w:val="auto"/>
          <w:sz w:val="21"/>
          <w:szCs w:val="20"/>
          <w:highlight w:val="none"/>
          <w:u w:val="single"/>
        </w:rPr>
        <w:t xml:space="preserve"> </w:t>
      </w:r>
      <w:r>
        <w:rPr>
          <w:rFonts w:hint="eastAsia"/>
          <w:color w:val="auto"/>
          <w:sz w:val="21"/>
          <w:szCs w:val="20"/>
          <w:highlight w:val="none"/>
          <w:u w:val="single"/>
        </w:rPr>
        <w:tab/>
      </w:r>
      <w:r>
        <w:rPr>
          <w:rFonts w:hint="eastAsia"/>
          <w:color w:val="auto"/>
          <w:sz w:val="21"/>
          <w:szCs w:val="20"/>
          <w:highlight w:val="none"/>
        </w:rPr>
        <w:t>万元，资产总额为万元，属于</w:t>
      </w:r>
      <w:r>
        <w:rPr>
          <w:rFonts w:hint="eastAsia"/>
          <w:color w:val="auto"/>
          <w:sz w:val="21"/>
          <w:szCs w:val="20"/>
          <w:highlight w:val="none"/>
          <w:u w:val="single"/>
        </w:rPr>
        <w:t>（中型企业、小型企业、微型企业）</w:t>
      </w:r>
      <w:r>
        <w:rPr>
          <w:rFonts w:hint="eastAsia"/>
          <w:color w:val="auto"/>
          <w:sz w:val="21"/>
          <w:szCs w:val="20"/>
          <w:highlight w:val="none"/>
        </w:rPr>
        <w:t>；</w:t>
      </w:r>
    </w:p>
    <w:p>
      <w:pPr>
        <w:spacing w:line="272" w:lineRule="exact"/>
        <w:ind w:left="802"/>
        <w:rPr>
          <w:b/>
          <w:color w:val="auto"/>
          <w:sz w:val="21"/>
          <w:szCs w:val="20"/>
          <w:highlight w:val="none"/>
        </w:rPr>
      </w:pPr>
      <w:r>
        <w:rPr>
          <w:rFonts w:hint="eastAsia"/>
          <w:b/>
          <w:color w:val="auto"/>
          <w:sz w:val="21"/>
          <w:szCs w:val="20"/>
          <w:highlight w:val="none"/>
        </w:rPr>
        <w:t>……</w:t>
      </w:r>
    </w:p>
    <w:p>
      <w:pPr>
        <w:pStyle w:val="15"/>
        <w:spacing w:before="138" w:line="364" w:lineRule="auto"/>
        <w:ind w:left="320" w:right="556" w:firstLine="479"/>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pPr>
        <w:pStyle w:val="15"/>
        <w:spacing w:line="306" w:lineRule="exact"/>
        <w:ind w:left="800"/>
        <w:rPr>
          <w:color w:val="auto"/>
          <w:sz w:val="21"/>
          <w:szCs w:val="21"/>
          <w:highlight w:val="none"/>
        </w:rPr>
      </w:pPr>
      <w:r>
        <w:rPr>
          <w:rFonts w:hint="eastAsia"/>
          <w:color w:val="auto"/>
          <w:sz w:val="21"/>
          <w:szCs w:val="21"/>
          <w:highlight w:val="none"/>
        </w:rPr>
        <w:t>本企业对上述声明内容的真实性负责。如有虚假，将依法承担相应责任。</w:t>
      </w:r>
    </w:p>
    <w:p>
      <w:pPr>
        <w:pStyle w:val="15"/>
        <w:rPr>
          <w:color w:val="auto"/>
          <w:sz w:val="21"/>
          <w:szCs w:val="21"/>
          <w:highlight w:val="none"/>
        </w:rPr>
      </w:pPr>
    </w:p>
    <w:p>
      <w:pPr>
        <w:pStyle w:val="15"/>
        <w:spacing w:before="9"/>
        <w:rPr>
          <w:color w:val="auto"/>
          <w:sz w:val="16"/>
          <w:szCs w:val="21"/>
          <w:highlight w:val="none"/>
        </w:rPr>
      </w:pPr>
    </w:p>
    <w:p>
      <w:pPr>
        <w:pStyle w:val="15"/>
        <w:spacing w:line="364" w:lineRule="auto"/>
        <w:ind w:left="2961" w:right="4183"/>
        <w:rPr>
          <w:color w:val="auto"/>
          <w:sz w:val="21"/>
          <w:szCs w:val="21"/>
          <w:highlight w:val="none"/>
        </w:rPr>
      </w:pPr>
      <w:r>
        <w:rPr>
          <w:rFonts w:hint="eastAsia"/>
          <w:color w:val="auto"/>
          <w:sz w:val="21"/>
          <w:szCs w:val="21"/>
          <w:highlight w:val="none"/>
        </w:rPr>
        <w:t>企业名称（盖章）：</w:t>
      </w:r>
    </w:p>
    <w:p>
      <w:pPr>
        <w:pStyle w:val="15"/>
        <w:spacing w:line="364" w:lineRule="auto"/>
        <w:ind w:left="2961" w:right="4183"/>
        <w:rPr>
          <w:color w:val="auto"/>
          <w:sz w:val="21"/>
          <w:szCs w:val="21"/>
          <w:highlight w:val="none"/>
        </w:rPr>
      </w:pPr>
      <w:r>
        <w:rPr>
          <w:rFonts w:hint="eastAsia"/>
          <w:color w:val="auto"/>
          <w:sz w:val="21"/>
          <w:szCs w:val="21"/>
          <w:highlight w:val="none"/>
        </w:rPr>
        <w:t>日期：</w:t>
      </w:r>
    </w:p>
    <w:p>
      <w:pPr>
        <w:pStyle w:val="15"/>
        <w:rPr>
          <w:color w:val="auto"/>
          <w:sz w:val="16"/>
          <w:szCs w:val="21"/>
          <w:highlight w:val="none"/>
        </w:rPr>
      </w:pPr>
    </w:p>
    <w:p>
      <w:pPr>
        <w:pStyle w:val="15"/>
        <w:rPr>
          <w:color w:val="auto"/>
          <w:sz w:val="16"/>
          <w:szCs w:val="21"/>
          <w:highlight w:val="none"/>
        </w:rPr>
      </w:pPr>
    </w:p>
    <w:p>
      <w:pPr>
        <w:pStyle w:val="15"/>
        <w:rPr>
          <w:color w:val="auto"/>
          <w:sz w:val="16"/>
          <w:szCs w:val="21"/>
          <w:highlight w:val="none"/>
        </w:rPr>
      </w:pPr>
    </w:p>
    <w:p>
      <w:pPr>
        <w:spacing w:before="65"/>
        <w:ind w:left="320"/>
        <w:rPr>
          <w:color w:val="auto"/>
          <w:sz w:val="18"/>
          <w:szCs w:val="18"/>
          <w:highlight w:val="none"/>
          <w:vertAlign w:val="superscript"/>
        </w:rPr>
      </w:pPr>
    </w:p>
    <w:p>
      <w:pPr>
        <w:spacing w:before="65"/>
        <w:ind w:left="320"/>
        <w:rPr>
          <w:color w:val="auto"/>
          <w:sz w:val="18"/>
          <w:szCs w:val="18"/>
          <w:highlight w:val="none"/>
        </w:rPr>
      </w:pPr>
      <w:r>
        <w:rPr>
          <w:rFonts w:hint="eastAsia"/>
          <w:color w:val="auto"/>
          <w:sz w:val="18"/>
          <w:szCs w:val="18"/>
          <w:highlight w:val="none"/>
          <w:vertAlign w:val="superscript"/>
        </w:rPr>
        <w:t>1</w:t>
      </w:r>
      <w:r>
        <w:rPr>
          <w:rFonts w:hint="eastAsia"/>
          <w:color w:val="auto"/>
          <w:sz w:val="18"/>
          <w:szCs w:val="18"/>
          <w:highlight w:val="none"/>
        </w:rPr>
        <w:t xml:space="preserve"> 从业人员、营业收入、资产总额填报上一年度数据，无上一年度数据的新成立企业可不填报。</w:t>
      </w:r>
    </w:p>
    <w:p>
      <w:pPr>
        <w:rPr>
          <w:b/>
          <w:color w:val="auto"/>
          <w:sz w:val="24"/>
          <w:szCs w:val="24"/>
          <w:highlight w:val="none"/>
        </w:rPr>
      </w:pPr>
      <w:r>
        <w:rPr>
          <w:rFonts w:hint="eastAsia"/>
          <w:b/>
          <w:color w:val="auto"/>
          <w:sz w:val="24"/>
          <w:szCs w:val="24"/>
          <w:highlight w:val="none"/>
        </w:rPr>
        <w:br w:type="page"/>
      </w:r>
    </w:p>
    <w:p>
      <w:pPr>
        <w:pStyle w:val="7"/>
        <w:spacing w:before="43"/>
        <w:ind w:left="363" w:right="437"/>
        <w:rPr>
          <w:rFonts w:ascii="宋体" w:hAnsi="宋体" w:eastAsia="宋体" w:cs="宋体"/>
          <w:color w:val="auto"/>
          <w:sz w:val="28"/>
          <w:szCs w:val="28"/>
          <w:highlight w:val="none"/>
          <w:lang w:val="en-US"/>
        </w:rPr>
      </w:pPr>
      <w:bookmarkStart w:id="119" w:name="_Toc13546"/>
      <w:r>
        <w:rPr>
          <w:rFonts w:hint="eastAsia" w:ascii="宋体" w:hAnsi="宋体" w:eastAsia="宋体" w:cs="宋体"/>
          <w:color w:val="auto"/>
          <w:sz w:val="28"/>
          <w:szCs w:val="28"/>
          <w:highlight w:val="none"/>
          <w:lang w:val="en-US"/>
        </w:rPr>
        <w:t>附件 2 残疾人福利性单位声明函</w:t>
      </w:r>
      <w:bookmarkEnd w:id="119"/>
    </w:p>
    <w:p>
      <w:pPr>
        <w:spacing w:line="480" w:lineRule="exact"/>
        <w:rPr>
          <w:b/>
          <w:color w:val="auto"/>
          <w:highlight w:val="none"/>
        </w:rPr>
      </w:pPr>
      <w:r>
        <w:rPr>
          <w:rFonts w:hint="eastAsia"/>
          <w:b/>
          <w:color w:val="auto"/>
          <w:highlight w:val="none"/>
        </w:rPr>
        <w:t>残疾人福利性单位声明函（残疾人福利性单位适用，不符合的无需提供）</w:t>
      </w:r>
    </w:p>
    <w:p>
      <w:pPr>
        <w:pStyle w:val="15"/>
        <w:spacing w:before="161"/>
        <w:ind w:right="463"/>
        <w:jc w:val="both"/>
        <w:rPr>
          <w:color w:val="auto"/>
          <w:sz w:val="21"/>
          <w:szCs w:val="21"/>
          <w:highlight w:val="none"/>
        </w:rPr>
      </w:pPr>
      <w:r>
        <w:rPr>
          <w:rFonts w:hint="eastAsia"/>
          <w:color w:val="auto"/>
          <w:sz w:val="21"/>
          <w:szCs w:val="21"/>
          <w:highlight w:val="none"/>
        </w:rPr>
        <w:t>投标人所报产品中有残疾人福利单位制造的货物的，应同时提交下列文件：</w:t>
      </w:r>
    </w:p>
    <w:p>
      <w:pPr>
        <w:pStyle w:val="15"/>
        <w:spacing w:before="158"/>
        <w:ind w:right="462"/>
        <w:jc w:val="right"/>
        <w:rPr>
          <w:color w:val="auto"/>
          <w:sz w:val="21"/>
          <w:szCs w:val="21"/>
          <w:highlight w:val="none"/>
        </w:rPr>
      </w:pPr>
      <w:r>
        <w:rPr>
          <w:rFonts w:hint="eastAsia"/>
          <w:color w:val="auto"/>
          <w:sz w:val="21"/>
          <w:szCs w:val="21"/>
          <w:highlight w:val="none"/>
        </w:rPr>
        <w:t>①投标人盖章的中小企业声明函，②产品制造商盖章的残疾人服务单位声明函。</w:t>
      </w:r>
    </w:p>
    <w:p>
      <w:pPr>
        <w:spacing w:line="364" w:lineRule="auto"/>
        <w:ind w:left="320" w:right="552" w:firstLine="482"/>
        <w:jc w:val="both"/>
        <w:rPr>
          <w:b/>
          <w:color w:val="auto"/>
          <w:sz w:val="21"/>
          <w:szCs w:val="21"/>
          <w:highlight w:val="none"/>
        </w:rPr>
      </w:pPr>
      <w:r>
        <w:rPr>
          <w:rFonts w:hint="eastAsia"/>
          <w:b/>
          <w:color w:val="auto"/>
          <w:sz w:val="21"/>
          <w:szCs w:val="21"/>
          <w:highlight w:val="none"/>
        </w:rPr>
        <w:t>根据《财政部 民政部 中国残疾人联合会关于促进残疾人就业政府采购政策的通知》提交的声明函</w:t>
      </w:r>
    </w:p>
    <w:p>
      <w:pPr>
        <w:jc w:val="center"/>
        <w:rPr>
          <w:b/>
          <w:bCs/>
          <w:color w:val="auto"/>
          <w:highlight w:val="none"/>
          <w:lang w:val="en-US"/>
        </w:rPr>
      </w:pPr>
      <w:r>
        <w:rPr>
          <w:rFonts w:hint="eastAsia"/>
          <w:b/>
          <w:bCs/>
          <w:color w:val="auto"/>
          <w:highlight w:val="none"/>
          <w:lang w:val="en-US"/>
        </w:rPr>
        <w:t>残疾人福利性单位声明函</w:t>
      </w:r>
    </w:p>
    <w:p>
      <w:pPr>
        <w:jc w:val="center"/>
        <w:rPr>
          <w:b/>
          <w:bCs/>
          <w:color w:val="auto"/>
          <w:highlight w:val="none"/>
        </w:rPr>
      </w:pPr>
    </w:p>
    <w:p>
      <w:pPr>
        <w:pStyle w:val="15"/>
        <w:spacing w:line="560" w:lineRule="exact"/>
        <w:ind w:firstLine="420" w:firstLineChars="200"/>
        <w:jc w:val="both"/>
        <w:rPr>
          <w:color w:val="auto"/>
          <w:sz w:val="21"/>
          <w:szCs w:val="21"/>
          <w:highlight w:val="none"/>
        </w:rPr>
      </w:pPr>
      <w:r>
        <w:rPr>
          <w:rFonts w:hint="eastAsia"/>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color w:val="auto"/>
          <w:sz w:val="21"/>
          <w:szCs w:val="21"/>
          <w:highlight w:val="none"/>
          <w:u w:val="single"/>
        </w:rPr>
        <w:t xml:space="preserve"> 【采购人】</w:t>
      </w:r>
      <w:r>
        <w:rPr>
          <w:rFonts w:hint="eastAsia"/>
          <w:color w:val="auto"/>
          <w:sz w:val="21"/>
          <w:szCs w:val="21"/>
          <w:highlight w:val="none"/>
        </w:rPr>
        <w:t>_单位的</w:t>
      </w:r>
      <w:r>
        <w:rPr>
          <w:rFonts w:hint="eastAsia"/>
          <w:color w:val="auto"/>
          <w:sz w:val="21"/>
          <w:szCs w:val="21"/>
          <w:highlight w:val="none"/>
          <w:u w:val="single"/>
        </w:rPr>
        <w:t xml:space="preserve"> 【项目名称】 </w:t>
      </w:r>
      <w:r>
        <w:rPr>
          <w:rFonts w:hint="eastAsia"/>
          <w:color w:val="auto"/>
          <w:sz w:val="21"/>
          <w:szCs w:val="21"/>
          <w:highlight w:val="none"/>
        </w:rPr>
        <w:t>项目采购活动【按投标实际情况在下方选择，在□中划勾或涂黑】：</w:t>
      </w:r>
    </w:p>
    <w:p>
      <w:pPr>
        <w:pStyle w:val="15"/>
        <w:spacing w:line="560" w:lineRule="exact"/>
        <w:ind w:firstLine="420" w:firstLineChars="200"/>
        <w:rPr>
          <w:color w:val="auto"/>
          <w:sz w:val="21"/>
          <w:szCs w:val="21"/>
          <w:highlight w:val="none"/>
        </w:rPr>
      </w:pPr>
      <w:r>
        <w:rPr>
          <w:rFonts w:hint="eastAsia"/>
          <w:color w:val="auto"/>
          <w:sz w:val="21"/>
          <w:szCs w:val="21"/>
          <w:highlight w:val="none"/>
        </w:rPr>
        <w:t>□提供本单位制造的货物</w:t>
      </w:r>
    </w:p>
    <w:p>
      <w:pPr>
        <w:pStyle w:val="15"/>
        <w:spacing w:line="560" w:lineRule="exact"/>
        <w:ind w:firstLine="420" w:firstLineChars="200"/>
        <w:rPr>
          <w:color w:val="auto"/>
          <w:sz w:val="21"/>
          <w:szCs w:val="21"/>
          <w:highlight w:val="none"/>
        </w:rPr>
      </w:pPr>
      <w:r>
        <w:rPr>
          <w:rFonts w:hint="eastAsia"/>
          <w:color w:val="auto"/>
          <w:sz w:val="21"/>
          <w:szCs w:val="21"/>
          <w:highlight w:val="none"/>
        </w:rPr>
        <w:t>□由本单位提供服务</w:t>
      </w:r>
    </w:p>
    <w:p>
      <w:pPr>
        <w:pStyle w:val="15"/>
        <w:spacing w:line="560" w:lineRule="exact"/>
        <w:ind w:firstLine="420" w:firstLineChars="200"/>
        <w:rPr>
          <w:color w:val="auto"/>
          <w:sz w:val="21"/>
          <w:szCs w:val="21"/>
          <w:highlight w:val="none"/>
        </w:rPr>
      </w:pPr>
      <w:r>
        <w:rPr>
          <w:rFonts w:hint="eastAsia"/>
          <w:color w:val="auto"/>
          <w:sz w:val="21"/>
          <w:szCs w:val="21"/>
          <w:highlight w:val="none"/>
        </w:rPr>
        <w:t>□提供其他残疾人福利性单位制造的货物（不包括使用非残疾人福利性单位注册商标的货物）。</w:t>
      </w:r>
    </w:p>
    <w:p>
      <w:pPr>
        <w:pStyle w:val="15"/>
        <w:spacing w:line="560" w:lineRule="exact"/>
        <w:ind w:firstLine="420" w:firstLineChars="200"/>
        <w:rPr>
          <w:color w:val="auto"/>
          <w:sz w:val="21"/>
          <w:szCs w:val="21"/>
          <w:highlight w:val="none"/>
        </w:rPr>
      </w:pPr>
      <w:r>
        <w:rPr>
          <w:rFonts w:hint="eastAsia"/>
          <w:color w:val="auto"/>
          <w:sz w:val="21"/>
          <w:szCs w:val="21"/>
          <w:highlight w:val="none"/>
        </w:rPr>
        <w:t>本单位对上述声明的真实性负责。如有虚假，将依法承担相应责任。</w:t>
      </w:r>
    </w:p>
    <w:p>
      <w:pPr>
        <w:pStyle w:val="15"/>
        <w:spacing w:line="560" w:lineRule="exact"/>
        <w:ind w:firstLine="320" w:firstLineChars="200"/>
        <w:rPr>
          <w:color w:val="auto"/>
          <w:sz w:val="16"/>
          <w:szCs w:val="21"/>
          <w:highlight w:val="none"/>
        </w:rPr>
      </w:pPr>
    </w:p>
    <w:p>
      <w:pPr>
        <w:pStyle w:val="15"/>
        <w:tabs>
          <w:tab w:val="left" w:pos="4620"/>
        </w:tabs>
        <w:spacing w:line="560" w:lineRule="exact"/>
        <w:ind w:firstLine="4410" w:firstLineChars="2100"/>
        <w:rPr>
          <w:color w:val="auto"/>
          <w:sz w:val="21"/>
          <w:szCs w:val="21"/>
          <w:highlight w:val="none"/>
        </w:rPr>
      </w:pPr>
      <w:r>
        <w:rPr>
          <w:rFonts w:hint="eastAsia"/>
          <w:color w:val="auto"/>
          <w:sz w:val="21"/>
          <w:szCs w:val="21"/>
          <w:highlight w:val="none"/>
        </w:rPr>
        <w:t>单位名称（盖章）：</w:t>
      </w:r>
    </w:p>
    <w:p>
      <w:pPr>
        <w:pStyle w:val="15"/>
        <w:tabs>
          <w:tab w:val="left" w:pos="4620"/>
        </w:tabs>
        <w:spacing w:line="560" w:lineRule="exact"/>
        <w:ind w:firstLine="4410" w:firstLineChars="2100"/>
        <w:rPr>
          <w:color w:val="auto"/>
          <w:sz w:val="21"/>
          <w:szCs w:val="21"/>
          <w:highlight w:val="none"/>
        </w:rPr>
      </w:pPr>
      <w:r>
        <w:rPr>
          <w:rFonts w:hint="eastAsia"/>
          <w:color w:val="auto"/>
          <w:sz w:val="21"/>
          <w:szCs w:val="21"/>
          <w:highlight w:val="none"/>
        </w:rPr>
        <w:t>日期：</w:t>
      </w:r>
    </w:p>
    <w:p>
      <w:pPr>
        <w:pStyle w:val="15"/>
        <w:spacing w:line="560" w:lineRule="exact"/>
        <w:ind w:firstLine="420" w:firstLineChars="200"/>
        <w:rPr>
          <w:color w:val="auto"/>
          <w:sz w:val="21"/>
          <w:szCs w:val="21"/>
          <w:highlight w:val="none"/>
        </w:rPr>
      </w:pPr>
      <w:r>
        <w:rPr>
          <w:rFonts w:hint="eastAsia"/>
          <w:color w:val="auto"/>
          <w:sz w:val="21"/>
          <w:szCs w:val="21"/>
          <w:highlight w:val="none"/>
        </w:rPr>
        <w:t>注：</w:t>
      </w:r>
    </w:p>
    <w:p>
      <w:pPr>
        <w:pStyle w:val="15"/>
        <w:spacing w:line="560" w:lineRule="exact"/>
        <w:ind w:firstLine="420" w:firstLineChars="200"/>
        <w:jc w:val="both"/>
        <w:rPr>
          <w:color w:val="auto"/>
          <w:sz w:val="21"/>
          <w:szCs w:val="21"/>
          <w:highlight w:val="none"/>
        </w:rPr>
      </w:pPr>
      <w:r>
        <w:rPr>
          <w:rFonts w:hint="eastAsia"/>
          <w:color w:val="auto"/>
          <w:sz w:val="21"/>
          <w:szCs w:val="21"/>
          <w:highlight w:val="none"/>
        </w:rPr>
        <w:t>1、符合（财库〔2017〕141 号）规定条件的残疾人福利性单位在参加政府采购活动时， 应当提供此格式文件。投标不涉及残疾人福利性单位的，无需填写此也无需提交此格式文件。</w:t>
      </w:r>
    </w:p>
    <w:p>
      <w:pPr>
        <w:pStyle w:val="15"/>
        <w:spacing w:line="560" w:lineRule="exact"/>
        <w:ind w:firstLine="420" w:firstLineChars="200"/>
        <w:rPr>
          <w:color w:val="auto"/>
          <w:sz w:val="21"/>
          <w:szCs w:val="21"/>
          <w:highlight w:val="none"/>
        </w:rPr>
      </w:pPr>
      <w:r>
        <w:rPr>
          <w:rFonts w:hint="eastAsia"/>
          <w:color w:val="auto"/>
          <w:sz w:val="21"/>
          <w:szCs w:val="21"/>
          <w:highlight w:val="none"/>
        </w:rPr>
        <w:t>2、此表如未正确填写，评审时将不予承认。</w:t>
      </w:r>
    </w:p>
    <w:p>
      <w:pPr>
        <w:spacing w:line="560" w:lineRule="exact"/>
        <w:ind w:firstLine="420" w:firstLineChars="200"/>
        <w:rPr>
          <w:b/>
          <w:color w:val="auto"/>
          <w:sz w:val="21"/>
          <w:szCs w:val="20"/>
          <w:highlight w:val="none"/>
        </w:rPr>
      </w:pPr>
      <w:r>
        <w:rPr>
          <w:rFonts w:hint="eastAsia"/>
          <w:color w:val="auto"/>
          <w:sz w:val="21"/>
          <w:szCs w:val="20"/>
          <w:highlight w:val="none"/>
        </w:rPr>
        <w:t>3、中标人享受了本招标文件规定的残疾人福利性单位促进政策的，其</w:t>
      </w:r>
      <w:r>
        <w:rPr>
          <w:rFonts w:hint="eastAsia"/>
          <w:b/>
          <w:color w:val="auto"/>
          <w:sz w:val="21"/>
          <w:szCs w:val="20"/>
          <w:highlight w:val="none"/>
        </w:rPr>
        <w:t>残疾人福利性单位声明函将按规定进行公告。</w:t>
      </w:r>
    </w:p>
    <w:p>
      <w:pPr>
        <w:rPr>
          <w:color w:val="auto"/>
          <w:sz w:val="21"/>
          <w:szCs w:val="20"/>
          <w:highlight w:val="none"/>
        </w:rPr>
      </w:pPr>
      <w:r>
        <w:rPr>
          <w:rFonts w:hint="eastAsia"/>
          <w:color w:val="auto"/>
          <w:sz w:val="21"/>
          <w:szCs w:val="20"/>
          <w:highlight w:val="none"/>
        </w:rPr>
        <w:br w:type="page"/>
      </w:r>
    </w:p>
    <w:p>
      <w:pPr>
        <w:pStyle w:val="7"/>
        <w:spacing w:before="43"/>
        <w:ind w:left="363" w:right="437"/>
        <w:rPr>
          <w:rFonts w:ascii="宋体" w:hAnsi="宋体" w:eastAsia="宋体" w:cs="宋体"/>
          <w:color w:val="auto"/>
          <w:sz w:val="28"/>
          <w:szCs w:val="28"/>
          <w:highlight w:val="none"/>
          <w:lang w:val="en-US"/>
        </w:rPr>
      </w:pPr>
      <w:bookmarkStart w:id="120" w:name="_Toc4180"/>
      <w:r>
        <w:rPr>
          <w:rFonts w:hint="eastAsia" w:ascii="宋体" w:hAnsi="宋体" w:eastAsia="宋体" w:cs="宋体"/>
          <w:color w:val="auto"/>
          <w:sz w:val="28"/>
          <w:szCs w:val="28"/>
          <w:highlight w:val="none"/>
          <w:lang w:val="en-US"/>
        </w:rPr>
        <w:t>附件 3 监狱企业证明材料</w:t>
      </w:r>
      <w:bookmarkEnd w:id="120"/>
    </w:p>
    <w:p>
      <w:pPr>
        <w:spacing w:line="480" w:lineRule="exact"/>
        <w:jc w:val="center"/>
        <w:rPr>
          <w:b/>
          <w:color w:val="auto"/>
          <w:highlight w:val="none"/>
        </w:rPr>
      </w:pPr>
      <w:r>
        <w:rPr>
          <w:rFonts w:hint="eastAsia"/>
          <w:b/>
          <w:color w:val="auto"/>
          <w:highlight w:val="none"/>
          <w:lang w:val="en-US"/>
        </w:rPr>
        <w:t>监狱企业证明材料</w:t>
      </w:r>
      <w:r>
        <w:rPr>
          <w:rFonts w:hint="eastAsia"/>
          <w:b/>
          <w:color w:val="auto"/>
          <w:highlight w:val="none"/>
        </w:rPr>
        <w:t>（不符合的无需提供）</w:t>
      </w:r>
    </w:p>
    <w:p>
      <w:pPr>
        <w:pStyle w:val="15"/>
        <w:spacing w:before="161" w:line="362" w:lineRule="auto"/>
        <w:ind w:right="558"/>
        <w:rPr>
          <w:color w:val="auto"/>
          <w:sz w:val="21"/>
          <w:szCs w:val="21"/>
          <w:highlight w:val="none"/>
        </w:rPr>
      </w:pPr>
      <w:bookmarkStart w:id="121" w:name="附件18_评审现场原件备查证明材料汇总表（若招标文件未要求的，可不交此表格）"/>
      <w:bookmarkEnd w:id="121"/>
      <w:r>
        <w:rPr>
          <w:rFonts w:hint="eastAsia"/>
          <w:color w:val="auto"/>
          <w:sz w:val="21"/>
          <w:szCs w:val="21"/>
          <w:highlight w:val="none"/>
        </w:rPr>
        <w:t>投标人所报产品中有监狱企业制造的货物的，应同时提交下列文件：</w:t>
      </w:r>
    </w:p>
    <w:p>
      <w:pPr>
        <w:pStyle w:val="15"/>
        <w:spacing w:before="161" w:line="362" w:lineRule="auto"/>
        <w:ind w:left="320" w:right="558" w:firstLine="479"/>
        <w:rPr>
          <w:color w:val="auto"/>
          <w:sz w:val="21"/>
          <w:szCs w:val="21"/>
          <w:highlight w:val="none"/>
        </w:rPr>
      </w:pPr>
      <w:r>
        <w:rPr>
          <w:rFonts w:hint="eastAsia"/>
          <w:color w:val="auto"/>
          <w:sz w:val="21"/>
          <w:szCs w:val="21"/>
          <w:highlight w:val="none"/>
        </w:rPr>
        <w:t>①投标人盖章的中小企业声明函，②产品制造商盖章的监狱企业证明材料。</w:t>
      </w:r>
    </w:p>
    <w:p>
      <w:pPr>
        <w:pStyle w:val="15"/>
        <w:spacing w:before="7"/>
        <w:rPr>
          <w:color w:val="auto"/>
          <w:sz w:val="21"/>
          <w:szCs w:val="21"/>
          <w:highlight w:val="none"/>
        </w:rPr>
      </w:pPr>
    </w:p>
    <w:p>
      <w:pPr>
        <w:pStyle w:val="15"/>
        <w:spacing w:line="364" w:lineRule="auto"/>
        <w:ind w:left="320" w:right="563" w:firstLine="479"/>
        <w:rPr>
          <w:color w:val="auto"/>
          <w:sz w:val="21"/>
          <w:szCs w:val="21"/>
          <w:highlight w:val="none"/>
        </w:rPr>
      </w:pPr>
      <w:r>
        <w:rPr>
          <w:rFonts w:hint="eastAsia"/>
          <w:color w:val="auto"/>
          <w:sz w:val="21"/>
          <w:szCs w:val="21"/>
          <w:highlight w:val="none"/>
        </w:rPr>
        <w:t>根据《财政部 司法部关于政府采购支持监狱企业发展有关问题的通知（财库[2014]68 号）》的规定提交有关部门出具的证明材料。</w:t>
      </w:r>
    </w:p>
    <w:p>
      <w:pPr>
        <w:rPr>
          <w:color w:val="auto"/>
          <w:sz w:val="21"/>
          <w:szCs w:val="21"/>
          <w:highlight w:val="none"/>
        </w:rPr>
      </w:pPr>
      <w:r>
        <w:rPr>
          <w:rFonts w:hint="eastAsia"/>
          <w:color w:val="auto"/>
          <w:sz w:val="21"/>
          <w:szCs w:val="21"/>
          <w:highlight w:val="none"/>
        </w:rPr>
        <w:br w:type="page"/>
      </w:r>
    </w:p>
    <w:p>
      <w:pPr>
        <w:pStyle w:val="7"/>
        <w:spacing w:before="43"/>
        <w:ind w:left="363" w:right="437"/>
        <w:rPr>
          <w:rFonts w:ascii="宋体" w:hAnsi="宋体" w:eastAsia="宋体" w:cs="宋体"/>
          <w:color w:val="auto"/>
          <w:sz w:val="28"/>
          <w:szCs w:val="28"/>
          <w:highlight w:val="none"/>
          <w:lang w:val="en-US"/>
        </w:rPr>
      </w:pPr>
      <w:bookmarkStart w:id="122" w:name="_Toc24405"/>
      <w:r>
        <w:rPr>
          <w:rFonts w:hint="eastAsia" w:ascii="宋体" w:hAnsi="宋体" w:eastAsia="宋体" w:cs="宋体"/>
          <w:color w:val="auto"/>
          <w:sz w:val="28"/>
          <w:szCs w:val="28"/>
          <w:highlight w:val="none"/>
          <w:lang w:val="en-US"/>
        </w:rPr>
        <w:t>附件 4 节能、环境标志产品证明材料（符合填写）</w:t>
      </w:r>
      <w:bookmarkEnd w:id="122"/>
    </w:p>
    <w:p>
      <w:pPr>
        <w:spacing w:line="480" w:lineRule="exact"/>
        <w:jc w:val="center"/>
        <w:rPr>
          <w:b/>
          <w:color w:val="auto"/>
          <w:highlight w:val="none"/>
          <w:lang w:val="en-US"/>
        </w:rPr>
      </w:pPr>
      <w:r>
        <w:rPr>
          <w:rFonts w:hint="eastAsia"/>
          <w:b/>
          <w:color w:val="auto"/>
          <w:highlight w:val="none"/>
          <w:lang w:val="en-US"/>
        </w:rPr>
        <w:t>节能、环境标志产品证明材料（符合填写）</w:t>
      </w:r>
    </w:p>
    <w:p>
      <w:pPr>
        <w:pStyle w:val="16"/>
        <w:rPr>
          <w:rFonts w:ascii="宋体" w:hAnsi="宋体" w:eastAsia="宋体" w:cs="宋体"/>
          <w:color w:val="auto"/>
          <w:sz w:val="21"/>
          <w:szCs w:val="21"/>
          <w:highlight w:val="none"/>
        </w:rPr>
      </w:pP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pStyle w:val="16"/>
        <w:rPr>
          <w:rFonts w:ascii="宋体" w:hAnsi="宋体" w:eastAsia="宋体" w:cs="宋体"/>
          <w:color w:val="auto"/>
          <w:sz w:val="21"/>
          <w:szCs w:val="21"/>
          <w:highlight w:val="none"/>
        </w:rPr>
      </w:pPr>
    </w:p>
    <w:p>
      <w:pPr>
        <w:rPr>
          <w:color w:val="auto"/>
          <w:sz w:val="21"/>
          <w:szCs w:val="20"/>
          <w:highlight w:val="none"/>
        </w:rPr>
      </w:pPr>
      <w:r>
        <w:rPr>
          <w:rFonts w:hint="eastAsia"/>
          <w:color w:val="auto"/>
          <w:sz w:val="21"/>
          <w:szCs w:val="20"/>
          <w:highlight w:val="none"/>
        </w:rPr>
        <w:br w:type="page"/>
      </w:r>
    </w:p>
    <w:p>
      <w:pPr>
        <w:pStyle w:val="6"/>
        <w:spacing w:before="43"/>
        <w:ind w:left="363" w:right="437"/>
        <w:rPr>
          <w:rFonts w:ascii="宋体" w:hAnsi="宋体" w:eastAsia="宋体" w:cs="宋体"/>
          <w:color w:val="auto"/>
          <w:sz w:val="28"/>
          <w:szCs w:val="28"/>
          <w:highlight w:val="none"/>
          <w:lang w:val="en-US"/>
        </w:rPr>
      </w:pPr>
      <w:bookmarkStart w:id="123" w:name="_bookmark128"/>
      <w:bookmarkEnd w:id="123"/>
      <w:bookmarkStart w:id="124" w:name="_bookmark126"/>
      <w:bookmarkEnd w:id="124"/>
      <w:bookmarkStart w:id="125" w:name="_bookmark127"/>
      <w:bookmarkEnd w:id="125"/>
      <w:bookmarkStart w:id="126" w:name="_Toc16071"/>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rPr>
        <w:t>四</w:t>
      </w:r>
      <w:r>
        <w:rPr>
          <w:rFonts w:hint="eastAsia" w:ascii="宋体" w:hAnsi="宋体" w:eastAsia="宋体" w:cs="宋体"/>
          <w:color w:val="auto"/>
          <w:sz w:val="28"/>
          <w:szCs w:val="28"/>
          <w:highlight w:val="none"/>
        </w:rPr>
        <w:t>节 资格证明文件格式</w:t>
      </w:r>
      <w:bookmarkEnd w:id="126"/>
    </w:p>
    <w:p>
      <w:pPr>
        <w:pStyle w:val="7"/>
        <w:spacing w:before="43"/>
        <w:ind w:left="363" w:right="437"/>
        <w:rPr>
          <w:rFonts w:ascii="宋体" w:hAnsi="宋体" w:eastAsia="宋体" w:cs="宋体"/>
          <w:color w:val="auto"/>
          <w:sz w:val="28"/>
          <w:szCs w:val="28"/>
          <w:highlight w:val="none"/>
          <w:lang w:val="en-US"/>
        </w:rPr>
      </w:pPr>
      <w:bookmarkStart w:id="127" w:name="_Toc10881"/>
      <w:r>
        <w:rPr>
          <w:rFonts w:hint="eastAsia" w:ascii="宋体" w:hAnsi="宋体" w:eastAsia="宋体" w:cs="宋体"/>
          <w:color w:val="auto"/>
          <w:sz w:val="28"/>
          <w:szCs w:val="28"/>
          <w:highlight w:val="none"/>
          <w:lang w:val="en-US"/>
        </w:rPr>
        <w:t>附件 1 资格、资信证明文件</w:t>
      </w:r>
      <w:bookmarkEnd w:id="127"/>
    </w:p>
    <w:p>
      <w:pPr>
        <w:pStyle w:val="37"/>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资格、资信证明文件部分建议格式</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附件顺序</w:t>
            </w:r>
          </w:p>
        </w:tc>
        <w:tc>
          <w:tcPr>
            <w:tcW w:w="2070" w:type="dxa"/>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提交文件</w:t>
            </w:r>
          </w:p>
        </w:tc>
        <w:tc>
          <w:tcPr>
            <w:tcW w:w="6383" w:type="dxa"/>
            <w:vAlign w:val="center"/>
          </w:tcPr>
          <w:p>
            <w:pPr>
              <w:pStyle w:val="34"/>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-1</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法人或者其他组织、自然人的营业执照等证明文件</w:t>
            </w:r>
          </w:p>
        </w:tc>
        <w:tc>
          <w:tcPr>
            <w:tcW w:w="6383" w:type="dxa"/>
            <w:vAlign w:val="center"/>
          </w:tcPr>
          <w:p>
            <w:pPr>
              <w:pStyle w:val="34"/>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投标人是企业（包括合伙企业）的，应提供其在工商部门注册的有效“营业执照”复印件；</w:t>
            </w:r>
          </w:p>
          <w:p>
            <w:pPr>
              <w:pStyle w:val="34"/>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投标人是事业单位的，应提供其有效的“事业单位法人证书”复印件；</w:t>
            </w:r>
          </w:p>
          <w:p>
            <w:pPr>
              <w:pStyle w:val="34"/>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投标人是非企业专业服务机构的，应提供其有效的“执业许可证”复印件；</w:t>
            </w:r>
          </w:p>
          <w:p>
            <w:pPr>
              <w:pStyle w:val="34"/>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投标人是民办非企业单位的，应提供其有效的登记证书复印件；</w:t>
            </w:r>
          </w:p>
          <w:p>
            <w:pPr>
              <w:pStyle w:val="34"/>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投标人是个体工商户的，应提供其有效的“营业执照”复印件；</w:t>
            </w:r>
          </w:p>
          <w:p>
            <w:pPr>
              <w:pStyle w:val="34"/>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-2</w:t>
            </w:r>
          </w:p>
        </w:tc>
        <w:tc>
          <w:tcPr>
            <w:tcW w:w="2070" w:type="dxa"/>
            <w:vMerge w:val="restart"/>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财务状况报告：提供（1）或提供（2）</w:t>
            </w: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近一</w:t>
            </w:r>
            <w:r>
              <w:rPr>
                <w:rFonts w:hint="eastAsia" w:ascii="宋体" w:hAnsi="宋体" w:eastAsia="宋体" w:cs="宋体"/>
                <w:color w:val="auto"/>
                <w:sz w:val="21"/>
                <w:szCs w:val="20"/>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tcBorders>
              <w:top w:val="nil"/>
            </w:tcBorders>
            <w:vAlign w:val="center"/>
          </w:tcPr>
          <w:p>
            <w:pPr>
              <w:jc w:val="center"/>
              <w:rPr>
                <w:color w:val="auto"/>
                <w:sz w:val="2"/>
                <w:szCs w:val="2"/>
                <w:highlight w:val="none"/>
              </w:rPr>
            </w:pPr>
          </w:p>
        </w:tc>
        <w:tc>
          <w:tcPr>
            <w:tcW w:w="2070" w:type="dxa"/>
            <w:vMerge w:val="continue"/>
            <w:tcBorders>
              <w:top w:val="nil"/>
            </w:tcBorders>
            <w:vAlign w:val="center"/>
          </w:tcPr>
          <w:p>
            <w:pPr>
              <w:jc w:val="center"/>
              <w:rPr>
                <w:color w:val="auto"/>
                <w:sz w:val="2"/>
                <w:szCs w:val="2"/>
                <w:highlight w:val="none"/>
              </w:rPr>
            </w:pP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（2）提供由开标日前三个月内投标人开户银行出具的资信证明原件。资信证明还应满足以下要求：</w:t>
            </w:r>
          </w:p>
          <w:p>
            <w:pPr>
              <w:pStyle w:val="34"/>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无收受人和项目的限制，但开具银行有限制规定的除外；</w:t>
            </w:r>
          </w:p>
          <w:p>
            <w:pPr>
              <w:pStyle w:val="34"/>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银行资信证明应能说明该投标人与银行之间业务往来正常，企业信誉良好等；</w:t>
            </w:r>
          </w:p>
          <w:p>
            <w:pPr>
              <w:pStyle w:val="34"/>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-3</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依法缴纳税收的相关材料</w:t>
            </w:r>
          </w:p>
        </w:tc>
        <w:tc>
          <w:tcPr>
            <w:tcW w:w="6383" w:type="dxa"/>
            <w:vAlign w:val="center"/>
          </w:tcPr>
          <w:p>
            <w:pPr>
              <w:widowControl/>
              <w:autoSpaceDE/>
              <w:autoSpaceDN/>
              <w:rPr>
                <w:color w:val="auto"/>
                <w:sz w:val="21"/>
                <w:szCs w:val="21"/>
                <w:highlight w:val="none"/>
                <w:lang w:val="en-US" w:bidi="ar"/>
              </w:rPr>
            </w:pPr>
            <w:r>
              <w:rPr>
                <w:rFonts w:hint="eastAsia"/>
                <w:color w:val="auto"/>
                <w:sz w:val="21"/>
                <w:szCs w:val="21"/>
                <w:highlight w:val="none"/>
                <w:lang w:val="en-US" w:bidi="ar"/>
              </w:rPr>
              <w:t>开标日前6个月内任意一月缴纳税收的凭证复印件；</w:t>
            </w:r>
          </w:p>
          <w:p>
            <w:pPr>
              <w:widowControl/>
              <w:autoSpaceDE/>
              <w:autoSpaceDN/>
              <w:rPr>
                <w:color w:val="auto"/>
                <w:sz w:val="21"/>
                <w:szCs w:val="21"/>
                <w:highlight w:val="none"/>
                <w:lang w:val="en-US" w:bidi="ar"/>
              </w:rPr>
            </w:pPr>
            <w:r>
              <w:rPr>
                <w:rFonts w:hint="eastAsia"/>
                <w:color w:val="auto"/>
                <w:sz w:val="21"/>
                <w:szCs w:val="21"/>
                <w:highlight w:val="none"/>
                <w:lang w:val="en-US" w:bidi="ar"/>
              </w:rPr>
              <w:t>缴纳凭证复印件须清晰可辨，并能显示出税种种类，单位代扣代缴的个人所得税不能作为单位纳税的凭证；</w:t>
            </w:r>
          </w:p>
          <w:p>
            <w:pPr>
              <w:widowControl/>
              <w:autoSpaceDE/>
              <w:autoSpaceDN/>
              <w:rPr>
                <w:color w:val="auto"/>
                <w:sz w:val="21"/>
                <w:szCs w:val="20"/>
                <w:highlight w:val="none"/>
              </w:rPr>
            </w:pPr>
            <w:r>
              <w:rPr>
                <w:rFonts w:hint="eastAsia"/>
                <w:color w:val="auto"/>
                <w:sz w:val="21"/>
                <w:szCs w:val="21"/>
                <w:highlight w:val="none"/>
                <w:lang w:val="en-US" w:bidi="ar"/>
              </w:rPr>
              <w:t>依法免税的投标人，应提供相应文件证明其依法免税；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-4</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依法缴纳社会保障资金的相关材料</w:t>
            </w: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1"/>
                <w:highlight w:val="none"/>
                <w:lang w:val="en-US" w:bidi="ar"/>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-5</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具备履行合同所必需的设备和专业技术能力的说明函</w:t>
            </w: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-6</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参加政府采购活动前 3 年内在经营活动中没有重大违法记录的书面声明</w:t>
            </w: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-7</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投标人针对投标人资格要求限制行为的声明格式</w:t>
            </w: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-8</w:t>
            </w:r>
          </w:p>
        </w:tc>
        <w:tc>
          <w:tcPr>
            <w:tcW w:w="2070" w:type="dxa"/>
            <w:vAlign w:val="center"/>
          </w:tcPr>
          <w:p>
            <w:pPr>
              <w:pStyle w:val="34"/>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联合体协议（联合体投标时适用）</w:t>
            </w:r>
          </w:p>
        </w:tc>
        <w:tc>
          <w:tcPr>
            <w:tcW w:w="6383" w:type="dxa"/>
            <w:vAlign w:val="center"/>
          </w:tcPr>
          <w:p>
            <w:pPr>
              <w:pStyle w:val="34"/>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如为联合体投标，联合体各方均需提供联合体协议。应加盖所有成员单位公章。</w:t>
            </w:r>
          </w:p>
        </w:tc>
      </w:tr>
    </w:tbl>
    <w:p>
      <w:pPr>
        <w:rPr>
          <w:color w:val="auto"/>
          <w:sz w:val="21"/>
          <w:szCs w:val="20"/>
          <w:highlight w:val="none"/>
        </w:rPr>
      </w:pPr>
      <w:r>
        <w:rPr>
          <w:rFonts w:hint="eastAsia"/>
          <w:color w:val="auto"/>
          <w:sz w:val="21"/>
          <w:szCs w:val="20"/>
          <w:highlight w:val="none"/>
        </w:rPr>
        <w:br w:type="page"/>
      </w:r>
    </w:p>
    <w:p>
      <w:pPr>
        <w:pStyle w:val="37"/>
        <w:spacing w:line="400" w:lineRule="exact"/>
        <w:jc w:val="center"/>
        <w:rPr>
          <w:rFonts w:ascii="宋体" w:hAnsi="宋体" w:cs="宋体"/>
          <w:b/>
          <w:color w:val="auto"/>
          <w:sz w:val="24"/>
          <w:szCs w:val="21"/>
          <w:highlight w:val="none"/>
        </w:rPr>
      </w:pPr>
      <w:bookmarkStart w:id="128" w:name="_bookmark129"/>
      <w:bookmarkEnd w:id="128"/>
      <w:r>
        <w:rPr>
          <w:rFonts w:hint="eastAsia" w:ascii="宋体" w:hAnsi="宋体" w:cs="宋体"/>
          <w:b/>
          <w:color w:val="auto"/>
          <w:sz w:val="24"/>
          <w:szCs w:val="21"/>
          <w:highlight w:val="none"/>
        </w:rPr>
        <w:t>13-6、参加政府采购活动前三年内，在经营活动中没有重大违法记录的声明格式</w:t>
      </w:r>
    </w:p>
    <w:p>
      <w:pPr>
        <w:pStyle w:val="37"/>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参加政府采购活动前 3 年内在经营活动中没有重大违法记录的书面声明</w:t>
      </w:r>
    </w:p>
    <w:p>
      <w:pPr>
        <w:pStyle w:val="37"/>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我单位郑重声明：</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我单位近三年内在经营活动中没有重大违法记录，我单位未被列入失信被执行人、重大税收违法案件当事人名单、政府采购严重违法失信行为记录名单，特此声明。</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采购人或采购代理机构在本项目采购过程中发现我单位近三年内在经营活动中有重大违法记录或我单位被列入失信被执行人、重大税收违法案件当事人名单、政府采购严重违法失信行为记录名单，我单位将无条件地退出本项目的投标，并承担因此引起的一切后果。</w:t>
      </w:r>
    </w:p>
    <w:p>
      <w:pPr>
        <w:pStyle w:val="37"/>
        <w:spacing w:line="400" w:lineRule="exact"/>
        <w:ind w:firstLine="420" w:firstLineChars="200"/>
        <w:rPr>
          <w:rFonts w:ascii="宋体" w:hAnsi="宋体" w:cs="宋体"/>
          <w:color w:val="auto"/>
          <w:sz w:val="21"/>
          <w:szCs w:val="21"/>
          <w:highlight w:val="none"/>
        </w:rPr>
      </w:pP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投标人名称（公章）：</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法定代表人签署或被授权人（签字或盖章）：</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37"/>
        <w:spacing w:line="400" w:lineRule="exact"/>
        <w:jc w:val="center"/>
        <w:rPr>
          <w:rFonts w:ascii="宋体" w:hAnsi="宋体" w:cs="宋体"/>
          <w:b/>
          <w:color w:val="auto"/>
          <w:sz w:val="24"/>
          <w:szCs w:val="21"/>
          <w:highlight w:val="none"/>
        </w:rPr>
      </w:pPr>
      <w:bookmarkStart w:id="129" w:name="_bookmark130"/>
      <w:bookmarkEnd w:id="129"/>
      <w:r>
        <w:rPr>
          <w:rFonts w:hint="eastAsia" w:ascii="宋体" w:hAnsi="宋体" w:cs="宋体"/>
          <w:b/>
          <w:color w:val="auto"/>
          <w:sz w:val="24"/>
          <w:szCs w:val="21"/>
          <w:highlight w:val="none"/>
        </w:rPr>
        <w:t>13-7、投标人针对投标人资格要求限制行为的声明格式</w:t>
      </w:r>
    </w:p>
    <w:p>
      <w:pPr>
        <w:pStyle w:val="37"/>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投标人针对投标人资格要求限制行为的声明</w:t>
      </w:r>
    </w:p>
    <w:p>
      <w:pPr>
        <w:pStyle w:val="15"/>
        <w:spacing w:before="81"/>
        <w:ind w:right="1922"/>
        <w:rPr>
          <w:color w:val="auto"/>
          <w:sz w:val="21"/>
          <w:szCs w:val="21"/>
          <w:highlight w:val="none"/>
          <w:lang w:val="en-US"/>
        </w:rPr>
      </w:pPr>
      <w:r>
        <w:rPr>
          <w:rFonts w:hint="eastAsia"/>
          <w:color w:val="auto"/>
          <w:sz w:val="21"/>
          <w:szCs w:val="21"/>
          <w:highlight w:val="none"/>
        </w:rPr>
        <w:t>我方声明：</w:t>
      </w:r>
    </w:p>
    <w:p>
      <w:pPr>
        <w:pStyle w:val="15"/>
        <w:spacing w:before="84" w:line="302" w:lineRule="auto"/>
        <w:ind w:left="400" w:right="477" w:firstLine="479"/>
        <w:rPr>
          <w:color w:val="auto"/>
          <w:sz w:val="21"/>
          <w:szCs w:val="21"/>
          <w:highlight w:val="none"/>
        </w:rPr>
      </w:pPr>
      <w:r>
        <w:rPr>
          <w:rFonts w:hint="eastAsia"/>
          <w:color w:val="auto"/>
          <w:sz w:val="21"/>
          <w:szCs w:val="21"/>
          <w:highlight w:val="none"/>
        </w:rPr>
        <w:t>1、与我方存在单位负责人与我方为同一人或者与我方存在直接控股、管理关系情况的其他投标人如下表：</w:t>
      </w:r>
    </w:p>
    <w:tbl>
      <w:tblPr>
        <w:tblStyle w:val="29"/>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827"/>
        <w:gridCol w:w="4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4"/>
              <w:spacing w:before="2"/>
              <w:ind w:left="309"/>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3827" w:type="dxa"/>
          </w:tcPr>
          <w:p>
            <w:pPr>
              <w:pStyle w:val="34"/>
              <w:spacing w:before="2"/>
              <w:ind w:left="1290" w:right="1287"/>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投标人名称</w:t>
            </w:r>
          </w:p>
        </w:tc>
        <w:tc>
          <w:tcPr>
            <w:tcW w:w="4396" w:type="dxa"/>
          </w:tcPr>
          <w:p>
            <w:pPr>
              <w:pStyle w:val="34"/>
              <w:spacing w:before="2"/>
              <w:ind w:left="1695" w:right="169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2" w:type="dxa"/>
          </w:tcPr>
          <w:p>
            <w:pPr>
              <w:pStyle w:val="34"/>
              <w:rPr>
                <w:rFonts w:ascii="宋体" w:hAnsi="宋体" w:eastAsia="宋体" w:cs="宋体"/>
                <w:color w:val="auto"/>
                <w:sz w:val="21"/>
                <w:szCs w:val="20"/>
                <w:highlight w:val="none"/>
              </w:rPr>
            </w:pPr>
          </w:p>
        </w:tc>
        <w:tc>
          <w:tcPr>
            <w:tcW w:w="3827" w:type="dxa"/>
          </w:tcPr>
          <w:p>
            <w:pPr>
              <w:pStyle w:val="34"/>
              <w:rPr>
                <w:rFonts w:ascii="宋体" w:hAnsi="宋体" w:eastAsia="宋体" w:cs="宋体"/>
                <w:color w:val="auto"/>
                <w:sz w:val="21"/>
                <w:szCs w:val="20"/>
                <w:highlight w:val="none"/>
              </w:rPr>
            </w:pPr>
          </w:p>
        </w:tc>
        <w:tc>
          <w:tcPr>
            <w:tcW w:w="4396" w:type="dxa"/>
          </w:tcPr>
          <w:p>
            <w:pPr>
              <w:pStyle w:val="34"/>
              <w:spacing w:before="2"/>
              <w:ind w:left="106"/>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【请填写：直接控股我方、直接管理我</w:t>
            </w:r>
          </w:p>
          <w:p>
            <w:pPr>
              <w:pStyle w:val="34"/>
              <w:spacing w:before="81"/>
              <w:ind w:left="106" w:right="-29"/>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方、由我方直接控股或由我方直接管理】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1102" w:type="dxa"/>
          </w:tcPr>
          <w:p>
            <w:pPr>
              <w:pStyle w:val="34"/>
              <w:rPr>
                <w:rFonts w:ascii="宋体" w:hAnsi="宋体" w:eastAsia="宋体" w:cs="宋体"/>
                <w:color w:val="auto"/>
                <w:sz w:val="21"/>
                <w:szCs w:val="20"/>
                <w:highlight w:val="none"/>
              </w:rPr>
            </w:pPr>
          </w:p>
        </w:tc>
        <w:tc>
          <w:tcPr>
            <w:tcW w:w="3827" w:type="dxa"/>
          </w:tcPr>
          <w:p>
            <w:pPr>
              <w:pStyle w:val="34"/>
              <w:rPr>
                <w:rFonts w:ascii="宋体" w:hAnsi="宋体" w:eastAsia="宋体" w:cs="宋体"/>
                <w:color w:val="auto"/>
                <w:sz w:val="21"/>
                <w:szCs w:val="20"/>
                <w:highlight w:val="none"/>
              </w:rPr>
            </w:pPr>
          </w:p>
        </w:tc>
        <w:tc>
          <w:tcPr>
            <w:tcW w:w="4396" w:type="dxa"/>
          </w:tcPr>
          <w:p>
            <w:pPr>
              <w:pStyle w:val="34"/>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4"/>
              <w:rPr>
                <w:rFonts w:ascii="宋体" w:hAnsi="宋体" w:eastAsia="宋体" w:cs="宋体"/>
                <w:color w:val="auto"/>
                <w:sz w:val="21"/>
                <w:szCs w:val="20"/>
                <w:highlight w:val="none"/>
              </w:rPr>
            </w:pPr>
          </w:p>
        </w:tc>
        <w:tc>
          <w:tcPr>
            <w:tcW w:w="3827" w:type="dxa"/>
          </w:tcPr>
          <w:p>
            <w:pPr>
              <w:pStyle w:val="34"/>
              <w:rPr>
                <w:rFonts w:ascii="宋体" w:hAnsi="宋体" w:eastAsia="宋体" w:cs="宋体"/>
                <w:color w:val="auto"/>
                <w:sz w:val="21"/>
                <w:szCs w:val="20"/>
                <w:highlight w:val="none"/>
              </w:rPr>
            </w:pPr>
          </w:p>
        </w:tc>
        <w:tc>
          <w:tcPr>
            <w:tcW w:w="4396" w:type="dxa"/>
          </w:tcPr>
          <w:p>
            <w:pPr>
              <w:pStyle w:val="34"/>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Borders>
              <w:bottom w:val="single" w:color="000000" w:sz="8" w:space="0"/>
            </w:tcBorders>
          </w:tcPr>
          <w:p>
            <w:pPr>
              <w:pStyle w:val="34"/>
              <w:rPr>
                <w:rFonts w:ascii="宋体" w:hAnsi="宋体" w:eastAsia="宋体" w:cs="宋体"/>
                <w:color w:val="auto"/>
                <w:sz w:val="21"/>
                <w:szCs w:val="20"/>
                <w:highlight w:val="none"/>
              </w:rPr>
            </w:pPr>
          </w:p>
        </w:tc>
        <w:tc>
          <w:tcPr>
            <w:tcW w:w="3827" w:type="dxa"/>
            <w:tcBorders>
              <w:bottom w:val="single" w:color="000000" w:sz="8" w:space="0"/>
            </w:tcBorders>
          </w:tcPr>
          <w:p>
            <w:pPr>
              <w:pStyle w:val="34"/>
              <w:rPr>
                <w:rFonts w:ascii="宋体" w:hAnsi="宋体" w:eastAsia="宋体" w:cs="宋体"/>
                <w:color w:val="auto"/>
                <w:sz w:val="21"/>
                <w:szCs w:val="20"/>
                <w:highlight w:val="none"/>
              </w:rPr>
            </w:pPr>
          </w:p>
        </w:tc>
        <w:tc>
          <w:tcPr>
            <w:tcW w:w="4396" w:type="dxa"/>
            <w:tcBorders>
              <w:bottom w:val="single" w:color="000000" w:sz="8" w:space="0"/>
            </w:tcBorders>
          </w:tcPr>
          <w:p>
            <w:pPr>
              <w:pStyle w:val="34"/>
              <w:rPr>
                <w:rFonts w:ascii="宋体" w:hAnsi="宋体" w:eastAsia="宋体" w:cs="宋体"/>
                <w:color w:val="auto"/>
                <w:sz w:val="21"/>
                <w:szCs w:val="20"/>
                <w:highlight w:val="none"/>
              </w:rPr>
            </w:pPr>
          </w:p>
        </w:tc>
      </w:tr>
    </w:tbl>
    <w:p>
      <w:pPr>
        <w:pStyle w:val="15"/>
        <w:spacing w:before="84" w:line="302" w:lineRule="auto"/>
        <w:ind w:left="400" w:right="477" w:firstLine="479"/>
        <w:rPr>
          <w:color w:val="auto"/>
          <w:sz w:val="21"/>
          <w:szCs w:val="21"/>
          <w:highlight w:val="none"/>
        </w:rPr>
      </w:pPr>
      <w:r>
        <w:rPr>
          <w:rFonts w:hint="eastAsia"/>
          <w:color w:val="auto"/>
          <w:sz w:val="21"/>
          <w:szCs w:val="21"/>
          <w:highlight w:val="none"/>
        </w:rPr>
        <w:t>2、若我方受托为采购项目提供了整体设计、规范编制或者项目管理、监理、检测等服务，则自动放弃参加该采购项目的其他采购活动。</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投标人名称（公章）：</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法定代表人签署或被授权人（签字或盖章）：</w:t>
      </w:r>
      <w:r>
        <w:rPr>
          <w:rFonts w:hint="eastAsia" w:ascii="宋体" w:hAnsi="宋体" w:cs="宋体"/>
          <w:color w:val="auto"/>
          <w:sz w:val="21"/>
          <w:szCs w:val="21"/>
          <w:highlight w:val="none"/>
          <w:u w:val="single"/>
        </w:rPr>
        <w:t xml:space="preserve">                  </w:t>
      </w:r>
    </w:p>
    <w:p>
      <w:pPr>
        <w:pStyle w:val="37"/>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p>
    <w:sectPr>
      <w:headerReference r:id="rId8" w:type="default"/>
      <w:footerReference r:id="rId9" w:type="default"/>
      <w:pgSz w:w="11910" w:h="16840"/>
      <w:pgMar w:top="1440" w:right="1080" w:bottom="1440" w:left="1080" w:header="850" w:footer="99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ouble" w:color="auto" w:sz="4" w:space="1"/>
        <w:left w:val="none" w:color="auto" w:sz="0" w:space="4"/>
        <w:bottom w:val="none" w:color="auto" w:sz="0" w:space="1"/>
        <w:right w:val="none" w:color="auto" w:sz="0" w:space="4"/>
      </w:pBd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ouble" w:color="auto" w:sz="4" w:space="1"/>
        <w:left w:val="none" w:color="auto" w:sz="0" w:space="4"/>
        <w:bottom w:val="none" w:color="auto" w:sz="0" w:space="1"/>
        <w:right w:val="none" w:color="auto" w:sz="0" w:space="4"/>
      </w:pBdr>
      <w:rPr>
        <w:sz w:val="20"/>
      </w:rPr>
    </w:pPr>
    <w:r>
      <w:rPr>
        <w:sz w:val="20"/>
      </w:rP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ouble" w:color="auto" w:sz="4" w:space="1"/>
        <w:left w:val="none" w:color="auto" w:sz="0" w:space="4"/>
        <w:bottom w:val="none" w:color="auto" w:sz="0" w:space="1"/>
        <w:right w:val="none" w:color="auto" w:sz="0" w:space="4"/>
      </w:pBdr>
      <w:rPr>
        <w:sz w:val="20"/>
      </w:rPr>
    </w:pPr>
    <w:r>
      <w:rPr>
        <w:sz w:val="20"/>
      </w:rP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92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ouble" w:color="auto" w:sz="4" w:space="1"/>
        <w:left w:val="none" w:color="auto" w:sz="0" w:space="4"/>
        <w:bottom w:val="none" w:color="auto" w:sz="0" w:space="1"/>
        <w:right w:val="none" w:color="auto" w:sz="0" w:space="4"/>
      </w:pBdr>
      <w:rPr>
        <w:sz w:val="12"/>
      </w:rPr>
    </w:pPr>
    <w:r>
      <w:rPr>
        <w:sz w:val="12"/>
      </w:rPr>
      <w:pict>
        <v:shape id="_x0000_s2058" o:spid="_x0000_s205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93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center"/>
      <w:rPr>
        <w:sz w:val="16"/>
        <w:szCs w:val="21"/>
        <w:lang w:val="en-US"/>
      </w:rPr>
    </w:pPr>
    <w:r>
      <w:rPr>
        <w:rFonts w:hint="eastAsia"/>
        <w:sz w:val="22"/>
        <w:lang w:val="en-US"/>
      </w:rPr>
      <w:t>新疆华恒惠欣工程项目管理有限责任公司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center"/>
      <w:rPr>
        <w:sz w:val="22"/>
        <w:lang w:val="en-US"/>
      </w:rPr>
    </w:pPr>
    <w:r>
      <w:rPr>
        <w:rFonts w:hint="eastAsia"/>
        <w:sz w:val="22"/>
        <w:lang w:val="en-US"/>
      </w:rPr>
      <w:t>新疆华恒惠欣工程项目管理有限责任公司                                                                                     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center"/>
      <w:rPr>
        <w:sz w:val="22"/>
        <w:lang w:val="en-US"/>
      </w:rPr>
    </w:pPr>
    <w:r>
      <w:rPr>
        <w:rFonts w:hint="eastAsia"/>
        <w:sz w:val="22"/>
        <w:lang w:val="en-US"/>
      </w:rPr>
      <w:t>新疆华恒惠欣工程项目管理有限责任公司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BF6AB"/>
    <w:multiLevelType w:val="multilevel"/>
    <w:tmpl w:val="252BF6AB"/>
    <w:lvl w:ilvl="0" w:tentative="0">
      <w:start w:val="0"/>
      <w:numFmt w:val="bullet"/>
      <w:lvlText w:val=""/>
      <w:lvlJc w:val="left"/>
      <w:pPr>
        <w:ind w:left="528" w:hanging="421"/>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003" w:hanging="421"/>
      </w:pPr>
      <w:rPr>
        <w:rFonts w:hint="default"/>
        <w:lang w:val="zh-CN" w:eastAsia="zh-CN" w:bidi="zh-CN"/>
      </w:rPr>
    </w:lvl>
    <w:lvl w:ilvl="2" w:tentative="0">
      <w:start w:val="0"/>
      <w:numFmt w:val="bullet"/>
      <w:lvlText w:val="•"/>
      <w:lvlJc w:val="left"/>
      <w:pPr>
        <w:ind w:left="1486" w:hanging="421"/>
      </w:pPr>
      <w:rPr>
        <w:rFonts w:hint="default"/>
        <w:lang w:val="zh-CN" w:eastAsia="zh-CN" w:bidi="zh-CN"/>
      </w:rPr>
    </w:lvl>
    <w:lvl w:ilvl="3" w:tentative="0">
      <w:start w:val="0"/>
      <w:numFmt w:val="bullet"/>
      <w:lvlText w:val="•"/>
      <w:lvlJc w:val="left"/>
      <w:pPr>
        <w:ind w:left="1969" w:hanging="421"/>
      </w:pPr>
      <w:rPr>
        <w:rFonts w:hint="default"/>
        <w:lang w:val="zh-CN" w:eastAsia="zh-CN" w:bidi="zh-CN"/>
      </w:rPr>
    </w:lvl>
    <w:lvl w:ilvl="4" w:tentative="0">
      <w:start w:val="0"/>
      <w:numFmt w:val="bullet"/>
      <w:lvlText w:val="•"/>
      <w:lvlJc w:val="left"/>
      <w:pPr>
        <w:ind w:left="2453" w:hanging="421"/>
      </w:pPr>
      <w:rPr>
        <w:rFonts w:hint="default"/>
        <w:lang w:val="zh-CN" w:eastAsia="zh-CN" w:bidi="zh-CN"/>
      </w:rPr>
    </w:lvl>
    <w:lvl w:ilvl="5" w:tentative="0">
      <w:start w:val="0"/>
      <w:numFmt w:val="bullet"/>
      <w:lvlText w:val="•"/>
      <w:lvlJc w:val="left"/>
      <w:pPr>
        <w:ind w:left="2936" w:hanging="421"/>
      </w:pPr>
      <w:rPr>
        <w:rFonts w:hint="default"/>
        <w:lang w:val="zh-CN" w:eastAsia="zh-CN" w:bidi="zh-CN"/>
      </w:rPr>
    </w:lvl>
    <w:lvl w:ilvl="6" w:tentative="0">
      <w:start w:val="0"/>
      <w:numFmt w:val="bullet"/>
      <w:lvlText w:val="•"/>
      <w:lvlJc w:val="left"/>
      <w:pPr>
        <w:ind w:left="3419" w:hanging="421"/>
      </w:pPr>
      <w:rPr>
        <w:rFonts w:hint="default"/>
        <w:lang w:val="zh-CN" w:eastAsia="zh-CN" w:bidi="zh-CN"/>
      </w:rPr>
    </w:lvl>
    <w:lvl w:ilvl="7" w:tentative="0">
      <w:start w:val="0"/>
      <w:numFmt w:val="bullet"/>
      <w:lvlText w:val="•"/>
      <w:lvlJc w:val="left"/>
      <w:pPr>
        <w:ind w:left="3903" w:hanging="421"/>
      </w:pPr>
      <w:rPr>
        <w:rFonts w:hint="default"/>
        <w:lang w:val="zh-CN" w:eastAsia="zh-CN" w:bidi="zh-CN"/>
      </w:rPr>
    </w:lvl>
    <w:lvl w:ilvl="8" w:tentative="0">
      <w:start w:val="0"/>
      <w:numFmt w:val="bullet"/>
      <w:lvlText w:val="•"/>
      <w:lvlJc w:val="left"/>
      <w:pPr>
        <w:ind w:left="4386" w:hanging="421"/>
      </w:pPr>
      <w:rPr>
        <w:rFonts w:hint="default"/>
        <w:lang w:val="zh-CN" w:eastAsia="zh-CN" w:bidi="zh-CN"/>
      </w:rPr>
    </w:lvl>
  </w:abstractNum>
  <w:abstractNum w:abstractNumId="1">
    <w:nsid w:val="3F014D1C"/>
    <w:multiLevelType w:val="multilevel"/>
    <w:tmpl w:val="3F014D1C"/>
    <w:lvl w:ilvl="0" w:tentative="0">
      <w:start w:val="1"/>
      <w:numFmt w:val="japaneseCounting"/>
      <w:lvlText w:val="%1、"/>
      <w:lvlJc w:val="left"/>
      <w:pPr>
        <w:tabs>
          <w:tab w:val="left" w:pos="1350"/>
        </w:tabs>
        <w:ind w:left="1350" w:hanging="72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4D94DA66"/>
    <w:multiLevelType w:val="multilevel"/>
    <w:tmpl w:val="4D94DA66"/>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TVjM2U5ZGJkZGU4MzJlMWMyOWVhNGJkYTY3MzJjNzIifQ=="/>
  </w:docVars>
  <w:rsids>
    <w:rsidRoot w:val="0039059B"/>
    <w:rsid w:val="00044B3A"/>
    <w:rsid w:val="0013441B"/>
    <w:rsid w:val="0039059B"/>
    <w:rsid w:val="003943AD"/>
    <w:rsid w:val="00A46D1F"/>
    <w:rsid w:val="00AD64DB"/>
    <w:rsid w:val="00CF32D6"/>
    <w:rsid w:val="00EB290D"/>
    <w:rsid w:val="01266BAD"/>
    <w:rsid w:val="014D7ED0"/>
    <w:rsid w:val="015C4358"/>
    <w:rsid w:val="016B3F6D"/>
    <w:rsid w:val="01731C06"/>
    <w:rsid w:val="017A6502"/>
    <w:rsid w:val="01E47B0D"/>
    <w:rsid w:val="01FB1BA5"/>
    <w:rsid w:val="03357A55"/>
    <w:rsid w:val="033D263B"/>
    <w:rsid w:val="033D3914"/>
    <w:rsid w:val="03734234"/>
    <w:rsid w:val="03AA4003"/>
    <w:rsid w:val="03BF63BE"/>
    <w:rsid w:val="04225EAD"/>
    <w:rsid w:val="04587372"/>
    <w:rsid w:val="047533D9"/>
    <w:rsid w:val="048F51A9"/>
    <w:rsid w:val="04A40A52"/>
    <w:rsid w:val="04C451A5"/>
    <w:rsid w:val="04C532BF"/>
    <w:rsid w:val="04E66E02"/>
    <w:rsid w:val="04E8793B"/>
    <w:rsid w:val="05AC2A40"/>
    <w:rsid w:val="05B244E7"/>
    <w:rsid w:val="05E3763C"/>
    <w:rsid w:val="0615187B"/>
    <w:rsid w:val="06652B67"/>
    <w:rsid w:val="068A46CF"/>
    <w:rsid w:val="06B17CB4"/>
    <w:rsid w:val="06DF5EEB"/>
    <w:rsid w:val="07172D5C"/>
    <w:rsid w:val="071F02F6"/>
    <w:rsid w:val="07434E8B"/>
    <w:rsid w:val="07FE66CB"/>
    <w:rsid w:val="085732E3"/>
    <w:rsid w:val="08EE37C6"/>
    <w:rsid w:val="09652484"/>
    <w:rsid w:val="09795E36"/>
    <w:rsid w:val="09B340A8"/>
    <w:rsid w:val="0A1246B0"/>
    <w:rsid w:val="0A635B40"/>
    <w:rsid w:val="0ADE05C2"/>
    <w:rsid w:val="0AE5183E"/>
    <w:rsid w:val="0B0024DA"/>
    <w:rsid w:val="0B2B0866"/>
    <w:rsid w:val="0B343278"/>
    <w:rsid w:val="0B3A01F2"/>
    <w:rsid w:val="0B4821A6"/>
    <w:rsid w:val="0B526165"/>
    <w:rsid w:val="0B6C0C7D"/>
    <w:rsid w:val="0B89673A"/>
    <w:rsid w:val="0BF95EC2"/>
    <w:rsid w:val="0C00660B"/>
    <w:rsid w:val="0C205C85"/>
    <w:rsid w:val="0C3057FD"/>
    <w:rsid w:val="0C34090D"/>
    <w:rsid w:val="0C453687"/>
    <w:rsid w:val="0C5562D4"/>
    <w:rsid w:val="0CBC6D76"/>
    <w:rsid w:val="0D1A1965"/>
    <w:rsid w:val="0D3120EB"/>
    <w:rsid w:val="0E5434E9"/>
    <w:rsid w:val="0E7B2823"/>
    <w:rsid w:val="0E96765D"/>
    <w:rsid w:val="0E990EFC"/>
    <w:rsid w:val="0F0071CD"/>
    <w:rsid w:val="0F2112DE"/>
    <w:rsid w:val="0F3D7258"/>
    <w:rsid w:val="0F486E02"/>
    <w:rsid w:val="0FAB538A"/>
    <w:rsid w:val="0FBC0BBC"/>
    <w:rsid w:val="0FD90F5E"/>
    <w:rsid w:val="1038093B"/>
    <w:rsid w:val="106C2D3E"/>
    <w:rsid w:val="1080132B"/>
    <w:rsid w:val="10950245"/>
    <w:rsid w:val="109A0F5B"/>
    <w:rsid w:val="10A72F0E"/>
    <w:rsid w:val="10C07DAE"/>
    <w:rsid w:val="10CA1C2B"/>
    <w:rsid w:val="112D3CD9"/>
    <w:rsid w:val="113C6C6A"/>
    <w:rsid w:val="11645E01"/>
    <w:rsid w:val="11CA7AB7"/>
    <w:rsid w:val="11F8738D"/>
    <w:rsid w:val="12410C6F"/>
    <w:rsid w:val="125D0492"/>
    <w:rsid w:val="125E66E4"/>
    <w:rsid w:val="128D521B"/>
    <w:rsid w:val="12E41BBF"/>
    <w:rsid w:val="131D2008"/>
    <w:rsid w:val="134D0817"/>
    <w:rsid w:val="13C71480"/>
    <w:rsid w:val="14470E31"/>
    <w:rsid w:val="147160BC"/>
    <w:rsid w:val="14B05E99"/>
    <w:rsid w:val="150D43F1"/>
    <w:rsid w:val="150E3F7D"/>
    <w:rsid w:val="152C137C"/>
    <w:rsid w:val="156516A4"/>
    <w:rsid w:val="15F639C9"/>
    <w:rsid w:val="163F05DA"/>
    <w:rsid w:val="164A7928"/>
    <w:rsid w:val="169E793A"/>
    <w:rsid w:val="16C1306C"/>
    <w:rsid w:val="16CB7621"/>
    <w:rsid w:val="16CD60B4"/>
    <w:rsid w:val="17151E15"/>
    <w:rsid w:val="172F5E68"/>
    <w:rsid w:val="17306CBB"/>
    <w:rsid w:val="17340B5F"/>
    <w:rsid w:val="177D0BA3"/>
    <w:rsid w:val="17811FDD"/>
    <w:rsid w:val="17832407"/>
    <w:rsid w:val="179D1388"/>
    <w:rsid w:val="17A3264F"/>
    <w:rsid w:val="17BA3E8B"/>
    <w:rsid w:val="17C86EDC"/>
    <w:rsid w:val="17C93858"/>
    <w:rsid w:val="17FB764E"/>
    <w:rsid w:val="185A5BA0"/>
    <w:rsid w:val="185E1785"/>
    <w:rsid w:val="18D333DA"/>
    <w:rsid w:val="190B5B1E"/>
    <w:rsid w:val="19233B96"/>
    <w:rsid w:val="19550115"/>
    <w:rsid w:val="1A2805A7"/>
    <w:rsid w:val="1ACF6467"/>
    <w:rsid w:val="1AD930C4"/>
    <w:rsid w:val="1B097F93"/>
    <w:rsid w:val="1B41676D"/>
    <w:rsid w:val="1B454F28"/>
    <w:rsid w:val="1B7C546D"/>
    <w:rsid w:val="1B80591D"/>
    <w:rsid w:val="1C184DB5"/>
    <w:rsid w:val="1C6675CE"/>
    <w:rsid w:val="1C861436"/>
    <w:rsid w:val="1CD739BA"/>
    <w:rsid w:val="1D014E56"/>
    <w:rsid w:val="1D504758"/>
    <w:rsid w:val="1E4E5555"/>
    <w:rsid w:val="1EAE454F"/>
    <w:rsid w:val="1ED24781"/>
    <w:rsid w:val="1EFB4F41"/>
    <w:rsid w:val="1F2E7B22"/>
    <w:rsid w:val="1F61547F"/>
    <w:rsid w:val="1F9000F9"/>
    <w:rsid w:val="1FC267E7"/>
    <w:rsid w:val="1FDA55B7"/>
    <w:rsid w:val="20700E5F"/>
    <w:rsid w:val="207F699C"/>
    <w:rsid w:val="214F6877"/>
    <w:rsid w:val="215D225D"/>
    <w:rsid w:val="215F5FD5"/>
    <w:rsid w:val="217B251F"/>
    <w:rsid w:val="21BB05D9"/>
    <w:rsid w:val="21BC4120"/>
    <w:rsid w:val="22097F72"/>
    <w:rsid w:val="2249618C"/>
    <w:rsid w:val="224E1681"/>
    <w:rsid w:val="22B42681"/>
    <w:rsid w:val="22D9552F"/>
    <w:rsid w:val="23946493"/>
    <w:rsid w:val="240C0FAD"/>
    <w:rsid w:val="244326A2"/>
    <w:rsid w:val="24701082"/>
    <w:rsid w:val="24C51769"/>
    <w:rsid w:val="24CC180B"/>
    <w:rsid w:val="254B4DC5"/>
    <w:rsid w:val="254C71AF"/>
    <w:rsid w:val="25990341"/>
    <w:rsid w:val="25A470AB"/>
    <w:rsid w:val="25C025FF"/>
    <w:rsid w:val="25E87C00"/>
    <w:rsid w:val="26196D26"/>
    <w:rsid w:val="26453813"/>
    <w:rsid w:val="269D7B2C"/>
    <w:rsid w:val="26A6712C"/>
    <w:rsid w:val="271826F0"/>
    <w:rsid w:val="27294D5F"/>
    <w:rsid w:val="2730118D"/>
    <w:rsid w:val="27624129"/>
    <w:rsid w:val="276659F1"/>
    <w:rsid w:val="278E4F1E"/>
    <w:rsid w:val="27CC77B8"/>
    <w:rsid w:val="27EE3AB1"/>
    <w:rsid w:val="27F26E6C"/>
    <w:rsid w:val="28120E19"/>
    <w:rsid w:val="28326096"/>
    <w:rsid w:val="285853D4"/>
    <w:rsid w:val="285E12D7"/>
    <w:rsid w:val="288C5906"/>
    <w:rsid w:val="28A22C39"/>
    <w:rsid w:val="28AA2B5E"/>
    <w:rsid w:val="28AD1D8E"/>
    <w:rsid w:val="295C66FB"/>
    <w:rsid w:val="298F51D9"/>
    <w:rsid w:val="29982BF4"/>
    <w:rsid w:val="299D065B"/>
    <w:rsid w:val="29C24441"/>
    <w:rsid w:val="2A4A5831"/>
    <w:rsid w:val="2A5E32CD"/>
    <w:rsid w:val="2AEC74BA"/>
    <w:rsid w:val="2B1D5733"/>
    <w:rsid w:val="2B5C0894"/>
    <w:rsid w:val="2B5E60D1"/>
    <w:rsid w:val="2B6375A0"/>
    <w:rsid w:val="2BA43F05"/>
    <w:rsid w:val="2BFF6C3E"/>
    <w:rsid w:val="2C265BD4"/>
    <w:rsid w:val="2C385DA0"/>
    <w:rsid w:val="2C7515F8"/>
    <w:rsid w:val="2D0B5040"/>
    <w:rsid w:val="2D1134FB"/>
    <w:rsid w:val="2D702CF7"/>
    <w:rsid w:val="2DB61A50"/>
    <w:rsid w:val="2E0B0A4D"/>
    <w:rsid w:val="2E17763C"/>
    <w:rsid w:val="2E291B46"/>
    <w:rsid w:val="2E6B5706"/>
    <w:rsid w:val="2EBC3F1C"/>
    <w:rsid w:val="2EC05CEE"/>
    <w:rsid w:val="2EE06A16"/>
    <w:rsid w:val="2F1403FE"/>
    <w:rsid w:val="2F4C39EB"/>
    <w:rsid w:val="2F533D43"/>
    <w:rsid w:val="2F5B602D"/>
    <w:rsid w:val="2FA530C4"/>
    <w:rsid w:val="2FB600D4"/>
    <w:rsid w:val="2FFD0E93"/>
    <w:rsid w:val="301B7B69"/>
    <w:rsid w:val="301F7049"/>
    <w:rsid w:val="30385D10"/>
    <w:rsid w:val="307F2A26"/>
    <w:rsid w:val="30846206"/>
    <w:rsid w:val="30931163"/>
    <w:rsid w:val="309C68FD"/>
    <w:rsid w:val="309D61D2"/>
    <w:rsid w:val="30A65A08"/>
    <w:rsid w:val="30CA4E30"/>
    <w:rsid w:val="30CC6AB7"/>
    <w:rsid w:val="310205C7"/>
    <w:rsid w:val="313A53BB"/>
    <w:rsid w:val="31800F4A"/>
    <w:rsid w:val="319D142A"/>
    <w:rsid w:val="32336E45"/>
    <w:rsid w:val="3267118D"/>
    <w:rsid w:val="32CC6098"/>
    <w:rsid w:val="33152A48"/>
    <w:rsid w:val="335F2F3D"/>
    <w:rsid w:val="337C5019"/>
    <w:rsid w:val="337F3789"/>
    <w:rsid w:val="33921799"/>
    <w:rsid w:val="339A2E9C"/>
    <w:rsid w:val="34C2779C"/>
    <w:rsid w:val="34D815A9"/>
    <w:rsid w:val="352D1DBC"/>
    <w:rsid w:val="35335357"/>
    <w:rsid w:val="35590FAB"/>
    <w:rsid w:val="358E6A31"/>
    <w:rsid w:val="35A10EB9"/>
    <w:rsid w:val="35B94F58"/>
    <w:rsid w:val="35C6745A"/>
    <w:rsid w:val="362D2681"/>
    <w:rsid w:val="363037C3"/>
    <w:rsid w:val="36633BDA"/>
    <w:rsid w:val="36B9188B"/>
    <w:rsid w:val="3708465C"/>
    <w:rsid w:val="371B442B"/>
    <w:rsid w:val="37732382"/>
    <w:rsid w:val="37774F8F"/>
    <w:rsid w:val="37C96F3D"/>
    <w:rsid w:val="37E10B42"/>
    <w:rsid w:val="37F45271"/>
    <w:rsid w:val="383271A6"/>
    <w:rsid w:val="388D5364"/>
    <w:rsid w:val="38B67898"/>
    <w:rsid w:val="38C96CE1"/>
    <w:rsid w:val="38D44107"/>
    <w:rsid w:val="393671C3"/>
    <w:rsid w:val="39496D0D"/>
    <w:rsid w:val="39AF2AAA"/>
    <w:rsid w:val="39F5707E"/>
    <w:rsid w:val="3A612966"/>
    <w:rsid w:val="3A764D9C"/>
    <w:rsid w:val="3ADD527F"/>
    <w:rsid w:val="3B295232"/>
    <w:rsid w:val="3B6E1CD1"/>
    <w:rsid w:val="3B8A7399"/>
    <w:rsid w:val="3BA62A75"/>
    <w:rsid w:val="3C0B315D"/>
    <w:rsid w:val="3C3F4152"/>
    <w:rsid w:val="3C805325"/>
    <w:rsid w:val="3D0C2395"/>
    <w:rsid w:val="3D267C97"/>
    <w:rsid w:val="3D302200"/>
    <w:rsid w:val="3D5029C1"/>
    <w:rsid w:val="3D532AA4"/>
    <w:rsid w:val="3D830958"/>
    <w:rsid w:val="3D99707A"/>
    <w:rsid w:val="3DC2196D"/>
    <w:rsid w:val="3DE4640A"/>
    <w:rsid w:val="3DFA1107"/>
    <w:rsid w:val="3E2715FB"/>
    <w:rsid w:val="3E314470"/>
    <w:rsid w:val="3E370E76"/>
    <w:rsid w:val="3EB017C6"/>
    <w:rsid w:val="3EC649CA"/>
    <w:rsid w:val="3F1A0507"/>
    <w:rsid w:val="3F2006FA"/>
    <w:rsid w:val="3F262A05"/>
    <w:rsid w:val="401A5433"/>
    <w:rsid w:val="40214122"/>
    <w:rsid w:val="40A11D0E"/>
    <w:rsid w:val="40BB62E0"/>
    <w:rsid w:val="40D24EFC"/>
    <w:rsid w:val="41A559DB"/>
    <w:rsid w:val="41B810BD"/>
    <w:rsid w:val="425439CC"/>
    <w:rsid w:val="42E12D5E"/>
    <w:rsid w:val="43292B67"/>
    <w:rsid w:val="432F34D6"/>
    <w:rsid w:val="433469DC"/>
    <w:rsid w:val="434633FD"/>
    <w:rsid w:val="43A4706D"/>
    <w:rsid w:val="43B6787E"/>
    <w:rsid w:val="43BA4AA6"/>
    <w:rsid w:val="43C2130B"/>
    <w:rsid w:val="43CF24B1"/>
    <w:rsid w:val="43F3462F"/>
    <w:rsid w:val="43F5509A"/>
    <w:rsid w:val="445E5BBA"/>
    <w:rsid w:val="448279FF"/>
    <w:rsid w:val="44C05BA3"/>
    <w:rsid w:val="44DC4AE2"/>
    <w:rsid w:val="44E34971"/>
    <w:rsid w:val="4539066C"/>
    <w:rsid w:val="4590254E"/>
    <w:rsid w:val="45B479E4"/>
    <w:rsid w:val="45DC288C"/>
    <w:rsid w:val="45FE3BBA"/>
    <w:rsid w:val="46116F0A"/>
    <w:rsid w:val="462A05C1"/>
    <w:rsid w:val="4643469C"/>
    <w:rsid w:val="464F71EE"/>
    <w:rsid w:val="46B61105"/>
    <w:rsid w:val="46B81B60"/>
    <w:rsid w:val="471A16F6"/>
    <w:rsid w:val="473311E6"/>
    <w:rsid w:val="475B61B0"/>
    <w:rsid w:val="47872B8E"/>
    <w:rsid w:val="47E8006A"/>
    <w:rsid w:val="48043F12"/>
    <w:rsid w:val="48221DE3"/>
    <w:rsid w:val="48240722"/>
    <w:rsid w:val="4870420A"/>
    <w:rsid w:val="48D878C8"/>
    <w:rsid w:val="491312CF"/>
    <w:rsid w:val="49396E5F"/>
    <w:rsid w:val="49B033D1"/>
    <w:rsid w:val="49B41FF9"/>
    <w:rsid w:val="4A153D60"/>
    <w:rsid w:val="4A215A8F"/>
    <w:rsid w:val="4A271687"/>
    <w:rsid w:val="4ABF308E"/>
    <w:rsid w:val="4B043E66"/>
    <w:rsid w:val="4B077AED"/>
    <w:rsid w:val="4B297C67"/>
    <w:rsid w:val="4B307DBF"/>
    <w:rsid w:val="4B83224B"/>
    <w:rsid w:val="4B83798F"/>
    <w:rsid w:val="4BBD6286"/>
    <w:rsid w:val="4BC12E9C"/>
    <w:rsid w:val="4BD64771"/>
    <w:rsid w:val="4C2D17F8"/>
    <w:rsid w:val="4CF34379"/>
    <w:rsid w:val="4CFA30E8"/>
    <w:rsid w:val="4D1627F0"/>
    <w:rsid w:val="4D227455"/>
    <w:rsid w:val="4D420195"/>
    <w:rsid w:val="4D4423C1"/>
    <w:rsid w:val="4D9F40C8"/>
    <w:rsid w:val="4DD61A2E"/>
    <w:rsid w:val="4DEF24B1"/>
    <w:rsid w:val="4E634B3E"/>
    <w:rsid w:val="4F537F6E"/>
    <w:rsid w:val="4F5C734B"/>
    <w:rsid w:val="4F5D4CCF"/>
    <w:rsid w:val="4F897CB5"/>
    <w:rsid w:val="4FA82899"/>
    <w:rsid w:val="4FAC1ACB"/>
    <w:rsid w:val="4FAC52CF"/>
    <w:rsid w:val="4FD00F12"/>
    <w:rsid w:val="4FD5123F"/>
    <w:rsid w:val="4FF44BC5"/>
    <w:rsid w:val="4FF5630A"/>
    <w:rsid w:val="5058622E"/>
    <w:rsid w:val="507A4BF9"/>
    <w:rsid w:val="50A32A14"/>
    <w:rsid w:val="50ED2406"/>
    <w:rsid w:val="51151B21"/>
    <w:rsid w:val="517A582E"/>
    <w:rsid w:val="518D7684"/>
    <w:rsid w:val="51C62686"/>
    <w:rsid w:val="521A36CE"/>
    <w:rsid w:val="532612FD"/>
    <w:rsid w:val="53332C9A"/>
    <w:rsid w:val="53493A27"/>
    <w:rsid w:val="538454C4"/>
    <w:rsid w:val="53894F72"/>
    <w:rsid w:val="53C12B83"/>
    <w:rsid w:val="53CB22C9"/>
    <w:rsid w:val="53D0512F"/>
    <w:rsid w:val="53DE78D0"/>
    <w:rsid w:val="540C5199"/>
    <w:rsid w:val="543A5B79"/>
    <w:rsid w:val="546451F1"/>
    <w:rsid w:val="5525586C"/>
    <w:rsid w:val="55674A6B"/>
    <w:rsid w:val="55C4672A"/>
    <w:rsid w:val="561A44E2"/>
    <w:rsid w:val="56326CD0"/>
    <w:rsid w:val="566273DC"/>
    <w:rsid w:val="56A536ED"/>
    <w:rsid w:val="56B77778"/>
    <w:rsid w:val="56EF4F91"/>
    <w:rsid w:val="571774DA"/>
    <w:rsid w:val="57896802"/>
    <w:rsid w:val="579C6D55"/>
    <w:rsid w:val="582E4CC5"/>
    <w:rsid w:val="583D3BD0"/>
    <w:rsid w:val="584F5AD1"/>
    <w:rsid w:val="587A0A23"/>
    <w:rsid w:val="58E075AE"/>
    <w:rsid w:val="58E96C57"/>
    <w:rsid w:val="594A2AEB"/>
    <w:rsid w:val="594C6B64"/>
    <w:rsid w:val="59824B46"/>
    <w:rsid w:val="59D35DCA"/>
    <w:rsid w:val="59E24E2E"/>
    <w:rsid w:val="59E9430C"/>
    <w:rsid w:val="5A521D0F"/>
    <w:rsid w:val="5A846113"/>
    <w:rsid w:val="5A9853AF"/>
    <w:rsid w:val="5A9D6323"/>
    <w:rsid w:val="5AC36179"/>
    <w:rsid w:val="5AF15D6F"/>
    <w:rsid w:val="5B4F7BD2"/>
    <w:rsid w:val="5BA70F92"/>
    <w:rsid w:val="5C2B4ADE"/>
    <w:rsid w:val="5D1B51E0"/>
    <w:rsid w:val="5D4F6922"/>
    <w:rsid w:val="5DA116D4"/>
    <w:rsid w:val="5DB030CE"/>
    <w:rsid w:val="5DB65C0D"/>
    <w:rsid w:val="5E392EBD"/>
    <w:rsid w:val="5E600B95"/>
    <w:rsid w:val="5E6261E1"/>
    <w:rsid w:val="5E936FC6"/>
    <w:rsid w:val="5E94174C"/>
    <w:rsid w:val="5F28709D"/>
    <w:rsid w:val="5F430A91"/>
    <w:rsid w:val="5FA84150"/>
    <w:rsid w:val="5FBC41C6"/>
    <w:rsid w:val="5FD47C03"/>
    <w:rsid w:val="5FDC526D"/>
    <w:rsid w:val="5FF36BF6"/>
    <w:rsid w:val="60087BF4"/>
    <w:rsid w:val="600B441E"/>
    <w:rsid w:val="602256FA"/>
    <w:rsid w:val="603911C4"/>
    <w:rsid w:val="60567FC7"/>
    <w:rsid w:val="61160336"/>
    <w:rsid w:val="61587D6F"/>
    <w:rsid w:val="62252E5A"/>
    <w:rsid w:val="6228172F"/>
    <w:rsid w:val="62651893"/>
    <w:rsid w:val="627B519F"/>
    <w:rsid w:val="62AA6179"/>
    <w:rsid w:val="62F83483"/>
    <w:rsid w:val="632919C3"/>
    <w:rsid w:val="63D464D2"/>
    <w:rsid w:val="63EA2055"/>
    <w:rsid w:val="640C0FFA"/>
    <w:rsid w:val="64B5252B"/>
    <w:rsid w:val="64BD6DB6"/>
    <w:rsid w:val="64BF0FD1"/>
    <w:rsid w:val="64DB4B3A"/>
    <w:rsid w:val="64E238AE"/>
    <w:rsid w:val="654F7282"/>
    <w:rsid w:val="656010EC"/>
    <w:rsid w:val="65F323AF"/>
    <w:rsid w:val="65F77D31"/>
    <w:rsid w:val="662231E5"/>
    <w:rsid w:val="662D3F67"/>
    <w:rsid w:val="663369F7"/>
    <w:rsid w:val="668E3A9E"/>
    <w:rsid w:val="66A8761E"/>
    <w:rsid w:val="671C7FD5"/>
    <w:rsid w:val="67B03881"/>
    <w:rsid w:val="67E7543F"/>
    <w:rsid w:val="680F0260"/>
    <w:rsid w:val="682B3AE8"/>
    <w:rsid w:val="685A5E75"/>
    <w:rsid w:val="68D53B72"/>
    <w:rsid w:val="691A72C4"/>
    <w:rsid w:val="69634CA3"/>
    <w:rsid w:val="696A6892"/>
    <w:rsid w:val="6985191D"/>
    <w:rsid w:val="69BA2097"/>
    <w:rsid w:val="6A7031A3"/>
    <w:rsid w:val="6A7A6FA8"/>
    <w:rsid w:val="6A884323"/>
    <w:rsid w:val="6ACE2488"/>
    <w:rsid w:val="6AE26A6F"/>
    <w:rsid w:val="6B014459"/>
    <w:rsid w:val="6B0C3D5F"/>
    <w:rsid w:val="6B1F0656"/>
    <w:rsid w:val="6B6D43D2"/>
    <w:rsid w:val="6B7E2CAD"/>
    <w:rsid w:val="6BC24763"/>
    <w:rsid w:val="6BC55E9D"/>
    <w:rsid w:val="6BD53A2F"/>
    <w:rsid w:val="6BDB25D4"/>
    <w:rsid w:val="6BDB41CB"/>
    <w:rsid w:val="6C027BDD"/>
    <w:rsid w:val="6C1968D7"/>
    <w:rsid w:val="6C280C9A"/>
    <w:rsid w:val="6C7D63BA"/>
    <w:rsid w:val="6CC14A1B"/>
    <w:rsid w:val="6CD16437"/>
    <w:rsid w:val="6CE150BD"/>
    <w:rsid w:val="6CEF5A8E"/>
    <w:rsid w:val="6D1813E1"/>
    <w:rsid w:val="6D2D0302"/>
    <w:rsid w:val="6D4420F5"/>
    <w:rsid w:val="6DB63E53"/>
    <w:rsid w:val="6DD74C8D"/>
    <w:rsid w:val="6E5859A5"/>
    <w:rsid w:val="6E794B8B"/>
    <w:rsid w:val="6F0231B1"/>
    <w:rsid w:val="6F3A3EB9"/>
    <w:rsid w:val="6F8B2DA0"/>
    <w:rsid w:val="6FE078AE"/>
    <w:rsid w:val="6FE36B1F"/>
    <w:rsid w:val="70170B4F"/>
    <w:rsid w:val="70927259"/>
    <w:rsid w:val="70DD5B9B"/>
    <w:rsid w:val="710309C2"/>
    <w:rsid w:val="718D3CE9"/>
    <w:rsid w:val="719130C7"/>
    <w:rsid w:val="71C31E24"/>
    <w:rsid w:val="721851DE"/>
    <w:rsid w:val="721F63D9"/>
    <w:rsid w:val="726A3326"/>
    <w:rsid w:val="728A23CC"/>
    <w:rsid w:val="729A3B8F"/>
    <w:rsid w:val="729B0F7E"/>
    <w:rsid w:val="72BA6802"/>
    <w:rsid w:val="73340AF8"/>
    <w:rsid w:val="741F7709"/>
    <w:rsid w:val="748665BC"/>
    <w:rsid w:val="74A11DDC"/>
    <w:rsid w:val="74B07A0D"/>
    <w:rsid w:val="75432E15"/>
    <w:rsid w:val="757302A2"/>
    <w:rsid w:val="75827D63"/>
    <w:rsid w:val="75861693"/>
    <w:rsid w:val="75E35A19"/>
    <w:rsid w:val="760657F4"/>
    <w:rsid w:val="761E107A"/>
    <w:rsid w:val="766279B8"/>
    <w:rsid w:val="77A92A4A"/>
    <w:rsid w:val="77CD76B1"/>
    <w:rsid w:val="7854032A"/>
    <w:rsid w:val="789536AA"/>
    <w:rsid w:val="78A45805"/>
    <w:rsid w:val="78B35992"/>
    <w:rsid w:val="78EB0E14"/>
    <w:rsid w:val="790528DD"/>
    <w:rsid w:val="793E09C6"/>
    <w:rsid w:val="7A56180D"/>
    <w:rsid w:val="7A8E4D9A"/>
    <w:rsid w:val="7AA64A51"/>
    <w:rsid w:val="7AB22BAA"/>
    <w:rsid w:val="7AC923F2"/>
    <w:rsid w:val="7AE11278"/>
    <w:rsid w:val="7B372662"/>
    <w:rsid w:val="7B4F37AD"/>
    <w:rsid w:val="7B70153B"/>
    <w:rsid w:val="7BA90F34"/>
    <w:rsid w:val="7BD86ED7"/>
    <w:rsid w:val="7C147B1D"/>
    <w:rsid w:val="7C2B30D1"/>
    <w:rsid w:val="7C510CDE"/>
    <w:rsid w:val="7CD37E29"/>
    <w:rsid w:val="7D020F2E"/>
    <w:rsid w:val="7D1354C7"/>
    <w:rsid w:val="7D232E95"/>
    <w:rsid w:val="7D5D01CF"/>
    <w:rsid w:val="7D792CB0"/>
    <w:rsid w:val="7D8368EE"/>
    <w:rsid w:val="7DB1604D"/>
    <w:rsid w:val="7DBF39BE"/>
    <w:rsid w:val="7E0C7AC0"/>
    <w:rsid w:val="7E521459"/>
    <w:rsid w:val="7E5B3D22"/>
    <w:rsid w:val="7E611493"/>
    <w:rsid w:val="7E862155"/>
    <w:rsid w:val="7F8D69DE"/>
    <w:rsid w:val="7FA32FBC"/>
    <w:rsid w:val="7FD20B67"/>
    <w:rsid w:val="7FF1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line="922" w:lineRule="exact"/>
      <w:ind w:right="113"/>
      <w:jc w:val="center"/>
      <w:outlineLvl w:val="0"/>
    </w:pPr>
    <w:rPr>
      <w:sz w:val="72"/>
      <w:szCs w:val="72"/>
    </w:rPr>
  </w:style>
  <w:style w:type="paragraph" w:styleId="6">
    <w:name w:val="heading 2"/>
    <w:basedOn w:val="1"/>
    <w:next w:val="1"/>
    <w:qFormat/>
    <w:uiPriority w:val="1"/>
    <w:pPr>
      <w:spacing w:before="29"/>
      <w:ind w:right="124"/>
      <w:jc w:val="center"/>
      <w:outlineLvl w:val="1"/>
    </w:pPr>
    <w:rPr>
      <w:rFonts w:ascii="黑体" w:hAnsi="黑体" w:eastAsia="黑体" w:cs="黑体"/>
      <w:b/>
      <w:bCs/>
      <w:sz w:val="36"/>
      <w:szCs w:val="36"/>
    </w:rPr>
  </w:style>
  <w:style w:type="paragraph" w:styleId="7">
    <w:name w:val="heading 3"/>
    <w:basedOn w:val="1"/>
    <w:next w:val="1"/>
    <w:qFormat/>
    <w:uiPriority w:val="1"/>
    <w:pPr>
      <w:jc w:val="center"/>
      <w:outlineLvl w:val="2"/>
    </w:pPr>
    <w:rPr>
      <w:rFonts w:ascii="黑体" w:hAnsi="黑体" w:eastAsia="黑体" w:cs="黑体"/>
      <w:b/>
      <w:bCs/>
      <w:sz w:val="32"/>
      <w:szCs w:val="32"/>
    </w:rPr>
  </w:style>
  <w:style w:type="paragraph" w:styleId="8">
    <w:name w:val="heading 4"/>
    <w:basedOn w:val="1"/>
    <w:next w:val="1"/>
    <w:qFormat/>
    <w:uiPriority w:val="1"/>
    <w:pPr>
      <w:ind w:right="115"/>
      <w:jc w:val="center"/>
      <w:outlineLvl w:val="3"/>
    </w:pPr>
    <w:rPr>
      <w:sz w:val="32"/>
      <w:szCs w:val="32"/>
    </w:rPr>
  </w:style>
  <w:style w:type="paragraph" w:styleId="9">
    <w:name w:val="heading 5"/>
    <w:basedOn w:val="1"/>
    <w:next w:val="1"/>
    <w:qFormat/>
    <w:uiPriority w:val="1"/>
    <w:pPr>
      <w:spacing w:before="210"/>
      <w:ind w:left="363" w:right="390"/>
      <w:jc w:val="center"/>
      <w:outlineLvl w:val="4"/>
    </w:pPr>
    <w:rPr>
      <w:b/>
      <w:bCs/>
      <w:sz w:val="30"/>
      <w:szCs w:val="30"/>
    </w:rPr>
  </w:style>
  <w:style w:type="paragraph" w:styleId="10">
    <w:name w:val="heading 6"/>
    <w:basedOn w:val="1"/>
    <w:next w:val="1"/>
    <w:qFormat/>
    <w:uiPriority w:val="1"/>
    <w:pPr>
      <w:outlineLvl w:val="5"/>
    </w:pPr>
    <w:rPr>
      <w:rFonts w:ascii="黑体" w:hAnsi="黑体" w:eastAsia="黑体" w:cs="黑体"/>
      <w:sz w:val="30"/>
      <w:szCs w:val="30"/>
    </w:rPr>
  </w:style>
  <w:style w:type="paragraph" w:styleId="11">
    <w:name w:val="heading 7"/>
    <w:basedOn w:val="1"/>
    <w:next w:val="1"/>
    <w:qFormat/>
    <w:uiPriority w:val="1"/>
    <w:pPr>
      <w:spacing w:before="42"/>
      <w:ind w:left="228"/>
      <w:outlineLvl w:val="6"/>
    </w:pPr>
    <w:rPr>
      <w:b/>
      <w:bCs/>
      <w:sz w:val="28"/>
      <w:szCs w:val="28"/>
    </w:rPr>
  </w:style>
  <w:style w:type="paragraph" w:styleId="12">
    <w:name w:val="heading 8"/>
    <w:basedOn w:val="1"/>
    <w:next w:val="1"/>
    <w:qFormat/>
    <w:uiPriority w:val="1"/>
    <w:pPr>
      <w:ind w:left="1068"/>
      <w:outlineLvl w:val="7"/>
    </w:pPr>
    <w:rPr>
      <w:b/>
      <w:bCs/>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5"/>
    <w:basedOn w:val="1"/>
    <w:next w:val="1"/>
    <w:qFormat/>
    <w:uiPriority w:val="0"/>
    <w:pPr>
      <w:ind w:left="840"/>
    </w:pPr>
    <w:rPr>
      <w:rFonts w:ascii="Calibri" w:hAnsi="Calibri"/>
      <w:sz w:val="18"/>
      <w:szCs w:val="18"/>
    </w:rPr>
  </w:style>
  <w:style w:type="paragraph" w:styleId="13">
    <w:name w:val="Normal Indent"/>
    <w:basedOn w:val="1"/>
    <w:next w:val="1"/>
    <w:qFormat/>
    <w:uiPriority w:val="0"/>
    <w:pPr>
      <w:ind w:firstLine="420"/>
    </w:pPr>
    <w:rPr>
      <w:sz w:val="20"/>
    </w:rPr>
  </w:style>
  <w:style w:type="paragraph" w:styleId="14">
    <w:name w:val="toa heading"/>
    <w:basedOn w:val="1"/>
    <w:next w:val="1"/>
    <w:qFormat/>
    <w:uiPriority w:val="0"/>
    <w:pPr>
      <w:widowControl w:val="0"/>
      <w:autoSpaceDE w:val="0"/>
      <w:autoSpaceDN w:val="0"/>
      <w:spacing w:before="120"/>
    </w:pPr>
    <w:rPr>
      <w:rFonts w:ascii="Cambria" w:hAnsi="Cambria" w:eastAsia="宋体" w:cs="Times New Roman"/>
      <w:sz w:val="24"/>
      <w:szCs w:val="22"/>
      <w:lang w:val="zh-CN" w:eastAsia="zh-CN" w:bidi="zh-CN"/>
    </w:rPr>
  </w:style>
  <w:style w:type="paragraph" w:styleId="15">
    <w:name w:val="Body Text"/>
    <w:basedOn w:val="1"/>
    <w:next w:val="16"/>
    <w:qFormat/>
    <w:uiPriority w:val="1"/>
    <w:rPr>
      <w:sz w:val="24"/>
      <w:szCs w:val="24"/>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7">
    <w:name w:val="List 2"/>
    <w:basedOn w:val="1"/>
    <w:unhideWhenUsed/>
    <w:qFormat/>
    <w:uiPriority w:val="99"/>
    <w:pPr>
      <w:ind w:left="100" w:leftChars="200" w:hanging="200" w:hangingChars="200"/>
      <w:contextualSpacing/>
    </w:pPr>
  </w:style>
  <w:style w:type="paragraph" w:styleId="18">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9">
    <w:name w:val="toc 3"/>
    <w:basedOn w:val="1"/>
    <w:next w:val="1"/>
    <w:qFormat/>
    <w:uiPriority w:val="1"/>
    <w:pPr>
      <w:spacing w:before="4"/>
      <w:ind w:left="1358" w:right="657"/>
      <w:jc w:val="right"/>
    </w:pPr>
    <w:rPr>
      <w:sz w:val="24"/>
      <w:szCs w:val="24"/>
    </w:rPr>
  </w:style>
  <w:style w:type="paragraph" w:styleId="20">
    <w:name w:val="footer"/>
    <w:basedOn w:val="1"/>
    <w:qFormat/>
    <w:uiPriority w:val="0"/>
    <w:pPr>
      <w:tabs>
        <w:tab w:val="center" w:pos="4153"/>
        <w:tab w:val="right" w:pos="8306"/>
      </w:tabs>
      <w:snapToGrid w:val="0"/>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qFormat/>
    <w:uiPriority w:val="1"/>
    <w:pPr>
      <w:spacing w:before="5"/>
      <w:ind w:right="665"/>
      <w:jc w:val="right"/>
    </w:pPr>
    <w:rPr>
      <w:sz w:val="24"/>
      <w:szCs w:val="24"/>
    </w:rPr>
  </w:style>
  <w:style w:type="paragraph" w:styleId="23">
    <w:name w:val="footnote text"/>
    <w:basedOn w:val="1"/>
    <w:unhideWhenUsed/>
    <w:qFormat/>
    <w:uiPriority w:val="99"/>
    <w:pPr>
      <w:snapToGrid w:val="0"/>
    </w:pPr>
    <w:rPr>
      <w:sz w:val="18"/>
    </w:rPr>
  </w:style>
  <w:style w:type="paragraph" w:styleId="24">
    <w:name w:val="Body Text Indent 3"/>
    <w:basedOn w:val="1"/>
    <w:qFormat/>
    <w:uiPriority w:val="0"/>
    <w:pPr>
      <w:spacing w:line="360" w:lineRule="auto"/>
      <w:ind w:firstLine="200" w:firstLineChars="200"/>
    </w:pPr>
    <w:rPr>
      <w:rFonts w:ascii="Times New Roman" w:hAnsi="Times New Roman"/>
      <w:sz w:val="20"/>
      <w:szCs w:val="20"/>
    </w:rPr>
  </w:style>
  <w:style w:type="paragraph" w:styleId="25">
    <w:name w:val="toc 2"/>
    <w:basedOn w:val="1"/>
    <w:next w:val="1"/>
    <w:qFormat/>
    <w:uiPriority w:val="1"/>
    <w:pPr>
      <w:spacing w:before="4"/>
      <w:ind w:left="878" w:right="658"/>
      <w:jc w:val="right"/>
    </w:pPr>
    <w:rPr>
      <w:sz w:val="24"/>
      <w:szCs w:val="24"/>
    </w:rPr>
  </w:style>
  <w:style w:type="paragraph" w:styleId="26">
    <w:name w:val="Normal (Web)"/>
    <w:basedOn w:val="1"/>
    <w:qFormat/>
    <w:uiPriority w:val="99"/>
    <w:pPr>
      <w:widowControl/>
    </w:pPr>
    <w:rPr>
      <w:sz w:val="24"/>
      <w:szCs w:val="24"/>
    </w:rPr>
  </w:style>
  <w:style w:type="paragraph" w:styleId="27">
    <w:name w:val="Body Text First Indent"/>
    <w:basedOn w:val="15"/>
    <w:unhideWhenUsed/>
    <w:qFormat/>
    <w:uiPriority w:val="99"/>
    <w:pPr>
      <w:ind w:firstLine="420" w:firstLineChars="100"/>
    </w:pPr>
  </w:style>
  <w:style w:type="paragraph" w:styleId="28">
    <w:name w:val="Body Text First Indent 2"/>
    <w:basedOn w:val="3"/>
    <w:next w:val="18"/>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spacing w:before="81"/>
      <w:ind w:left="907" w:hanging="680"/>
    </w:pPr>
  </w:style>
  <w:style w:type="paragraph" w:customStyle="1" w:styleId="34">
    <w:name w:val="Table Paragraph"/>
    <w:basedOn w:val="1"/>
    <w:qFormat/>
    <w:uiPriority w:val="1"/>
    <w:rPr>
      <w:rFonts w:ascii="仿宋" w:hAnsi="仿宋" w:eastAsia="仿宋" w:cs="仿宋"/>
    </w:rPr>
  </w:style>
  <w:style w:type="paragraph" w:customStyle="1" w:styleId="35">
    <w:name w:val="_Style 2"/>
    <w:basedOn w:val="5"/>
    <w:next w:val="1"/>
    <w:qFormat/>
    <w:uiPriority w:val="39"/>
    <w:pPr>
      <w:keepLines/>
      <w:widowControl/>
      <w:spacing w:before="480" w:line="276" w:lineRule="auto"/>
      <w:jc w:val="left"/>
      <w:outlineLvl w:val="9"/>
    </w:pPr>
    <w:rPr>
      <w:rFonts w:ascii="Cambria" w:hAnsi="Cambria"/>
      <w:color w:val="365F91"/>
    </w:rPr>
  </w:style>
  <w:style w:type="paragraph" w:customStyle="1" w:styleId="36">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7">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paragraph" w:customStyle="1" w:styleId="40">
    <w:name w:val="_Style 3"/>
    <w:basedOn w:val="1"/>
    <w:next w:val="24"/>
    <w:qFormat/>
    <w:uiPriority w:val="0"/>
    <w:pPr>
      <w:widowControl/>
      <w:ind w:left="720"/>
      <w:contextualSpacing/>
    </w:pPr>
    <w:rPr>
      <w:sz w:val="24"/>
    </w:rPr>
  </w:style>
  <w:style w:type="character" w:customStyle="1" w:styleId="41">
    <w:name w:val="font11"/>
    <w:basedOn w:val="31"/>
    <w:qFormat/>
    <w:uiPriority w:val="0"/>
    <w:rPr>
      <w:rFonts w:hint="default" w:ascii="Times New Roman" w:hAnsi="Times New Roman" w:cs="Times New Roman"/>
      <w:color w:val="000000"/>
      <w:sz w:val="22"/>
      <w:szCs w:val="22"/>
      <w:u w:val="none"/>
    </w:rPr>
  </w:style>
  <w:style w:type="character" w:customStyle="1" w:styleId="42">
    <w:name w:val="font31"/>
    <w:basedOn w:val="31"/>
    <w:qFormat/>
    <w:uiPriority w:val="0"/>
    <w:rPr>
      <w:rFonts w:hint="eastAsia" w:ascii="宋体" w:hAnsi="宋体" w:eastAsia="宋体" w:cs="宋体"/>
      <w:color w:val="000000"/>
      <w:sz w:val="22"/>
      <w:szCs w:val="22"/>
      <w:u w:val="none"/>
    </w:rPr>
  </w:style>
  <w:style w:type="character" w:customStyle="1" w:styleId="43">
    <w:name w:val="font51"/>
    <w:basedOn w:val="31"/>
    <w:qFormat/>
    <w:uiPriority w:val="0"/>
    <w:rPr>
      <w:rFonts w:hint="eastAsia" w:ascii="宋体" w:hAnsi="宋体" w:eastAsia="宋体" w:cs="宋体"/>
      <w:b/>
      <w:bCs/>
      <w:color w:val="000000"/>
      <w:sz w:val="16"/>
      <w:szCs w:val="16"/>
      <w:u w:val="none"/>
    </w:rPr>
  </w:style>
  <w:style w:type="character" w:customStyle="1" w:styleId="44">
    <w:name w:val="font21"/>
    <w:basedOn w:val="31"/>
    <w:qFormat/>
    <w:uiPriority w:val="0"/>
    <w:rPr>
      <w:rFonts w:hint="eastAsia" w:ascii="宋体" w:hAnsi="宋体" w:eastAsia="宋体" w:cs="宋体"/>
      <w:color w:val="000000"/>
      <w:sz w:val="16"/>
      <w:szCs w:val="16"/>
      <w:u w:val="none"/>
    </w:rPr>
  </w:style>
  <w:style w:type="character" w:customStyle="1" w:styleId="45">
    <w:name w:val="font01"/>
    <w:basedOn w:val="31"/>
    <w:qFormat/>
    <w:uiPriority w:val="0"/>
    <w:rPr>
      <w:rFonts w:ascii="Calibri" w:hAnsi="Calibri" w:cs="Calibri"/>
      <w:color w:val="000000"/>
      <w:sz w:val="16"/>
      <w:szCs w:val="16"/>
      <w:u w:val="none"/>
    </w:rPr>
  </w:style>
  <w:style w:type="character" w:customStyle="1" w:styleId="46">
    <w:name w:val="font41"/>
    <w:basedOn w:val="31"/>
    <w:qFormat/>
    <w:uiPriority w:val="0"/>
    <w:rPr>
      <w:rFonts w:ascii="微软雅黑" w:hAnsi="微软雅黑" w:eastAsia="微软雅黑" w:cs="微软雅黑"/>
      <w:color w:val="000000"/>
      <w:sz w:val="16"/>
      <w:szCs w:val="16"/>
      <w:u w:val="none"/>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textRotate="1"/>
    <customShpInfo spid="_x0000_s2057" textRotate="1"/>
    <customShpInfo spid="_x0000_s205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63211</Words>
  <Characters>66823</Characters>
  <Lines>735</Lines>
  <Paragraphs>207</Paragraphs>
  <TotalTime>22</TotalTime>
  <ScaleCrop>false</ScaleCrop>
  <LinksUpToDate>false</LinksUpToDate>
  <CharactersWithSpaces>69646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2023-01-29T03:17:23Z</cp:lastPrinted>
  <dcterms:modified xsi:type="dcterms:W3CDTF">2023-01-29T03:17:36Z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2052-11.1.0.13703</vt:lpwstr>
  </property>
  <property fmtid="{D5CDD505-2E9C-101B-9397-08002B2CF9AE}" pid="6" name="ICV">
    <vt:lpwstr>313B767F827148E79B44A02AC5C7890C</vt:lpwstr>
  </property>
  <property fmtid="{D5CDD505-2E9C-101B-9397-08002B2CF9AE}" pid="7" name="commondata">
    <vt:lpwstr>eyJoZGlkIjoiNTVjM2U5ZGJkZGU4MzJlMWMyOWVhNGJkYTY3MzJjNzIifQ==</vt:lpwstr>
  </property>
</Properties>
</file>