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b/>
          <w:bCs/>
          <w:color w:val="auto"/>
          <w:sz w:val="48"/>
          <w:szCs w:val="48"/>
        </w:rPr>
      </w:pPr>
      <w:r>
        <w:rPr>
          <w:rFonts w:hint="eastAsia"/>
          <w:b/>
          <w:bCs/>
          <w:color w:val="auto"/>
          <w:sz w:val="48"/>
          <w:szCs w:val="48"/>
        </w:rPr>
        <w:t>采购编制乡村振兴“十四五规划”服务</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spacing w:line="360" w:lineRule="auto"/>
        <w:jc w:val="center"/>
        <w:outlineLvl w:val="0"/>
        <w:rPr>
          <w:rFonts w:hint="eastAsia" w:ascii="宋体" w:hAnsi="宋体" w:cs="宋体"/>
          <w:b/>
          <w:color w:val="auto"/>
          <w:sz w:val="96"/>
          <w:szCs w:val="96"/>
          <w:highlight w:val="none"/>
        </w:rPr>
      </w:pPr>
      <w:r>
        <w:rPr>
          <w:rFonts w:hint="eastAsia" w:ascii="宋体" w:hAnsi="宋体" w:cs="宋体"/>
          <w:b/>
          <w:color w:val="auto"/>
          <w:sz w:val="96"/>
          <w:szCs w:val="96"/>
          <w:highlight w:val="none"/>
          <w:lang w:eastAsia="zh-CN"/>
        </w:rPr>
        <w:t>竞争性磋商</w:t>
      </w:r>
      <w:r>
        <w:rPr>
          <w:rFonts w:hint="eastAsia" w:ascii="宋体" w:hAnsi="宋体" w:cs="宋体"/>
          <w:b/>
          <w:color w:val="auto"/>
          <w:sz w:val="96"/>
          <w:szCs w:val="96"/>
          <w:highlight w:val="none"/>
        </w:rPr>
        <w:t>文件</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8"/>
        <w:rPr>
          <w:rFonts w:hint="eastAsia"/>
          <w:color w:val="auto"/>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eastAsia="zh-CN"/>
        </w:rPr>
        <w:t>新疆维吾尔自治区</w:t>
      </w:r>
      <w:r>
        <w:rPr>
          <w:rFonts w:hint="eastAsia" w:ascii="宋体" w:hAnsi="宋体" w:cs="宋体"/>
          <w:b/>
          <w:bCs w:val="0"/>
          <w:color w:val="auto"/>
          <w:sz w:val="32"/>
          <w:szCs w:val="32"/>
          <w:highlight w:val="none"/>
        </w:rPr>
        <w:t>阿克苏地区乡村</w:t>
      </w:r>
      <w:r>
        <w:rPr>
          <w:rFonts w:hint="eastAsia" w:ascii="宋体" w:hAnsi="宋体" w:cs="宋体"/>
          <w:b/>
          <w:bCs w:val="0"/>
          <w:color w:val="auto"/>
          <w:sz w:val="32"/>
          <w:szCs w:val="32"/>
          <w:highlight w:val="none"/>
          <w:lang w:eastAsia="zh-CN"/>
        </w:rPr>
        <w:t>振兴局</w:t>
      </w:r>
    </w:p>
    <w:p>
      <w:pPr>
        <w:adjustRightInd w:val="0"/>
        <w:snapToGrid w:val="0"/>
        <w:spacing w:line="360" w:lineRule="auto"/>
        <w:ind w:firstLine="1285" w:firstLineChars="400"/>
        <w:outlineLvl w:val="0"/>
        <w:rPr>
          <w:rFonts w:hint="default" w:ascii="仿宋" w:hAnsi="仿宋" w:eastAsia="仿宋" w:cs="仿宋"/>
          <w:i w:val="0"/>
          <w:iCs w:val="0"/>
          <w:caps w:val="0"/>
          <w:color w:val="auto"/>
          <w:spacing w:val="0"/>
          <w:sz w:val="28"/>
          <w:szCs w:val="28"/>
          <w:shd w:val="clear" w:color="auto" w:fill="FFFFFF"/>
          <w:lang w:val="en-US"/>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val="en-US" w:eastAsia="zh-CN"/>
        </w:rPr>
        <w:t>分2023-01-28</w:t>
      </w: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val="en-US" w:eastAsia="zh-CN"/>
        </w:rPr>
        <w:t>新疆峰澜工程项目管理有限公司</w:t>
      </w:r>
    </w:p>
    <w:p>
      <w:pPr>
        <w:adjustRightInd w:val="0"/>
        <w:snapToGrid w:val="0"/>
        <w:spacing w:line="360" w:lineRule="auto"/>
        <w:jc w:val="center"/>
        <w:rPr>
          <w:rFonts w:hint="eastAsia" w:ascii="宋体" w:hAnsi="宋体" w:cs="宋体"/>
          <w:b/>
          <w:bCs/>
          <w:color w:val="auto"/>
          <w:sz w:val="32"/>
          <w:szCs w:val="32"/>
          <w:highlight w:val="none"/>
        </w:rPr>
      </w:pPr>
    </w:p>
    <w:p>
      <w:pPr>
        <w:adjustRightInd w:val="0"/>
        <w:snapToGrid w:val="0"/>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二</w:t>
      </w:r>
      <w:r>
        <w:rPr>
          <w:rFonts w:hint="eastAsia" w:ascii="宋体" w:hAnsi="宋体" w:cs="宋体"/>
          <w:b/>
          <w:bCs/>
          <w:color w:val="auto"/>
          <w:sz w:val="32"/>
          <w:szCs w:val="32"/>
          <w:highlight w:val="none"/>
        </w:rPr>
        <w:t>月</w:t>
      </w:r>
    </w:p>
    <w:p>
      <w:pPr>
        <w:widowControl/>
        <w:spacing w:line="700" w:lineRule="exact"/>
        <w:jc w:val="center"/>
        <w:outlineLvl w:val="1"/>
        <w:rPr>
          <w:rFonts w:hint="eastAsia" w:ascii="宋体" w:hAnsi="宋体" w:cs="宋体"/>
          <w:bCs/>
          <w:color w:val="auto"/>
          <w:sz w:val="44"/>
          <w:szCs w:val="44"/>
          <w:highlight w:val="none"/>
          <w:lang w:eastAsia="zh-CN"/>
        </w:rPr>
      </w:pPr>
    </w:p>
    <w:p>
      <w:pPr>
        <w:pStyle w:val="17"/>
        <w:rPr>
          <w:rFonts w:hint="eastAsia"/>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ascii="宋体" w:hAnsi="宋体" w:cs="宋体"/>
          <w:bCs/>
          <w:color w:val="auto"/>
          <w:sz w:val="44"/>
          <w:szCs w:val="44"/>
          <w:highlight w:val="none"/>
        </w:rPr>
      </w:pPr>
      <w:r>
        <w:rPr>
          <w:rFonts w:hint="eastAsia" w:ascii="宋体" w:hAnsi="宋体" w:cs="宋体"/>
          <w:bCs/>
          <w:color w:val="auto"/>
          <w:sz w:val="44"/>
          <w:szCs w:val="44"/>
          <w:highlight w:val="none"/>
          <w:lang w:eastAsia="zh-CN"/>
        </w:rPr>
        <w:t>竞争性磋商</w:t>
      </w:r>
      <w:r>
        <w:rPr>
          <w:rFonts w:hint="eastAsia" w:ascii="宋体" w:hAnsi="宋体" w:cs="宋体"/>
          <w:bCs/>
          <w:color w:val="auto"/>
          <w:sz w:val="44"/>
          <w:szCs w:val="44"/>
          <w:highlight w:val="none"/>
        </w:rPr>
        <w:t>文件</w:t>
      </w:r>
    </w:p>
    <w:p>
      <w:pPr>
        <w:pStyle w:val="8"/>
        <w:rPr>
          <w:color w:val="auto"/>
          <w:highlight w:val="none"/>
        </w:rPr>
      </w:pPr>
    </w:p>
    <w:p>
      <w:pPr>
        <w:spacing w:line="360" w:lineRule="auto"/>
        <w:ind w:left="2357" w:leftChars="269" w:hanging="1792" w:hangingChars="640"/>
        <w:outlineLvl w:val="1"/>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eastAsia="zh-CN"/>
        </w:rPr>
        <w:t>项目</w:t>
      </w:r>
      <w:r>
        <w:rPr>
          <w:rFonts w:hint="eastAsia" w:ascii="宋体" w:hAnsi="宋体" w:cs="宋体"/>
          <w:bCs/>
          <w:color w:val="auto"/>
          <w:sz w:val="28"/>
          <w:szCs w:val="28"/>
          <w:highlight w:val="none"/>
        </w:rPr>
        <w:t>名称：采购编制乡村振兴“十四五规划”服务</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招标人（公章）：新疆维吾尔自治区阿克苏地区乡村振兴局</w:t>
      </w:r>
    </w:p>
    <w:p>
      <w:pPr>
        <w:spacing w:line="600" w:lineRule="exact"/>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法定代表人（签章）： </w:t>
      </w:r>
    </w:p>
    <w:p>
      <w:pPr>
        <w:spacing w:line="600" w:lineRule="exact"/>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w:t>
      </w:r>
      <w:r>
        <w:rPr>
          <w:rFonts w:hint="eastAsia" w:ascii="宋体" w:hAnsi="宋体" w:eastAsia="宋体" w:cs="宋体"/>
          <w:bCs/>
          <w:color w:val="auto"/>
          <w:sz w:val="28"/>
          <w:szCs w:val="28"/>
          <w:highlight w:val="none"/>
        </w:rPr>
        <w:t xml:space="preserve"> 联系人：</w:t>
      </w:r>
      <w:r>
        <w:rPr>
          <w:rFonts w:hint="eastAsia" w:ascii="宋体" w:hAnsi="宋体" w:cs="宋体"/>
          <w:bCs/>
          <w:color w:val="auto"/>
          <w:sz w:val="28"/>
          <w:szCs w:val="28"/>
          <w:highlight w:val="none"/>
          <w:lang w:eastAsia="zh-CN"/>
        </w:rPr>
        <w:t>宋蕾</w:t>
      </w:r>
      <w:r>
        <w:rPr>
          <w:rFonts w:hint="eastAsia" w:ascii="宋体" w:hAnsi="宋体" w:cs="宋体"/>
          <w:bCs/>
          <w:color w:val="auto"/>
          <w:sz w:val="28"/>
          <w:szCs w:val="28"/>
          <w:highlight w:val="none"/>
          <w:lang w:val="en-US" w:eastAsia="zh-CN"/>
        </w:rPr>
        <w:t xml:space="preserve"> </w:t>
      </w:r>
    </w:p>
    <w:p>
      <w:pPr>
        <w:spacing w:line="600" w:lineRule="exact"/>
        <w:ind w:firstLine="560" w:firstLineChars="200"/>
        <w:outlineLvl w:val="1"/>
        <w:rPr>
          <w:rFonts w:hint="default"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rPr>
        <w:t>联系电话：</w:t>
      </w:r>
      <w:r>
        <w:rPr>
          <w:rFonts w:hint="eastAsia" w:ascii="宋体" w:hAnsi="宋体" w:cs="宋体"/>
          <w:color w:val="auto"/>
          <w:sz w:val="28"/>
          <w:szCs w:val="28"/>
          <w:highlight w:val="none"/>
          <w:lang w:val="en-US" w:eastAsia="zh-CN"/>
        </w:rPr>
        <w:t>18809970611</w:t>
      </w: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招标代理机构（公章）：</w:t>
      </w:r>
      <w:r>
        <w:rPr>
          <w:rFonts w:hint="eastAsia" w:ascii="宋体" w:hAnsi="宋体" w:cs="宋体"/>
          <w:color w:val="auto"/>
          <w:sz w:val="28"/>
          <w:szCs w:val="28"/>
          <w:lang w:val="en-US" w:eastAsia="zh-CN"/>
        </w:rPr>
        <w:t>新疆峰澜工程项目管理有限公司</w:t>
      </w:r>
    </w:p>
    <w:p>
      <w:pPr>
        <w:spacing w:line="600" w:lineRule="exact"/>
        <w:ind w:firstLine="560"/>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法定代表人（签章）：</w:t>
      </w:r>
    </w:p>
    <w:p>
      <w:pPr>
        <w:spacing w:line="600" w:lineRule="exact"/>
        <w:ind w:firstLine="560"/>
        <w:outlineLvl w:val="1"/>
        <w:rPr>
          <w:rFonts w:hint="eastAsia" w:ascii="宋体" w:hAnsi="宋体" w:cs="宋体"/>
          <w:color w:val="auto"/>
          <w:sz w:val="28"/>
          <w:szCs w:val="28"/>
          <w:highlight w:val="none"/>
          <w:lang w:val="en-US" w:eastAsia="zh-CN"/>
        </w:rPr>
      </w:pPr>
      <w:r>
        <w:rPr>
          <w:rFonts w:hint="eastAsia" w:ascii="宋体" w:hAnsi="宋体" w:cs="宋体"/>
          <w:bCs/>
          <w:color w:val="auto"/>
          <w:sz w:val="28"/>
          <w:szCs w:val="28"/>
          <w:highlight w:val="none"/>
        </w:rPr>
        <w:t>联系人：</w:t>
      </w:r>
      <w:r>
        <w:rPr>
          <w:rFonts w:hint="eastAsia" w:ascii="宋体" w:hAnsi="宋体" w:cs="宋体"/>
          <w:color w:val="auto"/>
          <w:sz w:val="28"/>
          <w:szCs w:val="28"/>
          <w:highlight w:val="none"/>
          <w:lang w:val="en-US" w:eastAsia="zh-CN"/>
        </w:rPr>
        <w:t>王霖</w:t>
      </w:r>
    </w:p>
    <w:p>
      <w:pPr>
        <w:spacing w:line="600" w:lineRule="exact"/>
        <w:ind w:firstLine="560"/>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联系电话：</w:t>
      </w:r>
      <w:r>
        <w:rPr>
          <w:rFonts w:hint="eastAsia" w:ascii="宋体" w:hAnsi="宋体" w:cs="宋体"/>
          <w:bCs/>
          <w:color w:val="auto"/>
          <w:sz w:val="28"/>
          <w:szCs w:val="28"/>
          <w:highlight w:val="none"/>
          <w:lang w:val="en-US" w:eastAsia="zh-CN"/>
        </w:rPr>
        <w:t>13239031323</w:t>
      </w:r>
    </w:p>
    <w:p>
      <w:pPr>
        <w:spacing w:line="600" w:lineRule="exact"/>
        <w:ind w:left="559" w:leftChars="266" w:firstLine="0" w:firstLineChars="0"/>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联系地址：</w:t>
      </w:r>
      <w:r>
        <w:rPr>
          <w:rFonts w:hint="eastAsia" w:ascii="宋体" w:hAnsi="宋体" w:cs="宋体"/>
          <w:color w:val="auto"/>
          <w:sz w:val="28"/>
          <w:szCs w:val="28"/>
          <w:lang w:val="en-US" w:eastAsia="zh-CN"/>
        </w:rPr>
        <w:t>新疆阿克苏地区阿克苏市多浪片区管委会巴格莞社区江南商贸城B区22栋201号</w:t>
      </w:r>
    </w:p>
    <w:p>
      <w:pPr>
        <w:spacing w:line="600" w:lineRule="exact"/>
        <w:rPr>
          <w:rFonts w:ascii="宋体" w:hAnsi="宋体" w:cs="宋体"/>
          <w:bCs/>
          <w:color w:val="auto"/>
          <w:sz w:val="28"/>
          <w:szCs w:val="28"/>
          <w:highlight w:val="none"/>
        </w:rPr>
      </w:pPr>
    </w:p>
    <w:p>
      <w:pPr>
        <w:spacing w:line="600" w:lineRule="exact"/>
        <w:rPr>
          <w:rFonts w:ascii="宋体" w:hAnsi="宋体" w:cs="宋体"/>
          <w:bCs/>
          <w:color w:val="auto"/>
          <w:sz w:val="28"/>
          <w:szCs w:val="28"/>
          <w:highlight w:val="none"/>
        </w:rPr>
      </w:pPr>
    </w:p>
    <w:p>
      <w:pPr>
        <w:spacing w:line="600" w:lineRule="exact"/>
        <w:ind w:firstLine="3920" w:firstLineChars="1400"/>
        <w:jc w:val="both"/>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二〇二三年二月</w:t>
      </w:r>
    </w:p>
    <w:p>
      <w:pPr>
        <w:pStyle w:val="11"/>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pStyle w:val="7"/>
        <w:spacing w:line="360" w:lineRule="auto"/>
        <w:rPr>
          <w:rFonts w:hint="eastAsia"/>
          <w:color w:val="auto"/>
          <w:highlight w:val="none"/>
        </w:rPr>
      </w:pPr>
    </w:p>
    <w:p>
      <w:pPr>
        <w:pStyle w:val="11"/>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_Toc13366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 xml:space="preserve">第一章 </w:t>
      </w:r>
      <w:r>
        <w:rPr>
          <w:rFonts w:hint="eastAsia" w:ascii="宋体" w:hAnsi="宋体" w:cs="宋体"/>
          <w:color w:val="auto"/>
          <w:sz w:val="28"/>
          <w:szCs w:val="28"/>
          <w:highlight w:val="none"/>
          <w:lang w:val="en-US" w:eastAsia="zh-CN"/>
        </w:rPr>
        <w:t>竞争性磋商</w:t>
      </w:r>
      <w:r>
        <w:rPr>
          <w:rFonts w:hint="eastAsia" w:ascii="宋体" w:hAnsi="宋体" w:cs="宋体"/>
          <w:color w:val="auto"/>
          <w:sz w:val="28"/>
          <w:szCs w:val="28"/>
          <w:highlight w:val="none"/>
        </w:rPr>
        <w:t>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pPr>
        <w:pStyle w:val="11"/>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fldChar w:fldCharType="end"/>
      </w:r>
    </w:p>
    <w:p>
      <w:pPr>
        <w:pStyle w:val="11"/>
        <w:tabs>
          <w:tab w:val="right" w:leader="dot" w:pos="9746"/>
        </w:tabs>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36</w:t>
      </w:r>
    </w:p>
    <w:p>
      <w:pPr>
        <w:pStyle w:val="11"/>
        <w:tabs>
          <w:tab w:val="right" w:leader="dot" w:pos="9746"/>
        </w:tabs>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_Toc27253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第四章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pPr>
        <w:pStyle w:val="11"/>
        <w:tabs>
          <w:tab w:val="right" w:leader="dot" w:pos="9746"/>
        </w:tabs>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_Toc31265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 xml:space="preserve">第五章 </w:t>
      </w:r>
      <w:r>
        <w:rPr>
          <w:rFonts w:hint="eastAsia" w:ascii="宋体" w:hAnsi="宋体" w:cs="宋体"/>
          <w:bCs/>
          <w:color w:val="auto"/>
          <w:sz w:val="28"/>
          <w:szCs w:val="28"/>
          <w:highlight w:val="none"/>
          <w:lang w:eastAsia="zh-CN"/>
        </w:rPr>
        <w:t>响应文件</w:t>
      </w:r>
      <w:r>
        <w:rPr>
          <w:rFonts w:hint="eastAsia" w:ascii="宋体" w:hAnsi="宋体" w:cs="宋体"/>
          <w:bCs/>
          <w:color w:val="auto"/>
          <w:sz w:val="28"/>
          <w:szCs w:val="28"/>
          <w:highlight w:val="none"/>
        </w:rPr>
        <w:t>格式</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47</w:t>
      </w:r>
      <w:r>
        <w:rPr>
          <w:rFonts w:hint="eastAsia" w:ascii="宋体" w:hAnsi="宋体" w:cs="宋体"/>
          <w:color w:val="auto"/>
          <w:sz w:val="28"/>
          <w:szCs w:val="28"/>
          <w:highlight w:val="none"/>
        </w:rPr>
        <w:fldChar w:fldCharType="end"/>
      </w:r>
    </w:p>
    <w:p>
      <w:pPr>
        <w:spacing w:line="360" w:lineRule="auto"/>
        <w:rPr>
          <w:rFonts w:hint="eastAsia" w:ascii="宋体" w:hAnsi="宋体" w:cs="宋体"/>
          <w:color w:val="auto"/>
          <w:sz w:val="24"/>
          <w:highlight w:val="none"/>
        </w:rPr>
      </w:pPr>
      <w:r>
        <w:rPr>
          <w:rFonts w:hint="eastAsia" w:ascii="宋体" w:hAnsi="宋体" w:cs="宋体"/>
          <w:color w:val="auto"/>
          <w:sz w:val="28"/>
          <w:szCs w:val="28"/>
          <w:highlight w:val="none"/>
        </w:rPr>
        <w:fldChar w:fldCharType="end"/>
      </w:r>
    </w:p>
    <w:p>
      <w:pPr>
        <w:adjustRightInd w:val="0"/>
        <w:snapToGrid w:val="0"/>
        <w:spacing w:line="360" w:lineRule="auto"/>
        <w:rPr>
          <w:rFonts w:hint="eastAsia" w:ascii="宋体" w:hAnsi="宋体" w:cs="宋体"/>
          <w:b/>
          <w:color w:val="auto"/>
          <w:sz w:val="24"/>
          <w:highlight w:val="none"/>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pPr>
        <w:pStyle w:val="4"/>
        <w:keepNext/>
        <w:keepLines/>
        <w:pageBreakBefore w:val="0"/>
        <w:widowControl w:val="0"/>
        <w:numPr>
          <w:ilvl w:val="0"/>
          <w:numId w:val="2"/>
        </w:numPr>
        <w:kinsoku/>
        <w:wordWrap/>
        <w:overflowPunct/>
        <w:topLinePunct w:val="0"/>
        <w:autoSpaceDE/>
        <w:autoSpaceDN/>
        <w:bidi w:val="0"/>
        <w:adjustRightInd/>
        <w:snapToGrid/>
        <w:spacing w:line="560" w:lineRule="exact"/>
        <w:ind w:leftChars="0"/>
        <w:jc w:val="center"/>
        <w:textAlignment w:val="auto"/>
        <w:rPr>
          <w:rFonts w:hint="eastAsia"/>
          <w:color w:val="auto"/>
          <w:sz w:val="40"/>
          <w:szCs w:val="15"/>
          <w:highlight w:val="none"/>
          <w:lang w:val="en-US" w:eastAsia="zh-CN"/>
        </w:rPr>
      </w:pPr>
      <w:bookmarkStart w:id="0" w:name="_Toc9386"/>
      <w:r>
        <w:rPr>
          <w:rFonts w:hint="eastAsia"/>
          <w:color w:val="auto"/>
          <w:sz w:val="40"/>
          <w:szCs w:val="15"/>
          <w:highlight w:val="none"/>
          <w:lang w:val="en-US" w:eastAsia="zh-CN"/>
        </w:rPr>
        <w:t xml:space="preserve">  竞争性磋商公告</w:t>
      </w:r>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项目概况</w:t>
      </w:r>
    </w:p>
    <w:p>
      <w:pPr>
        <w:spacing w:line="400" w:lineRule="exact"/>
        <w:ind w:firstLine="560" w:firstLineChars="200"/>
        <w:rPr>
          <w:rFonts w:hint="eastAsia" w:ascii="宋体" w:hAnsi="宋体" w:eastAsia="宋体" w:cs="宋体"/>
          <w:i w:val="0"/>
          <w:iCs w:val="0"/>
          <w:color w:val="auto"/>
          <w:kern w:val="0"/>
          <w:sz w:val="28"/>
          <w:szCs w:val="28"/>
          <w:highlight w:val="none"/>
          <w:lang w:val="en-US"/>
        </w:rPr>
      </w:pPr>
      <w:r>
        <w:rPr>
          <w:rFonts w:hint="eastAsia" w:ascii="宋体" w:hAnsi="宋体" w:cs="宋体"/>
          <w:i w:val="0"/>
          <w:iCs w:val="0"/>
          <w:color w:val="auto"/>
          <w:kern w:val="0"/>
          <w:sz w:val="28"/>
          <w:szCs w:val="28"/>
          <w:highlight w:val="none"/>
          <w:lang w:val="en-US" w:eastAsia="zh-CN"/>
        </w:rPr>
        <w:t>采购编制乡村振兴“十四五规划”服务的</w:t>
      </w:r>
      <w:r>
        <w:rPr>
          <w:rFonts w:hint="eastAsia" w:ascii="宋体" w:hAnsi="宋体" w:eastAsia="宋体" w:cs="宋体"/>
          <w:i w:val="0"/>
          <w:iCs w:val="0"/>
          <w:color w:val="auto"/>
          <w:kern w:val="0"/>
          <w:sz w:val="28"/>
          <w:szCs w:val="28"/>
          <w:highlight w:val="none"/>
          <w:lang w:val="en-US"/>
        </w:rPr>
        <w:t>潜在投标人</w:t>
      </w:r>
      <w:r>
        <w:rPr>
          <w:rFonts w:hint="eastAsia" w:ascii="宋体" w:hAnsi="宋体" w:eastAsia="宋体" w:cs="宋体"/>
          <w:i w:val="0"/>
          <w:iCs w:val="0"/>
          <w:color w:val="auto"/>
          <w:kern w:val="0"/>
          <w:sz w:val="28"/>
          <w:szCs w:val="28"/>
          <w:highlight w:val="none"/>
          <w:lang w:val="en-US" w:eastAsia="zh-CN"/>
        </w:rPr>
        <w:t>应在政府采购云平台获取（下载）采购文件</w:t>
      </w:r>
      <w:r>
        <w:rPr>
          <w:rFonts w:hint="eastAsia" w:ascii="宋体" w:hAnsi="宋体" w:eastAsia="宋体" w:cs="宋体"/>
          <w:i w:val="0"/>
          <w:iCs w:val="0"/>
          <w:color w:val="auto"/>
          <w:kern w:val="0"/>
          <w:sz w:val="28"/>
          <w:szCs w:val="28"/>
          <w:highlight w:val="none"/>
          <w:lang w:val="en-US"/>
        </w:rPr>
        <w:t>，并于</w:t>
      </w:r>
      <w:r>
        <w:rPr>
          <w:rFonts w:hint="eastAsia" w:ascii="宋体" w:hAnsi="宋体" w:cs="宋体"/>
          <w:i w:val="0"/>
          <w:iCs w:val="0"/>
          <w:color w:val="auto"/>
          <w:kern w:val="0"/>
          <w:sz w:val="28"/>
          <w:szCs w:val="28"/>
          <w:highlight w:val="none"/>
          <w:lang w:val="en-US" w:eastAsia="zh-CN"/>
        </w:rPr>
        <w:t>2023年02月20日11</w:t>
      </w:r>
      <w:r>
        <w:rPr>
          <w:rFonts w:hint="eastAsia" w:ascii="宋体" w:hAnsi="宋体" w:eastAsia="宋体" w:cs="宋体"/>
          <w:i w:val="0"/>
          <w:iCs w:val="0"/>
          <w:color w:val="auto"/>
          <w:kern w:val="0"/>
          <w:sz w:val="28"/>
          <w:szCs w:val="28"/>
          <w:highlight w:val="none"/>
          <w:lang w:val="en-US"/>
        </w:rPr>
        <w:t>点</w:t>
      </w:r>
      <w:r>
        <w:rPr>
          <w:rFonts w:hint="eastAsia" w:ascii="宋体" w:hAnsi="宋体" w:cs="宋体"/>
          <w:i w:val="0"/>
          <w:iCs w:val="0"/>
          <w:color w:val="auto"/>
          <w:kern w:val="0"/>
          <w:sz w:val="28"/>
          <w:szCs w:val="28"/>
          <w:highlight w:val="none"/>
          <w:lang w:val="en-US" w:eastAsia="zh-CN"/>
        </w:rPr>
        <w:t>00</w:t>
      </w:r>
      <w:r>
        <w:rPr>
          <w:rFonts w:hint="eastAsia" w:ascii="宋体" w:hAnsi="宋体" w:eastAsia="宋体" w:cs="宋体"/>
          <w:i w:val="0"/>
          <w:iCs w:val="0"/>
          <w:color w:val="auto"/>
          <w:kern w:val="0"/>
          <w:sz w:val="28"/>
          <w:szCs w:val="28"/>
          <w:highlight w:val="none"/>
          <w:lang w:val="en-US"/>
        </w:rPr>
        <w:t>分（北京时间）前递交</w:t>
      </w:r>
      <w:r>
        <w:rPr>
          <w:rFonts w:hint="eastAsia" w:ascii="宋体" w:hAnsi="宋体" w:eastAsia="宋体" w:cs="宋体"/>
          <w:i w:val="0"/>
          <w:iCs w:val="0"/>
          <w:color w:val="auto"/>
          <w:kern w:val="0"/>
          <w:sz w:val="28"/>
          <w:szCs w:val="28"/>
          <w:highlight w:val="none"/>
          <w:lang w:val="en-US" w:eastAsia="zh-CN"/>
        </w:rPr>
        <w:t>响应文件</w:t>
      </w:r>
      <w:r>
        <w:rPr>
          <w:rFonts w:hint="eastAsia" w:ascii="宋体" w:hAnsi="宋体" w:eastAsia="宋体" w:cs="宋体"/>
          <w:i w:val="0"/>
          <w:iCs w:val="0"/>
          <w:color w:val="auto"/>
          <w:kern w:val="0"/>
          <w:sz w:val="28"/>
          <w:szCs w:val="28"/>
          <w:highlight w:val="none"/>
          <w:lang w:val="en-US"/>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bookmarkStart w:id="1" w:name="_Toc35393790"/>
      <w:bookmarkStart w:id="2" w:name="_Toc35393621"/>
      <w:bookmarkStart w:id="3" w:name="_Toc28359079"/>
      <w:bookmarkStart w:id="4" w:name="_Toc28359002"/>
      <w:bookmarkStart w:id="5" w:name="_Hlk24379207"/>
      <w:r>
        <w:rPr>
          <w:rFonts w:hint="eastAsia" w:ascii="宋体" w:hAnsi="宋体" w:eastAsia="宋体" w:cs="宋体"/>
          <w:b/>
          <w:bCs/>
          <w:color w:val="auto"/>
          <w:sz w:val="28"/>
          <w:szCs w:val="28"/>
          <w:highlight w:val="none"/>
          <w:lang w:val="en-US" w:eastAsia="zh-CN"/>
        </w:rPr>
        <w:t>一、项目基本情况</w:t>
      </w:r>
      <w:bookmarkEnd w:id="1"/>
      <w:bookmarkEnd w:id="2"/>
      <w:bookmarkEnd w:id="3"/>
      <w:bookmarkEnd w:id="4"/>
    </w:p>
    <w:bookmarkEnd w:id="5"/>
    <w:p>
      <w:pPr>
        <w:spacing w:line="400" w:lineRule="exact"/>
        <w:ind w:left="559" w:leftChars="266" w:firstLine="0" w:firstLineChars="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项目编号：</w:t>
      </w:r>
      <w:r>
        <w:rPr>
          <w:rFonts w:hint="eastAsia" w:ascii="宋体" w:hAnsi="宋体" w:cs="宋体"/>
          <w:i w:val="0"/>
          <w:iCs w:val="0"/>
          <w:color w:val="auto"/>
          <w:kern w:val="0"/>
          <w:sz w:val="28"/>
          <w:szCs w:val="28"/>
          <w:highlight w:val="none"/>
          <w:lang w:val="en-US" w:eastAsia="zh-CN"/>
        </w:rPr>
        <w:t>分2023-01-28</w:t>
      </w:r>
    </w:p>
    <w:p>
      <w:pPr>
        <w:spacing w:line="400" w:lineRule="exact"/>
        <w:ind w:left="559" w:leftChars="266" w:firstLine="0" w:firstLineChars="0"/>
        <w:rPr>
          <w:rFonts w:hint="eastAsia" w:ascii="宋体" w:hAnsi="宋体" w:cs="宋体"/>
          <w:bCs/>
          <w:color w:val="auto"/>
          <w:sz w:val="28"/>
          <w:szCs w:val="28"/>
          <w:highlight w:val="none"/>
        </w:rPr>
      </w:pPr>
      <w:r>
        <w:rPr>
          <w:rFonts w:hint="eastAsia" w:ascii="宋体" w:hAnsi="宋体" w:eastAsia="宋体" w:cs="宋体"/>
          <w:i w:val="0"/>
          <w:iCs w:val="0"/>
          <w:color w:val="auto"/>
          <w:kern w:val="0"/>
          <w:sz w:val="28"/>
          <w:szCs w:val="28"/>
          <w:highlight w:val="none"/>
          <w:lang w:val="en-US"/>
        </w:rPr>
        <w:t>项目名称：采购编制乡村振兴“十四五规划”服务</w:t>
      </w:r>
    </w:p>
    <w:p>
      <w:pPr>
        <w:spacing w:line="400" w:lineRule="exact"/>
        <w:ind w:left="559" w:leftChars="266" w:firstLine="0" w:firstLineChars="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采购方式：</w:t>
      </w:r>
      <w:r>
        <w:rPr>
          <w:rFonts w:hint="eastAsia" w:ascii="宋体" w:hAnsi="宋体" w:eastAsia="宋体" w:cs="宋体"/>
          <w:i w:val="0"/>
          <w:iCs w:val="0"/>
          <w:color w:val="auto"/>
          <w:kern w:val="0"/>
          <w:sz w:val="28"/>
          <w:szCs w:val="28"/>
          <w:highlight w:val="none"/>
          <w:lang w:val="en-US" w:eastAsia="zh-CN"/>
        </w:rPr>
        <w:t>竞争性磋商</w:t>
      </w:r>
    </w:p>
    <w:p>
      <w:pPr>
        <w:spacing w:line="400" w:lineRule="exact"/>
        <w:ind w:firstLine="560" w:firstLineChars="200"/>
        <w:rPr>
          <w:rFonts w:hint="eastAsia" w:ascii="宋体" w:hAnsi="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800000元</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最高限价（元）：</w:t>
      </w:r>
      <w:r>
        <w:rPr>
          <w:rFonts w:hint="eastAsia" w:ascii="宋体" w:hAnsi="宋体" w:cs="宋体"/>
          <w:i w:val="0"/>
          <w:iCs w:val="0"/>
          <w:color w:val="auto"/>
          <w:kern w:val="0"/>
          <w:sz w:val="28"/>
          <w:szCs w:val="28"/>
          <w:highlight w:val="none"/>
          <w:lang w:val="en-US" w:eastAsia="zh-CN"/>
        </w:rPr>
        <w:t>800000元</w:t>
      </w:r>
    </w:p>
    <w:p>
      <w:pPr>
        <w:spacing w:line="400" w:lineRule="exact"/>
        <w:ind w:firstLine="560"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采购需求：</w:t>
      </w:r>
    </w:p>
    <w:p>
      <w:pPr>
        <w:spacing w:line="400" w:lineRule="exact"/>
        <w:ind w:firstLine="560"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标项名称:采购编制乡村振兴“十四五规划”服务</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数量:</w:t>
      </w:r>
      <w:r>
        <w:rPr>
          <w:rFonts w:hint="eastAsia" w:ascii="宋体" w:hAnsi="宋体" w:eastAsia="宋体" w:cs="宋体"/>
          <w:i w:val="0"/>
          <w:iCs w:val="0"/>
          <w:color w:val="auto"/>
          <w:kern w:val="0"/>
          <w:sz w:val="28"/>
          <w:szCs w:val="28"/>
          <w:highlight w:val="none"/>
          <w:lang w:val="en-US" w:eastAsia="zh-CN"/>
        </w:rPr>
        <w:t>1</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800000元</w:t>
      </w:r>
    </w:p>
    <w:p>
      <w:pPr>
        <w:spacing w:line="400" w:lineRule="exact"/>
        <w:ind w:firstLine="560"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单位：</w:t>
      </w:r>
      <w:r>
        <w:rPr>
          <w:rFonts w:hint="eastAsia" w:ascii="宋体" w:hAnsi="宋体" w:eastAsia="宋体" w:cs="宋体"/>
          <w:i w:val="0"/>
          <w:iCs w:val="0"/>
          <w:color w:val="auto"/>
          <w:kern w:val="0"/>
          <w:sz w:val="28"/>
          <w:szCs w:val="28"/>
          <w:highlight w:val="none"/>
          <w:lang w:val="en-US" w:eastAsia="zh-CN"/>
        </w:rPr>
        <w:t>项</w:t>
      </w:r>
      <w:r>
        <w:rPr>
          <w:rFonts w:hint="eastAsia" w:ascii="宋体" w:hAnsi="宋体" w:eastAsia="宋体" w:cs="宋体"/>
          <w:i w:val="0"/>
          <w:iCs w:val="0"/>
          <w:color w:val="auto"/>
          <w:kern w:val="0"/>
          <w:sz w:val="28"/>
          <w:szCs w:val="28"/>
          <w:highlight w:val="none"/>
          <w:lang w:val="en-US"/>
        </w:rPr>
        <w:t> </w:t>
      </w:r>
    </w:p>
    <w:p>
      <w:pPr>
        <w:spacing w:line="400" w:lineRule="exact"/>
        <w:ind w:firstLine="560"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简要规格描述：</w:t>
      </w:r>
      <w:r>
        <w:rPr>
          <w:rFonts w:hint="eastAsia" w:ascii="宋体" w:hAnsi="宋体" w:cs="宋体"/>
          <w:i w:val="0"/>
          <w:iCs w:val="0"/>
          <w:color w:val="auto"/>
          <w:kern w:val="0"/>
          <w:sz w:val="28"/>
          <w:szCs w:val="28"/>
          <w:highlight w:val="none"/>
          <w:lang w:val="en-US" w:eastAsia="zh-CN"/>
        </w:rPr>
        <w:t>详见采购需求</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合同履约期限：签订服务合同之日</w:t>
      </w:r>
      <w:r>
        <w:rPr>
          <w:rFonts w:hint="eastAsia" w:ascii="宋体" w:hAnsi="宋体" w:eastAsia="宋体" w:cs="宋体"/>
          <w:i w:val="0"/>
          <w:iCs w:val="0"/>
          <w:color w:val="auto"/>
          <w:kern w:val="0"/>
          <w:sz w:val="28"/>
          <w:szCs w:val="28"/>
          <w:highlight w:val="none"/>
          <w:lang w:val="en-US" w:eastAsia="zh-CN"/>
        </w:rPr>
        <w:t>起</w:t>
      </w:r>
      <w:r>
        <w:rPr>
          <w:rFonts w:hint="eastAsia" w:ascii="宋体" w:hAnsi="宋体" w:cs="宋体"/>
          <w:i w:val="0"/>
          <w:iCs w:val="0"/>
          <w:color w:val="auto"/>
          <w:kern w:val="0"/>
          <w:sz w:val="28"/>
          <w:szCs w:val="28"/>
          <w:highlight w:val="none"/>
          <w:lang w:val="en-US" w:eastAsia="zh-CN"/>
        </w:rPr>
        <w:t>4</w:t>
      </w:r>
      <w:r>
        <w:rPr>
          <w:rFonts w:hint="eastAsia" w:ascii="宋体" w:hAnsi="宋体" w:eastAsia="宋体" w:cs="宋体"/>
          <w:i w:val="0"/>
          <w:iCs w:val="0"/>
          <w:color w:val="auto"/>
          <w:kern w:val="0"/>
          <w:sz w:val="28"/>
          <w:szCs w:val="28"/>
          <w:highlight w:val="none"/>
          <w:lang w:val="en-US" w:eastAsia="zh-CN"/>
        </w:rPr>
        <w:t>0日内完成</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（1）具有独立承担民事责任的能力；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（1）财政部、国家发展改革委、生态环境部、市场监管总局《关于调整优化节能产品、环境标志产品政府采购执行机制的通知》（财库[2019]9号文）；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（2）财政部、生态环境部《关于印发环境标志产品政府采购品目清单的通知》（财库[2019]18号文）；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（3）财政部、发展改革委《关于印发节能产品政府采购品目清单的通知》（财库[2019]19号文）；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（4）市场监管总局《市场监管总局关于发布参与实施政府采购节能产品、环境标志产品认证机构名录的公告》（2019年第16号）；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（5）财政部、工业和信息化部《关于印发《政府采购促进中小企业发展管理办法》（财库[2020]46号文）；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 xml:space="preserve">（6）财政部、民政部、中国残疾人联合会《关于促进残疾人就业政府采购政策的通知》（财库[2017]141号）。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Style w:val="15"/>
          <w:rFonts w:hint="default"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3.本项目的特定资格要求：</w:t>
      </w:r>
      <w:r>
        <w:rPr>
          <w:rStyle w:val="15"/>
          <w:rFonts w:hint="eastAsia" w:ascii="宋体" w:hAnsi="宋体" w:cs="宋体"/>
          <w:b w:val="0"/>
          <w:bCs w:val="0"/>
          <w:i w:val="0"/>
          <w:caps w:val="0"/>
          <w:color w:val="auto"/>
          <w:spacing w:val="0"/>
          <w:sz w:val="28"/>
          <w:szCs w:val="28"/>
          <w:highlight w:val="none"/>
          <w:lang w:val="en-US" w:eastAsia="zh-CN"/>
        </w:rPr>
        <w:t>无。</w:t>
      </w:r>
    </w:p>
    <w:p>
      <w:pPr>
        <w:pageBreakBefore w:val="0"/>
        <w:widowControl w:val="0"/>
        <w:kinsoku/>
        <w:wordWrap/>
        <w:overflowPunct/>
        <w:topLinePunct w:val="0"/>
        <w:autoSpaceDE/>
        <w:autoSpaceDN/>
        <w:bidi w:val="0"/>
        <w:adjustRightInd/>
        <w:snapToGrid/>
        <w:spacing w:line="400" w:lineRule="exact"/>
        <w:ind w:firstLine="84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0至</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0（北京时间，法定节假日除外）</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新疆政府采购云平台</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截止时间：</w:t>
      </w:r>
      <w:r>
        <w:rPr>
          <w:rFonts w:hint="eastAsia" w:ascii="宋体" w:hAnsi="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年0</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20</w:t>
      </w:r>
      <w:r>
        <w:rPr>
          <w:rFonts w:hint="eastAsia" w:ascii="宋体" w:hAnsi="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1:00</w:t>
      </w:r>
      <w:r>
        <w:rPr>
          <w:rFonts w:hint="eastAsia" w:ascii="宋体" w:hAnsi="宋体" w:eastAsia="宋体" w:cs="宋体"/>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开启时间：</w:t>
      </w:r>
      <w:r>
        <w:rPr>
          <w:rFonts w:hint="eastAsia" w:ascii="宋体" w:hAnsi="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年0</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20</w:t>
      </w:r>
      <w:r>
        <w:rPr>
          <w:rFonts w:hint="eastAsia" w:ascii="宋体" w:hAnsi="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1:00</w:t>
      </w:r>
      <w:r>
        <w:rPr>
          <w:rFonts w:hint="eastAsia" w:ascii="宋体" w:hAnsi="宋体" w:eastAsia="宋体" w:cs="宋体"/>
          <w:color w:val="auto"/>
          <w:sz w:val="28"/>
          <w:szCs w:val="28"/>
          <w:highlight w:val="none"/>
        </w:rPr>
        <w:t>（北京时间）</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点：政采云一站式政府采购云平台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自本公告发布之日起</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其他补充事宜</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color w:val="auto"/>
          <w:kern w:val="2"/>
          <w:sz w:val="28"/>
          <w:szCs w:val="28"/>
          <w:highlight w:val="none"/>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4.供应商在开标时须携带制作加密电子响应文件所使用的CA锁，电脑须提前配置好浏览器（建议使用360浏览器或谷歌浏览器），以便开标时在线解密。</w:t>
      </w:r>
    </w:p>
    <w:p>
      <w:pPr>
        <w:spacing w:line="400" w:lineRule="exact"/>
        <w:rPr>
          <w:rFonts w:hint="eastAsia"/>
          <w:color w:val="auto"/>
        </w:rPr>
      </w:pPr>
      <w:r>
        <w:rPr>
          <w:rFonts w:hint="eastAsia" w:ascii="宋体" w:hAnsi="宋体" w:eastAsia="宋体" w:cs="宋体"/>
          <w:color w:val="auto"/>
          <w:kern w:val="2"/>
          <w:sz w:val="28"/>
          <w:szCs w:val="28"/>
          <w:highlight w:val="none"/>
          <w:lang w:val="en-US" w:eastAsia="zh-CN" w:bidi="ar-SA"/>
        </w:rPr>
        <w:t xml:space="preserve">     5.投标供应商应当在投标截止时间前，将生成的“电子加密响应文件”上传递交至“政府采购云平台”，投标截止时间以后上传递交的响应文件将被“政府采购云平台”拒收。</w:t>
      </w:r>
    </w:p>
    <w:p>
      <w:pPr>
        <w:pStyle w:val="8"/>
        <w:ind w:left="840" w:leftChars="266" w:hanging="281" w:hanging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color w:val="auto"/>
          <w:kern w:val="2"/>
          <w:sz w:val="28"/>
          <w:szCs w:val="28"/>
          <w:highlight w:val="none"/>
          <w:lang w:val="en-US" w:eastAsia="zh-CN" w:bidi="ar-SA"/>
        </w:rPr>
        <w:t>：</w:t>
      </w:r>
    </w:p>
    <w:p>
      <w:pPr>
        <w:pStyle w:val="8"/>
        <w:numPr>
          <w:ilvl w:val="0"/>
          <w:numId w:val="0"/>
        </w:numPr>
        <w:ind w:leftChars="166"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8"/>
        <w:numPr>
          <w:ilvl w:val="0"/>
          <w:numId w:val="0"/>
        </w:numPr>
        <w:ind w:left="279" w:leftChars="133"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pStyle w:val="8"/>
        <w:numPr>
          <w:ilvl w:val="0"/>
          <w:numId w:val="0"/>
        </w:numPr>
        <w:ind w:leftChars="166"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八、对本次采购提出询问，请按以下方式联系</w:t>
      </w:r>
      <w:r>
        <w:rPr>
          <w:rFonts w:hint="eastAsia" w:ascii="宋体" w:hAnsi="宋体" w:cs="宋体"/>
          <w:b/>
          <w:bCs/>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称：新疆维吾尔自治区阿克苏地区乡村振兴局</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w:t>
      </w:r>
      <w:r>
        <w:rPr>
          <w:rFonts w:hint="eastAsia" w:ascii="宋体" w:hAnsi="宋体" w:cs="宋体"/>
          <w:color w:val="auto"/>
          <w:sz w:val="28"/>
          <w:szCs w:val="28"/>
          <w:highlight w:val="none"/>
          <w:lang w:val="en-US" w:eastAsia="zh-CN"/>
        </w:rPr>
        <w:t>阿克苏市杭州路</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18809970611</w:t>
      </w:r>
    </w:p>
    <w:p>
      <w:pPr>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w:t>
      </w:r>
      <w:r>
        <w:rPr>
          <w:rFonts w:hint="eastAsia" w:ascii="宋体" w:hAnsi="宋体" w:cs="宋体"/>
          <w:color w:val="auto"/>
          <w:sz w:val="28"/>
          <w:szCs w:val="28"/>
          <w:highlight w:val="none"/>
          <w:lang w:val="en-US" w:eastAsia="zh-CN"/>
        </w:rPr>
        <w:t>新疆峰澜工程项目管理有限公司</w:t>
      </w:r>
      <w:r>
        <w:rPr>
          <w:rFonts w:hint="eastAsia" w:ascii="宋体" w:hAnsi="宋体" w:eastAsia="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w:t>
      </w:r>
      <w:r>
        <w:rPr>
          <w:rFonts w:hint="eastAsia" w:ascii="宋体" w:hAnsi="宋体" w:cs="宋体"/>
          <w:color w:val="auto"/>
          <w:sz w:val="28"/>
          <w:szCs w:val="28"/>
          <w:highlight w:val="none"/>
          <w:lang w:val="en-US" w:eastAsia="zh-CN"/>
        </w:rPr>
        <w:t>新疆阿克苏地区阿克苏市多浪片区管委会巴格莞社区江南商贸城B区22栋201号</w:t>
      </w:r>
      <w:r>
        <w:rPr>
          <w:rFonts w:hint="eastAsia" w:ascii="宋体" w:hAnsi="宋体" w:eastAsia="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13239031323</w:t>
      </w:r>
    </w:p>
    <w:p>
      <w:pPr>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3.项目联系方式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w:t>
      </w:r>
      <w:r>
        <w:rPr>
          <w:rFonts w:hint="eastAsia" w:ascii="宋体" w:hAnsi="宋体" w:cs="宋体"/>
          <w:color w:val="auto"/>
          <w:sz w:val="28"/>
          <w:szCs w:val="28"/>
          <w:highlight w:val="none"/>
          <w:lang w:val="en-US" w:eastAsia="zh-CN"/>
        </w:rPr>
        <w:t>王霖</w:t>
      </w:r>
      <w:r>
        <w:rPr>
          <w:rFonts w:hint="eastAsia" w:ascii="宋体" w:hAnsi="宋体" w:eastAsia="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w:t>
      </w:r>
      <w:r>
        <w:rPr>
          <w:rFonts w:hint="eastAsia" w:ascii="宋体" w:hAnsi="宋体" w:cs="宋体"/>
          <w:color w:val="auto"/>
          <w:sz w:val="28"/>
          <w:szCs w:val="28"/>
          <w:highlight w:val="none"/>
          <w:lang w:val="en-US" w:eastAsia="zh-CN"/>
        </w:rPr>
        <w:t>13239031323</w:t>
      </w:r>
    </w:p>
    <w:p>
      <w:pPr>
        <w:rPr>
          <w:color w:val="auto"/>
        </w:rPr>
      </w:pPr>
    </w:p>
    <w:p>
      <w:pPr>
        <w:pStyle w:val="4"/>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第二章</w:t>
      </w:r>
      <w:r>
        <w:rPr>
          <w:rFonts w:hint="eastAsia" w:ascii="宋体" w:hAnsi="宋体" w:eastAsia="宋体" w:cs="宋体"/>
          <w:b/>
          <w:bCs w:val="0"/>
          <w:color w:val="auto"/>
          <w:sz w:val="32"/>
          <w:szCs w:val="32"/>
          <w:highlight w:val="none"/>
        </w:rPr>
        <w:t xml:space="preserve"> </w:t>
      </w:r>
      <w:bookmarkStart w:id="6" w:name="_Toc10132"/>
      <w:bookmarkStart w:id="7" w:name="_Toc32321"/>
      <w:bookmarkStart w:id="8" w:name="_Toc5463"/>
      <w:r>
        <w:rPr>
          <w:rFonts w:hint="eastAsia" w:ascii="宋体" w:hAnsi="宋体" w:eastAsia="宋体" w:cs="宋体"/>
          <w:b/>
          <w:bCs w:val="0"/>
          <w:color w:val="auto"/>
          <w:sz w:val="32"/>
          <w:szCs w:val="32"/>
          <w:highlight w:val="none"/>
        </w:rPr>
        <w:t>投标人须知</w:t>
      </w:r>
      <w:bookmarkEnd w:id="0"/>
      <w:bookmarkEnd w:id="6"/>
      <w:bookmarkEnd w:id="7"/>
      <w:bookmarkEnd w:id="8"/>
    </w:p>
    <w:p>
      <w:pPr>
        <w:pStyle w:val="5"/>
        <w:keepNext w:val="0"/>
        <w:keepLines w:val="0"/>
        <w:adjustRightInd w:val="0"/>
        <w:snapToGrid w:val="0"/>
        <w:spacing w:before="120" w:after="120" w:line="360" w:lineRule="auto"/>
        <w:jc w:val="center"/>
        <w:outlineLvl w:val="1"/>
        <w:rPr>
          <w:rFonts w:hint="eastAsia" w:ascii="宋体" w:hAnsi="宋体" w:eastAsia="宋体" w:cs="宋体"/>
          <w:bCs w:val="0"/>
          <w:i w:val="0"/>
          <w:iCs/>
          <w:color w:val="auto"/>
          <w:sz w:val="28"/>
          <w:szCs w:val="28"/>
          <w:highlight w:val="none"/>
        </w:rPr>
      </w:pPr>
      <w:bookmarkStart w:id="9" w:name="_Toc144974496"/>
      <w:bookmarkStart w:id="10" w:name="_Toc152045528"/>
      <w:bookmarkStart w:id="11" w:name="_Toc13641"/>
      <w:bookmarkStart w:id="12" w:name="_Toc665"/>
      <w:bookmarkStart w:id="13" w:name="_Toc179632545"/>
      <w:bookmarkStart w:id="14" w:name="_Toc152042304"/>
      <w:bookmarkStart w:id="15" w:name="_Toc25446"/>
      <w:r>
        <w:rPr>
          <w:rFonts w:hint="eastAsia" w:ascii="宋体" w:hAnsi="宋体" w:eastAsia="宋体" w:cs="宋体"/>
          <w:bCs w:val="0"/>
          <w:i w:val="0"/>
          <w:iCs/>
          <w:color w:val="auto"/>
          <w:sz w:val="28"/>
          <w:szCs w:val="28"/>
          <w:highlight w:val="none"/>
        </w:rPr>
        <w:t>投标人须知前附表</w:t>
      </w:r>
      <w:bookmarkEnd w:id="9"/>
      <w:bookmarkEnd w:id="10"/>
      <w:bookmarkEnd w:id="11"/>
      <w:bookmarkEnd w:id="12"/>
      <w:bookmarkEnd w:id="13"/>
      <w:bookmarkEnd w:id="14"/>
      <w:bookmarkEnd w:id="15"/>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jc w:val="center"/>
              <w:rPr>
                <w:rFonts w:hint="eastAsia" w:ascii="宋体" w:hAnsi="宋体" w:eastAsia="宋体" w:cs="宋体"/>
                <w:i w:val="0"/>
                <w:iCs w:val="0"/>
                <w:color w:val="auto"/>
                <w:sz w:val="24"/>
                <w:szCs w:val="24"/>
                <w:highlight w:val="none"/>
              </w:rPr>
            </w:pPr>
            <w:bookmarkStart w:id="16" w:name="_Toc2427"/>
            <w:bookmarkStart w:id="17" w:name="_Toc26931"/>
            <w:bookmarkStart w:id="18" w:name="_Toc21488"/>
            <w:bookmarkStart w:id="19" w:name="_Toc144974497"/>
            <w:bookmarkStart w:id="20" w:name="_Toc152045529"/>
            <w:bookmarkStart w:id="21" w:name="_Toc179632546"/>
            <w:bookmarkStart w:id="22" w:name="_Toc152042305"/>
            <w:r>
              <w:rPr>
                <w:rFonts w:hint="eastAsia" w:ascii="宋体" w:hAnsi="宋体" w:eastAsia="宋体" w:cs="宋体"/>
                <w:i w:val="0"/>
                <w:iCs w:val="0"/>
                <w:color w:val="auto"/>
                <w:sz w:val="24"/>
                <w:szCs w:val="24"/>
                <w:highlight w:val="none"/>
              </w:rPr>
              <w:t>1</w:t>
            </w:r>
          </w:p>
        </w:tc>
        <w:tc>
          <w:tcPr>
            <w:tcW w:w="2082" w:type="dxa"/>
            <w:noWrap w:val="0"/>
            <w:vAlign w:val="center"/>
          </w:tcPr>
          <w:p>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采购人</w:t>
            </w:r>
          </w:p>
        </w:tc>
        <w:tc>
          <w:tcPr>
            <w:tcW w:w="7124" w:type="dxa"/>
            <w:noWrap w:val="0"/>
            <w:vAlign w:val="center"/>
          </w:tcPr>
          <w:p>
            <w:pP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新疆维吾尔自治区阿克苏地区乡村振兴局</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2082" w:type="dxa"/>
            <w:noWrap w:val="0"/>
            <w:vAlign w:val="center"/>
          </w:tcPr>
          <w:p>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采购代理机构</w:t>
            </w:r>
          </w:p>
        </w:tc>
        <w:tc>
          <w:tcPr>
            <w:tcW w:w="7124" w:type="dxa"/>
            <w:noWrap w:val="0"/>
            <w:vAlign w:val="center"/>
          </w:tcPr>
          <w:p>
            <w:pP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lang w:eastAsia="zh-CN"/>
              </w:rPr>
              <w:t>新疆峰澜工程项目管理有限公司</w:t>
            </w:r>
            <w:r>
              <w:rPr>
                <w:rFonts w:hint="eastAsia" w:ascii="宋体" w:hAnsi="宋体" w:eastAsia="宋体" w:cs="宋体"/>
                <w:i w:val="0"/>
                <w:iCs w:val="0"/>
                <w:color w:val="auto"/>
                <w:sz w:val="24"/>
                <w:szCs w:val="24"/>
                <w:highlight w:val="none"/>
                <w:lang w:eastAsia="zh-CN"/>
              </w:rPr>
              <w:t xml:space="preserve"> </w:t>
            </w:r>
          </w:p>
          <w:p>
            <w:pPr>
              <w:rPr>
                <w:rFonts w:hint="eastAsia" w:ascii="宋体" w:hAnsi="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    址：</w:t>
            </w:r>
            <w:r>
              <w:rPr>
                <w:rFonts w:hint="eastAsia" w:ascii="宋体" w:hAnsi="宋体" w:cs="宋体"/>
                <w:i w:val="0"/>
                <w:iCs w:val="0"/>
                <w:color w:val="auto"/>
                <w:sz w:val="24"/>
                <w:szCs w:val="24"/>
                <w:highlight w:val="none"/>
                <w:lang w:eastAsia="zh-CN"/>
              </w:rPr>
              <w:t>新疆阿克苏地区阿克苏市多浪片区管委会巴格莞社区江南商贸城B区22栋201号</w:t>
            </w:r>
          </w:p>
          <w:p>
            <w:pP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联 系 人：</w:t>
            </w:r>
            <w:r>
              <w:rPr>
                <w:rFonts w:hint="eastAsia" w:ascii="宋体" w:hAnsi="宋体" w:cs="宋体"/>
                <w:i w:val="0"/>
                <w:iCs w:val="0"/>
                <w:color w:val="auto"/>
                <w:sz w:val="24"/>
                <w:szCs w:val="24"/>
                <w:highlight w:val="none"/>
                <w:lang w:val="en-US" w:eastAsia="zh-CN"/>
              </w:rPr>
              <w:t>王霖</w:t>
            </w:r>
          </w:p>
          <w:p>
            <w:pP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电    话：</w:t>
            </w:r>
            <w:r>
              <w:rPr>
                <w:rFonts w:hint="eastAsia" w:ascii="宋体" w:hAnsi="宋体" w:cs="宋体"/>
                <w:i w:val="0"/>
                <w:iCs w:val="0"/>
                <w:color w:val="auto"/>
                <w:sz w:val="24"/>
                <w:szCs w:val="24"/>
                <w:highlight w:val="none"/>
                <w:lang w:val="en-US" w:eastAsia="zh-CN"/>
              </w:rPr>
              <w:t>13239031323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2082" w:type="dxa"/>
            <w:noWrap w:val="0"/>
            <w:vAlign w:val="center"/>
          </w:tcPr>
          <w:p>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采购项目名称</w:t>
            </w:r>
          </w:p>
        </w:tc>
        <w:tc>
          <w:tcPr>
            <w:tcW w:w="7124" w:type="dxa"/>
            <w:noWrap w:val="0"/>
            <w:vAlign w:val="center"/>
          </w:tcPr>
          <w:p>
            <w:pP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采购编制乡村振兴“十四五规划”服务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5" w:hRule="atLeast"/>
          <w:jc w:val="center"/>
        </w:trPr>
        <w:tc>
          <w:tcPr>
            <w:tcW w:w="824"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2082" w:type="dxa"/>
            <w:noWrap w:val="0"/>
            <w:vAlign w:val="center"/>
          </w:tcPr>
          <w:p>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采购文件编号</w:t>
            </w:r>
          </w:p>
        </w:tc>
        <w:tc>
          <w:tcPr>
            <w:tcW w:w="7124" w:type="dxa"/>
            <w:noWrap w:val="0"/>
            <w:vAlign w:val="center"/>
          </w:tcPr>
          <w:p>
            <w:pP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分2023-01-28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2082" w:type="dxa"/>
            <w:noWrap w:val="0"/>
            <w:vAlign w:val="center"/>
          </w:tcPr>
          <w:p>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资金来源</w:t>
            </w:r>
          </w:p>
        </w:tc>
        <w:tc>
          <w:tcPr>
            <w:tcW w:w="7124" w:type="dxa"/>
            <w:noWrap w:val="0"/>
            <w:vAlign w:val="center"/>
          </w:tcPr>
          <w:p>
            <w:pP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财政</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最高限价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800000</w:t>
            </w:r>
            <w:r>
              <w:rPr>
                <w:rFonts w:hint="eastAsia" w:ascii="宋体" w:hAnsi="宋体" w:eastAsia="宋体" w:cs="宋体"/>
                <w:i w:val="0"/>
                <w:iCs w:val="0"/>
                <w:color w:val="auto"/>
                <w:sz w:val="24"/>
                <w:highlight w:val="none"/>
                <w:lang w:val="en-US" w:eastAsia="zh-CN"/>
              </w:rPr>
              <w:t>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w:t>
            </w:r>
          </w:p>
        </w:tc>
        <w:tc>
          <w:tcPr>
            <w:tcW w:w="2082"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招标内容</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szCs w:val="24"/>
                <w:highlight w:val="none"/>
                <w:lang w:eastAsia="zh-CN"/>
              </w:rPr>
              <w:t>编制阿克苏地区乡村振兴“十四五”规划及实施方案服务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评审方法</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竞争性磋商</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投标报价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不得超过磋商文件中规定的最高限价。</w:t>
            </w:r>
            <w:r>
              <w:rPr>
                <w:rFonts w:hint="eastAsia" w:ascii="宋体" w:hAnsi="宋体" w:eastAsia="宋体" w:cs="宋体"/>
                <w:i w:val="0"/>
                <w:iCs w:val="0"/>
                <w:color w:val="auto"/>
                <w:sz w:val="24"/>
                <w:highlight w:val="none"/>
                <w:lang w:eastAsia="zh-CN"/>
              </w:rPr>
              <w:t>本项目采用二轮报价，即标书内报价为第一轮报价，现场报价为第二轮报价。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10</w:t>
            </w:r>
          </w:p>
        </w:tc>
        <w:tc>
          <w:tcPr>
            <w:tcW w:w="2082" w:type="dxa"/>
            <w:tcBorders>
              <w:top w:val="single" w:color="auto" w:sz="4" w:space="0"/>
            </w:tcBorders>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服务期</w:t>
            </w:r>
          </w:p>
        </w:tc>
        <w:tc>
          <w:tcPr>
            <w:tcW w:w="7124"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ascii="Times New Roman" w:hAnsi="Times New Roman" w:eastAsia="宋体" w:cs="Times New Roman"/>
                <w:sz w:val="24"/>
                <w:szCs w:val="24"/>
              </w:rPr>
              <w:t>签订服务合同之日</w:t>
            </w:r>
            <w:r>
              <w:rPr>
                <w:rFonts w:hint="eastAsia" w:cs="Times New Roman"/>
                <w:sz w:val="24"/>
                <w:szCs w:val="24"/>
                <w:lang w:eastAsia="zh-CN"/>
              </w:rPr>
              <w:t>起</w:t>
            </w:r>
            <w:r>
              <w:rPr>
                <w:rFonts w:hint="eastAsia" w:cs="Times New Roman"/>
                <w:sz w:val="24"/>
                <w:szCs w:val="24"/>
                <w:lang w:val="en-US" w:eastAsia="zh-CN"/>
              </w:rPr>
              <w:t>40日内完成</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w:t>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rPr>
              <w:t>采购人、采购代理机构应当顺延提交首次响应文件截止时间。</w:t>
            </w:r>
          </w:p>
          <w:p>
            <w:pPr>
              <w:ind w:firstLine="240"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b/>
                <w:bCs/>
                <w:i w:val="0"/>
                <w:iCs w:val="0"/>
                <w:color w:val="auto"/>
                <w:sz w:val="24"/>
                <w:highlight w:val="none"/>
                <w:lang w:eastAsia="zh-CN"/>
              </w:rPr>
              <w:t>202</w:t>
            </w:r>
            <w:r>
              <w:rPr>
                <w:rFonts w:hint="eastAsia" w:ascii="宋体" w:hAnsi="宋体" w:cs="宋体"/>
                <w:b/>
                <w:bCs/>
                <w:i w:val="0"/>
                <w:iCs w:val="0"/>
                <w:color w:val="auto"/>
                <w:sz w:val="24"/>
                <w:highlight w:val="none"/>
                <w:lang w:val="en-US" w:eastAsia="zh-CN"/>
              </w:rPr>
              <w:t>3</w:t>
            </w:r>
            <w:r>
              <w:rPr>
                <w:rFonts w:hint="eastAsia" w:ascii="宋体" w:hAnsi="宋体" w:cs="宋体"/>
                <w:b/>
                <w:bCs/>
                <w:i w:val="0"/>
                <w:iCs w:val="0"/>
                <w:color w:val="auto"/>
                <w:sz w:val="24"/>
                <w:highlight w:val="none"/>
                <w:lang w:eastAsia="zh-CN"/>
              </w:rPr>
              <w:t>年0</w:t>
            </w:r>
            <w:r>
              <w:rPr>
                <w:rFonts w:hint="eastAsia" w:ascii="宋体" w:hAnsi="宋体" w:cs="宋体"/>
                <w:b/>
                <w:bCs/>
                <w:i w:val="0"/>
                <w:iCs w:val="0"/>
                <w:color w:val="auto"/>
                <w:sz w:val="24"/>
                <w:highlight w:val="none"/>
                <w:lang w:val="en-US" w:eastAsia="zh-CN"/>
              </w:rPr>
              <w:t>2</w:t>
            </w:r>
            <w:r>
              <w:rPr>
                <w:rFonts w:hint="eastAsia" w:ascii="宋体" w:hAnsi="宋体" w:cs="宋体"/>
                <w:b/>
                <w:bCs/>
                <w:i w:val="0"/>
                <w:iCs w:val="0"/>
                <w:color w:val="auto"/>
                <w:sz w:val="24"/>
                <w:highlight w:val="none"/>
                <w:lang w:eastAsia="zh-CN"/>
              </w:rPr>
              <w:t>月</w:t>
            </w:r>
            <w:r>
              <w:rPr>
                <w:rFonts w:hint="eastAsia" w:ascii="宋体" w:hAnsi="宋体" w:cs="宋体"/>
                <w:b/>
                <w:bCs/>
                <w:i w:val="0"/>
                <w:iCs w:val="0"/>
                <w:color w:val="auto"/>
                <w:sz w:val="24"/>
                <w:highlight w:val="none"/>
                <w:lang w:val="en-US" w:eastAsia="zh-CN"/>
              </w:rPr>
              <w:t>20</w:t>
            </w:r>
            <w:r>
              <w:rPr>
                <w:rFonts w:hint="eastAsia" w:ascii="宋体" w:hAnsi="宋体" w:cs="宋体"/>
                <w:b/>
                <w:bCs/>
                <w:i w:val="0"/>
                <w:iCs w:val="0"/>
                <w:color w:val="auto"/>
                <w:sz w:val="24"/>
                <w:highlight w:val="none"/>
                <w:lang w:eastAsia="zh-CN"/>
              </w:rPr>
              <w:t>日1</w:t>
            </w:r>
            <w:r>
              <w:rPr>
                <w:rFonts w:hint="eastAsia" w:ascii="宋体" w:hAnsi="宋体" w:cs="宋体"/>
                <w:b/>
                <w:bCs/>
                <w:i w:val="0"/>
                <w:iCs w:val="0"/>
                <w:color w:val="auto"/>
                <w:sz w:val="24"/>
                <w:highlight w:val="none"/>
                <w:lang w:val="en-US" w:eastAsia="zh-CN"/>
              </w:rPr>
              <w:t>1</w:t>
            </w:r>
            <w:r>
              <w:rPr>
                <w:rFonts w:hint="eastAsia" w:ascii="宋体" w:hAnsi="宋体" w:cs="宋体"/>
                <w:b/>
                <w:bCs/>
                <w:i w:val="0"/>
                <w:iCs w:val="0"/>
                <w:color w:val="auto"/>
                <w:sz w:val="24"/>
                <w:highlight w:val="none"/>
                <w:lang w:eastAsia="zh-CN"/>
              </w:rPr>
              <w:t>:</w:t>
            </w:r>
            <w:r>
              <w:rPr>
                <w:rFonts w:hint="eastAsia" w:ascii="宋体" w:hAnsi="宋体" w:cs="宋体"/>
                <w:b/>
                <w:bCs/>
                <w:i w:val="0"/>
                <w:iCs w:val="0"/>
                <w:color w:val="auto"/>
                <w:sz w:val="24"/>
                <w:highlight w:val="none"/>
                <w:lang w:val="en-US" w:eastAsia="zh-CN"/>
              </w:rPr>
              <w:t>0</w:t>
            </w:r>
            <w:r>
              <w:rPr>
                <w:rFonts w:hint="eastAsia" w:ascii="宋体" w:hAnsi="宋体" w:cs="宋体"/>
                <w:b/>
                <w:bCs/>
                <w:i w:val="0"/>
                <w:iCs w:val="0"/>
                <w:color w:val="auto"/>
                <w:sz w:val="24"/>
                <w:highlight w:val="none"/>
                <w:lang w:eastAsia="zh-CN"/>
              </w:rPr>
              <w:t>0</w:t>
            </w:r>
            <w:r>
              <w:rPr>
                <w:rFonts w:hint="eastAsia" w:ascii="宋体" w:hAnsi="宋体" w:eastAsia="宋体" w:cs="宋体"/>
                <w:b/>
                <w:bCs/>
                <w:i w:val="0"/>
                <w:iCs w:val="0"/>
                <w:color w:val="auto"/>
                <w:sz w:val="24"/>
                <w:highlight w:val="none"/>
                <w:lang w:eastAsia="zh-CN"/>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w:t>
            </w:r>
            <w:r>
              <w:rPr>
                <w:rFonts w:hint="eastAsia" w:ascii="宋体" w:hAnsi="宋体" w:eastAsia="宋体" w:cs="宋体"/>
                <w:i w:val="0"/>
                <w:iCs w:val="0"/>
                <w:color w:val="auto"/>
                <w:sz w:val="24"/>
                <w:highlight w:val="none"/>
                <w:lang w:val="en-US" w:eastAsia="zh-CN"/>
              </w:rPr>
              <w:t>6</w:t>
            </w:r>
            <w:r>
              <w:rPr>
                <w:rFonts w:hint="eastAsia" w:ascii="宋体" w:hAnsi="宋体" w:eastAsia="宋体" w:cs="宋体"/>
                <w:i w:val="0"/>
                <w:iCs w:val="0"/>
                <w:color w:val="auto"/>
                <w:sz w:val="24"/>
                <w:highlight w:val="none"/>
              </w:rPr>
              <w:t>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本项目不做要求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评标委员会由</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人构成，其中招标人代表</w:t>
            </w:r>
            <w:r>
              <w:rPr>
                <w:rFonts w:hint="eastAsia" w:ascii="宋体" w:hAnsi="宋体" w:eastAsia="宋体" w:cs="宋体"/>
                <w:i w:val="0"/>
                <w:iCs w:val="0"/>
                <w:color w:val="auto"/>
                <w:sz w:val="24"/>
                <w:highlight w:val="none"/>
                <w:u w:val="single"/>
              </w:rPr>
              <w:t xml:space="preserve"> 0 </w:t>
            </w:r>
            <w:r>
              <w:rPr>
                <w:rFonts w:hint="eastAsia" w:ascii="宋体" w:hAnsi="宋体" w:eastAsia="宋体" w:cs="宋体"/>
                <w:i w:val="0"/>
                <w:iCs w:val="0"/>
                <w:color w:val="auto"/>
                <w:sz w:val="24"/>
                <w:highlight w:val="none"/>
              </w:rPr>
              <w:t>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3 </w:t>
            </w:r>
            <w:r>
              <w:rPr>
                <w:rFonts w:hint="eastAsia" w:ascii="宋体" w:hAnsi="宋体" w:eastAsia="宋体" w:cs="宋体"/>
                <w:i w:val="0"/>
                <w:iCs w:val="0"/>
                <w:color w:val="auto"/>
                <w:sz w:val="24"/>
                <w:highlight w:val="none"/>
              </w:rPr>
              <w:t>人；</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评标委员会推荐中标候选人的人数：</w:t>
            </w:r>
            <w:r>
              <w:rPr>
                <w:rFonts w:hint="eastAsia" w:ascii="宋体" w:hAnsi="宋体" w:eastAsia="宋体" w:cs="宋体"/>
                <w:i w:val="0"/>
                <w:iCs w:val="0"/>
                <w:color w:val="auto"/>
                <w:sz w:val="24"/>
                <w:highlight w:val="none"/>
                <w:u w:val="single"/>
              </w:rPr>
              <w:t>3</w:t>
            </w:r>
            <w:r>
              <w:rPr>
                <w:rFonts w:hint="eastAsia" w:ascii="宋体" w:hAnsi="宋体" w:eastAsia="宋体" w:cs="宋体"/>
                <w:i w:val="0"/>
                <w:iCs w:val="0"/>
                <w:color w:val="auto"/>
                <w:sz w:val="24"/>
                <w:highlight w:val="none"/>
              </w:rPr>
              <w:t>人</w:t>
            </w:r>
          </w:p>
          <w:p>
            <w:pPr>
              <w:rPr>
                <w:rFonts w:hint="eastAsia"/>
                <w:i w:val="0"/>
                <w:iCs w:val="0"/>
                <w:color w:val="auto"/>
              </w:rPr>
            </w:pPr>
            <w:r>
              <w:rPr>
                <w:rFonts w:hint="eastAsia" w:ascii="宋体" w:hAnsi="宋体" w:eastAsia="宋体" w:cs="宋体"/>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highlight w:val="none"/>
                <w:lang w:eastAsia="zh-CN"/>
              </w:rPr>
              <w:t>（二）</w:t>
            </w:r>
            <w:r>
              <w:rPr>
                <w:rFonts w:hint="eastAsia" w:ascii="宋体" w:hAnsi="宋体" w:eastAsia="宋体" w:cs="宋体"/>
                <w:i w:val="0"/>
                <w:iCs w:val="0"/>
                <w:color w:val="auto"/>
                <w:sz w:val="24"/>
                <w:highlight w:val="none"/>
              </w:rPr>
              <w:t>具有有效的营业执照</w:t>
            </w:r>
            <w:r>
              <w:rPr>
                <w:rFonts w:hint="eastAsia" w:ascii="宋体" w:hAnsi="宋体" w:eastAsia="宋体" w:cs="宋体"/>
                <w:i w:val="0"/>
                <w:iCs w:val="0"/>
                <w:color w:val="auto"/>
                <w:sz w:val="24"/>
                <w:highlight w:val="none"/>
                <w:lang w:val="en-US" w:eastAsia="zh-CN"/>
              </w:rPr>
              <w:t>；</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三</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近六个月（连续）的社保证明（需有相关人员的社保缴纳明细，退休人员需提供退休证明）和</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w:t>
            </w:r>
            <w:r>
              <w:rPr>
                <w:rFonts w:hint="eastAsia" w:ascii="宋体" w:hAnsi="宋体" w:cs="宋体"/>
                <w:i w:val="0"/>
                <w:iCs w:val="0"/>
                <w:color w:val="auto"/>
                <w:sz w:val="24"/>
                <w:highlight w:val="none"/>
                <w:lang w:val="en-US" w:eastAsia="zh-CN"/>
              </w:rPr>
              <w:t>的</w:t>
            </w:r>
            <w:r>
              <w:rPr>
                <w:rFonts w:hint="eastAsia" w:ascii="宋体" w:hAnsi="宋体" w:eastAsia="宋体" w:cs="宋体"/>
                <w:i w:val="0"/>
                <w:iCs w:val="0"/>
                <w:color w:val="auto"/>
                <w:sz w:val="24"/>
                <w:highlight w:val="none"/>
                <w:lang w:val="en-US" w:eastAsia="zh-CN"/>
              </w:rPr>
              <w:t>完税证明、近三年的财务审计报告</w:t>
            </w:r>
            <w:r>
              <w:rPr>
                <w:rFonts w:hint="eastAsia" w:ascii="宋体" w:hAnsi="宋体" w:cs="宋体"/>
                <w:i w:val="0"/>
                <w:iCs w:val="0"/>
                <w:color w:val="auto"/>
                <w:sz w:val="24"/>
                <w:highlight w:val="none"/>
                <w:lang w:val="en-US" w:eastAsia="zh-CN"/>
              </w:rPr>
              <w:t>或财务报表</w:t>
            </w:r>
            <w:r>
              <w:rPr>
                <w:rFonts w:hint="eastAsia" w:ascii="宋体" w:hAnsi="宋体" w:eastAsia="宋体" w:cs="宋体"/>
                <w:i w:val="0"/>
                <w:iCs w:val="0"/>
                <w:color w:val="auto"/>
                <w:sz w:val="24"/>
                <w:highlight w:val="none"/>
                <w:lang w:val="en-US" w:eastAsia="zh-CN"/>
              </w:rPr>
              <w:t>（</w:t>
            </w:r>
            <w:r>
              <w:rPr>
                <w:rFonts w:hint="eastAsia" w:ascii="宋体" w:hAnsi="宋体" w:cs="宋体"/>
                <w:b w:val="0"/>
                <w:bCs/>
                <w:i w:val="0"/>
                <w:iCs w:val="0"/>
                <w:color w:val="auto"/>
                <w:sz w:val="24"/>
                <w:lang w:val="en-US" w:eastAsia="zh-CN"/>
              </w:rPr>
              <w:t>企业成立不足三年的提供成立至今的财务审计报告，成立不足一年的提供成立至今的财务报表，包含资产负债表、现金流量表、利润表</w:t>
            </w:r>
            <w:r>
              <w:rPr>
                <w:rFonts w:hint="eastAsia" w:ascii="宋体" w:hAnsi="宋体" w:eastAsia="宋体" w:cs="宋体"/>
                <w:i w:val="0"/>
                <w:iCs w:val="0"/>
                <w:color w:val="auto"/>
                <w:sz w:val="24"/>
                <w:highlight w:val="none"/>
                <w:lang w:val="en-US" w:eastAsia="zh-CN"/>
              </w:rPr>
              <w:t>）</w:t>
            </w:r>
            <w:r>
              <w:rPr>
                <w:rFonts w:hint="eastAsia" w:ascii="宋体" w:hAnsi="宋体" w:eastAsia="宋体" w:cs="宋体"/>
                <w:i w:val="0"/>
                <w:iCs w:val="0"/>
                <w:color w:val="auto"/>
                <w:sz w:val="24"/>
                <w:highlight w:val="none"/>
              </w:rPr>
              <w:t>；</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val="en-US" w:eastAsia="zh-CN"/>
              </w:rPr>
              <w:t>四</w:t>
            </w:r>
            <w:r>
              <w:rPr>
                <w:rFonts w:hint="eastAsia" w:ascii="宋体" w:hAnsi="宋体" w:eastAsia="宋体" w:cs="宋体"/>
                <w:i w:val="0"/>
                <w:iCs w:val="0"/>
                <w:color w:val="auto"/>
                <w:sz w:val="24"/>
                <w:highlight w:val="none"/>
              </w:rPr>
              <w:t>）供应商未被列入</w:t>
            </w:r>
            <w:r>
              <w:rPr>
                <w:rFonts w:hint="eastAsia" w:ascii="宋体" w:hAnsi="宋体" w:eastAsia="宋体" w:cs="宋体"/>
                <w:i w:val="0"/>
                <w:iCs w:val="0"/>
                <w:color w:val="auto"/>
                <w:sz w:val="24"/>
                <w:highlight w:val="none"/>
                <w:lang w:val="en-US" w:eastAsia="ar-SA"/>
              </w:rPr>
              <w:t>“信用中国”网站信用信息报告、国家企业信用信息公示系统报告</w:t>
            </w:r>
            <w:r>
              <w:rPr>
                <w:rFonts w:hint="eastAsia" w:ascii="宋体" w:hAnsi="宋体" w:eastAsia="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ar-SA"/>
              </w:rPr>
              <w:t>中国政府采购</w:t>
            </w:r>
            <w:r>
              <w:rPr>
                <w:rFonts w:hint="eastAsia" w:ascii="宋体" w:hAnsi="宋体" w:eastAsia="宋体" w:cs="宋体"/>
                <w:i w:val="0"/>
                <w:iCs w:val="0"/>
                <w:color w:val="auto"/>
                <w:sz w:val="24"/>
                <w:highlight w:val="none"/>
                <w:lang w:val="en-US" w:eastAsia="zh-CN"/>
              </w:rPr>
              <w:t>网未</w:t>
            </w:r>
            <w:r>
              <w:rPr>
                <w:rFonts w:hint="eastAsia" w:ascii="宋体" w:hAnsi="宋体" w:eastAsia="宋体" w:cs="宋体"/>
                <w:i w:val="0"/>
                <w:iCs w:val="0"/>
                <w:color w:val="auto"/>
                <w:sz w:val="24"/>
                <w:highlight w:val="none"/>
              </w:rPr>
              <w:t>被列入严重违法失信行为记录名单（尚在处罚期内的）；（在“信用中国”网站和“中国政府采购网”网站查询结果为准，如相关失信记录已失效，供应商需提供相关证明资料）</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五</w:t>
            </w:r>
            <w:r>
              <w:rPr>
                <w:rFonts w:hint="eastAsia" w:ascii="宋体" w:hAnsi="宋体" w:eastAsia="宋体" w:cs="宋体"/>
                <w:i w:val="0"/>
                <w:iCs w:val="0"/>
                <w:color w:val="auto"/>
                <w:sz w:val="24"/>
                <w:highlight w:val="none"/>
              </w:rPr>
              <w:t>）本项目不接受联合体投标。</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六</w:t>
            </w:r>
            <w:r>
              <w:rPr>
                <w:rFonts w:hint="eastAsia" w:ascii="宋体" w:hAnsi="宋体" w:eastAsia="宋体" w:cs="宋体"/>
                <w:i w:val="0"/>
                <w:iCs w:val="0"/>
                <w:color w:val="auto"/>
                <w:sz w:val="24"/>
                <w:highlight w:val="none"/>
              </w:rPr>
              <w:t>）符合竞争性磋商文件中其他实质性要求。</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财务要求：财务状况良好。</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信誉要求：良好，无不良行为记录。</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22</w:t>
            </w:r>
          </w:p>
        </w:tc>
        <w:tc>
          <w:tcPr>
            <w:tcW w:w="2082" w:type="dxa"/>
            <w:noWrap w:val="0"/>
            <w:vAlign w:val="center"/>
          </w:tcPr>
          <w:p>
            <w:pPr>
              <w:rPr>
                <w:rFonts w:hint="eastAsia" w:ascii="宋体" w:hAnsi="宋体" w:eastAsia="宋体" w:cs="宋体"/>
                <w:i w:val="0"/>
                <w:iCs w:val="0"/>
                <w:color w:val="auto"/>
                <w:sz w:val="24"/>
                <w:highlight w:val="none"/>
              </w:rPr>
            </w:pPr>
            <w:r>
              <w:rPr>
                <w:rFonts w:hint="eastAsia"/>
                <w:i w:val="0"/>
                <w:iCs w:val="0"/>
                <w:color w:val="auto"/>
                <w:sz w:val="24"/>
                <w:szCs w:val="24"/>
                <w:lang w:eastAsia="zh-CN"/>
              </w:rPr>
              <w:t>响应文件</w:t>
            </w:r>
            <w:r>
              <w:rPr>
                <w:rFonts w:hint="eastAsia"/>
                <w:i w:val="0"/>
                <w:iCs w:val="0"/>
                <w:color w:val="auto"/>
                <w:sz w:val="24"/>
                <w:szCs w:val="24"/>
              </w:rPr>
              <w:t>的要求</w:t>
            </w:r>
          </w:p>
        </w:tc>
        <w:tc>
          <w:tcPr>
            <w:tcW w:w="7124" w:type="dxa"/>
            <w:noWrap w:val="0"/>
            <w:vAlign w:val="center"/>
          </w:tcPr>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1、本项目实行电子招投标，供应商须登录政府采购云平台申请获取采购文件，并需要使用CA锁，在新疆政府采购网--下载专区下载--供应商客户端制作</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，并生成JMBS格式加密文件，在投标截止前上传至政府采购云平台。若供应商参与投标,自行承担与投标有关的一切费用。</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eastAsia="宋体" w:cs="宋体"/>
                <w:i w:val="0"/>
                <w:iCs w:val="0"/>
                <w:color w:val="auto"/>
                <w:sz w:val="24"/>
                <w:highlight w:val="none"/>
                <w:lang w:eastAsia="zh-CN"/>
              </w:rPr>
            </w:pPr>
            <w:r>
              <w:rPr>
                <w:rFonts w:hint="eastAsia" w:ascii="Times New Roman" w:hAnsi="Times New Roman" w:eastAsia="宋体" w:cs="Times New Roman"/>
                <w:i w:val="0"/>
                <w:iCs w:val="0"/>
                <w:color w:val="auto"/>
                <w:sz w:val="24"/>
                <w:szCs w:val="24"/>
                <w:lang w:val="en-US" w:eastAsia="zh-CN"/>
              </w:rPr>
              <w:t>6、</w:t>
            </w:r>
            <w:r>
              <w:rPr>
                <w:rFonts w:hint="eastAsia" w:ascii="Times New Roman" w:hAnsi="Times New Roman" w:eastAsia="宋体" w:cs="Times New Roman"/>
                <w:b/>
                <w:bCs/>
                <w:i w:val="0"/>
                <w:iCs w:val="0"/>
                <w:color w:val="auto"/>
                <w:sz w:val="24"/>
                <w:szCs w:val="24"/>
                <w:lang w:val="en-US" w:eastAsia="zh-CN"/>
              </w:rPr>
              <w:t>评标结束后，各投标单位须在一周内按竞争性磋商文件要求将纸质版</w:t>
            </w:r>
            <w:r>
              <w:rPr>
                <w:rFonts w:hint="eastAsia" w:eastAsia="宋体" w:cs="Times New Roman"/>
                <w:b/>
                <w:bCs/>
                <w:i w:val="0"/>
                <w:iCs w:val="0"/>
                <w:color w:val="auto"/>
                <w:sz w:val="24"/>
                <w:szCs w:val="24"/>
                <w:lang w:val="en-US" w:eastAsia="zh-CN"/>
              </w:rPr>
              <w:t>响应文件</w:t>
            </w:r>
            <w:r>
              <w:rPr>
                <w:rFonts w:hint="eastAsia" w:ascii="Times New Roman" w:hAnsi="Times New Roman" w:eastAsia="宋体" w:cs="Times New Roman"/>
                <w:b/>
                <w:bCs/>
                <w:i w:val="0"/>
                <w:iCs w:val="0"/>
                <w:color w:val="auto"/>
                <w:sz w:val="24"/>
                <w:szCs w:val="24"/>
                <w:lang w:val="en-US" w:eastAsia="zh-CN"/>
              </w:rPr>
              <w:t>递交至招标代理处（所产生的的费用投标单位自理）</w:t>
            </w:r>
            <w:r>
              <w:rPr>
                <w:rFonts w:hint="eastAsia" w:ascii="Times New Roman" w:hAnsi="Times New Roman" w:eastAsia="宋体" w:cs="Times New Roman"/>
                <w:i w:val="0"/>
                <w:iCs w:val="0"/>
                <w:color w:val="auto"/>
                <w:sz w:val="24"/>
                <w:szCs w:val="24"/>
                <w:lang w:val="en-US" w:eastAsia="zh-CN"/>
              </w:rPr>
              <w:t>。纸质版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可通过加密电子版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打印生成，应当与电子版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一致。【1、份数要求：</w:t>
            </w:r>
            <w:r>
              <w:rPr>
                <w:rFonts w:hint="eastAsia" w:ascii="Times New Roman" w:hAnsi="Times New Roman" w:eastAsia="宋体" w:cs="Times New Roman"/>
                <w:b/>
                <w:bCs/>
                <w:i w:val="0"/>
                <w:iCs w:val="0"/>
                <w:color w:val="auto"/>
                <w:sz w:val="24"/>
                <w:szCs w:val="24"/>
                <w:lang w:val="en-US" w:eastAsia="zh-CN"/>
              </w:rPr>
              <w:t>正本壹份、副本叁份，电子标壹份（U盘）</w:t>
            </w:r>
            <w:r>
              <w:rPr>
                <w:rFonts w:hint="eastAsia" w:ascii="Times New Roman" w:hAnsi="Times New Roman" w:eastAsia="宋体" w:cs="Times New Roman"/>
                <w:i w:val="0"/>
                <w:iCs w:val="0"/>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文件地点</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lang w:val="en-US" w:eastAsia="zh-CN"/>
              </w:rPr>
              <w:t>政府采购云平台（</w:t>
            </w:r>
            <w:r>
              <w:rPr>
                <w:rFonts w:hint="eastAsia" w:ascii="Times New Roman" w:hAnsi="Times New Roman" w:eastAsia="宋体" w:cs="Times New Roman"/>
                <w:i w:val="0"/>
                <w:iCs w:val="0"/>
                <w:color w:val="auto"/>
                <w:sz w:val="24"/>
                <w:szCs w:val="24"/>
                <w:lang w:val="en-US" w:eastAsia="zh-CN"/>
              </w:rPr>
              <w:t>政采云网上不见面开评标系统</w:t>
            </w:r>
            <w:r>
              <w:rPr>
                <w:rFonts w:hint="eastAsia" w:ascii="宋体" w:hAnsi="宋体" w:cs="宋体"/>
                <w:i w:val="0"/>
                <w:iCs w:val="0"/>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磋商时间：</w:t>
            </w:r>
            <w:r>
              <w:rPr>
                <w:rFonts w:hint="eastAsia" w:ascii="宋体" w:hAnsi="宋体" w:cs="宋体"/>
                <w:b/>
                <w:bCs/>
                <w:i w:val="0"/>
                <w:iCs w:val="0"/>
                <w:color w:val="auto"/>
                <w:sz w:val="24"/>
                <w:highlight w:val="none"/>
                <w:lang w:eastAsia="zh-CN"/>
              </w:rPr>
              <w:t>202</w:t>
            </w:r>
            <w:r>
              <w:rPr>
                <w:rFonts w:hint="eastAsia" w:ascii="宋体" w:hAnsi="宋体" w:cs="宋体"/>
                <w:b/>
                <w:bCs/>
                <w:i w:val="0"/>
                <w:iCs w:val="0"/>
                <w:color w:val="auto"/>
                <w:sz w:val="24"/>
                <w:highlight w:val="none"/>
                <w:lang w:val="en-US" w:eastAsia="zh-CN"/>
              </w:rPr>
              <w:t>3</w:t>
            </w:r>
            <w:r>
              <w:rPr>
                <w:rFonts w:hint="eastAsia" w:ascii="宋体" w:hAnsi="宋体" w:cs="宋体"/>
                <w:b/>
                <w:bCs/>
                <w:i w:val="0"/>
                <w:iCs w:val="0"/>
                <w:color w:val="auto"/>
                <w:sz w:val="24"/>
                <w:highlight w:val="none"/>
                <w:lang w:eastAsia="zh-CN"/>
              </w:rPr>
              <w:t>年0</w:t>
            </w:r>
            <w:r>
              <w:rPr>
                <w:rFonts w:hint="eastAsia" w:ascii="宋体" w:hAnsi="宋体" w:cs="宋体"/>
                <w:b/>
                <w:bCs/>
                <w:i w:val="0"/>
                <w:iCs w:val="0"/>
                <w:color w:val="auto"/>
                <w:sz w:val="24"/>
                <w:highlight w:val="none"/>
                <w:lang w:val="en-US" w:eastAsia="zh-CN"/>
              </w:rPr>
              <w:t>2</w:t>
            </w:r>
            <w:r>
              <w:rPr>
                <w:rFonts w:hint="eastAsia" w:ascii="宋体" w:hAnsi="宋体" w:cs="宋体"/>
                <w:b/>
                <w:bCs/>
                <w:i w:val="0"/>
                <w:iCs w:val="0"/>
                <w:color w:val="auto"/>
                <w:sz w:val="24"/>
                <w:highlight w:val="none"/>
                <w:lang w:eastAsia="zh-CN"/>
              </w:rPr>
              <w:t>月</w:t>
            </w:r>
            <w:r>
              <w:rPr>
                <w:rFonts w:hint="eastAsia" w:ascii="宋体" w:hAnsi="宋体" w:cs="宋体"/>
                <w:b/>
                <w:bCs/>
                <w:i w:val="0"/>
                <w:iCs w:val="0"/>
                <w:color w:val="auto"/>
                <w:sz w:val="24"/>
                <w:highlight w:val="none"/>
                <w:lang w:val="en-US" w:eastAsia="zh-CN"/>
              </w:rPr>
              <w:t>20</w:t>
            </w:r>
            <w:r>
              <w:rPr>
                <w:rFonts w:hint="eastAsia" w:ascii="宋体" w:hAnsi="宋体" w:cs="宋体"/>
                <w:b/>
                <w:bCs/>
                <w:i w:val="0"/>
                <w:iCs w:val="0"/>
                <w:color w:val="auto"/>
                <w:sz w:val="24"/>
                <w:highlight w:val="none"/>
                <w:lang w:eastAsia="zh-CN"/>
              </w:rPr>
              <w:t>日1</w:t>
            </w:r>
            <w:r>
              <w:rPr>
                <w:rFonts w:hint="eastAsia" w:ascii="宋体" w:hAnsi="宋体" w:cs="宋体"/>
                <w:b/>
                <w:bCs/>
                <w:i w:val="0"/>
                <w:iCs w:val="0"/>
                <w:color w:val="auto"/>
                <w:sz w:val="24"/>
                <w:highlight w:val="none"/>
                <w:lang w:val="en-US" w:eastAsia="zh-CN"/>
              </w:rPr>
              <w:t>1</w:t>
            </w:r>
            <w:r>
              <w:rPr>
                <w:rFonts w:hint="eastAsia" w:ascii="宋体" w:hAnsi="宋体" w:cs="宋体"/>
                <w:b/>
                <w:bCs/>
                <w:i w:val="0"/>
                <w:iCs w:val="0"/>
                <w:color w:val="auto"/>
                <w:sz w:val="24"/>
                <w:highlight w:val="none"/>
                <w:lang w:eastAsia="zh-CN"/>
              </w:rPr>
              <w:t>:</w:t>
            </w:r>
            <w:r>
              <w:rPr>
                <w:rFonts w:hint="eastAsia" w:ascii="宋体" w:hAnsi="宋体" w:cs="宋体"/>
                <w:b/>
                <w:bCs/>
                <w:i w:val="0"/>
                <w:iCs w:val="0"/>
                <w:color w:val="auto"/>
                <w:sz w:val="24"/>
                <w:highlight w:val="none"/>
                <w:lang w:val="en-US" w:eastAsia="zh-CN"/>
              </w:rPr>
              <w:t>0</w:t>
            </w:r>
            <w:r>
              <w:rPr>
                <w:rFonts w:hint="eastAsia" w:ascii="宋体" w:hAnsi="宋体" w:cs="宋体"/>
                <w:b/>
                <w:bCs/>
                <w:i w:val="0"/>
                <w:iCs w:val="0"/>
                <w:color w:val="auto"/>
                <w:sz w:val="24"/>
                <w:highlight w:val="none"/>
                <w:lang w:eastAsia="zh-CN"/>
              </w:rPr>
              <w:t>0</w:t>
            </w:r>
            <w:r>
              <w:rPr>
                <w:rFonts w:hint="eastAsia" w:ascii="宋体" w:hAnsi="宋体" w:eastAsia="宋体" w:cs="宋体"/>
                <w:b/>
                <w:bCs/>
                <w:i w:val="0"/>
                <w:iCs w:val="0"/>
                <w:color w:val="auto"/>
                <w:sz w:val="24"/>
                <w:highlight w:val="none"/>
                <w:lang w:val="en-US" w:eastAsia="zh-CN"/>
              </w:rPr>
              <w:t>（北京时间）</w:t>
            </w:r>
          </w:p>
          <w:p>
            <w:pPr>
              <w:rPr>
                <w:rFonts w:hint="eastAsia" w:ascii="Times New Roman" w:hAnsi="Times New Roman" w:eastAsia="宋体" w:cs="Times New Roman"/>
                <w:i w:val="0"/>
                <w:iCs w:val="0"/>
                <w:color w:val="auto"/>
                <w:sz w:val="24"/>
                <w:szCs w:val="24"/>
                <w:lang w:val="en-US" w:eastAsia="zh-CN"/>
              </w:rPr>
            </w:pPr>
            <w:r>
              <w:rPr>
                <w:rFonts w:hint="eastAsia" w:ascii="宋体" w:hAnsi="宋体" w:eastAsia="宋体" w:cs="宋体"/>
                <w:i w:val="0"/>
                <w:iCs w:val="0"/>
                <w:color w:val="auto"/>
                <w:sz w:val="24"/>
                <w:highlight w:val="none"/>
              </w:rPr>
              <w:t>磋商地点：</w:t>
            </w:r>
            <w:r>
              <w:rPr>
                <w:rFonts w:hint="eastAsia" w:ascii="Times New Roman" w:hAnsi="Times New Roman" w:eastAsia="宋体" w:cs="Times New Roman"/>
                <w:b/>
                <w:bCs/>
                <w:i w:val="0"/>
                <w:iCs w:val="0"/>
                <w:color w:val="auto"/>
                <w:sz w:val="24"/>
                <w:szCs w:val="24"/>
                <w:lang w:val="en-US" w:eastAsia="zh-CN"/>
              </w:rPr>
              <w:t>政府采购云平台（政采云网上不见面开评标系统）</w:t>
            </w:r>
          </w:p>
          <w:p>
            <w:pPr>
              <w:rPr>
                <w:rFonts w:hint="eastAsia" w:ascii="宋体" w:hAnsi="宋体" w:eastAsia="宋体" w:cs="宋体"/>
                <w:i w:val="0"/>
                <w:iCs w:val="0"/>
                <w:color w:val="auto"/>
                <w:sz w:val="24"/>
                <w:highlight w:val="none"/>
              </w:rPr>
            </w:pPr>
            <w:r>
              <w:rPr>
                <w:rFonts w:hint="eastAsia" w:ascii="Times New Roman" w:hAnsi="Times New Roman" w:eastAsia="宋体" w:cs="Times New Roman"/>
                <w:i w:val="0"/>
                <w:iCs w:val="0"/>
                <w:color w:val="auto"/>
                <w:sz w:val="24"/>
                <w:szCs w:val="24"/>
                <w:lang w:val="en-US" w:eastAsia="zh-CN"/>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1、政府采购强制采购：（1）标记*符号的节能产品；（2）其他采购《节能产品政府采购清单》内的产品。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2、政府采购优先采购：(1)非标记*符号的节能产品；(2)环境标志产品；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3、采购产品为《节能产品政府采购清单》内非标记*符号的节能产品及《环境标志产品政府采购清单》内的产品：</w:t>
            </w:r>
          </w:p>
          <w:p>
            <w:pPr>
              <w:ind w:firstLine="240"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Merge w:val="restart"/>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26</w:t>
            </w:r>
          </w:p>
        </w:tc>
        <w:tc>
          <w:tcPr>
            <w:tcW w:w="2082" w:type="dxa"/>
            <w:vMerge w:val="restart"/>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（一）中小企业（含中型、小型、微型企业）应当同时符合以下条件：</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①符合中小企业划分标准（按《关于印发中小企业划型标准规定的通知》（工信部联企业〔2011〕300号）执行）；</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②提供本企业制造的货物、承担的项目或者服务，或者提供其他中小企业制造的货物。本项所称货物不包括使用大型企业注册商标的货物；</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③小型、微型企业提供中型企业制造的货物的，视同为中型企业。</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（三）小型和微型企业适用价格扣除办法时应提供的相关资料：《中小企业声明函》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vMerge w:val="continue"/>
            <w:noWrap w:val="0"/>
            <w:vAlign w:val="center"/>
          </w:tcPr>
          <w:p>
            <w:pPr>
              <w:jc w:val="center"/>
              <w:rPr>
                <w:rFonts w:hint="eastAsia" w:ascii="宋体" w:hAnsi="宋体" w:eastAsia="宋体" w:cs="宋体"/>
                <w:i w:val="0"/>
                <w:iCs w:val="0"/>
                <w:color w:val="auto"/>
                <w:sz w:val="24"/>
                <w:highlight w:val="none"/>
                <w:lang w:val="en-US" w:eastAsia="zh-CN"/>
              </w:rPr>
            </w:pPr>
          </w:p>
        </w:tc>
        <w:tc>
          <w:tcPr>
            <w:tcW w:w="2082" w:type="dxa"/>
            <w:vMerge w:val="continue"/>
            <w:noWrap w:val="0"/>
            <w:vAlign w:val="center"/>
          </w:tcPr>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政府采购支持中小企业融资：有融资需求的，可查询相关业务。</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政府采购信用担保：有担保需求的，可查询相关业务。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27</w:t>
            </w:r>
          </w:p>
        </w:tc>
        <w:tc>
          <w:tcPr>
            <w:tcW w:w="2082"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特别提示</w:t>
            </w:r>
          </w:p>
        </w:tc>
        <w:tc>
          <w:tcPr>
            <w:tcW w:w="7124" w:type="dxa"/>
            <w:noWrap w:val="0"/>
            <w:vAlign w:val="center"/>
          </w:tcPr>
          <w:p>
            <w:pPr>
              <w:rPr>
                <w:rFonts w:hint="eastAsia"/>
                <w:lang w:val="en-US" w:eastAsia="zh-CN"/>
              </w:rPr>
            </w:pPr>
            <w:r>
              <w:rPr>
                <w:rFonts w:hint="eastAsia"/>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lang w:val="en-US" w:eastAsia="zh-CN"/>
              </w:rPr>
            </w:pPr>
            <w:r>
              <w:rPr>
                <w:rFonts w:hint="eastAsia"/>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hint="eastAsia"/>
                <w:lang w:val="en-US" w:eastAsia="zh-CN"/>
              </w:rPr>
            </w:pPr>
            <w:r>
              <w:rPr>
                <w:rFonts w:hint="eastAsia"/>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numPr>
                <w:ilvl w:val="0"/>
                <w:numId w:val="0"/>
              </w:numPr>
              <w:adjustRightInd w:val="0"/>
              <w:snapToGrid w:val="0"/>
              <w:spacing w:line="360" w:lineRule="auto"/>
              <w:rPr>
                <w:rFonts w:hint="eastAsia"/>
                <w:color w:val="auto"/>
                <w:lang w:val="en-US" w:eastAsia="zh-CN"/>
              </w:rPr>
            </w:pPr>
            <w:r>
              <w:rPr>
                <w:rFonts w:hint="eastAsia"/>
                <w:b/>
                <w:bCs/>
                <w:color w:val="auto"/>
                <w:lang w:val="en-US" w:eastAsia="zh-CN"/>
              </w:rPr>
              <w:t>本项目对小微企业产品的价格给予10%的扣除，用扣除后的价格参加评审</w:t>
            </w:r>
            <w:r>
              <w:rPr>
                <w:rFonts w:hint="eastAsia"/>
                <w:color w:val="auto"/>
                <w:lang w:val="en-US" w:eastAsia="zh-CN"/>
              </w:rPr>
              <w:t xml:space="preserve">。 </w:t>
            </w:r>
          </w:p>
          <w:p>
            <w:pPr>
              <w:pStyle w:val="8"/>
              <w:rPr>
                <w:rFonts w:hint="eastAsia"/>
                <w:lang w:val="en-US" w:eastAsia="zh-CN"/>
              </w:rPr>
            </w:pPr>
            <w:r>
              <w:rPr>
                <w:rFonts w:hint="eastAsia"/>
                <w:b/>
                <w:bCs/>
                <w:lang w:val="en-US" w:eastAsia="zh-CN"/>
              </w:rPr>
              <w:t>小微企业适用价格扣除办法时应提供的相关资料：《中小企业声明函》。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28</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pPr>
              <w:jc w:val="cente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29</w:t>
            </w:r>
          </w:p>
        </w:tc>
        <w:tc>
          <w:tcPr>
            <w:tcW w:w="2082" w:type="dxa"/>
            <w:noWrap w:val="0"/>
            <w:vAlign w:val="center"/>
          </w:tcPr>
          <w:p>
            <w:pPr>
              <w:spacing w:line="360" w:lineRule="auto"/>
              <w:rPr>
                <w:rFonts w:hint="eastAsia" w:ascii="宋体" w:hAnsi="宋体" w:cs="宋体"/>
                <w:i w:val="0"/>
                <w:iCs w:val="0"/>
                <w:color w:val="auto"/>
                <w:sz w:val="24"/>
                <w:u w:val="none"/>
              </w:rPr>
            </w:pPr>
            <w:r>
              <w:rPr>
                <w:rFonts w:hint="eastAsia" w:ascii="宋体" w:hAnsi="宋体" w:cs="宋体"/>
                <w:i w:val="0"/>
                <w:iCs w:val="0"/>
                <w:color w:val="auto"/>
                <w:sz w:val="24"/>
                <w:u w:val="none"/>
              </w:rPr>
              <w:t>低于成本价不正当竞争预防措施</w:t>
            </w:r>
          </w:p>
          <w:p>
            <w:pPr>
              <w:rPr>
                <w:rFonts w:hint="eastAsia" w:ascii="宋体" w:hAnsi="宋体" w:eastAsia="宋体" w:cs="宋体"/>
                <w:i w:val="0"/>
                <w:iCs w:val="0"/>
                <w:color w:val="auto"/>
                <w:sz w:val="24"/>
                <w:highlight w:val="none"/>
              </w:rPr>
            </w:pPr>
          </w:p>
        </w:tc>
        <w:tc>
          <w:tcPr>
            <w:tcW w:w="7124" w:type="dxa"/>
            <w:noWrap w:val="0"/>
            <w:vAlign w:val="center"/>
          </w:tcPr>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30</w:t>
            </w:r>
          </w:p>
        </w:tc>
        <w:tc>
          <w:tcPr>
            <w:tcW w:w="2082"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2、对竞争性磋商文件的澄清和质疑</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w:t>
            </w:r>
            <w:r>
              <w:rPr>
                <w:rFonts w:hint="eastAsia" w:ascii="宋体" w:hAnsi="宋体" w:cs="宋体"/>
                <w:i w:val="0"/>
                <w:iCs w:val="0"/>
                <w:color w:val="auto"/>
                <w:sz w:val="24"/>
                <w:highlight w:val="none"/>
                <w:lang w:val="en-US" w:eastAsia="zh-CN"/>
              </w:rPr>
              <w:t>新疆阿克苏地区阿克苏市多浪片区管委会巴格莞社区江南商贸城B区22栋201号</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w:t>
            </w:r>
            <w:r>
              <w:rPr>
                <w:rFonts w:hint="eastAsia" w:ascii="宋体" w:hAnsi="宋体" w:cs="宋体"/>
                <w:i w:val="0"/>
                <w:iCs w:val="0"/>
                <w:color w:val="auto"/>
                <w:sz w:val="24"/>
                <w:highlight w:val="none"/>
                <w:lang w:val="en-US" w:eastAsia="zh-CN"/>
              </w:rPr>
              <w:t>13239031323</w:t>
            </w:r>
          </w:p>
        </w:tc>
      </w:tr>
    </w:tbl>
    <w:p>
      <w:pPr>
        <w:pStyle w:val="5"/>
        <w:keepNext w:val="0"/>
        <w:keepLines w:val="0"/>
        <w:adjustRightInd w:val="0"/>
        <w:snapToGrid w:val="0"/>
        <w:spacing w:before="120" w:after="120" w:line="360" w:lineRule="auto"/>
        <w:jc w:val="center"/>
        <w:outlineLvl w:val="1"/>
        <w:rPr>
          <w:rFonts w:hint="eastAsia" w:ascii="宋体" w:hAnsi="宋体" w:eastAsia="宋体" w:cs="宋体"/>
          <w:bCs w:val="0"/>
          <w:i w:val="0"/>
          <w:iCs/>
          <w:color w:val="auto"/>
          <w:sz w:val="28"/>
          <w:szCs w:val="28"/>
          <w:highlight w:val="none"/>
        </w:rPr>
      </w:pPr>
      <w:r>
        <w:rPr>
          <w:rFonts w:hint="eastAsia" w:ascii="宋体" w:hAnsi="宋体" w:eastAsia="宋体" w:cs="宋体"/>
          <w:bCs w:val="0"/>
          <w:color w:val="auto"/>
          <w:sz w:val="28"/>
          <w:szCs w:val="28"/>
          <w:highlight w:val="none"/>
        </w:rPr>
        <w:br w:type="page"/>
      </w:r>
      <w:r>
        <w:rPr>
          <w:rFonts w:hint="eastAsia" w:ascii="宋体" w:hAnsi="宋体" w:eastAsia="宋体" w:cs="宋体"/>
          <w:bCs w:val="0"/>
          <w:i w:val="0"/>
          <w:iCs/>
          <w:color w:val="auto"/>
          <w:sz w:val="28"/>
          <w:szCs w:val="28"/>
          <w:highlight w:val="none"/>
        </w:rPr>
        <w:t>投标人须知正文部分</w:t>
      </w:r>
      <w:bookmarkEnd w:id="16"/>
      <w:bookmarkEnd w:id="17"/>
      <w:bookmarkEnd w:id="18"/>
    </w:p>
    <w:bookmarkEnd w:id="19"/>
    <w:bookmarkEnd w:id="20"/>
    <w:bookmarkEnd w:id="21"/>
    <w:bookmarkEnd w:id="22"/>
    <w:p>
      <w:pPr>
        <w:pStyle w:val="18"/>
        <w:numPr>
          <w:ilvl w:val="2"/>
          <w:numId w:val="0"/>
        </w:numPr>
        <w:ind w:leftChars="0"/>
        <w:jc w:val="both"/>
        <w:rPr>
          <w:rFonts w:hint="eastAsia"/>
          <w:b/>
          <w:bCs/>
          <w:color w:val="auto"/>
          <w:highlight w:val="none"/>
          <w:lang w:eastAsia="zh-CN"/>
        </w:rPr>
      </w:pPr>
      <w:r>
        <w:rPr>
          <w:rFonts w:hint="eastAsia"/>
          <w:b/>
          <w:bCs/>
          <w:color w:val="auto"/>
          <w:highlight w:val="none"/>
          <w:lang w:eastAsia="zh-CN"/>
        </w:rPr>
        <w:t>一、总则</w:t>
      </w:r>
    </w:p>
    <w:p>
      <w:pPr>
        <w:pStyle w:val="19"/>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 合格的投标人</w:t>
      </w:r>
    </w:p>
    <w:p>
      <w:pPr>
        <w:pStyle w:val="19"/>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19"/>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1.2 有效的营业执照；</w:t>
      </w:r>
    </w:p>
    <w:p>
      <w:pPr>
        <w:pStyle w:val="19"/>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19"/>
        <w:spacing w:line="360" w:lineRule="auto"/>
        <w:ind w:firstLine="567"/>
        <w:jc w:val="both"/>
        <w:rPr>
          <w:rFonts w:hint="eastAsia" w:ascii="宋体" w:hAnsi="宋体" w:cs="宋体"/>
          <w:bCs/>
          <w:color w:val="auto"/>
          <w:szCs w:val="24"/>
          <w:highlight w:val="none"/>
        </w:rPr>
      </w:pPr>
      <w:r>
        <w:rPr>
          <w:rFonts w:hint="eastAsia" w:ascii="宋体" w:hAnsi="宋体" w:cs="宋体"/>
          <w:bCs/>
          <w:color w:val="auto"/>
          <w:szCs w:val="24"/>
          <w:highlight w:val="none"/>
        </w:rPr>
        <w:t>1.4  投标人参加政府采购活动近三年内无违法违规记录和法律诉讼纠纷，需提供书面声明。</w:t>
      </w:r>
    </w:p>
    <w:p>
      <w:pPr>
        <w:pStyle w:val="19"/>
        <w:keepLines w:val="0"/>
        <w:kinsoku/>
        <w:wordWrap/>
        <w:overflowPunct/>
        <w:bidi w:val="0"/>
        <w:spacing w:line="360" w:lineRule="auto"/>
        <w:ind w:firstLine="567"/>
        <w:jc w:val="both"/>
        <w:textAlignment w:val="auto"/>
        <w:rPr>
          <w:rFonts w:hint="eastAsia" w:ascii="宋体" w:hAnsi="宋体" w:cs="宋体"/>
          <w:bCs/>
          <w:color w:val="auto"/>
          <w:szCs w:val="24"/>
          <w:highlight w:val="none"/>
        </w:rPr>
      </w:pPr>
      <w:r>
        <w:rPr>
          <w:rFonts w:hint="eastAsia" w:ascii="宋体" w:hAnsi="宋体" w:cs="宋体"/>
          <w:bCs/>
          <w:color w:val="auto"/>
          <w:szCs w:val="24"/>
          <w:highlight w:val="none"/>
        </w:rPr>
        <w:t>1.5  为保证政府采购活动公平、公正、诚实信用，投标人提供的材料及技术参数应真实有效，</w:t>
      </w:r>
      <w:r>
        <w:rPr>
          <w:rFonts w:hint="eastAsia" w:ascii="宋体" w:hAnsi="宋体" w:cs="宋体"/>
          <w:bCs/>
          <w:color w:val="auto"/>
          <w:szCs w:val="24"/>
          <w:highlight w:val="none"/>
          <w:lang w:eastAsia="zh-CN"/>
        </w:rPr>
        <w:t>响应文件</w:t>
      </w:r>
      <w:r>
        <w:rPr>
          <w:rFonts w:hint="eastAsia" w:ascii="宋体" w:hAnsi="宋体" w:cs="宋体"/>
          <w:bCs/>
          <w:color w:val="auto"/>
          <w:szCs w:val="24"/>
          <w:highlight w:val="none"/>
        </w:rPr>
        <w:t>内提供书面诚信投标承诺书。</w:t>
      </w:r>
    </w:p>
    <w:p>
      <w:pPr>
        <w:pStyle w:val="19"/>
        <w:keepLines w:val="0"/>
        <w:kinsoku/>
        <w:wordWrap/>
        <w:overflowPunct/>
        <w:bidi w:val="0"/>
        <w:spacing w:line="360" w:lineRule="auto"/>
        <w:ind w:firstLine="567"/>
        <w:jc w:val="both"/>
        <w:textAlignment w:val="auto"/>
        <w:rPr>
          <w:rFonts w:hint="eastAsia" w:ascii="宋体" w:hAnsi="宋体" w:cs="宋体"/>
          <w:bCs/>
          <w:color w:val="auto"/>
          <w:szCs w:val="24"/>
          <w:highlight w:val="none"/>
        </w:rPr>
      </w:pPr>
      <w:r>
        <w:rPr>
          <w:rFonts w:hint="eastAsia" w:ascii="宋体" w:hAnsi="宋体" w:eastAsia="宋体" w:cs="宋体"/>
          <w:b w:val="0"/>
          <w:bCs/>
          <w:color w:val="auto"/>
          <w:sz w:val="24"/>
          <w:szCs w:val="24"/>
          <w:highlight w:val="none"/>
          <w:lang w:val="en-US" w:eastAsia="zh-CN"/>
        </w:rPr>
        <w:t>1.6  未保证本次招标活动公平竞争，杜绝任何形式的商业贿赂行为，响应文件内必须提供反商业贿赂承诺书</w:t>
      </w:r>
    </w:p>
    <w:p>
      <w:pPr>
        <w:pStyle w:val="19"/>
        <w:spacing w:line="360" w:lineRule="auto"/>
        <w:ind w:left="561" w:leftChars="267" w:firstLine="2" w:firstLineChars="1"/>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7</w:t>
      </w:r>
      <w:r>
        <w:rPr>
          <w:rFonts w:hint="eastAsia" w:ascii="宋体" w:hAnsi="宋体" w:cs="宋体"/>
          <w:bCs/>
          <w:color w:val="auto"/>
          <w:szCs w:val="24"/>
        </w:rPr>
        <w:t xml:space="preserve">  不符合以上条款规定的投标人，其投标无效。</w:t>
      </w:r>
    </w:p>
    <w:p>
      <w:pPr>
        <w:pStyle w:val="19"/>
        <w:keepLines w:val="0"/>
        <w:kinsoku/>
        <w:wordWrap/>
        <w:overflowPunct/>
        <w:bidi w:val="0"/>
        <w:spacing w:line="360" w:lineRule="auto"/>
        <w:ind w:left="561" w:leftChars="267" w:firstLine="2" w:firstLineChars="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2.1“采购代理机构”系指</w:t>
      </w:r>
      <w:r>
        <w:rPr>
          <w:rFonts w:hint="eastAsia" w:ascii="宋体" w:hAnsi="宋体" w:cs="宋体"/>
          <w:color w:val="auto"/>
          <w:sz w:val="24"/>
          <w:highlight w:val="none"/>
          <w:lang w:eastAsia="zh-CN"/>
        </w:rPr>
        <w:t>新疆峰澜工程项目管理有限公司</w:t>
      </w:r>
      <w:r>
        <w:rPr>
          <w:rFonts w:hint="eastAsia" w:ascii="宋体" w:hAnsi="宋体" w:eastAsia="宋体" w:cs="宋体"/>
          <w:color w:val="auto"/>
          <w:sz w:val="24"/>
          <w:szCs w:val="24"/>
          <w:highlight w:val="none"/>
          <w:lang w:eastAsia="zh-CN"/>
        </w:rPr>
        <w:t>。</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2.2“投标人”系指向采购代理机构提交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的货物</w:t>
      </w:r>
      <w:r>
        <w:rPr>
          <w:rFonts w:hint="eastAsia" w:ascii="宋体" w:hAnsi="宋体" w:eastAsia="宋体" w:cs="宋体"/>
          <w:color w:val="auto"/>
          <w:sz w:val="24"/>
          <w:szCs w:val="24"/>
          <w:highlight w:val="none"/>
          <w:lang w:eastAsia="zh-CN"/>
        </w:rPr>
        <w:t>制造商或代理商</w:t>
      </w:r>
      <w:r>
        <w:rPr>
          <w:rFonts w:hint="eastAsia" w:ascii="宋体" w:hAnsi="宋体" w:eastAsia="宋体" w:cs="宋体"/>
          <w:color w:val="auto"/>
          <w:sz w:val="24"/>
          <w:szCs w:val="24"/>
          <w:highlight w:val="none"/>
        </w:rPr>
        <w:t>。</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2.3“货物”系指卖方按合同要求，须向买方提供的设计文件、货物、机械、材料、备品、手册及其他技术资料和材料。详见《政府采购品目分类目录》(财库[2013]189号)。</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2.4“服务”系指按合同规定卖方须承担的运输、装卸、安装调试、技术协助、培训和交付使用后保修期内应履行的义务及售后服务等其他类似的义务。</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2.5“卖方”系指提供合同货物和服务的经济实体。本次招标指中标人。</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2.6“买方”系指购买货物和服务的单位，即为本次招标的采购人。</w:t>
      </w:r>
    </w:p>
    <w:p>
      <w:pPr>
        <w:pStyle w:val="19"/>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2.7“节能产品”或者“环保产品”是指财政部发布</w:t>
      </w:r>
      <w:r>
        <w:rPr>
          <w:rFonts w:hint="eastAsia" w:ascii="宋体" w:hAnsi="宋体" w:eastAsia="宋体" w:cs="宋体"/>
          <w:color w:val="auto"/>
          <w:sz w:val="24"/>
          <w:szCs w:val="24"/>
          <w:highlight w:val="none"/>
          <w:lang w:eastAsia="zh-CN"/>
        </w:rPr>
        <w:t>最新一期</w:t>
      </w:r>
      <w:r>
        <w:rPr>
          <w:rFonts w:hint="eastAsia" w:ascii="宋体" w:hAnsi="宋体" w:eastAsia="宋体" w:cs="宋体"/>
          <w:color w:val="auto"/>
          <w:sz w:val="24"/>
          <w:szCs w:val="24"/>
          <w:highlight w:val="none"/>
        </w:rPr>
        <w:t>的《节能产品政府采购清单》或者《环境标志产品政府采购清单》的产品</w:t>
      </w:r>
      <w:r>
        <w:rPr>
          <w:rFonts w:hint="eastAsia" w:ascii="宋体" w:hAnsi="宋体" w:eastAsia="宋体" w:cs="宋体"/>
          <w:color w:val="auto"/>
          <w:sz w:val="24"/>
          <w:szCs w:val="24"/>
          <w:highlight w:val="none"/>
          <w:lang w:eastAsia="zh-CN"/>
        </w:rPr>
        <w:t>，可在中国政府采购网(www.ccgp.gov.cn)查询</w:t>
      </w:r>
      <w:r>
        <w:rPr>
          <w:rFonts w:hint="eastAsia" w:ascii="宋体" w:hAnsi="宋体" w:eastAsia="宋体" w:cs="宋体"/>
          <w:color w:val="auto"/>
          <w:sz w:val="24"/>
          <w:szCs w:val="24"/>
          <w:highlight w:val="none"/>
        </w:rPr>
        <w:t>。</w:t>
      </w:r>
    </w:p>
    <w:p>
      <w:pPr>
        <w:pStyle w:val="19"/>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color w:val="auto"/>
          <w:sz w:val="24"/>
          <w:szCs w:val="24"/>
          <w:highlight w:val="none"/>
          <w:lang w:eastAsia="zh-CN"/>
        </w:rPr>
        <w:t>及《关于政府采购进口产品管理有关问题的通知》（财办库（2008）248号）</w:t>
      </w:r>
      <w:r>
        <w:rPr>
          <w:rFonts w:hint="eastAsia" w:ascii="宋体" w:hAnsi="宋体" w:eastAsia="宋体" w:cs="宋体"/>
          <w:color w:val="auto"/>
          <w:sz w:val="24"/>
          <w:szCs w:val="24"/>
          <w:highlight w:val="none"/>
        </w:rPr>
        <w:t>。</w:t>
      </w:r>
    </w:p>
    <w:p>
      <w:pPr>
        <w:pStyle w:val="19"/>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 “</w:t>
      </w:r>
      <w:r>
        <w:rPr>
          <w:rFonts w:hint="eastAsia" w:ascii="宋体" w:hAnsi="宋体" w:eastAsia="宋体" w:cs="宋体"/>
          <w:color w:val="auto"/>
          <w:sz w:val="24"/>
          <w:szCs w:val="24"/>
          <w:highlight w:val="none"/>
        </w:rPr>
        <w:t>语言文字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使用的语言文字为中文。专用术语使用外文的，应附有中文注释。</w:t>
      </w:r>
    </w:p>
    <w:p>
      <w:pPr>
        <w:pStyle w:val="19"/>
        <w:spacing w:line="360" w:lineRule="auto"/>
        <w:ind w:firstLine="567"/>
        <w:rPr>
          <w:rFonts w:hint="eastAsia" w:ascii="宋体" w:hAnsi="宋体" w:cs="宋体"/>
          <w:color w:val="auto"/>
          <w:szCs w:val="24"/>
        </w:rPr>
      </w:pPr>
      <w:r>
        <w:rPr>
          <w:rFonts w:hint="eastAsia" w:ascii="宋体" w:hAnsi="宋体" w:cs="宋体"/>
          <w:color w:val="auto"/>
          <w:szCs w:val="24"/>
        </w:rPr>
        <w:t>2.</w:t>
      </w:r>
      <w:r>
        <w:rPr>
          <w:rFonts w:hint="eastAsia" w:ascii="宋体" w:hAnsi="宋体" w:cs="宋体"/>
          <w:color w:val="auto"/>
          <w:szCs w:val="24"/>
          <w:lang w:val="en-US" w:eastAsia="zh-CN"/>
        </w:rPr>
        <w:t>10</w:t>
      </w:r>
      <w:r>
        <w:rPr>
          <w:rFonts w:hint="eastAsia" w:ascii="宋体" w:hAnsi="宋体" w:cs="宋体"/>
          <w:color w:val="auto"/>
          <w:szCs w:val="24"/>
        </w:rPr>
        <w:t>“计量单位”所有计量均采用中华人民共和国法定计量单位。</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其他要求</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投标费用</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投标人应自行承担所有与本次招标投标有关的费用，而不论投标的结果如何。 </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采购进口产品</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除</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前附表另有规定外，本项目拒绝进口产品参加招标采购活动。</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本章第4.1款规定同意购买进口产品的，本项目采购活动不限制满足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要求的国内产品参与招标。</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政府采购政策支持 </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同一项目中部分产品属于优先采购政策的，评审时只对该部分产品的报价实行价格优惠。</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为推进政府采购诚信体系建设，供应商在签署相关承诺，提供相关信息前，应认真阅读财政部门相关政策规定。</w:t>
      </w:r>
    </w:p>
    <w:p>
      <w:pPr>
        <w:pStyle w:val="18"/>
        <w:numPr>
          <w:ilvl w:val="2"/>
          <w:numId w:val="0"/>
        </w:numPr>
        <w:ind w:leftChars="0"/>
        <w:jc w:val="both"/>
        <w:rPr>
          <w:rFonts w:hint="eastAsia"/>
          <w:b/>
          <w:bCs/>
          <w:color w:val="auto"/>
          <w:highlight w:val="none"/>
          <w:lang w:eastAsia="zh-CN"/>
        </w:rPr>
      </w:pPr>
      <w:r>
        <w:rPr>
          <w:rFonts w:hint="eastAsia"/>
          <w:b/>
          <w:bCs/>
          <w:color w:val="auto"/>
          <w:highlight w:val="none"/>
          <w:lang w:eastAsia="zh-CN"/>
        </w:rPr>
        <w:t>二、竞争性磋商文件</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竞争性磋商文件</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用以阐明所需服务、招标投标程序和合同条款。包括：</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lang w:eastAsia="zh-CN"/>
        </w:rPr>
        <w:t>公告</w:t>
      </w:r>
    </w:p>
    <w:p>
      <w:pPr>
        <w:pStyle w:val="19"/>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4.1.2 </w:t>
      </w:r>
      <w:r>
        <w:rPr>
          <w:rFonts w:hint="eastAsia" w:ascii="宋体" w:hAnsi="宋体" w:eastAsia="宋体" w:cs="宋体"/>
          <w:color w:val="auto"/>
          <w:sz w:val="24"/>
          <w:szCs w:val="24"/>
          <w:highlight w:val="none"/>
          <w:lang w:eastAsia="zh-CN"/>
        </w:rPr>
        <w:t>投标人须知</w:t>
      </w:r>
    </w:p>
    <w:p>
      <w:pPr>
        <w:pStyle w:val="19"/>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eastAsia="zh-CN"/>
        </w:rPr>
        <w:t>条款及格式</w:t>
      </w:r>
    </w:p>
    <w:p>
      <w:pPr>
        <w:pStyle w:val="19"/>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4.1.4 </w:t>
      </w:r>
      <w:r>
        <w:rPr>
          <w:rFonts w:hint="eastAsia" w:ascii="宋体" w:hAnsi="宋体" w:eastAsia="宋体" w:cs="宋体"/>
          <w:b w:val="0"/>
          <w:bCs w:val="0"/>
          <w:color w:val="auto"/>
          <w:sz w:val="24"/>
          <w:szCs w:val="24"/>
          <w:highlight w:val="none"/>
          <w:lang w:eastAsia="zh-CN"/>
        </w:rPr>
        <w:t>采购需求</w:t>
      </w:r>
    </w:p>
    <w:p>
      <w:pPr>
        <w:pStyle w:val="19"/>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4.1.5 响应文件格式</w:t>
      </w:r>
    </w:p>
    <w:p>
      <w:pPr>
        <w:pStyle w:val="19"/>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4.1.6 其他资料</w:t>
      </w:r>
    </w:p>
    <w:p>
      <w:pPr>
        <w:pStyle w:val="19"/>
        <w:keepLines w:val="0"/>
        <w:numPr>
          <w:ilvl w:val="0"/>
          <w:numId w:val="0"/>
        </w:numPr>
        <w:kinsoku/>
        <w:wordWrap/>
        <w:overflowPunct/>
        <w:bidi w:val="0"/>
        <w:spacing w:line="360" w:lineRule="auto"/>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 投标人应认真阅读</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中所有的事项、格式、条款和规范等要求。如果没有按照</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要求提交全部资料或者</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没有对</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做出实质性响应，其投标将被拒绝。</w:t>
      </w:r>
    </w:p>
    <w:p>
      <w:pPr>
        <w:pStyle w:val="19"/>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5. </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的澄清和修改</w:t>
      </w:r>
    </w:p>
    <w:p>
      <w:pPr>
        <w:pStyle w:val="19"/>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 招标人如需对已发出的</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进行必要澄清或者修改的，招标代理机构将在</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要求提交</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截止时间</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日前，以书面形式通知所有</w:t>
      </w:r>
      <w:r>
        <w:rPr>
          <w:rFonts w:hint="eastAsia" w:ascii="宋体" w:hAnsi="宋体" w:eastAsia="宋体" w:cs="宋体"/>
          <w:b w:val="0"/>
          <w:bCs w:val="0"/>
          <w:color w:val="auto"/>
          <w:sz w:val="24"/>
          <w:szCs w:val="24"/>
          <w:highlight w:val="none"/>
          <w:lang w:eastAsia="zh-CN"/>
        </w:rPr>
        <w:t>获取竞争性磋商文件的投标人</w:t>
      </w:r>
      <w:r>
        <w:rPr>
          <w:rFonts w:hint="eastAsia" w:ascii="宋体" w:hAnsi="宋体" w:eastAsia="宋体" w:cs="宋体"/>
          <w:b w:val="0"/>
          <w:bCs w:val="0"/>
          <w:color w:val="auto"/>
          <w:sz w:val="24"/>
          <w:szCs w:val="24"/>
          <w:highlight w:val="none"/>
        </w:rPr>
        <w:t>。该澄清或者修改的内容为</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的组成部分。</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延长开标时间</w:t>
      </w:r>
    </w:p>
    <w:p>
      <w:pPr>
        <w:pStyle w:val="19"/>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招标人视采购具体情况如需延长投标截止时间和开标时间，招标代理机构将在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w:t>
      </w:r>
      <w:r>
        <w:rPr>
          <w:rFonts w:hint="eastAsia" w:ascii="宋体" w:hAnsi="宋体" w:eastAsia="宋体" w:cs="宋体"/>
          <w:color w:val="auto"/>
          <w:sz w:val="24"/>
          <w:szCs w:val="24"/>
          <w:highlight w:val="none"/>
          <w:lang w:eastAsia="zh-CN"/>
        </w:rPr>
        <w:t>获取竞争性磋商文件的投标人</w:t>
      </w:r>
      <w:r>
        <w:rPr>
          <w:rFonts w:hint="eastAsia" w:ascii="宋体" w:hAnsi="宋体" w:eastAsia="宋体" w:cs="宋体"/>
          <w:color w:val="auto"/>
          <w:sz w:val="24"/>
          <w:szCs w:val="24"/>
          <w:highlight w:val="none"/>
        </w:rPr>
        <w:t>。</w:t>
      </w:r>
    </w:p>
    <w:p>
      <w:pPr>
        <w:pStyle w:val="18"/>
        <w:numPr>
          <w:ilvl w:val="2"/>
          <w:numId w:val="0"/>
        </w:numPr>
        <w:ind w:leftChars="0"/>
        <w:jc w:val="both"/>
        <w:rPr>
          <w:rFonts w:hint="eastAsia"/>
          <w:b/>
          <w:bCs/>
          <w:color w:val="auto"/>
          <w:highlight w:val="none"/>
          <w:lang w:eastAsia="zh-CN"/>
        </w:rPr>
      </w:pPr>
      <w:r>
        <w:rPr>
          <w:rFonts w:hint="eastAsia"/>
          <w:b/>
          <w:bCs/>
          <w:color w:val="auto"/>
          <w:highlight w:val="none"/>
          <w:lang w:eastAsia="zh-CN"/>
        </w:rPr>
        <w:t>三、响应文件的编制</w:t>
      </w:r>
    </w:p>
    <w:p>
      <w:pPr>
        <w:pStyle w:val="19"/>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7. </w:t>
      </w:r>
      <w:r>
        <w:rPr>
          <w:rFonts w:hint="eastAsia" w:ascii="宋体" w:hAnsi="宋体" w:cs="宋体"/>
          <w:color w:val="auto"/>
          <w:szCs w:val="24"/>
          <w:lang w:eastAsia="zh-CN"/>
        </w:rPr>
        <w:t>响应文件</w:t>
      </w:r>
      <w:r>
        <w:rPr>
          <w:rFonts w:hint="eastAsia" w:ascii="宋体" w:hAnsi="宋体" w:cs="宋体"/>
          <w:color w:val="auto"/>
          <w:szCs w:val="24"/>
        </w:rPr>
        <w:t>的编写</w:t>
      </w:r>
    </w:p>
    <w:p>
      <w:pPr>
        <w:pStyle w:val="19"/>
        <w:spacing w:line="360" w:lineRule="auto"/>
        <w:ind w:firstLine="567"/>
        <w:jc w:val="both"/>
        <w:rPr>
          <w:rFonts w:hint="eastAsia" w:ascii="宋体" w:hAnsi="宋体" w:cs="宋体"/>
          <w:color w:val="auto"/>
          <w:szCs w:val="24"/>
        </w:rPr>
      </w:pPr>
      <w:r>
        <w:rPr>
          <w:rFonts w:hint="eastAsia" w:ascii="宋体" w:hAnsi="宋体" w:cs="宋体"/>
          <w:color w:val="auto"/>
          <w:szCs w:val="24"/>
        </w:rPr>
        <w:t>7.1 投标人应仔细阅读</w:t>
      </w:r>
      <w:r>
        <w:rPr>
          <w:rFonts w:hint="eastAsia" w:ascii="宋体" w:hAnsi="宋体" w:cs="宋体"/>
          <w:color w:val="auto"/>
          <w:szCs w:val="24"/>
          <w:lang w:eastAsia="zh-CN"/>
        </w:rPr>
        <w:t>竞争性磋商文件</w:t>
      </w:r>
      <w:r>
        <w:rPr>
          <w:rFonts w:hint="eastAsia" w:ascii="宋体" w:hAnsi="宋体" w:cs="宋体"/>
          <w:color w:val="auto"/>
          <w:szCs w:val="24"/>
        </w:rPr>
        <w:t>,了解</w:t>
      </w:r>
      <w:r>
        <w:rPr>
          <w:rFonts w:hint="eastAsia" w:ascii="宋体" w:hAnsi="宋体" w:cs="宋体"/>
          <w:color w:val="auto"/>
          <w:szCs w:val="24"/>
          <w:lang w:eastAsia="zh-CN"/>
        </w:rPr>
        <w:t>竞争性磋商文件</w:t>
      </w:r>
      <w:r>
        <w:rPr>
          <w:rFonts w:hint="eastAsia" w:ascii="宋体" w:hAnsi="宋体" w:cs="宋体"/>
          <w:color w:val="auto"/>
          <w:szCs w:val="24"/>
        </w:rPr>
        <w:t>的要求，并在充分理解</w:t>
      </w:r>
      <w:r>
        <w:rPr>
          <w:rFonts w:hint="eastAsia" w:ascii="宋体" w:hAnsi="宋体" w:cs="宋体"/>
          <w:color w:val="auto"/>
          <w:szCs w:val="24"/>
          <w:lang w:eastAsia="zh-CN"/>
        </w:rPr>
        <w:t>竞争性磋商文件</w:t>
      </w:r>
      <w:r>
        <w:rPr>
          <w:rFonts w:hint="eastAsia" w:ascii="宋体" w:hAnsi="宋体" w:cs="宋体"/>
          <w:color w:val="auto"/>
          <w:szCs w:val="24"/>
        </w:rPr>
        <w:t>提出的货物技术规范、服务和商务条款后的基础上制作</w:t>
      </w:r>
      <w:r>
        <w:rPr>
          <w:rFonts w:hint="eastAsia" w:ascii="宋体" w:hAnsi="宋体" w:cs="宋体"/>
          <w:color w:val="auto"/>
          <w:szCs w:val="24"/>
          <w:lang w:eastAsia="zh-CN"/>
        </w:rPr>
        <w:t>响应文件</w:t>
      </w:r>
      <w:r>
        <w:rPr>
          <w:rFonts w:hint="eastAsia" w:ascii="宋体" w:hAnsi="宋体" w:cs="宋体"/>
          <w:color w:val="auto"/>
          <w:szCs w:val="24"/>
        </w:rPr>
        <w:t>。</w:t>
      </w:r>
    </w:p>
    <w:p>
      <w:pPr>
        <w:pStyle w:val="19"/>
        <w:spacing w:line="360" w:lineRule="auto"/>
        <w:ind w:firstLine="567"/>
        <w:jc w:val="both"/>
        <w:rPr>
          <w:rFonts w:hint="eastAsia" w:ascii="宋体" w:hAnsi="宋体" w:cs="宋体"/>
          <w:color w:val="auto"/>
          <w:szCs w:val="24"/>
        </w:rPr>
      </w:pPr>
      <w:r>
        <w:rPr>
          <w:rFonts w:hint="eastAsia" w:ascii="宋体" w:hAnsi="宋体" w:cs="宋体"/>
          <w:color w:val="auto"/>
          <w:szCs w:val="24"/>
        </w:rPr>
        <w:t>8. 投标的语言及计量单位</w:t>
      </w:r>
    </w:p>
    <w:p>
      <w:pPr>
        <w:pStyle w:val="19"/>
        <w:spacing w:line="360" w:lineRule="auto"/>
        <w:ind w:firstLine="567"/>
        <w:jc w:val="both"/>
        <w:rPr>
          <w:rFonts w:hint="eastAsia" w:ascii="宋体" w:hAnsi="宋体" w:cs="宋体"/>
          <w:color w:val="auto"/>
          <w:szCs w:val="24"/>
        </w:rPr>
      </w:pPr>
      <w:r>
        <w:rPr>
          <w:rFonts w:hint="eastAsia" w:ascii="宋体" w:hAnsi="宋体" w:cs="宋体"/>
          <w:color w:val="auto"/>
          <w:szCs w:val="24"/>
        </w:rPr>
        <w:t>8.1 投标人的</w:t>
      </w:r>
      <w:r>
        <w:rPr>
          <w:rFonts w:hint="eastAsia" w:ascii="宋体" w:hAnsi="宋体" w:cs="宋体"/>
          <w:color w:val="auto"/>
          <w:szCs w:val="24"/>
          <w:lang w:eastAsia="zh-CN"/>
        </w:rPr>
        <w:t>响应文件</w:t>
      </w:r>
      <w:r>
        <w:rPr>
          <w:rFonts w:hint="eastAsia" w:ascii="宋体" w:hAnsi="宋体" w:cs="宋体"/>
          <w:color w:val="auto"/>
          <w:szCs w:val="24"/>
        </w:rPr>
        <w:t>以及投标人与采购代理机构就有关招标活动的所有来往函电均应使用中文。如果</w:t>
      </w:r>
      <w:r>
        <w:rPr>
          <w:rFonts w:hint="eastAsia" w:ascii="宋体" w:hAnsi="宋体" w:cs="宋体"/>
          <w:color w:val="auto"/>
          <w:szCs w:val="24"/>
          <w:lang w:eastAsia="zh-CN"/>
        </w:rPr>
        <w:t>响应文件</w:t>
      </w:r>
      <w:r>
        <w:rPr>
          <w:rFonts w:hint="eastAsia" w:ascii="宋体" w:hAnsi="宋体" w:cs="宋体"/>
          <w:color w:val="auto"/>
          <w:szCs w:val="24"/>
        </w:rPr>
        <w:t>或与投标有关的其它文件、信件及来往函电以其它语言书写的，投标人应将其译成中文。</w:t>
      </w:r>
    </w:p>
    <w:p>
      <w:pPr>
        <w:pStyle w:val="19"/>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8.2 </w:t>
      </w:r>
      <w:r>
        <w:rPr>
          <w:rFonts w:hint="eastAsia" w:ascii="宋体" w:hAnsi="宋体" w:cs="宋体"/>
          <w:color w:val="auto"/>
          <w:szCs w:val="24"/>
          <w:lang w:eastAsia="zh-CN"/>
        </w:rPr>
        <w:t>响应文件</w:t>
      </w:r>
      <w:r>
        <w:rPr>
          <w:rFonts w:hint="eastAsia" w:ascii="宋体" w:hAnsi="宋体" w:cs="宋体"/>
          <w:color w:val="auto"/>
          <w:szCs w:val="24"/>
        </w:rPr>
        <w:t>中所使用的计量单位除</w:t>
      </w:r>
      <w:r>
        <w:rPr>
          <w:rFonts w:hint="eastAsia" w:ascii="宋体" w:hAnsi="宋体" w:cs="宋体"/>
          <w:color w:val="auto"/>
          <w:szCs w:val="24"/>
          <w:lang w:eastAsia="zh-CN"/>
        </w:rPr>
        <w:t>竞争性磋商文件</w:t>
      </w:r>
      <w:r>
        <w:rPr>
          <w:rFonts w:hint="eastAsia" w:ascii="宋体" w:hAnsi="宋体" w:cs="宋体"/>
          <w:color w:val="auto"/>
          <w:szCs w:val="24"/>
        </w:rPr>
        <w:t>中有特殊规定外，一律使用法定计量单位。</w:t>
      </w:r>
    </w:p>
    <w:p>
      <w:pPr>
        <w:pStyle w:val="19"/>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9. </w:t>
      </w:r>
      <w:r>
        <w:rPr>
          <w:rFonts w:hint="eastAsia" w:ascii="宋体" w:hAnsi="宋体" w:cs="宋体"/>
          <w:color w:val="auto"/>
          <w:szCs w:val="24"/>
          <w:lang w:eastAsia="zh-CN"/>
        </w:rPr>
        <w:t>响应文件</w:t>
      </w:r>
      <w:r>
        <w:rPr>
          <w:rFonts w:hint="eastAsia" w:ascii="宋体" w:hAnsi="宋体" w:cs="宋体"/>
          <w:color w:val="auto"/>
          <w:szCs w:val="24"/>
        </w:rPr>
        <w:t>构成</w:t>
      </w:r>
    </w:p>
    <w:p>
      <w:pPr>
        <w:pStyle w:val="19"/>
        <w:spacing w:line="360" w:lineRule="auto"/>
        <w:ind w:firstLine="567"/>
        <w:jc w:val="both"/>
        <w:rPr>
          <w:rFonts w:hint="eastAsia" w:ascii="宋体" w:hAnsi="宋体" w:cs="宋体"/>
          <w:color w:val="auto"/>
          <w:szCs w:val="24"/>
        </w:rPr>
      </w:pPr>
      <w:r>
        <w:rPr>
          <w:rFonts w:hint="eastAsia" w:ascii="宋体" w:hAnsi="宋体" w:cs="宋体"/>
          <w:color w:val="auto"/>
          <w:szCs w:val="24"/>
        </w:rPr>
        <w:t>9.1  投标人编写的</w:t>
      </w:r>
      <w:r>
        <w:rPr>
          <w:rFonts w:hint="eastAsia" w:ascii="宋体" w:hAnsi="宋体" w:cs="宋体"/>
          <w:color w:val="auto"/>
          <w:szCs w:val="24"/>
          <w:lang w:eastAsia="zh-CN"/>
        </w:rPr>
        <w:t>响应文件</w:t>
      </w:r>
      <w:r>
        <w:rPr>
          <w:rFonts w:hint="eastAsia" w:ascii="宋体" w:hAnsi="宋体" w:cs="宋体"/>
          <w:color w:val="auto"/>
          <w:szCs w:val="24"/>
        </w:rPr>
        <w:t>应包含以下内容:</w:t>
      </w:r>
    </w:p>
    <w:p>
      <w:pPr>
        <w:pStyle w:val="19"/>
        <w:spacing w:line="360" w:lineRule="auto"/>
        <w:ind w:firstLine="567"/>
        <w:jc w:val="both"/>
        <w:outlineLvl w:val="2"/>
        <w:rPr>
          <w:rFonts w:hint="eastAsia" w:ascii="宋体" w:hAnsi="宋体" w:cs="宋体"/>
          <w:color w:val="auto"/>
          <w:szCs w:val="24"/>
        </w:rPr>
      </w:pPr>
      <w:r>
        <w:rPr>
          <w:rFonts w:hint="eastAsia" w:ascii="宋体" w:hAnsi="宋体" w:cs="宋体"/>
          <w:color w:val="auto"/>
          <w:szCs w:val="24"/>
        </w:rPr>
        <w:t>9.1.1 资格、资信证明文件(以下文件必须在有效期内)</w:t>
      </w:r>
    </w:p>
    <w:p>
      <w:pPr>
        <w:pStyle w:val="19"/>
        <w:spacing w:line="360" w:lineRule="auto"/>
        <w:ind w:firstLine="470" w:firstLineChars="196"/>
        <w:jc w:val="both"/>
        <w:rPr>
          <w:rFonts w:hint="eastAsia" w:ascii="宋体" w:hAnsi="宋体" w:eastAsia="宋体" w:cs="宋体"/>
          <w:color w:val="auto"/>
          <w:szCs w:val="24"/>
          <w:lang w:eastAsia="zh-CN"/>
        </w:rPr>
      </w:pPr>
      <w:r>
        <w:rPr>
          <w:rFonts w:hint="eastAsia" w:ascii="宋体" w:hAnsi="宋体" w:cs="宋体"/>
          <w:color w:val="auto"/>
          <w:szCs w:val="24"/>
        </w:rPr>
        <w:t>(1) 企业营业执照</w:t>
      </w:r>
    </w:p>
    <w:p>
      <w:pPr>
        <w:pStyle w:val="19"/>
        <w:spacing w:line="360" w:lineRule="auto"/>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rPr>
        <w:t>(2) 法定代表人身份证明</w:t>
      </w:r>
      <w:r>
        <w:rPr>
          <w:rFonts w:hint="eastAsia" w:ascii="宋体" w:hAnsi="宋体" w:cs="宋体"/>
          <w:color w:val="auto"/>
          <w:szCs w:val="24"/>
          <w:lang w:eastAsia="zh-CN"/>
        </w:rPr>
        <w:t>、</w:t>
      </w:r>
      <w:r>
        <w:rPr>
          <w:rFonts w:hint="eastAsia" w:ascii="宋体" w:hAnsi="宋体" w:cs="宋体"/>
          <w:color w:val="auto"/>
          <w:szCs w:val="24"/>
        </w:rPr>
        <w:t>授权委托人身份证明及授权委托书</w:t>
      </w:r>
      <w:r>
        <w:rPr>
          <w:rFonts w:hint="eastAsia" w:ascii="宋体" w:hAnsi="宋体" w:cs="宋体"/>
          <w:color w:val="auto"/>
          <w:szCs w:val="24"/>
          <w:lang w:eastAsia="zh-CN"/>
        </w:rPr>
        <w:t>；</w:t>
      </w:r>
    </w:p>
    <w:p>
      <w:pPr>
        <w:pStyle w:val="19"/>
        <w:spacing w:line="360" w:lineRule="auto"/>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rPr>
        <w:t>(3) 投标保证金缴纳凭证</w:t>
      </w:r>
      <w:r>
        <w:rPr>
          <w:rFonts w:hint="eastAsia" w:ascii="宋体" w:hAnsi="宋体" w:cs="宋体"/>
          <w:color w:val="auto"/>
          <w:szCs w:val="24"/>
          <w:lang w:eastAsia="zh-CN"/>
        </w:rPr>
        <w:t>（本项目不做要求）；</w:t>
      </w:r>
    </w:p>
    <w:p>
      <w:pPr>
        <w:pStyle w:val="19"/>
        <w:spacing w:line="360" w:lineRule="auto"/>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rPr>
        <w:t xml:space="preserve">(4) </w:t>
      </w:r>
      <w:r>
        <w:rPr>
          <w:rFonts w:hint="eastAsia" w:ascii="宋体" w:hAnsi="宋体" w:cs="宋体"/>
          <w:color w:val="auto"/>
          <w:spacing w:val="-3"/>
          <w:szCs w:val="24"/>
        </w:rPr>
        <w:t>投标人认为有必要提供的声明及文件资料</w:t>
      </w:r>
      <w:r>
        <w:rPr>
          <w:rFonts w:hint="eastAsia" w:ascii="宋体" w:hAnsi="宋体" w:cs="宋体"/>
          <w:b w:val="0"/>
          <w:bCs/>
          <w:color w:val="auto"/>
          <w:spacing w:val="-3"/>
          <w:szCs w:val="24"/>
        </w:rPr>
        <w:t>（</w:t>
      </w:r>
      <w:r>
        <w:rPr>
          <w:rFonts w:hint="eastAsia" w:ascii="宋体" w:hAnsi="宋体" w:cs="宋体"/>
          <w:b w:val="0"/>
          <w:bCs/>
          <w:color w:val="auto"/>
          <w:spacing w:val="-3"/>
          <w:szCs w:val="24"/>
          <w:highlight w:val="none"/>
        </w:rPr>
        <w:t>包括但不限于近六个月</w:t>
      </w:r>
      <w:r>
        <w:rPr>
          <w:rFonts w:hint="eastAsia" w:ascii="宋体" w:hAnsi="宋体" w:cs="宋体"/>
          <w:b w:val="0"/>
          <w:bCs/>
          <w:color w:val="auto"/>
          <w:spacing w:val="-3"/>
          <w:szCs w:val="24"/>
          <w:highlight w:val="none"/>
          <w:lang w:eastAsia="zh-CN"/>
        </w:rPr>
        <w:t>（</w:t>
      </w:r>
      <w:r>
        <w:rPr>
          <w:rFonts w:hint="eastAsia" w:ascii="宋体" w:hAnsi="宋体" w:cs="宋体"/>
          <w:b w:val="0"/>
          <w:bCs/>
          <w:color w:val="auto"/>
          <w:spacing w:val="-3"/>
          <w:szCs w:val="24"/>
          <w:highlight w:val="none"/>
          <w:lang w:val="en-US" w:eastAsia="zh-CN"/>
        </w:rPr>
        <w:t>连续</w:t>
      </w:r>
      <w:r>
        <w:rPr>
          <w:rFonts w:hint="eastAsia" w:ascii="宋体" w:hAnsi="宋体" w:cs="宋体"/>
          <w:b w:val="0"/>
          <w:bCs/>
          <w:color w:val="auto"/>
          <w:spacing w:val="-3"/>
          <w:szCs w:val="24"/>
          <w:highlight w:val="none"/>
          <w:lang w:eastAsia="zh-CN"/>
        </w:rPr>
        <w:t>）</w:t>
      </w:r>
      <w:r>
        <w:rPr>
          <w:rFonts w:hint="eastAsia" w:ascii="宋体" w:hAnsi="宋体" w:cs="宋体"/>
          <w:b w:val="0"/>
          <w:bCs/>
          <w:color w:val="auto"/>
          <w:spacing w:val="-3"/>
          <w:szCs w:val="24"/>
          <w:highlight w:val="none"/>
        </w:rPr>
        <w:t>的社保证明（需有相关人员的社保缴纳明细，退休人员需提供退休证明）和</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w:t>
      </w:r>
      <w:r>
        <w:rPr>
          <w:rFonts w:hint="eastAsia" w:ascii="宋体" w:hAnsi="宋体" w:cs="宋体"/>
          <w:i w:val="0"/>
          <w:iCs w:val="0"/>
          <w:color w:val="auto"/>
          <w:sz w:val="24"/>
          <w:highlight w:val="none"/>
          <w:lang w:val="en-US" w:eastAsia="zh-CN"/>
        </w:rPr>
        <w:t>的</w:t>
      </w:r>
      <w:r>
        <w:rPr>
          <w:rFonts w:hint="eastAsia" w:ascii="宋体" w:hAnsi="宋体" w:cs="宋体"/>
          <w:b w:val="0"/>
          <w:bCs/>
          <w:color w:val="auto"/>
          <w:spacing w:val="-3"/>
          <w:szCs w:val="24"/>
          <w:highlight w:val="none"/>
        </w:rPr>
        <w:t>完税证明、近三年的财务审计报告</w:t>
      </w:r>
      <w:r>
        <w:rPr>
          <w:rFonts w:hint="eastAsia" w:ascii="宋体" w:hAnsi="宋体" w:cs="宋体"/>
          <w:b w:val="0"/>
          <w:bCs/>
          <w:color w:val="auto"/>
          <w:spacing w:val="-3"/>
          <w:szCs w:val="24"/>
          <w:highlight w:val="none"/>
          <w:lang w:eastAsia="zh-CN"/>
        </w:rPr>
        <w:t>或财务报表</w:t>
      </w:r>
      <w:r>
        <w:rPr>
          <w:rFonts w:hint="eastAsia" w:ascii="宋体" w:hAnsi="宋体" w:cs="宋体"/>
          <w:b w:val="0"/>
          <w:bCs/>
          <w:color w:val="auto"/>
          <w:spacing w:val="-3"/>
          <w:szCs w:val="24"/>
          <w:highlight w:val="none"/>
          <w:lang w:val="en-US" w:eastAsia="zh-CN"/>
        </w:rPr>
        <w:t>（企业成立不足三年的提供成立至今的财务审计报告，成立不足一年的提供成立至今的财务报表，包含资产负债表、现金流量表、利润表）</w:t>
      </w:r>
      <w:r>
        <w:rPr>
          <w:rFonts w:hint="eastAsia" w:ascii="宋体" w:hAnsi="宋体" w:cs="宋体"/>
          <w:b w:val="0"/>
          <w:bCs/>
          <w:color w:val="auto"/>
          <w:spacing w:val="-3"/>
          <w:szCs w:val="24"/>
          <w:highlight w:val="none"/>
          <w:lang w:eastAsia="zh-CN"/>
        </w:rPr>
        <w:t>等资料</w:t>
      </w:r>
      <w:r>
        <w:rPr>
          <w:rFonts w:hint="eastAsia" w:ascii="宋体" w:hAnsi="宋体" w:cs="宋体"/>
          <w:b w:val="0"/>
          <w:bCs/>
          <w:color w:val="auto"/>
          <w:spacing w:val="-3"/>
          <w:szCs w:val="24"/>
        </w:rPr>
        <w:t>）</w:t>
      </w:r>
      <w:r>
        <w:rPr>
          <w:rFonts w:hint="eastAsia" w:ascii="宋体" w:hAnsi="宋体" w:cs="宋体"/>
          <w:b w:val="0"/>
          <w:bCs/>
          <w:color w:val="auto"/>
          <w:spacing w:val="-3"/>
          <w:szCs w:val="24"/>
          <w:lang w:eastAsia="zh-CN"/>
        </w:rPr>
        <w:t>。</w:t>
      </w:r>
    </w:p>
    <w:p>
      <w:pPr>
        <w:pStyle w:val="19"/>
        <w:spacing w:line="360" w:lineRule="auto"/>
        <w:ind w:firstLine="567"/>
        <w:jc w:val="both"/>
        <w:outlineLvl w:val="2"/>
        <w:rPr>
          <w:rFonts w:hint="eastAsia" w:ascii="宋体" w:hAnsi="宋体" w:cs="宋体"/>
          <w:color w:val="auto"/>
          <w:szCs w:val="24"/>
        </w:rPr>
      </w:pPr>
      <w:r>
        <w:rPr>
          <w:rFonts w:hint="eastAsia" w:ascii="宋体" w:hAnsi="宋体" w:cs="宋体"/>
          <w:color w:val="auto"/>
          <w:szCs w:val="24"/>
        </w:rPr>
        <w:t>9.1.2 商务文件</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（1）投 标 函</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（2）法定代表人身份证明；</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（3）法定代表人授权委托书；</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（4）投标保证金（本项目不做要求）；</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（5）反商业贿赂承诺书；</w:t>
      </w:r>
    </w:p>
    <w:p>
      <w:pPr>
        <w:keepLines w:val="0"/>
        <w:pageBreakBefore w:val="0"/>
        <w:tabs>
          <w:tab w:val="left" w:pos="939"/>
        </w:tabs>
        <w:kinsoku/>
        <w:wordWrap/>
        <w:overflowPunct/>
        <w:topLinePunct w:val="0"/>
        <w:bidi w:val="0"/>
        <w:spacing w:line="500" w:lineRule="exact"/>
        <w:ind w:firstLine="468"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（6）投标人概况；</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（7）项目管理机构组成表；</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（8）拟项目负责人及主要人员简历表</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（9）近三年公司承接的类似项目一览表</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（10）正在进行的项目一览表。</w:t>
      </w:r>
    </w:p>
    <w:p>
      <w:pPr>
        <w:pStyle w:val="19"/>
        <w:spacing w:line="360" w:lineRule="auto"/>
        <w:ind w:firstLine="567"/>
        <w:jc w:val="both"/>
        <w:outlineLvl w:val="2"/>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（11）企业信誉良好，无违法违规不良记录。</w:t>
      </w:r>
    </w:p>
    <w:p>
      <w:pPr>
        <w:pStyle w:val="19"/>
        <w:spacing w:line="360" w:lineRule="auto"/>
        <w:ind w:firstLine="567"/>
        <w:jc w:val="both"/>
        <w:outlineLvl w:val="2"/>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（12）</w:t>
      </w:r>
      <w:r>
        <w:rPr>
          <w:rFonts w:hint="eastAsia" w:ascii="宋体" w:hAnsi="宋体" w:cs="宋体"/>
          <w:color w:val="auto"/>
          <w:spacing w:val="-3"/>
          <w:kern w:val="0"/>
          <w:sz w:val="24"/>
          <w:szCs w:val="24"/>
          <w:lang w:val="en-US" w:eastAsia="zh-CN" w:bidi="ar-SA"/>
        </w:rPr>
        <w:t>规划</w:t>
      </w:r>
      <w:r>
        <w:rPr>
          <w:rFonts w:hint="eastAsia" w:ascii="宋体" w:hAnsi="宋体" w:eastAsia="宋体" w:cs="宋体"/>
          <w:color w:val="auto"/>
          <w:spacing w:val="-3"/>
          <w:kern w:val="0"/>
          <w:sz w:val="24"/>
          <w:szCs w:val="24"/>
          <w:lang w:val="en-US" w:eastAsia="zh-CN" w:bidi="ar-SA"/>
        </w:rPr>
        <w:t>实施方案</w:t>
      </w:r>
    </w:p>
    <w:p>
      <w:pPr>
        <w:pStyle w:val="19"/>
        <w:spacing w:line="360" w:lineRule="auto"/>
        <w:ind w:firstLine="567"/>
        <w:jc w:val="both"/>
        <w:outlineLvl w:val="2"/>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（13）服务承诺</w:t>
      </w:r>
    </w:p>
    <w:p>
      <w:pPr>
        <w:pStyle w:val="19"/>
        <w:spacing w:line="360" w:lineRule="auto"/>
        <w:ind w:firstLine="567"/>
        <w:jc w:val="both"/>
        <w:outlineLvl w:val="2"/>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（14）质量管理与保证措施</w:t>
      </w:r>
    </w:p>
    <w:p>
      <w:pPr>
        <w:pStyle w:val="19"/>
        <w:spacing w:line="360" w:lineRule="auto"/>
        <w:ind w:firstLine="567"/>
        <w:jc w:val="both"/>
        <w:outlineLvl w:val="2"/>
        <w:rPr>
          <w:rFonts w:hint="default"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（15）技术服务</w:t>
      </w:r>
    </w:p>
    <w:p>
      <w:pPr>
        <w:pStyle w:val="19"/>
        <w:spacing w:line="360" w:lineRule="auto"/>
        <w:ind w:firstLine="567"/>
        <w:jc w:val="both"/>
        <w:outlineLvl w:val="2"/>
        <w:rPr>
          <w:rFonts w:hint="eastAsia" w:ascii="宋体" w:hAnsi="宋体" w:cs="宋体"/>
          <w:color w:val="auto"/>
          <w:sz w:val="28"/>
          <w:szCs w:val="28"/>
          <w:highlight w:val="none"/>
        </w:rPr>
      </w:pPr>
      <w:r>
        <w:rPr>
          <w:rFonts w:hint="eastAsia" w:ascii="宋体" w:hAnsi="宋体" w:cs="宋体"/>
          <w:color w:val="auto"/>
          <w:szCs w:val="24"/>
        </w:rPr>
        <w:t xml:space="preserve">9.1.3 </w:t>
      </w:r>
      <w:r>
        <w:rPr>
          <w:rFonts w:hint="eastAsia" w:ascii="宋体" w:hAnsi="宋体" w:cs="宋体"/>
          <w:color w:val="auto"/>
          <w:szCs w:val="24"/>
          <w:lang w:val="en-US" w:eastAsia="zh-CN"/>
        </w:rPr>
        <w:t>证明文件</w:t>
      </w:r>
    </w:p>
    <w:p>
      <w:pPr>
        <w:keepLines w:val="0"/>
        <w:pageBreakBefore w:val="0"/>
        <w:kinsoku/>
        <w:wordWrap/>
        <w:overflowPunct/>
        <w:topLinePunct w:val="0"/>
        <w:bidi w:val="0"/>
        <w:spacing w:line="500" w:lineRule="exact"/>
        <w:ind w:firstLine="702" w:firstLineChars="3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1、经会计事务所出具的近三年的财务审计报告</w:t>
      </w:r>
      <w:r>
        <w:rPr>
          <w:rFonts w:hint="eastAsia" w:ascii="宋体" w:hAnsi="宋体" w:cs="宋体"/>
          <w:color w:val="auto"/>
          <w:spacing w:val="-3"/>
          <w:kern w:val="0"/>
          <w:sz w:val="24"/>
          <w:szCs w:val="24"/>
          <w:lang w:val="en-US" w:eastAsia="zh-CN" w:bidi="ar-SA"/>
        </w:rPr>
        <w:t>或财务报表</w:t>
      </w:r>
      <w:r>
        <w:rPr>
          <w:rFonts w:hint="eastAsia" w:ascii="宋体" w:hAnsi="宋体" w:eastAsia="宋体" w:cs="宋体"/>
          <w:color w:val="auto"/>
          <w:spacing w:val="-3"/>
          <w:kern w:val="0"/>
          <w:sz w:val="24"/>
          <w:szCs w:val="24"/>
          <w:lang w:val="en-US" w:eastAsia="zh-CN" w:bidi="ar-SA"/>
        </w:rPr>
        <w:t>（企业成立不足三年的提供成立至今的财务审计报告，成立不足一年的提供成立至今的财务报表，包含资产负债表、现金流量表、利润表）等资料）;</w:t>
      </w:r>
    </w:p>
    <w:p>
      <w:pPr>
        <w:keepLines w:val="0"/>
        <w:pageBreakBefore w:val="0"/>
        <w:kinsoku/>
        <w:wordWrap/>
        <w:overflowPunct/>
        <w:topLinePunct w:val="0"/>
        <w:bidi w:val="0"/>
        <w:spacing w:line="500" w:lineRule="exact"/>
        <w:ind w:firstLine="702" w:firstLineChars="3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2、投标人须提供依法缴纳税收或完税证明。</w:t>
      </w:r>
    </w:p>
    <w:p>
      <w:pPr>
        <w:keepLines w:val="0"/>
        <w:pageBreakBefore w:val="0"/>
        <w:kinsoku/>
        <w:wordWrap/>
        <w:overflowPunct/>
        <w:topLinePunct w:val="0"/>
        <w:bidi w:val="0"/>
        <w:spacing w:line="500" w:lineRule="exact"/>
        <w:ind w:firstLine="702" w:firstLineChars="3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3、投标人须提供参加政府采购活动前3年内在经营活动中没有重大违法记录的书面声明。</w:t>
      </w:r>
    </w:p>
    <w:p>
      <w:pPr>
        <w:keepLines w:val="0"/>
        <w:pageBreakBefore w:val="0"/>
        <w:kinsoku/>
        <w:wordWrap/>
        <w:overflowPunct/>
        <w:topLinePunct w:val="0"/>
        <w:bidi w:val="0"/>
        <w:spacing w:line="500" w:lineRule="exact"/>
        <w:ind w:firstLine="702" w:firstLineChars="3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4.中小企业声明函</w:t>
      </w:r>
    </w:p>
    <w:p>
      <w:pPr>
        <w:keepLines w:val="0"/>
        <w:pageBreakBefore w:val="0"/>
        <w:kinsoku/>
        <w:wordWrap/>
        <w:overflowPunct/>
        <w:topLinePunct w:val="0"/>
        <w:bidi w:val="0"/>
        <w:spacing w:line="500" w:lineRule="exact"/>
        <w:ind w:firstLine="702" w:firstLineChars="300"/>
        <w:textAlignment w:val="auto"/>
        <w:rPr>
          <w:rFonts w:hint="eastAsia" w:ascii="宋体" w:hAnsi="宋体" w:cs="宋体"/>
          <w:color w:val="auto"/>
          <w:sz w:val="28"/>
          <w:szCs w:val="28"/>
          <w:highlight w:val="none"/>
        </w:rPr>
      </w:pPr>
      <w:r>
        <w:rPr>
          <w:rFonts w:hint="eastAsia" w:ascii="宋体" w:hAnsi="宋体" w:eastAsia="宋体" w:cs="宋体"/>
          <w:color w:val="auto"/>
          <w:spacing w:val="-3"/>
          <w:kern w:val="0"/>
          <w:sz w:val="24"/>
          <w:szCs w:val="24"/>
          <w:lang w:val="en-US" w:eastAsia="zh-CN" w:bidi="ar-SA"/>
        </w:rPr>
        <w:t>5.供应商认为需要提供的其他文件和资料。</w:t>
      </w:r>
    </w:p>
    <w:p>
      <w:pPr>
        <w:pStyle w:val="19"/>
        <w:spacing w:line="360" w:lineRule="auto"/>
        <w:ind w:firstLine="480" w:firstLineChars="200"/>
        <w:jc w:val="both"/>
        <w:outlineLvl w:val="2"/>
        <w:rPr>
          <w:rFonts w:hint="eastAsia" w:ascii="宋体" w:hAnsi="宋体" w:cs="宋体"/>
          <w:color w:val="auto"/>
          <w:szCs w:val="24"/>
        </w:rPr>
      </w:pPr>
      <w:r>
        <w:rPr>
          <w:rFonts w:hint="eastAsia" w:ascii="宋体" w:hAnsi="宋体" w:cs="宋体"/>
          <w:color w:val="auto"/>
          <w:szCs w:val="24"/>
        </w:rPr>
        <w:t>9.1.4 电子标书</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本项目实行电子招投标，供应商需要使用CA锁，在新疆政府采购网--下载专区下载--供应商客户端制作响应文件，并生成JMBS格式加密文件，在投标截止前上传至政府采购云平台。</w:t>
      </w:r>
    </w:p>
    <w:p>
      <w:pPr>
        <w:pStyle w:val="19"/>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9.2 第9.1.1条中第(1)(2)(3)(4)项、第9.1.2条中第(1)(2)(3)(4)(5)(6)项、第9.1.3条中第(1)(2)(3)(4)项为必备项，投标人在</w:t>
      </w:r>
      <w:r>
        <w:rPr>
          <w:rFonts w:hint="eastAsia" w:ascii="宋体" w:hAnsi="宋体" w:cs="宋体"/>
          <w:color w:val="auto"/>
          <w:szCs w:val="24"/>
          <w:lang w:eastAsia="zh-CN"/>
        </w:rPr>
        <w:t>响应文件</w:t>
      </w:r>
      <w:r>
        <w:rPr>
          <w:rFonts w:hint="eastAsia" w:ascii="宋体" w:hAnsi="宋体" w:cs="宋体"/>
          <w:color w:val="auto"/>
          <w:szCs w:val="24"/>
        </w:rPr>
        <w:t>中必须提供有关材料，如果缺项，将导致投标失败。</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货物、服务、数量及价格。</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的单价和总价。如单价和总价不符，以单价累计为准。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w:t>
      </w:r>
      <w:r>
        <w:rPr>
          <w:rFonts w:hint="eastAsia" w:ascii="宋体" w:hAnsi="宋体" w:cs="宋体"/>
          <w:i w:val="0"/>
          <w:iCs w:val="0"/>
          <w:color w:val="auto"/>
          <w:kern w:val="2"/>
          <w:sz w:val="24"/>
          <w:szCs w:val="24"/>
          <w:highlight w:val="none"/>
          <w:lang w:val="en-US" w:eastAsia="zh-CN" w:bidi="ar-SA"/>
        </w:rPr>
        <w:t>一项工程量</w:t>
      </w:r>
      <w:r>
        <w:rPr>
          <w:rFonts w:hint="eastAsia" w:ascii="宋体" w:hAnsi="宋体" w:eastAsia="宋体" w:cs="宋体"/>
          <w:i w:val="0"/>
          <w:iCs w:val="0"/>
          <w:color w:val="auto"/>
          <w:kern w:val="2"/>
          <w:sz w:val="24"/>
          <w:szCs w:val="24"/>
          <w:highlight w:val="none"/>
          <w:lang w:val="en-US" w:eastAsia="zh-CN" w:bidi="ar-SA"/>
        </w:rPr>
        <w:t>只接受一个报价，不接受备选方案，但不拒绝优惠声明。</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投标人应按竞争性磋商文件的要求对有关设计文件、服务的全部内容进行报价。</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是否对竞争性磋商文件做出实质性的响应。否则，将视为投标人同意、确认或接受竞争性磋商文件的全部或相应部分的要求。</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  响应文件的有效期</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响应文件从实际开标之日起60天内有效。</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在原投标有效期届满之前，采购代理机构、招标人可与投标单位协商延长响应文件的有效期，并经投标方确认。</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投标保证金（本项目不做要求）</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投标保证金金额：详见投标人须知前附表规定。</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投标保证金用于保护本次招标免受投标人的违规、违约行为而引起的风险。</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18"/>
        <w:numPr>
          <w:ilvl w:val="2"/>
          <w:numId w:val="0"/>
        </w:numPr>
        <w:ind w:leftChars="0"/>
        <w:jc w:val="both"/>
        <w:rPr>
          <w:rFonts w:hint="eastAsia"/>
          <w:b/>
          <w:bCs/>
          <w:color w:val="auto"/>
          <w:highlight w:val="none"/>
          <w:lang w:eastAsia="zh-CN"/>
        </w:rPr>
      </w:pPr>
      <w:r>
        <w:rPr>
          <w:rFonts w:hint="eastAsia"/>
          <w:b/>
          <w:bCs/>
          <w:color w:val="auto"/>
          <w:highlight w:val="none"/>
          <w:lang w:eastAsia="zh-CN"/>
        </w:rPr>
        <w:t>四、响应文件的递交</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投标人必须在《投标人须知前附表》中规定的时间之前将响应文件送达到规定的地点。</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投标人对其响应文件进行的修改或撤销应以书面形式并在竞争性磋商文件规定的投标截止时间前送达招标人、采购代理机构手中。</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pPr>
        <w:pStyle w:val="18"/>
        <w:numPr>
          <w:ilvl w:val="2"/>
          <w:numId w:val="0"/>
        </w:numPr>
        <w:ind w:leftChars="0"/>
        <w:jc w:val="both"/>
        <w:rPr>
          <w:rFonts w:hint="eastAsia"/>
          <w:b/>
          <w:bCs/>
          <w:color w:val="auto"/>
          <w:highlight w:val="none"/>
          <w:lang w:eastAsia="zh-CN"/>
        </w:rPr>
      </w:pPr>
      <w:r>
        <w:rPr>
          <w:rFonts w:hint="eastAsia"/>
          <w:b/>
          <w:bCs/>
          <w:color w:val="auto"/>
          <w:highlight w:val="none"/>
          <w:lang w:eastAsia="zh-CN"/>
        </w:rPr>
        <w:t>五、开标</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开标时，招标人、监督部门、公证部门的工作人员将对开标会议到场监督。</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pPr>
        <w:pStyle w:val="18"/>
        <w:numPr>
          <w:ilvl w:val="2"/>
          <w:numId w:val="0"/>
        </w:numPr>
        <w:ind w:leftChars="0"/>
        <w:jc w:val="both"/>
        <w:rPr>
          <w:rFonts w:hint="eastAsia"/>
          <w:b/>
          <w:bCs/>
          <w:color w:val="auto"/>
          <w:highlight w:val="none"/>
          <w:lang w:eastAsia="zh-CN"/>
        </w:rPr>
      </w:pPr>
      <w:r>
        <w:rPr>
          <w:rFonts w:hint="eastAsia"/>
          <w:b/>
          <w:bCs/>
          <w:color w:val="auto"/>
          <w:highlight w:val="none"/>
          <w:lang w:eastAsia="zh-CN"/>
        </w:rPr>
        <w:t>六、评标和定标</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  投标人不满足本竞争性磋商文件关于对投标人资格证明文件的规定；</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响应文件组成不完整，主要内容未能按竞争性磋商文件规定的内容、格式填写；</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响应文件的有效期不满足竞争性磋商文件的规定；</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响应文件没有按照规定签章的；</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投标代表授权书未能由法定代表人签署；</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响应文件针对每一项服务出现了两个或两个以上的报价；</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投标报价超过最高限价；</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 xml:space="preserve">  明显不符合竞争性磋商文件关于对招标服务技术规格和标准的要求；</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9</w:t>
      </w:r>
      <w:r>
        <w:rPr>
          <w:rFonts w:hint="eastAsia" w:ascii="宋体" w:hAnsi="宋体" w:eastAsia="宋体" w:cs="宋体"/>
          <w:i w:val="0"/>
          <w:iCs w:val="0"/>
          <w:color w:val="auto"/>
          <w:kern w:val="2"/>
          <w:sz w:val="24"/>
          <w:szCs w:val="24"/>
          <w:highlight w:val="none"/>
          <w:lang w:val="en-US" w:eastAsia="zh-CN" w:bidi="ar-SA"/>
        </w:rPr>
        <w:t xml:space="preserve">  响应文件载明的磋商项目服务周期超过竞争性磋商文件规定的期限；</w:t>
      </w:r>
    </w:p>
    <w:p>
      <w:pPr>
        <w:pStyle w:val="19"/>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 xml:space="preserve"> 响应文件载明的服务范围等不符合竞争性磋商文件的要求</w:t>
      </w:r>
      <w:r>
        <w:rPr>
          <w:rFonts w:hint="eastAsia" w:ascii="宋体" w:hAnsi="宋体" w:cs="宋体"/>
          <w:i w:val="0"/>
          <w:iCs w:val="0"/>
          <w:color w:val="auto"/>
          <w:kern w:val="2"/>
          <w:sz w:val="24"/>
          <w:szCs w:val="24"/>
          <w:highlight w:val="none"/>
          <w:lang w:val="en-US" w:eastAsia="zh-CN" w:bidi="ar-SA"/>
        </w:rPr>
        <w:t>；</w:t>
      </w:r>
    </w:p>
    <w:p>
      <w:pPr>
        <w:pStyle w:val="19"/>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23.6.11 响应文件含有采购人不能接受的附加条件；</w:t>
      </w:r>
    </w:p>
    <w:p>
      <w:pPr>
        <w:pStyle w:val="19"/>
        <w:spacing w:line="360" w:lineRule="auto"/>
        <w:ind w:firstLine="567"/>
        <w:jc w:val="both"/>
        <w:rPr>
          <w:rFonts w:hint="default"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23.6.12 不符合竞争性磋商文件规定的其他实质性要求。</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19"/>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%，技术标权重占</w:t>
      </w:r>
      <w:r>
        <w:rPr>
          <w:rFonts w:hint="eastAsia" w:ascii="宋体" w:hAnsi="宋体" w:cs="宋体"/>
          <w:i w:val="0"/>
          <w:iCs w:val="0"/>
          <w:color w:val="auto"/>
          <w:kern w:val="2"/>
          <w:sz w:val="24"/>
          <w:szCs w:val="24"/>
          <w:highlight w:val="none"/>
          <w:lang w:val="en-US" w:eastAsia="zh-CN" w:bidi="ar-SA"/>
        </w:rPr>
        <w:t>90</w:t>
      </w:r>
      <w:r>
        <w:rPr>
          <w:rFonts w:hint="eastAsia" w:ascii="宋体" w:hAnsi="宋体" w:eastAsia="宋体" w:cs="宋体"/>
          <w:i w:val="0"/>
          <w:iCs w:val="0"/>
          <w:color w:val="auto"/>
          <w:kern w:val="2"/>
          <w:sz w:val="24"/>
          <w:szCs w:val="24"/>
          <w:highlight w:val="none"/>
          <w:lang w:val="en-US" w:eastAsia="zh-CN" w:bidi="ar-SA"/>
        </w:rPr>
        <w:t>%。投标人两部分的分值相加，即为该投标人的评标总得分。</w:t>
      </w:r>
    </w:p>
    <w:p>
      <w:pPr>
        <w:spacing w:line="360" w:lineRule="auto"/>
        <w:jc w:val="center"/>
        <w:rPr>
          <w:rFonts w:hint="eastAsia" w:ascii="宋体" w:hAnsi="宋体" w:cs="宋体"/>
          <w:b/>
          <w:color w:val="auto"/>
          <w:sz w:val="24"/>
          <w:highlight w:val="none"/>
        </w:rPr>
      </w:pPr>
      <w:bookmarkStart w:id="23" w:name="_Toc179632621"/>
      <w:bookmarkStart w:id="24" w:name="_Toc233102567"/>
      <w:bookmarkStart w:id="25" w:name="_Toc152042380"/>
      <w:bookmarkStart w:id="26" w:name="_Toc144974570"/>
      <w:bookmarkStart w:id="27" w:name="_Toc152045603"/>
    </w:p>
    <w:p>
      <w:pPr>
        <w:spacing w:line="360" w:lineRule="auto"/>
        <w:jc w:val="center"/>
        <w:rPr>
          <w:rFonts w:hint="eastAsia" w:ascii="宋体" w:hAnsi="宋体" w:cs="宋体"/>
          <w:b/>
          <w:color w:val="auto"/>
          <w:sz w:val="24"/>
          <w:highlight w:val="none"/>
        </w:rPr>
      </w:pP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初步评审标准</w:t>
      </w:r>
    </w:p>
    <w:tbl>
      <w:tblPr>
        <w:tblStyle w:val="1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8674"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rPr>
              <w:t>1</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投标人不满足本</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rPr>
              <w:t>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2</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i w:val="0"/>
                <w:iCs w:val="0"/>
                <w:color w:val="auto"/>
                <w:kern w:val="2"/>
                <w:sz w:val="24"/>
                <w:szCs w:val="24"/>
                <w:highlight w:val="none"/>
                <w:lang w:val="en-US" w:eastAsia="zh-CN" w:bidi="ar-SA"/>
              </w:rPr>
              <w:t>响应文件组成不完整，主要内容未能按竞争性磋商文件规定的内容、格式填写</w:t>
            </w:r>
            <w:r>
              <w:rPr>
                <w:rFonts w:hint="eastAsia" w:ascii="宋体" w:hAnsi="宋体" w:cs="宋体"/>
                <w:b w:val="0"/>
                <w:b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3</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的有效期不满足</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rPr>
              <w:t>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4</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响应文件没有按照规定签章的</w:t>
            </w:r>
            <w:r>
              <w:rPr>
                <w:rFonts w:hint="eastAsia" w:ascii="宋体" w:hAnsi="宋体" w:cs="宋体"/>
                <w:b w:val="0"/>
                <w:b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5</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6</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针对每一</w:t>
            </w:r>
            <w:r>
              <w:rPr>
                <w:rFonts w:hint="eastAsia" w:ascii="宋体" w:hAnsi="宋体" w:cs="宋体"/>
                <w:b w:val="0"/>
                <w:bCs w:val="0"/>
                <w:color w:val="auto"/>
                <w:sz w:val="24"/>
                <w:highlight w:val="none"/>
                <w:lang w:val="en-US" w:eastAsia="zh-CN"/>
              </w:rPr>
              <w:t>项服务</w:t>
            </w:r>
            <w:r>
              <w:rPr>
                <w:rFonts w:hint="eastAsia" w:ascii="宋体" w:hAnsi="宋体" w:cs="宋体"/>
                <w:b w:val="0"/>
                <w:bCs w:val="0"/>
                <w:color w:val="auto"/>
                <w:sz w:val="24"/>
                <w:highlight w:val="none"/>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7</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8</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明显不符合</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rPr>
              <w:t>文件关于对</w:t>
            </w:r>
            <w:r>
              <w:rPr>
                <w:rFonts w:hint="eastAsia" w:ascii="宋体" w:hAnsi="宋体" w:cs="宋体"/>
                <w:b w:val="0"/>
                <w:bCs w:val="0"/>
                <w:color w:val="auto"/>
                <w:sz w:val="24"/>
                <w:highlight w:val="none"/>
                <w:lang w:eastAsia="zh-CN"/>
              </w:rPr>
              <w:t>磋商</w:t>
            </w:r>
            <w:r>
              <w:rPr>
                <w:rFonts w:hint="eastAsia" w:ascii="宋体" w:hAnsi="宋体" w:cs="宋体"/>
                <w:b w:val="0"/>
                <w:bCs w:val="0"/>
                <w:color w:val="auto"/>
                <w:sz w:val="24"/>
                <w:highlight w:val="none"/>
                <w:lang w:val="en-US" w:eastAsia="zh-CN"/>
              </w:rPr>
              <w:t>服务</w:t>
            </w:r>
            <w:r>
              <w:rPr>
                <w:rFonts w:hint="eastAsia" w:ascii="宋体" w:hAnsi="宋体" w:cs="宋体"/>
                <w:b w:val="0"/>
                <w:bCs w:val="0"/>
                <w:color w:val="auto"/>
                <w:sz w:val="24"/>
                <w:highlight w:val="none"/>
              </w:rPr>
              <w:t>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9</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载明的</w:t>
            </w:r>
            <w:r>
              <w:rPr>
                <w:rFonts w:hint="eastAsia" w:ascii="宋体" w:hAnsi="宋体" w:cs="宋体"/>
                <w:b w:val="0"/>
                <w:bCs w:val="0"/>
                <w:color w:val="auto"/>
                <w:sz w:val="24"/>
                <w:highlight w:val="none"/>
                <w:lang w:eastAsia="zh-CN"/>
              </w:rPr>
              <w:t>磋商</w:t>
            </w:r>
            <w:r>
              <w:rPr>
                <w:rFonts w:hint="eastAsia" w:ascii="宋体" w:hAnsi="宋体" w:cs="宋体"/>
                <w:b w:val="0"/>
                <w:bCs w:val="0"/>
                <w:color w:val="auto"/>
                <w:sz w:val="24"/>
                <w:highlight w:val="none"/>
              </w:rPr>
              <w:t>项目</w:t>
            </w:r>
            <w:r>
              <w:rPr>
                <w:rFonts w:hint="eastAsia" w:ascii="宋体" w:hAnsi="宋体" w:cs="宋体"/>
                <w:b w:val="0"/>
                <w:bCs w:val="0"/>
                <w:color w:val="auto"/>
                <w:sz w:val="24"/>
                <w:highlight w:val="none"/>
                <w:lang w:val="en-US" w:eastAsia="zh-CN"/>
              </w:rPr>
              <w:t>服务周期</w:t>
            </w:r>
            <w:r>
              <w:rPr>
                <w:rFonts w:hint="eastAsia" w:ascii="宋体" w:hAnsi="宋体" w:cs="宋体"/>
                <w:b w:val="0"/>
                <w:bCs w:val="0"/>
                <w:color w:val="auto"/>
                <w:sz w:val="24"/>
                <w:highlight w:val="none"/>
              </w:rPr>
              <w:t>超过</w:t>
            </w:r>
            <w:r>
              <w:rPr>
                <w:rFonts w:hint="eastAsia" w:ascii="宋体" w:hAnsi="宋体" w:cs="宋体"/>
                <w:b w:val="0"/>
                <w:bCs w:val="0"/>
                <w:color w:val="auto"/>
                <w:sz w:val="24"/>
                <w:highlight w:val="none"/>
                <w:lang w:eastAsia="zh-CN"/>
              </w:rPr>
              <w:t>竞争性磋商文件</w:t>
            </w:r>
            <w:r>
              <w:rPr>
                <w:rFonts w:hint="eastAsia" w:ascii="宋体" w:hAnsi="宋体" w:cs="宋体"/>
                <w:b w:val="0"/>
                <w:bCs w:val="0"/>
                <w:color w:val="auto"/>
                <w:sz w:val="24"/>
                <w:highlight w:val="none"/>
              </w:rPr>
              <w:t>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10</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载明的</w:t>
            </w:r>
            <w:r>
              <w:rPr>
                <w:rFonts w:hint="eastAsia" w:ascii="宋体" w:hAnsi="宋体" w:cs="宋体"/>
                <w:b w:val="0"/>
                <w:bCs w:val="0"/>
                <w:color w:val="auto"/>
                <w:sz w:val="24"/>
                <w:highlight w:val="none"/>
                <w:lang w:val="en-US" w:eastAsia="zh-CN"/>
              </w:rPr>
              <w:t>服务</w:t>
            </w:r>
            <w:r>
              <w:rPr>
                <w:rFonts w:hint="eastAsia" w:ascii="宋体" w:hAnsi="宋体" w:cs="宋体"/>
                <w:b w:val="0"/>
                <w:bCs w:val="0"/>
                <w:color w:val="auto"/>
                <w:sz w:val="24"/>
                <w:highlight w:val="none"/>
              </w:rPr>
              <w:t>范围等不符合</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11</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响应文件含</w:t>
            </w:r>
            <w:r>
              <w:rPr>
                <w:rFonts w:hint="eastAsia" w:ascii="宋体" w:hAnsi="宋体" w:cs="宋体"/>
                <w:b w:val="0"/>
                <w:bCs w:val="0"/>
                <w:color w:val="auto"/>
                <w:sz w:val="24"/>
                <w:highlight w:val="none"/>
              </w:rPr>
              <w:t>有采购人不能接受的</w:t>
            </w:r>
            <w:r>
              <w:rPr>
                <w:rFonts w:hint="eastAsia" w:ascii="宋体" w:hAnsi="宋体" w:cs="宋体"/>
                <w:b w:val="0"/>
                <w:bCs w:val="0"/>
                <w:color w:val="auto"/>
                <w:sz w:val="24"/>
                <w:highlight w:val="none"/>
                <w:lang w:eastAsia="zh-CN"/>
              </w:rPr>
              <w:t>附加</w:t>
            </w:r>
            <w:r>
              <w:rPr>
                <w:rFonts w:hint="eastAsia" w:ascii="宋体" w:hAnsi="宋体" w:cs="宋体"/>
                <w:b w:val="0"/>
                <w:bCs w:val="0"/>
                <w:color w:val="auto"/>
                <w:sz w:val="24"/>
                <w:highlight w:val="none"/>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12</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不符合</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lang w:eastAsia="zh-CN"/>
              </w:rPr>
              <w:t>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p>
    <w:p>
      <w:p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资格审查后合格投标人不足3家的，不进行评标，采购人将宣布废标。</w:t>
      </w:r>
      <w:bookmarkStart w:id="28" w:name="_Toc492286393"/>
    </w:p>
    <w:p>
      <w:pPr>
        <w:numPr>
          <w:ilvl w:val="0"/>
          <w:numId w:val="4"/>
        </w:num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w:t>
      </w:r>
      <w:bookmarkEnd w:id="28"/>
      <w:bookmarkStart w:id="29" w:name="_Toc492286394"/>
    </w:p>
    <w:p>
      <w:pPr>
        <w:numPr>
          <w:ilvl w:val="0"/>
          <w:numId w:val="0"/>
        </w:num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3.1评标组织</w:t>
      </w:r>
      <w:bookmarkEnd w:id="29"/>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3.1.1采购代理机构负责组织评标工作，并履行下列职责：</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（一）核对评审专家身份和采购人代表授权函，对评审专家在政府采购活动中的职责履行情况予以记录，并及时将有关违法违规行为向财政部门报告；</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（二）宣布评标纪律；</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（三）公布投标人名单，告知评审专家应当回避的情形；</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（四）组织评标委员会推选评标组长，采购人代表不得担任组长；</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（五）在评标期间采取必要的通讯管理措施，保证评标活动不受外界干扰；</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（六）根据评标委员会的要求介绍政府采购相关政策法规、竞争性磋商文件；</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（七）维护评标秩序，监督评标委员会依照竞争性磋商文件规定的评标程序、方法和标准进行独立评审，及时制止和纠正采购人代表、评审专家的倾向性言论或者违法违规行为；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（八）核对评标结果，有以下情形的，要求评标委员会复核或者书面说明理由，评标委员会拒绝的，应予记录并向本级财政部门报告；</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（1）分值汇总计算错误的；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（2）分项评分超出评分标准范围的；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（3）评标委员会成员对客观评审因素评分不一致的；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（4）经评标委员会认定评分畸高、畸低的。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（九）评审工作完成后，按照规定向评审专家支付劳务报酬和异地评审差旅费，不得向评审专家以外的其他人员支付评审劳务报酬；</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（十）处理与评标有关的其他事项。</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3.1.2评标委员会负责具体评标事务，并独立履行下列职责：</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（一）审查、评价响应文件是否符合竞争性磋商文件的商务、技术等实质性要求；</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（二）要求投标人对响应文件有关事项作出澄清或者说明；</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（三）对响应文件进行比较和评价；</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（四）确定中标候选人名单，以及根据采购人委托直接确定中标人；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（五）向采购人、采购代理机构或者有关部门报告评标中发现的违法行为。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3.1.3评标中因评标委员会成员缺席、回避或者健康等特殊原因导致评标委员会组成不符合规定的，采购代理机构依法补足后继续评标。被更换的评标委员会成员所作出的评标意见无效。</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无法及时补足评标委员会成员的，采购人或者采购代理机构应当停止评标活动，封存所有响应文件和开标、评标资料，依法重新组建评标委员会进行评标。原评标委员会所作出的评标意见无效。</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3.1.4评标委员会及其成员不得有下列行为：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（一）确定参与评标至评标结束前私自接触投标人；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（二）接受投标人提出的与响应文件不一致的澄清或者说明；</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（三）违反评标纪律发表倾向性意见或者征询采购人的倾向性意见；</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（四）对需要专业判断的主观评审因素协商评分；</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（五）在评标过程中擅离职守，影响评标程序正常进行的；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（六）记录、复制或者带走任何评标资料；</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（七）其他不遵守评标纪律的行为。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评标委员会成员有以上行为之一的，其评审意见无效，并不得获取评审劳务报酬和报销异地评审差旅费。</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3.1.5评标委员会应当按照竞争性磋商文件中规定的评标方法和标准，对符合性审查合格的响应文件进行商务和技术评估，综合比较与评价。</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3.1.6除采购人代表、评标现场组织人员外，采购人的其他工作人员以及与评标工作无关的人员不得进入评标现场。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3.1.7采购人可以在评标前说明项目背景和采购需求，说明内容不得含有歧视性、倾向性意见，不得超出竞争性磋商文件所述范围。说明应当提交书面材料，并随采购文件一并存档。</w:t>
      </w:r>
    </w:p>
    <w:p>
      <w:pPr>
        <w:pStyle w:val="18"/>
        <w:numPr>
          <w:ilvl w:val="2"/>
          <w:numId w:val="0"/>
        </w:numPr>
        <w:spacing w:line="360" w:lineRule="auto"/>
        <w:ind w:leftChars="0"/>
        <w:outlineLvl w:val="0"/>
        <w:rPr>
          <w:rFonts w:hint="eastAsia" w:ascii="宋体" w:hAnsi="宋体" w:eastAsia="宋体" w:cs="宋体"/>
          <w:b w:val="0"/>
          <w:bCs w:val="0"/>
          <w:color w:val="auto"/>
          <w:kern w:val="2"/>
          <w:sz w:val="24"/>
          <w:szCs w:val="24"/>
          <w:highlight w:val="none"/>
          <w:lang w:val="en-US" w:eastAsia="zh-CN" w:bidi="ar-SA"/>
        </w:rPr>
      </w:pPr>
      <w:bookmarkStart w:id="30" w:name="_Toc492286395"/>
      <w:r>
        <w:rPr>
          <w:rFonts w:hint="eastAsia" w:ascii="宋体" w:hAnsi="宋体" w:eastAsia="宋体" w:cs="宋体"/>
          <w:b w:val="0"/>
          <w:bCs w:val="0"/>
          <w:color w:val="auto"/>
          <w:kern w:val="2"/>
          <w:sz w:val="24"/>
          <w:szCs w:val="24"/>
          <w:highlight w:val="none"/>
          <w:lang w:val="en-US" w:eastAsia="zh-CN" w:bidi="ar-SA"/>
        </w:rPr>
        <w:t>3.2符合性审查</w:t>
      </w:r>
      <w:bookmarkEnd w:id="30"/>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3.2.1评标委员会对符合资格的投标人的响应文件进行符合性审查，以确定其是否满足竞争性磋商文件的实质性要求。实质上响应的投标应该是与竞争性磋商文件要求的实质性条款、条件和规格相符，没有重大偏离或保留的投标。所谓重大偏离或保留是指实质上影响合同的供货范围、质量和性能；或者实质上与竞争性磋商文件不一致，而且限制了合同中买方的权利或卖方的义务。纠正这些偏离或保留将会对其他实质上响应要求的投标人的竞争地位产生不公正的影响。评标委员会决定响应文件的响应性只根据响应文件本身的内容，而不寻求外部的证据。</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3.2.2如果响应文件实质上没有响应竞争性磋商文件要求，按无效投标处理。投标人不得通过修正或撤销不合要求的偏离或保留从而使其投标成为实质上响应的投标。</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3.2.3评标委员会将对确定为实质上响应的投标进行价格审核，看其是否有计算上错误，修正错误的方法为：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（一）响应文件中开标一览表（报价表）内容与响应文件中相应内容不一致的，以开标一览表（报价表）为准；</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（二）大写金额和小写金额不一致的，以大写金额为准；</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（三）单价金额小数点或者百分比有明显错位的，以开标一览表的总价为准，并修改单价；</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（四）总价金额与按单价汇总金额不一致的，以单价金额计算结果为准。</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同时出现两种以上不一致的，按照前款规定的顺序修正。修正后的报价经投标人确认后产生约束力，投标人不确认的，其投标无效。</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3.2.4投标人应按照第五章《采购需求》中货物需求一览表的内容和数量进行报价。超过所需数量的报价，在评标时不予核减，但如果中标采购人可从合同中予以扣减。</w:t>
      </w:r>
    </w:p>
    <w:p>
      <w:pPr>
        <w:adjustRightInd w:val="0"/>
        <w:snapToGrid w:val="0"/>
        <w:spacing w:line="360" w:lineRule="auto"/>
        <w:ind w:firstLine="600" w:firstLineChars="25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3.2.5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3.2.6除竞争性磋商文件另有规定，投标人存在下列情况之一的，投标无效：</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（1）竞争性磋商文件规定必须提交的响应文件未按竞争性磋商文件要求签字和盖章的；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（2）响应文件未按竞争性磋商文件要求编制填写，或内容不全、字迹模糊、难以辨认的、或采用活页夹方式或未装订的响应文件；</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未按竞争性磋商文件规定递交投标保证金的、投标保证金金额不足的、投标保证金形式不符合竞争性磋商文件规定的、使用支票、本票或汇票形式未提供中国人民银行颁发的《基本银行帐户开户证明》复印件的、出具担保函的担保机构不是竞争性磋商文件指定的专业担保机构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（4）投标人不符合资格条件或未按竞争性磋商文件规定提供资格证明文件的；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（5）投标货物不符合竞争性磋商文件规定条件或未提供证明文件的；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（6）未能实质性响应竞争性磋商文件商务和技术要求的；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（7）投标有效期不足的；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（8）投标报价货币不是人民币的;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（9）投标报价超过竞争性磋商文件中规定的预算金额或者最高限价的；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（10）拆包投标或缺项漏项的；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（11）串通投标或弄虚作假或有其他违法行为的；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（12）未按评标委员会要求澄清、说明或补正的；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（13）未按评标委员会的要求在评标现场合理的时间内提供书面说明（必要时提交相关证明材料），或不能证明其报价合理性的；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（14）未按评标委员会的要求确认修正后的投标报价的；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（15）投标人符合第二章《投标人须知》第1.2条任何一种情形的；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（16）响应文件含有采购人不能接受的附加条件的；</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（17）违反国家法律、法规和竞争性磋商文件规定的其他无效情形。</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3.2.7有下列情形之一的，视为投标人串通投标，其投标无效：</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（1）不同投标人的响应文件由同一单位或者个人编制；</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（2）不同投标人委托同一单位或者个人办理投标事宜；</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（3）不同投标人的响应文件载明的项目管理成员或者联系人员为同一人；</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（4）不同投标人的响应文件异常一致或者投标报价呈规律性差异；</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（5）不同投标人的响应文件相互混装；</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（6）不同投标人的投标保证金从同一单位或者个人的账户转出。</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3.2.8评标委员会发现竞争性磋商文件存在歧义、重大缺陷导致评标工作无法进行，或者竞争性磋商文件内容违反国家有关强制性规定的，应当停止评标工作，与采购人或者采购代理机构沟通并作书面记录。采购人或者采购代理机构确认后，应当修改竞争性磋商文件，重新组织采购活动。</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3.2.9符合性审查后合格的投标人不足三家时，不再进行后续评标，采购人将宣布废标。提供相同品牌产品的不同投标人，以及提供同一制造厂家产品的不同投标人，按一家投标人计算。</w:t>
      </w:r>
    </w:p>
    <w:bookmarkEnd w:id="23"/>
    <w:bookmarkEnd w:id="24"/>
    <w:bookmarkEnd w:id="25"/>
    <w:bookmarkEnd w:id="26"/>
    <w:bookmarkEnd w:id="27"/>
    <w:p>
      <w:pPr>
        <w:pStyle w:val="18"/>
        <w:numPr>
          <w:ilvl w:val="2"/>
          <w:numId w:val="0"/>
        </w:numPr>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31" w:name="_Toc492286396"/>
      <w:r>
        <w:rPr>
          <w:rFonts w:hint="eastAsia" w:ascii="宋体" w:hAnsi="宋体" w:eastAsia="宋体" w:cs="宋体"/>
          <w:b w:val="0"/>
          <w:bCs w:val="0"/>
          <w:color w:val="auto"/>
          <w:kern w:val="2"/>
          <w:sz w:val="24"/>
          <w:szCs w:val="24"/>
          <w:highlight w:val="none"/>
          <w:lang w:val="en-US" w:eastAsia="zh-CN" w:bidi="ar-SA"/>
        </w:rPr>
        <w:t>3.3小型、微型企业价格扣除</w:t>
      </w:r>
      <w:bookmarkEnd w:id="31"/>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3.3.1评标委员会根据投标人提供的《中小企业声明函》、《残疾人福利性单位声明函》以及省级以上监狱管理局、戒毒管理局（含新疆生产建设兵团）出具的属于监狱企业的证明文件，认定其是否属于小型和微型企业。</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3.3.2投标人为小型、微型企业且所投产品为小型、微型企业生产的，评标价格给予《评审因素和评审标准一览表》规定的百分比扣除，用扣除后的价格参与评审。</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3.3.3联合体投标时联合体协议约定小型和微型企业的协议合同金额占到30%以上的，可给予2%的价格扣除。联合体各方都是小型和微型企业的，可给予《评审因素和评审标准一览表》规定的百分比扣除。</w:t>
      </w:r>
    </w:p>
    <w:p>
      <w:pPr>
        <w:spacing w:line="360" w:lineRule="auto"/>
        <w:ind w:firstLine="480" w:firstLineChars="200"/>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cs="宋体"/>
          <w:b w:val="0"/>
          <w:bCs w:val="0"/>
          <w:i w:val="0"/>
          <w:iCs/>
          <w:color w:val="auto"/>
          <w:kern w:val="2"/>
          <w:sz w:val="24"/>
          <w:szCs w:val="24"/>
          <w:highlight w:val="none"/>
          <w:lang w:val="en-US" w:eastAsia="zh-CN" w:bidi="ar-SA"/>
        </w:rPr>
        <w:t>3.3.4</w:t>
      </w:r>
      <w:r>
        <w:rPr>
          <w:rFonts w:hint="eastAsia" w:ascii="宋体" w:hAnsi="宋体" w:eastAsia="宋体" w:cs="宋体"/>
          <w:b w:val="0"/>
          <w:bCs w:val="0"/>
          <w:i w:val="0"/>
          <w:iCs/>
          <w:color w:val="auto"/>
          <w:kern w:val="2"/>
          <w:sz w:val="24"/>
          <w:szCs w:val="24"/>
          <w:highlight w:val="none"/>
          <w:lang w:val="en-US" w:eastAsia="zh-CN" w:bidi="ar-SA"/>
        </w:rPr>
        <w:t>小微企业价格扣除评审：对于非专门面向中小企业的项目，对小型和微型企业产品价格给予</w:t>
      </w:r>
      <w:r>
        <w:rPr>
          <w:rFonts w:hint="eastAsia" w:ascii="宋体" w:hAnsi="宋体" w:cs="宋体"/>
          <w:b w:val="0"/>
          <w:bCs w:val="0"/>
          <w:i w:val="0"/>
          <w:iCs/>
          <w:color w:val="auto"/>
          <w:kern w:val="2"/>
          <w:sz w:val="24"/>
          <w:szCs w:val="24"/>
          <w:highlight w:val="none"/>
          <w:lang w:val="en-US" w:eastAsia="zh-CN" w:bidi="ar-SA"/>
        </w:rPr>
        <w:t>10</w:t>
      </w:r>
      <w:r>
        <w:rPr>
          <w:rFonts w:hint="eastAsia" w:ascii="宋体" w:hAnsi="宋体" w:eastAsia="宋体" w:cs="宋体"/>
          <w:b w:val="0"/>
          <w:bCs w:val="0"/>
          <w:i w:val="0"/>
          <w:iCs/>
          <w:color w:val="auto"/>
          <w:kern w:val="2"/>
          <w:sz w:val="24"/>
          <w:szCs w:val="24"/>
          <w:highlight w:val="none"/>
          <w:lang w:val="en-US" w:eastAsia="zh-CN" w:bidi="ar-SA"/>
        </w:rPr>
        <w:t>%的扣除，用扣除后的价格参与价格分的评审。需同时满足以下三个条件的给予价格扣除：</w:t>
      </w:r>
    </w:p>
    <w:p>
      <w:pPr>
        <w:numPr>
          <w:ilvl w:val="0"/>
          <w:numId w:val="5"/>
        </w:numPr>
        <w:spacing w:line="48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《中小型企业声明函》</w:t>
      </w:r>
    </w:p>
    <w:p>
      <w:pPr>
        <w:pStyle w:val="8"/>
        <w:numPr>
          <w:ilvl w:val="0"/>
          <w:numId w:val="0"/>
        </w:numPr>
        <w:spacing w:line="480" w:lineRule="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2.提供投标人工商行政登记所在管理部门出具的小微企业证明文件；</w:t>
      </w:r>
    </w:p>
    <w:p>
      <w:pPr>
        <w:numPr>
          <w:ilvl w:val="0"/>
          <w:numId w:val="0"/>
        </w:numPr>
        <w:spacing w:line="48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3.提供所代理的产品生产厂家的属地主管部门出具的小微企业或监狱企业证明文件；</w:t>
      </w:r>
    </w:p>
    <w:p>
      <w:pPr>
        <w:pStyle w:val="18"/>
        <w:numPr>
          <w:ilvl w:val="2"/>
          <w:numId w:val="0"/>
        </w:numPr>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32" w:name="_Toc492286397"/>
      <w:r>
        <w:rPr>
          <w:rFonts w:hint="eastAsia" w:ascii="宋体" w:hAnsi="宋体" w:eastAsia="宋体" w:cs="宋体"/>
          <w:b w:val="0"/>
          <w:bCs w:val="0"/>
          <w:color w:val="auto"/>
          <w:kern w:val="2"/>
          <w:sz w:val="24"/>
          <w:szCs w:val="24"/>
          <w:highlight w:val="none"/>
          <w:lang w:val="en-US" w:eastAsia="zh-CN" w:bidi="ar-SA"/>
        </w:rPr>
        <w:t>3.4综合评分</w:t>
      </w:r>
      <w:bookmarkEnd w:id="32"/>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3.4.1本项目综合评分的各评审因素权重为：</w:t>
      </w:r>
      <w:r>
        <w:rPr>
          <w:rFonts w:hint="eastAsia" w:ascii="宋体" w:hAnsi="宋体" w:eastAsia="宋体" w:cs="宋体"/>
          <w:color w:val="auto"/>
          <w:sz w:val="24"/>
          <w:szCs w:val="24"/>
          <w:highlight w:val="none"/>
          <w:lang w:eastAsia="zh-CN"/>
        </w:rPr>
        <w:t>经济报价权重占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权重占</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部分的分值相加，即为该投标人的</w:t>
      </w:r>
      <w:r>
        <w:rPr>
          <w:rFonts w:hint="eastAsia" w:ascii="宋体" w:hAnsi="宋体" w:eastAsia="宋体" w:cs="宋体"/>
          <w:color w:val="auto"/>
          <w:sz w:val="24"/>
          <w:szCs w:val="24"/>
          <w:highlight w:val="none"/>
          <w:lang w:eastAsia="zh-CN"/>
        </w:rPr>
        <w:t>评标总得分。</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3.4.2评标基准价和价格得分计算</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投标价格经过3.3条所述的小型、微型企业价格扣除后，价格最低的为评标基准价，其价格得分为满分。</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其他价格分按照以下公式计算：</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投标价格得分=（评标基准价/扣除后的投标价格）×价格权值×100。</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评标过程中，不得去掉报价中的最高报价和最低报价。</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3.4.3商务和技术评分</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评标委员会成员按照下表规定的量化因素和分值标准对响应文件进行打分，并计算出每个投标人的总分。打分保留一位小数。</w:t>
      </w:r>
      <w:bookmarkStart w:id="33" w:name="_Toc492286398"/>
    </w:p>
    <w:p>
      <w:pPr>
        <w:spacing w:line="360" w:lineRule="auto"/>
        <w:ind w:firstLine="482" w:firstLineChars="200"/>
        <w:jc w:val="center"/>
        <w:rPr>
          <w:rFonts w:hint="eastAsia"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13"/>
        <w:tblW w:w="47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307" w:type="pc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4692" w:type="pct"/>
            <w:noWrap w:val="0"/>
            <w:vAlign w:val="top"/>
          </w:tcPr>
          <w:p>
            <w:pPr>
              <w:pStyle w:val="20"/>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0"/>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w:t>
            </w:r>
            <w:r>
              <w:rPr>
                <w:rFonts w:hint="eastAsia" w:ascii="宋体" w:hAnsi="宋体" w:eastAsia="宋体" w:cs="宋体"/>
                <w:b w:val="0"/>
                <w:color w:val="auto"/>
                <w:spacing w:val="-3"/>
                <w:sz w:val="24"/>
                <w:highlight w:val="none"/>
                <w:lang w:eastAsia="zh-CN"/>
              </w:rPr>
              <w:t>竞争性磋商文件</w:t>
            </w:r>
            <w:r>
              <w:rPr>
                <w:rFonts w:hint="eastAsia" w:ascii="宋体" w:hAnsi="宋体" w:eastAsia="宋体" w:cs="宋体"/>
                <w:b w:val="0"/>
                <w:color w:val="auto"/>
                <w:spacing w:val="-3"/>
                <w:sz w:val="24"/>
                <w:highlight w:val="none"/>
              </w:rPr>
              <w:t>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0"/>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1</w:t>
            </w:r>
            <w:r>
              <w:rPr>
                <w:rFonts w:hint="eastAsia" w:ascii="宋体" w:hAnsi="宋体" w:eastAsia="宋体" w:cs="宋体"/>
                <w:b w:val="0"/>
                <w:color w:val="auto"/>
                <w:spacing w:val="-3"/>
                <w:sz w:val="24"/>
                <w:highlight w:val="none"/>
              </w:rPr>
              <w:t>0%×100</w:t>
            </w:r>
          </w:p>
          <w:p>
            <w:pPr>
              <w:numPr>
                <w:ilvl w:val="0"/>
                <w:numId w:val="0"/>
              </w:numPr>
              <w:rPr>
                <w:rFonts w:hint="eastAsia"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w:t>
            </w:r>
            <w:r>
              <w:rPr>
                <w:rFonts w:hint="eastAsia" w:ascii="宋体" w:hAnsi="宋体" w:cs="宋体"/>
                <w:bCs/>
                <w:color w:val="auto"/>
                <w:spacing w:val="-3"/>
                <w:sz w:val="24"/>
                <w:highlight w:val="none"/>
                <w:lang w:eastAsia="zh-CN"/>
              </w:rPr>
              <w:t>。</w:t>
            </w:r>
          </w:p>
          <w:p>
            <w:pPr>
              <w:pStyle w:val="20"/>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0"/>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0"/>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0"/>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0"/>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pStyle w:val="18"/>
        <w:numPr>
          <w:ilvl w:val="2"/>
          <w:numId w:val="0"/>
        </w:numPr>
        <w:spacing w:line="360" w:lineRule="auto"/>
        <w:ind w:leftChars="0"/>
        <w:jc w:val="center"/>
        <w:outlineLvl w:val="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商务技术评审因素和评审标准一览表</w:t>
      </w:r>
    </w:p>
    <w:bookmarkEnd w:id="33"/>
    <w:tbl>
      <w:tblPr>
        <w:tblStyle w:val="13"/>
        <w:tblW w:w="491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46"/>
        <w:gridCol w:w="974"/>
        <w:gridCol w:w="696"/>
        <w:gridCol w:w="6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7"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b/>
                <w:bCs/>
                <w:color w:val="auto"/>
                <w:sz w:val="24"/>
                <w:szCs w:val="24"/>
                <w:lang w:val="en-US" w:eastAsia="zh-CN"/>
              </w:rPr>
            </w:pPr>
          </w:p>
        </w:tc>
        <w:tc>
          <w:tcPr>
            <w:tcW w:w="584"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评分项</w:t>
            </w:r>
          </w:p>
        </w:tc>
        <w:tc>
          <w:tcPr>
            <w:tcW w:w="417"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分值</w:t>
            </w:r>
          </w:p>
        </w:tc>
        <w:tc>
          <w:tcPr>
            <w:tcW w:w="3670"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b/>
                <w:bCs/>
                <w:color w:val="auto"/>
                <w:sz w:val="24"/>
                <w:szCs w:val="24"/>
              </w:rPr>
            </w:pPr>
            <w:r>
              <w:rPr>
                <w:rFonts w:hint="eastAsia" w:ascii="宋体" w:hAnsi="宋体" w:eastAsia="宋体" w:cs="宋体"/>
                <w:color w:val="auto"/>
                <w:sz w:val="24"/>
                <w:szCs w:val="24"/>
                <w:highlight w:val="none"/>
              </w:rPr>
              <w:t>报价部分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7" w:type="pct"/>
            <w:tcBorders>
              <w:top w:val="single" w:color="auto" w:sz="4" w:space="0"/>
              <w:left w:val="single" w:color="auto" w:sz="4" w:space="0"/>
              <w:bottom w:val="single" w:color="auto" w:sz="4" w:space="0"/>
              <w:right w:val="single" w:color="auto" w:sz="4" w:space="0"/>
            </w:tcBorders>
            <w:noWrap w:val="0"/>
            <w:vAlign w:val="center"/>
          </w:tcPr>
          <w:p>
            <w:pPr>
              <w:pStyle w:val="24"/>
              <w:spacing w:line="46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1</w:t>
            </w:r>
          </w:p>
        </w:tc>
        <w:tc>
          <w:tcPr>
            <w:tcW w:w="584" w:type="pct"/>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报价</w:t>
            </w:r>
          </w:p>
        </w:tc>
        <w:tc>
          <w:tcPr>
            <w:tcW w:w="417" w:type="pct"/>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0-10</w:t>
            </w:r>
            <w:r>
              <w:rPr>
                <w:rFonts w:hint="eastAsia" w:ascii="宋体" w:hAnsi="宋体" w:eastAsia="宋体" w:cs="宋体"/>
                <w:color w:val="auto"/>
                <w:sz w:val="24"/>
                <w:highlight w:val="none"/>
              </w:rPr>
              <w:t>分</w:t>
            </w:r>
          </w:p>
        </w:tc>
        <w:tc>
          <w:tcPr>
            <w:tcW w:w="3670" w:type="pct"/>
            <w:tcBorders>
              <w:top w:val="single" w:color="auto" w:sz="4" w:space="0"/>
              <w:left w:val="single" w:color="auto" w:sz="4" w:space="0"/>
              <w:bottom w:val="single" w:color="auto" w:sz="4" w:space="0"/>
              <w:right w:val="single" w:color="auto" w:sz="4" w:space="0"/>
            </w:tcBorders>
            <w:noWrap w:val="0"/>
            <w:vAlign w:val="top"/>
          </w:tcPr>
          <w:p>
            <w:pPr>
              <w:pStyle w:val="24"/>
              <w:spacing w:line="4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24"/>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74" w:type="dxa"/>
            <w:tcBorders>
              <w:top w:val="single" w:color="auto" w:sz="4" w:space="0"/>
              <w:left w:val="single" w:color="auto" w:sz="4" w:space="0"/>
              <w:bottom w:val="single" w:color="auto" w:sz="4" w:space="0"/>
              <w:right w:val="single" w:color="auto" w:sz="4" w:space="0"/>
            </w:tcBorders>
            <w:noWrap w:val="0"/>
            <w:vAlign w:val="center"/>
          </w:tcPr>
          <w:p>
            <w:pPr>
              <w:tabs>
                <w:tab w:val="left" w:pos="261"/>
              </w:tabs>
              <w:spacing w:before="93" w:beforeLines="30" w:line="312"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服务方案技术措施</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p>
          <w:p>
            <w:pPr>
              <w:bidi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0-</w:t>
            </w:r>
            <w:r>
              <w:rPr>
                <w:rFonts w:hint="eastAsia" w:ascii="宋体" w:hAnsi="宋体" w:cs="宋体"/>
                <w:color w:val="auto"/>
                <w:kern w:val="2"/>
                <w:sz w:val="24"/>
                <w:szCs w:val="24"/>
                <w:lang w:val="en-US" w:eastAsia="zh-CN" w:bidi="ar-SA"/>
              </w:rPr>
              <w:t>15</w:t>
            </w:r>
            <w:r>
              <w:rPr>
                <w:rFonts w:hint="eastAsia" w:ascii="宋体" w:hAnsi="宋体" w:eastAsia="宋体" w:cs="宋体"/>
                <w:color w:val="auto"/>
                <w:kern w:val="2"/>
                <w:sz w:val="24"/>
                <w:szCs w:val="24"/>
                <w:lang w:val="en-US" w:eastAsia="zh-CN" w:bidi="ar-SA"/>
              </w:rPr>
              <w:t>分</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根据投标人对本项目背景，结合当地区域规划和特征等内容的分析，对情况了解充分，</w:t>
            </w:r>
            <w:r>
              <w:rPr>
                <w:rFonts w:hint="eastAsia" w:ascii="宋体" w:hAnsi="宋体" w:cs="宋体"/>
                <w:color w:val="auto"/>
                <w:sz w:val="24"/>
                <w:szCs w:val="24"/>
                <w:highlight w:val="none"/>
                <w:lang w:val="en-US" w:eastAsia="zh-CN"/>
              </w:rPr>
              <w:t>符合当地经济发展状况</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546" w:type="dxa"/>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74" w:type="dxa"/>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乡村振兴相关政策与发展趋势分析</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0-20分</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对项目的政策背景了解全面，对发展未来趋势判断准确，任务解读思路清晰 15</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20分；</w:t>
            </w:r>
          </w:p>
          <w:p>
            <w:pPr>
              <w:spacing w:before="93" w:beforeLines="30" w:line="312"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对项目的政策背景了解相对全面，对发展未来趋势判断比较准确，任务解读思路比较清晰10</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15分；</w:t>
            </w:r>
          </w:p>
          <w:p>
            <w:pPr>
              <w:spacing w:before="93" w:beforeLines="30" w:line="312" w:lineRule="auto"/>
              <w:rPr>
                <w:rFonts w:hint="eastAsia" w:ascii="宋体" w:hAnsi="宋体" w:eastAsia="宋体" w:cs="宋体"/>
              </w:rPr>
            </w:pPr>
            <w:r>
              <w:rPr>
                <w:rFonts w:hint="eastAsia" w:ascii="宋体" w:hAnsi="宋体" w:eastAsia="宋体" w:cs="宋体"/>
                <w:sz w:val="24"/>
                <w:szCs w:val="24"/>
                <w:lang w:val="en-US" w:eastAsia="zh-CN"/>
              </w:rPr>
              <w:t>对项目的政策背景了解相对不全面，对发展未来趋势判断不准确，任务解读思路不清晰0</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0" w:hRule="atLeast"/>
          <w:jc w:val="center"/>
        </w:trPr>
        <w:tc>
          <w:tcPr>
            <w:tcW w:w="546" w:type="dxa"/>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974" w:type="dxa"/>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乡村振兴愿景定位、发展目标</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0-13分</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对本项目的</w:t>
            </w:r>
            <w:r>
              <w:rPr>
                <w:rFonts w:hint="eastAsia" w:ascii="宋体" w:hAnsi="宋体" w:eastAsia="宋体" w:cs="宋体"/>
                <w:sz w:val="24"/>
                <w:szCs w:val="24"/>
                <w:highlight w:val="none"/>
                <w:lang w:val="en-US" w:eastAsia="zh-CN"/>
              </w:rPr>
              <w:t>目标愿景和规划定位编制准确</w:t>
            </w:r>
            <w:r>
              <w:rPr>
                <w:rFonts w:hint="eastAsia" w:ascii="宋体" w:hAnsi="宋体" w:eastAsia="宋体" w:cs="宋体"/>
                <w:sz w:val="24"/>
                <w:szCs w:val="24"/>
                <w:lang w:val="en-US" w:eastAsia="zh-CN"/>
              </w:rPr>
              <w:t>，构建详细得</w:t>
            </w:r>
            <w:r>
              <w:rPr>
                <w:rFonts w:hint="eastAsia" w:ascii="宋体" w:hAnsi="宋体" w:cs="宋体"/>
                <w:sz w:val="24"/>
                <w:szCs w:val="24"/>
                <w:lang w:val="en-US" w:eastAsia="zh-CN"/>
              </w:rPr>
              <w:t>7-13</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对本项目的</w:t>
            </w:r>
            <w:r>
              <w:rPr>
                <w:rFonts w:hint="eastAsia" w:ascii="宋体" w:hAnsi="宋体" w:eastAsia="宋体" w:cs="宋体"/>
                <w:sz w:val="24"/>
                <w:szCs w:val="24"/>
                <w:highlight w:val="none"/>
                <w:lang w:val="en-US" w:eastAsia="zh-CN"/>
              </w:rPr>
              <w:t>目标愿景和规划定位编制比较准确</w:t>
            </w:r>
            <w:r>
              <w:rPr>
                <w:rFonts w:hint="eastAsia" w:ascii="宋体" w:hAnsi="宋体" w:eastAsia="宋体" w:cs="宋体"/>
                <w:sz w:val="24"/>
                <w:szCs w:val="24"/>
                <w:lang w:val="en-US" w:eastAsia="zh-CN"/>
              </w:rPr>
              <w:t>，构建比较详细得3-7分；</w:t>
            </w:r>
          </w:p>
          <w:p>
            <w:pPr>
              <w:pStyle w:val="2"/>
              <w:ind w:left="0" w:leftChars="0" w:firstLine="0" w:firstLineChars="0"/>
              <w:rPr>
                <w:rFonts w:hint="eastAsia"/>
                <w:lang w:val="en-US" w:eastAsia="zh-CN"/>
              </w:rPr>
            </w:pPr>
            <w:r>
              <w:rPr>
                <w:rFonts w:hint="eastAsia" w:ascii="宋体" w:hAnsi="宋体" w:eastAsia="宋体" w:cs="宋体"/>
                <w:sz w:val="24"/>
                <w:szCs w:val="24"/>
                <w:lang w:val="en-US" w:eastAsia="zh-CN"/>
              </w:rPr>
              <w:t>对本项目的</w:t>
            </w:r>
            <w:r>
              <w:rPr>
                <w:rFonts w:hint="eastAsia" w:ascii="宋体" w:hAnsi="宋体" w:eastAsia="宋体" w:cs="宋体"/>
                <w:sz w:val="24"/>
                <w:szCs w:val="24"/>
                <w:highlight w:val="none"/>
                <w:lang w:val="en-US" w:eastAsia="zh-CN"/>
              </w:rPr>
              <w:t>目标愿景和规划定位编制不准确</w:t>
            </w:r>
            <w:r>
              <w:rPr>
                <w:rFonts w:hint="eastAsia" w:ascii="宋体" w:hAnsi="宋体" w:eastAsia="宋体" w:cs="宋体"/>
                <w:sz w:val="24"/>
                <w:szCs w:val="24"/>
                <w:lang w:val="en-US" w:eastAsia="zh-CN"/>
              </w:rPr>
              <w:t>，构建不详细得0-3分；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974"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sz w:val="24"/>
                <w:szCs w:val="24"/>
                <w:highlight w:val="none"/>
                <w:lang w:val="en-US" w:eastAsia="zh-CN"/>
              </w:rPr>
              <w:t>人</w:t>
            </w:r>
            <w:r>
              <w:rPr>
                <w:rFonts w:hint="eastAsia" w:ascii="宋体" w:hAnsi="宋体" w:cs="宋体"/>
                <w:i w:val="0"/>
                <w:iCs w:val="0"/>
                <w:color w:val="auto"/>
                <w:sz w:val="24"/>
                <w:szCs w:val="24"/>
                <w:highlight w:val="none"/>
                <w:lang w:val="en-US" w:eastAsia="zh-CN"/>
              </w:rPr>
              <w:t>员</w:t>
            </w:r>
            <w:r>
              <w:rPr>
                <w:rFonts w:hint="eastAsia" w:ascii="宋体" w:hAnsi="宋体" w:eastAsia="宋体" w:cs="宋体"/>
                <w:i w:val="0"/>
                <w:iCs w:val="0"/>
                <w:color w:val="auto"/>
                <w:sz w:val="24"/>
                <w:szCs w:val="24"/>
                <w:highlight w:val="none"/>
                <w:lang w:val="en-US" w:eastAsia="zh-CN"/>
              </w:rPr>
              <w:t>配备</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default" w:ascii="宋体" w:hAnsi="宋体" w:eastAsia="宋体" w:cs="宋体"/>
                <w:color w:val="auto"/>
                <w:sz w:val="24"/>
                <w:szCs w:val="24"/>
                <w:lang w:val="en-US" w:eastAsia="zh-CN"/>
              </w:rPr>
            </w:pPr>
            <w:r>
              <w:rPr>
                <w:rFonts w:hint="eastAsia" w:ascii="宋体" w:hAnsi="宋体"/>
                <w:color w:val="auto"/>
                <w:sz w:val="24"/>
                <w:szCs w:val="24"/>
                <w:lang w:val="en-US" w:eastAsia="zh-CN"/>
              </w:rPr>
              <w:t>0-10</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项目负责人具有规划或建筑相关专业高级工程师，得2分；</w:t>
            </w:r>
          </w:p>
          <w:p>
            <w:pPr>
              <w:pStyle w:val="23"/>
              <w:spacing w:line="360" w:lineRule="auto"/>
              <w:jc w:val="left"/>
              <w:rPr>
                <w:rFonts w:hint="eastAsia" w:ascii="宋体" w:hAnsi="宋体" w:eastAsia="宋体" w:cs="宋体"/>
                <w:color w:val="auto"/>
                <w:sz w:val="24"/>
                <w:szCs w:val="24"/>
              </w:rPr>
            </w:pPr>
            <w:r>
              <w:rPr>
                <w:rFonts w:hint="eastAsia" w:ascii="宋体" w:hAnsi="宋体" w:eastAsia="宋体" w:cs="Times New Roman"/>
                <w:color w:val="auto"/>
                <w:sz w:val="24"/>
                <w:szCs w:val="24"/>
                <w:lang w:val="en-US" w:eastAsia="zh-CN"/>
              </w:rPr>
              <w:t>项目组成员中有城乡规划专业、建筑专业、环境保护专业、土地规划专业高级职称的，每有一个专业加2分，最多加8分</w:t>
            </w:r>
            <w:r>
              <w:rPr>
                <w:rFonts w:hint="eastAsia" w:ascii="宋体" w:hAnsi="宋体"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974"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505"/>
              </w:tabs>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sz w:val="24"/>
                <w:szCs w:val="24"/>
                <w:highlight w:val="none"/>
                <w:lang w:val="en-US" w:eastAsia="zh-CN"/>
              </w:rPr>
              <w:t>规划理念创新性、方案可实施操作性</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default" w:ascii="宋体" w:hAnsi="宋体" w:eastAsia="宋体" w:cs="宋体"/>
                <w:color w:val="auto"/>
                <w:sz w:val="24"/>
                <w:szCs w:val="24"/>
                <w:lang w:val="en-US" w:eastAsia="zh-CN"/>
              </w:rPr>
            </w:pPr>
            <w:r>
              <w:rPr>
                <w:rFonts w:hint="eastAsia" w:ascii="宋体" w:hAnsi="宋体"/>
                <w:color w:val="auto"/>
                <w:sz w:val="24"/>
                <w:szCs w:val="24"/>
                <w:lang w:val="en-US" w:eastAsia="zh-CN"/>
              </w:rPr>
              <w:t>0-20</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left"/>
              <w:rPr>
                <w:rFonts w:hint="eastAsia" w:ascii="宋体" w:hAnsi="宋体" w:eastAsia="宋体" w:cs="宋体"/>
                <w:i w:val="0"/>
                <w:iCs w:val="0"/>
                <w:color w:val="auto"/>
                <w:sz w:val="24"/>
                <w:szCs w:val="24"/>
                <w:highlight w:val="none"/>
                <w:lang w:val="zh-TW" w:eastAsia="zh-CN"/>
              </w:rPr>
            </w:pPr>
            <w:r>
              <w:rPr>
                <w:rFonts w:hint="eastAsia" w:ascii="宋体" w:hAnsi="宋体" w:eastAsia="宋体" w:cs="宋体"/>
                <w:i w:val="0"/>
                <w:iCs w:val="0"/>
                <w:color w:val="auto"/>
                <w:sz w:val="24"/>
                <w:szCs w:val="24"/>
                <w:highlight w:val="none"/>
                <w:lang w:val="zh-TW" w:eastAsia="zh-CN"/>
              </w:rPr>
              <w:t>方案</w:t>
            </w:r>
            <w:r>
              <w:rPr>
                <w:rFonts w:hint="eastAsia" w:ascii="宋体" w:hAnsi="宋体" w:cs="宋体"/>
                <w:i w:val="0"/>
                <w:iCs w:val="0"/>
                <w:color w:val="auto"/>
                <w:sz w:val="24"/>
                <w:szCs w:val="24"/>
                <w:highlight w:val="none"/>
                <w:lang w:val="zh-TW" w:eastAsia="zh-CN"/>
              </w:rPr>
              <w:t>特别创新、</w:t>
            </w:r>
            <w:r>
              <w:rPr>
                <w:rFonts w:hint="eastAsia" w:ascii="宋体" w:hAnsi="宋体" w:eastAsia="宋体" w:cs="宋体"/>
                <w:i w:val="0"/>
                <w:iCs w:val="0"/>
                <w:color w:val="auto"/>
                <w:sz w:val="24"/>
                <w:szCs w:val="24"/>
                <w:highlight w:val="none"/>
                <w:lang w:val="zh-TW" w:eastAsia="zh-CN"/>
              </w:rPr>
              <w:t>全面</w:t>
            </w:r>
            <w:r>
              <w:rPr>
                <w:rFonts w:hint="eastAsia" w:ascii="宋体" w:hAnsi="宋体" w:cs="宋体"/>
                <w:i w:val="0"/>
                <w:iCs w:val="0"/>
                <w:color w:val="auto"/>
                <w:sz w:val="24"/>
                <w:szCs w:val="24"/>
                <w:highlight w:val="none"/>
                <w:lang w:val="zh-TW" w:eastAsia="zh-CN"/>
              </w:rPr>
              <w:t>、</w:t>
            </w:r>
            <w:r>
              <w:rPr>
                <w:rFonts w:hint="eastAsia" w:ascii="宋体" w:hAnsi="宋体" w:eastAsia="宋体" w:cs="宋体"/>
                <w:i w:val="0"/>
                <w:iCs w:val="0"/>
                <w:color w:val="auto"/>
                <w:sz w:val="24"/>
                <w:szCs w:val="24"/>
                <w:highlight w:val="none"/>
                <w:lang w:val="zh-TW" w:eastAsia="zh-CN"/>
              </w:rPr>
              <w:t>合理</w:t>
            </w:r>
            <w:r>
              <w:rPr>
                <w:rFonts w:hint="eastAsia" w:ascii="宋体" w:hAnsi="宋体" w:cs="宋体"/>
                <w:i w:val="0"/>
                <w:iCs w:val="0"/>
                <w:color w:val="auto"/>
                <w:sz w:val="24"/>
                <w:szCs w:val="24"/>
                <w:highlight w:val="none"/>
                <w:lang w:val="zh-TW" w:eastAsia="zh-CN"/>
              </w:rPr>
              <w:t>，</w:t>
            </w:r>
            <w:r>
              <w:rPr>
                <w:rFonts w:hint="eastAsia" w:ascii="宋体" w:hAnsi="宋体" w:eastAsia="宋体" w:cs="宋体"/>
                <w:i w:val="0"/>
                <w:iCs w:val="0"/>
                <w:color w:val="auto"/>
                <w:sz w:val="24"/>
                <w:szCs w:val="24"/>
                <w:highlight w:val="none"/>
                <w:lang w:val="zh-TW" w:eastAsia="zh-CN"/>
              </w:rPr>
              <w:t>可行性强、</w:t>
            </w:r>
            <w:r>
              <w:rPr>
                <w:rFonts w:hint="eastAsia" w:ascii="宋体" w:hAnsi="宋体" w:eastAsia="宋体" w:cs="宋体"/>
                <w:i w:val="0"/>
                <w:iCs w:val="0"/>
                <w:color w:val="auto"/>
                <w:sz w:val="24"/>
                <w:szCs w:val="24"/>
                <w:highlight w:val="none"/>
                <w:lang w:val="en-US" w:eastAsia="zh-CN"/>
              </w:rPr>
              <w:t>逻辑</w:t>
            </w:r>
            <w:r>
              <w:rPr>
                <w:rFonts w:hint="eastAsia" w:ascii="宋体" w:hAnsi="宋体" w:cs="宋体"/>
                <w:i w:val="0"/>
                <w:iCs w:val="0"/>
                <w:color w:val="auto"/>
                <w:sz w:val="24"/>
                <w:szCs w:val="24"/>
                <w:highlight w:val="none"/>
                <w:lang w:val="en-US" w:eastAsia="zh-CN"/>
              </w:rPr>
              <w:t>特别</w:t>
            </w:r>
            <w:r>
              <w:rPr>
                <w:rFonts w:hint="eastAsia" w:ascii="宋体" w:hAnsi="宋体" w:eastAsia="宋体" w:cs="宋体"/>
                <w:i w:val="0"/>
                <w:iCs w:val="0"/>
                <w:color w:val="auto"/>
                <w:sz w:val="24"/>
                <w:szCs w:val="24"/>
                <w:highlight w:val="none"/>
                <w:lang w:val="en-US" w:eastAsia="zh-CN"/>
              </w:rPr>
              <w:t>清晰</w:t>
            </w:r>
            <w:r>
              <w:rPr>
                <w:rFonts w:hint="eastAsia" w:ascii="宋体" w:hAnsi="宋体" w:eastAsia="宋体" w:cs="宋体"/>
                <w:i w:val="0"/>
                <w:iCs w:val="0"/>
                <w:color w:val="auto"/>
                <w:sz w:val="24"/>
                <w:szCs w:val="24"/>
                <w:highlight w:val="none"/>
                <w:lang w:val="zh-TW" w:eastAsia="zh-CN"/>
              </w:rPr>
              <w:t>得</w:t>
            </w:r>
            <w:r>
              <w:rPr>
                <w:rFonts w:hint="eastAsia" w:ascii="宋体" w:hAnsi="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lang w:val="zh-TW" w:eastAsia="zh-CN"/>
              </w:rPr>
              <w:t>-</w:t>
            </w: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0</w:t>
            </w:r>
            <w:r>
              <w:rPr>
                <w:rFonts w:hint="eastAsia" w:ascii="宋体" w:hAnsi="宋体" w:eastAsia="宋体" w:cs="宋体"/>
                <w:i w:val="0"/>
                <w:iCs w:val="0"/>
                <w:color w:val="auto"/>
                <w:sz w:val="24"/>
                <w:szCs w:val="24"/>
                <w:highlight w:val="none"/>
                <w:lang w:val="zh-TW" w:eastAsia="zh-CN"/>
              </w:rPr>
              <w:t>分</w:t>
            </w:r>
            <w:r>
              <w:rPr>
                <w:rFonts w:hint="eastAsia" w:ascii="宋体" w:hAnsi="宋体" w:cs="宋体"/>
                <w:i w:val="0"/>
                <w:iCs w:val="0"/>
                <w:color w:val="auto"/>
                <w:sz w:val="24"/>
                <w:szCs w:val="24"/>
                <w:highlight w:val="none"/>
                <w:lang w:val="zh-TW" w:eastAsia="zh-CN"/>
              </w:rPr>
              <w:t>；</w:t>
            </w:r>
          </w:p>
          <w:p>
            <w:pPr>
              <w:pStyle w:val="23"/>
              <w:spacing w:line="360" w:lineRule="auto"/>
              <w:jc w:val="left"/>
              <w:rPr>
                <w:rFonts w:hint="eastAsia" w:ascii="宋体" w:hAnsi="宋体" w:eastAsia="宋体" w:cs="宋体"/>
                <w:i w:val="0"/>
                <w:iCs w:val="0"/>
                <w:color w:val="auto"/>
                <w:sz w:val="24"/>
                <w:szCs w:val="24"/>
                <w:highlight w:val="none"/>
                <w:lang w:val="zh-TW" w:eastAsia="zh-CN"/>
              </w:rPr>
            </w:pPr>
            <w:r>
              <w:rPr>
                <w:rFonts w:hint="eastAsia" w:ascii="宋体" w:hAnsi="宋体" w:eastAsia="宋体" w:cs="宋体"/>
                <w:i w:val="0"/>
                <w:iCs w:val="0"/>
                <w:color w:val="auto"/>
                <w:sz w:val="24"/>
                <w:szCs w:val="24"/>
                <w:highlight w:val="none"/>
                <w:lang w:val="zh-TW" w:eastAsia="zh-CN"/>
              </w:rPr>
              <w:t>方案</w:t>
            </w:r>
            <w:r>
              <w:rPr>
                <w:rFonts w:hint="eastAsia" w:ascii="宋体" w:hAnsi="宋体" w:cs="宋体"/>
                <w:i w:val="0"/>
                <w:iCs w:val="0"/>
                <w:color w:val="auto"/>
                <w:sz w:val="24"/>
                <w:szCs w:val="24"/>
                <w:highlight w:val="none"/>
                <w:lang w:val="zh-TW" w:eastAsia="zh-CN"/>
              </w:rPr>
              <w:t>比</w:t>
            </w:r>
            <w:r>
              <w:rPr>
                <w:rFonts w:hint="eastAsia" w:ascii="宋体" w:hAnsi="宋体" w:eastAsia="宋体" w:cs="宋体"/>
                <w:i w:val="0"/>
                <w:iCs w:val="0"/>
                <w:color w:val="auto"/>
                <w:sz w:val="24"/>
                <w:szCs w:val="24"/>
                <w:highlight w:val="none"/>
                <w:lang w:val="zh-TW" w:eastAsia="zh-CN"/>
              </w:rPr>
              <w:t>较</w:t>
            </w:r>
            <w:r>
              <w:rPr>
                <w:rFonts w:hint="eastAsia" w:ascii="宋体" w:hAnsi="宋体" w:cs="宋体"/>
                <w:i w:val="0"/>
                <w:iCs w:val="0"/>
                <w:color w:val="auto"/>
                <w:sz w:val="24"/>
                <w:szCs w:val="24"/>
                <w:highlight w:val="none"/>
                <w:lang w:val="zh-TW" w:eastAsia="zh-CN"/>
              </w:rPr>
              <w:t>创新、比</w:t>
            </w:r>
            <w:r>
              <w:rPr>
                <w:rFonts w:hint="eastAsia" w:ascii="宋体" w:hAnsi="宋体" w:eastAsia="宋体" w:cs="宋体"/>
                <w:i w:val="0"/>
                <w:iCs w:val="0"/>
                <w:color w:val="auto"/>
                <w:sz w:val="24"/>
                <w:szCs w:val="24"/>
                <w:highlight w:val="none"/>
                <w:lang w:val="zh-TW" w:eastAsia="zh-CN"/>
              </w:rPr>
              <w:t>较全面</w:t>
            </w:r>
            <w:r>
              <w:rPr>
                <w:rFonts w:hint="eastAsia" w:ascii="宋体" w:hAnsi="宋体" w:cs="宋体"/>
                <w:i w:val="0"/>
                <w:iCs w:val="0"/>
                <w:color w:val="auto"/>
                <w:sz w:val="24"/>
                <w:szCs w:val="24"/>
                <w:highlight w:val="none"/>
                <w:lang w:val="zh-TW" w:eastAsia="zh-CN"/>
              </w:rPr>
              <w:t>、比</w:t>
            </w:r>
            <w:r>
              <w:rPr>
                <w:rFonts w:hint="eastAsia" w:ascii="宋体" w:hAnsi="宋体" w:eastAsia="宋体" w:cs="宋体"/>
                <w:i w:val="0"/>
                <w:iCs w:val="0"/>
                <w:color w:val="auto"/>
                <w:sz w:val="24"/>
                <w:szCs w:val="24"/>
                <w:highlight w:val="none"/>
                <w:lang w:val="zh-TW" w:eastAsia="zh-CN"/>
              </w:rPr>
              <w:t>较合理,可行性</w:t>
            </w:r>
            <w:r>
              <w:rPr>
                <w:rFonts w:hint="eastAsia" w:ascii="宋体" w:hAnsi="宋体" w:cs="宋体"/>
                <w:i w:val="0"/>
                <w:iCs w:val="0"/>
                <w:color w:val="auto"/>
                <w:sz w:val="24"/>
                <w:szCs w:val="24"/>
                <w:highlight w:val="none"/>
                <w:lang w:val="zh-TW" w:eastAsia="zh-CN"/>
              </w:rPr>
              <w:t>比较</w:t>
            </w:r>
            <w:r>
              <w:rPr>
                <w:rFonts w:hint="eastAsia" w:ascii="宋体" w:hAnsi="宋体" w:eastAsia="宋体" w:cs="宋体"/>
                <w:i w:val="0"/>
                <w:iCs w:val="0"/>
                <w:color w:val="auto"/>
                <w:sz w:val="24"/>
                <w:szCs w:val="24"/>
                <w:highlight w:val="none"/>
                <w:lang w:val="zh-TW" w:eastAsia="zh-CN"/>
              </w:rPr>
              <w:t>一般、</w:t>
            </w:r>
            <w:r>
              <w:rPr>
                <w:rFonts w:hint="eastAsia" w:ascii="宋体" w:hAnsi="宋体" w:eastAsia="宋体" w:cs="宋体"/>
                <w:i w:val="0"/>
                <w:iCs w:val="0"/>
                <w:color w:val="auto"/>
                <w:sz w:val="24"/>
                <w:szCs w:val="24"/>
                <w:highlight w:val="none"/>
                <w:lang w:val="en-US" w:eastAsia="zh-CN"/>
              </w:rPr>
              <w:t>逻辑</w:t>
            </w:r>
            <w:r>
              <w:rPr>
                <w:rFonts w:hint="eastAsia" w:ascii="宋体" w:hAnsi="宋体" w:cs="宋体"/>
                <w:i w:val="0"/>
                <w:iCs w:val="0"/>
                <w:color w:val="auto"/>
                <w:sz w:val="24"/>
                <w:szCs w:val="24"/>
                <w:highlight w:val="none"/>
                <w:lang w:val="en-US" w:eastAsia="zh-CN"/>
              </w:rPr>
              <w:t>比</w:t>
            </w:r>
            <w:r>
              <w:rPr>
                <w:rFonts w:hint="eastAsia" w:ascii="宋体" w:hAnsi="宋体" w:eastAsia="宋体" w:cs="宋体"/>
                <w:i w:val="0"/>
                <w:iCs w:val="0"/>
                <w:color w:val="auto"/>
                <w:sz w:val="24"/>
                <w:szCs w:val="24"/>
                <w:highlight w:val="none"/>
                <w:lang w:val="en-US" w:eastAsia="zh-CN"/>
              </w:rPr>
              <w:t>较清晰</w:t>
            </w:r>
            <w:r>
              <w:rPr>
                <w:rFonts w:hint="eastAsia" w:ascii="宋体" w:hAnsi="宋体" w:eastAsia="宋体" w:cs="宋体"/>
                <w:i w:val="0"/>
                <w:iCs w:val="0"/>
                <w:color w:val="auto"/>
                <w:sz w:val="24"/>
                <w:szCs w:val="24"/>
                <w:highlight w:val="none"/>
                <w:lang w:val="zh-TW" w:eastAsia="zh-CN"/>
              </w:rPr>
              <w:t>得</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val="zh-TW" w:eastAsia="zh-CN"/>
              </w:rPr>
              <w:t>-1</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TW" w:eastAsia="zh-CN"/>
              </w:rPr>
              <w:t>分</w:t>
            </w:r>
            <w:r>
              <w:rPr>
                <w:rFonts w:hint="eastAsia" w:ascii="宋体" w:hAnsi="宋体" w:cs="宋体"/>
                <w:i w:val="0"/>
                <w:iCs w:val="0"/>
                <w:color w:val="auto"/>
                <w:sz w:val="24"/>
                <w:szCs w:val="24"/>
                <w:highlight w:val="none"/>
                <w:lang w:val="zh-TW" w:eastAsia="zh-CN"/>
              </w:rPr>
              <w:t>；</w:t>
            </w:r>
          </w:p>
          <w:p>
            <w:pPr>
              <w:pStyle w:val="23"/>
              <w:spacing w:line="360" w:lineRule="auto"/>
              <w:jc w:val="left"/>
              <w:rPr>
                <w:rFonts w:hint="eastAsia"/>
                <w:color w:val="auto"/>
              </w:rPr>
            </w:pPr>
            <w:r>
              <w:rPr>
                <w:rFonts w:hint="eastAsia" w:ascii="宋体" w:hAnsi="宋体" w:eastAsia="宋体" w:cs="宋体"/>
                <w:i w:val="0"/>
                <w:iCs w:val="0"/>
                <w:color w:val="auto"/>
                <w:sz w:val="24"/>
                <w:szCs w:val="24"/>
                <w:highlight w:val="none"/>
                <w:lang w:val="zh-TW" w:eastAsia="zh-CN"/>
              </w:rPr>
              <w:t>方案</w:t>
            </w:r>
            <w:r>
              <w:rPr>
                <w:rFonts w:hint="eastAsia" w:ascii="宋体" w:hAnsi="宋体" w:cs="宋体"/>
                <w:i w:val="0"/>
                <w:iCs w:val="0"/>
                <w:color w:val="auto"/>
                <w:sz w:val="24"/>
                <w:szCs w:val="24"/>
                <w:highlight w:val="none"/>
                <w:lang w:val="zh-TW" w:eastAsia="zh-CN"/>
              </w:rPr>
              <w:t>不够创新、</w:t>
            </w:r>
            <w:r>
              <w:rPr>
                <w:rFonts w:hint="eastAsia" w:ascii="宋体" w:hAnsi="宋体" w:eastAsia="宋体" w:cs="宋体"/>
                <w:i w:val="0"/>
                <w:iCs w:val="0"/>
                <w:color w:val="auto"/>
                <w:sz w:val="24"/>
                <w:szCs w:val="24"/>
                <w:highlight w:val="none"/>
                <w:lang w:val="zh-TW" w:eastAsia="zh-CN"/>
              </w:rPr>
              <w:t>不全面</w:t>
            </w:r>
            <w:r>
              <w:rPr>
                <w:rFonts w:hint="eastAsia" w:ascii="宋体" w:hAnsi="宋体" w:cs="宋体"/>
                <w:i w:val="0"/>
                <w:iCs w:val="0"/>
                <w:color w:val="auto"/>
                <w:sz w:val="24"/>
                <w:szCs w:val="24"/>
                <w:highlight w:val="none"/>
                <w:lang w:val="zh-TW" w:eastAsia="zh-CN"/>
              </w:rPr>
              <w:t>且</w:t>
            </w:r>
            <w:r>
              <w:rPr>
                <w:rFonts w:hint="eastAsia" w:ascii="宋体" w:hAnsi="宋体" w:eastAsia="宋体" w:cs="宋体"/>
                <w:i w:val="0"/>
                <w:iCs w:val="0"/>
                <w:color w:val="auto"/>
                <w:sz w:val="24"/>
                <w:szCs w:val="24"/>
                <w:highlight w:val="none"/>
                <w:lang w:val="zh-TW" w:eastAsia="zh-CN"/>
              </w:rPr>
              <w:t>合理性差,可行性不贴近项目实施，</w:t>
            </w:r>
            <w:r>
              <w:rPr>
                <w:rFonts w:hint="eastAsia" w:ascii="宋体" w:hAnsi="宋体" w:eastAsia="宋体" w:cs="宋体"/>
                <w:i w:val="0"/>
                <w:iCs w:val="0"/>
                <w:color w:val="auto"/>
                <w:sz w:val="24"/>
                <w:szCs w:val="24"/>
                <w:highlight w:val="none"/>
                <w:lang w:val="en-US" w:eastAsia="zh-CN"/>
              </w:rPr>
              <w:t>逻辑不清晰、存在较多矛盾处</w:t>
            </w:r>
            <w:r>
              <w:rPr>
                <w:rFonts w:hint="eastAsia" w:ascii="宋体" w:hAnsi="宋体" w:eastAsia="宋体" w:cs="宋体"/>
                <w:i w:val="0"/>
                <w:iCs w:val="0"/>
                <w:color w:val="auto"/>
                <w:sz w:val="24"/>
                <w:szCs w:val="24"/>
                <w:highlight w:val="none"/>
                <w:lang w:val="zh-TW" w:eastAsia="zh-CN"/>
              </w:rPr>
              <w:t>为其他得0-</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TW" w:eastAsia="zh-CN"/>
              </w:rPr>
              <w:t>分</w:t>
            </w:r>
            <w:r>
              <w:rPr>
                <w:rFonts w:hint="eastAsia" w:ascii="宋体" w:hAnsi="宋体" w:cs="宋体"/>
                <w:i w:val="0"/>
                <w:iCs w:val="0"/>
                <w:color w:val="auto"/>
                <w:sz w:val="24"/>
                <w:szCs w:val="24"/>
                <w:highlight w:val="none"/>
                <w:lang w:val="zh-TW"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2" w:hRule="atLeast"/>
          <w:jc w:val="center"/>
        </w:trPr>
        <w:tc>
          <w:tcPr>
            <w:tcW w:w="546" w:type="dxa"/>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974" w:type="dxa"/>
            <w:tcBorders>
              <w:top w:val="single" w:color="auto" w:sz="4" w:space="0"/>
              <w:left w:val="single" w:color="auto" w:sz="4" w:space="0"/>
              <w:right w:val="single" w:color="auto" w:sz="4" w:space="0"/>
            </w:tcBorders>
            <w:noWrap w:val="0"/>
            <w:vAlign w:val="center"/>
          </w:tcPr>
          <w:p>
            <w:pPr>
              <w:pStyle w:val="23"/>
              <w:tabs>
                <w:tab w:val="left" w:pos="505"/>
              </w:tabs>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sz w:val="24"/>
                <w:szCs w:val="24"/>
                <w:highlight w:val="none"/>
              </w:rPr>
              <w:t>服务承诺</w:t>
            </w:r>
          </w:p>
        </w:tc>
        <w:tc>
          <w:tcPr>
            <w:tcW w:w="696" w:type="dxa"/>
            <w:tcBorders>
              <w:top w:val="single" w:color="auto" w:sz="4" w:space="0"/>
              <w:left w:val="single" w:color="auto" w:sz="4" w:space="0"/>
              <w:right w:val="single" w:color="auto" w:sz="4" w:space="0"/>
            </w:tcBorders>
            <w:noWrap w:val="0"/>
            <w:vAlign w:val="center"/>
          </w:tcPr>
          <w:p>
            <w:pPr>
              <w:pStyle w:val="23"/>
              <w:spacing w:line="360" w:lineRule="auto"/>
              <w:jc w:val="center"/>
              <w:rPr>
                <w:rFonts w:hint="default" w:ascii="宋体" w:hAnsi="宋体" w:eastAsia="宋体" w:cs="宋体"/>
                <w:color w:val="auto"/>
                <w:sz w:val="24"/>
                <w:szCs w:val="24"/>
                <w:lang w:val="en-US" w:eastAsia="zh-CN"/>
              </w:rPr>
            </w:pPr>
            <w:r>
              <w:rPr>
                <w:rFonts w:hint="eastAsia" w:ascii="宋体" w:hAnsi="宋体"/>
                <w:color w:val="auto"/>
                <w:sz w:val="24"/>
                <w:szCs w:val="24"/>
                <w:lang w:val="en-US" w:eastAsia="zh-CN"/>
              </w:rPr>
              <w:t>0-12</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left"/>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该项目完成后，继续</w:t>
            </w:r>
            <w:r>
              <w:rPr>
                <w:rFonts w:hint="eastAsia" w:ascii="宋体" w:hAnsi="宋体" w:eastAsia="宋体" w:cs="宋体"/>
                <w:color w:val="auto"/>
                <w:kern w:val="2"/>
                <w:sz w:val="24"/>
                <w:szCs w:val="24"/>
                <w:lang w:val="en-US" w:eastAsia="zh-CN" w:bidi="ar-SA"/>
              </w:rPr>
              <w:t>后</w:t>
            </w:r>
            <w:r>
              <w:rPr>
                <w:rFonts w:hint="eastAsia" w:ascii="宋体" w:hAnsi="宋体" w:cs="宋体"/>
                <w:color w:val="auto"/>
                <w:kern w:val="2"/>
                <w:sz w:val="24"/>
                <w:szCs w:val="24"/>
                <w:lang w:val="en-US" w:eastAsia="zh-CN" w:bidi="ar-SA"/>
              </w:rPr>
              <w:t>期的跟踪</w:t>
            </w:r>
            <w:r>
              <w:rPr>
                <w:rFonts w:hint="eastAsia" w:ascii="宋体" w:hAnsi="宋体" w:eastAsia="宋体" w:cs="宋体"/>
                <w:color w:val="auto"/>
                <w:kern w:val="2"/>
                <w:sz w:val="24"/>
                <w:szCs w:val="24"/>
                <w:lang w:val="en-US" w:eastAsia="zh-CN" w:bidi="ar-SA"/>
              </w:rPr>
              <w:t>服务计划详细、具体</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后期</w:t>
            </w:r>
            <w:r>
              <w:rPr>
                <w:rFonts w:hint="eastAsia" w:ascii="宋体" w:hAnsi="宋体" w:cs="宋体"/>
                <w:color w:val="auto"/>
                <w:kern w:val="2"/>
                <w:sz w:val="24"/>
                <w:szCs w:val="24"/>
                <w:lang w:val="en-US" w:eastAsia="zh-CN" w:bidi="ar-SA"/>
              </w:rPr>
              <w:t>可</w:t>
            </w:r>
            <w:r>
              <w:rPr>
                <w:rFonts w:hint="eastAsia" w:ascii="宋体" w:hAnsi="宋体" w:eastAsia="宋体" w:cs="宋体"/>
                <w:color w:val="auto"/>
                <w:kern w:val="2"/>
                <w:sz w:val="24"/>
                <w:szCs w:val="24"/>
                <w:lang w:val="en-US" w:eastAsia="zh-CN" w:bidi="ar-SA"/>
              </w:rPr>
              <w:t>提供</w:t>
            </w:r>
            <w:r>
              <w:rPr>
                <w:rFonts w:hint="eastAsia" w:ascii="宋体" w:hAnsi="宋体" w:cs="宋体"/>
                <w:color w:val="auto"/>
                <w:kern w:val="2"/>
                <w:sz w:val="24"/>
                <w:szCs w:val="24"/>
                <w:lang w:val="en-US" w:eastAsia="zh-CN" w:bidi="ar-SA"/>
              </w:rPr>
              <w:t>2名工作人员作为服务</w:t>
            </w:r>
            <w:r>
              <w:rPr>
                <w:rFonts w:hint="eastAsia" w:ascii="宋体" w:hAnsi="宋体" w:eastAsia="宋体" w:cs="宋体"/>
                <w:color w:val="auto"/>
                <w:kern w:val="2"/>
                <w:sz w:val="24"/>
                <w:szCs w:val="24"/>
                <w:lang w:val="en-US" w:eastAsia="zh-CN" w:bidi="ar-SA"/>
              </w:rPr>
              <w:t>保障</w:t>
            </w:r>
            <w:r>
              <w:rPr>
                <w:rFonts w:hint="eastAsia" w:ascii="宋体" w:hAnsi="宋体" w:cs="宋体"/>
                <w:color w:val="auto"/>
                <w:kern w:val="2"/>
                <w:sz w:val="24"/>
                <w:szCs w:val="24"/>
                <w:lang w:val="en-US" w:eastAsia="zh-CN" w:bidi="ar-SA"/>
              </w:rPr>
              <w:t>得6-12分；</w:t>
            </w:r>
          </w:p>
          <w:p>
            <w:pPr>
              <w:pStyle w:val="23"/>
              <w:spacing w:line="360" w:lineRule="auto"/>
              <w:jc w:val="left"/>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继续</w:t>
            </w:r>
            <w:r>
              <w:rPr>
                <w:rFonts w:hint="eastAsia" w:ascii="宋体" w:hAnsi="宋体" w:eastAsia="宋体" w:cs="宋体"/>
                <w:color w:val="auto"/>
                <w:kern w:val="2"/>
                <w:sz w:val="24"/>
                <w:szCs w:val="24"/>
                <w:lang w:val="en-US" w:eastAsia="zh-CN" w:bidi="ar-SA"/>
              </w:rPr>
              <w:t>后</w:t>
            </w:r>
            <w:r>
              <w:rPr>
                <w:rFonts w:hint="eastAsia" w:ascii="宋体" w:hAnsi="宋体" w:cs="宋体"/>
                <w:color w:val="auto"/>
                <w:kern w:val="2"/>
                <w:sz w:val="24"/>
                <w:szCs w:val="24"/>
                <w:lang w:val="en-US" w:eastAsia="zh-CN" w:bidi="ar-SA"/>
              </w:rPr>
              <w:t>期的跟踪</w:t>
            </w:r>
            <w:r>
              <w:rPr>
                <w:rFonts w:hint="eastAsia" w:ascii="宋体" w:hAnsi="宋体" w:eastAsia="宋体" w:cs="宋体"/>
                <w:color w:val="auto"/>
                <w:kern w:val="2"/>
                <w:sz w:val="24"/>
                <w:szCs w:val="24"/>
                <w:lang w:val="en-US" w:eastAsia="zh-CN" w:bidi="ar-SA"/>
              </w:rPr>
              <w:t>服务计划</w:t>
            </w:r>
            <w:r>
              <w:rPr>
                <w:rFonts w:hint="eastAsia" w:ascii="宋体" w:hAnsi="宋体" w:cs="宋体"/>
                <w:color w:val="auto"/>
                <w:kern w:val="2"/>
                <w:sz w:val="24"/>
                <w:szCs w:val="24"/>
                <w:lang w:val="en-US" w:eastAsia="zh-CN" w:bidi="ar-SA"/>
              </w:rPr>
              <w:t>比较</w:t>
            </w:r>
            <w:r>
              <w:rPr>
                <w:rFonts w:hint="eastAsia" w:ascii="宋体" w:hAnsi="宋体" w:eastAsia="宋体" w:cs="宋体"/>
                <w:color w:val="auto"/>
                <w:kern w:val="2"/>
                <w:sz w:val="24"/>
                <w:szCs w:val="24"/>
                <w:lang w:val="en-US" w:eastAsia="zh-CN" w:bidi="ar-SA"/>
              </w:rPr>
              <w:t>详细、具体</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后期</w:t>
            </w:r>
            <w:r>
              <w:rPr>
                <w:rFonts w:hint="eastAsia" w:ascii="宋体" w:hAnsi="宋体" w:cs="宋体"/>
                <w:color w:val="auto"/>
                <w:kern w:val="2"/>
                <w:sz w:val="24"/>
                <w:szCs w:val="24"/>
                <w:lang w:val="en-US" w:eastAsia="zh-CN" w:bidi="ar-SA"/>
              </w:rPr>
              <w:t>可</w:t>
            </w:r>
            <w:r>
              <w:rPr>
                <w:rFonts w:hint="eastAsia" w:ascii="宋体" w:hAnsi="宋体" w:eastAsia="宋体" w:cs="宋体"/>
                <w:color w:val="auto"/>
                <w:kern w:val="2"/>
                <w:sz w:val="24"/>
                <w:szCs w:val="24"/>
                <w:lang w:val="en-US" w:eastAsia="zh-CN" w:bidi="ar-SA"/>
              </w:rPr>
              <w:t>提供</w:t>
            </w:r>
            <w:r>
              <w:rPr>
                <w:rFonts w:hint="eastAsia" w:ascii="宋体" w:hAnsi="宋体" w:cs="宋体"/>
                <w:color w:val="auto"/>
                <w:kern w:val="2"/>
                <w:sz w:val="24"/>
                <w:szCs w:val="24"/>
                <w:lang w:val="en-US" w:eastAsia="zh-CN" w:bidi="ar-SA"/>
              </w:rPr>
              <w:t>1名工作人员作为服务</w:t>
            </w:r>
            <w:r>
              <w:rPr>
                <w:rFonts w:hint="eastAsia" w:ascii="宋体" w:hAnsi="宋体" w:eastAsia="宋体" w:cs="宋体"/>
                <w:color w:val="auto"/>
                <w:kern w:val="2"/>
                <w:sz w:val="24"/>
                <w:szCs w:val="24"/>
                <w:lang w:val="en-US" w:eastAsia="zh-CN" w:bidi="ar-SA"/>
              </w:rPr>
              <w:t>保障</w:t>
            </w:r>
            <w:r>
              <w:rPr>
                <w:rFonts w:hint="eastAsia" w:ascii="宋体" w:hAnsi="宋体" w:cs="宋体"/>
                <w:color w:val="auto"/>
                <w:kern w:val="2"/>
                <w:sz w:val="24"/>
                <w:szCs w:val="24"/>
                <w:lang w:val="en-US" w:eastAsia="zh-CN" w:bidi="ar-SA"/>
              </w:rPr>
              <w:t>得3-6分；</w:t>
            </w:r>
          </w:p>
          <w:p>
            <w:pPr>
              <w:pStyle w:val="23"/>
              <w:spacing w:line="360" w:lineRule="auto"/>
              <w:jc w:val="left"/>
              <w:rPr>
                <w:rFonts w:hint="default"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后</w:t>
            </w:r>
            <w:r>
              <w:rPr>
                <w:rFonts w:hint="eastAsia" w:ascii="宋体" w:hAnsi="宋体" w:cs="宋体"/>
                <w:color w:val="auto"/>
                <w:kern w:val="2"/>
                <w:sz w:val="24"/>
                <w:szCs w:val="24"/>
                <w:lang w:val="en-US" w:eastAsia="zh-CN" w:bidi="ar-SA"/>
              </w:rPr>
              <w:t>期跟踪</w:t>
            </w:r>
            <w:r>
              <w:rPr>
                <w:rFonts w:hint="eastAsia" w:ascii="宋体" w:hAnsi="宋体" w:eastAsia="宋体" w:cs="宋体"/>
                <w:color w:val="auto"/>
                <w:kern w:val="2"/>
                <w:sz w:val="24"/>
                <w:szCs w:val="24"/>
                <w:lang w:val="en-US" w:eastAsia="zh-CN" w:bidi="ar-SA"/>
              </w:rPr>
              <w:t>服务计划</w:t>
            </w:r>
            <w:r>
              <w:rPr>
                <w:rFonts w:hint="eastAsia" w:ascii="宋体" w:hAnsi="宋体" w:cs="宋体"/>
                <w:color w:val="auto"/>
                <w:kern w:val="2"/>
                <w:sz w:val="24"/>
                <w:szCs w:val="24"/>
                <w:lang w:val="en-US" w:eastAsia="zh-CN" w:bidi="ar-SA"/>
              </w:rPr>
              <w:t>不</w:t>
            </w:r>
            <w:r>
              <w:rPr>
                <w:rFonts w:hint="eastAsia" w:ascii="宋体" w:hAnsi="宋体" w:eastAsia="宋体" w:cs="宋体"/>
                <w:color w:val="auto"/>
                <w:kern w:val="2"/>
                <w:sz w:val="24"/>
                <w:szCs w:val="24"/>
                <w:lang w:val="en-US" w:eastAsia="zh-CN" w:bidi="ar-SA"/>
              </w:rPr>
              <w:t>详细、</w:t>
            </w:r>
            <w:r>
              <w:rPr>
                <w:rFonts w:hint="eastAsia" w:ascii="宋体" w:hAnsi="宋体" w:cs="宋体"/>
                <w:color w:val="auto"/>
                <w:kern w:val="2"/>
                <w:sz w:val="24"/>
                <w:szCs w:val="24"/>
                <w:lang w:val="en-US" w:eastAsia="zh-CN" w:bidi="ar-SA"/>
              </w:rPr>
              <w:t>不</w:t>
            </w:r>
            <w:r>
              <w:rPr>
                <w:rFonts w:hint="eastAsia" w:ascii="宋体" w:hAnsi="宋体" w:eastAsia="宋体" w:cs="宋体"/>
                <w:color w:val="auto"/>
                <w:kern w:val="2"/>
                <w:sz w:val="24"/>
                <w:szCs w:val="24"/>
                <w:lang w:val="en-US" w:eastAsia="zh-CN" w:bidi="ar-SA"/>
              </w:rPr>
              <w:t>具体</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后期</w:t>
            </w:r>
            <w:r>
              <w:rPr>
                <w:rFonts w:hint="eastAsia" w:ascii="宋体" w:hAnsi="宋体" w:cs="宋体"/>
                <w:color w:val="auto"/>
                <w:kern w:val="2"/>
                <w:sz w:val="24"/>
                <w:szCs w:val="24"/>
                <w:lang w:val="en-US" w:eastAsia="zh-CN" w:bidi="ar-SA"/>
              </w:rPr>
              <w:t>不</w:t>
            </w:r>
            <w:r>
              <w:rPr>
                <w:rFonts w:hint="eastAsia" w:ascii="宋体" w:hAnsi="宋体" w:eastAsia="宋体" w:cs="宋体"/>
                <w:color w:val="auto"/>
                <w:kern w:val="2"/>
                <w:sz w:val="24"/>
                <w:szCs w:val="24"/>
                <w:lang w:val="en-US" w:eastAsia="zh-CN" w:bidi="ar-SA"/>
              </w:rPr>
              <w:t>提供</w:t>
            </w:r>
            <w:r>
              <w:rPr>
                <w:rFonts w:hint="eastAsia" w:ascii="宋体" w:hAnsi="宋体" w:cs="宋体"/>
                <w:color w:val="auto"/>
                <w:kern w:val="2"/>
                <w:sz w:val="24"/>
                <w:szCs w:val="24"/>
                <w:lang w:val="en-US" w:eastAsia="zh-CN" w:bidi="ar-SA"/>
              </w:rPr>
              <w:t>工作人员作为服务</w:t>
            </w:r>
            <w:r>
              <w:rPr>
                <w:rFonts w:hint="eastAsia" w:ascii="宋体" w:hAnsi="宋体" w:eastAsia="宋体" w:cs="宋体"/>
                <w:color w:val="auto"/>
                <w:kern w:val="2"/>
                <w:sz w:val="24"/>
                <w:szCs w:val="24"/>
                <w:lang w:val="en-US" w:eastAsia="zh-CN" w:bidi="ar-SA"/>
              </w:rPr>
              <w:t>保障</w:t>
            </w:r>
            <w:r>
              <w:rPr>
                <w:rFonts w:hint="eastAsia" w:ascii="宋体" w:hAnsi="宋体" w:cs="宋体"/>
                <w:color w:val="auto"/>
                <w:kern w:val="2"/>
                <w:sz w:val="24"/>
                <w:szCs w:val="24"/>
                <w:lang w:val="en-US" w:eastAsia="zh-CN" w:bidi="ar-SA"/>
              </w:rPr>
              <w:t>得0-2分；</w:t>
            </w:r>
          </w:p>
        </w:tc>
      </w:tr>
    </w:tbl>
    <w:p>
      <w:pPr>
        <w:spacing w:line="360" w:lineRule="auto"/>
        <w:rPr>
          <w:rFonts w:hint="eastAsia" w:ascii="宋体" w:hAnsi="宋体" w:eastAsia="宋体" w:cs="宋体"/>
          <w:b w:val="0"/>
          <w:bCs w:val="0"/>
          <w:color w:val="auto"/>
          <w:kern w:val="2"/>
          <w:sz w:val="24"/>
          <w:szCs w:val="24"/>
          <w:highlight w:val="none"/>
          <w:lang w:val="en-US" w:eastAsia="zh-CN" w:bidi="ar-SA"/>
        </w:rPr>
      </w:pP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将所有评标委员会成员的评分平均后为最终得分。计算平均分保留两位小数，小数点后第三位四舍五入。</w:t>
      </w:r>
    </w:p>
    <w:p>
      <w:pPr>
        <w:pStyle w:val="18"/>
        <w:numPr>
          <w:ilvl w:val="2"/>
          <w:numId w:val="0"/>
        </w:numPr>
        <w:spacing w:line="360" w:lineRule="auto"/>
        <w:ind w:leftChars="0"/>
        <w:outlineLvl w:val="0"/>
        <w:rPr>
          <w:rFonts w:hint="eastAsia" w:ascii="宋体" w:hAnsi="宋体" w:eastAsia="宋体" w:cs="宋体"/>
          <w:b w:val="0"/>
          <w:bCs w:val="0"/>
          <w:color w:val="auto"/>
          <w:kern w:val="2"/>
          <w:sz w:val="24"/>
          <w:szCs w:val="24"/>
          <w:highlight w:val="none"/>
          <w:lang w:val="en-US" w:eastAsia="zh-CN" w:bidi="ar-SA"/>
        </w:rPr>
      </w:pPr>
      <w:bookmarkStart w:id="34" w:name="_Toc492286399"/>
      <w:r>
        <w:rPr>
          <w:rFonts w:hint="eastAsia" w:ascii="宋体" w:hAnsi="宋体" w:eastAsia="宋体" w:cs="宋体"/>
          <w:b w:val="0"/>
          <w:bCs w:val="0"/>
          <w:color w:val="auto"/>
          <w:kern w:val="2"/>
          <w:sz w:val="24"/>
          <w:szCs w:val="24"/>
          <w:highlight w:val="none"/>
          <w:lang w:val="en-US" w:eastAsia="zh-CN" w:bidi="ar-SA"/>
        </w:rPr>
        <w:t>3.5 响应文件的澄清和补正</w:t>
      </w:r>
      <w:bookmarkEnd w:id="34"/>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3.5.1在评标过程中，对于响应文件中含义不明确、同类问题表述不一致或者有明显文字和计算错误的内容，评标委员会应当以书面形式要求投标人作出必要的澄清、说明或者补正。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3.5.2评标委员会将允许修正响应文件中不构成重大偏离的、微小的、非正规的、不一致的或不规则的地方，但这种修正不能影响任何投标人相应的名次排序。</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3.5.3 投标人的澄清、说明或者补正应当采用书面形式，并加盖公章，或者由法定代表人或其授权代表签字。投标人的澄清、说明或者补正不得超出响应文件的范围或者改变响应文件的实质性内容（算术性错误修正的除外）。投标人的书面</w:t>
      </w:r>
      <w:bookmarkStart w:id="35" w:name="OLE_LINK3"/>
      <w:r>
        <w:rPr>
          <w:rFonts w:hint="eastAsia" w:ascii="宋体" w:hAnsi="宋体" w:eastAsia="宋体" w:cs="宋体"/>
          <w:b w:val="0"/>
          <w:bCs w:val="0"/>
          <w:color w:val="auto"/>
          <w:kern w:val="2"/>
          <w:sz w:val="24"/>
          <w:szCs w:val="24"/>
          <w:highlight w:val="none"/>
          <w:lang w:val="en-US" w:eastAsia="zh-CN" w:bidi="ar-SA"/>
        </w:rPr>
        <w:t>澄清、说明或者补正</w:t>
      </w:r>
      <w:bookmarkEnd w:id="35"/>
      <w:r>
        <w:rPr>
          <w:rFonts w:hint="eastAsia" w:ascii="宋体" w:hAnsi="宋体" w:eastAsia="宋体" w:cs="宋体"/>
          <w:b w:val="0"/>
          <w:bCs w:val="0"/>
          <w:color w:val="auto"/>
          <w:kern w:val="2"/>
          <w:sz w:val="24"/>
          <w:szCs w:val="24"/>
          <w:highlight w:val="none"/>
          <w:lang w:val="en-US" w:eastAsia="zh-CN" w:bidi="ar-SA"/>
        </w:rPr>
        <w:t>属于响应文件的组成部分。</w:t>
      </w:r>
    </w:p>
    <w:p>
      <w:pPr>
        <w:pStyle w:val="18"/>
        <w:numPr>
          <w:ilvl w:val="2"/>
          <w:numId w:val="0"/>
        </w:numPr>
        <w:spacing w:line="360" w:lineRule="auto"/>
        <w:ind w:leftChars="0"/>
        <w:outlineLvl w:val="0"/>
        <w:rPr>
          <w:rFonts w:hint="eastAsia" w:ascii="宋体" w:hAnsi="宋体" w:eastAsia="宋体" w:cs="宋体"/>
          <w:b w:val="0"/>
          <w:bCs w:val="0"/>
          <w:color w:val="auto"/>
          <w:kern w:val="2"/>
          <w:sz w:val="24"/>
          <w:szCs w:val="24"/>
          <w:highlight w:val="none"/>
          <w:lang w:val="en-US" w:eastAsia="zh-CN" w:bidi="ar-SA"/>
        </w:rPr>
      </w:pPr>
      <w:bookmarkStart w:id="36" w:name="_Toc179632626"/>
      <w:bookmarkStart w:id="37" w:name="_Toc152042386"/>
      <w:bookmarkStart w:id="38" w:name="_Toc233102572"/>
      <w:bookmarkStart w:id="39" w:name="_Toc144974576"/>
      <w:bookmarkStart w:id="40" w:name="_Toc492286400"/>
      <w:bookmarkStart w:id="41" w:name="_Toc152045608"/>
      <w:r>
        <w:rPr>
          <w:rFonts w:hint="eastAsia" w:ascii="宋体" w:hAnsi="宋体" w:eastAsia="宋体" w:cs="宋体"/>
          <w:b w:val="0"/>
          <w:bCs w:val="0"/>
          <w:color w:val="auto"/>
          <w:kern w:val="2"/>
          <w:sz w:val="24"/>
          <w:szCs w:val="24"/>
          <w:highlight w:val="none"/>
          <w:lang w:val="en-US" w:eastAsia="zh-CN" w:bidi="ar-SA"/>
        </w:rPr>
        <w:t>3.6 评标结果</w:t>
      </w:r>
      <w:bookmarkEnd w:id="36"/>
      <w:bookmarkEnd w:id="37"/>
      <w:bookmarkEnd w:id="38"/>
      <w:bookmarkEnd w:id="39"/>
      <w:bookmarkEnd w:id="40"/>
      <w:bookmarkEnd w:id="41"/>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3.6.1提供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采购人委托评标委员会随机推荐一个投标人获得中标人推荐资格，其他同品牌投标人不作为中标候选人。</w:t>
      </w:r>
    </w:p>
    <w:p>
      <w:pPr>
        <w:pStyle w:val="21"/>
        <w:wordWrap w:val="0"/>
        <w:spacing w:before="0" w:beforeAutospacing="0" w:after="0" w:afterAutospacing="0"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非单一产品采购项目，采购人根据采购项目技术构成、产品价格比重等合理确定核心产品。采购人确定本项目的核心产品见第二章《投标人须知前附表》。多家投标人提供的核心产品品牌相同的，按前款规定处理。</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3.6.2评标委员会按照得分由高到低的顺序对符合要求的投标人进行排序，并推荐前三名为中标候选人。</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综合得分相同的，投标人所投产品属于国家规定优先采购的节能或环境标志产品优先；允许采购进口产品的，优先采购向我国企业转让技术、与我国企业签订消化吸收再创新方案的供应商的进口产品；如果同为优先采购产品的，按投标报价由低到高顺序排列；如投标报价相同的，按技术得分顺序排列。</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3.6.3竞争性磋商文件规定由评标委员会确定中标人的，评标委员会在完成评标前确定中标人。</w:t>
      </w:r>
    </w:p>
    <w:p>
      <w:pPr>
        <w:pStyle w:val="18"/>
        <w:numPr>
          <w:ilvl w:val="2"/>
          <w:numId w:val="0"/>
        </w:numPr>
        <w:spacing w:line="360" w:lineRule="auto"/>
        <w:ind w:leftChars="0"/>
        <w:outlineLvl w:val="0"/>
        <w:rPr>
          <w:rFonts w:hint="eastAsia" w:ascii="宋体" w:hAnsi="宋体" w:eastAsia="宋体" w:cs="宋体"/>
          <w:b w:val="0"/>
          <w:bCs w:val="0"/>
          <w:color w:val="auto"/>
          <w:kern w:val="2"/>
          <w:sz w:val="24"/>
          <w:szCs w:val="24"/>
          <w:highlight w:val="none"/>
          <w:lang w:val="en-US" w:eastAsia="zh-CN" w:bidi="ar-SA"/>
        </w:rPr>
      </w:pPr>
      <w:bookmarkStart w:id="42" w:name="_Toc492286401"/>
      <w:r>
        <w:rPr>
          <w:rFonts w:hint="eastAsia" w:ascii="宋体" w:hAnsi="宋体" w:eastAsia="宋体" w:cs="宋体"/>
          <w:b w:val="0"/>
          <w:bCs w:val="0"/>
          <w:color w:val="auto"/>
          <w:kern w:val="2"/>
          <w:sz w:val="24"/>
          <w:szCs w:val="24"/>
          <w:highlight w:val="none"/>
          <w:lang w:val="en-US" w:eastAsia="zh-CN" w:bidi="ar-SA"/>
        </w:rPr>
        <w:t>3.7 复核评审结果</w:t>
      </w:r>
      <w:bookmarkEnd w:id="42"/>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3.7.1采购代理机构应对评审数据进行校对、核对，对畸高、畸低的重大差异评分可以提示评标委员会复核或书面说明理由。</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3.7.2评标委员会要对评分汇总情况进行复核，特别是对排名第一的、报价最低的、投标或响应文件被认定为无效的情形进行重点复核。</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3.7.3评标结果汇总完成后，除下列情形外，任何人不得修改评标结果：</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（一）分值汇总计算错误的；</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（二）分项评分超出评分标准范围的；</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（三）评标委员会成员对客观评审因素评分不一致的；</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（四）经评标委员会认定评分畸高、畸低的。</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投标人对以上情形提出质疑的，采购代理机构可以组织原评标委员会进行重新评审，重新评审改变评标结果的，应当书面报告本级财政部门。</w:t>
      </w:r>
    </w:p>
    <w:p>
      <w:pPr>
        <w:pStyle w:val="18"/>
        <w:numPr>
          <w:ilvl w:val="2"/>
          <w:numId w:val="0"/>
        </w:numPr>
        <w:spacing w:line="360" w:lineRule="auto"/>
        <w:ind w:leftChars="0"/>
        <w:outlineLvl w:val="0"/>
        <w:rPr>
          <w:rFonts w:hint="eastAsia" w:ascii="宋体" w:hAnsi="宋体" w:eastAsia="宋体" w:cs="宋体"/>
          <w:b w:val="0"/>
          <w:bCs w:val="0"/>
          <w:color w:val="auto"/>
          <w:kern w:val="2"/>
          <w:sz w:val="24"/>
          <w:szCs w:val="24"/>
          <w:highlight w:val="none"/>
          <w:lang w:val="en-US" w:eastAsia="zh-CN" w:bidi="ar-SA"/>
        </w:rPr>
      </w:pPr>
      <w:bookmarkStart w:id="43" w:name="_Toc492286402"/>
      <w:r>
        <w:rPr>
          <w:rFonts w:hint="eastAsia" w:ascii="宋体" w:hAnsi="宋体" w:eastAsia="宋体" w:cs="宋体"/>
          <w:b w:val="0"/>
          <w:bCs w:val="0"/>
          <w:color w:val="auto"/>
          <w:kern w:val="2"/>
          <w:sz w:val="24"/>
          <w:szCs w:val="24"/>
          <w:highlight w:val="none"/>
          <w:lang w:val="en-US" w:eastAsia="zh-CN" w:bidi="ar-SA"/>
        </w:rPr>
        <w:t>3.8评标报告</w:t>
      </w:r>
      <w:bookmarkEnd w:id="43"/>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3.8.1评标委员会完成评标后，向采购人提交书面评标报告。评标报告应当包括以下内容：</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（一）招标公告刊登的媒体名称、开标日期和地点；</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（二）投标人名单和评标委员会成员名单；</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（三）评标方法和标准；</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（四）开标记录和评标情况及说明，包括无效投标人名单及原因；</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（五）评标结果，确定的中标候选人名单或者经采购人委托直接确定的中标人；</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（六）其他需要说明的情况，包括评标过程中投标人根据评标委员会要求进行的澄清、说明或者补正，评标委员会成员的更换等。</w:t>
      </w:r>
    </w:p>
    <w:p>
      <w:pPr>
        <w:spacing w:line="360" w:lineRule="auto"/>
        <w:ind w:firstLine="480" w:firstLineChars="200"/>
        <w:rPr>
          <w:rFonts w:hint="eastAsia" w:ascii="宋体" w:hAnsi="宋体" w:cs="宋体"/>
          <w:b/>
          <w:color w:val="auto"/>
          <w:sz w:val="24"/>
          <w:highlight w:val="none"/>
        </w:rPr>
      </w:pPr>
      <w:r>
        <w:rPr>
          <w:rFonts w:hint="eastAsia" w:ascii="宋体" w:hAnsi="宋体" w:eastAsia="宋体" w:cs="宋体"/>
          <w:b w:val="0"/>
          <w:bCs w:val="0"/>
          <w:color w:val="auto"/>
          <w:kern w:val="2"/>
          <w:sz w:val="24"/>
          <w:szCs w:val="24"/>
          <w:highlight w:val="none"/>
          <w:lang w:val="en-US" w:eastAsia="zh-CN" w:bidi="ar-SA"/>
        </w:rPr>
        <w:t>3.8.2评标委员会成员对需要共同认定的事项存在争议的，应当按照少数服从多数的原则作出结论。持不同意见的评标委员会成员应当在评标报告上签署不同意见及理由，否则视为同意评标报告。</w:t>
      </w:r>
    </w:p>
    <w:p>
      <w:pPr>
        <w:pStyle w:val="18"/>
        <w:numPr>
          <w:ilvl w:val="2"/>
          <w:numId w:val="0"/>
        </w:numPr>
        <w:ind w:leftChars="0"/>
        <w:jc w:val="center"/>
        <w:outlineLvl w:val="1"/>
        <w:rPr>
          <w:rFonts w:hint="eastAsia"/>
          <w:b/>
          <w:bCs/>
          <w:color w:val="auto"/>
          <w:highlight w:val="none"/>
        </w:rPr>
      </w:pPr>
      <w:r>
        <w:rPr>
          <w:rFonts w:hint="eastAsia"/>
          <w:b/>
          <w:bCs/>
          <w:color w:val="auto"/>
          <w:highlight w:val="none"/>
        </w:rPr>
        <w:t>七、授予合同</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28.  签订合同</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28.1  中标人收到《中标通知书》后，须按有关规定与采购人签定经济合同。合同的签订一般在《中标通知书》发出后30天内进行，但采购人事先约定的情况除外。</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28.2  合同签订后，中标人应按合同的规定履行合同，未按规定履约的，采购人有权取消合同，并且不退还中标人的投标保证金。</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28.3  中标合同不得转让或分包。如需对合同的非主体部分进行转让或分包，投标人必须在</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中予以说明，并需经采购人同意。否则，采购人有权取消中标人的中标资格。</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28.4  如中标人未按有关规定与采购人签订合同或提交合同履约保证金的，采购人可以选择其他中标候选人为中标人，并组织中标人和采购人签订经济合同。</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28.5  合同履约保证金的形式为银行保函，另有约定的，按照约定条件执行。</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29.  合同的组成</w:t>
      </w:r>
    </w:p>
    <w:p>
      <w:pPr>
        <w:pStyle w:val="19"/>
        <w:spacing w:line="360" w:lineRule="auto"/>
        <w:ind w:firstLine="480"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29.1  下列文件均为经济合同不可分割的组成部分：</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 xml:space="preserve">29.1.1  </w:t>
      </w:r>
      <w:r>
        <w:rPr>
          <w:rFonts w:hint="eastAsia" w:ascii="宋体" w:hAnsi="宋体" w:cs="宋体"/>
          <w:color w:val="auto"/>
          <w:szCs w:val="24"/>
          <w:highlight w:val="none"/>
          <w:lang w:eastAsia="zh-CN"/>
        </w:rPr>
        <w:t>竞争性磋商文件</w:t>
      </w:r>
      <w:r>
        <w:rPr>
          <w:rFonts w:hint="eastAsia" w:ascii="宋体" w:hAnsi="宋体" w:cs="宋体"/>
          <w:color w:val="auto"/>
          <w:szCs w:val="24"/>
          <w:highlight w:val="none"/>
        </w:rPr>
        <w:t>及其附件、澄清文件；</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29.1.2  中标的</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 xml:space="preserve">及其他附件； </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29.1.3  经确认的答疑记录；</w:t>
      </w:r>
    </w:p>
    <w:p>
      <w:pPr>
        <w:pStyle w:val="19"/>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29.1.4  中标通知书。</w:t>
      </w:r>
    </w:p>
    <w:p>
      <w:pPr>
        <w:pStyle w:val="18"/>
        <w:numPr>
          <w:ilvl w:val="2"/>
          <w:numId w:val="0"/>
        </w:numPr>
        <w:ind w:leftChars="0"/>
        <w:jc w:val="center"/>
        <w:outlineLvl w:val="1"/>
        <w:rPr>
          <w:rFonts w:hint="eastAsia"/>
          <w:b/>
          <w:bCs/>
          <w:color w:val="auto"/>
          <w:highlight w:val="none"/>
        </w:rPr>
      </w:pPr>
      <w:r>
        <w:rPr>
          <w:rFonts w:hint="eastAsia"/>
          <w:b/>
          <w:bCs/>
          <w:color w:val="auto"/>
          <w:highlight w:val="none"/>
          <w:lang w:val="en-US" w:eastAsia="zh-CN"/>
        </w:rPr>
        <w:t>八</w:t>
      </w:r>
      <w:r>
        <w:rPr>
          <w:rFonts w:hint="eastAsia"/>
          <w:b/>
          <w:bCs/>
          <w:color w:val="auto"/>
          <w:highlight w:val="none"/>
        </w:rPr>
        <w:t>、其他事项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  中标服务费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31.1 中标人应按本</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的规定，在《中标通知书》核发时至核发后3天内，向采购代理机构支付中标服务费。</w:t>
      </w:r>
    </w:p>
    <w:p>
      <w:pPr>
        <w:pStyle w:val="22"/>
        <w:spacing w:line="360" w:lineRule="auto"/>
        <w:ind w:firstLine="483"/>
        <w:rPr>
          <w:rFonts w:hint="eastAsia" w:ascii="宋体" w:hAnsi="宋体" w:eastAsia="宋体" w:cs="宋体"/>
          <w:color w:val="auto"/>
          <w:sz w:val="24"/>
          <w:highlight w:val="none"/>
        </w:rPr>
      </w:pPr>
      <w:bookmarkStart w:id="44" w:name="_Toc19074"/>
      <w:bookmarkStart w:id="45" w:name="_Toc14033"/>
      <w:r>
        <w:rPr>
          <w:rFonts w:hint="eastAsia" w:ascii="宋体" w:hAnsi="宋体" w:eastAsia="宋体" w:cs="宋体"/>
          <w:color w:val="auto"/>
          <w:sz w:val="24"/>
          <w:highlight w:val="none"/>
        </w:rPr>
        <w:t>31.2 中标服务费的计算基数是中标人投标报价的总金额，即中标通知书中载明的中标金额</w:t>
      </w:r>
      <w:bookmarkEnd w:id="44"/>
      <w:bookmarkEnd w:id="45"/>
      <w:r>
        <w:rPr>
          <w:rFonts w:hint="eastAsia" w:ascii="宋体" w:hAnsi="宋体" w:eastAsia="宋体" w:cs="宋体"/>
          <w:color w:val="auto"/>
          <w:sz w:val="24"/>
          <w:highlight w:val="none"/>
        </w:rPr>
        <w:t>。</w:t>
      </w:r>
    </w:p>
    <w:p>
      <w:pPr>
        <w:pStyle w:val="22"/>
        <w:spacing w:line="360" w:lineRule="auto"/>
        <w:ind w:firstLine="483"/>
        <w:rPr>
          <w:rFonts w:hint="eastAsia" w:ascii="宋体" w:hAnsi="宋体" w:eastAsia="宋体" w:cs="宋体"/>
          <w:color w:val="auto"/>
          <w:sz w:val="24"/>
          <w:highlight w:val="none"/>
        </w:rPr>
      </w:pPr>
      <w:bookmarkStart w:id="46" w:name="_Toc12711"/>
      <w:r>
        <w:rPr>
          <w:rFonts w:hint="eastAsia" w:ascii="宋体" w:hAnsi="宋体" w:eastAsia="宋体" w:cs="宋体"/>
          <w:color w:val="auto"/>
          <w:sz w:val="24"/>
          <w:highlight w:val="none"/>
        </w:rPr>
        <w:t>32. 参与本次招标的投标企业必须有商务、技术人员对评标委员会提出的商务、技术问题进行答疑。</w:t>
      </w:r>
      <w:bookmarkEnd w:id="46"/>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 有下列情形之一的，视为投标人串通投标，其投标无效：</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33.1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由同一单位或者个人编制；</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33.2  不同投标人委托同一单位或者个人办理投标事宜；</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33.3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载明的项目管理成员或者联系人员为同一人；</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33.4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异常一致或者投标报价呈规律性差异；</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33.5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相互混装；</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33.6  不同投标人的投标保证金从同一单位或者个人的账户转出。</w:t>
      </w:r>
      <w:bookmarkStart w:id="47" w:name="_Toc22965"/>
      <w:bookmarkStart w:id="48" w:name="_Toc460703982"/>
      <w:bookmarkStart w:id="49" w:name="_Toc179632806"/>
      <w:bookmarkStart w:id="50" w:name="_Toc5416"/>
      <w:bookmarkStart w:id="51" w:name="_Toc3191"/>
      <w:bookmarkStart w:id="52" w:name="_Toc16742"/>
      <w:bookmarkStart w:id="53" w:name="_Toc31265"/>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rPr>
          <w:rFonts w:hint="eastAsia" w:ascii="宋体" w:hAnsi="宋体" w:eastAsia="宋体" w:cs="宋体"/>
          <w:color w:val="auto"/>
          <w:sz w:val="24"/>
          <w:highlight w:val="none"/>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bookmarkStart w:id="333" w:name="_GoBack"/>
      <w:bookmarkEnd w:id="333"/>
    </w:p>
    <w:p>
      <w:pPr>
        <w:pStyle w:val="22"/>
        <w:spacing w:line="360" w:lineRule="auto"/>
        <w:ind w:firstLine="483"/>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第三章  合同主要条款</w:t>
      </w:r>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合同编号：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54" w:name="_Toc9584_WPSOffice_Level1"/>
      <w:r>
        <w:rPr>
          <w:rFonts w:hint="eastAsia" w:ascii="宋体" w:hAnsi="宋体" w:eastAsia="宋体" w:cs="宋体"/>
          <w:color w:val="auto"/>
          <w:sz w:val="24"/>
          <w:szCs w:val="24"/>
        </w:rPr>
        <w:t>政府采购合同参考范本</w:t>
      </w:r>
      <w:bookmarkEnd w:id="5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55" w:name="_Toc12301_WPSOffice_Level2"/>
      <w:r>
        <w:rPr>
          <w:rFonts w:hint="eastAsia" w:ascii="宋体" w:hAnsi="宋体" w:eastAsia="宋体" w:cs="宋体"/>
          <w:color w:val="auto"/>
          <w:sz w:val="24"/>
          <w:szCs w:val="24"/>
        </w:rPr>
        <w:t>（服务类）</w:t>
      </w:r>
      <w:bookmarkEnd w:id="55"/>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rPr>
      </w:pPr>
      <w:bookmarkStart w:id="56" w:name="_Toc20936_WPSOffice_Level1"/>
      <w:bookmarkStart w:id="57" w:name="_Toc1720"/>
      <w:bookmarkStart w:id="58" w:name="_Toc6256"/>
      <w:bookmarkStart w:id="59" w:name="_Toc7496"/>
      <w:bookmarkStart w:id="60" w:name="_Toc2679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第一部分 合同书</w:t>
      </w:r>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sectPr>
          <w:footerReference r:id="rId6" w:type="default"/>
          <w:pgSz w:w="11907" w:h="16840"/>
          <w:pgMar w:top="1474" w:right="1814" w:bottom="1474" w:left="1814" w:header="851" w:footer="851" w:gutter="0"/>
          <w:pgNumType w:fmt="decimal" w:start="1"/>
          <w:cols w:space="720" w:num="1"/>
          <w:docGrid w:linePitch="46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（采购人名称）  </w:t>
      </w:r>
      <w:r>
        <w:rPr>
          <w:rFonts w:hint="eastAsia" w:ascii="宋体" w:hAnsi="宋体" w:eastAsia="宋体" w:cs="宋体"/>
          <w:color w:val="auto"/>
          <w:sz w:val="24"/>
          <w:szCs w:val="24"/>
        </w:rPr>
        <w:t xml:space="preserve"> 以</w:t>
      </w:r>
      <w:r>
        <w:rPr>
          <w:rFonts w:hint="eastAsia" w:ascii="宋体" w:hAnsi="宋体" w:eastAsia="宋体" w:cs="宋体"/>
          <w:color w:val="auto"/>
          <w:sz w:val="24"/>
          <w:szCs w:val="24"/>
          <w:u w:val="single"/>
        </w:rPr>
        <w:t xml:space="preserve">   （政府采购方式）  </w:t>
      </w:r>
      <w:r>
        <w:rPr>
          <w:rFonts w:hint="eastAsia" w:ascii="宋体" w:hAnsi="宋体" w:eastAsia="宋体" w:cs="宋体"/>
          <w:color w:val="auto"/>
          <w:sz w:val="24"/>
          <w:szCs w:val="24"/>
        </w:rPr>
        <w:t xml:space="preserve">对   </w:t>
      </w:r>
      <w:r>
        <w:rPr>
          <w:rFonts w:hint="eastAsia" w:ascii="宋体" w:hAnsi="宋体" w:eastAsia="宋体" w:cs="宋体"/>
          <w:color w:val="auto"/>
          <w:sz w:val="24"/>
          <w:szCs w:val="24"/>
          <w:u w:val="single"/>
        </w:rPr>
        <w:t xml:space="preserve">（同前页项目名称）   </w:t>
      </w:r>
      <w:r>
        <w:rPr>
          <w:rFonts w:hint="eastAsia" w:ascii="宋体" w:hAnsi="宋体" w:eastAsia="宋体" w:cs="宋体"/>
          <w:color w:val="auto"/>
          <w:sz w:val="24"/>
          <w:szCs w:val="24"/>
        </w:rPr>
        <w:t>项目进行了采购。经</w:t>
      </w:r>
      <w:r>
        <w:rPr>
          <w:rFonts w:hint="eastAsia" w:ascii="宋体" w:hAnsi="宋体" w:eastAsia="宋体" w:cs="宋体"/>
          <w:color w:val="auto"/>
          <w:sz w:val="24"/>
          <w:szCs w:val="24"/>
          <w:u w:val="single"/>
        </w:rPr>
        <w:t xml:space="preserve">   （相关评定主体名称）   </w:t>
      </w:r>
      <w:r>
        <w:rPr>
          <w:rFonts w:hint="eastAsia" w:ascii="宋体" w:hAnsi="宋体" w:eastAsia="宋体" w:cs="宋体"/>
          <w:color w:val="auto"/>
          <w:sz w:val="24"/>
          <w:szCs w:val="24"/>
        </w:rPr>
        <w:t xml:space="preserve">评定，   </w:t>
      </w:r>
      <w:r>
        <w:rPr>
          <w:rFonts w:hint="eastAsia" w:ascii="宋体" w:hAnsi="宋体" w:eastAsia="宋体" w:cs="宋体"/>
          <w:color w:val="auto"/>
          <w:sz w:val="24"/>
          <w:szCs w:val="24"/>
          <w:u w:val="single"/>
        </w:rPr>
        <w:t>（成交供应商名称）</w:t>
      </w:r>
      <w:r>
        <w:rPr>
          <w:rFonts w:hint="eastAsia" w:ascii="宋体" w:hAnsi="宋体" w:eastAsia="宋体" w:cs="宋体"/>
          <w:color w:val="auto"/>
          <w:sz w:val="24"/>
          <w:szCs w:val="24"/>
        </w:rPr>
        <w:t>为该项目成交供应商。现于成交通知书发出之日起三十日内，按照采购文件确定的事项签订本合同。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（采购人名称）   </w:t>
      </w:r>
      <w:r>
        <w:rPr>
          <w:rFonts w:hint="eastAsia" w:ascii="宋体" w:hAnsi="宋体" w:eastAsia="宋体" w:cs="宋体"/>
          <w:color w:val="auto"/>
          <w:sz w:val="24"/>
          <w:szCs w:val="24"/>
          <w:u w:val="single"/>
          <w:lang w:val="zh-CN"/>
        </w:rPr>
        <w:t>(以下简称：甲方)</w:t>
      </w:r>
      <w:r>
        <w:rPr>
          <w:rFonts w:hint="eastAsia" w:ascii="宋体" w:hAnsi="宋体" w:eastAsia="宋体" w:cs="宋体"/>
          <w:color w:val="auto"/>
          <w:sz w:val="24"/>
          <w:szCs w:val="24"/>
          <w:lang w:val="zh-CN"/>
        </w:rPr>
        <w:t>和</w:t>
      </w:r>
      <w:r>
        <w:rPr>
          <w:rFonts w:hint="eastAsia" w:ascii="宋体" w:hAnsi="宋体" w:eastAsia="宋体" w:cs="宋体"/>
          <w:color w:val="auto"/>
          <w:sz w:val="24"/>
          <w:szCs w:val="24"/>
          <w:u w:val="single"/>
        </w:rPr>
        <w:t xml:space="preserve">   （成交供应商名称）   </w:t>
      </w:r>
      <w:r>
        <w:rPr>
          <w:rFonts w:hint="eastAsia" w:ascii="宋体" w:hAnsi="宋体" w:eastAsia="宋体" w:cs="宋体"/>
          <w:color w:val="auto"/>
          <w:sz w:val="24"/>
          <w:szCs w:val="24"/>
          <w:u w:val="single"/>
          <w:lang w:val="zh-CN"/>
        </w:rPr>
        <w:t>(以下简称：乙方)</w:t>
      </w:r>
      <w:r>
        <w:rPr>
          <w:rFonts w:hint="eastAsia" w:ascii="宋体" w:hAnsi="宋体" w:eastAsia="宋体" w:cs="宋体"/>
          <w:color w:val="auto"/>
          <w:sz w:val="24"/>
          <w:szCs w:val="24"/>
          <w:lang w:val="zh-CN"/>
        </w:rPr>
        <w:t>协商一致，约定以下合同</w:t>
      </w:r>
      <w:r>
        <w:rPr>
          <w:rFonts w:hint="eastAsia" w:ascii="宋体" w:hAnsi="宋体" w:eastAsia="宋体" w:cs="宋体"/>
          <w:color w:val="auto"/>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61" w:name="_Toc6067"/>
      <w:bookmarkStart w:id="62" w:name="_Toc24059"/>
      <w:bookmarkStart w:id="63" w:name="_Toc533_WPSOffice_Level2"/>
      <w:bookmarkStart w:id="64" w:name="_Toc2232"/>
      <w:bookmarkStart w:id="65" w:name="_Toc3029"/>
      <w:bookmarkStart w:id="66" w:name="_Toc5083"/>
      <w:bookmarkStart w:id="67" w:name="_Toc893"/>
      <w:r>
        <w:rPr>
          <w:rFonts w:hint="eastAsia" w:ascii="宋体" w:hAnsi="宋体" w:eastAsia="宋体" w:cs="宋体"/>
          <w:color w:val="auto"/>
          <w:sz w:val="24"/>
          <w:szCs w:val="24"/>
        </w:rPr>
        <w:t>1.1 合同组成部分</w:t>
      </w:r>
      <w:bookmarkEnd w:id="61"/>
      <w:bookmarkEnd w:id="62"/>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响应文件（含澄清或者说明文件）；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1.1.4 磋商文件（含澄清或者修改文件）；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68" w:name="_Toc4996"/>
      <w:bookmarkStart w:id="69" w:name="_Toc25124_WPSOffice_Level2"/>
      <w:bookmarkStart w:id="70" w:name="_Toc21295"/>
      <w:bookmarkStart w:id="71" w:name="_Toc18094"/>
      <w:bookmarkStart w:id="72" w:name="_Toc21966"/>
      <w:bookmarkStart w:id="73" w:name="_Toc24300"/>
      <w:bookmarkStart w:id="74" w:name="_Toc27126"/>
      <w:r>
        <w:rPr>
          <w:rFonts w:hint="eastAsia" w:ascii="宋体" w:hAnsi="宋体" w:eastAsia="宋体" w:cs="宋体"/>
          <w:color w:val="auto"/>
          <w:sz w:val="24"/>
          <w:szCs w:val="24"/>
        </w:rPr>
        <w:t>1.2 服务</w:t>
      </w:r>
      <w:bookmarkEnd w:id="68"/>
      <w:bookmarkEnd w:id="69"/>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服务名称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服务数量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服务质量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75" w:name="_Toc6851_WPSOffice_Level2"/>
      <w:bookmarkStart w:id="76" w:name="_Toc31267"/>
      <w:bookmarkStart w:id="77" w:name="_Toc7340"/>
      <w:bookmarkStart w:id="78" w:name="_Toc21631"/>
      <w:bookmarkStart w:id="79" w:name="_Toc21551"/>
      <w:bookmarkStart w:id="80" w:name="_Toc4815"/>
      <w:bookmarkStart w:id="81" w:name="_Toc23292"/>
      <w:r>
        <w:rPr>
          <w:rFonts w:hint="eastAsia" w:ascii="宋体" w:hAnsi="宋体" w:eastAsia="宋体" w:cs="宋体"/>
          <w:color w:val="auto"/>
          <w:sz w:val="24"/>
          <w:szCs w:val="24"/>
        </w:rPr>
        <w:t>1.3 价款</w:t>
      </w:r>
      <w:bookmarkEnd w:id="75"/>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本合同总价为</w:t>
      </w:r>
      <w:r>
        <w:rPr>
          <w:rFonts w:hint="eastAsia" w:ascii="宋体" w:hAnsi="宋体" w:eastAsia="宋体" w:cs="宋体"/>
          <w:color w:val="auto"/>
          <w:sz w:val="24"/>
          <w:szCs w:val="24"/>
          <w:u w:val="single"/>
        </w:rPr>
        <w:t>：￥           元（大写：                 元人民币）</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分项名称</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82" w:name="_Toc22618"/>
      <w:bookmarkStart w:id="83" w:name="_Toc1814"/>
      <w:bookmarkStart w:id="84" w:name="_Toc28198"/>
      <w:bookmarkStart w:id="85" w:name="_Toc9077_WPSOffice_Level2"/>
      <w:bookmarkStart w:id="86" w:name="_Toc6076"/>
      <w:bookmarkStart w:id="87" w:name="_Toc10340"/>
      <w:bookmarkStart w:id="88" w:name="_Toc28728"/>
      <w:r>
        <w:rPr>
          <w:rFonts w:hint="eastAsia" w:ascii="宋体" w:hAnsi="宋体" w:eastAsia="宋体" w:cs="宋体"/>
          <w:color w:val="auto"/>
          <w:sz w:val="24"/>
          <w:szCs w:val="24"/>
        </w:rPr>
        <w:t>1.4 付款方式和发票开具方式</w:t>
      </w:r>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付款方式：</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发票开具方式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89" w:name="_Toc31453_WPSOffice_Level2"/>
      <w:bookmarkStart w:id="90" w:name="_Toc5663"/>
      <w:bookmarkStart w:id="91" w:name="_Toc31787"/>
      <w:bookmarkStart w:id="92" w:name="_Toc1510"/>
      <w:bookmarkStart w:id="93" w:name="_Toc19304"/>
      <w:bookmarkStart w:id="94" w:name="_Toc2846"/>
      <w:bookmarkStart w:id="95" w:name="_Toc32071"/>
      <w:r>
        <w:rPr>
          <w:rFonts w:hint="eastAsia" w:ascii="宋体" w:hAnsi="宋体" w:eastAsia="宋体" w:cs="宋体"/>
          <w:color w:val="auto"/>
          <w:sz w:val="24"/>
          <w:szCs w:val="24"/>
        </w:rPr>
        <w:t>1.5 服务交付期限、地点和方式</w:t>
      </w:r>
      <w:bookmarkEnd w:id="89"/>
      <w:bookmarkEnd w:id="90"/>
      <w:bookmarkEnd w:id="91"/>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 交付期限：</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 交付地点</w:t>
      </w:r>
      <w:r>
        <w:rPr>
          <w:rFonts w:hint="eastAsia" w:ascii="宋体" w:hAnsi="宋体" w:eastAsia="宋体" w:cs="宋体"/>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1.5.3 交付方式</w:t>
      </w:r>
      <w:r>
        <w:rPr>
          <w:rFonts w:hint="eastAsia" w:ascii="宋体" w:hAnsi="宋体" w:eastAsia="宋体" w:cs="宋体"/>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96" w:name="_Toc14728"/>
      <w:bookmarkStart w:id="97" w:name="_Toc12013"/>
      <w:bookmarkStart w:id="98" w:name="_Toc22576"/>
      <w:bookmarkStart w:id="99" w:name="_Toc19554"/>
      <w:bookmarkStart w:id="100" w:name="_Toc21423"/>
      <w:bookmarkStart w:id="101" w:name="_Toc17563_WPSOffice_Level2"/>
      <w:bookmarkStart w:id="102" w:name="_Toc27250"/>
      <w:r>
        <w:rPr>
          <w:rFonts w:hint="eastAsia" w:ascii="宋体" w:hAnsi="宋体" w:eastAsia="宋体" w:cs="宋体"/>
          <w:color w:val="auto"/>
          <w:sz w:val="24"/>
          <w:szCs w:val="24"/>
        </w:rPr>
        <w:t>1.6 违约责任</w:t>
      </w:r>
      <w:bookmarkEnd w:id="96"/>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；迟延交付服务的违约金计算数额达到前述最高限额之日起，甲方有权在要求乙方支付违约金的同时，书面通知乙方解除本合同；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03" w:name="_Toc30335"/>
      <w:bookmarkStart w:id="104" w:name="_Toc15583"/>
      <w:bookmarkStart w:id="105" w:name="_Toc16021"/>
      <w:bookmarkStart w:id="106" w:name="_Toc28375"/>
      <w:bookmarkStart w:id="107" w:name="_Toc2407"/>
      <w:bookmarkStart w:id="108" w:name="_Toc18995_WPSOffice_Level2"/>
      <w:bookmarkStart w:id="109" w:name="_Toc27472"/>
      <w:r>
        <w:rPr>
          <w:rFonts w:hint="eastAsia" w:ascii="宋体" w:hAnsi="宋体" w:eastAsia="宋体" w:cs="宋体"/>
          <w:color w:val="auto"/>
          <w:sz w:val="24"/>
          <w:szCs w:val="24"/>
        </w:rPr>
        <w:t>1.7 合同争议的解决</w:t>
      </w:r>
      <w:bookmarkEnd w:id="103"/>
      <w:bookmarkEnd w:id="104"/>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 将争议提交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1.7.2 向 </w:t>
      </w:r>
      <w:r>
        <w:rPr>
          <w:rFonts w:hint="eastAsia" w:ascii="宋体" w:hAnsi="宋体" w:eastAsia="宋体" w:cs="宋体"/>
          <w:color w:val="auto"/>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10" w:name="_Toc22902"/>
      <w:bookmarkStart w:id="111" w:name="_Toc15322"/>
      <w:bookmarkStart w:id="112" w:name="_Toc12251"/>
      <w:bookmarkStart w:id="113" w:name="_Toc17966"/>
      <w:bookmarkStart w:id="114" w:name="_Toc7245"/>
      <w:bookmarkStart w:id="115" w:name="_Toc22758_WPSOffice_Level2"/>
      <w:bookmarkStart w:id="116" w:name="_Toc11173"/>
      <w:r>
        <w:rPr>
          <w:rFonts w:hint="eastAsia" w:ascii="宋体" w:hAnsi="宋体" w:eastAsia="宋体" w:cs="宋体"/>
          <w:color w:val="auto"/>
          <w:sz w:val="24"/>
          <w:szCs w:val="24"/>
        </w:rPr>
        <w:t>1.8 合同生效</w:t>
      </w:r>
      <w:bookmarkEnd w:id="110"/>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rPr>
        <w:t>本合同自双方当事人盖章或者签字时生效。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                                   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                        统一社会信用代码或身份证号码：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住所：                                   住所：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授权代表（签字）：                        或授权代表（签字）: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                                 联系人：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约定送达地址：                           约定送达地址：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邮政编码：                               邮政编码：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电话:                                    电话: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                                    传真: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电子邮箱：                               电子邮箱：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                               开户名称：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开户账号：</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开户账号：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2" w:firstLineChars="200"/>
        <w:jc w:val="center"/>
        <w:textAlignment w:val="auto"/>
        <w:outlineLvl w:val="9"/>
        <w:rPr>
          <w:rFonts w:hint="eastAsia" w:ascii="宋体" w:hAnsi="宋体" w:eastAsia="宋体" w:cs="宋体"/>
          <w:color w:val="auto"/>
          <w:sz w:val="24"/>
          <w:szCs w:val="24"/>
        </w:rPr>
      </w:pPr>
      <w:bookmarkStart w:id="117" w:name="_Toc29977"/>
      <w:bookmarkStart w:id="118" w:name="_Toc27370"/>
      <w:r>
        <w:rPr>
          <w:rFonts w:hint="eastAsia" w:ascii="宋体" w:hAnsi="宋体" w:eastAsia="宋体" w:cs="宋体"/>
          <w:color w:val="auto"/>
          <w:sz w:val="32"/>
          <w:szCs w:val="32"/>
        </w:rPr>
        <w:t>第二部分</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通用条件</w:t>
      </w:r>
      <w:bookmarkEnd w:id="117"/>
      <w:bookmarkEnd w:id="11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19" w:name="_Toc259093669"/>
      <w:bookmarkStart w:id="120" w:name="_Ref467378463"/>
      <w:bookmarkStart w:id="121" w:name="_Ref467378499"/>
      <w:bookmarkStart w:id="122" w:name="_Toc19939"/>
      <w:bookmarkStart w:id="123" w:name="_Toc19680"/>
      <w:bookmarkStart w:id="124" w:name="_Toc7703"/>
      <w:bookmarkStart w:id="125" w:name="_Ref467379195"/>
      <w:bookmarkStart w:id="126" w:name="_Toc21621"/>
      <w:bookmarkStart w:id="127" w:name="_Toc5228"/>
      <w:bookmarkStart w:id="128" w:name="_Toc14021"/>
      <w:bookmarkStart w:id="129" w:name="_Ref467379214"/>
      <w:bookmarkStart w:id="130" w:name="_Toc25079"/>
      <w:bookmarkStart w:id="131" w:name="_Ref467379101"/>
      <w:bookmarkStart w:id="132" w:name="_Ref467379205"/>
      <w:bookmarkStart w:id="133" w:name="_Ref467379109"/>
      <w:bookmarkStart w:id="134" w:name="_Toc2021_WPSOffice_Level2"/>
      <w:bookmarkStart w:id="135" w:name="_Ref467379094"/>
      <w:bookmarkStart w:id="136" w:name="_Ref467379225"/>
      <w:bookmarkStart w:id="137" w:name="_Toc487900349"/>
      <w:bookmarkStart w:id="138" w:name="_Toc279701240"/>
      <w:bookmarkStart w:id="139" w:name="_Ref467378404"/>
      <w:bookmarkStart w:id="140" w:name="_Toc31297"/>
      <w:r>
        <w:rPr>
          <w:rFonts w:hint="eastAsia" w:ascii="宋体" w:hAnsi="宋体" w:eastAsia="宋体" w:cs="宋体"/>
          <w:color w:val="auto"/>
          <w:sz w:val="24"/>
          <w:szCs w:val="24"/>
        </w:rPr>
        <w:t>2.1 定义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 “合同”系指采购人和成交供应商签订的载明双方当事人所达成的协议，并包括所有的附件、附录和构成合同的其他文件。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 “合同价”系指根据合同约定，成交供应商在完全履行合同义务后，采购人应支付给成交供应商的价格。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 “服务”系指成交供应商根据合同约定应向采购人履行的除货物和工程以外的其他政府采购对象，包括采购人自身需要的服务和向社会公众提供的公共服务。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41" w:name="_Ref467378840"/>
      <w:r>
        <w:rPr>
          <w:rFonts w:hint="eastAsia" w:ascii="宋体" w:hAnsi="宋体" w:eastAsia="宋体" w:cs="宋体"/>
          <w:color w:val="auto"/>
          <w:sz w:val="24"/>
          <w:szCs w:val="24"/>
        </w:rPr>
        <w:t>2.1.4 “甲方”系指与成交供应商签署合同的采购人</w:t>
      </w:r>
      <w:bookmarkEnd w:id="141"/>
      <w:r>
        <w:rPr>
          <w:rFonts w:hint="eastAsia" w:ascii="宋体" w:hAnsi="宋体" w:eastAsia="宋体" w:cs="宋体"/>
          <w:color w:val="auto"/>
          <w:sz w:val="24"/>
          <w:szCs w:val="24"/>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42" w:name="_Ref467379400"/>
      <w:r>
        <w:rPr>
          <w:rFonts w:hint="eastAsia" w:ascii="宋体" w:hAnsi="宋体" w:eastAsia="宋体" w:cs="宋体"/>
          <w:color w:val="auto"/>
          <w:sz w:val="24"/>
          <w:szCs w:val="24"/>
        </w:rPr>
        <w:t>2.1.5 “乙方”系指根据合同约定提供服务的成交供应商</w:t>
      </w:r>
      <w:bookmarkEnd w:id="142"/>
      <w:r>
        <w:rPr>
          <w:rFonts w:hint="eastAsia" w:ascii="宋体" w:hAnsi="宋体" w:eastAsia="宋体" w:cs="宋体"/>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43" w:name="_Ref467379436"/>
      <w:r>
        <w:rPr>
          <w:rFonts w:hint="eastAsia" w:ascii="宋体" w:hAnsi="宋体" w:eastAsia="宋体" w:cs="宋体"/>
          <w:color w:val="auto"/>
          <w:sz w:val="24"/>
          <w:szCs w:val="24"/>
        </w:rPr>
        <w:t>2.1.6 “现场”系指合同约定提供服务的地点。</w:t>
      </w:r>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44" w:name="_Toc7203"/>
      <w:bookmarkStart w:id="145" w:name="_Toc11443"/>
      <w:bookmarkStart w:id="146" w:name="_Toc19539"/>
      <w:bookmarkStart w:id="147" w:name="_Toc16752"/>
      <w:bookmarkStart w:id="148" w:name="_Toc487900350"/>
      <w:bookmarkStart w:id="149" w:name="_Toc259093670"/>
      <w:bookmarkStart w:id="150" w:name="_Toc32447_WPSOffice_Level2"/>
      <w:bookmarkStart w:id="151" w:name="_Toc16332"/>
      <w:bookmarkStart w:id="152" w:name="_Toc3769"/>
      <w:bookmarkStart w:id="153" w:name="_Toc279701241"/>
      <w:bookmarkStart w:id="154" w:name="_Toc31402"/>
      <w:bookmarkStart w:id="155" w:name="_Toc23289"/>
      <w:r>
        <w:rPr>
          <w:rFonts w:hint="eastAsia" w:ascii="宋体" w:hAnsi="宋体" w:eastAsia="宋体" w:cs="宋体"/>
          <w:color w:val="auto"/>
          <w:sz w:val="24"/>
          <w:szCs w:val="24"/>
        </w:rPr>
        <w:t>2.2 技术规范</w:t>
      </w:r>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56" w:name="_Toc27945"/>
      <w:bookmarkStart w:id="157" w:name="_Toc279701242"/>
      <w:bookmarkStart w:id="158" w:name="_Toc9161"/>
      <w:bookmarkStart w:id="159" w:name="_Toc487900351"/>
      <w:bookmarkStart w:id="160" w:name="_Toc13673"/>
      <w:bookmarkStart w:id="161" w:name="_Toc259093671"/>
      <w:bookmarkStart w:id="162" w:name="_Toc7236_WPSOffice_Level2"/>
      <w:bookmarkStart w:id="163" w:name="_Toc14405"/>
      <w:bookmarkStart w:id="164" w:name="_Toc27804"/>
      <w:bookmarkStart w:id="165" w:name="_Toc4133"/>
      <w:bookmarkStart w:id="166" w:name="_Toc12412"/>
      <w:bookmarkStart w:id="167" w:name="_Toc12487"/>
      <w:r>
        <w:rPr>
          <w:rFonts w:hint="eastAsia" w:ascii="宋体" w:hAnsi="宋体" w:eastAsia="宋体" w:cs="宋体"/>
          <w:color w:val="auto"/>
          <w:sz w:val="24"/>
          <w:szCs w:val="24"/>
        </w:rPr>
        <w:t>2.3 知识产权</w:t>
      </w:r>
      <w:bookmarkEnd w:id="156"/>
      <w:bookmarkEnd w:id="157"/>
      <w:bookmarkEnd w:id="158"/>
      <w:bookmarkEnd w:id="159"/>
      <w:bookmarkEnd w:id="160"/>
      <w:bookmarkEnd w:id="161"/>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2.3.2 合同涉及技术成果的归属和收益的分成办法的，详见合同专用条款。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68" w:name="_Toc18703"/>
      <w:bookmarkStart w:id="169" w:name="_Toc2863"/>
      <w:bookmarkStart w:id="170" w:name="_Toc9987"/>
      <w:bookmarkStart w:id="171" w:name="_Toc13482_WPSOffice_Level2"/>
      <w:r>
        <w:rPr>
          <w:rFonts w:hint="eastAsia" w:ascii="宋体" w:hAnsi="宋体" w:eastAsia="宋体" w:cs="宋体"/>
          <w:color w:val="auto"/>
          <w:sz w:val="24"/>
          <w:szCs w:val="24"/>
        </w:rPr>
        <w:t>2.4 履约检查和问题反馈</w:t>
      </w:r>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72" w:name="_Ref467379657"/>
      <w:r>
        <w:rPr>
          <w:rFonts w:hint="eastAsia" w:ascii="宋体" w:hAnsi="宋体" w:eastAsia="宋体" w:cs="宋体"/>
          <w:color w:val="auto"/>
          <w:sz w:val="24"/>
          <w:szCs w:val="24"/>
        </w:rPr>
        <w:t>2.4.1</w:t>
      </w:r>
      <w:bookmarkEnd w:id="172"/>
      <w:bookmarkStart w:id="173" w:name="_Toc186431854"/>
      <w:bookmarkStart w:id="174" w:name="_Ref467379793"/>
      <w:bookmarkStart w:id="175" w:name="_Toc487900357"/>
      <w:bookmarkStart w:id="176" w:name="_Toc279701247"/>
      <w:bookmarkStart w:id="177" w:name="_Toc259093676"/>
      <w:bookmarkStart w:id="178" w:name="_Ref467379807"/>
      <w:r>
        <w:rPr>
          <w:rFonts w:hint="eastAsia" w:ascii="宋体" w:hAnsi="宋体" w:eastAsia="宋体" w:cs="宋体"/>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 合同履行期间，甲方有权将履行过程中出现的问题反馈给乙方，双方当事人应以书面形式约定需要完善和改进的内容</w:t>
      </w:r>
      <w:bookmarkEnd w:id="173"/>
      <w:bookmarkStart w:id="179" w:name="_Toc186431855"/>
      <w:r>
        <w:rPr>
          <w:rFonts w:hint="eastAsia" w:ascii="宋体" w:hAnsi="宋体" w:eastAsia="宋体" w:cs="宋体"/>
          <w:color w:val="auto"/>
          <w:sz w:val="24"/>
          <w:szCs w:val="24"/>
        </w:rPr>
        <w:t>。</w:t>
      </w:r>
    </w:p>
    <w:bookmarkEnd w:id="179"/>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80" w:name="_Toc26555"/>
      <w:bookmarkStart w:id="181" w:name="_Toc9454"/>
      <w:bookmarkStart w:id="182" w:name="_Toc27397"/>
      <w:bookmarkStart w:id="183" w:name="_Toc29452_WPSOffice_Level2"/>
      <w:bookmarkStart w:id="184" w:name="_Toc15447"/>
      <w:bookmarkStart w:id="185" w:name="_Toc31233"/>
      <w:bookmarkStart w:id="186" w:name="_Toc7129"/>
      <w:bookmarkStart w:id="187" w:name="_Toc22011"/>
      <w:r>
        <w:rPr>
          <w:rFonts w:hint="eastAsia" w:ascii="宋体" w:hAnsi="宋体" w:eastAsia="宋体" w:cs="宋体"/>
          <w:color w:val="auto"/>
          <w:sz w:val="24"/>
          <w:szCs w:val="24"/>
        </w:rPr>
        <w:t>2.5 结算方式和付款条件</w:t>
      </w:r>
      <w:bookmarkEnd w:id="174"/>
      <w:bookmarkEnd w:id="175"/>
      <w:bookmarkEnd w:id="176"/>
      <w:bookmarkEnd w:id="177"/>
      <w:bookmarkEnd w:id="178"/>
      <w:bookmarkEnd w:id="180"/>
      <w:bookmarkEnd w:id="181"/>
      <w:bookmarkEnd w:id="182"/>
      <w:bookmarkEnd w:id="183"/>
      <w:bookmarkEnd w:id="184"/>
      <w:bookmarkEnd w:id="185"/>
      <w:bookmarkEnd w:id="186"/>
      <w:bookmarkEnd w:id="18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188" w:name="_Ref467379852"/>
      <w:bookmarkStart w:id="189" w:name="_Ref467379863"/>
      <w:bookmarkStart w:id="190" w:name="_Toc279701248"/>
      <w:bookmarkStart w:id="191" w:name="_Toc259093677"/>
      <w:bookmarkStart w:id="192" w:name="_Toc487900358"/>
      <w:bookmarkStart w:id="193" w:name="_Ref467379923"/>
      <w:bookmarkStart w:id="194" w:name="_Toc13154"/>
      <w:bookmarkStart w:id="195" w:name="_Toc30507"/>
      <w:bookmarkStart w:id="196" w:name="_Toc23015"/>
      <w:bookmarkStart w:id="197" w:name="_Toc32599"/>
      <w:bookmarkStart w:id="198" w:name="_Toc16163"/>
      <w:bookmarkStart w:id="199" w:name="_Toc20952_WPSOffice_Level2"/>
      <w:bookmarkStart w:id="200" w:name="_Toc13467"/>
      <w:bookmarkStart w:id="201" w:name="_Toc18990"/>
      <w:bookmarkStart w:id="202" w:name="_Toc18178"/>
      <w:r>
        <w:rPr>
          <w:rFonts w:hint="eastAsia" w:ascii="宋体" w:hAnsi="宋体" w:eastAsia="宋体" w:cs="宋体"/>
          <w:color w:val="auto"/>
          <w:sz w:val="24"/>
          <w:szCs w:val="24"/>
        </w:rPr>
        <w:t>2.6 技术资料</w:t>
      </w:r>
      <w:bookmarkEnd w:id="188"/>
      <w:bookmarkEnd w:id="189"/>
      <w:bookmarkEnd w:id="190"/>
      <w:bookmarkEnd w:id="191"/>
      <w:bookmarkEnd w:id="192"/>
      <w:bookmarkEnd w:id="193"/>
      <w:r>
        <w:rPr>
          <w:rFonts w:hint="eastAsia" w:ascii="宋体" w:hAnsi="宋体" w:eastAsia="宋体" w:cs="宋体"/>
          <w:color w:val="auto"/>
          <w:sz w:val="24"/>
          <w:szCs w:val="24"/>
        </w:rPr>
        <w:t>和保密义务</w:t>
      </w:r>
      <w:bookmarkEnd w:id="194"/>
      <w:bookmarkEnd w:id="195"/>
      <w:bookmarkEnd w:id="196"/>
      <w:bookmarkEnd w:id="197"/>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03" w:name="_Toc28666"/>
      <w:bookmarkStart w:id="204" w:name="_Toc5514_WPSOffice_Level2"/>
      <w:bookmarkStart w:id="205" w:name="_Toc19069"/>
      <w:bookmarkStart w:id="206" w:name="_Toc11829"/>
      <w:bookmarkStart w:id="207" w:name="_Toc5184"/>
      <w:bookmarkStart w:id="208" w:name="_Toc259093681"/>
      <w:bookmarkStart w:id="209" w:name="_Toc487900362"/>
      <w:bookmarkStart w:id="210" w:name="_Toc279701252"/>
      <w:r>
        <w:rPr>
          <w:rFonts w:hint="eastAsia" w:ascii="宋体" w:hAnsi="宋体" w:eastAsia="宋体" w:cs="宋体"/>
          <w:color w:val="auto"/>
          <w:sz w:val="24"/>
          <w:szCs w:val="24"/>
        </w:rPr>
        <w:t>2.7 质量保证</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11" w:name="_Toc22267"/>
      <w:bookmarkStart w:id="212" w:name="_Toc2873"/>
      <w:bookmarkStart w:id="213" w:name="_Toc3790"/>
      <w:bookmarkStart w:id="214" w:name="_Toc19909"/>
      <w:bookmarkStart w:id="215" w:name="_Toc24670_WPSOffice_Level2"/>
      <w:r>
        <w:rPr>
          <w:rFonts w:hint="eastAsia" w:ascii="宋体" w:hAnsi="宋体" w:eastAsia="宋体" w:cs="宋体"/>
          <w:color w:val="auto"/>
          <w:sz w:val="24"/>
          <w:szCs w:val="24"/>
        </w:rPr>
        <w:t>2.8 延迟</w:t>
      </w:r>
      <w:bookmarkEnd w:id="208"/>
      <w:bookmarkEnd w:id="209"/>
      <w:bookmarkEnd w:id="210"/>
      <w:r>
        <w:rPr>
          <w:rFonts w:hint="eastAsia" w:ascii="宋体" w:hAnsi="宋体" w:eastAsia="宋体" w:cs="宋体"/>
          <w:color w:val="auto"/>
          <w:sz w:val="24"/>
          <w:szCs w:val="24"/>
        </w:rPr>
        <w:t>履行</w:t>
      </w:r>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16" w:name="_Toc10611"/>
      <w:bookmarkStart w:id="217" w:name="_Toc21338"/>
      <w:bookmarkStart w:id="218" w:name="_Toc19051"/>
      <w:bookmarkStart w:id="219" w:name="_Toc23450_WPSOffice_Level2"/>
      <w:bookmarkStart w:id="220" w:name="_Toc30343"/>
      <w:bookmarkStart w:id="221" w:name="_Ref467378121"/>
      <w:bookmarkStart w:id="222" w:name="_Toc279701254"/>
      <w:bookmarkStart w:id="223" w:name="_Toc487900364"/>
      <w:bookmarkStart w:id="224" w:name="_Toc259093683"/>
      <w:r>
        <w:rPr>
          <w:rFonts w:hint="eastAsia" w:ascii="宋体" w:hAnsi="宋体" w:eastAsia="宋体" w:cs="宋体"/>
          <w:color w:val="auto"/>
          <w:sz w:val="24"/>
          <w:szCs w:val="24"/>
        </w:rPr>
        <w:t>2.9 合同变更</w:t>
      </w:r>
      <w:bookmarkEnd w:id="216"/>
      <w:bookmarkEnd w:id="217"/>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225" w:name="_Toc259093688"/>
      <w:bookmarkStart w:id="226" w:name="_Toc487900369"/>
      <w:bookmarkStart w:id="227" w:name="_Toc27970125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28" w:name="_Toc15658"/>
      <w:bookmarkStart w:id="229" w:name="_Toc26689"/>
      <w:bookmarkStart w:id="230" w:name="_Toc42"/>
      <w:bookmarkStart w:id="231" w:name="_Toc2270"/>
      <w:bookmarkStart w:id="232" w:name="_Toc15986_WPSOffice_Level2"/>
      <w:bookmarkStart w:id="233" w:name="_Toc10663"/>
      <w:bookmarkStart w:id="234" w:name="_Toc23368"/>
      <w:bookmarkStart w:id="235" w:name="_Toc21830"/>
      <w:bookmarkStart w:id="236" w:name="_Toc29195"/>
      <w:r>
        <w:rPr>
          <w:rFonts w:hint="eastAsia" w:ascii="宋体" w:hAnsi="宋体" w:eastAsia="宋体" w:cs="宋体"/>
          <w:color w:val="auto"/>
          <w:sz w:val="24"/>
          <w:szCs w:val="24"/>
        </w:rPr>
        <w:t>2.10 合同转让</w:t>
      </w:r>
      <w:bookmarkEnd w:id="225"/>
      <w:bookmarkEnd w:id="226"/>
      <w:bookmarkEnd w:id="227"/>
      <w:r>
        <w:rPr>
          <w:rFonts w:hint="eastAsia" w:ascii="宋体" w:hAnsi="宋体" w:eastAsia="宋体" w:cs="宋体"/>
          <w:color w:val="auto"/>
          <w:sz w:val="24"/>
          <w:szCs w:val="24"/>
        </w:rPr>
        <w:t>和分包</w:t>
      </w:r>
      <w:bookmarkEnd w:id="228"/>
      <w:bookmarkEnd w:id="229"/>
      <w:bookmarkEnd w:id="230"/>
      <w:bookmarkEnd w:id="231"/>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37" w:name="_Toc8497_WPSOffice_Level2"/>
      <w:bookmarkStart w:id="238" w:name="_Toc14371"/>
      <w:bookmarkStart w:id="239" w:name="_Toc26633"/>
      <w:bookmarkStart w:id="240" w:name="_Toc32494"/>
      <w:bookmarkStart w:id="241" w:name="_Toc5860"/>
      <w:bookmarkStart w:id="242" w:name="_Toc25571"/>
      <w:bookmarkStart w:id="243" w:name="_Toc20621"/>
      <w:bookmarkStart w:id="244" w:name="_Toc4720"/>
      <w:bookmarkStart w:id="245" w:name="_Toc31816"/>
      <w:r>
        <w:rPr>
          <w:rFonts w:hint="eastAsia" w:ascii="宋体" w:hAnsi="宋体" w:eastAsia="宋体" w:cs="宋体"/>
          <w:color w:val="auto"/>
          <w:sz w:val="24"/>
          <w:szCs w:val="24"/>
        </w:rPr>
        <w:t>2.11 不可抗力</w:t>
      </w:r>
      <w:bookmarkEnd w:id="237"/>
      <w:bookmarkEnd w:id="238"/>
      <w:bookmarkEnd w:id="239"/>
      <w:bookmarkEnd w:id="240"/>
      <w:bookmarkEnd w:id="241"/>
      <w:bookmarkEnd w:id="242"/>
      <w:bookmarkEnd w:id="243"/>
      <w:bookmarkEnd w:id="244"/>
      <w:bookmarkEnd w:id="24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2.11.3 因不可抗力致使合同有变更必要的，双方当事人应在合同专用条款约定时间内以书面形式变更合同；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2.11.4受不可抗力影响的一方在不可抗力发生后，应在合同专用条款约定时间内以书面形式通知对方当事人，并在合同专用条款约定时间内，将有关部门出具的证明文件送达对方当事人。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46" w:name="_Toc14301"/>
      <w:bookmarkStart w:id="247" w:name="_Toc259093684"/>
      <w:bookmarkStart w:id="248" w:name="_Toc3638"/>
      <w:bookmarkStart w:id="249" w:name="_Toc25783"/>
      <w:bookmarkStart w:id="250" w:name="_Toc19929"/>
      <w:bookmarkStart w:id="251" w:name="_Toc487900365"/>
      <w:bookmarkStart w:id="252" w:name="_Toc31822_WPSOffice_Level2"/>
      <w:bookmarkStart w:id="253" w:name="_Toc24465"/>
      <w:bookmarkStart w:id="254" w:name="_Toc279701255"/>
      <w:bookmarkStart w:id="255" w:name="_Toc7595"/>
      <w:bookmarkStart w:id="256" w:name="_Toc14115"/>
      <w:bookmarkStart w:id="257" w:name="_Toc23854"/>
      <w:r>
        <w:rPr>
          <w:rFonts w:hint="eastAsia" w:ascii="宋体" w:hAnsi="宋体" w:eastAsia="宋体" w:cs="宋体"/>
          <w:color w:val="auto"/>
          <w:sz w:val="24"/>
          <w:szCs w:val="24"/>
        </w:rPr>
        <w:t>2.12 税费</w:t>
      </w:r>
      <w:bookmarkEnd w:id="246"/>
      <w:bookmarkEnd w:id="247"/>
      <w:bookmarkEnd w:id="248"/>
      <w:bookmarkEnd w:id="249"/>
      <w:bookmarkEnd w:id="250"/>
      <w:bookmarkEnd w:id="251"/>
      <w:bookmarkEnd w:id="252"/>
      <w:bookmarkEnd w:id="253"/>
      <w:bookmarkEnd w:id="254"/>
      <w:bookmarkEnd w:id="255"/>
      <w:bookmarkEnd w:id="256"/>
      <w:bookmarkEnd w:id="25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与合同有关的一切税费，均按照中华人民共和国法律的相关规定缴纳。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58" w:name="_Toc487900368"/>
      <w:bookmarkStart w:id="259" w:name="_Toc10475"/>
      <w:bookmarkStart w:id="260" w:name="_Toc14814"/>
      <w:bookmarkStart w:id="261" w:name="_Toc7315"/>
      <w:bookmarkStart w:id="262" w:name="_Toc15954"/>
      <w:bookmarkStart w:id="263" w:name="_Toc279701258"/>
      <w:bookmarkStart w:id="264" w:name="_Toc12636_WPSOffice_Level2"/>
      <w:bookmarkStart w:id="265" w:name="_Toc26883"/>
      <w:bookmarkStart w:id="266" w:name="_Toc16590"/>
      <w:bookmarkStart w:id="267" w:name="_Toc259093687"/>
      <w:bookmarkStart w:id="268" w:name="_Toc25525"/>
      <w:bookmarkStart w:id="269" w:name="_Toc30105"/>
      <w:r>
        <w:rPr>
          <w:rFonts w:hint="eastAsia" w:ascii="宋体" w:hAnsi="宋体" w:eastAsia="宋体" w:cs="宋体"/>
          <w:color w:val="auto"/>
          <w:sz w:val="24"/>
          <w:szCs w:val="24"/>
        </w:rPr>
        <w:t>2.13 乙方破产</w:t>
      </w:r>
      <w:bookmarkEnd w:id="258"/>
      <w:bookmarkEnd w:id="259"/>
      <w:bookmarkEnd w:id="260"/>
      <w:bookmarkEnd w:id="261"/>
      <w:bookmarkEnd w:id="262"/>
      <w:bookmarkEnd w:id="263"/>
      <w:bookmarkEnd w:id="264"/>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70" w:name="_Toc1123"/>
      <w:bookmarkStart w:id="271" w:name="_Toc3509_WPSOffice_Level2"/>
      <w:bookmarkStart w:id="272" w:name="_Toc22031"/>
      <w:bookmarkStart w:id="273" w:name="_Toc2016"/>
      <w:bookmarkStart w:id="274" w:name="_Toc23323"/>
      <w:bookmarkStart w:id="275" w:name="_Toc11530"/>
      <w:bookmarkStart w:id="276" w:name="_Toc26372"/>
      <w:r>
        <w:rPr>
          <w:rFonts w:hint="eastAsia" w:ascii="宋体" w:hAnsi="宋体" w:eastAsia="宋体" w:cs="宋体"/>
          <w:color w:val="auto"/>
          <w:sz w:val="24"/>
          <w:szCs w:val="24"/>
        </w:rPr>
        <w:t>2.14 合同中止、终止</w:t>
      </w:r>
      <w:bookmarkEnd w:id="270"/>
      <w:bookmarkEnd w:id="271"/>
      <w:bookmarkEnd w:id="272"/>
      <w:bookmarkEnd w:id="273"/>
      <w:bookmarkEnd w:id="274"/>
      <w:bookmarkEnd w:id="275"/>
      <w:bookmarkEnd w:id="27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2.14.1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77" w:name="_Toc14525"/>
      <w:bookmarkStart w:id="278" w:name="_Toc1969"/>
      <w:bookmarkStart w:id="279" w:name="_Toc4143"/>
      <w:bookmarkStart w:id="280" w:name="_Toc17363"/>
      <w:bookmarkStart w:id="281" w:name="_Toc11757"/>
      <w:bookmarkStart w:id="282" w:name="_Toc23052_WPSOffice_Level2"/>
      <w:bookmarkStart w:id="283" w:name="_Toc32538"/>
      <w:r>
        <w:rPr>
          <w:rFonts w:hint="eastAsia" w:ascii="宋体" w:hAnsi="宋体" w:eastAsia="宋体" w:cs="宋体"/>
          <w:color w:val="auto"/>
          <w:sz w:val="24"/>
          <w:szCs w:val="24"/>
        </w:rPr>
        <w:t>2.15 检验和验收</w:t>
      </w:r>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2.15.1 乙方按照合同专用条款的约定，定期提交服务报告，甲方按照合同专用条款的约定进行定期验收；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2.15.3 检验和验收标准、程序等具体内容以及前述验收书的效力详见合同专用条款。</w:t>
      </w:r>
    </w:p>
    <w:bookmarkEnd w:id="221"/>
    <w:bookmarkEnd w:id="222"/>
    <w:bookmarkEnd w:id="223"/>
    <w:bookmarkEnd w:id="224"/>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84" w:name="_Toc487900371"/>
      <w:bookmarkStart w:id="285" w:name="_Toc259093690"/>
      <w:bookmarkStart w:id="286" w:name="_Toc279701261"/>
      <w:bookmarkStart w:id="287" w:name="_Toc25198"/>
      <w:bookmarkStart w:id="288" w:name="_Toc2308"/>
      <w:bookmarkStart w:id="289" w:name="_Toc9808"/>
      <w:bookmarkStart w:id="290" w:name="_Toc5390_WPSOffice_Level2"/>
      <w:bookmarkStart w:id="291" w:name="_Toc31892"/>
      <w:bookmarkStart w:id="292" w:name="_Toc12666"/>
      <w:bookmarkStart w:id="293" w:name="_Toc25751"/>
      <w:bookmarkStart w:id="294" w:name="_Toc25767"/>
      <w:bookmarkStart w:id="295" w:name="_Toc6285"/>
      <w:r>
        <w:rPr>
          <w:rFonts w:hint="eastAsia" w:ascii="宋体" w:hAnsi="宋体" w:eastAsia="宋体" w:cs="宋体"/>
          <w:color w:val="auto"/>
          <w:sz w:val="24"/>
          <w:szCs w:val="24"/>
        </w:rPr>
        <w:t>2.16 通知</w:t>
      </w:r>
      <w:bookmarkEnd w:id="284"/>
      <w:bookmarkEnd w:id="285"/>
      <w:bookmarkEnd w:id="286"/>
      <w:r>
        <w:rPr>
          <w:rFonts w:hint="eastAsia" w:ascii="宋体" w:hAnsi="宋体" w:eastAsia="宋体" w:cs="宋体"/>
          <w:color w:val="auto"/>
          <w:sz w:val="24"/>
          <w:szCs w:val="24"/>
        </w:rPr>
        <w:t>和送达</w:t>
      </w:r>
      <w:bookmarkEnd w:id="287"/>
      <w:bookmarkEnd w:id="288"/>
      <w:bookmarkEnd w:id="289"/>
      <w:bookmarkEnd w:id="290"/>
      <w:bookmarkEnd w:id="291"/>
      <w:bookmarkEnd w:id="292"/>
      <w:bookmarkEnd w:id="293"/>
      <w:bookmarkEnd w:id="294"/>
      <w:bookmarkEnd w:id="29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296" w:name="_Toc7073"/>
      <w:bookmarkStart w:id="297" w:name="_Toc29220"/>
      <w:bookmarkStart w:id="298" w:name="_Toc279701262"/>
      <w:bookmarkStart w:id="299" w:name="_Toc259093691"/>
      <w:bookmarkStart w:id="300" w:name="_Toc487900372"/>
      <w:r>
        <w:rPr>
          <w:rFonts w:hint="eastAsia" w:ascii="宋体" w:hAnsi="宋体" w:eastAsia="宋体" w:cs="宋体"/>
          <w:color w:val="auto"/>
          <w:sz w:val="24"/>
          <w:szCs w:val="24"/>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296"/>
      <w:bookmarkEnd w:id="29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301" w:name="_Toc18401"/>
      <w:bookmarkStart w:id="302" w:name="_Toc27674"/>
      <w:r>
        <w:rPr>
          <w:rFonts w:hint="eastAsia" w:ascii="宋体" w:hAnsi="宋体" w:eastAsia="宋体" w:cs="宋体"/>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1"/>
      <w:bookmarkEnd w:id="302"/>
    </w:p>
    <w:bookmarkEnd w:id="298"/>
    <w:bookmarkEnd w:id="299"/>
    <w:bookmarkEnd w:id="30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303" w:name="_Toc12254"/>
      <w:bookmarkStart w:id="304" w:name="_Toc27644"/>
      <w:bookmarkStart w:id="305" w:name="_Toc2710"/>
      <w:bookmarkStart w:id="306" w:name="_Toc5063"/>
      <w:bookmarkStart w:id="307" w:name="_Toc12524"/>
      <w:bookmarkStart w:id="308" w:name="_Toc24954"/>
      <w:bookmarkStart w:id="309" w:name="_Toc30566_WPSOffice_Level2"/>
      <w:bookmarkStart w:id="310" w:name="_Toc28906"/>
      <w:bookmarkStart w:id="311" w:name="_Toc279701263"/>
      <w:bookmarkStart w:id="312" w:name="_Toc487900373"/>
      <w:bookmarkStart w:id="313" w:name="_Toc20808"/>
      <w:bookmarkStart w:id="314" w:name="_Toc259093692"/>
      <w:r>
        <w:rPr>
          <w:rFonts w:hint="eastAsia" w:ascii="宋体" w:hAnsi="宋体" w:eastAsia="宋体" w:cs="宋体"/>
          <w:color w:val="auto"/>
          <w:sz w:val="24"/>
          <w:szCs w:val="24"/>
        </w:rPr>
        <w:t>2.17 合同使用的文字和适用的法律</w:t>
      </w:r>
      <w:bookmarkEnd w:id="303"/>
      <w:bookmarkEnd w:id="304"/>
      <w:bookmarkEnd w:id="305"/>
      <w:bookmarkEnd w:id="306"/>
      <w:bookmarkEnd w:id="307"/>
      <w:bookmarkEnd w:id="308"/>
      <w:bookmarkEnd w:id="309"/>
      <w:bookmarkEnd w:id="310"/>
      <w:bookmarkEnd w:id="311"/>
      <w:bookmarkEnd w:id="312"/>
      <w:bookmarkEnd w:id="313"/>
      <w:bookmarkEnd w:id="31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2.17.1 合同使用汉语书就、变更和解释；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2.17.2 合同适用中华人民共和国法律。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315" w:name="_Toc14929"/>
      <w:bookmarkStart w:id="316" w:name="_Toc31734_WPSOffice_Level2"/>
      <w:bookmarkStart w:id="317" w:name="_Toc259093693"/>
      <w:bookmarkStart w:id="318" w:name="_Toc27127"/>
      <w:bookmarkStart w:id="319" w:name="_Toc14451"/>
      <w:bookmarkStart w:id="320" w:name="_Toc22266"/>
      <w:bookmarkStart w:id="321" w:name="_Toc279701264"/>
      <w:bookmarkStart w:id="322" w:name="_Toc30096"/>
      <w:bookmarkStart w:id="323" w:name="_Toc27403"/>
      <w:bookmarkStart w:id="324" w:name="_Toc1492"/>
      <w:bookmarkStart w:id="325" w:name="_Toc13858"/>
      <w:bookmarkStart w:id="326" w:name="_Toc487900374"/>
      <w:r>
        <w:rPr>
          <w:rFonts w:hint="eastAsia" w:ascii="宋体" w:hAnsi="宋体" w:eastAsia="宋体" w:cs="宋体"/>
          <w:color w:val="auto"/>
          <w:sz w:val="24"/>
          <w:szCs w:val="24"/>
        </w:rPr>
        <w:t>2.18 履约保证金</w:t>
      </w:r>
      <w:bookmarkEnd w:id="315"/>
      <w:bookmarkEnd w:id="316"/>
      <w:bookmarkEnd w:id="317"/>
      <w:bookmarkEnd w:id="318"/>
      <w:bookmarkEnd w:id="319"/>
      <w:bookmarkEnd w:id="320"/>
      <w:bookmarkEnd w:id="321"/>
      <w:bookmarkEnd w:id="322"/>
      <w:bookmarkEnd w:id="323"/>
      <w:bookmarkEnd w:id="324"/>
      <w:bookmarkEnd w:id="3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2.18.1 采购文件要求乙方提交履约保证金的，乙方应按合同专用条款约定的方式，以支票、汇票、本票或者金融机构、担保机构出具的保函等非现金形式，提交不超过合同价</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%的履约保证金；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2.18.2 履约保证金在合同专用条款约定期间内不予退还或者应完全有效，前述约定期间届满之日起    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6"/>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bookmarkStart w:id="327" w:name="_Toc25551"/>
      <w:bookmarkStart w:id="328" w:name="_Toc1367"/>
      <w:bookmarkStart w:id="329" w:name="_Toc31397"/>
      <w:bookmarkStart w:id="330" w:name="_Toc31345_WPSOffice_Level2"/>
      <w:r>
        <w:rPr>
          <w:rFonts w:hint="eastAsia" w:ascii="宋体" w:hAnsi="宋体" w:eastAsia="宋体" w:cs="宋体"/>
          <w:color w:val="auto"/>
          <w:sz w:val="24"/>
          <w:szCs w:val="24"/>
        </w:rPr>
        <w:t>2.19 合同份数</w:t>
      </w:r>
      <w:bookmarkEnd w:id="327"/>
      <w:bookmarkEnd w:id="328"/>
      <w:bookmarkEnd w:id="329"/>
      <w:bookmarkEnd w:id="33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合同份数按合同专用条款规定，每份均具有同等法律效力。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247" w:firstLineChars="700"/>
        <w:textAlignment w:val="auto"/>
        <w:outlineLvl w:val="9"/>
        <w:rPr>
          <w:rFonts w:hint="eastAsia" w:ascii="宋体" w:hAnsi="宋体" w:eastAsia="宋体" w:cs="宋体"/>
          <w:color w:val="auto"/>
          <w:sz w:val="24"/>
          <w:szCs w:val="24"/>
        </w:rPr>
      </w:pPr>
      <w:bookmarkStart w:id="331" w:name="_Toc30616"/>
      <w:bookmarkStart w:id="332" w:name="_Toc23006"/>
      <w:r>
        <w:rPr>
          <w:rFonts w:hint="eastAsia" w:ascii="宋体" w:hAnsi="宋体" w:eastAsia="宋体" w:cs="宋体"/>
          <w:color w:val="auto"/>
          <w:sz w:val="32"/>
          <w:szCs w:val="32"/>
          <w:lang w:eastAsia="zh-CN"/>
        </w:rPr>
        <w:t>第三部分</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专用条件</w:t>
      </w:r>
      <w:bookmarkEnd w:id="331"/>
      <w:bookmarkEnd w:id="332"/>
    </w:p>
    <w:p>
      <w:pPr>
        <w:spacing w:line="560" w:lineRule="exact"/>
        <w:ind w:firstLine="422" w:firstLineChars="200"/>
        <w:rPr>
          <w:rFonts w:hint="eastAsia" w:ascii="宋体" w:hAnsi="宋体" w:eastAsia="宋体" w:cs="宋体"/>
        </w:rPr>
      </w:pPr>
      <w:r>
        <w:rPr>
          <w:rFonts w:hint="eastAsia" w:ascii="宋体" w:hAnsi="宋体" w:eastAsia="宋体" w:cs="宋体"/>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rPr>
            </w:pPr>
            <w:r>
              <w:rPr>
                <w:rFonts w:hint="eastAsia" w:ascii="宋体" w:hAnsi="宋体" w:eastAsia="宋体" w:cs="宋体"/>
                <w:b/>
              </w:rPr>
              <w:t>条款号</w:t>
            </w:r>
          </w:p>
        </w:tc>
        <w:tc>
          <w:tcPr>
            <w:tcW w:w="7633" w:type="dxa"/>
            <w:noWrap w:val="0"/>
            <w:vAlign w:val="center"/>
          </w:tcPr>
          <w:p>
            <w:pPr>
              <w:spacing w:line="560" w:lineRule="exact"/>
              <w:jc w:val="center"/>
              <w:rPr>
                <w:rFonts w:hint="eastAsia" w:ascii="宋体" w:hAnsi="宋体" w:eastAsia="宋体" w:cs="宋体"/>
                <w:b/>
              </w:rPr>
            </w:pPr>
            <w:r>
              <w:rPr>
                <w:rFonts w:hint="eastAsia" w:ascii="宋体" w:hAnsi="宋体" w:eastAsia="宋体" w:cs="宋体"/>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rPr>
            </w:pPr>
          </w:p>
        </w:tc>
        <w:tc>
          <w:tcPr>
            <w:tcW w:w="7633" w:type="dxa"/>
            <w:noWrap w:val="0"/>
            <w:vAlign w:val="center"/>
          </w:tcPr>
          <w:p>
            <w:pPr>
              <w:spacing w:line="560" w:lineRule="exact"/>
              <w:rPr>
                <w:rFonts w:hint="eastAsia" w:ascii="宋体" w:hAnsi="宋体" w:eastAsia="宋体" w:cs="宋体"/>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宋体" w:hAnsi="宋体" w:eastAsia="宋体" w:cs="宋体"/>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宋体" w:hAnsi="宋体" w:eastAsia="宋体" w:cs="宋体"/>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宋体" w:hAnsi="宋体" w:eastAsia="宋体" w:cs="宋体"/>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宋体" w:hAnsi="宋体" w:eastAsia="宋体" w:cs="宋体"/>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宋体" w:hAnsi="宋体" w:eastAsia="宋体" w:cs="宋体"/>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宋体" w:hAnsi="宋体" w:eastAsia="宋体" w:cs="宋体"/>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宋体" w:hAnsi="宋体" w:eastAsia="宋体" w:cs="宋体"/>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宋体" w:hAnsi="宋体" w:eastAsia="宋体" w:cs="宋体"/>
          <w:b w:val="0"/>
          <w:bCs w:val="0"/>
          <w:color w:val="auto"/>
          <w:sz w:val="32"/>
          <w:szCs w:val="32"/>
          <w:shd w:val="clear" w:color="auto" w:fill="FFFFFF"/>
          <w:lang w:val="en-US" w:eastAsia="zh-CN"/>
        </w:rPr>
      </w:pPr>
      <w:r>
        <w:rPr>
          <w:rFonts w:hint="eastAsia" w:ascii="宋体" w:hAnsi="宋体" w:eastAsia="宋体" w:cs="宋体"/>
          <w:b w:val="0"/>
          <w:bCs w:val="0"/>
          <w:color w:val="auto"/>
          <w:sz w:val="32"/>
          <w:szCs w:val="32"/>
          <w:shd w:val="clear" w:color="auto" w:fill="FFFFFF"/>
          <w:lang w:val="en-US" w:eastAsia="zh-CN"/>
        </w:rPr>
        <w:t>第四章  采购需求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一、项目概述</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拟通过竞争性</w:t>
      </w:r>
      <w:r>
        <w:rPr>
          <w:rFonts w:hint="eastAsia" w:ascii="Times New Roman" w:hAnsi="Times New Roman" w:eastAsia="宋体" w:cs="Times New Roman"/>
          <w:sz w:val="28"/>
          <w:szCs w:val="28"/>
          <w:lang w:eastAsia="zh-CN"/>
        </w:rPr>
        <w:t>磋商</w:t>
      </w:r>
      <w:r>
        <w:rPr>
          <w:rFonts w:ascii="Times New Roman" w:hAnsi="Times New Roman" w:eastAsia="宋体" w:cs="Times New Roman"/>
          <w:sz w:val="28"/>
          <w:szCs w:val="28"/>
        </w:rPr>
        <w:t>确定一家</w:t>
      </w:r>
      <w:r>
        <w:rPr>
          <w:rFonts w:hint="eastAsia" w:ascii="Times New Roman" w:hAnsi="Times New Roman" w:eastAsia="宋体" w:cs="Times New Roman"/>
          <w:sz w:val="28"/>
          <w:szCs w:val="28"/>
        </w:rPr>
        <w:t>规划</w:t>
      </w:r>
      <w:r>
        <w:rPr>
          <w:rFonts w:ascii="Times New Roman" w:hAnsi="Times New Roman" w:eastAsia="宋体" w:cs="Times New Roman"/>
          <w:sz w:val="28"/>
          <w:szCs w:val="28"/>
        </w:rPr>
        <w:t>编制相关专业</w:t>
      </w:r>
      <w:r>
        <w:rPr>
          <w:rFonts w:hint="eastAsia" w:ascii="Times New Roman" w:hAnsi="Times New Roman" w:eastAsia="宋体" w:cs="Times New Roman"/>
          <w:sz w:val="28"/>
          <w:szCs w:val="28"/>
        </w:rPr>
        <w:t>单位</w:t>
      </w:r>
      <w:r>
        <w:rPr>
          <w:rFonts w:ascii="Times New Roman" w:hAnsi="Times New Roman" w:eastAsia="宋体" w:cs="Times New Roman"/>
          <w:sz w:val="28"/>
          <w:szCs w:val="28"/>
        </w:rPr>
        <w:t>对</w:t>
      </w:r>
      <w:r>
        <w:rPr>
          <w:rFonts w:hint="eastAsia" w:ascii="Times New Roman" w:hAnsi="Times New Roman" w:eastAsia="宋体" w:cs="Times New Roman"/>
          <w:sz w:val="28"/>
          <w:szCs w:val="28"/>
          <w:lang w:val="en-US"/>
        </w:rPr>
        <w:t>采购编制乡村振兴“十四五规划”服务</w:t>
      </w:r>
      <w:r>
        <w:rPr>
          <w:rFonts w:ascii="Times New Roman" w:hAnsi="Times New Roman" w:eastAsia="宋体" w:cs="Times New Roman"/>
          <w:sz w:val="28"/>
          <w:szCs w:val="28"/>
        </w:rPr>
        <w:t>项目进行服务。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二、服务内容、服务要求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（一）服务内容</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完成</w:t>
      </w:r>
      <w:r>
        <w:rPr>
          <w:rFonts w:hint="eastAsia" w:ascii="Times New Roman" w:hAnsi="Times New Roman" w:eastAsia="宋体" w:cs="Times New Roman"/>
          <w:sz w:val="28"/>
          <w:szCs w:val="28"/>
          <w:lang w:eastAsia="zh-CN"/>
        </w:rPr>
        <w:t>编制阿克苏地区乡村振兴“十四五”规划及实施方案服务</w:t>
      </w:r>
      <w:r>
        <w:rPr>
          <w:rFonts w:ascii="Times New Roman" w:hAnsi="Times New Roman" w:eastAsia="宋体" w:cs="Times New Roman"/>
          <w:sz w:val="28"/>
          <w:szCs w:val="28"/>
        </w:rPr>
        <w:t>项目工作</w:t>
      </w:r>
      <w:r>
        <w:rPr>
          <w:rFonts w:hint="eastAsia" w:ascii="Times New Roman" w:hAnsi="Times New Roman" w:eastAsia="宋体"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三、成果要求</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（1）农业农村部</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国家乡村振兴局《“ 十四五” 巩固拓展脱贫攻坚成果同乡村振兴有效衔接规划》</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（2）《关于编制巩固拓展脱贫攻坚成果同乡村振兴有效衔接“十四五”规划及实施方案（2022-2025 年）的通知》（新党农领办〔2022〕53 号）</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（3）《新疆维吾尔自治区巩固拓展脱贫攻坚成果同乡村振兴有效衔接“十四五”规划及实施方案》</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（4）《阿克苏地区国民经济和社会发展“十四五”规划》</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（5）《阿克苏地区农业农村现代化“十四五”规划》</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四、时间要求</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签订服务合同之日</w:t>
      </w:r>
      <w:r>
        <w:rPr>
          <w:rFonts w:hint="eastAsia" w:cs="Times New Roman"/>
          <w:sz w:val="28"/>
          <w:szCs w:val="28"/>
          <w:lang w:eastAsia="zh-CN"/>
        </w:rPr>
        <w:t>起</w:t>
      </w:r>
      <w:r>
        <w:rPr>
          <w:rFonts w:hint="eastAsia" w:cs="Times New Roman"/>
          <w:sz w:val="28"/>
          <w:szCs w:val="28"/>
          <w:lang w:val="en-US" w:eastAsia="zh-CN"/>
        </w:rPr>
        <w:t>40日内完成</w:t>
      </w:r>
      <w:r>
        <w:rPr>
          <w:rFonts w:ascii="Times New Roman" w:hAnsi="Times New Roman" w:eastAsia="宋体" w:cs="Times New Roman"/>
          <w:sz w:val="28"/>
          <w:szCs w:val="28"/>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五、服务费</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服务费：按项目中标价取费（计算费用），取费上限不得超过中标价，若计算费用低于中标价，则以计算费用为最终结算价，若计算费用高于中标价，则以中标价为最终结算价。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六、质量、要求</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6.1竞标人须按照报价表和技术参数要求提供产品和服务。</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6.2竞标人所提供的竞标文件应满足竞争性谈判文件要求，本项目不接受替代方案或其他备选方案。</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七、竞标报价</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cs="Times New Roman"/>
          <w:sz w:val="28"/>
          <w:szCs w:val="28"/>
          <w:lang w:val="en-US" w:eastAsia="zh-CN"/>
        </w:rPr>
        <w:t>1</w:t>
      </w:r>
      <w:r>
        <w:rPr>
          <w:rFonts w:ascii="Times New Roman" w:hAnsi="Times New Roman" w:eastAsia="宋体" w:cs="Times New Roman"/>
          <w:sz w:val="28"/>
          <w:szCs w:val="28"/>
        </w:rPr>
        <w:t>竞标报价为需方所在地交货价格和完成作业服务后的总价，应包括货物运抵需方指定地点的运输费用、服务作业费用、税金等所有费用的总额。</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cs="Times New Roman"/>
          <w:sz w:val="28"/>
          <w:szCs w:val="28"/>
          <w:lang w:val="en-US" w:eastAsia="zh-CN"/>
        </w:rPr>
        <w:t>2</w:t>
      </w:r>
      <w:r>
        <w:rPr>
          <w:rFonts w:ascii="Times New Roman" w:hAnsi="Times New Roman" w:eastAsia="宋体" w:cs="Times New Roman"/>
          <w:sz w:val="28"/>
          <w:szCs w:val="28"/>
        </w:rPr>
        <w:t>本次项目预算总额为800000.00元，等于或超出预算的报价为无效报价。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八、服务承诺</w:t>
      </w:r>
    </w:p>
    <w:p>
      <w:pPr>
        <w:keepNext w:val="0"/>
        <w:keepLines w:val="0"/>
        <w:pageBreakBefore w:val="0"/>
        <w:widowControl w:val="0"/>
        <w:kinsoku/>
        <w:wordWrap/>
        <w:overflowPunct/>
        <w:topLinePunct w:val="0"/>
        <w:autoSpaceDE/>
        <w:autoSpaceDN/>
        <w:bidi w:val="0"/>
        <w:adjustRightInd/>
        <w:snapToGrid/>
        <w:spacing w:line="380" w:lineRule="exact"/>
        <w:ind w:firstLine="281" w:firstLineChars="100"/>
        <w:textAlignment w:val="auto"/>
        <w:rPr>
          <w:rFonts w:ascii="Times New Roman" w:hAnsi="Times New Roman" w:eastAsia="宋体" w:cs="Times New Roman"/>
          <w:sz w:val="28"/>
          <w:szCs w:val="28"/>
        </w:rPr>
      </w:pPr>
      <w:r>
        <w:rPr>
          <w:rFonts w:ascii="Times New Roman" w:hAnsi="Times New Roman" w:eastAsia="宋体" w:cs="Times New Roman"/>
          <w:sz w:val="28"/>
          <w:szCs w:val="28"/>
        </w:rPr>
        <w:t>竞标人的服务承诺应按不低于竞争性谈判文件中提出的所有服务要求的标准做出响应。</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t>九、履约验收</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由使用单位组织有关专业人员按国家</w:t>
      </w:r>
      <w:r>
        <w:rPr>
          <w:rFonts w:hint="eastAsia" w:ascii="Times New Roman" w:hAnsi="Times New Roman" w:eastAsia="宋体" w:cs="Times New Roman"/>
          <w:sz w:val="28"/>
          <w:szCs w:val="28"/>
        </w:rPr>
        <w:t>、</w:t>
      </w:r>
      <w:r>
        <w:rPr>
          <w:rFonts w:ascii="Times New Roman" w:hAnsi="Times New Roman" w:eastAsia="宋体" w:cs="Times New Roman"/>
          <w:sz w:val="28"/>
          <w:szCs w:val="28"/>
        </w:rPr>
        <w:t>自治区相关标准和竞争性谈判文所列的各项技术指标和各项国家现有规范验收。若使用单位因自身原因要求中标商延期交货或延期验收，使用单位除提供延期说明外还应出具双方协商一致的书面协议文件。</w:t>
      </w:r>
    </w:p>
    <w:p>
      <w:pPr>
        <w:pStyle w:val="4"/>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第五章 响应文件格式</w:t>
      </w:r>
      <w:bookmarkEnd w:id="49"/>
      <w:bookmarkEnd w:id="50"/>
      <w:bookmarkEnd w:id="51"/>
      <w:bookmarkEnd w:id="52"/>
      <w:bookmarkEnd w:id="53"/>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482" w:firstLineChars="200"/>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（项目名称）</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  标  文  件</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adjustRightInd w:val="0"/>
        <w:snapToGrid w:val="0"/>
        <w:spacing w:line="360" w:lineRule="auto"/>
        <w:jc w:val="center"/>
        <w:rPr>
          <w:rFonts w:hint="eastAsia" w:ascii="宋体" w:hAnsi="宋体" w:cs="宋体"/>
          <w:color w:val="auto"/>
          <w:sz w:val="24"/>
          <w:highlight w:val="none"/>
          <w:u w:val="singl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目录</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投标人自行编制</w:t>
      </w:r>
      <w:r>
        <w:rPr>
          <w:rFonts w:hint="eastAsia" w:ascii="宋体" w:hAnsi="宋体" w:cs="宋体"/>
          <w:color w:val="auto"/>
          <w:sz w:val="24"/>
          <w:highlight w:val="none"/>
          <w:lang w:eastAsia="zh-CN"/>
        </w:rPr>
        <w:t>）</w:t>
      </w:r>
      <w:r>
        <w:rPr>
          <w:rFonts w:hint="eastAsia" w:ascii="宋体" w:hAnsi="宋体" w:cs="宋体"/>
          <w:color w:val="auto"/>
          <w:sz w:val="24"/>
          <w:highlight w:val="none"/>
        </w:rPr>
        <w:br w:type="page"/>
      </w:r>
      <w:r>
        <w:rPr>
          <w:rFonts w:hint="eastAsia" w:ascii="宋体" w:hAnsi="宋体" w:cs="宋体"/>
          <w:b/>
          <w:color w:val="auto"/>
          <w:sz w:val="24"/>
          <w:highlight w:val="none"/>
        </w:rPr>
        <w:t>1、投标函及投标报价表</w:t>
      </w:r>
    </w:p>
    <w:p>
      <w:pPr>
        <w:spacing w:line="360"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（一）投 标 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我们收到你们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lang w:eastAsia="zh-CN"/>
        </w:rPr>
        <w:t>竞争性磋商文件</w:t>
      </w:r>
      <w:r>
        <w:rPr>
          <w:rFonts w:hint="eastAsia" w:ascii="宋体" w:hAnsi="宋体" w:cs="宋体"/>
          <w:color w:val="auto"/>
          <w:sz w:val="24"/>
          <w:highlight w:val="none"/>
        </w:rPr>
        <w:t>，经认真研究，我们决定参加投标。</w:t>
      </w:r>
    </w:p>
    <w:p>
      <w:pPr>
        <w:spacing w:line="360" w:lineRule="auto"/>
        <w:ind w:firstLine="567"/>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⒈按照</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 xml:space="preserve">中的一切要求，提供招标服务投标总价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元（用阿拉伯数字书写）人民币</w:t>
      </w:r>
      <w:r>
        <w:rPr>
          <w:rFonts w:hint="eastAsia" w:ascii="宋体" w:hAnsi="宋体" w:cs="宋体"/>
          <w:color w:val="auto"/>
          <w:sz w:val="24"/>
          <w:highlight w:val="none"/>
          <w:lang w:val="en-US" w:eastAsia="zh-CN"/>
        </w:rPr>
        <w:t>参与本项目的竞标。</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⒉如果我们的投标书被接受，我们将履行</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中规定的每一项要求，按期、按质、按量完成交货和完工任务。</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⒊我们同意按</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的规定，本投标书的有效期为开标后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⒋我们愿意提供采购人在</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中要求的所有资料。</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⒍我们愿按合同法履行自己的全部责任。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⒎我方愿意遵守国家有关规定及</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中规定的收费标准，承付中标服务费。</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⒏该项投标在开标后的全过程中保持有效，不作任何更改和变动。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⒐我们同意按</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规定，交纳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.所有有关本标书的函电，请按下列地址联系：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单       位：</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地       址：</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电       话：</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传       真：</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邮 政 编 码：</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联  系  人：</w:t>
      </w:r>
    </w:p>
    <w:p>
      <w:pPr>
        <w:spacing w:line="360" w:lineRule="auto"/>
        <w:ind w:firstLine="432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spacing w:line="360" w:lineRule="auto"/>
        <w:ind w:firstLine="3133" w:firstLineChars="1300"/>
        <w:jc w:val="left"/>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17"/>
        <w:rPr>
          <w:rFonts w:hint="eastAsia" w:ascii="宋体" w:hAnsi="宋体" w:cs="宋体"/>
          <w:bCs/>
          <w:color w:val="auto"/>
          <w:sz w:val="24"/>
          <w:highlight w:val="none"/>
        </w:rPr>
      </w:pPr>
    </w:p>
    <w:p>
      <w:pPr>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、法定代表人身份证明</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pPr>
        <w:spacing w:line="360" w:lineRule="auto"/>
        <w:ind w:firstLine="964"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注：后附法定代表人身份证复印件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pStyle w:val="17"/>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jc w:val="center"/>
        <w:outlineLvl w:val="1"/>
        <w:rPr>
          <w:rFonts w:hint="eastAsia" w:ascii="宋体" w:hAnsi="宋体" w:cs="宋体"/>
          <w:b/>
          <w:bCs/>
          <w:color w:val="auto"/>
          <w:sz w:val="24"/>
          <w:highlight w:val="none"/>
        </w:rPr>
      </w:pPr>
    </w:p>
    <w:p>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、法定代表人的授权委托书</w:t>
      </w:r>
    </w:p>
    <w:p>
      <w:pPr>
        <w:spacing w:line="360" w:lineRule="auto"/>
        <w:rPr>
          <w:rFonts w:hint="eastAsia" w:ascii="宋体" w:hAnsi="宋体" w:cs="宋体"/>
          <w:color w:val="auto"/>
          <w:sz w:val="24"/>
          <w:highlight w:val="none"/>
        </w:rPr>
      </w:pPr>
    </w:p>
    <w:p>
      <w:pPr>
        <w:topLinePunct/>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、签订合同和处理有关事宜，其法律后果由我方承担。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2" w:firstLineChars="200"/>
        <w:rPr>
          <w:rFonts w:hint="eastAsia" w:ascii="宋体" w:hAnsi="宋体" w:cs="宋体"/>
          <w:color w:val="auto"/>
          <w:sz w:val="24"/>
          <w:highlight w:val="none"/>
        </w:rPr>
      </w:pP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附：法定代表人身份证明、委托代理人身份证复印件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numPr>
          <w:ilvl w:val="0"/>
          <w:numId w:val="6"/>
        </w:numPr>
        <w:spacing w:line="360" w:lineRule="auto"/>
        <w:jc w:val="center"/>
        <w:outlineLvl w:val="1"/>
        <w:rPr>
          <w:rFonts w:hint="eastAsia" w:ascii="宋体" w:hAnsi="宋体" w:cs="宋体"/>
          <w:b/>
          <w:color w:val="auto"/>
          <w:sz w:val="24"/>
          <w:highlight w:val="none"/>
          <w:lang w:eastAsia="zh-CN"/>
        </w:rPr>
      </w:pPr>
      <w:r>
        <w:rPr>
          <w:rFonts w:hint="eastAsia" w:ascii="宋体" w:hAnsi="宋体" w:cs="宋体"/>
          <w:b/>
          <w:color w:val="auto"/>
          <w:sz w:val="24"/>
          <w:highlight w:val="none"/>
        </w:rPr>
        <w:t>投标保证金</w:t>
      </w:r>
      <w:r>
        <w:rPr>
          <w:rFonts w:hint="eastAsia" w:ascii="宋体" w:hAnsi="宋体" w:cs="宋体"/>
          <w:b/>
          <w:color w:val="auto"/>
          <w:sz w:val="24"/>
          <w:highlight w:val="none"/>
          <w:lang w:eastAsia="zh-CN"/>
        </w:rPr>
        <w:t>（应附开户信息、投标保证金打款凭证）</w:t>
      </w:r>
    </w:p>
    <w:p>
      <w:pPr>
        <w:pStyle w:val="8"/>
        <w:widowControl w:val="0"/>
        <w:numPr>
          <w:ilvl w:val="0"/>
          <w:numId w:val="0"/>
        </w:numPr>
        <w:jc w:val="center"/>
        <w:rPr>
          <w:rFonts w:hint="eastAsia"/>
          <w:color w:val="auto"/>
          <w:lang w:eastAsia="zh-CN"/>
        </w:rPr>
        <w:sectPr>
          <w:footerReference r:id="rId8" w:type="first"/>
          <w:footerReference r:id="rId7" w:type="default"/>
          <w:pgSz w:w="11849" w:h="16781"/>
          <w:pgMar w:top="1440" w:right="1338" w:bottom="1440" w:left="1332" w:header="851" w:footer="850" w:gutter="0"/>
          <w:pgNumType w:fmt="decimal"/>
          <w:cols w:space="720" w:num="1"/>
          <w:titlePg/>
          <w:docGrid w:type="linesAndChars" w:linePitch="320" w:charSpace="269"/>
        </w:sectPr>
      </w:pPr>
      <w:r>
        <w:rPr>
          <w:rFonts w:hint="eastAsia" w:ascii="宋体" w:hAnsi="宋体" w:eastAsia="宋体" w:cs="宋体"/>
          <w:b w:val="0"/>
          <w:bCs/>
          <w:color w:val="auto"/>
          <w:kern w:val="2"/>
          <w:sz w:val="24"/>
          <w:szCs w:val="24"/>
          <w:highlight w:val="none"/>
          <w:lang w:val="en-US" w:eastAsia="zh-CN" w:bidi="ar-SA"/>
        </w:rPr>
        <w:t>本项目不做要求</w:t>
      </w:r>
    </w:p>
    <w:p>
      <w:pPr>
        <w:ind w:firstLine="3500" w:firstLineChars="125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5.</w:t>
      </w:r>
      <w:r>
        <w:rPr>
          <w:rFonts w:hint="eastAsia" w:ascii="宋体" w:hAnsi="宋体" w:eastAsia="宋体" w:cs="宋体"/>
          <w:i w:val="0"/>
          <w:iCs w:val="0"/>
          <w:color w:val="auto"/>
          <w:sz w:val="28"/>
          <w:szCs w:val="28"/>
          <w:highlight w:val="none"/>
        </w:rPr>
        <w:t>反商业贿赂承诺书</w:t>
      </w:r>
    </w:p>
    <w:p>
      <w:pPr>
        <w:rPr>
          <w:rFonts w:hint="eastAsia" w:ascii="宋体" w:hAnsi="宋体" w:eastAsia="宋体" w:cs="宋体"/>
          <w:i w:val="0"/>
          <w:iCs w:val="0"/>
          <w:color w:val="auto"/>
          <w:sz w:val="28"/>
          <w:szCs w:val="28"/>
          <w:highlight w:val="none"/>
        </w:rPr>
      </w:pPr>
    </w:p>
    <w:p>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我公司承诺：</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在本次</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活动中，我公司保证做到：</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一、公平竞争参加本次招标活动。</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三、若出现上述行为，我公司及参与磋商的工作人员愿意接受按照国家法律法规等有关规定给予的处罚。</w:t>
      </w:r>
    </w:p>
    <w:p>
      <w:pPr>
        <w:spacing w:line="360" w:lineRule="auto"/>
        <w:rPr>
          <w:rFonts w:hint="eastAsia" w:ascii="宋体" w:hAnsi="宋体" w:eastAsia="宋体" w:cs="宋体"/>
          <w:i w:val="0"/>
          <w:iCs w:val="0"/>
          <w:color w:val="auto"/>
          <w:sz w:val="24"/>
          <w:szCs w:val="24"/>
          <w:highlight w:val="none"/>
        </w:rPr>
      </w:pPr>
    </w:p>
    <w:p>
      <w:pPr>
        <w:spacing w:line="360" w:lineRule="auto"/>
        <w:rPr>
          <w:rFonts w:hint="eastAsia" w:ascii="宋体" w:hAnsi="宋体" w:eastAsia="宋体" w:cs="宋体"/>
          <w:i w:val="0"/>
          <w:iCs w:val="0"/>
          <w:color w:val="auto"/>
          <w:sz w:val="24"/>
          <w:szCs w:val="24"/>
          <w:highlight w:val="none"/>
        </w:rPr>
      </w:pPr>
    </w:p>
    <w:p>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供应商名称（加盖公章）：</w:t>
      </w:r>
    </w:p>
    <w:p>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法定代表人（签字）：</w:t>
      </w:r>
    </w:p>
    <w:p>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授权代表（签字）：</w:t>
      </w:r>
    </w:p>
    <w:p>
      <w:pPr>
        <w:spacing w:line="360" w:lineRule="auto"/>
        <w:rPr>
          <w:rFonts w:hint="eastAsia" w:ascii="宋体" w:hAnsi="宋体" w:eastAsia="宋体" w:cs="宋体"/>
          <w:i w:val="0"/>
          <w:iCs w:val="0"/>
          <w:color w:val="auto"/>
          <w:sz w:val="24"/>
          <w:szCs w:val="24"/>
          <w:highlight w:val="none"/>
        </w:rPr>
        <w:sectPr>
          <w:footerReference r:id="rId9" w:type="default"/>
          <w:pgSz w:w="11907" w:h="16840"/>
          <w:pgMar w:top="1440" w:right="1474" w:bottom="1440" w:left="1474" w:header="851" w:footer="992" w:gutter="0"/>
          <w:pgNumType w:fmt="decimal"/>
          <w:cols w:space="720" w:num="1"/>
          <w:docGrid w:linePitch="312" w:charSpace="0"/>
        </w:sectPr>
      </w:pPr>
      <w:r>
        <w:rPr>
          <w:rFonts w:hint="eastAsia" w:ascii="宋体" w:hAnsi="宋体" w:eastAsia="宋体" w:cs="宋体"/>
          <w:i w:val="0"/>
          <w:iCs w:val="0"/>
          <w:color w:val="auto"/>
          <w:sz w:val="24"/>
          <w:szCs w:val="24"/>
          <w:highlight w:val="none"/>
        </w:rPr>
        <w:t>日    期：   年  月  日</w:t>
      </w: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6</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投标人概况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4"/>
                <w:highlight w:val="none"/>
              </w:rPr>
            </w:pPr>
          </w:p>
        </w:tc>
        <w:tc>
          <w:tcPr>
            <w:tcW w:w="1246"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4"/>
                <w:highlight w:val="none"/>
              </w:rPr>
            </w:pPr>
          </w:p>
        </w:tc>
        <w:tc>
          <w:tcPr>
            <w:tcW w:w="1246"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4"/>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4"/>
                <w:highlight w:val="none"/>
              </w:rPr>
            </w:pPr>
          </w:p>
        </w:tc>
        <w:tc>
          <w:tcPr>
            <w:tcW w:w="1246"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709"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p>
        </w:tc>
        <w:tc>
          <w:tcPr>
            <w:tcW w:w="1416" w:type="dxa"/>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709"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p>
        </w:tc>
        <w:tc>
          <w:tcPr>
            <w:tcW w:w="1416" w:type="dxa"/>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4"/>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企业资质等级</w:t>
            </w:r>
          </w:p>
        </w:tc>
        <w:tc>
          <w:tcPr>
            <w:tcW w:w="897" w:type="dxa"/>
            <w:noWrap w:val="0"/>
            <w:vAlign w:val="center"/>
          </w:tcPr>
          <w:p>
            <w:pPr>
              <w:jc w:val="center"/>
              <w:rPr>
                <w:rFonts w:hint="eastAsia" w:ascii="宋体" w:hAnsi="宋体" w:eastAsia="宋体" w:cs="宋体"/>
                <w:i w:val="0"/>
                <w:iCs w:val="0"/>
                <w:color w:val="auto"/>
                <w:sz w:val="24"/>
                <w:szCs w:val="24"/>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营业执照号</w:t>
            </w:r>
          </w:p>
        </w:tc>
        <w:tc>
          <w:tcPr>
            <w:tcW w:w="897" w:type="dxa"/>
            <w:noWrap w:val="0"/>
            <w:vAlign w:val="center"/>
          </w:tcPr>
          <w:p>
            <w:pPr>
              <w:jc w:val="center"/>
              <w:rPr>
                <w:rFonts w:hint="eastAsia" w:ascii="宋体" w:hAnsi="宋体" w:eastAsia="宋体" w:cs="宋体"/>
                <w:i w:val="0"/>
                <w:iCs w:val="0"/>
                <w:color w:val="auto"/>
                <w:sz w:val="24"/>
                <w:szCs w:val="24"/>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4"/>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注册资金</w:t>
            </w:r>
          </w:p>
        </w:tc>
        <w:tc>
          <w:tcPr>
            <w:tcW w:w="897" w:type="dxa"/>
            <w:noWrap w:val="0"/>
            <w:vAlign w:val="center"/>
          </w:tcPr>
          <w:p>
            <w:pPr>
              <w:jc w:val="center"/>
              <w:rPr>
                <w:rFonts w:hint="eastAsia" w:ascii="宋体" w:hAnsi="宋体" w:eastAsia="宋体" w:cs="宋体"/>
                <w:i w:val="0"/>
                <w:iCs w:val="0"/>
                <w:color w:val="auto"/>
                <w:sz w:val="24"/>
                <w:szCs w:val="24"/>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4"/>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p>
        </w:tc>
        <w:tc>
          <w:tcPr>
            <w:tcW w:w="897" w:type="dxa"/>
            <w:noWrap w:val="0"/>
            <w:vAlign w:val="center"/>
          </w:tcPr>
          <w:p>
            <w:pPr>
              <w:jc w:val="center"/>
              <w:rPr>
                <w:rFonts w:hint="eastAsia" w:ascii="宋体" w:hAnsi="宋体" w:eastAsia="宋体" w:cs="宋体"/>
                <w:i w:val="0"/>
                <w:iCs w:val="0"/>
                <w:color w:val="auto"/>
                <w:sz w:val="24"/>
                <w:szCs w:val="24"/>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4"/>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账号</w:t>
            </w:r>
          </w:p>
        </w:tc>
        <w:tc>
          <w:tcPr>
            <w:tcW w:w="897" w:type="dxa"/>
            <w:noWrap w:val="0"/>
            <w:vAlign w:val="center"/>
          </w:tcPr>
          <w:p>
            <w:pPr>
              <w:jc w:val="center"/>
              <w:rPr>
                <w:rFonts w:hint="eastAsia" w:ascii="宋体" w:hAnsi="宋体" w:eastAsia="宋体" w:cs="宋体"/>
                <w:i w:val="0"/>
                <w:iCs w:val="0"/>
                <w:color w:val="auto"/>
                <w:sz w:val="24"/>
                <w:szCs w:val="24"/>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4"/>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4"/>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7</w:t>
      </w:r>
    </w:p>
    <w:p>
      <w:pPr>
        <w:tabs>
          <w:tab w:val="left" w:pos="720"/>
        </w:tabs>
        <w:autoSpaceDE w:val="0"/>
        <w:autoSpaceDN w:val="0"/>
        <w:adjustRightInd w:val="0"/>
        <w:spacing w:line="420" w:lineRule="exact"/>
        <w:ind w:left="720" w:firstLine="2660" w:firstLineChars="95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项目管理机构组成表</w:t>
      </w:r>
    </w:p>
    <w:p>
      <w:pPr>
        <w:autoSpaceDE w:val="0"/>
        <w:autoSpaceDN w:val="0"/>
        <w:adjustRightInd w:val="0"/>
        <w:spacing w:line="420" w:lineRule="exact"/>
        <w:jc w:val="left"/>
        <w:rPr>
          <w:rFonts w:hint="eastAsia" w:ascii="宋体" w:hAnsi="宋体" w:cs="宋体"/>
          <w:color w:val="auto"/>
          <w:kern w:val="0"/>
          <w:highlight w:val="none"/>
        </w:rPr>
      </w:pPr>
    </w:p>
    <w:tbl>
      <w:tblPr>
        <w:tblStyle w:val="13"/>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5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trPr>
        <w:tc>
          <w:tcPr>
            <w:tcW w:w="655" w:type="dxa"/>
            <w:tcBorders>
              <w:bottom w:val="single" w:color="000000" w:sz="6" w:space="0"/>
              <w:right w:val="single" w:color="000000" w:sz="4" w:space="0"/>
            </w:tcBorders>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559" w:type="dxa"/>
            <w:tcBorders>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851"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年龄</w:t>
            </w:r>
          </w:p>
        </w:tc>
        <w:tc>
          <w:tcPr>
            <w:tcW w:w="850"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性别</w:t>
            </w:r>
          </w:p>
        </w:tc>
        <w:tc>
          <w:tcPr>
            <w:tcW w:w="992"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学历</w:t>
            </w:r>
          </w:p>
        </w:tc>
        <w:tc>
          <w:tcPr>
            <w:tcW w:w="122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专业</w:t>
            </w:r>
          </w:p>
        </w:tc>
        <w:tc>
          <w:tcPr>
            <w:tcW w:w="146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职称</w:t>
            </w:r>
          </w:p>
        </w:tc>
        <w:tc>
          <w:tcPr>
            <w:tcW w:w="1522" w:type="dxa"/>
            <w:tcBorders>
              <w:left w:val="single" w:color="000000" w:sz="6" w:space="0"/>
              <w:bottom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在本项目</w:t>
            </w:r>
          </w:p>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655" w:type="dxa"/>
            <w:tcBorders>
              <w:top w:val="single" w:color="000000" w:sz="4"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4"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sz w:val="24"/>
                <w:szCs w:val="24"/>
                <w:highlight w:val="none"/>
              </w:rPr>
            </w:pPr>
          </w:p>
        </w:tc>
      </w:tr>
    </w:tbl>
    <w:p>
      <w:pPr>
        <w:spacing w:line="450" w:lineRule="atLeast"/>
        <w:rPr>
          <w:rFonts w:hint="eastAsia" w:ascii="宋体" w:hAnsi="宋体" w:cs="宋体"/>
          <w:b/>
          <w:color w:val="auto"/>
          <w:spacing w:val="20"/>
          <w:sz w:val="32"/>
          <w:highlight w:val="none"/>
        </w:rPr>
      </w:pPr>
    </w:p>
    <w:p>
      <w:pPr>
        <w:spacing w:line="450" w:lineRule="atLeast"/>
        <w:jc w:val="left"/>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 xml:space="preserve">投标单位（公章）： </w:t>
      </w:r>
    </w:p>
    <w:p>
      <w:pPr>
        <w:spacing w:line="450" w:lineRule="atLeast"/>
        <w:jc w:val="left"/>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投标人代表(签字)：</w:t>
      </w:r>
    </w:p>
    <w:p>
      <w:pPr>
        <w:pStyle w:val="17"/>
        <w:rPr>
          <w:rFonts w:hint="eastAsia"/>
          <w:color w:val="auto"/>
          <w:lang w:eastAsia="zh-CN"/>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color w:val="auto"/>
          <w:kern w:val="0"/>
          <w:sz w:val="28"/>
          <w:szCs w:val="28"/>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8</w:t>
      </w:r>
    </w:p>
    <w:p>
      <w:pPr>
        <w:tabs>
          <w:tab w:val="left" w:pos="720"/>
        </w:tabs>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拟投入项目负责人及主要人员简历表</w:t>
      </w:r>
    </w:p>
    <w:p>
      <w:pPr>
        <w:autoSpaceDE w:val="0"/>
        <w:autoSpaceDN w:val="0"/>
        <w:adjustRightInd w:val="0"/>
        <w:spacing w:line="42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“项目负责人及主要人员简历表”中的项目负责人应附身份证、职称证复印件，管理过的</w:t>
      </w:r>
      <w:r>
        <w:rPr>
          <w:rFonts w:hint="eastAsia" w:ascii="宋体" w:hAnsi="宋体" w:cs="宋体"/>
          <w:bCs/>
          <w:color w:val="auto"/>
          <w:kern w:val="0"/>
          <w:sz w:val="24"/>
          <w:szCs w:val="24"/>
          <w:highlight w:val="none"/>
        </w:rPr>
        <w:t>项目业绩须附合同协议书复印件</w:t>
      </w:r>
      <w:r>
        <w:rPr>
          <w:rFonts w:hint="eastAsia" w:ascii="宋体" w:hAnsi="宋体" w:cs="宋体"/>
          <w:color w:val="auto"/>
          <w:kern w:val="0"/>
          <w:sz w:val="24"/>
          <w:szCs w:val="24"/>
          <w:highlight w:val="none"/>
        </w:rPr>
        <w:t>；其他主要人员应附身份证等。</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 名</w:t>
            </w:r>
          </w:p>
        </w:tc>
        <w:tc>
          <w:tcPr>
            <w:tcW w:w="1551"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 龄</w:t>
            </w:r>
          </w:p>
        </w:tc>
        <w:tc>
          <w:tcPr>
            <w:tcW w:w="1552"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学 历</w:t>
            </w:r>
          </w:p>
        </w:tc>
        <w:tc>
          <w:tcPr>
            <w:tcW w:w="1263"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职 称</w:t>
            </w:r>
          </w:p>
        </w:tc>
        <w:tc>
          <w:tcPr>
            <w:tcW w:w="1551"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职 务</w:t>
            </w:r>
          </w:p>
        </w:tc>
        <w:tc>
          <w:tcPr>
            <w:tcW w:w="1552"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拟在本合同任职</w:t>
            </w:r>
          </w:p>
        </w:tc>
        <w:tc>
          <w:tcPr>
            <w:tcW w:w="1263"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毕业学校</w:t>
            </w:r>
          </w:p>
        </w:tc>
        <w:tc>
          <w:tcPr>
            <w:tcW w:w="7764" w:type="dxa"/>
            <w:gridSpan w:val="7"/>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年毕业于</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学校</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时 间</w:t>
            </w: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参加过的类似项目</w:t>
            </w: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担任职务</w:t>
            </w: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4"/>
                <w:szCs w:val="24"/>
                <w:highlight w:val="none"/>
              </w:rPr>
            </w:pPr>
          </w:p>
        </w:tc>
      </w:tr>
    </w:tbl>
    <w:p>
      <w:pPr>
        <w:spacing w:line="450" w:lineRule="atLeast"/>
        <w:rPr>
          <w:rFonts w:hint="eastAsia" w:ascii="宋体" w:hAnsi="宋体" w:cs="宋体"/>
          <w:color w:val="auto"/>
          <w:sz w:val="24"/>
          <w:szCs w:val="24"/>
          <w:highlight w:val="none"/>
        </w:rPr>
      </w:pPr>
    </w:p>
    <w:p>
      <w:pPr>
        <w:spacing w:line="450" w:lineRule="atLeast"/>
        <w:rPr>
          <w:rFonts w:hint="eastAsia" w:ascii="宋体" w:hAnsi="宋体" w:cs="宋体"/>
          <w:color w:val="auto"/>
          <w:sz w:val="24"/>
          <w:szCs w:val="24"/>
          <w:highlight w:val="none"/>
        </w:rPr>
      </w:pPr>
    </w:p>
    <w:p>
      <w:pPr>
        <w:spacing w:line="45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投标人（盖章）：</w:t>
      </w:r>
    </w:p>
    <w:p>
      <w:pPr>
        <w:spacing w:line="45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法定代表人（或委托代理人）（签字）：</w:t>
      </w:r>
    </w:p>
    <w:p>
      <w:pPr>
        <w:spacing w:line="45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spacing w:line="450" w:lineRule="atLeast"/>
        <w:rPr>
          <w:rFonts w:hint="eastAsia" w:ascii="宋体" w:hAnsi="宋体" w:eastAsia="宋体" w:cs="宋体"/>
          <w:i w:val="0"/>
          <w:iCs w:val="0"/>
          <w:color w:val="auto"/>
          <w:sz w:val="24"/>
          <w:highlight w:val="none"/>
        </w:rPr>
      </w:pPr>
    </w:p>
    <w:p>
      <w:pPr>
        <w:pStyle w:val="8"/>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p>
    <w:p>
      <w:pPr>
        <w:pStyle w:val="17"/>
        <w:rPr>
          <w:rFonts w:hint="eastAsia" w:ascii="宋体" w:hAnsi="宋体" w:eastAsia="宋体" w:cs="宋体"/>
          <w:i w:val="0"/>
          <w:iCs w:val="0"/>
          <w:color w:val="auto"/>
          <w:sz w:val="24"/>
          <w:highlight w:val="none"/>
        </w:rPr>
      </w:pPr>
    </w:p>
    <w:p>
      <w:pPr>
        <w:pStyle w:val="17"/>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13"/>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186"/>
        <w:gridCol w:w="1305"/>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性别</w:t>
            </w:r>
          </w:p>
        </w:tc>
        <w:tc>
          <w:tcPr>
            <w:tcW w:w="160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305"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身份证号</w:t>
            </w: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学历</w:t>
            </w:r>
          </w:p>
        </w:tc>
        <w:tc>
          <w:tcPr>
            <w:tcW w:w="160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305"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职称</w:t>
            </w: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从事专业工作年限</w:t>
            </w: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资格证书编号</w:t>
            </w: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资格证书编号</w:t>
            </w: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84" w:type="dxa"/>
            <w:gridSpan w:val="8"/>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w:t>
            </w: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27"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9</w:t>
      </w:r>
    </w:p>
    <w:p>
      <w:pPr>
        <w:spacing w:line="450" w:lineRule="atLeast"/>
        <w:jc w:val="center"/>
        <w:rPr>
          <w:rFonts w:hint="eastAsia" w:ascii="宋体" w:hAnsi="宋体" w:eastAsia="宋体" w:cs="宋体"/>
          <w:b/>
          <w:bCs/>
          <w:i w:val="0"/>
          <w:iCs w:val="0"/>
          <w:color w:val="auto"/>
          <w:sz w:val="28"/>
          <w:szCs w:val="28"/>
          <w:highlight w:val="none"/>
        </w:rPr>
      </w:pPr>
      <w:r>
        <w:rPr>
          <w:rFonts w:hint="eastAsia" w:ascii="宋体" w:hAnsi="宋体" w:eastAsia="宋体" w:cs="宋体"/>
          <w:b/>
          <w:i w:val="0"/>
          <w:iCs w:val="0"/>
          <w:color w:val="auto"/>
          <w:spacing w:val="20"/>
          <w:sz w:val="32"/>
          <w:highlight w:val="none"/>
        </w:rPr>
        <w:t>近3年公司承接的类似项目一览表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r>
    </w:tbl>
    <w:p>
      <w:pPr>
        <w:spacing w:line="360" w:lineRule="auto"/>
        <w:ind w:firstLine="3855" w:firstLineChars="1600"/>
        <w:outlineLvl w:val="1"/>
        <w:rPr>
          <w:rFonts w:hint="eastAsia" w:ascii="宋体" w:hAnsi="宋体" w:cs="宋体"/>
          <w:b/>
          <w:color w:val="auto"/>
          <w:sz w:val="24"/>
          <w:highlight w:val="none"/>
        </w:rPr>
      </w:pPr>
    </w:p>
    <w:p>
      <w:pPr>
        <w:spacing w:line="450" w:lineRule="atLeast"/>
        <w:jc w:val="both"/>
        <w:rPr>
          <w:rFonts w:hint="eastAsia" w:ascii="宋体" w:hAnsi="宋体" w:eastAsia="宋体" w:cs="宋体"/>
          <w:b/>
          <w:i w:val="0"/>
          <w:iCs w:val="0"/>
          <w:color w:val="auto"/>
          <w:spacing w:val="20"/>
          <w:sz w:val="24"/>
          <w:szCs w:val="24"/>
          <w:highlight w:val="none"/>
        </w:rPr>
      </w:pPr>
      <w:r>
        <w:rPr>
          <w:rFonts w:hint="eastAsia" w:ascii="宋体" w:hAnsi="宋体" w:eastAsia="宋体" w:cs="宋体"/>
          <w:b/>
          <w:i w:val="0"/>
          <w:iCs w:val="0"/>
          <w:color w:val="auto"/>
          <w:spacing w:val="20"/>
          <w:sz w:val="24"/>
          <w:szCs w:val="24"/>
          <w:highlight w:val="none"/>
        </w:rPr>
        <w:t>附</w:t>
      </w:r>
      <w:r>
        <w:rPr>
          <w:rFonts w:hint="eastAsia" w:ascii="宋体" w:hAnsi="宋体" w:eastAsia="宋体" w:cs="宋体"/>
          <w:b/>
          <w:i w:val="0"/>
          <w:iCs w:val="0"/>
          <w:color w:val="auto"/>
          <w:spacing w:val="20"/>
          <w:sz w:val="24"/>
          <w:szCs w:val="24"/>
          <w:highlight w:val="none"/>
          <w:lang w:eastAsia="zh-CN"/>
        </w:rPr>
        <w:t>：</w:t>
      </w:r>
      <w:r>
        <w:rPr>
          <w:rFonts w:hint="eastAsia" w:ascii="宋体" w:hAnsi="宋体" w:eastAsia="宋体" w:cs="宋体"/>
          <w:b/>
          <w:i w:val="0"/>
          <w:iCs w:val="0"/>
          <w:color w:val="auto"/>
          <w:spacing w:val="20"/>
          <w:sz w:val="24"/>
          <w:szCs w:val="24"/>
          <w:highlight w:val="none"/>
        </w:rPr>
        <w:t>中标通知书或合同复印件，并加盖公章</w:t>
      </w: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附件1</w:t>
      </w:r>
      <w:r>
        <w:rPr>
          <w:rFonts w:hint="eastAsia" w:ascii="宋体" w:hAnsi="宋体" w:eastAsia="宋体" w:cs="宋体"/>
          <w:i w:val="0"/>
          <w:iCs w:val="0"/>
          <w:color w:val="auto"/>
          <w:sz w:val="24"/>
          <w:highlight w:val="none"/>
          <w:lang w:val="en-US" w:eastAsia="zh-CN"/>
        </w:rPr>
        <w:t>0</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正在进行的项目一览表</w:t>
      </w:r>
    </w:p>
    <w:p>
      <w:pPr>
        <w:jc w:val="center"/>
        <w:rPr>
          <w:rFonts w:hint="eastAsia" w:ascii="宋体" w:hAnsi="宋体" w:eastAsia="宋体" w:cs="宋体"/>
          <w:b/>
          <w:bCs/>
          <w:i w:val="0"/>
          <w:iCs w:val="0"/>
          <w:color w:val="auto"/>
          <w:sz w:val="28"/>
          <w:szCs w:val="28"/>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 w:val="24"/>
                <w:szCs w:val="24"/>
                <w:highlight w:val="none"/>
              </w:rPr>
            </w:pPr>
          </w:p>
        </w:tc>
      </w:tr>
    </w:tbl>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outlineLvl w:val="1"/>
        <w:rPr>
          <w:rFonts w:hint="eastAsia" w:ascii="宋体" w:hAnsi="宋体" w:cs="宋体"/>
          <w:b/>
          <w:color w:val="auto"/>
          <w:kern w:val="0"/>
          <w:sz w:val="24"/>
          <w:highlight w:val="none"/>
        </w:rPr>
      </w:pPr>
    </w:p>
    <w:p>
      <w:pPr>
        <w:spacing w:before="160" w:beforeLines="50" w:after="160" w:afterLines="50" w:line="360" w:lineRule="auto"/>
        <w:jc w:val="both"/>
        <w:rPr>
          <w:rFonts w:hint="eastAsia" w:ascii="宋体" w:hAnsi="宋体" w:cs="宋体"/>
          <w:b/>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附件11</w:t>
      </w:r>
    </w:p>
    <w:p>
      <w:pPr>
        <w:spacing w:before="160" w:beforeLines="50" w:after="160" w:afterLines="50"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企业其他信誉情况表</w:t>
      </w:r>
    </w:p>
    <w:p>
      <w:pPr>
        <w:spacing w:line="360" w:lineRule="auto"/>
        <w:ind w:left="724" w:hanging="720" w:hangingChars="300"/>
        <w:rPr>
          <w:rFonts w:hint="eastAsia" w:ascii="宋体" w:hAnsi="宋体" w:cs="宋体"/>
          <w:color w:val="auto"/>
          <w:sz w:val="24"/>
          <w:szCs w:val="24"/>
          <w:highlight w:val="none"/>
        </w:rPr>
      </w:pPr>
      <w:r>
        <w:rPr>
          <w:rFonts w:hint="eastAsia" w:ascii="宋体" w:hAnsi="宋体" w:cs="宋体"/>
          <w:color w:val="auto"/>
          <w:sz w:val="24"/>
          <w:szCs w:val="24"/>
          <w:highlight w:val="none"/>
        </w:rPr>
        <w:t>1）近三年企业不良行为记录情况</w:t>
      </w:r>
    </w:p>
    <w:p>
      <w:pPr>
        <w:spacing w:line="450" w:lineRule="atLeast"/>
        <w:rPr>
          <w:rFonts w:hint="eastAsia" w:ascii="宋体" w:hAnsi="宋体" w:eastAsia="宋体" w:cs="宋体"/>
          <w:i w:val="0"/>
          <w:iCs w:val="0"/>
          <w:color w:val="auto"/>
          <w:sz w:val="24"/>
          <w:szCs w:val="24"/>
          <w:highlight w:val="none"/>
        </w:rPr>
      </w:pPr>
    </w:p>
    <w:p>
      <w:pPr>
        <w:pStyle w:val="17"/>
        <w:rPr>
          <w:rFonts w:hint="eastAsia"/>
          <w:color w:val="auto"/>
        </w:rPr>
      </w:pPr>
    </w:p>
    <w:p>
      <w:pPr>
        <w:spacing w:line="360" w:lineRule="auto"/>
        <w:ind w:left="724" w:hanging="720" w:hangingChars="300"/>
        <w:rPr>
          <w:rFonts w:hint="eastAsia" w:ascii="宋体" w:hAnsi="宋体" w:cs="宋体"/>
          <w:color w:val="auto"/>
          <w:sz w:val="24"/>
          <w:highlight w:val="none"/>
        </w:rPr>
      </w:pPr>
    </w:p>
    <w:p>
      <w:pPr>
        <w:pStyle w:val="8"/>
        <w:rPr>
          <w:rFonts w:hint="eastAsia"/>
          <w:color w:val="auto"/>
        </w:rPr>
      </w:pPr>
    </w:p>
    <w:p>
      <w:pPr>
        <w:rPr>
          <w:rFonts w:hint="eastAsia"/>
          <w:color w:val="auto"/>
        </w:rPr>
      </w:pPr>
    </w:p>
    <w:p>
      <w:pPr>
        <w:pStyle w:val="17"/>
        <w:rPr>
          <w:rFonts w:hint="eastAsia"/>
          <w:color w:val="auto"/>
        </w:rPr>
      </w:pPr>
    </w:p>
    <w:p>
      <w:pPr>
        <w:pStyle w:val="17"/>
        <w:rPr>
          <w:rFonts w:hint="eastAsia"/>
          <w:color w:val="auto"/>
        </w:rPr>
      </w:pPr>
    </w:p>
    <w:p>
      <w:pPr>
        <w:pStyle w:val="17"/>
        <w:rPr>
          <w:rFonts w:hint="eastAsia"/>
          <w:color w:val="auto"/>
        </w:rPr>
      </w:pPr>
    </w:p>
    <w:p>
      <w:pPr>
        <w:pStyle w:val="17"/>
        <w:rPr>
          <w:rFonts w:hint="eastAsia"/>
          <w:color w:val="auto"/>
        </w:rPr>
      </w:pPr>
    </w:p>
    <w:p>
      <w:pPr>
        <w:pStyle w:val="17"/>
        <w:rPr>
          <w:rFonts w:hint="eastAsia"/>
          <w:color w:val="auto"/>
        </w:rPr>
      </w:pPr>
    </w:p>
    <w:p>
      <w:pPr>
        <w:pStyle w:val="17"/>
        <w:rPr>
          <w:rFonts w:hint="eastAsia"/>
          <w:color w:val="auto"/>
        </w:rPr>
      </w:pPr>
    </w:p>
    <w:p>
      <w:pPr>
        <w:pStyle w:val="17"/>
        <w:rPr>
          <w:rFonts w:hint="eastAsia"/>
          <w:color w:val="auto"/>
        </w:rPr>
      </w:pPr>
    </w:p>
    <w:p>
      <w:pPr>
        <w:pStyle w:val="17"/>
        <w:rPr>
          <w:rFonts w:hint="eastAsia"/>
          <w:color w:val="auto"/>
        </w:rPr>
      </w:pPr>
    </w:p>
    <w:p>
      <w:pPr>
        <w:pStyle w:val="17"/>
        <w:rPr>
          <w:rFonts w:hint="eastAsia"/>
          <w:color w:val="auto"/>
        </w:rPr>
      </w:pPr>
    </w:p>
    <w:p>
      <w:pPr>
        <w:pStyle w:val="17"/>
        <w:rPr>
          <w:rFonts w:hint="eastAsia"/>
          <w:color w:val="auto"/>
        </w:rPr>
      </w:pPr>
    </w:p>
    <w:p>
      <w:pPr>
        <w:pStyle w:val="17"/>
        <w:jc w:val="center"/>
        <w:rPr>
          <w:rFonts w:hint="eastAsia"/>
          <w:b/>
          <w:bCs/>
          <w:color w:val="auto"/>
          <w:sz w:val="30"/>
          <w:szCs w:val="30"/>
          <w:lang w:val="en-US" w:eastAsia="zh-CN"/>
        </w:rPr>
      </w:pPr>
    </w:p>
    <w:p>
      <w:pPr>
        <w:pStyle w:val="17"/>
        <w:jc w:val="center"/>
        <w:rPr>
          <w:rFonts w:hint="eastAsia"/>
          <w:b/>
          <w:bCs/>
          <w:color w:val="auto"/>
          <w:sz w:val="30"/>
          <w:szCs w:val="30"/>
          <w:lang w:val="en-US" w:eastAsia="zh-CN"/>
        </w:rPr>
      </w:pPr>
    </w:p>
    <w:p>
      <w:pPr>
        <w:pStyle w:val="17"/>
        <w:jc w:val="center"/>
        <w:rPr>
          <w:rFonts w:hint="eastAsia"/>
          <w:b/>
          <w:bCs/>
          <w:color w:val="auto"/>
          <w:sz w:val="30"/>
          <w:szCs w:val="30"/>
          <w:lang w:val="en-US" w:eastAsia="zh-CN"/>
        </w:rPr>
      </w:pPr>
    </w:p>
    <w:p>
      <w:pPr>
        <w:pStyle w:val="17"/>
        <w:jc w:val="center"/>
        <w:rPr>
          <w:rFonts w:hint="eastAsia"/>
          <w:b/>
          <w:bCs/>
          <w:color w:val="auto"/>
          <w:sz w:val="30"/>
          <w:szCs w:val="30"/>
          <w:lang w:val="en-US" w:eastAsia="zh-CN"/>
        </w:rPr>
      </w:pPr>
    </w:p>
    <w:p>
      <w:pPr>
        <w:pStyle w:val="17"/>
        <w:jc w:val="center"/>
        <w:rPr>
          <w:rFonts w:hint="eastAsia"/>
          <w:b/>
          <w:bCs/>
          <w:color w:val="auto"/>
          <w:sz w:val="30"/>
          <w:szCs w:val="30"/>
          <w:lang w:val="en-US" w:eastAsia="zh-CN"/>
        </w:rPr>
      </w:pPr>
    </w:p>
    <w:p>
      <w:pPr>
        <w:pStyle w:val="17"/>
        <w:jc w:val="center"/>
        <w:rPr>
          <w:rFonts w:hint="eastAsia"/>
          <w:b/>
          <w:bCs/>
          <w:color w:val="auto"/>
          <w:sz w:val="30"/>
          <w:szCs w:val="30"/>
          <w:lang w:val="en-US" w:eastAsia="zh-CN"/>
        </w:rPr>
      </w:pPr>
    </w:p>
    <w:p>
      <w:pPr>
        <w:pStyle w:val="17"/>
        <w:jc w:val="center"/>
        <w:rPr>
          <w:rFonts w:hint="eastAsia"/>
          <w:b/>
          <w:bCs/>
          <w:color w:val="auto"/>
          <w:sz w:val="30"/>
          <w:szCs w:val="30"/>
          <w:lang w:val="en-US" w:eastAsia="zh-CN"/>
        </w:rPr>
      </w:pPr>
    </w:p>
    <w:p>
      <w:pPr>
        <w:pStyle w:val="17"/>
        <w:jc w:val="center"/>
        <w:rPr>
          <w:rFonts w:hint="eastAsia"/>
          <w:b/>
          <w:bCs/>
          <w:color w:val="auto"/>
          <w:sz w:val="30"/>
          <w:szCs w:val="30"/>
          <w:lang w:val="en-US" w:eastAsia="zh-CN"/>
        </w:rPr>
      </w:pPr>
    </w:p>
    <w:p>
      <w:pPr>
        <w:pStyle w:val="17"/>
        <w:jc w:val="center"/>
        <w:rPr>
          <w:rFonts w:hint="eastAsia"/>
          <w:b/>
          <w:bCs/>
          <w:color w:val="auto"/>
          <w:sz w:val="30"/>
          <w:szCs w:val="30"/>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br w:type="page"/>
      </w:r>
    </w:p>
    <w:p>
      <w:pPr>
        <w:spacing w:line="450" w:lineRule="atLeas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附件12</w:t>
      </w:r>
    </w:p>
    <w:p>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color w:val="auto"/>
          <w:kern w:val="0"/>
          <w:sz w:val="36"/>
          <w:szCs w:val="36"/>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color w:val="auto"/>
          <w:kern w:val="0"/>
          <w:sz w:val="24"/>
          <w:szCs w:val="24"/>
          <w:lang w:val="en-US" w:eastAsia="zh-CN" w:bidi="ar"/>
        </w:rPr>
        <w:t>本公司（联合</w:t>
      </w:r>
      <w:r>
        <w:rPr>
          <w:rFonts w:hint="eastAsia" w:ascii="宋体" w:hAnsi="宋体" w:eastAsia="宋体" w:cs="宋体"/>
          <w:i w:val="0"/>
          <w:iCs w:val="0"/>
          <w:color w:val="auto"/>
          <w:kern w:val="0"/>
          <w:sz w:val="24"/>
          <w:szCs w:val="24"/>
          <w:lang w:val="en-US" w:eastAsia="zh-CN" w:bidi="ar"/>
        </w:rPr>
        <w:t>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 xml:space="preserve">  （单位名称）  </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 xml:space="preserve">  （项目名称）  </w:t>
      </w:r>
      <w:r>
        <w:rPr>
          <w:rFonts w:hint="eastAsia" w:ascii="宋体" w:hAnsi="宋体" w:eastAsia="宋体" w:cs="宋体"/>
          <w:i w:val="0"/>
          <w:iCs w:val="0"/>
          <w:color w:val="auto"/>
          <w:kern w:val="0"/>
          <w:sz w:val="24"/>
          <w:szCs w:val="24"/>
          <w:lang w:val="en-US" w:eastAsia="zh-CN" w:bidi="ar"/>
        </w:rPr>
        <w:t xml:space="preserve">采购活动，提供的服务、货物全部由符合政策要求的中小企业制造。相关企业（含联合体中的中小企业、签订分包意向协议的中小企业）的具体情况如下：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日 期： </w:t>
      </w:r>
    </w:p>
    <w:p>
      <w:pPr>
        <w:pStyle w:val="8"/>
        <w:rPr>
          <w:rFonts w:hint="eastAsia" w:ascii="宋体" w:hAnsi="宋体" w:eastAsia="宋体" w:cs="宋体"/>
          <w:i w:val="0"/>
          <w:iCs w:val="0"/>
          <w:color w:val="auto"/>
          <w:kern w:val="0"/>
          <w:sz w:val="24"/>
          <w:szCs w:val="24"/>
          <w:lang w:val="en-US" w:eastAsia="zh-CN" w:bidi="ar"/>
        </w:rPr>
      </w:pPr>
    </w:p>
    <w:p>
      <w:pPr>
        <w:pStyle w:val="8"/>
        <w:rPr>
          <w:rFonts w:hint="eastAsia" w:ascii="宋体" w:hAnsi="宋体" w:eastAsia="宋体" w:cs="宋体"/>
          <w:i w:val="0"/>
          <w:iCs w:val="0"/>
          <w:color w:val="auto"/>
          <w:kern w:val="0"/>
          <w:sz w:val="24"/>
          <w:szCs w:val="24"/>
          <w:lang w:val="en-US" w:eastAsia="zh-CN" w:bidi="ar"/>
        </w:rPr>
      </w:pPr>
    </w:p>
    <w:p>
      <w:pPr>
        <w:pStyle w:val="8"/>
        <w:rPr>
          <w:rFonts w:hint="eastAsia" w:ascii="宋体" w:hAnsi="宋体" w:eastAsia="宋体" w:cs="宋体"/>
          <w:i w:val="0"/>
          <w:iCs w:val="0"/>
          <w:color w:val="auto"/>
          <w:kern w:val="0"/>
          <w:sz w:val="24"/>
          <w:szCs w:val="24"/>
          <w:lang w:val="en-US" w:eastAsia="zh-CN" w:bidi="ar"/>
        </w:rPr>
      </w:pPr>
    </w:p>
    <w:p>
      <w:pPr>
        <w:pStyle w:val="8"/>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提供投标人工商行政登记所在管理部门出具的小微企业证明文件；</w:t>
      </w:r>
    </w:p>
    <w:p>
      <w:pPr>
        <w:rPr>
          <w:rFonts w:hint="eastAsia" w:ascii="宋体" w:hAnsi="宋体" w:eastAsia="宋体" w:cs="宋体"/>
          <w:i w:val="0"/>
          <w:iCs w:val="0"/>
          <w:color w:val="auto"/>
          <w:kern w:val="0"/>
          <w:sz w:val="24"/>
          <w:szCs w:val="24"/>
          <w:lang w:val="en-US" w:eastAsia="zh-CN" w:bidi="ar"/>
        </w:rPr>
      </w:pPr>
    </w:p>
    <w:p>
      <w:pPr>
        <w:pStyle w:val="17"/>
        <w:rPr>
          <w:rFonts w:hint="eastAsia" w:ascii="宋体" w:hAnsi="宋体" w:eastAsia="宋体" w:cs="宋体"/>
          <w:i w:val="0"/>
          <w:iCs w:val="0"/>
          <w:color w:val="auto"/>
          <w:kern w:val="0"/>
          <w:sz w:val="24"/>
          <w:szCs w:val="24"/>
          <w:lang w:val="en-US" w:eastAsia="zh-CN" w:bidi="ar"/>
        </w:rPr>
      </w:pPr>
    </w:p>
    <w:p>
      <w:pPr>
        <w:pStyle w:val="17"/>
        <w:rPr>
          <w:rFonts w:hint="eastAsia" w:ascii="宋体" w:hAnsi="宋体" w:eastAsia="宋体" w:cs="宋体"/>
          <w:i w:val="0"/>
          <w:iCs w:val="0"/>
          <w:color w:val="auto"/>
          <w:kern w:val="0"/>
          <w:sz w:val="24"/>
          <w:szCs w:val="24"/>
          <w:lang w:val="en-US" w:eastAsia="zh-CN" w:bidi="ar"/>
        </w:rPr>
      </w:pPr>
    </w:p>
    <w:p>
      <w:pPr>
        <w:pStyle w:val="17"/>
        <w:rPr>
          <w:rFonts w:hint="eastAsia" w:ascii="宋体" w:hAnsi="宋体" w:eastAsia="宋体" w:cs="宋体"/>
          <w:i w:val="0"/>
          <w:iCs w:val="0"/>
          <w:color w:val="auto"/>
          <w:kern w:val="0"/>
          <w:sz w:val="24"/>
          <w:szCs w:val="24"/>
          <w:lang w:val="en-US" w:eastAsia="zh-CN" w:bidi="ar"/>
        </w:rPr>
      </w:pPr>
    </w:p>
    <w:p>
      <w:pPr>
        <w:pStyle w:val="17"/>
        <w:rPr>
          <w:rFonts w:hint="eastAsia" w:ascii="宋体" w:hAnsi="宋体" w:eastAsia="宋体" w:cs="宋体"/>
          <w:i w:val="0"/>
          <w:iCs w:val="0"/>
          <w:color w:val="auto"/>
          <w:kern w:val="0"/>
          <w:sz w:val="24"/>
          <w:szCs w:val="24"/>
          <w:lang w:val="en-US" w:eastAsia="zh-CN" w:bidi="ar"/>
        </w:rPr>
      </w:pPr>
    </w:p>
    <w:p>
      <w:pPr>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br w:type="page"/>
      </w:r>
    </w:p>
    <w:p>
      <w:pPr>
        <w:pStyle w:val="17"/>
        <w:rPr>
          <w:rFonts w:hint="eastAsia" w:ascii="宋体" w:hAnsi="宋体" w:eastAsia="宋体" w:cs="宋体"/>
          <w:b/>
          <w:color w:val="auto"/>
          <w:kern w:val="0"/>
          <w:sz w:val="36"/>
          <w:szCs w:val="36"/>
          <w:lang w:val="en-US" w:eastAsia="zh-CN" w:bidi="ar"/>
        </w:rPr>
      </w:pPr>
      <w:r>
        <w:rPr>
          <w:rFonts w:hint="eastAsia" w:ascii="宋体" w:hAnsi="宋体" w:eastAsia="宋体" w:cs="宋体"/>
          <w:i w:val="0"/>
          <w:iCs w:val="0"/>
          <w:color w:val="auto"/>
          <w:kern w:val="0"/>
          <w:sz w:val="24"/>
          <w:szCs w:val="24"/>
          <w:lang w:val="en-US" w:eastAsia="zh-CN" w:bidi="ar"/>
        </w:rPr>
        <w:t>附件13</w:t>
      </w:r>
      <w:r>
        <w:rPr>
          <w:rFonts w:hint="eastAsia" w:hAnsi="宋体" w:eastAsia="宋体" w:cs="宋体"/>
          <w:i w:val="0"/>
          <w:iCs w:val="0"/>
          <w:color w:val="auto"/>
          <w:kern w:val="0"/>
          <w:sz w:val="24"/>
          <w:szCs w:val="24"/>
          <w:lang w:val="en-US" w:eastAsia="zh-CN" w:bidi="ar"/>
        </w:rPr>
        <w:t xml:space="preserve">                   </w:t>
      </w:r>
      <w:r>
        <w:rPr>
          <w:rFonts w:hint="eastAsia" w:ascii="宋体" w:hAnsi="宋体" w:eastAsia="宋体" w:cs="宋体"/>
          <w:b/>
          <w:color w:val="auto"/>
          <w:kern w:val="0"/>
          <w:sz w:val="36"/>
          <w:szCs w:val="36"/>
          <w:lang w:val="en-US" w:eastAsia="zh-CN" w:bidi="ar"/>
        </w:rPr>
        <w:t xml:space="preserve">         </w:t>
      </w:r>
    </w:p>
    <w:p>
      <w:pPr>
        <w:pStyle w:val="17"/>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b/>
          <w:color w:val="auto"/>
          <w:kern w:val="0"/>
          <w:sz w:val="36"/>
          <w:szCs w:val="36"/>
          <w:lang w:val="en-US" w:eastAsia="zh-CN" w:bidi="ar"/>
        </w:rPr>
        <w:t>其他资料</w:t>
      </w:r>
    </w:p>
    <w:p>
      <w:pPr>
        <w:spacing w:line="360" w:lineRule="auto"/>
        <w:rPr>
          <w:rFonts w:hint="default" w:ascii="宋体" w:hAnsi="宋体" w:eastAsia="宋体" w:cs="宋体"/>
          <w:i w:val="0"/>
          <w:iCs w:val="0"/>
          <w:color w:val="auto"/>
          <w:kern w:val="0"/>
          <w:sz w:val="24"/>
          <w:szCs w:val="24"/>
          <w:lang w:val="en-US" w:eastAsia="zh-CN" w:bidi="ar"/>
        </w:rPr>
      </w:pPr>
      <w:r>
        <w:rPr>
          <w:rFonts w:hint="eastAsia" w:ascii="宋体" w:hAnsi="宋体" w:cs="宋体"/>
          <w:b w:val="0"/>
          <w:bCs/>
          <w:color w:val="auto"/>
          <w:sz w:val="24"/>
          <w:lang w:val="en-US" w:eastAsia="zh-CN"/>
        </w:rPr>
        <w:t>(提供近六个月（连续）的社保证明（需有相关人员的社保缴纳明细，退休人员需提供退休证明）和近六个月连续的完税证明、近三年的财务审计报告或财务报表（企业成立不足三年的提供成立至今的财务审计报告，成立不足一年的提供成立至今的财务报表，包含资产负债表、现金流量表、利润表））；供应商“信用中国”的信用信息报告和国家企业信用信息公示系统报告及中国政府采购网截图。)</w:t>
      </w:r>
    </w:p>
    <w:p>
      <w:pPr>
        <w:rPr>
          <w:color w:val="auto"/>
        </w:rPr>
      </w:pPr>
    </w:p>
    <w:p>
      <w:pPr>
        <w:rPr>
          <w:color w:val="auto"/>
        </w:rPr>
      </w:pPr>
    </w:p>
    <w:p>
      <w:pPr>
        <w:rPr>
          <w:color w:val="auto"/>
        </w:rPr>
      </w:pPr>
    </w:p>
    <w:p>
      <w:pPr>
        <w:rPr>
          <w:color w:val="auto"/>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27</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4oiTSAQAAowMAAA4AAABkcnMvZTJvRG9jLnhtbK1TzY7TMBC+&#10;I/EOlu80aaUtUdR0tatqERICpIUHcB27seQ/edwmfQF4A05cuPNcfQ7GTtJFy2UPXJwZz/ib+b6Z&#10;bG4Ho8lJBFDONnS5KCkRlrtW2UNDv355eFNRApHZlmlnRUPPAujt9vWrTe9rsXKd060IBEEs1L1v&#10;aBejr4sCeCcMg4XzwmJQumBYRDccijawHtGNLlZluS56F1ofHBcAeLsbg3RCDC8BdFIqLnaOH42w&#10;cUQNQrOIlKBTHug2dyul4PGTlCAi0Q1FpjGfWATtfTqL7YbVh8B8p/jUAntJC884GaYsFr1C7Vhk&#10;5BjUP1BG8eDAybjgzhQjkawIsliWz7R57JgXmQtKDf4qOvw/WP7x9DkQ1TZ0TYllBgd++fH98vP3&#10;5dc3sk7y9B5qzHr0mBeHezfg0sz3gJeJ9SCDSV/kQzCO4p6v4oohEp4eVauqKjHEMTY7iF88PfcB&#10;4jvhDElGQwNOL4vKTh8gjqlzSqpm3YPSOk9QW9Ij6k319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NziiJN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IYKrSAQAAowMAAA4AAABkcnMvZTJvRG9jLnhtbK1TzY7TMBC+&#10;I/EOlu80aaWl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DrJ03uoMevRY14c7t2ASzPfA14m1oMMJn2RD8E4inu+iiuGSHh6VK2qqsQQx9jsIH7x9NwH&#10;iO+EMyQZDQ04vSwqO32AOKbOKamadQ9K6zxBbUmPqDfV+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hgqt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9"/>
      <w:ind w:right="360"/>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95B"/>
    <w:multiLevelType w:val="singleLevel"/>
    <w:tmpl w:val="9F27495B"/>
    <w:lvl w:ilvl="0" w:tentative="0">
      <w:start w:val="3"/>
      <w:numFmt w:val="decimal"/>
      <w:lvlText w:val="%1."/>
      <w:lvlJc w:val="left"/>
      <w:pPr>
        <w:tabs>
          <w:tab w:val="left" w:pos="312"/>
        </w:tabs>
      </w:pPr>
    </w:lvl>
  </w:abstractNum>
  <w:abstractNum w:abstractNumId="1">
    <w:nsid w:val="E14AB187"/>
    <w:multiLevelType w:val="singleLevel"/>
    <w:tmpl w:val="E14AB187"/>
    <w:lvl w:ilvl="0" w:tentative="0">
      <w:start w:val="4"/>
      <w:numFmt w:val="decimal"/>
      <w:suff w:val="nothing"/>
      <w:lvlText w:val="%1、"/>
      <w:lvlJc w:val="left"/>
    </w:lvl>
  </w:abstractNum>
  <w:abstractNum w:abstractNumId="2">
    <w:nsid w:val="E17CBEAC"/>
    <w:multiLevelType w:val="singleLevel"/>
    <w:tmpl w:val="E17CBEAC"/>
    <w:lvl w:ilvl="0" w:tentative="0">
      <w:start w:val="1"/>
      <w:numFmt w:val="decimal"/>
      <w:suff w:val="space"/>
      <w:lvlText w:val="%1."/>
      <w:lvlJc w:val="left"/>
    </w:lvl>
  </w:abstractNum>
  <w:abstractNum w:abstractNumId="3">
    <w:nsid w:val="E8481791"/>
    <w:multiLevelType w:val="singleLevel"/>
    <w:tmpl w:val="E8481791"/>
    <w:lvl w:ilvl="0" w:tentative="0">
      <w:start w:val="1"/>
      <w:numFmt w:val="chineseCounting"/>
      <w:suff w:val="space"/>
      <w:lvlText w:val="第%1章"/>
      <w:lvlJc w:val="left"/>
      <w:rPr>
        <w:rFonts w:hint="eastAsia"/>
      </w:rPr>
    </w:lvl>
  </w:abstractNum>
  <w:abstractNum w:abstractNumId="4">
    <w:nsid w:val="EE8CF652"/>
    <w:multiLevelType w:val="singleLevel"/>
    <w:tmpl w:val="EE8CF652"/>
    <w:lvl w:ilvl="0" w:tentative="0">
      <w:start w:val="7"/>
      <w:numFmt w:val="chineseCounting"/>
      <w:suff w:val="nothing"/>
      <w:lvlText w:val="%1、"/>
      <w:lvlJc w:val="left"/>
      <w:rPr>
        <w:rFonts w:hint="eastAsia"/>
      </w:rPr>
    </w:lvl>
  </w:abstractNum>
  <w:abstractNum w:abstractNumId="5">
    <w:nsid w:val="110A591B"/>
    <w:multiLevelType w:val="multilevel"/>
    <w:tmpl w:val="110A591B"/>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1A4DA6B9"/>
    <w:multiLevelType w:val="singleLevel"/>
    <w:tmpl w:val="1A4DA6B9"/>
    <w:lvl w:ilvl="0" w:tentative="0">
      <w:start w:val="1"/>
      <w:numFmt w:val="decimal"/>
      <w:lvlText w:val="%1."/>
      <w:lvlJc w:val="left"/>
      <w:pPr>
        <w:tabs>
          <w:tab w:val="left" w:pos="312"/>
        </w:tabs>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OGQzNzhlMmU5Nzk2ZTdmMTNhZDkyYjI3ODYwZjQifQ=="/>
  </w:docVars>
  <w:rsids>
    <w:rsidRoot w:val="3BD307D7"/>
    <w:rsid w:val="06534330"/>
    <w:rsid w:val="0F38307A"/>
    <w:rsid w:val="10BC738E"/>
    <w:rsid w:val="15A36F16"/>
    <w:rsid w:val="1A84515B"/>
    <w:rsid w:val="1E1A41F4"/>
    <w:rsid w:val="2228748E"/>
    <w:rsid w:val="22E07C67"/>
    <w:rsid w:val="26047A90"/>
    <w:rsid w:val="2AD90083"/>
    <w:rsid w:val="2B2067D5"/>
    <w:rsid w:val="2BB1000F"/>
    <w:rsid w:val="2CB97E70"/>
    <w:rsid w:val="2DA853C9"/>
    <w:rsid w:val="2EF66CCE"/>
    <w:rsid w:val="332F7147"/>
    <w:rsid w:val="351F7439"/>
    <w:rsid w:val="36DA325F"/>
    <w:rsid w:val="3713360B"/>
    <w:rsid w:val="392E665A"/>
    <w:rsid w:val="3BD307D7"/>
    <w:rsid w:val="3E881CED"/>
    <w:rsid w:val="3FC11E6D"/>
    <w:rsid w:val="42324973"/>
    <w:rsid w:val="427D588E"/>
    <w:rsid w:val="44A67D99"/>
    <w:rsid w:val="47826B3D"/>
    <w:rsid w:val="48E75F24"/>
    <w:rsid w:val="4A9A1F6C"/>
    <w:rsid w:val="4B765BE1"/>
    <w:rsid w:val="4B8828A4"/>
    <w:rsid w:val="4D5D3850"/>
    <w:rsid w:val="4ECA1776"/>
    <w:rsid w:val="4ECD5682"/>
    <w:rsid w:val="510B737C"/>
    <w:rsid w:val="516712ED"/>
    <w:rsid w:val="52E90839"/>
    <w:rsid w:val="5392742E"/>
    <w:rsid w:val="54166AF9"/>
    <w:rsid w:val="553E0D3D"/>
    <w:rsid w:val="58A6617D"/>
    <w:rsid w:val="59E07ADE"/>
    <w:rsid w:val="59EB5196"/>
    <w:rsid w:val="5A262684"/>
    <w:rsid w:val="5C1062DB"/>
    <w:rsid w:val="624C122B"/>
    <w:rsid w:val="639C275D"/>
    <w:rsid w:val="67E36EB7"/>
    <w:rsid w:val="68294DC2"/>
    <w:rsid w:val="68561164"/>
    <w:rsid w:val="69A20DAD"/>
    <w:rsid w:val="6CED2EAF"/>
    <w:rsid w:val="6E9F4187"/>
    <w:rsid w:val="701B3A7D"/>
    <w:rsid w:val="73DC7425"/>
    <w:rsid w:val="752F6175"/>
    <w:rsid w:val="79F268D9"/>
    <w:rsid w:val="7CA90767"/>
    <w:rsid w:val="7CCE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5">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6">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spacing w:after="120"/>
      <w:ind w:left="420" w:leftChars="200"/>
    </w:pPr>
    <w:rPr>
      <w:rFonts w:ascii="Times New Roman" w:hAnsi="Times New Roman" w:eastAsia="Times New Roman"/>
      <w:kern w:val="0"/>
      <w:sz w:val="20"/>
      <w:szCs w:val="21"/>
    </w:rPr>
  </w:style>
  <w:style w:type="paragraph" w:styleId="7">
    <w:name w:val="table of authorities"/>
    <w:basedOn w:val="1"/>
    <w:next w:val="1"/>
    <w:qFormat/>
    <w:uiPriority w:val="0"/>
    <w:pPr>
      <w:ind w:left="420" w:leftChars="200"/>
    </w:pPr>
    <w:rPr>
      <w:sz w:val="28"/>
      <w:szCs w:val="20"/>
    </w:rPr>
  </w:style>
  <w:style w:type="paragraph" w:styleId="8">
    <w:name w:val="Body Text"/>
    <w:basedOn w:val="1"/>
    <w:next w:val="1"/>
    <w:qFormat/>
    <w:uiPriority w:val="0"/>
    <w:pPr>
      <w:spacing w:after="12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7"/>
    <w:qFormat/>
    <w:uiPriority w:val="0"/>
  </w:style>
  <w:style w:type="paragraph" w:styleId="12">
    <w:name w:val="Normal (Web)"/>
    <w:basedOn w:val="1"/>
    <w:next w:val="10"/>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样式 标题 3 + (中文) 黑体 小四 非加粗 段前: 7.8 磅 段后: 0 磅 行距: 固定值 20 磅"/>
    <w:basedOn w:val="6"/>
    <w:qFormat/>
    <w:uiPriority w:val="0"/>
    <w:pPr>
      <w:spacing w:before="120" w:after="120" w:line="400" w:lineRule="exact"/>
    </w:pPr>
    <w:rPr>
      <w:rFonts w:ascii="Times New Roman" w:hAnsi="Times New Roman" w:eastAsia="宋体"/>
      <w:b w:val="0"/>
      <w:sz w:val="24"/>
      <w:szCs w:val="20"/>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1">
    <w:name w:val="p0"/>
    <w:basedOn w:val="1"/>
    <w:qFormat/>
    <w:uiPriority w:val="0"/>
    <w:pPr>
      <w:widowControl/>
    </w:pPr>
    <w:rPr>
      <w:kern w:val="0"/>
      <w:szCs w:val="21"/>
    </w:rPr>
  </w:style>
  <w:style w:type="paragraph" w:customStyle="1" w:styleId="2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3">
    <w:name w:val="正文 New New New New New New New New New New New"/>
    <w:qFormat/>
    <w:uiPriority w:val="0"/>
    <w:pPr>
      <w:widowControl w:val="0"/>
      <w:suppressAutoHyphens/>
      <w:jc w:val="both"/>
    </w:pPr>
    <w:rPr>
      <w:rFonts w:ascii="Times New Roman" w:hAnsi="Times New Roman" w:eastAsia="宋体" w:cs="Times New Roman"/>
      <w:kern w:val="1"/>
      <w:sz w:val="21"/>
      <w:szCs w:val="22"/>
      <w:lang w:val="en-US" w:eastAsia="zh-CN" w:bidi="ar-SA"/>
    </w:rPr>
  </w:style>
  <w:style w:type="paragraph" w:customStyle="1" w:styleId="24">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31159</Words>
  <Characters>32982</Characters>
  <Lines>0</Lines>
  <Paragraphs>0</Paragraphs>
  <TotalTime>1</TotalTime>
  <ScaleCrop>false</ScaleCrop>
  <LinksUpToDate>false</LinksUpToDate>
  <CharactersWithSpaces>36025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2022-08-03T09:31:00Z</dcterms:created>
  <dc:creator> 十二</dc:creator>
  <cp:lastModifiedBy> 十二</cp:lastModifiedBy>
  <cp:lastPrinted>2023-02-07T04:01:00Z</cp:lastPrinted>
  <dcterms:modified xsi:type="dcterms:W3CDTF">2023-02-08T05:20:28Z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F277409B1E1841728D4AEEBCB8D3D50F</vt:lpwstr>
  </property>
</Properties>
</file>