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cs="Times New Roman"/>
          <w:b/>
          <w:i w:val="0"/>
          <w:iCs w:val="0"/>
          <w:color w:val="auto"/>
          <w:sz w:val="52"/>
          <w:szCs w:val="52"/>
          <w:highlight w:val="none"/>
          <w:lang w:val="en-US" w:eastAsia="zh-CN"/>
        </w:rPr>
      </w:pPr>
    </w:p>
    <w:p>
      <w:pPr>
        <w:adjustRightInd w:val="0"/>
        <w:snapToGrid w:val="0"/>
        <w:spacing w:line="360" w:lineRule="auto"/>
        <w:jc w:val="center"/>
        <w:rPr>
          <w:rFonts w:hint="eastAsia" w:ascii="宋体" w:hAnsi="宋体" w:cs="宋体"/>
          <w:i w:val="0"/>
          <w:iCs w:val="0"/>
          <w:color w:val="auto"/>
          <w:sz w:val="24"/>
          <w:highlight w:val="none"/>
        </w:rPr>
      </w:pPr>
      <w:r>
        <w:rPr>
          <w:rFonts w:hint="eastAsia" w:ascii="宋体" w:cs="Times New Roman"/>
          <w:b/>
          <w:i w:val="0"/>
          <w:iCs w:val="0"/>
          <w:color w:val="auto"/>
          <w:sz w:val="52"/>
          <w:szCs w:val="52"/>
          <w:highlight w:val="none"/>
          <w:lang w:val="en-US" w:eastAsia="zh-CN"/>
        </w:rPr>
        <w:t>2023年3.15万亩高标准农田建设项目管理</w:t>
      </w:r>
    </w:p>
    <w:p>
      <w:pPr>
        <w:pStyle w:val="2"/>
        <w:rPr>
          <w:rFonts w:hint="eastAsia"/>
          <w:i w:val="0"/>
          <w:iCs w:val="0"/>
          <w:color w:val="auto"/>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pStyle w:val="2"/>
        <w:rPr>
          <w:rFonts w:hint="eastAsia"/>
        </w:rPr>
      </w:pPr>
    </w:p>
    <w:p>
      <w:pPr>
        <w:adjustRightInd w:val="0"/>
        <w:snapToGrid w:val="0"/>
        <w:spacing w:line="360" w:lineRule="auto"/>
        <w:rPr>
          <w:rFonts w:hint="eastAsia" w:ascii="宋体" w:hAnsi="宋体" w:cs="宋体"/>
          <w:i w:val="0"/>
          <w:iCs w:val="0"/>
          <w:color w:val="auto"/>
          <w:sz w:val="24"/>
          <w:highlight w:val="none"/>
        </w:rPr>
      </w:pPr>
    </w:p>
    <w:p>
      <w:pPr>
        <w:spacing w:line="360" w:lineRule="auto"/>
        <w:jc w:val="center"/>
        <w:outlineLvl w:val="0"/>
        <w:rPr>
          <w:rFonts w:hint="eastAsia" w:ascii="宋体" w:hAnsi="宋体" w:cs="宋体"/>
          <w:b/>
          <w:i w:val="0"/>
          <w:iCs w:val="0"/>
          <w:color w:val="auto"/>
          <w:sz w:val="96"/>
          <w:szCs w:val="96"/>
          <w:highlight w:val="none"/>
        </w:rPr>
      </w:pPr>
      <w:r>
        <w:rPr>
          <w:rFonts w:hint="eastAsia" w:ascii="宋体" w:hAnsi="宋体" w:cs="宋体"/>
          <w:b/>
          <w:i w:val="0"/>
          <w:iCs w:val="0"/>
          <w:color w:val="auto"/>
          <w:sz w:val="96"/>
          <w:szCs w:val="96"/>
          <w:highlight w:val="none"/>
          <w:lang w:eastAsia="zh-CN"/>
        </w:rPr>
        <w:t>竞争性磋商</w:t>
      </w:r>
      <w:r>
        <w:rPr>
          <w:rFonts w:hint="eastAsia" w:ascii="宋体" w:hAnsi="宋体" w:cs="宋体"/>
          <w:b/>
          <w:i w:val="0"/>
          <w:iCs w:val="0"/>
          <w:color w:val="auto"/>
          <w:sz w:val="96"/>
          <w:szCs w:val="96"/>
          <w:highlight w:val="none"/>
        </w:rPr>
        <w:t>文件</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pStyle w:val="2"/>
        <w:rPr>
          <w:rFonts w:hint="eastAsia"/>
          <w:i w:val="0"/>
          <w:iCs w:val="0"/>
          <w:color w:val="auto"/>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1285" w:firstLineChars="400"/>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采 购 人：阿克苏市农村合作经济发展中心</w:t>
      </w:r>
    </w:p>
    <w:p>
      <w:pPr>
        <w:adjustRightInd w:val="0"/>
        <w:snapToGrid w:val="0"/>
        <w:spacing w:line="360" w:lineRule="auto"/>
        <w:ind w:firstLine="1285" w:firstLineChars="400"/>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招标编号：</w:t>
      </w:r>
      <w:r>
        <w:rPr>
          <w:rFonts w:hint="eastAsia" w:ascii="宋体" w:hAnsi="宋体" w:cs="宋体"/>
          <w:b/>
          <w:bCs/>
          <w:i w:val="0"/>
          <w:iCs w:val="0"/>
          <w:color w:val="auto"/>
          <w:sz w:val="32"/>
          <w:szCs w:val="32"/>
          <w:highlight w:val="none"/>
          <w:lang w:val="en-US" w:eastAsia="zh-CN"/>
        </w:rPr>
        <w:t>2023-C-04</w:t>
      </w:r>
    </w:p>
    <w:p>
      <w:pPr>
        <w:adjustRightInd w:val="0"/>
        <w:snapToGrid w:val="0"/>
        <w:spacing w:line="360" w:lineRule="auto"/>
        <w:ind w:firstLine="1285" w:firstLineChars="400"/>
        <w:outlineLvl w:val="0"/>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采购代理机构：</w:t>
      </w:r>
      <w:r>
        <w:rPr>
          <w:rFonts w:hint="eastAsia" w:ascii="宋体" w:hAnsi="宋体" w:cs="宋体"/>
          <w:b/>
          <w:bCs/>
          <w:i w:val="0"/>
          <w:iCs w:val="0"/>
          <w:color w:val="auto"/>
          <w:sz w:val="32"/>
          <w:szCs w:val="32"/>
          <w:highlight w:val="none"/>
          <w:lang w:val="en-US" w:eastAsia="zh-CN"/>
        </w:rPr>
        <w:t>新疆润悦项目管理有限公司</w:t>
      </w:r>
    </w:p>
    <w:p>
      <w:pPr>
        <w:adjustRightInd w:val="0"/>
        <w:snapToGrid w:val="0"/>
        <w:spacing w:line="360" w:lineRule="auto"/>
        <w:jc w:val="center"/>
        <w:rPr>
          <w:rFonts w:hint="eastAsia" w:ascii="宋体" w:hAnsi="宋体" w:cs="宋体"/>
          <w:b/>
          <w:bCs/>
          <w:i w:val="0"/>
          <w:iCs w:val="0"/>
          <w:color w:val="auto"/>
          <w:sz w:val="32"/>
          <w:szCs w:val="32"/>
          <w:highlight w:val="none"/>
        </w:rPr>
      </w:pPr>
    </w:p>
    <w:p>
      <w:pPr>
        <w:adjustRightInd w:val="0"/>
        <w:snapToGrid w:val="0"/>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二〇二</w:t>
      </w:r>
      <w:r>
        <w:rPr>
          <w:rFonts w:hint="eastAsia" w:ascii="宋体" w:hAnsi="宋体" w:cs="宋体"/>
          <w:b/>
          <w:bCs/>
          <w:i w:val="0"/>
          <w:iCs w:val="0"/>
          <w:color w:val="auto"/>
          <w:sz w:val="32"/>
          <w:szCs w:val="32"/>
          <w:highlight w:val="none"/>
          <w:lang w:eastAsia="zh-CN"/>
        </w:rPr>
        <w:t>三</w:t>
      </w:r>
      <w:r>
        <w:rPr>
          <w:rFonts w:hint="eastAsia" w:ascii="宋体" w:hAnsi="宋体" w:cs="宋体"/>
          <w:b/>
          <w:bCs/>
          <w:i w:val="0"/>
          <w:iCs w:val="0"/>
          <w:color w:val="auto"/>
          <w:sz w:val="32"/>
          <w:szCs w:val="32"/>
          <w:highlight w:val="none"/>
        </w:rPr>
        <w:t>年</w:t>
      </w:r>
      <w:r>
        <w:rPr>
          <w:rFonts w:hint="eastAsia" w:ascii="宋体" w:hAnsi="宋体" w:cs="宋体"/>
          <w:b/>
          <w:bCs/>
          <w:i w:val="0"/>
          <w:iCs w:val="0"/>
          <w:color w:val="auto"/>
          <w:sz w:val="32"/>
          <w:szCs w:val="32"/>
          <w:highlight w:val="none"/>
          <w:lang w:val="en-US" w:eastAsia="zh-CN"/>
        </w:rPr>
        <w:t>二</w:t>
      </w:r>
      <w:r>
        <w:rPr>
          <w:rFonts w:hint="eastAsia" w:ascii="宋体" w:hAnsi="宋体" w:cs="宋体"/>
          <w:b/>
          <w:bCs/>
          <w:i w:val="0"/>
          <w:iCs w:val="0"/>
          <w:color w:val="auto"/>
          <w:sz w:val="32"/>
          <w:szCs w:val="32"/>
          <w:highlight w:val="none"/>
        </w:rPr>
        <w:t>月</w:t>
      </w: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2"/>
        <w:rPr>
          <w:rFonts w:hint="eastAsia"/>
          <w:lang w:eastAsia="zh-CN"/>
        </w:rPr>
      </w:pPr>
    </w:p>
    <w:p>
      <w:pPr>
        <w:widowControl/>
        <w:spacing w:line="700" w:lineRule="exact"/>
        <w:jc w:val="center"/>
        <w:outlineLvl w:val="1"/>
        <w:rPr>
          <w:rFonts w:ascii="宋体" w:hAnsi="宋体" w:cs="宋体"/>
          <w:bCs/>
          <w:i w:val="0"/>
          <w:iCs w:val="0"/>
          <w:color w:val="auto"/>
          <w:sz w:val="44"/>
          <w:szCs w:val="44"/>
          <w:highlight w:val="none"/>
        </w:rPr>
      </w:pPr>
      <w:r>
        <w:rPr>
          <w:rFonts w:hint="eastAsia" w:ascii="宋体" w:hAnsi="宋体" w:cs="宋体"/>
          <w:bCs/>
          <w:i w:val="0"/>
          <w:iCs w:val="0"/>
          <w:color w:val="auto"/>
          <w:sz w:val="44"/>
          <w:szCs w:val="44"/>
          <w:highlight w:val="none"/>
          <w:lang w:eastAsia="zh-CN"/>
        </w:rPr>
        <w:t>竞争性磋商</w:t>
      </w:r>
      <w:r>
        <w:rPr>
          <w:rFonts w:hint="eastAsia" w:ascii="宋体" w:hAnsi="宋体" w:cs="宋体"/>
          <w:bCs/>
          <w:i w:val="0"/>
          <w:iCs w:val="0"/>
          <w:color w:val="auto"/>
          <w:sz w:val="44"/>
          <w:szCs w:val="44"/>
          <w:highlight w:val="none"/>
        </w:rPr>
        <w:t>文件</w:t>
      </w:r>
    </w:p>
    <w:p>
      <w:pPr>
        <w:pStyle w:val="2"/>
        <w:rPr>
          <w:i w:val="0"/>
          <w:iCs w:val="0"/>
          <w:color w:val="auto"/>
          <w:highlight w:val="none"/>
        </w:rPr>
      </w:pPr>
    </w:p>
    <w:p>
      <w:pPr>
        <w:spacing w:line="360" w:lineRule="auto"/>
        <w:ind w:firstLine="560" w:firstLineChars="200"/>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eastAsia="zh-CN"/>
        </w:rPr>
        <w:t>项目</w:t>
      </w:r>
      <w:r>
        <w:rPr>
          <w:rFonts w:hint="eastAsia" w:ascii="宋体" w:hAnsi="宋体" w:cs="宋体"/>
          <w:bCs/>
          <w:i w:val="0"/>
          <w:iCs w:val="0"/>
          <w:color w:val="auto"/>
          <w:sz w:val="28"/>
          <w:szCs w:val="28"/>
          <w:highlight w:val="none"/>
        </w:rPr>
        <w:t>名称：</w:t>
      </w:r>
      <w:r>
        <w:rPr>
          <w:rFonts w:hint="eastAsia" w:ascii="宋体" w:hAnsi="宋体" w:cs="宋体"/>
          <w:bCs/>
          <w:i w:val="0"/>
          <w:iCs w:val="0"/>
          <w:color w:val="auto"/>
          <w:sz w:val="28"/>
          <w:szCs w:val="28"/>
          <w:highlight w:val="none"/>
          <w:lang w:val="en-US" w:eastAsia="zh-CN"/>
        </w:rPr>
        <w:t>2023年3.15万亩高标准农田建设项目管理</w:t>
      </w: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招标人（公章）：阿克苏市农村合作经济发展中心</w:t>
      </w:r>
    </w:p>
    <w:p>
      <w:pPr>
        <w:spacing w:line="600" w:lineRule="exact"/>
        <w:outlineLvl w:val="1"/>
        <w:rPr>
          <w:rFonts w:ascii="宋体" w:hAnsi="宋体" w:cs="宋体"/>
          <w:bCs/>
          <w:i w:val="0"/>
          <w:iCs w:val="0"/>
          <w:color w:val="auto"/>
          <w:sz w:val="28"/>
          <w:szCs w:val="28"/>
          <w:highlight w:val="none"/>
        </w:rPr>
      </w:pPr>
      <w:r>
        <w:rPr>
          <w:rFonts w:hint="eastAsia" w:ascii="宋体" w:hAnsi="宋体" w:cs="宋体"/>
          <w:bCs/>
          <w:i w:val="0"/>
          <w:iCs w:val="0"/>
          <w:color w:val="auto"/>
          <w:sz w:val="28"/>
          <w:szCs w:val="28"/>
          <w:highlight w:val="none"/>
        </w:rPr>
        <w:t xml:space="preserve">    法定代表人（签章）： </w:t>
      </w:r>
    </w:p>
    <w:p>
      <w:pPr>
        <w:spacing w:line="600" w:lineRule="exact"/>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 xml:space="preserve">   </w:t>
      </w:r>
      <w:r>
        <w:rPr>
          <w:rFonts w:hint="eastAsia" w:ascii="宋体" w:hAnsi="宋体" w:eastAsia="宋体" w:cs="宋体"/>
          <w:bCs/>
          <w:i w:val="0"/>
          <w:iCs w:val="0"/>
          <w:color w:val="auto"/>
          <w:sz w:val="28"/>
          <w:szCs w:val="28"/>
          <w:highlight w:val="none"/>
        </w:rPr>
        <w:t xml:space="preserve"> 联系人：</w:t>
      </w:r>
      <w:r>
        <w:rPr>
          <w:rFonts w:hint="eastAsia" w:ascii="宋体" w:hAnsi="宋体" w:cs="宋体"/>
          <w:bCs/>
          <w:i w:val="0"/>
          <w:iCs w:val="0"/>
          <w:color w:val="auto"/>
          <w:sz w:val="28"/>
          <w:szCs w:val="28"/>
          <w:highlight w:val="none"/>
          <w:lang w:eastAsia="zh-CN"/>
        </w:rPr>
        <w:t>邢宇</w:t>
      </w:r>
    </w:p>
    <w:p>
      <w:pPr>
        <w:spacing w:line="600" w:lineRule="exact"/>
        <w:ind w:firstLine="560" w:firstLineChars="200"/>
        <w:outlineLvl w:val="1"/>
        <w:rPr>
          <w:rFonts w:hint="default" w:ascii="宋体" w:hAnsi="宋体" w:eastAsia="宋体" w:cs="宋体"/>
          <w:bCs/>
          <w:i w:val="0"/>
          <w:iCs w:val="0"/>
          <w:color w:val="auto"/>
          <w:sz w:val="28"/>
          <w:szCs w:val="28"/>
          <w:highlight w:val="none"/>
          <w:lang w:val="en-US"/>
        </w:rPr>
      </w:pPr>
      <w:r>
        <w:rPr>
          <w:rFonts w:hint="eastAsia" w:ascii="宋体" w:hAnsi="宋体" w:eastAsia="宋体" w:cs="宋体"/>
          <w:bCs/>
          <w:i w:val="0"/>
          <w:iCs w:val="0"/>
          <w:color w:val="auto"/>
          <w:sz w:val="28"/>
          <w:szCs w:val="28"/>
          <w:highlight w:val="none"/>
        </w:rPr>
        <w:t>联系电话：18699700819</w:t>
      </w: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招标代理机构（公章）：</w:t>
      </w:r>
      <w:r>
        <w:rPr>
          <w:rFonts w:hint="eastAsia" w:ascii="宋体" w:hAnsi="宋体" w:eastAsia="宋体" w:cs="宋体"/>
          <w:i w:val="0"/>
          <w:iCs w:val="0"/>
          <w:color w:val="auto"/>
          <w:sz w:val="28"/>
          <w:szCs w:val="28"/>
          <w:lang w:val="en-US" w:eastAsia="zh-CN"/>
        </w:rPr>
        <w:t>新疆润悦项目管理有限公司</w:t>
      </w:r>
    </w:p>
    <w:p>
      <w:pPr>
        <w:spacing w:line="600" w:lineRule="exact"/>
        <w:ind w:firstLine="560"/>
        <w:outlineLvl w:val="1"/>
        <w:rPr>
          <w:rFonts w:ascii="宋体" w:hAnsi="宋体" w:cs="宋体"/>
          <w:bCs/>
          <w:i w:val="0"/>
          <w:iCs w:val="0"/>
          <w:color w:val="auto"/>
          <w:sz w:val="28"/>
          <w:szCs w:val="28"/>
          <w:highlight w:val="none"/>
        </w:rPr>
      </w:pPr>
      <w:r>
        <w:rPr>
          <w:rFonts w:hint="eastAsia" w:ascii="宋体" w:hAnsi="宋体" w:cs="宋体"/>
          <w:bCs/>
          <w:i w:val="0"/>
          <w:iCs w:val="0"/>
          <w:color w:val="auto"/>
          <w:sz w:val="28"/>
          <w:szCs w:val="28"/>
          <w:highlight w:val="none"/>
        </w:rPr>
        <w:t>法定代表人（签章）：</w:t>
      </w: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联系人：</w:t>
      </w:r>
      <w:r>
        <w:rPr>
          <w:rFonts w:hint="eastAsia" w:ascii="宋体" w:hAnsi="宋体" w:cs="宋体"/>
          <w:i w:val="0"/>
          <w:iCs w:val="0"/>
          <w:color w:val="auto"/>
          <w:sz w:val="28"/>
          <w:szCs w:val="28"/>
          <w:highlight w:val="none"/>
          <w:lang w:val="en-US" w:eastAsia="zh-CN"/>
        </w:rPr>
        <w:t>张贺新</w:t>
      </w:r>
    </w:p>
    <w:p>
      <w:pPr>
        <w:spacing w:line="600" w:lineRule="exact"/>
        <w:outlineLvl w:val="1"/>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 xml:space="preserve">    联系电话：</w:t>
      </w:r>
      <w:r>
        <w:rPr>
          <w:rFonts w:hint="eastAsia" w:ascii="宋体" w:hAnsi="宋体" w:cs="宋体"/>
          <w:bCs/>
          <w:i w:val="0"/>
          <w:iCs w:val="0"/>
          <w:color w:val="auto"/>
          <w:sz w:val="28"/>
          <w:szCs w:val="28"/>
          <w:highlight w:val="none"/>
          <w:lang w:val="en-US" w:eastAsia="zh-CN"/>
        </w:rPr>
        <w:t>15003027111</w:t>
      </w:r>
    </w:p>
    <w:p>
      <w:pPr>
        <w:spacing w:line="600" w:lineRule="exact"/>
        <w:ind w:left="559" w:leftChars="266" w:firstLine="0" w:firstLineChars="0"/>
        <w:outlineLvl w:val="1"/>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联系地址：</w:t>
      </w:r>
      <w:r>
        <w:rPr>
          <w:rFonts w:hint="eastAsia" w:ascii="宋体" w:hAnsi="宋体" w:eastAsia="宋体" w:cs="宋体"/>
          <w:i w:val="0"/>
          <w:iCs w:val="0"/>
          <w:color w:val="auto"/>
          <w:sz w:val="28"/>
          <w:szCs w:val="28"/>
          <w:lang w:val="en-US" w:eastAsia="zh-CN"/>
        </w:rPr>
        <w:t>新疆阿克苏地区阿克苏市兰干街道英阿瓦提社区朝阳街7号银基王朝4号楼1701号</w:t>
      </w:r>
    </w:p>
    <w:p>
      <w:pPr>
        <w:spacing w:line="600" w:lineRule="exact"/>
        <w:rPr>
          <w:rFonts w:ascii="宋体" w:hAnsi="宋体" w:cs="宋体"/>
          <w:bCs/>
          <w:i w:val="0"/>
          <w:iCs w:val="0"/>
          <w:color w:val="auto"/>
          <w:sz w:val="28"/>
          <w:szCs w:val="28"/>
          <w:highlight w:val="none"/>
        </w:rPr>
      </w:pPr>
    </w:p>
    <w:p>
      <w:pPr>
        <w:spacing w:line="600" w:lineRule="exact"/>
        <w:rPr>
          <w:rFonts w:ascii="宋体" w:hAnsi="宋体" w:cs="宋体"/>
          <w:bCs/>
          <w:i w:val="0"/>
          <w:iCs w:val="0"/>
          <w:color w:val="auto"/>
          <w:sz w:val="28"/>
          <w:szCs w:val="28"/>
          <w:highlight w:val="none"/>
        </w:rPr>
      </w:pPr>
    </w:p>
    <w:p>
      <w:pPr>
        <w:spacing w:line="600" w:lineRule="exact"/>
        <w:ind w:firstLine="3920" w:firstLineChars="1400"/>
        <w:jc w:val="both"/>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val="en-US" w:eastAsia="zh-CN"/>
        </w:rPr>
        <w:t>二〇二三年二月</w:t>
      </w:r>
    </w:p>
    <w:p>
      <w:pPr>
        <w:pStyle w:val="11"/>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sectPr>
          <w:footerReference r:id="rId7" w:type="first"/>
          <w:footerReference r:id="rId6" w:type="default"/>
          <w:pgSz w:w="11906" w:h="16838"/>
          <w:pgMar w:top="1440" w:right="1080" w:bottom="1440" w:left="1080" w:header="851" w:footer="992" w:gutter="0"/>
          <w:pgNumType w:start="0"/>
          <w:cols w:space="720" w:num="1"/>
          <w:titlePg/>
          <w:docGrid w:type="lines" w:linePitch="312" w:charSpace="0"/>
        </w:sectPr>
      </w:pPr>
    </w:p>
    <w:p>
      <w:pPr>
        <w:pStyle w:val="11"/>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目录</w:t>
      </w:r>
    </w:p>
    <w:p>
      <w:pPr>
        <w:pStyle w:val="6"/>
        <w:spacing w:line="360" w:lineRule="auto"/>
        <w:rPr>
          <w:rFonts w:hint="eastAsia"/>
          <w:i w:val="0"/>
          <w:iCs w:val="0"/>
          <w:color w:val="auto"/>
          <w:highlight w:val="none"/>
        </w:rPr>
      </w:pP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TOC \o "1-1" \h \u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_Toc13366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 xml:space="preserve">第一章 </w:t>
      </w:r>
      <w:r>
        <w:rPr>
          <w:rFonts w:hint="eastAsia" w:ascii="宋体" w:hAnsi="宋体" w:cs="宋体"/>
          <w:i w:val="0"/>
          <w:iCs w:val="0"/>
          <w:color w:val="auto"/>
          <w:sz w:val="28"/>
          <w:szCs w:val="28"/>
          <w:highlight w:val="none"/>
          <w:lang w:val="en-US" w:eastAsia="zh-CN"/>
        </w:rPr>
        <w:t>竞争性磋商</w:t>
      </w:r>
      <w:r>
        <w:rPr>
          <w:rFonts w:hint="eastAsia" w:ascii="宋体" w:hAnsi="宋体" w:cs="宋体"/>
          <w:i w:val="0"/>
          <w:iCs w:val="0"/>
          <w:color w:val="auto"/>
          <w:sz w:val="28"/>
          <w:szCs w:val="28"/>
          <w:highlight w:val="none"/>
        </w:rPr>
        <w:t>公告</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t>1</w:t>
      </w:r>
      <w:r>
        <w:rPr>
          <w:rFonts w:hint="eastAsia" w:ascii="宋体" w:hAnsi="宋体" w:cs="宋体"/>
          <w:i w:val="0"/>
          <w:iCs w:val="0"/>
          <w:color w:val="auto"/>
          <w:sz w:val="28"/>
          <w:szCs w:val="28"/>
          <w:highlight w:val="none"/>
        </w:rPr>
        <w:fldChar w:fldCharType="end"/>
      </w: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第二章 投标人须知</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pStyle w:val="11"/>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_Toc7110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第三章 合同条款</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36</w:t>
      </w:r>
    </w:p>
    <w:p>
      <w:pPr>
        <w:pStyle w:val="11"/>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_Toc27253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第四章 采购需求</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37</w:t>
      </w:r>
    </w:p>
    <w:p>
      <w:pPr>
        <w:pStyle w:val="11"/>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_Toc31265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 xml:space="preserve">第五章 </w:t>
      </w:r>
      <w:r>
        <w:rPr>
          <w:rFonts w:hint="eastAsia" w:ascii="宋体" w:hAnsi="宋体" w:cs="宋体"/>
          <w:bCs/>
          <w:i w:val="0"/>
          <w:iCs w:val="0"/>
          <w:color w:val="auto"/>
          <w:sz w:val="28"/>
          <w:szCs w:val="28"/>
          <w:highlight w:val="none"/>
          <w:lang w:eastAsia="zh-CN"/>
        </w:rPr>
        <w:t>响应文件</w:t>
      </w:r>
      <w:r>
        <w:rPr>
          <w:rFonts w:hint="eastAsia" w:ascii="宋体" w:hAnsi="宋体" w:cs="宋体"/>
          <w:bCs/>
          <w:i w:val="0"/>
          <w:iCs w:val="0"/>
          <w:color w:val="auto"/>
          <w:sz w:val="28"/>
          <w:szCs w:val="28"/>
          <w:highlight w:val="none"/>
        </w:rPr>
        <w:t>格式</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_Toc31265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35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8"/>
          <w:szCs w:val="28"/>
          <w:highlight w:val="none"/>
        </w:rPr>
        <w:fldChar w:fldCharType="end"/>
      </w:r>
    </w:p>
    <w:p>
      <w:pPr>
        <w:adjustRightInd w:val="0"/>
        <w:snapToGrid w:val="0"/>
        <w:spacing w:line="360" w:lineRule="auto"/>
        <w:rPr>
          <w:rFonts w:hint="eastAsia" w:ascii="宋体" w:hAnsi="宋体" w:cs="宋体"/>
          <w:b/>
          <w:i w:val="0"/>
          <w:iCs w:val="0"/>
          <w:color w:val="auto"/>
          <w:sz w:val="24"/>
          <w:highlight w:val="none"/>
        </w:rPr>
        <w:sectPr>
          <w:footerReference r:id="rId9" w:type="first"/>
          <w:footerReference r:id="rId8" w:type="default"/>
          <w:pgSz w:w="11906" w:h="16838"/>
          <w:pgMar w:top="1440" w:right="1080" w:bottom="1440" w:left="1080" w:header="851" w:footer="992" w:gutter="0"/>
          <w:pgNumType w:start="0"/>
          <w:cols w:space="720"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olor w:val="auto"/>
          <w:sz w:val="40"/>
          <w:szCs w:val="15"/>
          <w:highlight w:val="none"/>
          <w:lang w:val="en-US" w:eastAsia="zh-CN"/>
        </w:rPr>
      </w:pPr>
      <w:bookmarkStart w:id="0" w:name="_Toc9386"/>
      <w:r>
        <w:rPr>
          <w:rFonts w:hint="eastAsia"/>
          <w:color w:val="auto"/>
          <w:sz w:val="40"/>
          <w:szCs w:val="15"/>
          <w:highlight w:val="none"/>
          <w:lang w:val="en-US" w:eastAsia="zh-CN"/>
        </w:rPr>
        <w:t>第一章 招标公告</w:t>
      </w:r>
    </w:p>
    <w:p>
      <w:pPr>
        <w:pStyle w:val="3"/>
        <w:keepNext/>
        <w:keepLines/>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项目概况</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cs="宋体"/>
          <w:bCs/>
          <w:i w:val="0"/>
          <w:iCs w:val="0"/>
          <w:color w:val="auto"/>
          <w:sz w:val="28"/>
          <w:szCs w:val="28"/>
          <w:highlight w:val="none"/>
          <w:lang w:val="en-US" w:eastAsia="zh-CN"/>
        </w:rPr>
        <w:t>2023年3.15万亩高标准农田建设项目管理</w:t>
      </w:r>
      <w:r>
        <w:rPr>
          <w:rFonts w:hint="eastAsia" w:ascii="宋体" w:hAnsi="宋体" w:eastAsia="宋体" w:cs="宋体"/>
          <w:i w:val="0"/>
          <w:iCs w:val="0"/>
          <w:color w:val="auto"/>
          <w:kern w:val="0"/>
          <w:sz w:val="28"/>
          <w:szCs w:val="28"/>
          <w:highlight w:val="none"/>
          <w:lang w:val="en-US"/>
        </w:rPr>
        <w:t>的潜在投标人</w:t>
      </w:r>
      <w:r>
        <w:rPr>
          <w:rFonts w:hint="eastAsia" w:ascii="宋体" w:hAnsi="宋体" w:eastAsia="宋体" w:cs="宋体"/>
          <w:i w:val="0"/>
          <w:iCs w:val="0"/>
          <w:color w:val="auto"/>
          <w:kern w:val="0"/>
          <w:sz w:val="28"/>
          <w:szCs w:val="28"/>
          <w:highlight w:val="none"/>
          <w:lang w:val="en-US" w:eastAsia="zh-CN"/>
        </w:rPr>
        <w:t>应在政府采购云平台获取（下载）采购文件</w:t>
      </w:r>
      <w:r>
        <w:rPr>
          <w:rFonts w:hint="eastAsia" w:ascii="宋体" w:hAnsi="宋体" w:eastAsia="宋体" w:cs="宋体"/>
          <w:i w:val="0"/>
          <w:iCs w:val="0"/>
          <w:color w:val="auto"/>
          <w:kern w:val="0"/>
          <w:sz w:val="28"/>
          <w:szCs w:val="28"/>
          <w:highlight w:val="none"/>
          <w:lang w:val="en-US"/>
        </w:rPr>
        <w:t>，并于202</w:t>
      </w:r>
      <w:r>
        <w:rPr>
          <w:rFonts w:hint="eastAsia" w:ascii="宋体" w:hAnsi="宋体" w:cs="宋体"/>
          <w:i w:val="0"/>
          <w:iCs w:val="0"/>
          <w:color w:val="auto"/>
          <w:kern w:val="0"/>
          <w:sz w:val="28"/>
          <w:szCs w:val="28"/>
          <w:highlight w:val="none"/>
          <w:lang w:val="en-US" w:eastAsia="zh-CN"/>
        </w:rPr>
        <w:t>3</w:t>
      </w:r>
      <w:r>
        <w:rPr>
          <w:rFonts w:hint="eastAsia" w:ascii="宋体" w:hAnsi="宋体" w:eastAsia="宋体" w:cs="宋体"/>
          <w:i w:val="0"/>
          <w:iCs w:val="0"/>
          <w:color w:val="auto"/>
          <w:kern w:val="0"/>
          <w:sz w:val="28"/>
          <w:szCs w:val="28"/>
          <w:highlight w:val="none"/>
          <w:lang w:val="en-US"/>
        </w:rPr>
        <w:t>年</w:t>
      </w:r>
      <w:r>
        <w:rPr>
          <w:rFonts w:hint="eastAsia" w:ascii="宋体" w:hAnsi="宋体" w:cs="宋体"/>
          <w:i w:val="0"/>
          <w:iCs w:val="0"/>
          <w:color w:val="auto"/>
          <w:kern w:val="0"/>
          <w:sz w:val="28"/>
          <w:szCs w:val="28"/>
          <w:highlight w:val="none"/>
          <w:lang w:val="en-US" w:eastAsia="zh-CN"/>
        </w:rPr>
        <w:t>02</w:t>
      </w:r>
      <w:r>
        <w:rPr>
          <w:rFonts w:hint="eastAsia" w:ascii="宋体" w:hAnsi="宋体" w:eastAsia="宋体" w:cs="宋体"/>
          <w:i w:val="0"/>
          <w:iCs w:val="0"/>
          <w:color w:val="auto"/>
          <w:kern w:val="0"/>
          <w:sz w:val="28"/>
          <w:szCs w:val="28"/>
          <w:highlight w:val="none"/>
          <w:lang w:val="en-US"/>
        </w:rPr>
        <w:t>月</w:t>
      </w:r>
      <w:r>
        <w:rPr>
          <w:rFonts w:hint="eastAsia" w:ascii="宋体" w:hAnsi="宋体" w:cs="宋体"/>
          <w:i w:val="0"/>
          <w:iCs w:val="0"/>
          <w:color w:val="auto"/>
          <w:kern w:val="0"/>
          <w:sz w:val="28"/>
          <w:szCs w:val="28"/>
          <w:highlight w:val="none"/>
          <w:lang w:val="en-US" w:eastAsia="zh-CN"/>
        </w:rPr>
        <w:t>17</w:t>
      </w:r>
      <w:r>
        <w:rPr>
          <w:rFonts w:hint="eastAsia" w:ascii="宋体" w:hAnsi="宋体" w:eastAsia="宋体" w:cs="宋体"/>
          <w:i w:val="0"/>
          <w:iCs w:val="0"/>
          <w:color w:val="auto"/>
          <w:kern w:val="0"/>
          <w:sz w:val="28"/>
          <w:szCs w:val="28"/>
          <w:highlight w:val="none"/>
          <w:lang w:val="en-US"/>
        </w:rPr>
        <w:t>日</w:t>
      </w:r>
      <w:r>
        <w:rPr>
          <w:rFonts w:hint="eastAsia" w:ascii="宋体" w:hAnsi="宋体" w:cs="宋体"/>
          <w:i w:val="0"/>
          <w:iCs w:val="0"/>
          <w:color w:val="auto"/>
          <w:kern w:val="0"/>
          <w:sz w:val="28"/>
          <w:szCs w:val="28"/>
          <w:highlight w:val="none"/>
          <w:lang w:val="en-US" w:eastAsia="zh-CN"/>
        </w:rPr>
        <w:t>11</w:t>
      </w:r>
      <w:r>
        <w:rPr>
          <w:rFonts w:hint="eastAsia" w:ascii="宋体" w:hAnsi="宋体" w:eastAsia="宋体" w:cs="宋体"/>
          <w:i w:val="0"/>
          <w:iCs w:val="0"/>
          <w:color w:val="auto"/>
          <w:kern w:val="0"/>
          <w:sz w:val="28"/>
          <w:szCs w:val="28"/>
          <w:highlight w:val="none"/>
          <w:lang w:val="en-US"/>
        </w:rPr>
        <w:t>点</w:t>
      </w:r>
      <w:r>
        <w:rPr>
          <w:rFonts w:hint="eastAsia" w:ascii="宋体" w:hAnsi="宋体" w:cs="宋体"/>
          <w:i w:val="0"/>
          <w:iCs w:val="0"/>
          <w:color w:val="auto"/>
          <w:kern w:val="0"/>
          <w:sz w:val="28"/>
          <w:szCs w:val="28"/>
          <w:highlight w:val="none"/>
          <w:lang w:val="en-US" w:eastAsia="zh-CN"/>
        </w:rPr>
        <w:t>00</w:t>
      </w:r>
      <w:r>
        <w:rPr>
          <w:rFonts w:hint="eastAsia" w:ascii="宋体" w:hAnsi="宋体" w:eastAsia="宋体" w:cs="宋体"/>
          <w:i w:val="0"/>
          <w:iCs w:val="0"/>
          <w:color w:val="auto"/>
          <w:kern w:val="0"/>
          <w:sz w:val="28"/>
          <w:szCs w:val="28"/>
          <w:highlight w:val="none"/>
          <w:lang w:val="en-US"/>
        </w:rPr>
        <w:t>分（北京时间）前递交</w:t>
      </w:r>
      <w:r>
        <w:rPr>
          <w:rFonts w:hint="eastAsia" w:ascii="宋体" w:hAnsi="宋体" w:eastAsia="宋体" w:cs="宋体"/>
          <w:i w:val="0"/>
          <w:iCs w:val="0"/>
          <w:color w:val="auto"/>
          <w:kern w:val="0"/>
          <w:sz w:val="28"/>
          <w:szCs w:val="28"/>
          <w:highlight w:val="none"/>
          <w:lang w:val="en-US" w:eastAsia="zh-CN"/>
        </w:rPr>
        <w:t>响应文件</w:t>
      </w:r>
      <w:r>
        <w:rPr>
          <w:rFonts w:hint="eastAsia" w:ascii="宋体" w:hAnsi="宋体" w:eastAsia="宋体" w:cs="宋体"/>
          <w:i w:val="0"/>
          <w:iCs w:val="0"/>
          <w:color w:val="auto"/>
          <w:kern w:val="0"/>
          <w:sz w:val="28"/>
          <w:szCs w:val="28"/>
          <w:highlight w:val="none"/>
          <w:lang w:val="en-US"/>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bookmarkStart w:id="1" w:name="_Toc28359079"/>
      <w:bookmarkStart w:id="2" w:name="_Toc28359002"/>
      <w:bookmarkStart w:id="3" w:name="_Toc35393790"/>
      <w:bookmarkStart w:id="4" w:name="_Toc35393621"/>
      <w:bookmarkStart w:id="5" w:name="_Hlk24379207"/>
      <w:r>
        <w:rPr>
          <w:rFonts w:hint="eastAsia" w:ascii="宋体" w:hAnsi="宋体" w:eastAsia="宋体" w:cs="宋体"/>
          <w:b/>
          <w:bCs/>
          <w:color w:val="auto"/>
          <w:sz w:val="28"/>
          <w:szCs w:val="28"/>
          <w:highlight w:val="none"/>
          <w:lang w:val="en-US" w:eastAsia="zh-CN"/>
        </w:rPr>
        <w:t>一、项目基本情况</w:t>
      </w:r>
      <w:bookmarkEnd w:id="1"/>
      <w:bookmarkEnd w:id="2"/>
      <w:bookmarkEnd w:id="3"/>
      <w:bookmarkEnd w:id="4"/>
    </w:p>
    <w:bookmarkEnd w:id="5"/>
    <w:p>
      <w:pPr>
        <w:pageBreakBefore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项目编号：</w:t>
      </w:r>
      <w:r>
        <w:rPr>
          <w:rFonts w:hint="eastAsia" w:ascii="宋体" w:hAnsi="宋体" w:eastAsia="宋体" w:cs="宋体"/>
          <w:i w:val="0"/>
          <w:iCs w:val="0"/>
          <w:color w:val="auto"/>
          <w:kern w:val="0"/>
          <w:sz w:val="28"/>
          <w:szCs w:val="28"/>
          <w:highlight w:val="none"/>
          <w:lang w:val="en-US" w:eastAsia="zh-CN"/>
        </w:rPr>
        <w:t>2023-C-04</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项目名称：</w:t>
      </w:r>
      <w:r>
        <w:rPr>
          <w:rFonts w:hint="eastAsia" w:ascii="宋体" w:hAnsi="宋体" w:cs="宋体"/>
          <w:bCs/>
          <w:i w:val="0"/>
          <w:iCs w:val="0"/>
          <w:color w:val="auto"/>
          <w:sz w:val="28"/>
          <w:szCs w:val="28"/>
          <w:highlight w:val="none"/>
          <w:lang w:val="en-US" w:eastAsia="zh-CN"/>
        </w:rPr>
        <w:t>2023年3.15万亩高标准农田建设项目管理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采购方式：</w:t>
      </w:r>
      <w:r>
        <w:rPr>
          <w:rFonts w:hint="eastAsia" w:ascii="宋体" w:hAnsi="宋体" w:eastAsia="宋体" w:cs="宋体"/>
          <w:i w:val="0"/>
          <w:iCs w:val="0"/>
          <w:color w:val="auto"/>
          <w:kern w:val="0"/>
          <w:sz w:val="28"/>
          <w:szCs w:val="28"/>
          <w:highlight w:val="none"/>
          <w:lang w:val="en-US" w:eastAsia="zh-CN"/>
        </w:rPr>
        <w:t>竞争性磋商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772900元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最高限价（元）：</w:t>
      </w:r>
      <w:r>
        <w:rPr>
          <w:rFonts w:hint="eastAsia" w:ascii="宋体" w:hAnsi="宋体" w:cs="宋体"/>
          <w:i w:val="0"/>
          <w:iCs w:val="0"/>
          <w:color w:val="auto"/>
          <w:kern w:val="0"/>
          <w:sz w:val="28"/>
          <w:szCs w:val="28"/>
          <w:highlight w:val="none"/>
          <w:lang w:val="en-US" w:eastAsia="zh-CN"/>
        </w:rPr>
        <w:t>772900元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采购需求：</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标项名称:</w:t>
      </w:r>
      <w:r>
        <w:rPr>
          <w:rFonts w:hint="eastAsia" w:ascii="宋体" w:hAnsi="宋体" w:cs="宋体"/>
          <w:bCs/>
          <w:i w:val="0"/>
          <w:iCs w:val="0"/>
          <w:color w:val="auto"/>
          <w:sz w:val="28"/>
          <w:szCs w:val="28"/>
          <w:highlight w:val="none"/>
          <w:lang w:val="en-US" w:eastAsia="zh-CN"/>
        </w:rPr>
        <w:t>2023年3.15万亩高标准农田建设项目管理</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数量:</w:t>
      </w:r>
      <w:r>
        <w:rPr>
          <w:rFonts w:hint="eastAsia" w:ascii="宋体" w:hAnsi="宋体" w:eastAsia="宋体" w:cs="宋体"/>
          <w:i w:val="0"/>
          <w:iCs w:val="0"/>
          <w:color w:val="auto"/>
          <w:kern w:val="0"/>
          <w:sz w:val="28"/>
          <w:szCs w:val="28"/>
          <w:highlight w:val="none"/>
          <w:lang w:val="en-US" w:eastAsia="zh-CN"/>
        </w:rPr>
        <w:t>1</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预算金额（元）:</w:t>
      </w:r>
      <w:r>
        <w:rPr>
          <w:rFonts w:hint="eastAsia" w:ascii="宋体" w:hAnsi="宋体" w:cs="宋体"/>
          <w:i w:val="0"/>
          <w:iCs w:val="0"/>
          <w:color w:val="auto"/>
          <w:kern w:val="0"/>
          <w:sz w:val="28"/>
          <w:szCs w:val="28"/>
          <w:highlight w:val="none"/>
          <w:lang w:val="en-US" w:eastAsia="zh-CN"/>
        </w:rPr>
        <w:t>772900元</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rPr>
      </w:pPr>
      <w:r>
        <w:rPr>
          <w:rFonts w:hint="eastAsia" w:ascii="宋体" w:hAnsi="宋体" w:eastAsia="宋体" w:cs="宋体"/>
          <w:i w:val="0"/>
          <w:iCs w:val="0"/>
          <w:color w:val="auto"/>
          <w:kern w:val="0"/>
          <w:sz w:val="28"/>
          <w:szCs w:val="28"/>
          <w:highlight w:val="none"/>
          <w:lang w:val="en-US"/>
        </w:rPr>
        <w:t>单位：</w:t>
      </w:r>
      <w:r>
        <w:rPr>
          <w:rFonts w:hint="eastAsia" w:ascii="宋体" w:hAnsi="宋体" w:eastAsia="宋体" w:cs="宋体"/>
          <w:i w:val="0"/>
          <w:iCs w:val="0"/>
          <w:color w:val="auto"/>
          <w:kern w:val="0"/>
          <w:sz w:val="28"/>
          <w:szCs w:val="28"/>
          <w:highlight w:val="none"/>
          <w:lang w:val="en-US" w:eastAsia="zh-CN"/>
        </w:rPr>
        <w:t>项</w:t>
      </w:r>
      <w:r>
        <w:rPr>
          <w:rFonts w:hint="eastAsia" w:ascii="宋体" w:hAnsi="宋体" w:eastAsia="宋体" w:cs="宋体"/>
          <w:i w:val="0"/>
          <w:iCs w:val="0"/>
          <w:color w:val="auto"/>
          <w:kern w:val="0"/>
          <w:sz w:val="28"/>
          <w:szCs w:val="28"/>
          <w:highlight w:val="none"/>
          <w:lang w:val="en-US"/>
        </w:rPr>
        <w:t> </w:t>
      </w:r>
    </w:p>
    <w:p>
      <w:pPr>
        <w:pageBreakBefore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简要规格描述：</w:t>
      </w:r>
      <w:r>
        <w:rPr>
          <w:rFonts w:hint="eastAsia" w:ascii="宋体" w:hAnsi="宋体" w:cs="宋体"/>
          <w:i w:val="0"/>
          <w:iCs w:val="0"/>
          <w:color w:val="auto"/>
          <w:kern w:val="0"/>
          <w:sz w:val="28"/>
          <w:szCs w:val="28"/>
          <w:highlight w:val="none"/>
          <w:lang w:val="en-US" w:eastAsia="zh-CN"/>
        </w:rPr>
        <w:t>详见采购需求</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kern w:val="0"/>
          <w:sz w:val="28"/>
          <w:szCs w:val="28"/>
          <w:highlight w:val="none"/>
          <w:lang w:val="en-US"/>
        </w:rPr>
        <w:t>合同履约期限：甲乙双方按照合同约定执行</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（1）具有独立承担民事责任的能力；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供应商为中小企业,供应商应为监狱企业,供应商应为残疾人福利企业,供应商为节能产品、环境标志产品企业,</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（1）《新疆维吾尔自治区政府采购促进中小企业发展管理实施办法》（新财规〔2021〕6号）；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（2）《财政部、司法部关于政府采购支持监狱企业发展有关问题的通知》（财库〔2014〕68号）；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（3）《国务院办公厅关于建立政府强制采购节能产品制度的通知》（国办发〔2007〕51号）；</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jc w:val="both"/>
        <w:textAlignment w:val="auto"/>
        <w:outlineLvl w:val="9"/>
        <w:rPr>
          <w:rStyle w:val="15"/>
          <w:rFonts w:hint="eastAsia"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（4）《财政部 民政部 中国残疾人联合会关于促进残疾人就业政府采购政策的通知》财库〔2017〕141号。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Style w:val="15"/>
          <w:rFonts w:hint="default" w:ascii="宋体" w:hAnsi="宋体" w:eastAsia="宋体" w:cs="宋体"/>
          <w:b w:val="0"/>
          <w:bCs w:val="0"/>
          <w:i w:val="0"/>
          <w:caps w:val="0"/>
          <w:color w:val="auto"/>
          <w:spacing w:val="0"/>
          <w:sz w:val="28"/>
          <w:szCs w:val="28"/>
          <w:highlight w:val="none"/>
          <w:lang w:val="en-US" w:eastAsia="zh-CN"/>
        </w:rPr>
      </w:pPr>
      <w:r>
        <w:rPr>
          <w:rStyle w:val="15"/>
          <w:rFonts w:hint="eastAsia" w:ascii="宋体" w:hAnsi="宋体" w:eastAsia="宋体" w:cs="宋体"/>
          <w:b w:val="0"/>
          <w:bCs w:val="0"/>
          <w:i w:val="0"/>
          <w:caps w:val="0"/>
          <w:color w:val="auto"/>
          <w:spacing w:val="0"/>
          <w:sz w:val="28"/>
          <w:szCs w:val="28"/>
          <w:highlight w:val="none"/>
          <w:lang w:val="en-US" w:eastAsia="zh-CN"/>
        </w:rPr>
        <w:t xml:space="preserve">（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0至</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（北京时间）</w:t>
      </w:r>
      <w:r>
        <w:rPr>
          <w:rFonts w:hint="eastAsia" w:ascii="宋体" w:hAnsi="宋体" w:cs="宋体"/>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点：政采云一站式政府采购云平台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其他补充事宜</w:t>
      </w:r>
    </w:p>
    <w:p>
      <w:pPr>
        <w:pStyle w:val="2"/>
        <w:ind w:firstLine="562" w:firstLineChars="200"/>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CN" w:bidi="ar-SA"/>
        </w:rPr>
        <w:t>本公告同时在新疆政府采购网和阿克苏地区行政公署网发布</w:t>
      </w:r>
      <w:r>
        <w:rPr>
          <w:rFonts w:hint="eastAsia" w:ascii="宋体" w:hAnsi="宋体" w:cs="宋体"/>
          <w:color w:val="auto"/>
          <w:kern w:val="2"/>
          <w:sz w:val="28"/>
          <w:szCs w:val="28"/>
          <w:highlight w:val="none"/>
          <w:lang w:val="en-US" w:eastAsia="zh-CN" w:bidi="ar-SA"/>
        </w:rPr>
        <w:t>。</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2</w:t>
      </w:r>
      <w:r>
        <w:rPr>
          <w:rFonts w:hint="eastAsia" w:ascii="宋体" w:hAnsi="宋体" w:eastAsia="宋体" w:cs="宋体"/>
          <w:color w:val="auto"/>
          <w:kern w:val="2"/>
          <w:sz w:val="28"/>
          <w:szCs w:val="28"/>
          <w:highlight w:val="none"/>
          <w:lang w:val="en-US" w:eastAsia="zh-CN" w:bidi="ar-SA"/>
        </w:rPr>
        <w:t>、本项目实行电子招投标，供应商须登录政采云平台申请获取采购文件，并需要使用CA锁，登录政采云电子投标客户端制作响应文件，若供应商参与投标,自行承担与投标有关的一切费用。</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供应商在开标时须携带制作加密电子响应文件所使用的CA锁，电脑须提前配置好浏览器（建议使用360浏览器或谷歌浏览器），以便开标时在线解密。</w:t>
      </w:r>
    </w:p>
    <w:p>
      <w:pPr>
        <w:pageBreakBefore w:val="0"/>
        <w:kinsoku/>
        <w:wordWrap/>
        <w:overflowPunct/>
        <w:topLinePunct w:val="0"/>
        <w:autoSpaceDE/>
        <w:autoSpaceDN/>
        <w:bidi w:val="0"/>
        <w:adjustRightInd/>
        <w:snapToGrid/>
        <w:spacing w:line="400" w:lineRule="exact"/>
        <w:textAlignment w:val="auto"/>
        <w:rPr>
          <w:rFonts w:hint="eastAsia"/>
          <w:color w:val="auto"/>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投标供应商应当在投标截止时间前，将生成的“电子加密响应文件”上传递交至“政府采购云平台”，投标截止时间以后上传递交的响应文件将被“政府采购云平台”拒收。</w:t>
      </w:r>
    </w:p>
    <w:p>
      <w:pPr>
        <w:pageBreakBefore w:val="0"/>
        <w:kinsoku/>
        <w:wordWrap/>
        <w:overflowPunct/>
        <w:topLinePunct w:val="0"/>
        <w:autoSpaceDE/>
        <w:autoSpaceDN/>
        <w:bidi w:val="0"/>
        <w:adjustRightInd/>
        <w:snapToGrid/>
        <w:spacing w:line="400" w:lineRule="exact"/>
        <w:textAlignment w:val="auto"/>
        <w:rPr>
          <w:rFonts w:hint="eastAsia"/>
          <w:color w:val="auto"/>
        </w:rPr>
      </w:pPr>
    </w:p>
    <w:p>
      <w:pPr>
        <w:pStyle w:val="2"/>
        <w:pageBreakBefore w:val="0"/>
        <w:kinsoku/>
        <w:wordWrap/>
        <w:overflowPunct/>
        <w:topLinePunct w:val="0"/>
        <w:autoSpaceDE/>
        <w:autoSpaceDN/>
        <w:bidi w:val="0"/>
        <w:adjustRightInd/>
        <w:snapToGrid/>
        <w:spacing w:line="400" w:lineRule="exact"/>
        <w:ind w:left="842" w:leftChars="266" w:hanging="281" w:hangingChars="1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color w:val="auto"/>
          <w:kern w:val="2"/>
          <w:sz w:val="28"/>
          <w:szCs w:val="28"/>
          <w:highlight w:val="none"/>
          <w:lang w:val="en-US" w:eastAsia="zh-CN" w:bidi="ar-SA"/>
        </w:rPr>
        <w:t>：</w:t>
      </w:r>
    </w:p>
    <w:p>
      <w:pPr>
        <w:pStyle w:val="2"/>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pageBreakBefore w:val="0"/>
        <w:numPr>
          <w:ilvl w:val="0"/>
          <w:numId w:val="0"/>
        </w:numPr>
        <w:kinsoku/>
        <w:wordWrap/>
        <w:overflowPunct/>
        <w:topLinePunct w:val="0"/>
        <w:autoSpaceDE/>
        <w:autoSpaceDN/>
        <w:bidi w:val="0"/>
        <w:adjustRightInd/>
        <w:snapToGrid/>
        <w:spacing w:line="400" w:lineRule="exact"/>
        <w:ind w:left="280" w:leftChars="133"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2"/>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八、对本次采购提出询问，请按以下方式联系</w:t>
      </w:r>
      <w:r>
        <w:rPr>
          <w:rFonts w:hint="eastAsia" w:ascii="宋体" w:hAnsi="宋体" w:cs="宋体"/>
          <w:b/>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称：阿克苏市农村合作经济发展中心</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址：阿克苏市杭州大道4巷10号市老年福利院农业综合办公楼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18699700819</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名    称：新疆润悦项目管理有限公司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地    址：新疆阿克苏地区阿克苏市兰干街道英阿瓦提社区朝阳街7号银基王朝4号楼1701号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cs="宋体"/>
          <w:color w:val="auto"/>
          <w:sz w:val="28"/>
          <w:szCs w:val="28"/>
          <w:highlight w:val="none"/>
          <w:lang w:val="en-US" w:eastAsia="zh-CN"/>
        </w:rPr>
        <w:t>张贺新</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15003027111</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3、监管部门信息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名称：阿克苏市政府采购管理办公室</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联系人：雷宇</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电话：0997-2653610</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宋体" w:hAnsi="宋体" w:eastAsia="宋体" w:cs="宋体"/>
          <w:color w:val="auto"/>
          <w:sz w:val="28"/>
          <w:szCs w:val="28"/>
          <w:highlight w:val="none"/>
          <w:lang w:val="en-US" w:eastAsia="zh-CN"/>
        </w:rPr>
      </w:pPr>
    </w:p>
    <w:p>
      <w:pPr>
        <w:pStyle w:val="3"/>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lang w:val="en-US" w:eastAsia="zh-CN"/>
        </w:rPr>
        <w:t>第二章</w:t>
      </w:r>
      <w:r>
        <w:rPr>
          <w:rFonts w:hint="eastAsia" w:ascii="宋体" w:hAnsi="宋体" w:eastAsia="宋体" w:cs="宋体"/>
          <w:b/>
          <w:bCs w:val="0"/>
          <w:i w:val="0"/>
          <w:iCs w:val="0"/>
          <w:color w:val="auto"/>
          <w:sz w:val="32"/>
          <w:szCs w:val="32"/>
          <w:highlight w:val="none"/>
        </w:rPr>
        <w:t xml:space="preserve"> </w:t>
      </w:r>
      <w:bookmarkStart w:id="6" w:name="_Toc32321"/>
      <w:bookmarkStart w:id="7" w:name="_Toc5463"/>
      <w:bookmarkStart w:id="8" w:name="_Toc10132"/>
      <w:r>
        <w:rPr>
          <w:rFonts w:hint="eastAsia" w:ascii="宋体" w:hAnsi="宋体" w:eastAsia="宋体" w:cs="宋体"/>
          <w:b/>
          <w:bCs w:val="0"/>
          <w:i w:val="0"/>
          <w:iCs w:val="0"/>
          <w:color w:val="auto"/>
          <w:sz w:val="32"/>
          <w:szCs w:val="32"/>
          <w:highlight w:val="none"/>
        </w:rPr>
        <w:t>投标人须知</w:t>
      </w:r>
      <w:bookmarkEnd w:id="0"/>
      <w:bookmarkEnd w:id="6"/>
      <w:bookmarkEnd w:id="7"/>
      <w:bookmarkEnd w:id="8"/>
    </w:p>
    <w:p>
      <w:pPr>
        <w:pStyle w:val="4"/>
        <w:keepNext w:val="0"/>
        <w:keepLines w:val="0"/>
        <w:adjustRightInd w:val="0"/>
        <w:snapToGrid w:val="0"/>
        <w:spacing w:before="120" w:after="120" w:line="360" w:lineRule="auto"/>
        <w:jc w:val="center"/>
        <w:outlineLvl w:val="1"/>
        <w:rPr>
          <w:rFonts w:hint="eastAsia" w:ascii="宋体" w:hAnsi="宋体" w:eastAsia="宋体" w:cs="宋体"/>
          <w:bCs w:val="0"/>
          <w:i w:val="0"/>
          <w:iCs w:val="0"/>
          <w:color w:val="auto"/>
          <w:sz w:val="28"/>
          <w:szCs w:val="28"/>
          <w:highlight w:val="none"/>
        </w:rPr>
      </w:pPr>
      <w:bookmarkStart w:id="9" w:name="_Toc152042304"/>
      <w:bookmarkStart w:id="10" w:name="_Toc665"/>
      <w:bookmarkStart w:id="11" w:name="_Toc13641"/>
      <w:bookmarkStart w:id="12" w:name="_Toc152045528"/>
      <w:bookmarkStart w:id="13" w:name="_Toc25446"/>
      <w:bookmarkStart w:id="14" w:name="_Toc179632545"/>
      <w:bookmarkStart w:id="15" w:name="_Toc144974496"/>
      <w:r>
        <w:rPr>
          <w:rFonts w:hint="eastAsia" w:ascii="宋体" w:hAnsi="宋体" w:eastAsia="宋体" w:cs="宋体"/>
          <w:bCs w:val="0"/>
          <w:i w:val="0"/>
          <w:iCs w:val="0"/>
          <w:color w:val="auto"/>
          <w:sz w:val="28"/>
          <w:szCs w:val="28"/>
          <w:highlight w:val="none"/>
        </w:rPr>
        <w:t>投标人须知前附表</w:t>
      </w:r>
      <w:bookmarkEnd w:id="9"/>
      <w:bookmarkEnd w:id="10"/>
      <w:bookmarkEnd w:id="11"/>
      <w:bookmarkEnd w:id="12"/>
      <w:bookmarkEnd w:id="13"/>
      <w:bookmarkEnd w:id="14"/>
      <w:bookmarkEnd w:id="15"/>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bookmarkStart w:id="16" w:name="_Toc21488"/>
            <w:bookmarkStart w:id="17" w:name="_Toc2427"/>
            <w:bookmarkStart w:id="18" w:name="_Toc26931"/>
            <w:bookmarkStart w:id="19" w:name="_Toc152042305"/>
            <w:bookmarkStart w:id="20" w:name="_Toc152045529"/>
            <w:bookmarkStart w:id="21" w:name="_Toc179632546"/>
            <w:bookmarkStart w:id="22" w:name="_Toc144974497"/>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阿克苏市农村合作经济发展中心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623"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eastAsia="宋体" w:cs="宋体"/>
                <w:i w:val="0"/>
                <w:iCs w:val="0"/>
                <w:color w:val="auto"/>
                <w:sz w:val="24"/>
                <w:highlight w:val="none"/>
                <w:lang w:eastAsia="zh-CN"/>
              </w:rPr>
              <w:t xml:space="preserve">新疆润悦项目管理有限公司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eastAsia="宋体" w:cs="宋体"/>
                <w:i w:val="0"/>
                <w:iCs w:val="0"/>
                <w:color w:val="auto"/>
                <w:sz w:val="24"/>
                <w:highlight w:val="none"/>
                <w:lang w:eastAsia="zh-CN"/>
              </w:rPr>
              <w:t xml:space="preserve">新疆阿克苏地区阿克苏市兰干街道英阿瓦提社区朝阳街7号银基王朝4号楼1701号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王霖</w:t>
            </w:r>
            <w:r>
              <w:rPr>
                <w:rFonts w:hint="eastAsia" w:ascii="宋体" w:hAnsi="宋体" w:eastAsia="宋体" w:cs="宋体"/>
                <w:i w:val="0"/>
                <w:iCs w:val="0"/>
                <w:color w:val="auto"/>
                <w:sz w:val="24"/>
                <w:highlight w:val="none"/>
                <w:lang w:val="en-US" w:eastAsia="zh-CN"/>
              </w:rPr>
              <w:t xml:space="preserve">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15003027111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2023年</w:t>
            </w:r>
            <w:r>
              <w:rPr>
                <w:rFonts w:hint="eastAsia" w:ascii="宋体" w:hAnsi="宋体" w:cs="宋体"/>
                <w:i w:val="0"/>
                <w:iCs w:val="0"/>
                <w:color w:val="auto"/>
                <w:sz w:val="24"/>
                <w:highlight w:val="none"/>
                <w:lang w:val="en-US" w:eastAsia="zh-CN"/>
              </w:rPr>
              <w:t>3.15</w:t>
            </w:r>
            <w:r>
              <w:rPr>
                <w:rFonts w:hint="eastAsia" w:ascii="宋体" w:hAnsi="宋体" w:eastAsia="宋体" w:cs="宋体"/>
                <w:i w:val="0"/>
                <w:iCs w:val="0"/>
                <w:color w:val="auto"/>
                <w:sz w:val="24"/>
                <w:highlight w:val="none"/>
                <w:lang w:val="en-US" w:eastAsia="zh-CN"/>
              </w:rPr>
              <w:t>万亩高标准农田建设项目管理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2023-C-04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上级专项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772900</w:t>
            </w:r>
            <w:r>
              <w:rPr>
                <w:rFonts w:hint="eastAsia" w:ascii="宋体" w:hAnsi="宋体" w:eastAsia="宋体" w:cs="宋体"/>
                <w:i w:val="0"/>
                <w:iCs w:val="0"/>
                <w:color w:val="auto"/>
                <w:sz w:val="24"/>
                <w:highlight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招标内容</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2023年</w:t>
            </w:r>
            <w:r>
              <w:rPr>
                <w:rFonts w:hint="eastAsia" w:ascii="宋体" w:hAnsi="宋体" w:cs="宋体"/>
                <w:i w:val="0"/>
                <w:iCs w:val="0"/>
                <w:color w:val="auto"/>
                <w:sz w:val="24"/>
                <w:highlight w:val="none"/>
                <w:lang w:val="en-US" w:eastAsia="zh-CN"/>
              </w:rPr>
              <w:t>3.15</w:t>
            </w:r>
            <w:r>
              <w:rPr>
                <w:rFonts w:hint="eastAsia" w:ascii="宋体" w:hAnsi="宋体" w:eastAsia="宋体" w:cs="宋体"/>
                <w:i w:val="0"/>
                <w:iCs w:val="0"/>
                <w:color w:val="auto"/>
                <w:sz w:val="24"/>
                <w:highlight w:val="none"/>
                <w:lang w:val="en-US" w:eastAsia="zh-CN"/>
              </w:rPr>
              <w:t>万亩高标准农田建设项目管理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w:t>
            </w:r>
            <w:r>
              <w:rPr>
                <w:rFonts w:hint="eastAsia" w:ascii="宋体" w:hAnsi="宋体" w:cs="宋体"/>
                <w:i w:val="0"/>
                <w:iCs w:val="0"/>
                <w:color w:val="auto"/>
                <w:sz w:val="24"/>
                <w:highlight w:val="none"/>
                <w:lang w:val="en-US" w:eastAsia="zh-CN"/>
              </w:rPr>
              <w:t>限</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color w:val="auto"/>
                <w:sz w:val="24"/>
                <w:szCs w:val="24"/>
                <w:highlight w:val="none"/>
                <w:lang w:val="en-US" w:eastAsia="zh-CN"/>
              </w:rPr>
              <w:t>按照甲乙双方签订的合同日期执行</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采购人、采购代理机构应当顺延提交首次响应文件截止时间。</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b/>
                <w:bCs/>
                <w:i w:val="0"/>
                <w:iCs w:val="0"/>
                <w:color w:val="auto"/>
                <w:sz w:val="24"/>
                <w:highlight w:val="none"/>
                <w:lang w:eastAsia="zh-CN"/>
              </w:rPr>
              <w:t>202</w:t>
            </w:r>
            <w:r>
              <w:rPr>
                <w:rFonts w:hint="eastAsia" w:ascii="宋体" w:hAnsi="宋体" w:eastAsia="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年</w:t>
            </w:r>
            <w:r>
              <w:rPr>
                <w:rFonts w:hint="eastAsia" w:ascii="宋体" w:hAnsi="宋体" w:eastAsia="宋体" w:cs="宋体"/>
                <w:b/>
                <w:bCs/>
                <w:i w:val="0"/>
                <w:iCs w:val="0"/>
                <w:color w:val="auto"/>
                <w:sz w:val="24"/>
                <w:highlight w:val="none"/>
                <w:lang w:val="en-US" w:eastAsia="zh-CN"/>
              </w:rPr>
              <w:t>02</w:t>
            </w:r>
            <w:r>
              <w:rPr>
                <w:rFonts w:hint="eastAsia" w:ascii="宋体" w:hAnsi="宋体" w:eastAsia="宋体" w:cs="宋体"/>
                <w:b/>
                <w:bCs/>
                <w:i w:val="0"/>
                <w:iCs w:val="0"/>
                <w:color w:val="auto"/>
                <w:sz w:val="24"/>
                <w:highlight w:val="none"/>
                <w:lang w:eastAsia="zh-CN"/>
              </w:rPr>
              <w:t>月</w:t>
            </w:r>
            <w:r>
              <w:rPr>
                <w:rFonts w:hint="eastAsia" w:ascii="宋体" w:hAnsi="宋体" w:eastAsia="宋体" w:cs="宋体"/>
                <w:b/>
                <w:bCs/>
                <w:i w:val="0"/>
                <w:iCs w:val="0"/>
                <w:color w:val="auto"/>
                <w:sz w:val="24"/>
                <w:highlight w:val="none"/>
                <w:lang w:val="en-US" w:eastAsia="zh-CN"/>
              </w:rPr>
              <w:t>1</w:t>
            </w:r>
            <w:r>
              <w:rPr>
                <w:rFonts w:hint="eastAsia" w:ascii="宋体" w:hAnsi="宋体" w:cs="宋体"/>
                <w:b/>
                <w:bCs/>
                <w:i w:val="0"/>
                <w:iCs w:val="0"/>
                <w:color w:val="auto"/>
                <w:sz w:val="24"/>
                <w:highlight w:val="none"/>
                <w:lang w:val="en-US" w:eastAsia="zh-CN"/>
              </w:rPr>
              <w:t>7</w:t>
            </w:r>
            <w:r>
              <w:rPr>
                <w:rFonts w:hint="eastAsia" w:ascii="宋体" w:hAnsi="宋体" w:eastAsia="宋体" w:cs="宋体"/>
                <w:b/>
                <w:bCs/>
                <w:i w:val="0"/>
                <w:iCs w:val="0"/>
                <w:color w:val="auto"/>
                <w:sz w:val="24"/>
                <w:highlight w:val="none"/>
                <w:lang w:eastAsia="zh-CN"/>
              </w:rPr>
              <w:t>日</w:t>
            </w:r>
            <w:r>
              <w:rPr>
                <w:rFonts w:hint="eastAsia" w:ascii="宋体" w:hAnsi="宋体" w:eastAsia="宋体" w:cs="宋体"/>
                <w:b/>
                <w:bCs/>
                <w:i w:val="0"/>
                <w:iCs w:val="0"/>
                <w:color w:val="auto"/>
                <w:sz w:val="24"/>
                <w:highlight w:val="none"/>
                <w:lang w:val="en-US" w:eastAsia="zh-CN"/>
              </w:rPr>
              <w:t>11:00</w:t>
            </w:r>
            <w:r>
              <w:rPr>
                <w:rFonts w:hint="eastAsia" w:ascii="宋体" w:hAnsi="宋体" w:eastAsia="宋体" w:cs="宋体"/>
                <w:b/>
                <w:bCs/>
                <w:i w:val="0"/>
                <w:iCs w:val="0"/>
                <w:color w:val="auto"/>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6</w:t>
            </w:r>
            <w:r>
              <w:rPr>
                <w:rFonts w:hint="eastAsia" w:ascii="宋体" w:hAnsi="宋体" w:eastAsia="宋体" w:cs="宋体"/>
                <w:i w:val="0"/>
                <w:iCs w:val="0"/>
                <w:color w:val="auto"/>
                <w:sz w:val="24"/>
                <w:highlight w:val="none"/>
              </w:rPr>
              <w:t>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评标委员会由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w:t>
            </w:r>
            <w:r>
              <w:rPr>
                <w:rFonts w:hint="eastAsia" w:ascii="宋体" w:hAnsi="宋体" w:eastAsia="宋体" w:cs="宋体"/>
                <w:i w:val="0"/>
                <w:iCs w:val="0"/>
                <w:color w:val="auto"/>
                <w:sz w:val="24"/>
                <w:highlight w:val="none"/>
                <w:u w:val="single"/>
              </w:rPr>
              <w:t xml:space="preserve"> 0 </w:t>
            </w:r>
            <w:r>
              <w:rPr>
                <w:rFonts w:hint="eastAsia" w:ascii="宋体" w:hAnsi="宋体" w:eastAsia="宋体" w:cs="宋体"/>
                <w:i w:val="0"/>
                <w:iCs w:val="0"/>
                <w:color w:val="auto"/>
                <w:sz w:val="24"/>
                <w:highlight w:val="none"/>
              </w:rPr>
              <w:t>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pPr>
              <w:rPr>
                <w:rFonts w:hint="eastAsia"/>
                <w:i w:val="0"/>
                <w:iCs w:val="0"/>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lang w:eastAsia="zh-CN"/>
              </w:rPr>
              <w:t>（二）</w:t>
            </w:r>
            <w:r>
              <w:rPr>
                <w:rFonts w:hint="eastAsia" w:ascii="宋体" w:hAnsi="宋体" w:eastAsia="宋体" w:cs="宋体"/>
                <w:i w:val="0"/>
                <w:iCs w:val="0"/>
                <w:color w:val="auto"/>
                <w:sz w:val="24"/>
                <w:highlight w:val="none"/>
              </w:rPr>
              <w:t>具有有效的营业执照</w:t>
            </w:r>
            <w:r>
              <w:rPr>
                <w:rFonts w:hint="eastAsia" w:ascii="宋体" w:hAnsi="宋体" w:eastAsia="宋体" w:cs="宋体"/>
                <w:i w:val="0"/>
                <w:iCs w:val="0"/>
                <w:color w:val="auto"/>
                <w:sz w:val="24"/>
                <w:highlight w:val="none"/>
                <w:lang w:val="en-US" w:eastAsia="zh-CN"/>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近六个月（连续）的社保证明（需有相关人员的社保缴纳明细，退休人员需提供退休证明）</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eastAsia="宋体" w:cs="宋体"/>
                <w:i w:val="0"/>
                <w:iCs w:val="0"/>
                <w:color w:val="auto"/>
                <w:sz w:val="24"/>
                <w:highlight w:val="none"/>
                <w:lang w:val="en-US" w:eastAsia="zh-CN"/>
              </w:rPr>
              <w:t>完税证明</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近三年的财务审计报告（</w:t>
            </w:r>
            <w:r>
              <w:rPr>
                <w:rFonts w:hint="eastAsia" w:ascii="宋体" w:hAnsi="宋体" w:cs="宋体"/>
                <w:b w:val="0"/>
                <w:bCs/>
                <w:i w:val="0"/>
                <w:iCs w:val="0"/>
                <w:color w:val="auto"/>
                <w:sz w:val="24"/>
                <w:lang w:val="en-US" w:eastAsia="zh-CN"/>
              </w:rPr>
              <w:t>企业成立不足三年的提供成立至今的财务审计报告，成立不足一年的提供成立至今的财务报表，包含资产负债表、现金流量表、利润表</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rPr>
              <w:t>；</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四</w:t>
            </w:r>
            <w:r>
              <w:rPr>
                <w:rFonts w:hint="eastAsia" w:ascii="宋体" w:hAnsi="宋体" w:eastAsia="宋体" w:cs="宋体"/>
                <w:i w:val="0"/>
                <w:iCs w:val="0"/>
                <w:color w:val="auto"/>
                <w:sz w:val="24"/>
                <w:highlight w:val="none"/>
              </w:rPr>
              <w:t>）供应商未被列入</w:t>
            </w:r>
            <w:r>
              <w:rPr>
                <w:rFonts w:hint="eastAsia" w:ascii="宋体" w:hAnsi="宋体" w:eastAsia="宋体" w:cs="宋体"/>
                <w:i w:val="0"/>
                <w:iCs w:val="0"/>
                <w:color w:val="auto"/>
                <w:sz w:val="24"/>
                <w:highlight w:val="none"/>
                <w:lang w:val="en-US" w:eastAsia="ar-SA"/>
              </w:rPr>
              <w:t>“信用中国”网站信用信息报告、国家企业信用信息公示系统报告</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ar-SA"/>
              </w:rPr>
              <w:t>中国政府采购</w:t>
            </w:r>
            <w:r>
              <w:rPr>
                <w:rFonts w:hint="eastAsia" w:ascii="宋体" w:hAnsi="宋体" w:eastAsia="宋体" w:cs="宋体"/>
                <w:i w:val="0"/>
                <w:iCs w:val="0"/>
                <w:color w:val="auto"/>
                <w:sz w:val="24"/>
                <w:highlight w:val="none"/>
                <w:lang w:val="en-US" w:eastAsia="zh-CN"/>
              </w:rPr>
              <w:t>网未</w:t>
            </w:r>
            <w:r>
              <w:rPr>
                <w:rFonts w:hint="eastAsia" w:ascii="宋体" w:hAnsi="宋体" w:eastAsia="宋体" w:cs="宋体"/>
                <w:i w:val="0"/>
                <w:iCs w:val="0"/>
                <w:color w:val="auto"/>
                <w:sz w:val="24"/>
                <w:highlight w:val="none"/>
              </w:rPr>
              <w:t>被列入严重违法失信行为记录名单（尚在处罚期内的）；（在“信用中国”网站和“中国政府采购网”网站查询结果为准，如相关失信记录已失效，供应商需提供相关证明资料）</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五</w:t>
            </w:r>
            <w:r>
              <w:rPr>
                <w:rFonts w:hint="eastAsia" w:ascii="宋体" w:hAnsi="宋体" w:eastAsia="宋体" w:cs="宋体"/>
                <w:i w:val="0"/>
                <w:iCs w:val="0"/>
                <w:color w:val="auto"/>
                <w:sz w:val="24"/>
                <w:highlight w:val="none"/>
              </w:rPr>
              <w:t>）本项目不接受联合体投标。</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六</w:t>
            </w:r>
            <w:r>
              <w:rPr>
                <w:rFonts w:hint="eastAsia" w:ascii="宋体" w:hAnsi="宋体" w:eastAsia="宋体" w:cs="宋体"/>
                <w:i w:val="0"/>
                <w:iCs w:val="0"/>
                <w:color w:val="auto"/>
                <w:sz w:val="24"/>
                <w:highlight w:val="none"/>
              </w:rPr>
              <w:t>）符合竞争性磋商文件中其他实质性要求。</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财务要求：财务状况良好。</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信誉要求：良好，无不良行为记录。</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i w:val="0"/>
                <w:iCs w:val="0"/>
                <w:color w:val="auto"/>
                <w:sz w:val="24"/>
                <w:szCs w:val="24"/>
                <w:lang w:eastAsia="zh-CN"/>
              </w:rPr>
              <w:t>响应文件</w:t>
            </w:r>
            <w:r>
              <w:rPr>
                <w:rFonts w:hint="eastAsia"/>
                <w:i w:val="0"/>
                <w:iCs w:val="0"/>
                <w:color w:val="auto"/>
                <w:sz w:val="24"/>
                <w:szCs w:val="24"/>
              </w:rPr>
              <w:t>的要求</w:t>
            </w:r>
          </w:p>
        </w:tc>
        <w:tc>
          <w:tcPr>
            <w:tcW w:w="7124" w:type="dxa"/>
            <w:noWrap w:val="0"/>
            <w:vAlign w:val="center"/>
          </w:tcPr>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1、本项目实行电子招投标，供应商须登录政府采购云平台申请获取采购文件，并需要使用CA锁，在新疆政府采购网--下载专区下载--供应商客户端制作</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，并生成JMBS格式加密文件，在投标截止前上传至政府采购云平台。若供应商参与投标,自行承担与投标有关的一切费用。</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i w:val="0"/>
                <w:iCs w:val="0"/>
                <w:color w:val="auto"/>
                <w:sz w:val="24"/>
                <w:szCs w:val="24"/>
                <w:lang w:val="en-US" w:eastAsia="zh-CN"/>
              </w:rPr>
              <w:t>6、</w:t>
            </w:r>
            <w:r>
              <w:rPr>
                <w:rFonts w:hint="eastAsia" w:ascii="Times New Roman" w:hAnsi="Times New Roman" w:eastAsia="宋体" w:cs="Times New Roman"/>
                <w:b/>
                <w:bCs/>
                <w:i w:val="0"/>
                <w:iCs w:val="0"/>
                <w:color w:val="auto"/>
                <w:sz w:val="24"/>
                <w:szCs w:val="24"/>
                <w:lang w:val="en-US" w:eastAsia="zh-CN"/>
              </w:rPr>
              <w:t>评标结束后，各投标单位须在一周内按竞争性磋商文件要求将纸质版</w:t>
            </w:r>
            <w:r>
              <w:rPr>
                <w:rFonts w:hint="eastAsia" w:eastAsia="宋体" w:cs="Times New Roman"/>
                <w:b/>
                <w:bCs/>
                <w:i w:val="0"/>
                <w:iCs w:val="0"/>
                <w:color w:val="auto"/>
                <w:sz w:val="24"/>
                <w:szCs w:val="24"/>
                <w:lang w:val="en-US" w:eastAsia="zh-CN"/>
              </w:rPr>
              <w:t>响应文件</w:t>
            </w:r>
            <w:r>
              <w:rPr>
                <w:rFonts w:hint="eastAsia" w:ascii="Times New Roman" w:hAnsi="Times New Roman" w:eastAsia="宋体" w:cs="Times New Roman"/>
                <w:b/>
                <w:bCs/>
                <w:i w:val="0"/>
                <w:iCs w:val="0"/>
                <w:color w:val="auto"/>
                <w:sz w:val="24"/>
                <w:szCs w:val="24"/>
                <w:lang w:val="en-US" w:eastAsia="zh-CN"/>
              </w:rPr>
              <w:t>递交至招标代理处（所产生的的费用投标单位自理）</w:t>
            </w:r>
            <w:r>
              <w:rPr>
                <w:rFonts w:hint="eastAsia" w:ascii="Times New Roman" w:hAnsi="Times New Roman" w:eastAsia="宋体" w:cs="Times New Roman"/>
                <w:i w:val="0"/>
                <w:iCs w:val="0"/>
                <w:color w:val="auto"/>
                <w:sz w:val="24"/>
                <w:szCs w:val="24"/>
                <w:lang w:val="en-US" w:eastAsia="zh-CN"/>
              </w:rPr>
              <w:t>。纸质版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可通过加密电子版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打印生成，应当与电子版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一致。【1、份数要求：</w:t>
            </w:r>
            <w:r>
              <w:rPr>
                <w:rFonts w:hint="eastAsia" w:ascii="Times New Roman" w:hAnsi="Times New Roman" w:eastAsia="宋体" w:cs="Times New Roman"/>
                <w:b/>
                <w:bCs/>
                <w:i w:val="0"/>
                <w:iCs w:val="0"/>
                <w:color w:val="auto"/>
                <w:sz w:val="24"/>
                <w:szCs w:val="24"/>
                <w:lang w:val="en-US" w:eastAsia="zh-CN"/>
              </w:rPr>
              <w:t>正本壹份、副本叁份，电子标壹份（U盘）</w:t>
            </w:r>
            <w:r>
              <w:rPr>
                <w:rFonts w:hint="eastAsia" w:ascii="Times New Roman" w:hAnsi="Times New Roman" w:eastAsia="宋体" w:cs="Times New Roman"/>
                <w:i w:val="0"/>
                <w:iCs w:val="0"/>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lang w:val="en-US" w:eastAsia="zh-CN"/>
              </w:rPr>
              <w:t>政府采购云平台（</w:t>
            </w:r>
            <w:r>
              <w:rPr>
                <w:rFonts w:hint="eastAsia" w:ascii="Times New Roman" w:hAnsi="Times New Roman" w:eastAsia="宋体" w:cs="Times New Roman"/>
                <w:i w:val="0"/>
                <w:iCs w:val="0"/>
                <w:color w:val="auto"/>
                <w:sz w:val="24"/>
                <w:szCs w:val="24"/>
                <w:lang w:val="en-US" w:eastAsia="zh-CN"/>
              </w:rPr>
              <w:t>政采云网上不见面开评标系统</w:t>
            </w:r>
            <w:r>
              <w:rPr>
                <w:rFonts w:hint="eastAsia" w:ascii="宋体" w:hAnsi="宋体" w:cs="宋体"/>
                <w:i w:val="0"/>
                <w:iCs w:val="0"/>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b/>
                <w:bCs/>
                <w:i w:val="0"/>
                <w:iCs w:val="0"/>
                <w:color w:val="auto"/>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eastAsia="宋体" w:cs="宋体"/>
                <w:b/>
                <w:bCs/>
                <w:i w:val="0"/>
                <w:iCs w:val="0"/>
                <w:color w:val="auto"/>
                <w:sz w:val="24"/>
                <w:highlight w:val="none"/>
                <w:lang w:eastAsia="zh-CN"/>
              </w:rPr>
              <w:t>202</w:t>
            </w:r>
            <w:r>
              <w:rPr>
                <w:rFonts w:hint="eastAsia" w:ascii="宋体" w:hAnsi="宋体" w:eastAsia="宋体" w:cs="宋体"/>
                <w:b/>
                <w:bCs/>
                <w:i w:val="0"/>
                <w:iCs w:val="0"/>
                <w:color w:val="auto"/>
                <w:sz w:val="24"/>
                <w:highlight w:val="none"/>
                <w:lang w:val="en-US" w:eastAsia="zh-CN"/>
              </w:rPr>
              <w:t>3</w:t>
            </w:r>
            <w:r>
              <w:rPr>
                <w:rFonts w:hint="eastAsia" w:ascii="宋体" w:hAnsi="宋体" w:eastAsia="宋体" w:cs="宋体"/>
                <w:b/>
                <w:bCs/>
                <w:i w:val="0"/>
                <w:iCs w:val="0"/>
                <w:color w:val="auto"/>
                <w:sz w:val="24"/>
                <w:highlight w:val="none"/>
                <w:lang w:eastAsia="zh-CN"/>
              </w:rPr>
              <w:t>年</w:t>
            </w:r>
            <w:r>
              <w:rPr>
                <w:rFonts w:hint="eastAsia" w:ascii="宋体" w:hAnsi="宋体" w:eastAsia="宋体" w:cs="宋体"/>
                <w:b/>
                <w:bCs/>
                <w:i w:val="0"/>
                <w:iCs w:val="0"/>
                <w:color w:val="auto"/>
                <w:sz w:val="24"/>
                <w:highlight w:val="none"/>
                <w:lang w:val="en-US" w:eastAsia="zh-CN"/>
              </w:rPr>
              <w:t>02</w:t>
            </w:r>
            <w:r>
              <w:rPr>
                <w:rFonts w:hint="eastAsia" w:ascii="宋体" w:hAnsi="宋体" w:eastAsia="宋体" w:cs="宋体"/>
                <w:b/>
                <w:bCs/>
                <w:i w:val="0"/>
                <w:iCs w:val="0"/>
                <w:color w:val="auto"/>
                <w:sz w:val="24"/>
                <w:highlight w:val="none"/>
                <w:lang w:eastAsia="zh-CN"/>
              </w:rPr>
              <w:t>月</w:t>
            </w:r>
            <w:r>
              <w:rPr>
                <w:rFonts w:hint="eastAsia" w:ascii="宋体" w:hAnsi="宋体" w:cs="宋体"/>
                <w:b/>
                <w:bCs/>
                <w:i w:val="0"/>
                <w:iCs w:val="0"/>
                <w:color w:val="auto"/>
                <w:sz w:val="24"/>
                <w:highlight w:val="none"/>
                <w:lang w:val="en-US" w:eastAsia="zh-CN"/>
              </w:rPr>
              <w:t>17</w:t>
            </w:r>
            <w:r>
              <w:rPr>
                <w:rFonts w:hint="eastAsia" w:ascii="宋体" w:hAnsi="宋体" w:eastAsia="宋体" w:cs="宋体"/>
                <w:b/>
                <w:bCs/>
                <w:i w:val="0"/>
                <w:iCs w:val="0"/>
                <w:color w:val="auto"/>
                <w:sz w:val="24"/>
                <w:highlight w:val="none"/>
                <w:lang w:eastAsia="zh-CN"/>
              </w:rPr>
              <w:t>日</w:t>
            </w:r>
            <w:r>
              <w:rPr>
                <w:rFonts w:hint="eastAsia" w:ascii="宋体" w:hAnsi="宋体" w:eastAsia="宋体" w:cs="宋体"/>
                <w:b/>
                <w:bCs/>
                <w:i w:val="0"/>
                <w:iCs w:val="0"/>
                <w:color w:val="auto"/>
                <w:sz w:val="24"/>
                <w:highlight w:val="none"/>
                <w:lang w:val="en-US" w:eastAsia="zh-CN"/>
              </w:rPr>
              <w:t>11:00（北京时间）</w:t>
            </w:r>
          </w:p>
          <w:p>
            <w:pPr>
              <w:rPr>
                <w:rFonts w:hint="eastAsia" w:ascii="Times New Roman" w:hAnsi="Times New Roman" w:eastAsia="宋体" w:cs="Times New Roman"/>
                <w:i w:val="0"/>
                <w:iCs w:val="0"/>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b/>
                <w:bCs/>
                <w:i w:val="0"/>
                <w:iCs w:val="0"/>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i w:val="0"/>
                <w:iCs w:val="0"/>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26</w:t>
            </w:r>
          </w:p>
        </w:tc>
        <w:tc>
          <w:tcPr>
            <w:tcW w:w="2082" w:type="dxa"/>
            <w:vMerge w:val="restart"/>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ind w:firstLine="241" w:firstLineChars="1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（一）中小企业（含中型、小型、微型企业）应当同时符合以下条件：</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①符合中小企业划分标准（按《关于印发中小企业划型标准规定的通知》（工信部联企业〔2011〕300号）执行）；</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②提供本企业制造的货物、承担的项目或者服务，或者提供其他中小企业制造的货物。本项所称货物不包括使用大型企业注册商标的货物；</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③小型、微型企业提供中型企业制造的货物的，视同为中型企业。</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（三）小型和微型企业适用价格扣除办法时应提供的相关资料：《中小企业声明函》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noWrap w:val="0"/>
            <w:vAlign w:val="center"/>
          </w:tcPr>
          <w:p>
            <w:pPr>
              <w:jc w:val="center"/>
              <w:rPr>
                <w:rFonts w:hint="eastAsia" w:ascii="宋体" w:hAnsi="宋体" w:eastAsia="宋体" w:cs="宋体"/>
                <w:i w:val="0"/>
                <w:iCs w:val="0"/>
                <w:color w:val="auto"/>
                <w:sz w:val="24"/>
                <w:highlight w:val="none"/>
                <w:lang w:val="en-US" w:eastAsia="zh-CN"/>
              </w:rPr>
            </w:pPr>
          </w:p>
        </w:tc>
        <w:tc>
          <w:tcPr>
            <w:tcW w:w="2082" w:type="dxa"/>
            <w:vMerge w:val="continue"/>
            <w:noWrap w:val="0"/>
            <w:vAlign w:val="center"/>
          </w:tcPr>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政府采购支持中小企业融资：有融资需求的，可查询相关业务。</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27</w:t>
            </w:r>
          </w:p>
        </w:tc>
        <w:tc>
          <w:tcPr>
            <w:tcW w:w="2082"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28</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29</w:t>
            </w:r>
          </w:p>
        </w:tc>
        <w:tc>
          <w:tcPr>
            <w:tcW w:w="2082" w:type="dxa"/>
            <w:noWrap w:val="0"/>
            <w:vAlign w:val="center"/>
          </w:tcPr>
          <w:p>
            <w:pPr>
              <w:spacing w:line="360" w:lineRule="auto"/>
              <w:rPr>
                <w:rFonts w:hint="eastAsia" w:ascii="宋体" w:hAnsi="宋体" w:cs="宋体"/>
                <w:i w:val="0"/>
                <w:iCs w:val="0"/>
                <w:color w:val="auto"/>
                <w:sz w:val="24"/>
                <w:u w:val="none"/>
              </w:rPr>
            </w:pPr>
            <w:r>
              <w:rPr>
                <w:rFonts w:hint="eastAsia" w:ascii="宋体" w:hAnsi="宋体" w:cs="宋体"/>
                <w:i w:val="0"/>
                <w:iCs w:val="0"/>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30</w:t>
            </w:r>
          </w:p>
        </w:tc>
        <w:tc>
          <w:tcPr>
            <w:tcW w:w="2082"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澄清或质疑函递交地点：新疆阿克苏地区阿克苏市兰干街道英阿瓦提社区朝阳街7号银基王朝4号楼1701号</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15003027111</w:t>
            </w:r>
          </w:p>
        </w:tc>
      </w:tr>
    </w:tbl>
    <w:p>
      <w:pPr>
        <w:pStyle w:val="4"/>
        <w:keepNext w:val="0"/>
        <w:keepLines w:val="0"/>
        <w:adjustRightInd w:val="0"/>
        <w:snapToGrid w:val="0"/>
        <w:spacing w:before="120" w:after="120" w:line="360" w:lineRule="auto"/>
        <w:jc w:val="center"/>
        <w:outlineLvl w:val="1"/>
        <w:rPr>
          <w:rFonts w:hint="eastAsia" w:ascii="宋体" w:hAnsi="宋体" w:eastAsia="宋体" w:cs="宋体"/>
          <w:bCs w:val="0"/>
          <w:i w:val="0"/>
          <w:iCs w:val="0"/>
          <w:color w:val="auto"/>
          <w:sz w:val="28"/>
          <w:szCs w:val="28"/>
          <w:highlight w:val="none"/>
        </w:rPr>
      </w:pPr>
      <w:r>
        <w:rPr>
          <w:rFonts w:hint="eastAsia" w:ascii="宋体" w:hAnsi="宋体" w:eastAsia="宋体" w:cs="宋体"/>
          <w:bCs w:val="0"/>
          <w:i w:val="0"/>
          <w:iCs w:val="0"/>
          <w:color w:val="auto"/>
          <w:sz w:val="28"/>
          <w:szCs w:val="28"/>
          <w:highlight w:val="none"/>
        </w:rPr>
        <w:br w:type="page"/>
      </w:r>
      <w:r>
        <w:rPr>
          <w:rFonts w:hint="eastAsia" w:ascii="宋体" w:hAnsi="宋体" w:eastAsia="宋体" w:cs="宋体"/>
          <w:bCs w:val="0"/>
          <w:i w:val="0"/>
          <w:iCs w:val="0"/>
          <w:color w:val="auto"/>
          <w:sz w:val="28"/>
          <w:szCs w:val="28"/>
          <w:highlight w:val="none"/>
        </w:rPr>
        <w:t>投标人须知正文部分</w:t>
      </w:r>
      <w:bookmarkEnd w:id="16"/>
      <w:bookmarkEnd w:id="17"/>
      <w:bookmarkEnd w:id="18"/>
    </w:p>
    <w:bookmarkEnd w:id="19"/>
    <w:bookmarkEnd w:id="20"/>
    <w:bookmarkEnd w:id="21"/>
    <w:bookmarkEnd w:id="22"/>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一、总则</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 合格的投标人</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1.2 有效的营业执照；</w:t>
      </w:r>
    </w:p>
    <w:p>
      <w:pPr>
        <w:pStyle w:val="28"/>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28"/>
        <w:spacing w:line="360" w:lineRule="auto"/>
        <w:ind w:firstLine="567"/>
        <w:jc w:val="both"/>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1.4  投标人参加政府采购活动近三年内无违法违规记录和法律诉讼纠纷，需提供书面声明。</w:t>
      </w:r>
    </w:p>
    <w:p>
      <w:pPr>
        <w:pStyle w:val="28"/>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1.5  为保证政府采购活动公平、公正、诚实信用，投标人提供的材料及技术参数应真实有效，</w:t>
      </w:r>
      <w:r>
        <w:rPr>
          <w:rFonts w:hint="eastAsia" w:ascii="宋体" w:hAnsi="宋体" w:cs="宋体"/>
          <w:bCs/>
          <w:i w:val="0"/>
          <w:iCs w:val="0"/>
          <w:color w:val="auto"/>
          <w:szCs w:val="24"/>
          <w:highlight w:val="none"/>
          <w:lang w:eastAsia="zh-CN"/>
        </w:rPr>
        <w:t>响应文件</w:t>
      </w:r>
      <w:r>
        <w:rPr>
          <w:rFonts w:hint="eastAsia" w:ascii="宋体" w:hAnsi="宋体" w:cs="宋体"/>
          <w:bCs/>
          <w:i w:val="0"/>
          <w:iCs w:val="0"/>
          <w:color w:val="auto"/>
          <w:szCs w:val="24"/>
          <w:highlight w:val="none"/>
        </w:rPr>
        <w:t>内提供书面诚信投标承诺书。</w:t>
      </w:r>
    </w:p>
    <w:p>
      <w:pPr>
        <w:pStyle w:val="28"/>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eastAsia="宋体" w:cs="宋体"/>
          <w:b w:val="0"/>
          <w:bCs/>
          <w:i w:val="0"/>
          <w:iCs w:val="0"/>
          <w:color w:val="auto"/>
          <w:sz w:val="24"/>
          <w:szCs w:val="24"/>
          <w:highlight w:val="none"/>
          <w:lang w:val="en-US" w:eastAsia="zh-CN"/>
        </w:rPr>
        <w:t>1.6  未保证本次招标活动公平竞争，杜绝任何形式的商业贿赂行为，响应文件内必须提供反商业贿赂承诺书</w:t>
      </w:r>
    </w:p>
    <w:p>
      <w:pPr>
        <w:pStyle w:val="28"/>
        <w:spacing w:line="360" w:lineRule="auto"/>
        <w:ind w:left="563" w:leftChars="267" w:firstLine="2" w:firstLineChars="1"/>
        <w:jc w:val="both"/>
        <w:rPr>
          <w:rFonts w:hint="eastAsia" w:ascii="宋体" w:hAnsi="宋体" w:cs="宋体"/>
          <w:bCs/>
          <w:i w:val="0"/>
          <w:iCs w:val="0"/>
          <w:color w:val="auto"/>
          <w:szCs w:val="24"/>
        </w:rPr>
      </w:pPr>
      <w:r>
        <w:rPr>
          <w:rFonts w:hint="eastAsia" w:ascii="宋体" w:hAnsi="宋体" w:cs="宋体"/>
          <w:bCs/>
          <w:i w:val="0"/>
          <w:iCs w:val="0"/>
          <w:color w:val="auto"/>
          <w:szCs w:val="24"/>
        </w:rPr>
        <w:t>1.</w:t>
      </w:r>
      <w:r>
        <w:rPr>
          <w:rFonts w:hint="eastAsia" w:ascii="宋体" w:hAnsi="宋体" w:cs="宋体"/>
          <w:bCs/>
          <w:i w:val="0"/>
          <w:iCs w:val="0"/>
          <w:color w:val="auto"/>
          <w:szCs w:val="24"/>
          <w:lang w:val="en-US" w:eastAsia="zh-CN"/>
        </w:rPr>
        <w:t>7</w:t>
      </w:r>
      <w:r>
        <w:rPr>
          <w:rFonts w:hint="eastAsia" w:ascii="宋体" w:hAnsi="宋体" w:cs="宋体"/>
          <w:bCs/>
          <w:i w:val="0"/>
          <w:iCs w:val="0"/>
          <w:color w:val="auto"/>
          <w:szCs w:val="24"/>
        </w:rPr>
        <w:t xml:space="preserve">  不符合以上条款规定的投标人，其投标无效。</w:t>
      </w:r>
    </w:p>
    <w:p>
      <w:pPr>
        <w:pStyle w:val="28"/>
        <w:keepLines w:val="0"/>
        <w:kinsoku/>
        <w:wordWrap/>
        <w:overflowPunct/>
        <w:bidi w:val="0"/>
        <w:spacing w:line="360" w:lineRule="auto"/>
        <w:ind w:left="563" w:leftChars="267" w:firstLine="2" w:firstLineChars="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定义</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2.1“采购代理机构”系指</w:t>
      </w:r>
      <w:r>
        <w:rPr>
          <w:rFonts w:hint="eastAsia" w:ascii="宋体" w:hAnsi="宋体" w:eastAsia="宋体" w:cs="宋体"/>
          <w:i w:val="0"/>
          <w:iCs w:val="0"/>
          <w:color w:val="auto"/>
          <w:sz w:val="24"/>
          <w:highlight w:val="none"/>
          <w:lang w:eastAsia="zh-CN"/>
        </w:rPr>
        <w:t>新疆润悦项目管理有限公司</w:t>
      </w:r>
      <w:r>
        <w:rPr>
          <w:rFonts w:hint="eastAsia" w:ascii="宋体" w:hAnsi="宋体" w:eastAsia="宋体" w:cs="宋体"/>
          <w:i w:val="0"/>
          <w:iCs w:val="0"/>
          <w:color w:val="auto"/>
          <w:sz w:val="24"/>
          <w:szCs w:val="24"/>
          <w:highlight w:val="none"/>
          <w:lang w:eastAsia="zh-CN"/>
        </w:rPr>
        <w:t>。</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2.2“投标人”系指向采购代理机构提交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的货物</w:t>
      </w:r>
      <w:r>
        <w:rPr>
          <w:rFonts w:hint="eastAsia" w:ascii="宋体" w:hAnsi="宋体" w:eastAsia="宋体" w:cs="宋体"/>
          <w:i w:val="0"/>
          <w:iCs w:val="0"/>
          <w:color w:val="auto"/>
          <w:sz w:val="24"/>
          <w:szCs w:val="24"/>
          <w:highlight w:val="none"/>
          <w:lang w:eastAsia="zh-CN"/>
        </w:rPr>
        <w:t>制造商或代理商</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2.3“货物”系指卖方按合同要求，须向买方提供的设计文件、货物、机械、材料、备品、手册及其他技术资料和材料。详见《政府采购品目分类目录》(财库[2013]189号)。</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2.4“服务”系指按合同规定卖方须承担的运输、装卸、安装调试、技术协助、培训和交付使用后保修期内应履行的义务及售后服务等其他类似的义务。</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2.5“卖方”系指提供合同货物和服务的经济实体。本次招标指中标人。</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2.6“买方”系指购买货物和服务的单位，即为本次招标的采购人。</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2.7“节能产品”或者“环保产品”是指财政部发布</w:t>
      </w:r>
      <w:r>
        <w:rPr>
          <w:rFonts w:hint="eastAsia" w:ascii="宋体" w:hAnsi="宋体" w:eastAsia="宋体" w:cs="宋体"/>
          <w:i w:val="0"/>
          <w:iCs w:val="0"/>
          <w:color w:val="auto"/>
          <w:sz w:val="24"/>
          <w:szCs w:val="24"/>
          <w:highlight w:val="none"/>
          <w:lang w:eastAsia="zh-CN"/>
        </w:rPr>
        <w:t>最新一期</w:t>
      </w:r>
      <w:r>
        <w:rPr>
          <w:rFonts w:hint="eastAsia" w:ascii="宋体" w:hAnsi="宋体" w:eastAsia="宋体" w:cs="宋体"/>
          <w:i w:val="0"/>
          <w:iCs w:val="0"/>
          <w:color w:val="auto"/>
          <w:sz w:val="24"/>
          <w:szCs w:val="24"/>
          <w:highlight w:val="none"/>
        </w:rPr>
        <w:t>的《节能产品政府采购清单》或者《环境标志产品政府采购清单》的产品</w:t>
      </w:r>
      <w:r>
        <w:rPr>
          <w:rFonts w:hint="eastAsia" w:ascii="宋体" w:hAnsi="宋体" w:eastAsia="宋体" w:cs="宋体"/>
          <w:i w:val="0"/>
          <w:iCs w:val="0"/>
          <w:color w:val="auto"/>
          <w:sz w:val="24"/>
          <w:szCs w:val="24"/>
          <w:highlight w:val="none"/>
          <w:lang w:eastAsia="zh-CN"/>
        </w:rPr>
        <w:t>，可在中国政府采购网(www.ccgp.gov.cn)查询</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i w:val="0"/>
          <w:iCs w:val="0"/>
          <w:color w:val="auto"/>
          <w:sz w:val="24"/>
          <w:szCs w:val="24"/>
          <w:highlight w:val="none"/>
          <w:lang w:eastAsia="zh-CN"/>
        </w:rPr>
        <w:t>及《关于政府采购进口产品管理有关问题的通知》（财办库（2008）248号）</w:t>
      </w:r>
      <w:r>
        <w:rPr>
          <w:rFonts w:hint="eastAsia" w:ascii="宋体" w:hAnsi="宋体" w:eastAsia="宋体" w:cs="宋体"/>
          <w:i w:val="0"/>
          <w:iCs w:val="0"/>
          <w:color w:val="auto"/>
          <w:sz w:val="24"/>
          <w:szCs w:val="24"/>
          <w:highlight w:val="none"/>
        </w:rPr>
        <w:t>。</w:t>
      </w:r>
    </w:p>
    <w:p>
      <w:pPr>
        <w:pStyle w:val="28"/>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 “</w:t>
      </w:r>
      <w:r>
        <w:rPr>
          <w:rFonts w:hint="eastAsia" w:ascii="宋体" w:hAnsi="宋体" w:eastAsia="宋体" w:cs="宋体"/>
          <w:i w:val="0"/>
          <w:iCs w:val="0"/>
          <w:color w:val="auto"/>
          <w:sz w:val="24"/>
          <w:szCs w:val="24"/>
          <w:highlight w:val="none"/>
        </w:rPr>
        <w:t>语言文字</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招标</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使用的语言文字为中文。专用术语使用外文的，应附有中文注释。</w:t>
      </w:r>
    </w:p>
    <w:p>
      <w:pPr>
        <w:pStyle w:val="28"/>
        <w:spacing w:line="360" w:lineRule="auto"/>
        <w:ind w:firstLine="567"/>
        <w:rPr>
          <w:rFonts w:hint="eastAsia" w:ascii="宋体" w:hAnsi="宋体" w:cs="宋体"/>
          <w:i w:val="0"/>
          <w:iCs w:val="0"/>
          <w:color w:val="auto"/>
          <w:szCs w:val="24"/>
        </w:rPr>
      </w:pPr>
      <w:r>
        <w:rPr>
          <w:rFonts w:hint="eastAsia" w:ascii="宋体" w:hAnsi="宋体" w:cs="宋体"/>
          <w:i w:val="0"/>
          <w:iCs w:val="0"/>
          <w:color w:val="auto"/>
          <w:szCs w:val="24"/>
        </w:rPr>
        <w:t>2.</w:t>
      </w:r>
      <w:r>
        <w:rPr>
          <w:rFonts w:hint="eastAsia" w:ascii="宋体" w:hAnsi="宋体" w:cs="宋体"/>
          <w:i w:val="0"/>
          <w:iCs w:val="0"/>
          <w:color w:val="auto"/>
          <w:szCs w:val="24"/>
          <w:lang w:val="en-US" w:eastAsia="zh-CN"/>
        </w:rPr>
        <w:t>10</w:t>
      </w:r>
      <w:r>
        <w:rPr>
          <w:rFonts w:hint="eastAsia" w:ascii="宋体" w:hAnsi="宋体" w:cs="宋体"/>
          <w:i w:val="0"/>
          <w:iCs w:val="0"/>
          <w:color w:val="auto"/>
          <w:szCs w:val="24"/>
        </w:rPr>
        <w:t>“计量单位”所有计量均采用中华人民共和国法定计量单位。</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其他要求</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 投标费用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投标人应自行承担所有与本次招标投标有关的费用，而不论投标的结果如何。 </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 采购进口产品</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3.2.1 除</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前附表另有规定外，本项目拒绝进口产品参加招标采购活动。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本章第4.1款规定同意购买进口产品的，本项目采购活动不限制满足</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要求的国内产品参与招标。</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3.3 政府采购政策支持 </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同一项目中部分产品属于优先采购政策的，评审时只对该部分产品的报价实行价格优惠。</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 为推进政府采购诚信体系建设，供应商在签署相关承诺，提供相关信息前，应认真阅读财政部门相关政策规定。</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二、竞争性磋商文件</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eastAsia="zh-CN"/>
        </w:rPr>
        <w:t>竞争性磋商文件</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4.1 </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用以阐明所需服务、招标投标程序和合同条款。包括：</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eastAsia="zh-CN"/>
        </w:rPr>
        <w:t>公告</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rPr>
        <w:t xml:space="preserve">4.1.2 </w:t>
      </w:r>
      <w:r>
        <w:rPr>
          <w:rFonts w:hint="eastAsia" w:ascii="宋体" w:hAnsi="宋体" w:eastAsia="宋体" w:cs="宋体"/>
          <w:i w:val="0"/>
          <w:iCs w:val="0"/>
          <w:color w:val="auto"/>
          <w:sz w:val="24"/>
          <w:szCs w:val="24"/>
          <w:highlight w:val="none"/>
          <w:lang w:eastAsia="zh-CN"/>
        </w:rPr>
        <w:t>投标人须知</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4.1.3</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合同</w:t>
      </w:r>
      <w:r>
        <w:rPr>
          <w:rFonts w:hint="eastAsia" w:ascii="宋体" w:hAnsi="宋体" w:eastAsia="宋体" w:cs="宋体"/>
          <w:b w:val="0"/>
          <w:bCs w:val="0"/>
          <w:i w:val="0"/>
          <w:iCs w:val="0"/>
          <w:color w:val="auto"/>
          <w:sz w:val="24"/>
          <w:szCs w:val="24"/>
          <w:highlight w:val="none"/>
          <w:lang w:eastAsia="zh-CN"/>
        </w:rPr>
        <w:t>条款及格式</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4.1.4 </w:t>
      </w:r>
      <w:r>
        <w:rPr>
          <w:rFonts w:hint="eastAsia" w:ascii="宋体" w:hAnsi="宋体" w:eastAsia="宋体" w:cs="宋体"/>
          <w:b w:val="0"/>
          <w:bCs w:val="0"/>
          <w:i w:val="0"/>
          <w:iCs w:val="0"/>
          <w:color w:val="auto"/>
          <w:sz w:val="24"/>
          <w:szCs w:val="24"/>
          <w:highlight w:val="none"/>
          <w:lang w:eastAsia="zh-CN"/>
        </w:rPr>
        <w:t>采购需求</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4.1.5 响应文件格式</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4.1.6 其他资料</w:t>
      </w:r>
    </w:p>
    <w:p>
      <w:pPr>
        <w:pStyle w:val="28"/>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4.2 投标人应认真阅读</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中所有的事项、格式、条款和规范等要求。如果没有按照</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要求提交全部资料或者</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没有对</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做出实质性响应，其投标将被拒绝。</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5. </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的澄清和修改</w:t>
      </w:r>
    </w:p>
    <w:p>
      <w:pPr>
        <w:pStyle w:val="28"/>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5.1 招标人如需对已发出的</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进行必要澄清或者修改的，招标代理机构将在</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截止时间</w:t>
      </w:r>
      <w:r>
        <w:rPr>
          <w:rFonts w:hint="eastAsia" w:ascii="宋体" w:hAnsi="宋体" w:eastAsia="宋体" w:cs="宋体"/>
          <w:b w:val="0"/>
          <w:bCs w:val="0"/>
          <w:i w:val="0"/>
          <w:iCs w:val="0"/>
          <w:color w:val="auto"/>
          <w:sz w:val="24"/>
          <w:szCs w:val="24"/>
          <w:highlight w:val="none"/>
          <w:lang w:val="en-US" w:eastAsia="zh-CN"/>
        </w:rPr>
        <w:t>15</w:t>
      </w:r>
      <w:r>
        <w:rPr>
          <w:rFonts w:hint="eastAsia" w:ascii="宋体" w:hAnsi="宋体" w:eastAsia="宋体" w:cs="宋体"/>
          <w:b w:val="0"/>
          <w:bCs w:val="0"/>
          <w:i w:val="0"/>
          <w:iCs w:val="0"/>
          <w:color w:val="auto"/>
          <w:sz w:val="24"/>
          <w:szCs w:val="24"/>
          <w:highlight w:val="none"/>
        </w:rPr>
        <w:t>日前，以书面形式通知所有</w:t>
      </w:r>
      <w:r>
        <w:rPr>
          <w:rFonts w:hint="eastAsia" w:ascii="宋体" w:hAnsi="宋体" w:eastAsia="宋体" w:cs="宋体"/>
          <w:b w:val="0"/>
          <w:bCs w:val="0"/>
          <w:i w:val="0"/>
          <w:iCs w:val="0"/>
          <w:color w:val="auto"/>
          <w:sz w:val="24"/>
          <w:szCs w:val="24"/>
          <w:highlight w:val="none"/>
          <w:lang w:eastAsia="zh-CN"/>
        </w:rPr>
        <w:t>获取竞争性磋商文件的投标人</w:t>
      </w:r>
      <w:r>
        <w:rPr>
          <w:rFonts w:hint="eastAsia" w:ascii="宋体" w:hAnsi="宋体" w:eastAsia="宋体" w:cs="宋体"/>
          <w:b w:val="0"/>
          <w:bCs w:val="0"/>
          <w:i w:val="0"/>
          <w:iCs w:val="0"/>
          <w:color w:val="auto"/>
          <w:sz w:val="24"/>
          <w:szCs w:val="24"/>
          <w:highlight w:val="none"/>
        </w:rPr>
        <w:t>。该澄清或者修改的内容为</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的组成部分。</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延长开标时间</w:t>
      </w:r>
    </w:p>
    <w:p>
      <w:pPr>
        <w:pStyle w:val="28"/>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招标人视采购具体情况如需延长投标截止时间和开标时间，招标代理机构将在</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的截止时间</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日前，将变更时间书面通知所有</w:t>
      </w:r>
      <w:r>
        <w:rPr>
          <w:rFonts w:hint="eastAsia" w:ascii="宋体" w:hAnsi="宋体" w:eastAsia="宋体" w:cs="宋体"/>
          <w:i w:val="0"/>
          <w:iCs w:val="0"/>
          <w:color w:val="auto"/>
          <w:sz w:val="24"/>
          <w:szCs w:val="24"/>
          <w:highlight w:val="none"/>
          <w:lang w:eastAsia="zh-CN"/>
        </w:rPr>
        <w:t>获取竞争性磋商文件的投标人</w:t>
      </w:r>
      <w:r>
        <w:rPr>
          <w:rFonts w:hint="eastAsia" w:ascii="宋体" w:hAnsi="宋体" w:eastAsia="宋体" w:cs="宋体"/>
          <w:i w:val="0"/>
          <w:iCs w:val="0"/>
          <w:color w:val="auto"/>
          <w:sz w:val="24"/>
          <w:szCs w:val="24"/>
          <w:highlight w:val="none"/>
        </w:rPr>
        <w:t>。</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三、响应文件的编制</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7.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的编写</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7.1 投标人应仔细阅读</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的要求，并在充分理解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提出的货物技术规范、服务和商务条款后的基础上制作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 投标的语言及计量单位</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8.1 投标人的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以及投标人与采购代理机构就有关招标活动的所有来往函电均应使用中文。如果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或与投标有关的其它文件、信件及来往函电以其它语言书写的，投标人应将其译成中文。</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8.2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中所使用的计量单位除</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中有特殊规定外，一律使用法定计量单位。</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9.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构成</w:t>
      </w:r>
    </w:p>
    <w:p>
      <w:pPr>
        <w:pStyle w:val="28"/>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9.1  投标人编写的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应包含以下内容:</w:t>
      </w:r>
    </w:p>
    <w:p>
      <w:pPr>
        <w:pStyle w:val="28"/>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9.1.1 资格、资信证明文件(以下文件必须在有效期内)</w:t>
      </w:r>
    </w:p>
    <w:p>
      <w:pPr>
        <w:pStyle w:val="28"/>
        <w:spacing w:line="360" w:lineRule="auto"/>
        <w:ind w:firstLine="471" w:firstLineChars="196"/>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(1) 企业营业执照</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(2) 法定代表人身份证明</w:t>
      </w:r>
      <w:r>
        <w:rPr>
          <w:rFonts w:hint="eastAsia" w:ascii="宋体" w:hAnsi="宋体" w:cs="宋体"/>
          <w:i w:val="0"/>
          <w:iCs w:val="0"/>
          <w:color w:val="auto"/>
          <w:szCs w:val="24"/>
          <w:lang w:eastAsia="zh-CN"/>
        </w:rPr>
        <w:t>、</w:t>
      </w:r>
      <w:r>
        <w:rPr>
          <w:rFonts w:hint="eastAsia" w:ascii="宋体" w:hAnsi="宋体" w:cs="宋体"/>
          <w:i w:val="0"/>
          <w:iCs w:val="0"/>
          <w:color w:val="auto"/>
          <w:szCs w:val="24"/>
        </w:rPr>
        <w:t>授权委托人身份证明及授权委托书</w:t>
      </w:r>
      <w:r>
        <w:rPr>
          <w:rFonts w:hint="eastAsia" w:ascii="宋体" w:hAnsi="宋体" w:cs="宋体"/>
          <w:i w:val="0"/>
          <w:iCs w:val="0"/>
          <w:color w:val="auto"/>
          <w:szCs w:val="24"/>
          <w:lang w:eastAsia="zh-CN"/>
        </w:rPr>
        <w:t>；</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(3) 投标保证金缴纳凭证</w:t>
      </w:r>
      <w:r>
        <w:rPr>
          <w:rFonts w:hint="eastAsia" w:ascii="宋体" w:hAnsi="宋体" w:cs="宋体"/>
          <w:i w:val="0"/>
          <w:iCs w:val="0"/>
          <w:color w:val="auto"/>
          <w:szCs w:val="24"/>
          <w:lang w:eastAsia="zh-CN"/>
        </w:rPr>
        <w:t>（本项目不做要求）；</w:t>
      </w:r>
    </w:p>
    <w:p>
      <w:pPr>
        <w:pStyle w:val="28"/>
        <w:spacing w:line="360" w:lineRule="auto"/>
        <w:ind w:firstLine="482"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 xml:space="preserve">(4) </w:t>
      </w:r>
      <w:r>
        <w:rPr>
          <w:rFonts w:hint="eastAsia" w:ascii="宋体" w:hAnsi="宋体" w:cs="宋体"/>
          <w:i w:val="0"/>
          <w:iCs w:val="0"/>
          <w:color w:val="auto"/>
          <w:spacing w:val="-3"/>
          <w:szCs w:val="24"/>
        </w:rPr>
        <w:t>投标人认为有必要提供的声明及文件资料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highlight w:val="none"/>
        </w:rPr>
        <w:t>包括但不限于近六个月</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lang w:val="en-US" w:eastAsia="zh-CN"/>
        </w:rPr>
        <w:t>连续</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rPr>
        <w:t>的社保证明（需有相关人员的社保缴纳明细，退休人员需提供退休证明）和</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cs="宋体"/>
          <w:b w:val="0"/>
          <w:bCs/>
          <w:i w:val="0"/>
          <w:iCs w:val="0"/>
          <w:color w:val="auto"/>
          <w:spacing w:val="-3"/>
          <w:szCs w:val="24"/>
          <w:highlight w:val="none"/>
        </w:rPr>
        <w:t>完税证明、近三年的财务审计报告</w:t>
      </w:r>
      <w:r>
        <w:rPr>
          <w:rFonts w:hint="eastAsia" w:ascii="宋体" w:hAnsi="宋体" w:cs="宋体"/>
          <w:b w:val="0"/>
          <w:bCs/>
          <w:i w:val="0"/>
          <w:iCs w:val="0"/>
          <w:color w:val="auto"/>
          <w:spacing w:val="-3"/>
          <w:szCs w:val="24"/>
          <w:highlight w:val="none"/>
          <w:lang w:val="en-US" w:eastAsia="zh-CN"/>
        </w:rPr>
        <w:t>（企业成立不足三年的提供成立至今的财务审计报告，成立不足一年的提供成立至今的财务报表，包含资产负债表、现金流量表、利润表）</w:t>
      </w:r>
      <w:r>
        <w:rPr>
          <w:rFonts w:hint="eastAsia" w:ascii="宋体" w:hAnsi="宋体" w:cs="宋体"/>
          <w:b w:val="0"/>
          <w:bCs/>
          <w:i w:val="0"/>
          <w:iCs w:val="0"/>
          <w:color w:val="auto"/>
          <w:spacing w:val="-3"/>
          <w:szCs w:val="24"/>
          <w:highlight w:val="none"/>
          <w:lang w:eastAsia="zh-CN"/>
        </w:rPr>
        <w:t>等资料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lang w:eastAsia="zh-CN"/>
        </w:rPr>
        <w:t>。</w:t>
      </w:r>
    </w:p>
    <w:p>
      <w:pPr>
        <w:pStyle w:val="28"/>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9.1.2 商务文件</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（8）拟项目负责人及主要人员简历表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（9）近三年公司承接的类似项目一览表</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（10）正在进行的项目一览表。</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（11）企业信誉良好，无违法违规不良记录。</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（12）全过程</w:t>
      </w:r>
      <w:r>
        <w:rPr>
          <w:rFonts w:hint="eastAsia" w:ascii="宋体" w:hAnsi="宋体" w:cs="宋体"/>
          <w:i w:val="0"/>
          <w:iCs w:val="0"/>
          <w:color w:val="auto"/>
          <w:spacing w:val="-3"/>
          <w:kern w:val="0"/>
          <w:sz w:val="24"/>
          <w:szCs w:val="24"/>
          <w:lang w:val="en-US" w:eastAsia="zh-CN" w:bidi="ar-SA"/>
        </w:rPr>
        <w:t>管理</w:t>
      </w:r>
      <w:r>
        <w:rPr>
          <w:rFonts w:hint="eastAsia" w:ascii="宋体" w:hAnsi="宋体" w:eastAsia="宋体" w:cs="宋体"/>
          <w:i w:val="0"/>
          <w:iCs w:val="0"/>
          <w:color w:val="auto"/>
          <w:spacing w:val="-3"/>
          <w:kern w:val="0"/>
          <w:sz w:val="24"/>
          <w:szCs w:val="24"/>
          <w:lang w:val="en-US" w:eastAsia="zh-CN" w:bidi="ar-SA"/>
        </w:rPr>
        <w:t>实施方案</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（13）服务承诺</w:t>
      </w:r>
    </w:p>
    <w:p>
      <w:pPr>
        <w:pStyle w:val="28"/>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（14）质量管理与保证措施</w:t>
      </w:r>
    </w:p>
    <w:p>
      <w:pPr>
        <w:pStyle w:val="28"/>
        <w:spacing w:line="360" w:lineRule="auto"/>
        <w:ind w:firstLine="567"/>
        <w:jc w:val="both"/>
        <w:outlineLvl w:val="2"/>
        <w:rPr>
          <w:rFonts w:hint="default"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（15）技术服务</w:t>
      </w:r>
    </w:p>
    <w:p>
      <w:pPr>
        <w:pStyle w:val="28"/>
        <w:spacing w:line="360" w:lineRule="auto"/>
        <w:ind w:firstLine="567"/>
        <w:jc w:val="both"/>
        <w:outlineLvl w:val="2"/>
        <w:rPr>
          <w:rFonts w:hint="eastAsia" w:ascii="宋体" w:hAnsi="宋体" w:cs="宋体"/>
          <w:i w:val="0"/>
          <w:iCs w:val="0"/>
          <w:color w:val="auto"/>
          <w:sz w:val="28"/>
          <w:szCs w:val="28"/>
          <w:highlight w:val="none"/>
        </w:rPr>
      </w:pPr>
      <w:r>
        <w:rPr>
          <w:rFonts w:hint="eastAsia" w:ascii="宋体" w:hAnsi="宋体" w:cs="宋体"/>
          <w:i w:val="0"/>
          <w:iCs w:val="0"/>
          <w:color w:val="auto"/>
          <w:szCs w:val="24"/>
        </w:rPr>
        <w:t xml:space="preserve">9.1.3 </w:t>
      </w:r>
      <w:r>
        <w:rPr>
          <w:rFonts w:hint="eastAsia" w:ascii="宋体" w:hAnsi="宋体" w:cs="宋体"/>
          <w:i w:val="0"/>
          <w:iCs w:val="0"/>
          <w:color w:val="auto"/>
          <w:szCs w:val="24"/>
          <w:lang w:val="en-US" w:eastAsia="zh-CN"/>
        </w:rPr>
        <w:t>证明文件</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1、经会计事务所出具的近三年的财务审计报告（企业成立不足三年的提供成立至今的财务审计报告，成立不足一年的提供成立至今的财务报表，包含资产负债表、现金流量表、利润表）等资料）;</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2、投标人须提供依法缴纳税收或完税证明。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5"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4.中小企业声明函</w:t>
      </w:r>
    </w:p>
    <w:p>
      <w:pPr>
        <w:keepLines w:val="0"/>
        <w:pageBreakBefore w:val="0"/>
        <w:kinsoku/>
        <w:wordWrap/>
        <w:overflowPunct/>
        <w:topLinePunct w:val="0"/>
        <w:bidi w:val="0"/>
        <w:spacing w:line="500" w:lineRule="exact"/>
        <w:ind w:firstLine="705" w:firstLineChars="300"/>
        <w:textAlignment w:val="auto"/>
        <w:rPr>
          <w:rFonts w:hint="eastAsia" w:ascii="宋体" w:hAnsi="宋体" w:cs="宋体"/>
          <w:i w:val="0"/>
          <w:iCs w:val="0"/>
          <w:color w:val="auto"/>
          <w:sz w:val="28"/>
          <w:szCs w:val="28"/>
          <w:highlight w:val="none"/>
        </w:rPr>
      </w:pPr>
      <w:r>
        <w:rPr>
          <w:rFonts w:hint="eastAsia" w:ascii="宋体" w:hAnsi="宋体" w:eastAsia="宋体" w:cs="宋体"/>
          <w:i w:val="0"/>
          <w:iCs w:val="0"/>
          <w:color w:val="auto"/>
          <w:spacing w:val="-3"/>
          <w:kern w:val="0"/>
          <w:sz w:val="24"/>
          <w:szCs w:val="24"/>
          <w:lang w:val="en-US" w:eastAsia="zh-CN" w:bidi="ar-SA"/>
        </w:rPr>
        <w:t>5.供应商认为需要提供的其他文件和资料。</w:t>
      </w:r>
    </w:p>
    <w:p>
      <w:pPr>
        <w:pStyle w:val="28"/>
        <w:spacing w:line="360" w:lineRule="auto"/>
        <w:ind w:firstLine="482" w:firstLineChars="200"/>
        <w:jc w:val="both"/>
        <w:outlineLvl w:val="2"/>
        <w:rPr>
          <w:rFonts w:hint="eastAsia" w:ascii="宋体" w:hAnsi="宋体" w:cs="宋体"/>
          <w:i w:val="0"/>
          <w:iCs w:val="0"/>
          <w:color w:val="auto"/>
          <w:szCs w:val="24"/>
        </w:rPr>
      </w:pPr>
      <w:r>
        <w:rPr>
          <w:rFonts w:hint="eastAsia" w:ascii="宋体" w:hAnsi="宋体" w:cs="宋体"/>
          <w:i w:val="0"/>
          <w:iCs w:val="0"/>
          <w:color w:val="auto"/>
          <w:szCs w:val="24"/>
        </w:rPr>
        <w:t>9.1.4 电子标书</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28"/>
        <w:spacing w:line="360" w:lineRule="auto"/>
        <w:ind w:firstLine="482" w:firstLineChars="200"/>
        <w:jc w:val="both"/>
        <w:rPr>
          <w:rFonts w:hint="eastAsia" w:ascii="宋体" w:hAnsi="宋体" w:cs="宋体"/>
          <w:i w:val="0"/>
          <w:iCs w:val="0"/>
          <w:color w:val="auto"/>
          <w:szCs w:val="24"/>
        </w:rPr>
      </w:pPr>
      <w:r>
        <w:rPr>
          <w:rFonts w:hint="eastAsia" w:ascii="宋体" w:hAnsi="宋体" w:cs="宋体"/>
          <w:i w:val="0"/>
          <w:iCs w:val="0"/>
          <w:color w:val="auto"/>
          <w:szCs w:val="24"/>
        </w:rPr>
        <w:t>9.2 第9.1.1条中第(1)(2)(3)(4)项、第9.1.2条中第(1)(2)(3)(4)(5)(6)项、第9.1.3条中第(1)(2)(3)(4)项为必备项，投标人在</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中必须提供有关材料，如果缺项，将导致投标失败。</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是否对竞争性磋商文件做出实质性的响应。否则，将视为投标人同意、确认或接受竞争性磋商文件的全部或相应部分的要求。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响应文件从实际开标之日起60天内有效。</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四、响应文件的递交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五、开标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27"/>
        <w:jc w:val="center"/>
        <w:rPr>
          <w:rFonts w:hint="eastAsia"/>
          <w:b/>
          <w:bCs/>
          <w:i w:val="0"/>
          <w:iCs w:val="0"/>
          <w:color w:val="auto"/>
          <w:highlight w:val="none"/>
          <w:lang w:eastAsia="zh-CN"/>
        </w:rPr>
      </w:pPr>
      <w:r>
        <w:rPr>
          <w:rFonts w:hint="eastAsia"/>
          <w:b/>
          <w:bCs/>
          <w:i w:val="0"/>
          <w:iCs w:val="0"/>
          <w:color w:val="auto"/>
          <w:highlight w:val="none"/>
          <w:lang w:eastAsia="zh-CN"/>
        </w:rPr>
        <w:t>六、评标和定标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响应文件针对每一项服务出现了两个或两个以上的报价；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明显不符合竞争性磋商文件关于对招标服务技术规格和标准的要求；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 xml:space="preserve">  响应文件载明的磋商项目服务周期超过竞争性磋商文件规定的期限；</w:t>
      </w:r>
    </w:p>
    <w:p>
      <w:pPr>
        <w:pStyle w:val="2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 xml:space="preserve"> 响应文件载明的服务范围等不符合竞争性磋商文件的要求</w:t>
      </w:r>
      <w:r>
        <w:rPr>
          <w:rFonts w:hint="eastAsia" w:ascii="宋体" w:hAnsi="宋体" w:cs="宋体"/>
          <w:i w:val="0"/>
          <w:iCs w:val="0"/>
          <w:color w:val="auto"/>
          <w:kern w:val="2"/>
          <w:sz w:val="24"/>
          <w:szCs w:val="24"/>
          <w:highlight w:val="none"/>
          <w:lang w:val="en-US" w:eastAsia="zh-CN" w:bidi="ar-SA"/>
        </w:rPr>
        <w:t>；</w:t>
      </w:r>
    </w:p>
    <w:p>
      <w:pPr>
        <w:pStyle w:val="28"/>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23.6.11 响应文件含有采购人不能接受的附加条件；</w:t>
      </w:r>
    </w:p>
    <w:p>
      <w:pPr>
        <w:pStyle w:val="28"/>
        <w:spacing w:line="360" w:lineRule="auto"/>
        <w:ind w:firstLine="567"/>
        <w:jc w:val="both"/>
        <w:rPr>
          <w:rFonts w:hint="default"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23.6.12 不符合竞争性磋商文件规定的其他实质性要求。</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28"/>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28"/>
        <w:spacing w:line="360" w:lineRule="auto"/>
        <w:ind w:firstLine="567"/>
        <w:jc w:val="both"/>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20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80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bookmarkStart w:id="23" w:name="_Toc152045603"/>
      <w:bookmarkStart w:id="24" w:name="_Toc179632621"/>
      <w:bookmarkStart w:id="25" w:name="_Toc233102567"/>
      <w:bookmarkStart w:id="26" w:name="_Toc152042380"/>
      <w:bookmarkStart w:id="27" w:name="_Toc144974570"/>
    </w:p>
    <w:p>
      <w:p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资格审查后合格投标人不足3家的，不进行评标，采购人将宣布废标。</w:t>
      </w:r>
      <w:bookmarkStart w:id="28" w:name="_Toc492286393"/>
    </w:p>
    <w:p>
      <w:pPr>
        <w:numPr>
          <w:ilvl w:val="0"/>
          <w:numId w:val="3"/>
        </w:num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w:t>
      </w:r>
      <w:bookmarkEnd w:id="28"/>
      <w:bookmarkStart w:id="29" w:name="_Toc492286394"/>
    </w:p>
    <w:p>
      <w:pPr>
        <w:numPr>
          <w:ilvl w:val="0"/>
          <w:numId w:val="0"/>
        </w:numPr>
        <w:adjustRightInd w:val="0"/>
        <w:snapToGrid w:val="0"/>
        <w:spacing w:line="36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3.1评标组织</w:t>
      </w:r>
      <w:bookmarkEnd w:id="29"/>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（二）宣布评标纪律；</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（六）根据评标委员会的要求介绍政府采购相关政策法规、竞争性磋商文件；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（七）维护评标秩序，监督评标委员会依照竞争性磋商文件规定的评标程序、方法和标准进行独立评审，及时制止和纠正采购人代表、评审专家的倾向性言论或者违法违规行为；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（1）分值汇总计算错误的；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（2）分项评分超出评分标准范围的；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（4）经评标委员会认定评分畸高、畸低的。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（十）处理与评标有关的其他事项。</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（一）审查、评价响应文件是否符合竞争性磋商文件的商务、技术等实质性要求；</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（二）要求投标人对响应文件有关事项作出澄清或者说明；</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（三）对响应文件进行比较和评价；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无法及时补足评标委员会成员的，采购人或者采购代理机构应当停止评标活动，封存所有响应文件和开标、评标资料，依法重新组建评标委员会进行评标。原评标委员会所作出的评标意见无效。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（二）接受投标人提出的与响应文件不一致的澄清或者说明；</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（六）记录、复制或者带走任何评标资料；</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（七）其他不遵守评标纪律的行为。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3.1.5评标委员会应当按照竞争性磋商文件中规定的评标方法和标准，对符合性审查合格的响应文件进行商务和技术评估，综合比较与评价。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3.1.7采购人可以在评标前说明项目背景和采购需求，说明内容不得含有歧视性、倾向性意见，不得超出竞争性磋商文件所述范围。说明应当提交书面材料，并随采购文件一并存档。</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30" w:name="_Toc492286395"/>
      <w:r>
        <w:rPr>
          <w:rFonts w:hint="eastAsia" w:ascii="宋体" w:hAnsi="宋体" w:eastAsia="宋体" w:cs="宋体"/>
          <w:b w:val="0"/>
          <w:bCs w:val="0"/>
          <w:i w:val="0"/>
          <w:iCs w:val="0"/>
          <w:color w:val="auto"/>
          <w:kern w:val="2"/>
          <w:sz w:val="24"/>
          <w:szCs w:val="24"/>
          <w:highlight w:val="none"/>
          <w:lang w:val="en-US" w:eastAsia="zh-CN" w:bidi="ar-SA"/>
        </w:rPr>
        <w:t>3.2符合性审查</w:t>
      </w:r>
      <w:bookmarkEnd w:id="30"/>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3.2.1评标委员会对符合资格的投标人的响应文件进行符合性审查，以确定其是否满足竞争性磋商文件的实质性要求。实质上响应的投标应该是与竞争性磋商文件要求的实质性条款、条件和规格相符，没有重大偏离或保留的投标。所谓重大偏离或保留是指实质上影响合同的供货范围、质量和性能；或者实质上与竞争性磋商文件不一致，而且限制了合同中买方的权利或卖方的义务。纠正这些偏离或保留将会对其他实质上响应要求的投标人的竞争地位产生不公正的影响。评标委员会决定响应文件的响应性只根据响应文件本身的内容，而不寻求外部的证据。</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3.2.2如果响应文件实质上没有响应竞争性磋商文件要求，按无效投标处理。投标人不得通过修正或撤销不合要求的偏离或保留从而使其投标成为实质上响应的投标。</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（一）响应文件中开标一览表（报价表）内容与响应文件中相应内容不一致的，以开标一览表（报价表）为准；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3.2.4投标人应按照第五章《采购需求》中货物需求一览表的内容和数量进行报价。超过所需数量的报价，在评标时不予核减，但如果中标采购人可从合同中予以扣减。</w:t>
      </w:r>
    </w:p>
    <w:p>
      <w:pPr>
        <w:adjustRightInd w:val="0"/>
        <w:snapToGrid w:val="0"/>
        <w:spacing w:line="360" w:lineRule="auto"/>
        <w:ind w:firstLine="602" w:firstLineChars="25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3.2.6除竞争性磋商文件另有规定，投标人存在下列情况之一的，投标无效：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（1）竞争性磋商文件规定必须提交的响应文件未按竞争性磋商文件要求签字和盖章的；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（2）响应文件未按竞争性磋商文件要求编制填写，或内容不全、字迹模糊、难以辨认的、或采用活页夹方式或未装订的响应文件；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未按竞争性磋商文件规定递交投标保证金的、投标保证金金额不足的、投标保证金形式不符合竞争性磋商文件规定的、使用支票、本票或汇票形式未提供中国人民银行颁发的《基本银行帐户开户证明》复印件的、出具担保函的担保机构不是竞争性磋商文件指定的专业担保机构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（4）投标人不符合资格条件或未按竞争性磋商文件规定提供资格证明文件的；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（5）投标货物不符合竞争性磋商文件规定条件或未提供证明文件的；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（6）未能实质性响应竞争性磋商文件商务和技术要求的；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（7）投标有效期不足的；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（8）投标报价货币不是人民币的;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（9）投标报价超过竞争性磋商文件中规定的预算金额或者最高限价的；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（10）拆包投标或缺项漏项的；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（16）响应文件含有采购人不能接受的附加条件的；</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（17）违反国家法律、法规和竞争性磋商文件规定的其他无效情形。</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（1）不同投标人的响应文件由同一单位或者个人编制；</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（3）不同投标人的响应文件载明的项目管理成员或者联系人员为同一人；</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（4）不同投标人的响应文件异常一致或者投标报价呈规律性差异；</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（5）不同投标人的响应文件相互混装；</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（6）不同投标人的投标保证金从同一单位或者个人的账户转出。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3.2.8评标委员会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23"/>
    <w:bookmarkEnd w:id="24"/>
    <w:bookmarkEnd w:id="25"/>
    <w:bookmarkEnd w:id="26"/>
    <w:bookmarkEnd w:id="27"/>
    <w:p>
      <w:pPr>
        <w:pStyle w:val="27"/>
        <w:spacing w:line="360" w:lineRule="auto"/>
        <w:ind w:firstLine="420"/>
        <w:outlineLvl w:val="0"/>
        <w:rPr>
          <w:rFonts w:hint="eastAsia" w:ascii="宋体" w:hAnsi="宋体" w:eastAsia="宋体" w:cs="宋体"/>
          <w:b w:val="0"/>
          <w:bCs w:val="0"/>
          <w:i w:val="0"/>
          <w:iCs w:val="0"/>
          <w:color w:val="auto"/>
          <w:kern w:val="2"/>
          <w:sz w:val="24"/>
          <w:szCs w:val="24"/>
          <w:highlight w:val="none"/>
          <w:lang w:val="en-US" w:eastAsia="zh-CN" w:bidi="ar-SA"/>
        </w:rPr>
      </w:pPr>
      <w:bookmarkStart w:id="31" w:name="_Toc492286396"/>
      <w:r>
        <w:rPr>
          <w:rFonts w:hint="eastAsia" w:ascii="宋体" w:hAnsi="宋体" w:eastAsia="宋体" w:cs="宋体"/>
          <w:b w:val="0"/>
          <w:bCs w:val="0"/>
          <w:i w:val="0"/>
          <w:iCs w:val="0"/>
          <w:color w:val="auto"/>
          <w:kern w:val="2"/>
          <w:sz w:val="24"/>
          <w:szCs w:val="24"/>
          <w:highlight w:val="none"/>
          <w:lang w:val="en-US" w:eastAsia="zh-CN" w:bidi="ar-SA"/>
        </w:rPr>
        <w:t>3.3小型、微型企业价格扣除</w:t>
      </w:r>
      <w:bookmarkEnd w:id="31"/>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3.3.1评标委员会根据投标人提供的《中小企业声明函》、《残疾人福利性单位声明函》以及省级以上监狱管理局、戒毒管理局（含新疆生产建设兵团）出具的属于监狱企业的证明文件，认定其是否属于小型和微型企业。</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3.3.2投标人为小型、微型企业且所投产品为小型、微型企业生产的，评标价格给予《评审因素和评审标准一览表》规定的百分比扣除，用扣除后的价格参与评审。</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3.3.3联合体投标时联合体协议约定小型和微型企业的协议合同金额占到30%以上的，可给予2%的价格扣除。联合体各方都是小型和微型企业的，可给予《评审因素和评审标准一览表》规定的百分比扣除。</w:t>
      </w:r>
    </w:p>
    <w:p>
      <w:pPr>
        <w:pStyle w:val="4"/>
        <w:spacing w:line="500" w:lineRule="exact"/>
        <w:ind w:firstLine="482" w:firstLineChars="20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小微企业价格扣除评审：对于非专门面向中小企业的项目，对小型</w:t>
      </w:r>
    </w:p>
    <w:p>
      <w:pPr>
        <w:pStyle w:val="4"/>
        <w:numPr>
          <w:ilvl w:val="1"/>
          <w:numId w:val="0"/>
        </w:numPr>
        <w:spacing w:line="500" w:lineRule="exact"/>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和微型企业产品价格给予6%的扣除，用扣除后的价格参与价格分的评审。需同时满足以下三个条件的给予价格扣除：</w:t>
      </w:r>
    </w:p>
    <w:p>
      <w:pPr>
        <w:numPr>
          <w:ilvl w:val="0"/>
          <w:numId w:val="4"/>
        </w:numPr>
        <w:spacing w:line="48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《中小型企业声明函》</w:t>
      </w:r>
    </w:p>
    <w:p>
      <w:pPr>
        <w:pStyle w:val="2"/>
        <w:numPr>
          <w:ilvl w:val="0"/>
          <w:numId w:val="0"/>
        </w:numPr>
        <w:spacing w:line="480" w:lineRule="auto"/>
        <w:rPr>
          <w:rFonts w:hint="default"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2.提供投标人工商行政登记所在管理部门出具的小微企业证明文件；</w:t>
      </w:r>
    </w:p>
    <w:p>
      <w:pPr>
        <w:numPr>
          <w:ilvl w:val="0"/>
          <w:numId w:val="0"/>
        </w:numPr>
        <w:spacing w:line="480" w:lineRule="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3.提供所代理的产品生产厂家的属地主管部门出具的小微企业或监狱企业证明文件；</w:t>
      </w:r>
    </w:p>
    <w:p>
      <w:pPr>
        <w:pStyle w:val="27"/>
        <w:spacing w:line="360" w:lineRule="auto"/>
        <w:ind w:firstLine="420"/>
        <w:outlineLvl w:val="0"/>
        <w:rPr>
          <w:rFonts w:hint="eastAsia" w:ascii="宋体" w:hAnsi="宋体" w:eastAsia="宋体" w:cs="宋体"/>
          <w:b w:val="0"/>
          <w:bCs w:val="0"/>
          <w:i w:val="0"/>
          <w:iCs w:val="0"/>
          <w:color w:val="auto"/>
          <w:kern w:val="2"/>
          <w:sz w:val="24"/>
          <w:szCs w:val="24"/>
          <w:highlight w:val="none"/>
          <w:lang w:val="en-US" w:eastAsia="zh-CN" w:bidi="ar-SA"/>
        </w:rPr>
      </w:pPr>
      <w:bookmarkStart w:id="32" w:name="_Toc492286397"/>
      <w:r>
        <w:rPr>
          <w:rFonts w:hint="eastAsia" w:ascii="宋体" w:hAnsi="宋体" w:eastAsia="宋体" w:cs="宋体"/>
          <w:b w:val="0"/>
          <w:bCs w:val="0"/>
          <w:i w:val="0"/>
          <w:iCs w:val="0"/>
          <w:color w:val="auto"/>
          <w:kern w:val="2"/>
          <w:sz w:val="24"/>
          <w:szCs w:val="24"/>
          <w:highlight w:val="none"/>
          <w:lang w:val="en-US" w:eastAsia="zh-CN" w:bidi="ar-SA"/>
        </w:rPr>
        <w:t>3.4综合评分</w:t>
      </w:r>
      <w:bookmarkEnd w:id="32"/>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3.4.1本项目综合评分的各评审因素权重为：</w:t>
      </w:r>
      <w:r>
        <w:rPr>
          <w:rFonts w:hint="eastAsia" w:ascii="宋体" w:hAnsi="宋体" w:eastAsia="宋体" w:cs="宋体"/>
          <w:i w:val="0"/>
          <w:iCs w:val="0"/>
          <w:color w:val="auto"/>
          <w:sz w:val="24"/>
          <w:szCs w:val="24"/>
          <w:highlight w:val="none"/>
          <w:lang w:eastAsia="zh-CN"/>
        </w:rPr>
        <w:t>经济报价权重占</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技术</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z w:val="24"/>
          <w:szCs w:val="24"/>
          <w:highlight w:val="none"/>
        </w:rPr>
        <w:t>权重占</w:t>
      </w:r>
      <w:r>
        <w:rPr>
          <w:rFonts w:hint="eastAsia" w:ascii="宋体" w:hAnsi="宋体" w:eastAsia="宋体" w:cs="宋体"/>
          <w:i w:val="0"/>
          <w:iCs w:val="0"/>
          <w:color w:val="auto"/>
          <w:sz w:val="24"/>
          <w:szCs w:val="24"/>
          <w:highlight w:val="none"/>
          <w:lang w:val="en-US" w:eastAsia="zh-CN"/>
        </w:rPr>
        <w:t>90%</w:t>
      </w: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lang w:eastAsia="zh-CN"/>
        </w:rPr>
        <w:t>两</w:t>
      </w:r>
      <w:r>
        <w:rPr>
          <w:rFonts w:hint="eastAsia" w:ascii="宋体" w:hAnsi="宋体" w:eastAsia="宋体" w:cs="宋体"/>
          <w:i w:val="0"/>
          <w:iCs w:val="0"/>
          <w:color w:val="auto"/>
          <w:sz w:val="24"/>
          <w:szCs w:val="24"/>
          <w:highlight w:val="none"/>
        </w:rPr>
        <w:t>部分的分值相加，即为该投标人的</w:t>
      </w:r>
      <w:r>
        <w:rPr>
          <w:rFonts w:hint="eastAsia" w:ascii="宋体" w:hAnsi="宋体" w:eastAsia="宋体" w:cs="宋体"/>
          <w:i w:val="0"/>
          <w:iCs w:val="0"/>
          <w:color w:val="auto"/>
          <w:sz w:val="24"/>
          <w:szCs w:val="24"/>
          <w:highlight w:val="none"/>
          <w:lang w:eastAsia="zh-CN"/>
        </w:rPr>
        <w:t>评标总得分。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3.4.2评标基准价和价格得分计算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其他价格分按照以下公式计算：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投标价格得分=（评标基准价/扣除后的投标价格）×价格权值×100。</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评标过程中，不得去掉报价中的最高报价和最低报价。</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3.4.3商务和技术评分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评标委员会成员按照下表规定的量化因素和分值标准对响应文件进行打分，并计算出每个投标人的总分。打分保留一位小数。</w:t>
      </w:r>
      <w:bookmarkStart w:id="33" w:name="_Toc492286398"/>
    </w:p>
    <w:p>
      <w:pPr>
        <w:pStyle w:val="7"/>
        <w:rPr>
          <w:rFonts w:hint="eastAsia" w:ascii="宋体" w:hAnsi="宋体" w:eastAsia="宋体" w:cs="宋体"/>
          <w:b w:val="0"/>
          <w:bCs w:val="0"/>
          <w:i w:val="0"/>
          <w:iCs w:val="0"/>
          <w:color w:val="auto"/>
          <w:kern w:val="2"/>
          <w:sz w:val="24"/>
          <w:szCs w:val="24"/>
          <w:highlight w:val="none"/>
          <w:lang w:val="en-US" w:eastAsia="zh-CN" w:bidi="ar-SA"/>
        </w:rPr>
      </w:pPr>
    </w:p>
    <w:p>
      <w:pPr>
        <w:spacing w:after="156" w:afterLines="50" w:line="360" w:lineRule="auto"/>
        <w:ind w:firstLine="562" w:firstLineChars="200"/>
        <w:outlineLvl w:val="2"/>
        <w:rPr>
          <w:rFonts w:hint="eastAsia" w:ascii="宋体" w:hAnsi="宋体" w:eastAsia="宋体" w:cs="宋体"/>
          <w:sz w:val="28"/>
          <w:szCs w:val="28"/>
        </w:rPr>
      </w:pPr>
      <w:bookmarkStart w:id="34" w:name="_Toc519082493"/>
      <w:bookmarkStart w:id="35" w:name="_Toc29830"/>
      <w:r>
        <w:rPr>
          <w:rFonts w:hint="eastAsia" w:ascii="宋体" w:hAnsi="宋体" w:eastAsia="宋体" w:cs="宋体"/>
          <w:sz w:val="28"/>
          <w:szCs w:val="28"/>
        </w:rPr>
        <w:t>1.相关要求</w:t>
      </w:r>
      <w:bookmarkEnd w:id="34"/>
      <w:bookmarkEnd w:id="35"/>
    </w:p>
    <w:p>
      <w:pPr>
        <w:spacing w:line="400" w:lineRule="exact"/>
        <w:ind w:firstLine="482" w:firstLineChars="200"/>
        <w:rPr>
          <w:rFonts w:hint="eastAsia" w:ascii="宋体" w:hAnsi="宋体" w:eastAsia="宋体" w:cs="宋体"/>
          <w:sz w:val="24"/>
          <w:szCs w:val="24"/>
        </w:rPr>
      </w:pPr>
      <w:bookmarkStart w:id="36" w:name="_Toc494455918"/>
      <w:r>
        <w:rPr>
          <w:rFonts w:hint="eastAsia" w:ascii="宋体" w:hAnsi="宋体" w:eastAsia="宋体" w:cs="宋体"/>
          <w:sz w:val="24"/>
          <w:szCs w:val="24"/>
        </w:rPr>
        <w:t>1.1技术汇总得分的计算方法：</w:t>
      </w:r>
      <w:r>
        <w:rPr>
          <w:rFonts w:hint="eastAsia" w:ascii="宋体" w:hAnsi="宋体" w:eastAsia="宋体" w:cs="宋体"/>
          <w:sz w:val="24"/>
          <w:szCs w:val="24"/>
          <w:lang w:eastAsia="zh-CN"/>
        </w:rPr>
        <w:t>磋商小组</w:t>
      </w:r>
      <w:r>
        <w:rPr>
          <w:rFonts w:hint="eastAsia" w:ascii="宋体" w:hAnsi="宋体" w:eastAsia="宋体" w:cs="宋体"/>
          <w:sz w:val="24"/>
          <w:szCs w:val="24"/>
        </w:rPr>
        <w:t>成员技术评分的算术平均值。</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1.2“同类项目”是指供应商已经完成的与本次采购要求相同或者类同的货物，并且签订合同一方必须是参与磋商报价的供应商，以相同或者类同部分的合同金额为准。</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1.3执行国家统一定价标准和采用固定价格采购的项目，其价格不列为评审因素。</w:t>
      </w:r>
    </w:p>
    <w:p>
      <w:pPr>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评分得分非整数的保留小数点后两位（小数点后第三位数四舍五入）。</w:t>
      </w:r>
    </w:p>
    <w:p>
      <w:pPr>
        <w:rPr>
          <w:rFonts w:hint="eastAsia"/>
        </w:rPr>
      </w:pPr>
      <w:bookmarkStart w:id="37" w:name="_Toc519082494"/>
      <w:bookmarkStart w:id="38" w:name="_Toc30464"/>
    </w:p>
    <w:p>
      <w:pPr>
        <w:spacing w:after="156" w:afterLines="50" w:line="240" w:lineRule="auto"/>
        <w:ind w:firstLine="562" w:firstLineChars="200"/>
        <w:outlineLvl w:val="2"/>
        <w:rPr>
          <w:rFonts w:hint="eastAsia" w:ascii="宋体" w:hAnsi="宋体" w:eastAsia="宋体" w:cs="宋体"/>
          <w:sz w:val="28"/>
          <w:szCs w:val="28"/>
        </w:rPr>
      </w:pPr>
      <w:r>
        <w:rPr>
          <w:rFonts w:hint="eastAsia" w:ascii="宋体" w:hAnsi="宋体" w:eastAsia="宋体" w:cs="宋体"/>
          <w:sz w:val="28"/>
          <w:szCs w:val="28"/>
        </w:rPr>
        <w:t>2.评分标准</w:t>
      </w:r>
      <w:bookmarkEnd w:id="36"/>
      <w:bookmarkEnd w:id="37"/>
      <w:bookmarkEnd w:id="38"/>
    </w:p>
    <w:p>
      <w:pPr>
        <w:spacing w:afterLines="50" w:line="24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2.1评分因素以及分值</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2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24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分值比重</w:t>
            </w:r>
          </w:p>
        </w:tc>
        <w:tc>
          <w:tcPr>
            <w:tcW w:w="2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4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23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bookmarkStart w:id="39" w:name="_Toc381951225"/>
      <w:bookmarkStart w:id="40" w:name="_Toc391306856"/>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2.2初步评审表</w:t>
      </w:r>
      <w:bookmarkEnd w:id="39"/>
      <w:bookmarkEnd w:id="40"/>
    </w:p>
    <w:tbl>
      <w:tblPr>
        <w:tblStyle w:val="1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eastAsia="zh-CN"/>
              </w:rPr>
              <w:t>初步评审</w:t>
            </w:r>
          </w:p>
        </w:tc>
        <w:tc>
          <w:tcPr>
            <w:tcW w:w="8674" w:type="dxa"/>
            <w:gridSpan w:val="2"/>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1</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投标人不满足本</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2</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eastAsia="宋体" w:cs="宋体"/>
                <w:i w:val="0"/>
                <w:iCs w:val="0"/>
                <w:color w:val="auto"/>
                <w:kern w:val="2"/>
                <w:sz w:val="24"/>
                <w:szCs w:val="24"/>
                <w:highlight w:val="none"/>
                <w:lang w:val="en-US" w:eastAsia="zh-CN" w:bidi="ar-SA"/>
              </w:rPr>
              <w:t>响应文件组成不完整，主要内容未能按竞争性磋商文件规定的内容、格式填写</w:t>
            </w:r>
            <w:r>
              <w:rPr>
                <w:rFonts w:hint="eastAsia" w:ascii="宋体" w:hAnsi="宋体" w:cs="宋体"/>
                <w:b w:val="0"/>
                <w:bCs w:val="0"/>
                <w:i w:val="0"/>
                <w:i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3</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的有效期不满足</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4</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响应文件没有按照规定签章的</w:t>
            </w:r>
            <w:r>
              <w:rPr>
                <w:rFonts w:hint="eastAsia" w:ascii="宋体" w:hAnsi="宋体" w:cs="宋体"/>
                <w:b w:val="0"/>
                <w:bCs w:val="0"/>
                <w:i w:val="0"/>
                <w:i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5</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6</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针对每一</w:t>
            </w:r>
            <w:r>
              <w:rPr>
                <w:rFonts w:hint="eastAsia" w:ascii="宋体" w:hAnsi="宋体" w:cs="宋体"/>
                <w:b w:val="0"/>
                <w:bCs w:val="0"/>
                <w:i w:val="0"/>
                <w:iCs w:val="0"/>
                <w:color w:val="auto"/>
                <w:sz w:val="24"/>
                <w:highlight w:val="none"/>
                <w:lang w:val="en-US" w:eastAsia="zh-CN"/>
              </w:rPr>
              <w:t>项服务</w:t>
            </w:r>
            <w:r>
              <w:rPr>
                <w:rFonts w:hint="eastAsia" w:ascii="宋体" w:hAnsi="宋体" w:cs="宋体"/>
                <w:b w:val="0"/>
                <w:bCs w:val="0"/>
                <w:i w:val="0"/>
                <w:i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7</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8</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rPr>
              <w:t>明显不符合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文件关于对</w:t>
            </w:r>
            <w:r>
              <w:rPr>
                <w:rFonts w:hint="eastAsia" w:ascii="宋体" w:hAnsi="宋体" w:cs="宋体"/>
                <w:b w:val="0"/>
                <w:bCs w:val="0"/>
                <w:i w:val="0"/>
                <w:iCs w:val="0"/>
                <w:color w:val="auto"/>
                <w:sz w:val="24"/>
                <w:highlight w:val="none"/>
                <w:lang w:eastAsia="zh-CN"/>
              </w:rPr>
              <w:t>磋商</w:t>
            </w:r>
            <w:r>
              <w:rPr>
                <w:rFonts w:hint="eastAsia" w:ascii="宋体" w:hAnsi="宋体" w:cs="宋体"/>
                <w:b w:val="0"/>
                <w:bCs w:val="0"/>
                <w:i w:val="0"/>
                <w:iCs w:val="0"/>
                <w:color w:val="auto"/>
                <w:sz w:val="24"/>
                <w:highlight w:val="none"/>
                <w:lang w:val="en-US" w:eastAsia="zh-CN"/>
              </w:rPr>
              <w:t>服务</w:t>
            </w:r>
            <w:r>
              <w:rPr>
                <w:rFonts w:hint="eastAsia" w:ascii="宋体" w:hAnsi="宋体" w:cs="宋体"/>
                <w:b w:val="0"/>
                <w:bCs w:val="0"/>
                <w:i w:val="0"/>
                <w:i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9</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载明的</w:t>
            </w:r>
            <w:r>
              <w:rPr>
                <w:rFonts w:hint="eastAsia" w:ascii="宋体" w:hAnsi="宋体" w:cs="宋体"/>
                <w:b w:val="0"/>
                <w:bCs w:val="0"/>
                <w:i w:val="0"/>
                <w:iCs w:val="0"/>
                <w:color w:val="auto"/>
                <w:sz w:val="24"/>
                <w:highlight w:val="none"/>
                <w:lang w:eastAsia="zh-CN"/>
              </w:rPr>
              <w:t>磋商</w:t>
            </w:r>
            <w:r>
              <w:rPr>
                <w:rFonts w:hint="eastAsia" w:ascii="宋体" w:hAnsi="宋体" w:cs="宋体"/>
                <w:b w:val="0"/>
                <w:bCs w:val="0"/>
                <w:i w:val="0"/>
                <w:iCs w:val="0"/>
                <w:color w:val="auto"/>
                <w:sz w:val="24"/>
                <w:highlight w:val="none"/>
              </w:rPr>
              <w:t>项目</w:t>
            </w:r>
            <w:r>
              <w:rPr>
                <w:rFonts w:hint="eastAsia" w:ascii="宋体" w:hAnsi="宋体" w:cs="宋体"/>
                <w:b w:val="0"/>
                <w:bCs w:val="0"/>
                <w:i w:val="0"/>
                <w:iCs w:val="0"/>
                <w:color w:val="auto"/>
                <w:sz w:val="24"/>
                <w:highlight w:val="none"/>
                <w:lang w:val="en-US" w:eastAsia="zh-CN"/>
              </w:rPr>
              <w:t>服务周期</w:t>
            </w:r>
            <w:r>
              <w:rPr>
                <w:rFonts w:hint="eastAsia" w:ascii="宋体" w:hAnsi="宋体" w:cs="宋体"/>
                <w:b w:val="0"/>
                <w:bCs w:val="0"/>
                <w:i w:val="0"/>
                <w:iCs w:val="0"/>
                <w:color w:val="auto"/>
                <w:sz w:val="24"/>
                <w:highlight w:val="none"/>
              </w:rPr>
              <w:t>超过</w:t>
            </w:r>
            <w:r>
              <w:rPr>
                <w:rFonts w:hint="eastAsia" w:ascii="宋体" w:hAnsi="宋体" w:cs="宋体"/>
                <w:b w:val="0"/>
                <w:bCs w:val="0"/>
                <w:i w:val="0"/>
                <w:iCs w:val="0"/>
                <w:color w:val="auto"/>
                <w:sz w:val="24"/>
                <w:highlight w:val="none"/>
                <w:lang w:eastAsia="zh-CN"/>
              </w:rPr>
              <w:t>竞争性磋商文件</w:t>
            </w:r>
            <w:r>
              <w:rPr>
                <w:rFonts w:hint="eastAsia" w:ascii="宋体" w:hAnsi="宋体" w:cs="宋体"/>
                <w:b w:val="0"/>
                <w:bCs w:val="0"/>
                <w:i w:val="0"/>
                <w:i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10</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w:t>
            </w:r>
            <w:r>
              <w:rPr>
                <w:rFonts w:hint="eastAsia" w:ascii="宋体" w:hAnsi="宋体" w:cs="宋体"/>
                <w:b w:val="0"/>
                <w:bCs w:val="0"/>
                <w:i w:val="0"/>
                <w:iCs w:val="0"/>
                <w:color w:val="auto"/>
                <w:sz w:val="24"/>
                <w:highlight w:val="none"/>
              </w:rPr>
              <w:t>载明的</w:t>
            </w:r>
            <w:r>
              <w:rPr>
                <w:rFonts w:hint="eastAsia" w:ascii="宋体" w:hAnsi="宋体" w:cs="宋体"/>
                <w:b w:val="0"/>
                <w:bCs w:val="0"/>
                <w:i w:val="0"/>
                <w:iCs w:val="0"/>
                <w:color w:val="auto"/>
                <w:sz w:val="24"/>
                <w:highlight w:val="none"/>
                <w:lang w:val="en-US" w:eastAsia="zh-CN"/>
              </w:rPr>
              <w:t>服务</w:t>
            </w:r>
            <w:r>
              <w:rPr>
                <w:rFonts w:hint="eastAsia" w:ascii="宋体" w:hAnsi="宋体" w:cs="宋体"/>
                <w:b w:val="0"/>
                <w:bCs w:val="0"/>
                <w:i w:val="0"/>
                <w:iCs w:val="0"/>
                <w:color w:val="auto"/>
                <w:sz w:val="24"/>
                <w:highlight w:val="none"/>
              </w:rPr>
              <w:t>范围等不符合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rPr>
              <w:t>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11</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响应文件含</w:t>
            </w:r>
            <w:r>
              <w:rPr>
                <w:rFonts w:hint="eastAsia" w:ascii="宋体" w:hAnsi="宋体" w:cs="宋体"/>
                <w:b w:val="0"/>
                <w:bCs w:val="0"/>
                <w:i w:val="0"/>
                <w:iCs w:val="0"/>
                <w:color w:val="auto"/>
                <w:sz w:val="24"/>
                <w:highlight w:val="none"/>
              </w:rPr>
              <w:t>有采购人不能接受的</w:t>
            </w:r>
            <w:r>
              <w:rPr>
                <w:rFonts w:hint="eastAsia" w:ascii="宋体" w:hAnsi="宋体" w:cs="宋体"/>
                <w:b w:val="0"/>
                <w:bCs w:val="0"/>
                <w:i w:val="0"/>
                <w:iCs w:val="0"/>
                <w:color w:val="auto"/>
                <w:sz w:val="24"/>
                <w:highlight w:val="none"/>
                <w:lang w:eastAsia="zh-CN"/>
              </w:rPr>
              <w:t>附加</w:t>
            </w:r>
            <w:r>
              <w:rPr>
                <w:rFonts w:hint="eastAsia" w:ascii="宋体" w:hAnsi="宋体" w:cs="宋体"/>
                <w:b w:val="0"/>
                <w:bCs w:val="0"/>
                <w:i w:val="0"/>
                <w:i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i w:val="0"/>
                <w:iCs w:val="0"/>
                <w:color w:val="auto"/>
                <w:sz w:val="24"/>
                <w:lang w:eastAsia="zh-CN"/>
              </w:rPr>
            </w:pPr>
          </w:p>
        </w:tc>
        <w:tc>
          <w:tcPr>
            <w:tcW w:w="510" w:type="dxa"/>
            <w:noWrap w:val="0"/>
            <w:vAlign w:val="center"/>
          </w:tcPr>
          <w:p>
            <w:pPr>
              <w:spacing w:line="360" w:lineRule="auto"/>
              <w:jc w:val="center"/>
              <w:rPr>
                <w:rFonts w:hint="default" w:ascii="宋体" w:hAnsi="宋体" w:eastAsia="宋体" w:cs="宋体"/>
                <w:i w:val="0"/>
                <w:iCs w:val="0"/>
                <w:color w:val="auto"/>
                <w:sz w:val="24"/>
                <w:lang w:val="en-US" w:eastAsia="zh-CN"/>
              </w:rPr>
            </w:pPr>
            <w:r>
              <w:rPr>
                <w:rFonts w:hint="eastAsia" w:ascii="宋体" w:hAnsi="宋体" w:cs="宋体"/>
                <w:b w:val="0"/>
                <w:bCs w:val="0"/>
                <w:i w:val="0"/>
                <w:iCs w:val="0"/>
                <w:color w:val="auto"/>
                <w:sz w:val="24"/>
                <w:highlight w:val="none"/>
                <w:lang w:val="en-US" w:eastAsia="zh-CN"/>
              </w:rPr>
              <w:t>12</w:t>
            </w:r>
          </w:p>
        </w:tc>
        <w:tc>
          <w:tcPr>
            <w:tcW w:w="8164" w:type="dxa"/>
            <w:noWrap w:val="0"/>
            <w:vAlign w:val="center"/>
          </w:tcPr>
          <w:p>
            <w:pPr>
              <w:spacing w:line="360" w:lineRule="auto"/>
              <w:rPr>
                <w:rFonts w:hint="eastAsia" w:ascii="宋体" w:hAnsi="宋体" w:eastAsia="宋体" w:cs="宋体"/>
                <w:i w:val="0"/>
                <w:iCs w:val="0"/>
                <w:color w:val="auto"/>
                <w:sz w:val="24"/>
                <w:lang w:eastAsia="zh-CN"/>
              </w:rPr>
            </w:pPr>
            <w:r>
              <w:rPr>
                <w:rFonts w:hint="eastAsia" w:ascii="宋体" w:hAnsi="宋体" w:cs="宋体"/>
                <w:b w:val="0"/>
                <w:bCs w:val="0"/>
                <w:i w:val="0"/>
                <w:iCs w:val="0"/>
                <w:color w:val="auto"/>
                <w:sz w:val="24"/>
                <w:highlight w:val="none"/>
                <w:lang w:eastAsia="zh-CN"/>
              </w:rPr>
              <w:t>不符合</w:t>
            </w:r>
            <w:r>
              <w:rPr>
                <w:rFonts w:hint="eastAsia" w:ascii="宋体" w:hAnsi="宋体" w:cs="宋体"/>
                <w:b w:val="0"/>
                <w:bCs w:val="0"/>
                <w:i w:val="0"/>
                <w:iCs w:val="0"/>
                <w:color w:val="auto"/>
                <w:sz w:val="24"/>
                <w:highlight w:val="none"/>
                <w:lang w:val="en-US" w:eastAsia="zh-CN"/>
              </w:rPr>
              <w:t>竞争性磋商</w:t>
            </w:r>
            <w:r>
              <w:rPr>
                <w:rFonts w:hint="eastAsia" w:ascii="宋体" w:hAnsi="宋体" w:cs="宋体"/>
                <w:b w:val="0"/>
                <w:bCs w:val="0"/>
                <w:i w:val="0"/>
                <w:iCs w:val="0"/>
                <w:color w:val="auto"/>
                <w:sz w:val="24"/>
                <w:highlight w:val="none"/>
                <w:lang w:eastAsia="zh-CN"/>
              </w:rPr>
              <w:t>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宋体" w:hAnsi="宋体" w:cs="宋体"/>
                <w:b/>
                <w:bCs/>
                <w:i w:val="0"/>
                <w:iCs w:val="0"/>
                <w:color w:val="auto"/>
                <w:sz w:val="24"/>
              </w:rPr>
            </w:pPr>
            <w:r>
              <w:rPr>
                <w:rFonts w:hint="eastAsia" w:ascii="宋体" w:hAnsi="宋体" w:cs="宋体"/>
                <w:b/>
                <w:bCs/>
                <w:i w:val="0"/>
                <w:iCs w:val="0"/>
                <w:color w:val="auto"/>
                <w:sz w:val="24"/>
              </w:rPr>
              <w:t>初步评审合格后方可进入详细评审阶段</w:t>
            </w:r>
          </w:p>
        </w:tc>
      </w:tr>
    </w:tbl>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2.3商务部分</w:t>
      </w:r>
    </w:p>
    <w:tbl>
      <w:tblPr>
        <w:tblStyle w:val="13"/>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5948"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sz w:val="21"/>
                <w:szCs w:val="21"/>
              </w:rPr>
            </w:pPr>
            <w:r>
              <w:rPr>
                <w:rFonts w:hint="eastAsia" w:ascii="宋体" w:hAnsi="宋体" w:eastAsia="宋体" w:cs="宋体"/>
                <w:sz w:val="21"/>
                <w:szCs w:val="21"/>
              </w:rPr>
              <w:t>2.3.1</w:t>
            </w:r>
          </w:p>
        </w:tc>
        <w:tc>
          <w:tcPr>
            <w:tcW w:w="1900" w:type="dxa"/>
            <w:tcBorders>
              <w:top w:val="single" w:color="auto" w:sz="4" w:space="0"/>
              <w:left w:val="nil"/>
              <w:bottom w:val="single" w:color="auto" w:sz="4" w:space="0"/>
              <w:right w:val="single" w:color="auto" w:sz="4" w:space="0"/>
            </w:tcBorders>
            <w:noWrap w:val="0"/>
            <w:vAlign w:val="center"/>
          </w:tcPr>
          <w:p>
            <w:pPr>
              <w:spacing w:beforeLines="30" w:line="312" w:lineRule="auto"/>
              <w:rPr>
                <w:rFonts w:hint="eastAsia" w:ascii="宋体" w:hAnsi="宋体" w:eastAsia="宋体" w:cs="宋体"/>
                <w:sz w:val="21"/>
                <w:szCs w:val="21"/>
              </w:rPr>
            </w:pPr>
            <w:r>
              <w:rPr>
                <w:rFonts w:hint="eastAsia" w:ascii="宋体" w:hAnsi="宋体" w:eastAsia="宋体" w:cs="宋体"/>
                <w:sz w:val="21"/>
                <w:szCs w:val="21"/>
              </w:rPr>
              <w:t>报价得分（</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5948" w:type="dxa"/>
            <w:tcBorders>
              <w:top w:val="single" w:color="auto" w:sz="4" w:space="0"/>
              <w:left w:val="nil"/>
              <w:bottom w:val="single" w:color="auto" w:sz="4" w:space="0"/>
              <w:right w:val="single" w:color="auto" w:sz="4" w:space="0"/>
            </w:tcBorders>
            <w:noWrap w:val="0"/>
            <w:vAlign w:val="center"/>
          </w:tcPr>
          <w:p>
            <w:pPr>
              <w:spacing w:beforeLines="30" w:line="312" w:lineRule="auto"/>
              <w:rPr>
                <w:rFonts w:hint="eastAsia" w:ascii="宋体" w:hAnsi="宋体" w:eastAsia="宋体" w:cs="宋体"/>
                <w:sz w:val="21"/>
                <w:szCs w:val="21"/>
                <w:lang w:val="en-US" w:eastAsia="zh-CN"/>
              </w:rPr>
            </w:pPr>
            <w:r>
              <w:rPr>
                <w:rFonts w:hint="eastAsia" w:ascii="宋体" w:hAnsi="宋体" w:eastAsia="宋体" w:cs="宋体"/>
                <w:sz w:val="21"/>
                <w:szCs w:val="21"/>
              </w:rPr>
              <w:t>综合评分法中的价格分统一采用低价优先法计算，即满足</w:t>
            </w:r>
            <w:r>
              <w:rPr>
                <w:rFonts w:hint="eastAsia" w:ascii="宋体" w:hAnsi="宋体" w:eastAsia="宋体" w:cs="宋体"/>
                <w:sz w:val="21"/>
                <w:szCs w:val="21"/>
                <w:lang w:val="en-US" w:eastAsia="zh-CN"/>
              </w:rPr>
              <w:t>采购</w:t>
            </w:r>
            <w:r>
              <w:rPr>
                <w:rFonts w:hint="eastAsia" w:ascii="宋体" w:hAnsi="宋体" w:eastAsia="宋体" w:cs="宋体"/>
                <w:sz w:val="21"/>
                <w:szCs w:val="21"/>
              </w:rPr>
              <w:t>要求且</w:t>
            </w:r>
            <w:r>
              <w:rPr>
                <w:rFonts w:hint="eastAsia" w:ascii="宋体" w:hAnsi="宋体" w:eastAsia="宋体" w:cs="宋体"/>
                <w:sz w:val="21"/>
                <w:szCs w:val="21"/>
                <w:lang w:val="en-US" w:eastAsia="zh-CN"/>
              </w:rPr>
              <w:t>最终价格</w:t>
            </w:r>
            <w:r>
              <w:rPr>
                <w:rFonts w:hint="eastAsia" w:ascii="宋体" w:hAnsi="宋体" w:eastAsia="宋体" w:cs="宋体"/>
                <w:sz w:val="21"/>
                <w:szCs w:val="21"/>
              </w:rPr>
              <w:t>最低的报价为</w:t>
            </w:r>
            <w:r>
              <w:rPr>
                <w:rFonts w:hint="eastAsia" w:ascii="宋体" w:hAnsi="宋体" w:eastAsia="宋体" w:cs="宋体"/>
                <w:sz w:val="21"/>
                <w:szCs w:val="21"/>
                <w:lang w:eastAsia="zh-CN"/>
              </w:rPr>
              <w:t>评审</w:t>
            </w:r>
            <w:r>
              <w:rPr>
                <w:rFonts w:hint="eastAsia" w:ascii="宋体" w:hAnsi="宋体" w:eastAsia="宋体" w:cs="宋体"/>
                <w:sz w:val="21"/>
                <w:szCs w:val="21"/>
              </w:rPr>
              <w:t>基准价，其价格分为满分。其他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的价格分统一按照下列公式计算：报价得分=(</w:t>
            </w:r>
            <w:r>
              <w:rPr>
                <w:rFonts w:hint="eastAsia" w:ascii="宋体" w:hAnsi="宋体" w:eastAsia="宋体" w:cs="宋体"/>
                <w:sz w:val="21"/>
                <w:szCs w:val="21"/>
                <w:lang w:eastAsia="zh-CN"/>
              </w:rPr>
              <w:t>评审</w:t>
            </w:r>
            <w:r>
              <w:rPr>
                <w:rFonts w:hint="eastAsia" w:ascii="宋体" w:hAnsi="宋体" w:eastAsia="宋体" w:cs="宋体"/>
                <w:sz w:val="21"/>
                <w:szCs w:val="21"/>
              </w:rPr>
              <w:t>基准价／</w:t>
            </w:r>
            <w:r>
              <w:rPr>
                <w:rFonts w:hint="eastAsia" w:ascii="宋体" w:hAnsi="宋体" w:eastAsia="宋体" w:cs="宋体"/>
                <w:sz w:val="21"/>
                <w:szCs w:val="21"/>
                <w:lang w:val="en-US" w:eastAsia="zh-CN"/>
              </w:rPr>
              <w:t>最终</w:t>
            </w:r>
            <w:r>
              <w:rPr>
                <w:rFonts w:hint="eastAsia" w:ascii="宋体" w:hAnsi="宋体" w:eastAsia="宋体" w:cs="宋体"/>
                <w:sz w:val="21"/>
                <w:szCs w:val="21"/>
              </w:rPr>
              <w:t>报价)×价格权值×</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0</w:t>
            </w:r>
            <w:r>
              <w:rPr>
                <w:rFonts w:hint="eastAsia" w:ascii="宋体" w:hAnsi="宋体" w:eastAsia="宋体" w:cs="宋体"/>
                <w:sz w:val="21"/>
                <w:szCs w:val="21"/>
              </w:rPr>
              <w:t>。</w:t>
            </w:r>
          </w:p>
        </w:tc>
      </w:tr>
    </w:tbl>
    <w:p>
      <w:pPr>
        <w:rPr>
          <w:rFonts w:hint="eastAsia"/>
        </w:rPr>
      </w:pPr>
    </w:p>
    <w:p>
      <w:pPr>
        <w:spacing w:beforeLines="50" w:afterLines="50" w:line="400" w:lineRule="exact"/>
        <w:ind w:firstLine="482" w:firstLineChars="200"/>
        <w:rPr>
          <w:rFonts w:hint="eastAsia"/>
        </w:rPr>
      </w:pPr>
      <w:r>
        <w:rPr>
          <w:rFonts w:hint="eastAsia" w:ascii="宋体" w:hAnsi="宋体" w:eastAsia="宋体" w:cs="宋体"/>
          <w:sz w:val="24"/>
          <w:szCs w:val="24"/>
        </w:rPr>
        <w:t>2.4技术部分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92"/>
        <w:gridCol w:w="567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8" w:type="dxa"/>
            <w:gridSpan w:val="2"/>
            <w:tcBorders>
              <w:tl2br w:val="nil"/>
              <w:tr2bl w:val="nil"/>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5678" w:type="dxa"/>
            <w:tcBorders>
              <w:tl2br w:val="nil"/>
              <w:tr2bl w:val="nil"/>
            </w:tcBorders>
            <w:noWrap w:val="0"/>
            <w:vAlign w:val="center"/>
          </w:tcPr>
          <w:p>
            <w:pPr>
              <w:spacing w:beforeLines="30" w:line="312" w:lineRule="auto"/>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对本</w:t>
            </w:r>
            <w:r>
              <w:rPr>
                <w:rFonts w:hint="eastAsia" w:ascii="宋体" w:hAnsi="宋体"/>
                <w:b/>
                <w:bCs/>
                <w:szCs w:val="21"/>
                <w:lang w:eastAsia="zh-CN"/>
              </w:rPr>
              <w:t>项目</w:t>
            </w:r>
            <w:r>
              <w:rPr>
                <w:rFonts w:hint="eastAsia" w:ascii="宋体" w:hAnsi="宋体"/>
                <w:b/>
                <w:bCs/>
                <w:szCs w:val="21"/>
              </w:rPr>
              <w:t>的认识和理解</w:t>
            </w:r>
          </w:p>
        </w:tc>
        <w:tc>
          <w:tcPr>
            <w:tcW w:w="5678" w:type="dxa"/>
            <w:tcBorders>
              <w:tl2br w:val="nil"/>
              <w:tr2bl w:val="nil"/>
            </w:tcBorders>
            <w:noWrap w:val="0"/>
            <w:vAlign w:val="center"/>
          </w:tcPr>
          <w:p>
            <w:pPr>
              <w:spacing w:beforeLines="30" w:line="312" w:lineRule="auto"/>
              <w:rPr>
                <w:rFonts w:hint="default" w:ascii="宋体" w:hAnsi="宋体" w:eastAsia="宋体" w:cs="宋体"/>
                <w:sz w:val="21"/>
                <w:szCs w:val="21"/>
                <w:lang w:val="en-US" w:eastAsia="zh-CN"/>
              </w:rPr>
            </w:pPr>
            <w:r>
              <w:rPr>
                <w:rFonts w:hint="eastAsia" w:ascii="宋体" w:hAnsi="宋体"/>
                <w:sz w:val="21"/>
                <w:szCs w:val="21"/>
              </w:rPr>
              <w:t>对本工程实施的重点和难点理解清晰</w:t>
            </w:r>
            <w:r>
              <w:rPr>
                <w:rFonts w:hint="eastAsia" w:ascii="宋体" w:hAnsi="宋体"/>
                <w:sz w:val="21"/>
                <w:szCs w:val="21"/>
                <w:lang w:eastAsia="zh-CN"/>
              </w:rPr>
              <w:t>得</w:t>
            </w:r>
            <w:r>
              <w:rPr>
                <w:rFonts w:hint="eastAsia" w:ascii="宋体" w:hAnsi="宋体"/>
                <w:sz w:val="21"/>
                <w:szCs w:val="21"/>
                <w:lang w:val="en-US" w:eastAsia="zh-CN"/>
              </w:rPr>
              <w:t>15分；</w:t>
            </w:r>
            <w:r>
              <w:rPr>
                <w:rFonts w:hint="eastAsia" w:ascii="宋体" w:hAnsi="宋体"/>
                <w:sz w:val="21"/>
                <w:szCs w:val="21"/>
              </w:rPr>
              <w:t>对本工程的特点理解程度一般</w:t>
            </w:r>
            <w:r>
              <w:rPr>
                <w:rFonts w:hint="eastAsia" w:ascii="宋体" w:hAnsi="宋体"/>
                <w:sz w:val="21"/>
                <w:szCs w:val="21"/>
                <w:lang w:eastAsia="zh-CN"/>
              </w:rPr>
              <w:t>得</w:t>
            </w:r>
            <w:r>
              <w:rPr>
                <w:rFonts w:hint="eastAsia" w:ascii="宋体" w:hAnsi="宋体"/>
                <w:sz w:val="21"/>
                <w:szCs w:val="21"/>
                <w:lang w:val="en-US" w:eastAsia="zh-CN"/>
              </w:rPr>
              <w:t>5-10分；</w:t>
            </w:r>
            <w:r>
              <w:rPr>
                <w:rFonts w:hint="eastAsia" w:ascii="宋体" w:hAnsi="宋体"/>
                <w:sz w:val="21"/>
                <w:szCs w:val="21"/>
              </w:rPr>
              <w:t>对本工程的认识和理解不明确</w:t>
            </w:r>
            <w:r>
              <w:rPr>
                <w:rFonts w:hint="eastAsia" w:ascii="宋体" w:hAnsi="宋体"/>
                <w:sz w:val="21"/>
                <w:szCs w:val="21"/>
                <w:lang w:eastAsia="zh-CN"/>
              </w:rPr>
              <w:t>得</w:t>
            </w:r>
            <w:r>
              <w:rPr>
                <w:rFonts w:hint="eastAsia" w:ascii="宋体" w:hAnsi="宋体"/>
                <w:sz w:val="21"/>
                <w:szCs w:val="21"/>
                <w:lang w:val="en-US" w:eastAsia="zh-CN"/>
              </w:rPr>
              <w:t>0-5分。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人员配置</w:t>
            </w:r>
          </w:p>
        </w:tc>
        <w:tc>
          <w:tcPr>
            <w:tcW w:w="5678" w:type="dxa"/>
            <w:tcBorders>
              <w:tl2br w:val="nil"/>
              <w:tr2bl w:val="nil"/>
            </w:tcBorders>
            <w:noWrap w:val="0"/>
            <w:vAlign w:val="center"/>
          </w:tcPr>
          <w:p>
            <w:pPr>
              <w:spacing w:beforeLines="30" w:line="312" w:lineRule="auto"/>
              <w:rPr>
                <w:rFonts w:hint="eastAsia" w:ascii="宋体" w:hAnsi="宋体"/>
                <w:sz w:val="21"/>
                <w:szCs w:val="21"/>
              </w:rPr>
            </w:pPr>
            <w:r>
              <w:rPr>
                <w:rFonts w:hint="eastAsia" w:ascii="宋体" w:hAnsi="宋体" w:eastAsia="宋体" w:cs="宋体"/>
                <w:i w:val="0"/>
                <w:iCs w:val="0"/>
                <w:color w:val="auto"/>
                <w:sz w:val="21"/>
                <w:szCs w:val="21"/>
                <w:lang w:eastAsia="zh-CN"/>
              </w:rPr>
              <w:t>投标人</w:t>
            </w:r>
            <w:r>
              <w:rPr>
                <w:rFonts w:hint="eastAsia" w:ascii="宋体" w:hAnsi="宋体" w:eastAsia="宋体" w:cs="宋体"/>
                <w:i w:val="0"/>
                <w:iCs w:val="0"/>
                <w:color w:val="auto"/>
                <w:sz w:val="21"/>
                <w:szCs w:val="21"/>
              </w:rPr>
              <w:t>针对本项目配置专业技术人员、具有良好的本地服务能力、稳定的服务人员团队、合理的人员安排酌情</w:t>
            </w:r>
            <w:r>
              <w:rPr>
                <w:rFonts w:hint="eastAsia" w:ascii="宋体" w:hAnsi="宋体" w:cs="宋体"/>
                <w:i w:val="0"/>
                <w:iCs w:val="0"/>
                <w:color w:val="auto"/>
                <w:sz w:val="21"/>
                <w:szCs w:val="21"/>
                <w:lang w:eastAsia="zh-CN"/>
              </w:rPr>
              <w:t>得</w:t>
            </w:r>
            <w:r>
              <w:rPr>
                <w:rFonts w:hint="eastAsia" w:ascii="宋体" w:hAnsi="宋体" w:cs="宋体"/>
                <w:i w:val="0"/>
                <w:iCs w:val="0"/>
                <w:color w:val="auto"/>
                <w:sz w:val="21"/>
                <w:szCs w:val="21"/>
                <w:lang w:val="en-US" w:eastAsia="zh-CN"/>
              </w:rPr>
              <w:t>15</w:t>
            </w:r>
            <w:r>
              <w:rPr>
                <w:rFonts w:hint="eastAsia" w:ascii="宋体" w:hAnsi="宋体" w:eastAsia="宋体" w:cs="宋体"/>
                <w:i w:val="0"/>
                <w:iCs w:val="0"/>
                <w:color w:val="auto"/>
                <w:sz w:val="21"/>
                <w:szCs w:val="21"/>
              </w:rPr>
              <w:t>分。</w:t>
            </w:r>
            <w:r>
              <w:rPr>
                <w:rFonts w:hint="eastAsia" w:ascii="宋体" w:hAnsi="宋体" w:eastAsia="宋体" w:cs="宋体"/>
                <w:i w:val="0"/>
                <w:iCs w:val="0"/>
                <w:color w:val="auto"/>
                <w:sz w:val="21"/>
                <w:szCs w:val="21"/>
                <w:lang w:val="en-US" w:eastAsia="zh-CN"/>
              </w:rPr>
              <w:t>投标人拟投入项目人员具有</w:t>
            </w:r>
            <w:r>
              <w:rPr>
                <w:rFonts w:hint="eastAsia" w:ascii="宋体" w:hAnsi="宋体" w:cs="宋体"/>
                <w:i w:val="0"/>
                <w:iCs w:val="0"/>
                <w:color w:val="auto"/>
                <w:sz w:val="21"/>
                <w:szCs w:val="21"/>
                <w:lang w:val="en-US" w:eastAsia="zh-CN"/>
              </w:rPr>
              <w:t>高级职称</w:t>
            </w:r>
            <w:r>
              <w:rPr>
                <w:rFonts w:hint="eastAsia" w:ascii="宋体" w:hAnsi="宋体" w:eastAsia="宋体" w:cs="宋体"/>
                <w:i w:val="0"/>
                <w:iCs w:val="0"/>
                <w:color w:val="auto"/>
                <w:sz w:val="21"/>
                <w:szCs w:val="21"/>
                <w:lang w:val="en-US" w:eastAsia="zh-CN"/>
              </w:rPr>
              <w:t>证书的每个得</w:t>
            </w:r>
            <w:r>
              <w:rPr>
                <w:rFonts w:hint="eastAsia" w:ascii="宋体" w:hAnsi="宋体" w:cs="宋体"/>
                <w:i w:val="0"/>
                <w:iCs w:val="0"/>
                <w:color w:val="auto"/>
                <w:sz w:val="21"/>
                <w:szCs w:val="21"/>
                <w:lang w:val="en-US" w:eastAsia="zh-CN"/>
              </w:rPr>
              <w:t>2</w:t>
            </w:r>
            <w:r>
              <w:rPr>
                <w:rFonts w:hint="eastAsia" w:ascii="宋体" w:hAnsi="宋体" w:eastAsia="宋体" w:cs="宋体"/>
                <w:i w:val="0"/>
                <w:iCs w:val="0"/>
                <w:color w:val="auto"/>
                <w:sz w:val="21"/>
                <w:szCs w:val="21"/>
                <w:lang w:val="en-US" w:eastAsia="zh-CN"/>
              </w:rPr>
              <w:t>分，最多得</w:t>
            </w:r>
            <w:r>
              <w:rPr>
                <w:rFonts w:hint="eastAsia" w:ascii="宋体" w:hAnsi="宋体" w:cs="宋体"/>
                <w:i w:val="0"/>
                <w:iCs w:val="0"/>
                <w:color w:val="auto"/>
                <w:sz w:val="21"/>
                <w:szCs w:val="21"/>
                <w:lang w:val="en-US" w:eastAsia="zh-CN"/>
              </w:rPr>
              <w:t>15</w:t>
            </w:r>
            <w:r>
              <w:rPr>
                <w:rFonts w:hint="eastAsia" w:ascii="宋体" w:hAnsi="宋体" w:eastAsia="宋体" w:cs="宋体"/>
                <w:i w:val="0"/>
                <w:iCs w:val="0"/>
                <w:color w:val="auto"/>
                <w:sz w:val="21"/>
                <w:szCs w:val="21"/>
                <w:lang w:val="en-US" w:eastAsia="zh-CN"/>
              </w:rPr>
              <w:t>分，没有不得分。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vAlign w:val="center"/>
          </w:tcPr>
          <w:p>
            <w:pPr>
              <w:spacing w:beforeLines="30" w:line="312"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sz w:val="24"/>
                <w:szCs w:val="24"/>
              </w:rPr>
            </w:pPr>
            <w:r>
              <w:rPr>
                <w:rFonts w:hint="eastAsia" w:ascii="宋体" w:hAnsi="宋体"/>
                <w:b/>
                <w:bCs/>
                <w:szCs w:val="21"/>
              </w:rPr>
              <w:t>合同管理</w:t>
            </w:r>
          </w:p>
        </w:tc>
        <w:tc>
          <w:tcPr>
            <w:tcW w:w="5678" w:type="dxa"/>
            <w:tcBorders>
              <w:tl2br w:val="nil"/>
              <w:tr2bl w:val="nil"/>
            </w:tcBorders>
            <w:noWrap w:val="0"/>
            <w:vAlign w:val="center"/>
          </w:tcPr>
          <w:p>
            <w:pPr>
              <w:spacing w:beforeLines="30" w:line="312" w:lineRule="auto"/>
              <w:rPr>
                <w:rFonts w:hint="default" w:ascii="宋体" w:hAnsi="宋体" w:eastAsia="宋体"/>
                <w:szCs w:val="21"/>
                <w:lang w:val="en-US" w:eastAsia="zh-CN"/>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8分；</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5分；</w:t>
            </w:r>
            <w:r>
              <w:rPr>
                <w:rFonts w:hint="eastAsia" w:ascii="宋体" w:hAnsi="宋体"/>
                <w:szCs w:val="21"/>
              </w:rPr>
              <w:t>控制措施不力，管理流程不当，可操作性差</w:t>
            </w:r>
            <w:r>
              <w:rPr>
                <w:rFonts w:hint="eastAsia" w:ascii="宋体" w:hAnsi="宋体"/>
                <w:szCs w:val="21"/>
                <w:lang w:eastAsia="zh-CN"/>
              </w:rPr>
              <w:t>的</w:t>
            </w:r>
            <w:r>
              <w:rPr>
                <w:rFonts w:hint="eastAsia" w:ascii="宋体" w:hAnsi="宋体"/>
                <w:szCs w:val="21"/>
                <w:lang w:val="en-US" w:eastAsia="zh-CN"/>
              </w:rPr>
              <w:t>0-3分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szCs w:val="21"/>
              </w:rPr>
              <w:t>质量控制管理</w:t>
            </w:r>
          </w:p>
        </w:tc>
        <w:tc>
          <w:tcPr>
            <w:tcW w:w="5678" w:type="dxa"/>
            <w:tcBorders>
              <w:tl2br w:val="nil"/>
              <w:tr2bl w:val="nil"/>
            </w:tcBorders>
            <w:noWrap w:val="0"/>
            <w:vAlign w:val="center"/>
          </w:tcPr>
          <w:p>
            <w:pPr>
              <w:spacing w:beforeLines="30" w:line="312" w:lineRule="auto"/>
              <w:rPr>
                <w:rFonts w:hint="default" w:ascii="宋体" w:hAnsi="宋体" w:eastAsia="宋体" w:cs="宋体"/>
                <w:color w:val="auto"/>
                <w:sz w:val="24"/>
                <w:szCs w:val="24"/>
                <w:lang w:val="en-US" w:eastAsia="zh-CN"/>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r>
              <w:rPr>
                <w:rFonts w:hint="eastAsia" w:ascii="宋体" w:hAnsi="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92"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szCs w:val="21"/>
              </w:rPr>
              <w:t>进度控制管理</w:t>
            </w:r>
          </w:p>
        </w:tc>
        <w:tc>
          <w:tcPr>
            <w:tcW w:w="5678"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r>
              <w:rPr>
                <w:rFonts w:hint="eastAsia" w:ascii="宋体" w:hAnsi="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92" w:type="dxa"/>
            <w:tcBorders>
              <w:tl2br w:val="nil"/>
              <w:tr2bl w:val="nil"/>
            </w:tcBorders>
            <w:noWrap w:val="0"/>
            <w:vAlign w:val="center"/>
          </w:tcPr>
          <w:p>
            <w:pPr>
              <w:spacing w:beforeLines="30" w:line="312" w:lineRule="auto"/>
              <w:jc w:val="both"/>
              <w:rPr>
                <w:rFonts w:hint="eastAsia" w:ascii="宋体" w:hAnsi="宋体" w:eastAsia="宋体" w:cs="宋体"/>
                <w:color w:val="auto"/>
                <w:sz w:val="24"/>
                <w:szCs w:val="24"/>
                <w:lang w:val="en-US" w:eastAsia="zh-CN"/>
              </w:rPr>
            </w:pPr>
            <w:r>
              <w:rPr>
                <w:rFonts w:hint="eastAsia" w:ascii="宋体" w:hAnsi="宋体"/>
                <w:b/>
                <w:bCs/>
                <w:szCs w:val="21"/>
              </w:rPr>
              <w:t>安全控制管理</w:t>
            </w:r>
          </w:p>
        </w:tc>
        <w:tc>
          <w:tcPr>
            <w:tcW w:w="5678"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5-8分；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vAlign w:val="center"/>
          </w:tcPr>
          <w:p>
            <w:pPr>
              <w:spacing w:beforeLines="30" w:line="312"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92" w:type="dxa"/>
            <w:tcBorders>
              <w:tl2br w:val="nil"/>
              <w:tr2bl w:val="nil"/>
            </w:tcBorders>
            <w:noWrap w:val="0"/>
            <w:vAlign w:val="center"/>
          </w:tcPr>
          <w:p>
            <w:pPr>
              <w:adjustRightInd w:val="0"/>
              <w:snapToGrid w:val="0"/>
              <w:spacing w:before="50" w:after="50"/>
              <w:rPr>
                <w:rFonts w:hint="eastAsia" w:ascii="宋体" w:hAnsi="宋体"/>
                <w:b/>
                <w:bCs/>
                <w:szCs w:val="21"/>
              </w:rPr>
            </w:pPr>
            <w:r>
              <w:rPr>
                <w:rFonts w:hint="eastAsia" w:ascii="宋体" w:hAnsi="宋体"/>
                <w:b/>
                <w:bCs/>
                <w:szCs w:val="21"/>
              </w:rPr>
              <w:t>信息与档案管理</w:t>
            </w:r>
          </w:p>
          <w:p>
            <w:pPr>
              <w:spacing w:beforeLines="30" w:line="312" w:lineRule="auto"/>
              <w:rPr>
                <w:rFonts w:hint="eastAsia" w:ascii="宋体" w:hAnsi="宋体" w:eastAsia="宋体" w:cs="宋体"/>
                <w:kern w:val="2"/>
                <w:sz w:val="24"/>
                <w:szCs w:val="24"/>
                <w:lang w:val="en-US" w:eastAsia="zh-CN" w:bidi="ar-SA"/>
              </w:rPr>
            </w:pPr>
          </w:p>
        </w:tc>
        <w:tc>
          <w:tcPr>
            <w:tcW w:w="5678" w:type="dxa"/>
            <w:tcBorders>
              <w:tl2br w:val="nil"/>
              <w:tr2bl w:val="nil"/>
            </w:tcBorders>
            <w:noWrap w:val="0"/>
            <w:vAlign w:val="center"/>
          </w:tcPr>
          <w:p>
            <w:pPr>
              <w:spacing w:beforeLines="30" w:line="312" w:lineRule="auto"/>
              <w:rPr>
                <w:rFonts w:hint="eastAsia" w:ascii="宋体" w:hAnsi="宋体" w:eastAsia="宋体" w:cs="宋体"/>
                <w:kern w:val="2"/>
                <w:sz w:val="24"/>
                <w:szCs w:val="24"/>
                <w:lang w:val="en-US" w:eastAsia="zh-CN" w:bidi="ar-SA"/>
              </w:rPr>
            </w:pPr>
            <w:r>
              <w:rPr>
                <w:rFonts w:hint="eastAsia" w:ascii="宋体" w:hAnsi="宋体"/>
                <w:szCs w:val="21"/>
              </w:rPr>
              <w:t>控制方法科学、合理，管理流程得当，可操作性强</w:t>
            </w:r>
            <w:r>
              <w:rPr>
                <w:rFonts w:hint="eastAsia" w:ascii="宋体" w:hAnsi="宋体"/>
                <w:szCs w:val="21"/>
                <w:lang w:eastAsia="zh-CN"/>
              </w:rPr>
              <w:t>得</w:t>
            </w:r>
            <w:r>
              <w:rPr>
                <w:rFonts w:hint="eastAsia" w:ascii="宋体" w:hAnsi="宋体"/>
                <w:szCs w:val="21"/>
                <w:lang w:val="en-US" w:eastAsia="zh-CN"/>
              </w:rPr>
              <w:t>12分</w:t>
            </w:r>
            <w:r>
              <w:rPr>
                <w:rFonts w:hint="eastAsia" w:ascii="宋体" w:hAnsi="宋体"/>
                <w:szCs w:val="21"/>
                <w:lang w:eastAsia="zh-CN"/>
              </w:rPr>
              <w:t>；</w:t>
            </w:r>
            <w:r>
              <w:rPr>
                <w:rFonts w:hint="eastAsia" w:ascii="宋体" w:hAnsi="宋体"/>
                <w:szCs w:val="21"/>
              </w:rPr>
              <w:t>控制方法可行，管理流程较得当，可操作性一般</w:t>
            </w:r>
            <w:r>
              <w:rPr>
                <w:rFonts w:hint="eastAsia" w:ascii="宋体" w:hAnsi="宋体"/>
                <w:szCs w:val="21"/>
                <w:lang w:eastAsia="zh-CN"/>
              </w:rPr>
              <w:t>得</w:t>
            </w:r>
            <w:r>
              <w:rPr>
                <w:rFonts w:hint="eastAsia" w:ascii="宋体" w:hAnsi="宋体"/>
                <w:szCs w:val="21"/>
                <w:lang w:val="en-US" w:eastAsia="zh-CN"/>
              </w:rPr>
              <w:t>4-8分；</w:t>
            </w:r>
            <w:r>
              <w:rPr>
                <w:rFonts w:hint="eastAsia" w:ascii="宋体" w:hAnsi="宋体"/>
                <w:szCs w:val="21"/>
              </w:rPr>
              <w:t>控制措施不力，管理流程不当，可操作性差</w:t>
            </w:r>
            <w:r>
              <w:rPr>
                <w:rFonts w:hint="eastAsia" w:ascii="宋体" w:hAnsi="宋体"/>
                <w:szCs w:val="21"/>
                <w:lang w:eastAsia="zh-CN"/>
              </w:rPr>
              <w:t>得</w:t>
            </w:r>
            <w:r>
              <w:rPr>
                <w:rFonts w:hint="eastAsia" w:ascii="宋体" w:hAnsi="宋体"/>
                <w:szCs w:val="21"/>
                <w:lang w:val="en-US" w:eastAsia="zh-CN"/>
              </w:rPr>
              <w:t>0-4分</w:t>
            </w:r>
          </w:p>
        </w:tc>
        <w:tc>
          <w:tcPr>
            <w:tcW w:w="939" w:type="dxa"/>
            <w:tcBorders>
              <w:tl2br w:val="nil"/>
              <w:tr2bl w:val="nil"/>
            </w:tcBorders>
            <w:noWrap w:val="0"/>
            <w:vAlign w:val="center"/>
          </w:tcPr>
          <w:p>
            <w:pPr>
              <w:spacing w:beforeLines="30" w:line="312"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tcBorders>
              <w:tl2br w:val="nil"/>
              <w:tr2bl w:val="nil"/>
            </w:tcBorders>
            <w:noWrap w:val="0"/>
            <w:vAlign w:val="center"/>
          </w:tcPr>
          <w:p>
            <w:pPr>
              <w:spacing w:beforeLines="30" w:line="312" w:lineRule="auto"/>
              <w:jc w:val="center"/>
              <w:rPr>
                <w:rFonts w:hint="default" w:ascii="宋体" w:hAnsi="宋体" w:eastAsia="宋体" w:cs="宋体"/>
                <w:lang w:val="en-US" w:eastAsia="zh-CN"/>
              </w:rPr>
            </w:pPr>
            <w:r>
              <w:rPr>
                <w:rFonts w:hint="eastAsia" w:ascii="宋体" w:hAnsi="宋体" w:cs="宋体"/>
                <w:lang w:val="en-US" w:eastAsia="zh-CN"/>
              </w:rPr>
              <w:t>8</w:t>
            </w:r>
          </w:p>
        </w:tc>
        <w:tc>
          <w:tcPr>
            <w:tcW w:w="1592" w:type="dxa"/>
            <w:tcBorders>
              <w:tl2br w:val="nil"/>
              <w:tr2bl w:val="nil"/>
            </w:tcBorders>
            <w:noWrap w:val="0"/>
            <w:vAlign w:val="center"/>
          </w:tcPr>
          <w:p>
            <w:pPr>
              <w:spacing w:beforeLines="30" w:line="312" w:lineRule="auto"/>
              <w:rPr>
                <w:rFonts w:hint="eastAsia" w:ascii="宋体" w:hAnsi="宋体" w:eastAsia="宋体" w:cs="宋体"/>
              </w:rPr>
            </w:pPr>
            <w:r>
              <w:rPr>
                <w:rFonts w:hint="eastAsia" w:ascii="宋体" w:hAnsi="宋体"/>
                <w:b/>
                <w:bCs/>
                <w:szCs w:val="21"/>
              </w:rPr>
              <w:t>其他工作和合理化建议</w:t>
            </w:r>
          </w:p>
        </w:tc>
        <w:tc>
          <w:tcPr>
            <w:tcW w:w="5678" w:type="dxa"/>
            <w:tcBorders>
              <w:tl2br w:val="nil"/>
              <w:tr2bl w:val="nil"/>
            </w:tcBorders>
            <w:noWrap w:val="0"/>
            <w:vAlign w:val="center"/>
          </w:tcPr>
          <w:p>
            <w:pPr>
              <w:adjustRightInd w:val="0"/>
              <w:snapToGrid w:val="0"/>
              <w:ind w:right="-107" w:rightChars="-51"/>
              <w:rPr>
                <w:rFonts w:hint="eastAsia" w:ascii="宋体" w:hAnsi="宋体" w:eastAsia="宋体"/>
                <w:szCs w:val="21"/>
                <w:lang w:val="en-US" w:eastAsia="zh-CN"/>
              </w:rPr>
            </w:pPr>
            <w:r>
              <w:rPr>
                <w:rFonts w:hint="eastAsia" w:ascii="宋体" w:hAnsi="宋体"/>
                <w:szCs w:val="21"/>
              </w:rPr>
              <w:t>内容全面详尽，并提出了有效的建议</w:t>
            </w:r>
            <w:r>
              <w:rPr>
                <w:rFonts w:hint="eastAsia" w:ascii="宋体" w:hAnsi="宋体"/>
                <w:szCs w:val="21"/>
                <w:lang w:eastAsia="zh-CN"/>
              </w:rPr>
              <w:t>得</w:t>
            </w:r>
            <w:r>
              <w:rPr>
                <w:rFonts w:hint="eastAsia" w:ascii="宋体" w:hAnsi="宋体"/>
                <w:szCs w:val="21"/>
                <w:lang w:val="en-US" w:eastAsia="zh-CN"/>
              </w:rPr>
              <w:t>4分；</w:t>
            </w:r>
            <w:r>
              <w:rPr>
                <w:rFonts w:hint="eastAsia" w:ascii="宋体" w:hAnsi="宋体"/>
                <w:szCs w:val="21"/>
              </w:rPr>
              <w:t>内容较全面，并提出了一般性建议</w:t>
            </w:r>
            <w:r>
              <w:rPr>
                <w:rFonts w:hint="eastAsia" w:ascii="宋体" w:hAnsi="宋体"/>
                <w:szCs w:val="21"/>
                <w:lang w:eastAsia="zh-CN"/>
              </w:rPr>
              <w:t>得</w:t>
            </w:r>
            <w:r>
              <w:rPr>
                <w:rFonts w:hint="eastAsia" w:ascii="宋体" w:hAnsi="宋体"/>
                <w:szCs w:val="21"/>
                <w:lang w:val="en-US" w:eastAsia="zh-CN"/>
              </w:rPr>
              <w:t>0-2分，</w:t>
            </w:r>
            <w:r>
              <w:rPr>
                <w:rFonts w:hint="eastAsia" w:ascii="宋体" w:hAnsi="宋体"/>
                <w:szCs w:val="21"/>
              </w:rPr>
              <w:t>内容不详尽，没有提出了有价值的建议</w:t>
            </w:r>
            <w:r>
              <w:rPr>
                <w:rFonts w:hint="eastAsia" w:ascii="宋体" w:hAnsi="宋体"/>
                <w:szCs w:val="21"/>
                <w:lang w:eastAsia="zh-CN"/>
              </w:rPr>
              <w:t>不得分。</w:t>
            </w:r>
          </w:p>
        </w:tc>
        <w:tc>
          <w:tcPr>
            <w:tcW w:w="939" w:type="dxa"/>
            <w:tcBorders>
              <w:tl2br w:val="nil"/>
              <w:tr2bl w:val="nil"/>
            </w:tcBorders>
            <w:noWrap w:val="0"/>
            <w:vAlign w:val="center"/>
          </w:tcPr>
          <w:p>
            <w:pPr>
              <w:spacing w:beforeLines="30" w:line="312" w:lineRule="auto"/>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cs="宋体"/>
                <w:sz w:val="24"/>
                <w:szCs w:val="24"/>
                <w:lang w:val="en-US" w:eastAsia="zh-CN"/>
              </w:rPr>
              <w:t>分</w:t>
            </w:r>
          </w:p>
        </w:tc>
      </w:tr>
    </w:tbl>
    <w:p>
      <w:pPr>
        <w:pStyle w:val="2"/>
        <w:rPr>
          <w:rFonts w:hint="eastAsia"/>
        </w:rPr>
      </w:pPr>
    </w:p>
    <w:p>
      <w:pPr>
        <w:spacing w:line="360" w:lineRule="auto"/>
        <w:jc w:val="center"/>
        <w:rPr>
          <w:rFonts w:hint="eastAsia" w:ascii="宋体" w:hAnsi="宋体" w:cs="宋体"/>
          <w:b/>
          <w:i w:val="0"/>
          <w:iCs w:val="0"/>
          <w:color w:val="auto"/>
          <w:sz w:val="24"/>
          <w:highlight w:val="none"/>
        </w:rPr>
      </w:pPr>
    </w:p>
    <w:p>
      <w:pPr>
        <w:spacing w:line="360" w:lineRule="auto"/>
        <w:jc w:val="center"/>
        <w:rPr>
          <w:rFonts w:hint="eastAsia" w:ascii="宋体" w:hAnsi="宋体" w:cs="宋体"/>
          <w:b/>
          <w:i w:val="0"/>
          <w:iCs w:val="0"/>
          <w:color w:val="auto"/>
          <w:sz w:val="24"/>
          <w:highlight w:val="none"/>
        </w:rPr>
      </w:pPr>
    </w:p>
    <w:p>
      <w:pPr>
        <w:spacing w:line="360" w:lineRule="auto"/>
        <w:jc w:val="center"/>
        <w:rPr>
          <w:rFonts w:hint="eastAsia" w:ascii="宋体" w:hAnsi="宋体" w:cs="宋体"/>
          <w:b/>
          <w:i w:val="0"/>
          <w:iCs w:val="0"/>
          <w:color w:val="auto"/>
          <w:sz w:val="24"/>
          <w:highlight w:val="none"/>
        </w:rPr>
      </w:pP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95" w:type="pct"/>
            <w:noWrap w:val="0"/>
            <w:vAlign w:val="center"/>
          </w:tcPr>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经</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济</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报</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价</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K1</w:t>
            </w:r>
          </w:p>
        </w:tc>
        <w:tc>
          <w:tcPr>
            <w:tcW w:w="4704" w:type="pct"/>
            <w:noWrap w:val="0"/>
            <w:vAlign w:val="top"/>
          </w:tcPr>
          <w:p>
            <w:pPr>
              <w:pStyle w:val="29"/>
              <w:adjustRightInd w:val="0"/>
              <w:snapToGrid w:val="0"/>
              <w:spacing w:line="360" w:lineRule="auto"/>
              <w:ind w:firstLine="471"/>
              <w:jc w:val="both"/>
              <w:rPr>
                <w:rFonts w:hint="eastAsia" w:ascii="宋体" w:hAnsi="宋体" w:eastAsia="宋体" w:cs="宋体"/>
                <w:b/>
                <w:i w:val="0"/>
                <w:iCs w:val="0"/>
                <w:color w:val="auto"/>
                <w:spacing w:val="-3"/>
                <w:sz w:val="24"/>
                <w:highlight w:val="none"/>
              </w:rPr>
            </w:pPr>
            <w:r>
              <w:rPr>
                <w:rFonts w:hint="eastAsia" w:ascii="宋体" w:hAnsi="宋体" w:eastAsia="宋体" w:cs="宋体"/>
                <w:b w:val="0"/>
                <w:i w:val="0"/>
                <w:iCs w:val="0"/>
                <w:color w:val="auto"/>
                <w:spacing w:val="-3"/>
                <w:sz w:val="24"/>
                <w:highlight w:val="none"/>
              </w:rPr>
              <w:t>（1）对于经济报价的评分，按以下方法进行：价格分采用低价优先法计算，即满足</w:t>
            </w:r>
            <w:r>
              <w:rPr>
                <w:rFonts w:hint="eastAsia" w:ascii="宋体" w:hAnsi="宋体" w:eastAsia="宋体" w:cs="宋体"/>
                <w:b w:val="0"/>
                <w:i w:val="0"/>
                <w:iCs w:val="0"/>
                <w:color w:val="auto"/>
                <w:spacing w:val="-3"/>
                <w:sz w:val="24"/>
                <w:highlight w:val="none"/>
                <w:lang w:eastAsia="zh-CN"/>
              </w:rPr>
              <w:t>竞争性磋商文件</w:t>
            </w:r>
            <w:r>
              <w:rPr>
                <w:rFonts w:hint="eastAsia" w:ascii="宋体" w:hAnsi="宋体" w:eastAsia="宋体" w:cs="宋体"/>
                <w:b w:val="0"/>
                <w:i w:val="0"/>
                <w:iCs w:val="0"/>
                <w:color w:val="auto"/>
                <w:spacing w:val="-3"/>
                <w:sz w:val="24"/>
                <w:highlight w:val="none"/>
              </w:rPr>
              <w:t>要求且投标价格最低的投标报价为评标基准价，其价格分为满分。其他投标人的价格分统一按照下列公式计算</w:t>
            </w:r>
            <w:r>
              <w:rPr>
                <w:rFonts w:hint="eastAsia" w:ascii="宋体" w:hAnsi="宋体" w:eastAsia="宋体" w:cs="宋体"/>
                <w:b w:val="0"/>
                <w:i w:val="0"/>
                <w:iCs w:val="0"/>
                <w:color w:val="auto"/>
                <w:spacing w:val="-3"/>
                <w:sz w:val="24"/>
                <w:highlight w:val="none"/>
                <w:lang w:eastAsia="zh-CN"/>
              </w:rPr>
              <w:t>，</w:t>
            </w:r>
            <w:r>
              <w:rPr>
                <w:rFonts w:hint="eastAsia" w:ascii="宋体" w:hAnsi="宋体" w:eastAsia="宋体" w:cs="宋体"/>
                <w:b/>
                <w:i w:val="0"/>
                <w:iCs w:val="0"/>
                <w:color w:val="auto"/>
                <w:spacing w:val="-3"/>
                <w:sz w:val="24"/>
                <w:highlight w:val="none"/>
                <w:lang w:val="en-US" w:eastAsia="zh-CN"/>
              </w:rPr>
              <w:t>因落实政府采购政策进行价格调整的，以调整后的价格计算评标基准价和投标报价。</w:t>
            </w:r>
          </w:p>
          <w:p>
            <w:pPr>
              <w:pStyle w:val="29"/>
              <w:adjustRightInd w:val="0"/>
              <w:snapToGrid w:val="0"/>
              <w:spacing w:line="360" w:lineRule="auto"/>
              <w:ind w:firstLine="471"/>
              <w:jc w:val="both"/>
              <w:rPr>
                <w:rFonts w:hint="eastAsia" w:ascii="宋体" w:hAnsi="宋体" w:eastAsia="宋体" w:cs="宋体"/>
                <w:b w:val="0"/>
                <w:i w:val="0"/>
                <w:iCs w:val="0"/>
                <w:color w:val="auto"/>
                <w:spacing w:val="-3"/>
                <w:sz w:val="24"/>
                <w:highlight w:val="none"/>
              </w:rPr>
            </w:pPr>
            <w:r>
              <w:rPr>
                <w:rFonts w:hint="eastAsia" w:ascii="宋体" w:hAnsi="宋体" w:eastAsia="宋体" w:cs="宋体"/>
                <w:b w:val="0"/>
                <w:i w:val="0"/>
                <w:iCs w:val="0"/>
                <w:color w:val="auto"/>
                <w:spacing w:val="-3"/>
                <w:sz w:val="24"/>
                <w:highlight w:val="none"/>
              </w:rPr>
              <w:t>（2）</w:t>
            </w:r>
            <w:r>
              <w:rPr>
                <w:rFonts w:hint="eastAsia" w:ascii="宋体" w:hAnsi="宋体" w:eastAsia="宋体" w:cs="宋体"/>
                <w:bCs/>
                <w:i w:val="0"/>
                <w:iCs w:val="0"/>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70" w:firstLineChars="200"/>
              <w:rPr>
                <w:rFonts w:hint="eastAsia"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小微企业价格扣除评审：对于非专门面向中小企业的项目，对小型和微型企业产品价格给予</w:t>
            </w:r>
            <w:r>
              <w:rPr>
                <w:rFonts w:hint="eastAsia" w:ascii="宋体" w:hAnsi="宋体" w:cs="宋体"/>
                <w:b w:val="0"/>
                <w:bCs w:val="0"/>
                <w:i w:val="0"/>
                <w:iCs w:val="0"/>
                <w:color w:val="auto"/>
                <w:spacing w:val="-3"/>
                <w:kern w:val="2"/>
                <w:sz w:val="24"/>
                <w:szCs w:val="24"/>
                <w:highlight w:val="none"/>
                <w:lang w:val="en-US" w:eastAsia="zh-CN" w:bidi="ar-SA"/>
              </w:rPr>
              <w:t>10</w:t>
            </w:r>
            <w:r>
              <w:rPr>
                <w:rFonts w:hint="eastAsia" w:ascii="宋体" w:hAnsi="宋体" w:eastAsia="宋体" w:cs="宋体"/>
                <w:b w:val="0"/>
                <w:bCs w:val="0"/>
                <w:i w:val="0"/>
                <w:iCs w:val="0"/>
                <w:color w:val="auto"/>
                <w:spacing w:val="-3"/>
                <w:kern w:val="2"/>
                <w:sz w:val="24"/>
                <w:szCs w:val="24"/>
                <w:highlight w:val="none"/>
                <w:lang w:val="en-US" w:eastAsia="zh-CN" w:bidi="ar-SA"/>
              </w:rPr>
              <w:t>%的扣除，用扣除后的价格参与价格分的评审。需同时满足以下两个条件的给予价格扣除：</w:t>
            </w:r>
          </w:p>
          <w:p>
            <w:pPr>
              <w:numPr>
                <w:ilvl w:val="0"/>
                <w:numId w:val="0"/>
              </w:numPr>
              <w:rPr>
                <w:rFonts w:hint="eastAsia"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1.《中小型企业声明函》</w:t>
            </w:r>
          </w:p>
          <w:p>
            <w:pPr>
              <w:pStyle w:val="2"/>
              <w:numPr>
                <w:ilvl w:val="0"/>
                <w:numId w:val="0"/>
              </w:numPr>
              <w:rPr>
                <w:rFonts w:hint="default" w:ascii="宋体" w:hAnsi="宋体" w:eastAsia="宋体" w:cs="宋体"/>
                <w:b w:val="0"/>
                <w:bCs w:val="0"/>
                <w:i w:val="0"/>
                <w:iCs w:val="0"/>
                <w:color w:val="auto"/>
                <w:spacing w:val="-3"/>
                <w:kern w:val="2"/>
                <w:sz w:val="24"/>
                <w:szCs w:val="24"/>
                <w:highlight w:val="none"/>
                <w:lang w:val="en-US" w:eastAsia="zh-CN" w:bidi="ar-SA"/>
              </w:rPr>
            </w:pPr>
            <w:r>
              <w:rPr>
                <w:rFonts w:hint="eastAsia" w:ascii="宋体" w:hAnsi="宋体" w:eastAsia="宋体" w:cs="宋体"/>
                <w:b w:val="0"/>
                <w:bCs w:val="0"/>
                <w:i w:val="0"/>
                <w:iCs w:val="0"/>
                <w:color w:val="auto"/>
                <w:spacing w:val="-3"/>
                <w:kern w:val="2"/>
                <w:sz w:val="24"/>
                <w:szCs w:val="24"/>
                <w:highlight w:val="none"/>
                <w:lang w:val="en-US" w:eastAsia="zh-CN" w:bidi="ar-SA"/>
              </w:rPr>
              <w:t>2.提供投标人工商行政登记所在管理部门出具的小微企业证明文件；</w:t>
            </w:r>
          </w:p>
          <w:p>
            <w:pPr>
              <w:pStyle w:val="29"/>
              <w:keepLines w:val="0"/>
              <w:kinsoku/>
              <w:wordWrap/>
              <w:overflowPunct/>
              <w:bidi w:val="0"/>
              <w:spacing w:line="360" w:lineRule="auto"/>
              <w:ind w:left="0" w:leftChars="0" w:firstLine="0" w:firstLineChars="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节能、环境标志产品评审优惠内容及加分幅度：</w:t>
            </w:r>
          </w:p>
          <w:p>
            <w:pPr>
              <w:pStyle w:val="29"/>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1</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i w:val="0"/>
                <w:iCs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i w:val="0"/>
                <w:iCs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i w:val="0"/>
                <w:iCs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9"/>
              <w:keepLines w:val="0"/>
              <w:kinsoku/>
              <w:wordWrap/>
              <w:overflowPunct/>
              <w:bidi w:val="0"/>
              <w:adjustRightInd w:val="0"/>
              <w:snapToGrid w:val="0"/>
              <w:spacing w:line="360" w:lineRule="auto"/>
              <w:ind w:firstLine="550"/>
              <w:jc w:val="both"/>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pacing w:val="-3"/>
                <w:sz w:val="24"/>
                <w:szCs w:val="24"/>
                <w:highlight w:val="none"/>
              </w:rPr>
              <w:t>价格项加分：</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1、（节能清单部分产品的价格/投标报价）×3%×价格项满分值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2、（环境清单部分产品的价格/投标报价）×3%×价格项满分值</w:t>
            </w:r>
          </w:p>
          <w:p>
            <w:pPr>
              <w:pStyle w:val="29"/>
              <w:keepLines w:val="0"/>
              <w:kinsoku/>
              <w:wordWrap/>
              <w:overflowPunct/>
              <w:bidi w:val="0"/>
              <w:adjustRightInd w:val="0"/>
              <w:snapToGrid w:val="0"/>
              <w:spacing w:line="360" w:lineRule="auto"/>
              <w:ind w:firstLine="550"/>
              <w:jc w:val="both"/>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pacing w:val="-3"/>
                <w:sz w:val="24"/>
                <w:szCs w:val="24"/>
                <w:highlight w:val="none"/>
              </w:rPr>
              <w:t>技术项加分：</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1、（节能清单部分产品的价格/投标报价）×3%×技术项满分值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2、（环境清单部分产品的价格/投标报价）×3%×技术项满分值</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pacing w:val="-3"/>
                <w:sz w:val="24"/>
                <w:szCs w:val="24"/>
                <w:highlight w:val="none"/>
              </w:rPr>
            </w:pPr>
            <w:r>
              <w:rPr>
                <w:rFonts w:hint="eastAsia" w:ascii="宋体" w:hAnsi="宋体" w:eastAsia="宋体" w:cs="宋体"/>
                <w:b w:val="0"/>
                <w:i w:val="0"/>
                <w:iCs w:val="0"/>
                <w:color w:val="auto"/>
                <w:spacing w:val="-3"/>
                <w:sz w:val="24"/>
                <w:szCs w:val="24"/>
                <w:highlight w:val="none"/>
              </w:rPr>
              <w:t>注：1、投标人须提供</w:t>
            </w:r>
            <w:r>
              <w:rPr>
                <w:rFonts w:hint="eastAsia" w:ascii="宋体" w:hAnsi="宋体" w:eastAsia="宋体" w:cs="宋体"/>
                <w:b w:val="0"/>
                <w:i w:val="0"/>
                <w:iCs w:val="0"/>
                <w:color w:val="auto"/>
                <w:spacing w:val="-3"/>
                <w:sz w:val="24"/>
                <w:szCs w:val="24"/>
                <w:highlight w:val="none"/>
                <w:lang w:val="en-US" w:eastAsia="zh-CN"/>
              </w:rPr>
              <w:t>最新一</w:t>
            </w:r>
            <w:r>
              <w:rPr>
                <w:rFonts w:hint="eastAsia" w:ascii="宋体" w:hAnsi="宋体" w:eastAsia="宋体" w:cs="宋体"/>
                <w:b w:val="0"/>
                <w:i w:val="0"/>
                <w:iCs w:val="0"/>
                <w:color w:val="auto"/>
                <w:spacing w:val="-3"/>
                <w:sz w:val="24"/>
                <w:szCs w:val="24"/>
                <w:highlight w:val="none"/>
              </w:rPr>
              <w:t>期《节能产品政府采购清单》关于投标产品当前页的打印件；</w:t>
            </w:r>
          </w:p>
          <w:p>
            <w:pPr>
              <w:pStyle w:val="29"/>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i w:val="0"/>
                <w:iCs w:val="0"/>
                <w:color w:val="auto"/>
                <w:sz w:val="24"/>
                <w:highlight w:val="none"/>
              </w:rPr>
            </w:pPr>
            <w:r>
              <w:rPr>
                <w:rFonts w:hint="eastAsia" w:ascii="宋体" w:hAnsi="宋体" w:eastAsia="宋体" w:cs="宋体"/>
                <w:b w:val="0"/>
                <w:i w:val="0"/>
                <w:iCs w:val="0"/>
                <w:color w:val="auto"/>
                <w:spacing w:val="-3"/>
                <w:sz w:val="24"/>
                <w:szCs w:val="24"/>
                <w:highlight w:val="none"/>
              </w:rPr>
              <w:t>2、投标人提供</w:t>
            </w:r>
            <w:r>
              <w:rPr>
                <w:rFonts w:hint="eastAsia" w:ascii="宋体" w:hAnsi="宋体" w:eastAsia="宋体" w:cs="宋体"/>
                <w:b w:val="0"/>
                <w:i w:val="0"/>
                <w:iCs w:val="0"/>
                <w:color w:val="auto"/>
                <w:spacing w:val="-3"/>
                <w:sz w:val="24"/>
                <w:szCs w:val="24"/>
                <w:highlight w:val="none"/>
                <w:lang w:val="en-US" w:eastAsia="zh-CN"/>
              </w:rPr>
              <w:t>最新一</w:t>
            </w:r>
            <w:r>
              <w:rPr>
                <w:rFonts w:hint="eastAsia" w:ascii="宋体" w:hAnsi="宋体" w:eastAsia="宋体" w:cs="宋体"/>
                <w:b w:val="0"/>
                <w:i w:val="0"/>
                <w:iCs w:val="0"/>
                <w:color w:val="auto"/>
                <w:spacing w:val="-3"/>
                <w:sz w:val="24"/>
                <w:szCs w:val="24"/>
                <w:highlight w:val="none"/>
              </w:rPr>
              <w:t>期《环境标志产品政府采购清单》关于投标产品当前页的打印件；</w:t>
            </w:r>
          </w:p>
          <w:p>
            <w:pPr>
              <w:pStyle w:val="29"/>
              <w:spacing w:line="360" w:lineRule="auto"/>
              <w:ind w:firstLine="485"/>
              <w:jc w:val="both"/>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最低报价不作为评标的唯一依据。采购人不承诺将合同授予报价最低的投标人。</w:t>
            </w:r>
          </w:p>
        </w:tc>
      </w:tr>
    </w:tbl>
    <w:p>
      <w:pPr>
        <w:pStyle w:val="4"/>
        <w:numPr>
          <w:ilvl w:val="1"/>
          <w:numId w:val="0"/>
        </w:numPr>
        <w:bidi w:val="0"/>
        <w:ind w:leftChars="0"/>
        <w:rPr>
          <w:rFonts w:hint="eastAsia"/>
          <w:lang w:val="en-US" w:eastAsia="zh-CN"/>
        </w:rPr>
      </w:pPr>
    </w:p>
    <w:p>
      <w:pPr>
        <w:rPr>
          <w:rFonts w:hint="eastAsia"/>
          <w:lang w:val="en-US" w:eastAsia="zh-CN"/>
        </w:rPr>
      </w:pPr>
    </w:p>
    <w:p>
      <w:pPr>
        <w:rPr>
          <w:rFonts w:hint="eastAsia" w:ascii="宋体" w:hAnsi="宋体" w:eastAsia="宋体" w:cs="宋体"/>
          <w:b/>
          <w:bCs/>
          <w:i w:val="0"/>
          <w:iCs w:val="0"/>
          <w:color w:val="auto"/>
          <w:kern w:val="2"/>
          <w:sz w:val="24"/>
          <w:szCs w:val="24"/>
          <w:highlight w:val="none"/>
          <w:lang w:val="en-US" w:eastAsia="zh-CN" w:bidi="ar-SA"/>
        </w:rPr>
      </w:pPr>
    </w:p>
    <w:p>
      <w:pPr>
        <w:pStyle w:val="7"/>
        <w:rPr>
          <w:rFonts w:hint="eastAsia" w:ascii="宋体" w:hAnsi="宋体" w:eastAsia="宋体" w:cs="宋体"/>
          <w:b/>
          <w:bCs/>
          <w:i w:val="0"/>
          <w:iCs w:val="0"/>
          <w:color w:val="auto"/>
          <w:kern w:val="2"/>
          <w:sz w:val="24"/>
          <w:szCs w:val="24"/>
          <w:highlight w:val="none"/>
          <w:lang w:val="en-US" w:eastAsia="zh-CN" w:bidi="ar-SA"/>
        </w:rPr>
      </w:pPr>
    </w:p>
    <w:p>
      <w:pPr>
        <w:rPr>
          <w:rFonts w:hint="eastAsia" w:ascii="宋体" w:hAnsi="宋体" w:eastAsia="宋体" w:cs="宋体"/>
          <w:b/>
          <w:bCs/>
          <w:i w:val="0"/>
          <w:iCs w:val="0"/>
          <w:color w:val="auto"/>
          <w:kern w:val="2"/>
          <w:sz w:val="24"/>
          <w:szCs w:val="24"/>
          <w:highlight w:val="none"/>
          <w:lang w:val="en-US" w:eastAsia="zh-CN" w:bidi="ar-SA"/>
        </w:rPr>
      </w:pPr>
    </w:p>
    <w:p>
      <w:pPr>
        <w:pStyle w:val="7"/>
        <w:rPr>
          <w:rFonts w:hint="eastAsia" w:ascii="宋体" w:hAnsi="宋体" w:eastAsia="宋体" w:cs="宋体"/>
          <w:b/>
          <w:bCs/>
          <w:i w:val="0"/>
          <w:iCs w:val="0"/>
          <w:color w:val="auto"/>
          <w:kern w:val="2"/>
          <w:sz w:val="24"/>
          <w:szCs w:val="24"/>
          <w:highlight w:val="none"/>
          <w:lang w:val="en-US" w:eastAsia="zh-CN" w:bidi="ar-SA"/>
        </w:rPr>
      </w:pPr>
    </w:p>
    <w:p>
      <w:pPr>
        <w:pStyle w:val="7"/>
        <w:ind w:left="0" w:leftChars="0" w:firstLine="0" w:firstLineChars="0"/>
        <w:rPr>
          <w:rFonts w:hint="eastAsia" w:ascii="宋体" w:hAnsi="宋体" w:eastAsia="宋体" w:cs="宋体"/>
          <w:b/>
          <w:bCs/>
          <w:i w:val="0"/>
          <w:iCs w:val="0"/>
          <w:color w:val="auto"/>
          <w:kern w:val="2"/>
          <w:sz w:val="24"/>
          <w:szCs w:val="24"/>
          <w:highlight w:val="none"/>
          <w:lang w:val="en-US" w:eastAsia="zh-CN" w:bidi="ar-SA"/>
        </w:rPr>
      </w:pPr>
    </w:p>
    <w:bookmarkEnd w:id="33"/>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1" w:name="_Toc492286399"/>
      <w:r>
        <w:rPr>
          <w:rFonts w:hint="eastAsia" w:ascii="宋体" w:hAnsi="宋体" w:eastAsia="宋体" w:cs="宋体"/>
          <w:b w:val="0"/>
          <w:bCs w:val="0"/>
          <w:i w:val="0"/>
          <w:iCs w:val="0"/>
          <w:color w:val="auto"/>
          <w:kern w:val="2"/>
          <w:sz w:val="24"/>
          <w:szCs w:val="24"/>
          <w:highlight w:val="none"/>
          <w:lang w:val="en-US" w:eastAsia="zh-CN" w:bidi="ar-SA"/>
        </w:rPr>
        <w:t>3.5 响应文件的澄清和补正</w:t>
      </w:r>
      <w:bookmarkEnd w:id="41"/>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3.5.1在评标过程中，对于响应文件中含义不明确、同类问题表述不一致或者有明显文字和计算错误的内容，评标委员会应当以书面形式要求投标人作出必要的澄清、说明或者补正。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3.5.2评标委员会将允许修正响应文件中不构成重大偏离的、微小的、非正规的、不一致的或不规则的地方，但这种修正不能影响任何投标人相应的名次排序。</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响应文件的范围或者改变响应文件的实质性内容（算术性错误修正的除外）。投标人的书面</w:t>
      </w:r>
      <w:bookmarkStart w:id="42" w:name="OLE_LINK3"/>
      <w:r>
        <w:rPr>
          <w:rFonts w:hint="eastAsia" w:ascii="宋体" w:hAnsi="宋体" w:eastAsia="宋体" w:cs="宋体"/>
          <w:b w:val="0"/>
          <w:bCs w:val="0"/>
          <w:i w:val="0"/>
          <w:iCs w:val="0"/>
          <w:color w:val="auto"/>
          <w:kern w:val="2"/>
          <w:sz w:val="24"/>
          <w:szCs w:val="24"/>
          <w:highlight w:val="none"/>
          <w:lang w:val="en-US" w:eastAsia="zh-CN" w:bidi="ar-SA"/>
        </w:rPr>
        <w:t>澄清、说明或者补正</w:t>
      </w:r>
      <w:bookmarkEnd w:id="42"/>
      <w:r>
        <w:rPr>
          <w:rFonts w:hint="eastAsia" w:ascii="宋体" w:hAnsi="宋体" w:eastAsia="宋体" w:cs="宋体"/>
          <w:b w:val="0"/>
          <w:bCs w:val="0"/>
          <w:i w:val="0"/>
          <w:iCs w:val="0"/>
          <w:color w:val="auto"/>
          <w:kern w:val="2"/>
          <w:sz w:val="24"/>
          <w:szCs w:val="24"/>
          <w:highlight w:val="none"/>
          <w:lang w:val="en-US" w:eastAsia="zh-CN" w:bidi="ar-SA"/>
        </w:rPr>
        <w:t>属于响应文件的组成部分。</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3" w:name="_Toc144974576"/>
      <w:bookmarkStart w:id="44" w:name="_Toc233102572"/>
      <w:bookmarkStart w:id="45" w:name="_Toc152045608"/>
      <w:bookmarkStart w:id="46" w:name="_Toc492286400"/>
      <w:bookmarkStart w:id="47" w:name="_Toc179632626"/>
      <w:bookmarkStart w:id="48" w:name="_Toc152042386"/>
      <w:r>
        <w:rPr>
          <w:rFonts w:hint="eastAsia" w:ascii="宋体" w:hAnsi="宋体" w:eastAsia="宋体" w:cs="宋体"/>
          <w:b w:val="0"/>
          <w:bCs w:val="0"/>
          <w:i w:val="0"/>
          <w:iCs w:val="0"/>
          <w:color w:val="auto"/>
          <w:kern w:val="2"/>
          <w:sz w:val="24"/>
          <w:szCs w:val="24"/>
          <w:highlight w:val="none"/>
          <w:lang w:val="en-US" w:eastAsia="zh-CN" w:bidi="ar-SA"/>
        </w:rPr>
        <w:t>3.6 评标结果</w:t>
      </w:r>
      <w:bookmarkEnd w:id="43"/>
      <w:bookmarkEnd w:id="44"/>
      <w:bookmarkEnd w:id="45"/>
      <w:bookmarkEnd w:id="46"/>
      <w:bookmarkEnd w:id="47"/>
      <w:bookmarkEnd w:id="48"/>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31"/>
        <w:wordWrap w:val="0"/>
        <w:spacing w:before="0" w:beforeAutospacing="0" w:after="0" w:afterAutospacing="0" w:line="360" w:lineRule="auto"/>
        <w:ind w:firstLine="48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3.6.3竞争性磋商文件规定由评标委员会确定中标人的，评标委员会在完成评标前确定中标人。</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49" w:name="_Toc492286401"/>
      <w:r>
        <w:rPr>
          <w:rFonts w:hint="eastAsia" w:ascii="宋体" w:hAnsi="宋体" w:eastAsia="宋体" w:cs="宋体"/>
          <w:b w:val="0"/>
          <w:bCs w:val="0"/>
          <w:i w:val="0"/>
          <w:iCs w:val="0"/>
          <w:color w:val="auto"/>
          <w:kern w:val="2"/>
          <w:sz w:val="24"/>
          <w:szCs w:val="24"/>
          <w:highlight w:val="none"/>
          <w:lang w:val="en-US" w:eastAsia="zh-CN" w:bidi="ar-SA"/>
        </w:rPr>
        <w:t>3.7 复核评审结果</w:t>
      </w:r>
      <w:bookmarkEnd w:id="49"/>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3.7.2评标委员会要对评分汇总情况进行复核，特别是对排名第一的、报价最低的、投标或响应文件被认定为无效的情形进行重点复核。</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3.7.3评标结果汇总完成后，除下列情形外，任何人不得修改评标结果：</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（一）分值汇总计算错误的；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（二）分项评分超出评分标准范围的；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（三）评标委员会成员对客观评审因素评分不一致的；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（四）经评标委员会认定评分畸高、畸低的。</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27"/>
        <w:spacing w:line="360" w:lineRule="auto"/>
        <w:outlineLvl w:val="0"/>
        <w:rPr>
          <w:rFonts w:hint="eastAsia" w:ascii="宋体" w:hAnsi="宋体" w:eastAsia="宋体" w:cs="宋体"/>
          <w:b w:val="0"/>
          <w:bCs w:val="0"/>
          <w:i w:val="0"/>
          <w:iCs w:val="0"/>
          <w:color w:val="auto"/>
          <w:kern w:val="2"/>
          <w:sz w:val="24"/>
          <w:szCs w:val="24"/>
          <w:highlight w:val="none"/>
          <w:lang w:val="en-US" w:eastAsia="zh-CN" w:bidi="ar-SA"/>
        </w:rPr>
      </w:pPr>
      <w:bookmarkStart w:id="50" w:name="_Toc492286402"/>
      <w:r>
        <w:rPr>
          <w:rFonts w:hint="eastAsia" w:ascii="宋体" w:hAnsi="宋体" w:eastAsia="宋体" w:cs="宋体"/>
          <w:b w:val="0"/>
          <w:bCs w:val="0"/>
          <w:i w:val="0"/>
          <w:iCs w:val="0"/>
          <w:color w:val="auto"/>
          <w:kern w:val="2"/>
          <w:sz w:val="24"/>
          <w:szCs w:val="24"/>
          <w:highlight w:val="none"/>
          <w:lang w:val="en-US" w:eastAsia="zh-CN" w:bidi="ar-SA"/>
        </w:rPr>
        <w:t>3.8评标报告</w:t>
      </w:r>
      <w:bookmarkEnd w:id="50"/>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（一）招标公告刊登的媒体名称、开标日期和地点；</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（二）投标人名单和评标委员会成员名单；</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（三）评标方法和标准；</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（四）开标记录和评标情况及说明，包括无效投标人名单及原因；</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2"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2" w:firstLineChars="200"/>
        <w:rPr>
          <w:rFonts w:hint="eastAsia" w:ascii="宋体" w:hAnsi="宋体" w:cs="宋体"/>
          <w:b/>
          <w:i w:val="0"/>
          <w:iCs w:val="0"/>
          <w:color w:val="auto"/>
          <w:sz w:val="24"/>
          <w:highlight w:val="none"/>
        </w:rPr>
      </w:pPr>
      <w:r>
        <w:rPr>
          <w:rFonts w:hint="eastAsia" w:ascii="宋体" w:hAnsi="宋体" w:eastAsia="宋体" w:cs="宋体"/>
          <w:b w:val="0"/>
          <w:bCs w:val="0"/>
          <w:i w:val="0"/>
          <w:i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p>
    <w:p>
      <w:pPr>
        <w:pStyle w:val="27"/>
        <w:jc w:val="center"/>
        <w:outlineLvl w:val="1"/>
        <w:rPr>
          <w:rFonts w:hint="eastAsia"/>
          <w:b/>
          <w:bCs/>
          <w:i w:val="0"/>
          <w:iCs w:val="0"/>
          <w:color w:val="auto"/>
          <w:highlight w:val="none"/>
        </w:rPr>
      </w:pPr>
      <w:r>
        <w:rPr>
          <w:rFonts w:hint="eastAsia"/>
          <w:b/>
          <w:bCs/>
          <w:i w:val="0"/>
          <w:iCs w:val="0"/>
          <w:color w:val="auto"/>
          <w:highlight w:val="none"/>
        </w:rPr>
        <w:t>七、授予合同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  签订合同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28.1  中标人收到《中标通知书》后，须按有关规定与采购人签定经济合同。合同的签订一般在《中标通知书》发出后30天内进行，但采购人事先约定的情况除外。</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28.2  合同签订后，中标人应按合同的规定履行合同，未按规定履约的，采购人有权取消合同，并且不退还中标人的投标保证金。</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28.3  中标合同不得转让或分包。如需对合同的非主体部分进行转让或分包，投标人必须在</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中予以说明，并需经采购人同意。否则，采购人有权取消中标人的中标资格。</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28.5  合同履约保证金的形式为银行保函，另有约定的，按照约定条件执行。</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  合同的组成</w:t>
      </w:r>
    </w:p>
    <w:p>
      <w:pPr>
        <w:pStyle w:val="28"/>
        <w:spacing w:line="360" w:lineRule="auto"/>
        <w:ind w:firstLine="482" w:firstLineChars="200"/>
        <w:jc w:val="both"/>
        <w:outlineLvl w:val="2"/>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  下列文件均为经济合同不可分割的组成部分：</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 xml:space="preserve">29.1.1  </w:t>
      </w:r>
      <w:r>
        <w:rPr>
          <w:rFonts w:hint="eastAsia" w:ascii="宋体" w:hAnsi="宋体" w:cs="宋体"/>
          <w:i w:val="0"/>
          <w:iCs w:val="0"/>
          <w:color w:val="auto"/>
          <w:szCs w:val="24"/>
          <w:highlight w:val="none"/>
          <w:lang w:eastAsia="zh-CN"/>
        </w:rPr>
        <w:t>竞争性磋商文件</w:t>
      </w:r>
      <w:r>
        <w:rPr>
          <w:rFonts w:hint="eastAsia" w:ascii="宋体" w:hAnsi="宋体" w:cs="宋体"/>
          <w:i w:val="0"/>
          <w:iCs w:val="0"/>
          <w:color w:val="auto"/>
          <w:szCs w:val="24"/>
          <w:highlight w:val="none"/>
        </w:rPr>
        <w:t>及其附件、澄清文件；</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29.1.2  中标的</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 xml:space="preserve">及其他附件； </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29.1.3  经确认的答疑记录；</w:t>
      </w:r>
    </w:p>
    <w:p>
      <w:pPr>
        <w:pStyle w:val="28"/>
        <w:spacing w:line="360" w:lineRule="auto"/>
        <w:ind w:firstLine="482"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29.1.4  中标通知书。</w:t>
      </w:r>
    </w:p>
    <w:p>
      <w:pPr>
        <w:pStyle w:val="27"/>
        <w:jc w:val="center"/>
        <w:outlineLvl w:val="1"/>
        <w:rPr>
          <w:rFonts w:hint="eastAsia"/>
          <w:b/>
          <w:bCs/>
          <w:i w:val="0"/>
          <w:iCs w:val="0"/>
          <w:color w:val="auto"/>
          <w:highlight w:val="none"/>
        </w:rPr>
      </w:pPr>
      <w:r>
        <w:rPr>
          <w:rFonts w:hint="eastAsia"/>
          <w:b/>
          <w:bCs/>
          <w:i w:val="0"/>
          <w:iCs w:val="0"/>
          <w:color w:val="auto"/>
          <w:highlight w:val="none"/>
          <w:lang w:val="en-US" w:eastAsia="zh-CN"/>
        </w:rPr>
        <w:t>八</w:t>
      </w:r>
      <w:r>
        <w:rPr>
          <w:rFonts w:hint="eastAsia"/>
          <w:b/>
          <w:bCs/>
          <w:i w:val="0"/>
          <w:iCs w:val="0"/>
          <w:color w:val="auto"/>
          <w:highlight w:val="none"/>
        </w:rPr>
        <w:t>、其他事项</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  中标服务费</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31.1 中标人应按本</w:t>
      </w:r>
      <w:r>
        <w:rPr>
          <w:rFonts w:hint="eastAsia" w:ascii="宋体" w:hAnsi="宋体" w:eastAsia="宋体" w:cs="宋体"/>
          <w:i w:val="0"/>
          <w:iCs w:val="0"/>
          <w:color w:val="auto"/>
          <w:sz w:val="24"/>
          <w:highlight w:val="none"/>
          <w:lang w:eastAsia="zh-CN"/>
        </w:rPr>
        <w:t>竞争性磋商文件</w:t>
      </w:r>
      <w:r>
        <w:rPr>
          <w:rFonts w:hint="eastAsia" w:ascii="宋体" w:hAnsi="宋体" w:eastAsia="宋体" w:cs="宋体"/>
          <w:i w:val="0"/>
          <w:iCs w:val="0"/>
          <w:color w:val="auto"/>
          <w:sz w:val="24"/>
          <w:highlight w:val="none"/>
        </w:rPr>
        <w:t>的规定，在《中标通知书》核发时至核发后3天内，向采购代理机构支付中标服务费。</w:t>
      </w:r>
    </w:p>
    <w:p>
      <w:pPr>
        <w:pStyle w:val="32"/>
        <w:spacing w:line="360" w:lineRule="auto"/>
        <w:ind w:firstLine="483"/>
        <w:rPr>
          <w:rFonts w:hint="eastAsia" w:ascii="宋体" w:hAnsi="宋体" w:eastAsia="宋体" w:cs="宋体"/>
          <w:i w:val="0"/>
          <w:iCs w:val="0"/>
          <w:color w:val="auto"/>
          <w:sz w:val="24"/>
          <w:highlight w:val="none"/>
        </w:rPr>
      </w:pPr>
      <w:bookmarkStart w:id="51" w:name="_Toc19074"/>
      <w:bookmarkStart w:id="52" w:name="_Toc14033"/>
      <w:r>
        <w:rPr>
          <w:rFonts w:hint="eastAsia" w:ascii="宋体" w:hAnsi="宋体" w:eastAsia="宋体" w:cs="宋体"/>
          <w:i w:val="0"/>
          <w:iCs w:val="0"/>
          <w:color w:val="auto"/>
          <w:sz w:val="24"/>
          <w:highlight w:val="none"/>
        </w:rPr>
        <w:t>31.2 中标服务费的计算基数是中标人投标报价的总金额，即中标通知书中载明的中标金额</w:t>
      </w:r>
      <w:bookmarkEnd w:id="51"/>
      <w:bookmarkEnd w:id="52"/>
      <w:r>
        <w:rPr>
          <w:rFonts w:hint="eastAsia" w:ascii="宋体" w:hAnsi="宋体" w:eastAsia="宋体" w:cs="宋体"/>
          <w:i w:val="0"/>
          <w:iCs w:val="0"/>
          <w:color w:val="auto"/>
          <w:sz w:val="24"/>
          <w:highlight w:val="none"/>
        </w:rPr>
        <w:t>。</w:t>
      </w:r>
    </w:p>
    <w:p>
      <w:pPr>
        <w:pStyle w:val="32"/>
        <w:spacing w:line="360" w:lineRule="auto"/>
        <w:ind w:firstLine="483"/>
        <w:rPr>
          <w:rFonts w:hint="eastAsia" w:ascii="宋体" w:hAnsi="宋体" w:eastAsia="宋体" w:cs="宋体"/>
          <w:i w:val="0"/>
          <w:iCs w:val="0"/>
          <w:color w:val="auto"/>
          <w:sz w:val="24"/>
          <w:highlight w:val="none"/>
        </w:rPr>
      </w:pPr>
      <w:bookmarkStart w:id="53" w:name="_Toc12711"/>
      <w:r>
        <w:rPr>
          <w:rFonts w:hint="eastAsia" w:ascii="宋体" w:hAnsi="宋体" w:eastAsia="宋体" w:cs="宋体"/>
          <w:i w:val="0"/>
          <w:iCs w:val="0"/>
          <w:color w:val="auto"/>
          <w:sz w:val="24"/>
          <w:highlight w:val="none"/>
        </w:rPr>
        <w:t>32. 参与本次招标的投标企业必须有商务、技术人员对评标委员会提出的商务、技术问题进行答疑。</w:t>
      </w:r>
      <w:bookmarkEnd w:id="53"/>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 有下列情形之一的，视为投标人串通投标，其投标无效：</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33.1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由同一单位或者个人编制；</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33.2  不同投标人委托同一单位或者个人办理投标事宜；</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33.3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载明的项目管理成员或者联系人员为同一人；</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33.4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异常一致或者投标报价呈规律性差异；</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33.5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相互混装；</w:t>
      </w:r>
    </w:p>
    <w:p>
      <w:pPr>
        <w:pStyle w:val="32"/>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33.6  不同投标人的投标保证金从同一单位或者个人的账户转出。</w:t>
      </w:r>
      <w:bookmarkStart w:id="54" w:name="_Toc22965"/>
      <w:bookmarkStart w:id="55" w:name="_Toc460703982"/>
      <w:bookmarkStart w:id="56" w:name="_Toc5416"/>
      <w:bookmarkStart w:id="57" w:name="_Toc16742"/>
      <w:bookmarkStart w:id="58" w:name="_Toc31265"/>
      <w:bookmarkStart w:id="59" w:name="_Toc3191"/>
      <w:bookmarkStart w:id="60" w:name="_Toc179632806"/>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2"/>
        <w:spacing w:line="360" w:lineRule="auto"/>
        <w:ind w:firstLine="483"/>
        <w:rPr>
          <w:rFonts w:hint="eastAsia" w:ascii="宋体" w:hAnsi="宋体" w:eastAsia="宋体" w:cs="宋体"/>
          <w:i w:val="0"/>
          <w:iCs w:val="0"/>
          <w:color w:val="auto"/>
          <w:sz w:val="24"/>
          <w:highlight w:val="none"/>
        </w:rPr>
      </w:pPr>
    </w:p>
    <w:p>
      <w:pPr>
        <w:pStyle w:val="3"/>
        <w:numPr>
          <w:ilvl w:val="0"/>
          <w:numId w:val="0"/>
        </w:numPr>
        <w:tabs>
          <w:tab w:val="left" w:pos="2811"/>
          <w:tab w:val="center" w:pos="4818"/>
        </w:tabs>
        <w:bidi w:val="0"/>
        <w:spacing w:line="240" w:lineRule="auto"/>
        <w:ind w:leftChars="0"/>
        <w:jc w:val="both"/>
        <w:rPr>
          <w:rFonts w:hint="eastAsia" w:ascii="宋体" w:hAnsi="宋体" w:eastAsia="宋体" w:cs="宋体"/>
          <w:b/>
          <w:bCs w:val="0"/>
          <w:i w:val="0"/>
          <w:iCs w:val="0"/>
          <w:color w:val="auto"/>
          <w:sz w:val="32"/>
          <w:szCs w:val="32"/>
          <w:highlight w:val="none"/>
          <w:lang w:val="en-US" w:eastAsia="zh-CN"/>
        </w:rPr>
      </w:pPr>
    </w:p>
    <w:p>
      <w:pPr>
        <w:rPr>
          <w:rFonts w:hint="eastAsia" w:ascii="宋体" w:hAnsi="宋体" w:eastAsia="宋体" w:cs="宋体"/>
          <w:b/>
          <w:bCs w:val="0"/>
          <w:i w:val="0"/>
          <w:iCs w:val="0"/>
          <w:color w:val="auto"/>
          <w:sz w:val="32"/>
          <w:szCs w:val="32"/>
          <w:highlight w:val="none"/>
          <w:lang w:val="en-US" w:eastAsia="zh-CN"/>
        </w:rPr>
      </w:pPr>
    </w:p>
    <w:p>
      <w:pPr>
        <w:pStyle w:val="7"/>
        <w:rPr>
          <w:rFonts w:hint="eastAsia" w:ascii="宋体" w:hAnsi="宋体" w:eastAsia="宋体" w:cs="宋体"/>
          <w:b/>
          <w:bCs w:val="0"/>
          <w:i w:val="0"/>
          <w:iCs w:val="0"/>
          <w:color w:val="auto"/>
          <w:sz w:val="32"/>
          <w:szCs w:val="32"/>
          <w:highlight w:val="none"/>
          <w:lang w:val="en-US" w:eastAsia="zh-CN"/>
        </w:rPr>
      </w:pPr>
    </w:p>
    <w:p>
      <w:pPr>
        <w:rPr>
          <w:rFonts w:hint="eastAsia" w:ascii="宋体" w:hAnsi="宋体" w:eastAsia="宋体" w:cs="宋体"/>
          <w:b/>
          <w:bCs w:val="0"/>
          <w:i w:val="0"/>
          <w:iCs w:val="0"/>
          <w:color w:val="auto"/>
          <w:sz w:val="32"/>
          <w:szCs w:val="32"/>
          <w:highlight w:val="none"/>
          <w:lang w:val="en-US" w:eastAsia="zh-CN"/>
        </w:rPr>
      </w:pPr>
    </w:p>
    <w:p>
      <w:pPr>
        <w:pStyle w:val="7"/>
        <w:rPr>
          <w:rFonts w:hint="eastAsia"/>
          <w:lang w:val="en-US" w:eastAsia="zh-CN"/>
        </w:rPr>
      </w:pPr>
    </w:p>
    <w:p>
      <w:pPr>
        <w:rPr>
          <w:rFonts w:hint="eastAsia"/>
          <w:lang w:val="en-US" w:eastAsia="zh-CN"/>
        </w:rPr>
      </w:pPr>
    </w:p>
    <w:p>
      <w:pPr>
        <w:pStyle w:val="2"/>
        <w:rPr>
          <w:rFonts w:hint="eastAsia"/>
          <w:lang w:val="en-US" w:eastAsia="zh-CN"/>
        </w:rPr>
      </w:pPr>
    </w:p>
    <w:p>
      <w:pPr>
        <w:pStyle w:val="3"/>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第三章  合同主要条款</w:t>
      </w:r>
      <w:bookmarkEnd w:id="54"/>
      <w:bookmarkEnd w:id="55"/>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pStyle w:val="3"/>
        <w:numPr>
          <w:ilvl w:val="0"/>
          <w:numId w:val="0"/>
        </w:numPr>
        <w:bidi w:val="0"/>
        <w:spacing w:line="240" w:lineRule="auto"/>
        <w:ind w:leftChars="0"/>
        <w:jc w:val="center"/>
        <w:rPr>
          <w:rFonts w:hint="eastAsia"/>
          <w:b/>
          <w:i w:val="0"/>
          <w:iCs w:val="0"/>
          <w:color w:val="auto"/>
          <w:highlight w:val="none"/>
        </w:rPr>
      </w:pPr>
    </w:p>
    <w:p>
      <w:pPr>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pStyle w:val="30"/>
        <w:rPr>
          <w:rFonts w:hint="eastAsia"/>
          <w:b/>
          <w:i w:val="0"/>
          <w:iCs w:val="0"/>
          <w:color w:val="auto"/>
          <w:highlight w:val="none"/>
        </w:rPr>
      </w:pPr>
    </w:p>
    <w:p>
      <w:pPr>
        <w:rPr>
          <w:rFonts w:hint="eastAsia"/>
          <w:i w:val="0"/>
          <w:iCs w:val="0"/>
          <w:color w:val="auto"/>
        </w:rPr>
      </w:pPr>
    </w:p>
    <w:p>
      <w:pPr>
        <w:pStyle w:val="3"/>
        <w:keepLines w:val="0"/>
        <w:pageBreakBefore/>
        <w:numPr>
          <w:ilvl w:val="0"/>
          <w:numId w:val="5"/>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 xml:space="preserve"> 采购需求</w:t>
      </w:r>
    </w:p>
    <w:p>
      <w:pPr>
        <w:numPr>
          <w:ilvl w:val="0"/>
          <w:numId w:val="0"/>
        </w:numPr>
        <w:spacing w:line="360" w:lineRule="auto"/>
        <w:ind w:firstLine="482" w:firstLineChars="200"/>
        <w:rPr>
          <w:rFonts w:hint="eastAsia"/>
          <w:sz w:val="24"/>
          <w:szCs w:val="24"/>
        </w:rPr>
      </w:pPr>
      <w:r>
        <w:rPr>
          <w:rFonts w:hint="eastAsia"/>
          <w:sz w:val="24"/>
          <w:szCs w:val="24"/>
        </w:rPr>
        <w:t>本次招标遵循公开、公平、公正的原则，相关参数及要求由采购人提供的清单为准，具体要求详见清单，如下：</w:t>
      </w:r>
    </w:p>
    <w:p>
      <w:pPr>
        <w:numPr>
          <w:ilvl w:val="0"/>
          <w:numId w:val="0"/>
        </w:numPr>
        <w:spacing w:line="360" w:lineRule="auto"/>
        <w:rPr>
          <w:rFonts w:hint="eastAsia"/>
          <w:sz w:val="24"/>
          <w:szCs w:val="24"/>
        </w:rPr>
      </w:pPr>
      <w:r>
        <w:rPr>
          <w:rFonts w:hint="eastAsia"/>
          <w:sz w:val="24"/>
          <w:szCs w:val="24"/>
        </w:rPr>
        <w:t>工期要求：</w:t>
      </w:r>
      <w:r>
        <w:rPr>
          <w:rFonts w:hint="eastAsia"/>
          <w:sz w:val="24"/>
          <w:szCs w:val="24"/>
          <w:lang w:val="en-US" w:eastAsia="zh-CN"/>
        </w:rPr>
        <w:t>按照甲乙双方签订的合同日期执行。</w:t>
      </w:r>
    </w:p>
    <w:p>
      <w:pPr>
        <w:numPr>
          <w:ilvl w:val="0"/>
          <w:numId w:val="0"/>
        </w:numPr>
        <w:spacing w:line="360" w:lineRule="auto"/>
        <w:rPr>
          <w:rFonts w:hint="eastAsia"/>
          <w:sz w:val="24"/>
          <w:szCs w:val="24"/>
        </w:rPr>
      </w:pPr>
      <w:bookmarkStart w:id="61" w:name="_Toc14404"/>
      <w:r>
        <w:rPr>
          <w:rFonts w:hint="eastAsia"/>
          <w:sz w:val="24"/>
          <w:szCs w:val="24"/>
        </w:rPr>
        <w:t>质量要求：达到验收合格标准。</w:t>
      </w:r>
      <w:bookmarkEnd w:id="61"/>
    </w:p>
    <w:p>
      <w:pPr>
        <w:numPr>
          <w:ilvl w:val="0"/>
          <w:numId w:val="0"/>
        </w:numPr>
        <w:spacing w:line="360" w:lineRule="auto"/>
        <w:rPr>
          <w:rFonts w:hint="eastAsia"/>
          <w:sz w:val="24"/>
          <w:szCs w:val="24"/>
        </w:rPr>
      </w:pPr>
      <w:bookmarkStart w:id="62" w:name="_Toc11190"/>
      <w:r>
        <w:rPr>
          <w:rFonts w:hint="eastAsia"/>
          <w:sz w:val="24"/>
          <w:szCs w:val="24"/>
        </w:rPr>
        <w:t>工作方案</w:t>
      </w:r>
      <w:bookmarkEnd w:id="62"/>
    </w:p>
    <w:p>
      <w:pPr>
        <w:numPr>
          <w:ilvl w:val="0"/>
          <w:numId w:val="0"/>
        </w:numPr>
        <w:spacing w:line="360" w:lineRule="auto"/>
        <w:ind w:firstLine="482" w:firstLineChars="200"/>
        <w:rPr>
          <w:rFonts w:hint="eastAsia"/>
          <w:sz w:val="24"/>
          <w:szCs w:val="24"/>
          <w:lang w:val="en-US" w:eastAsia="zh-CN"/>
        </w:rPr>
      </w:pPr>
      <w:r>
        <w:rPr>
          <w:rFonts w:hint="eastAsia"/>
          <w:sz w:val="24"/>
          <w:szCs w:val="24"/>
          <w:lang w:eastAsia="zh-CN"/>
        </w:rPr>
        <w:t>为进一步提高项目建设管理水平，确保</w:t>
      </w:r>
      <w:r>
        <w:rPr>
          <w:rFonts w:hint="eastAsia"/>
          <w:sz w:val="24"/>
          <w:szCs w:val="24"/>
          <w:lang w:val="en-US" w:eastAsia="zh-CN"/>
        </w:rPr>
        <w:t>2023年3.15万亩高标准农田建设项目管理任务顺利完成，我单位委托具有水利工程管理经验、技术、能力的第三方负责对项目质量、安全、进度、验收、审计等环节进行全过程管理。</w:t>
      </w:r>
    </w:p>
    <w:p>
      <w:pPr>
        <w:numPr>
          <w:ilvl w:val="0"/>
          <w:numId w:val="0"/>
        </w:numPr>
        <w:spacing w:line="360" w:lineRule="auto"/>
        <w:rPr>
          <w:rFonts w:hint="eastAsia"/>
          <w:sz w:val="24"/>
          <w:szCs w:val="24"/>
        </w:rPr>
      </w:pPr>
      <w:bookmarkStart w:id="63" w:name="_Toc570"/>
      <w:r>
        <w:rPr>
          <w:rFonts w:hint="eastAsia"/>
          <w:sz w:val="24"/>
          <w:szCs w:val="24"/>
        </w:rPr>
        <w:t>一、建设内容：</w:t>
      </w:r>
      <w:bookmarkEnd w:id="63"/>
    </w:p>
    <w:p>
      <w:pPr>
        <w:numPr>
          <w:ilvl w:val="0"/>
          <w:numId w:val="0"/>
        </w:numPr>
        <w:spacing w:line="360" w:lineRule="auto"/>
        <w:ind w:firstLine="482" w:firstLineChars="200"/>
        <w:rPr>
          <w:rFonts w:hint="eastAsia"/>
          <w:sz w:val="24"/>
          <w:szCs w:val="24"/>
          <w:lang w:val="en-US" w:eastAsia="zh-CN"/>
        </w:rPr>
      </w:pPr>
      <w:bookmarkStart w:id="64" w:name="_Toc21593"/>
      <w:r>
        <w:rPr>
          <w:rFonts w:hint="eastAsia"/>
          <w:sz w:val="24"/>
          <w:szCs w:val="24"/>
          <w:lang w:val="en-US" w:eastAsia="zh-CN"/>
        </w:rPr>
        <w:t>2023年3.15万亩高标准农田建设项目管理</w:t>
      </w:r>
      <w:bookmarkStart w:id="90" w:name="_GoBack"/>
      <w:bookmarkEnd w:id="90"/>
    </w:p>
    <w:p>
      <w:pPr>
        <w:numPr>
          <w:ilvl w:val="0"/>
          <w:numId w:val="0"/>
        </w:numPr>
        <w:spacing w:line="360" w:lineRule="auto"/>
        <w:rPr>
          <w:rFonts w:hint="eastAsia"/>
          <w:sz w:val="24"/>
          <w:szCs w:val="24"/>
        </w:rPr>
      </w:pPr>
      <w:r>
        <w:rPr>
          <w:rFonts w:hint="eastAsia"/>
          <w:sz w:val="24"/>
          <w:szCs w:val="24"/>
        </w:rPr>
        <w:t>二、</w:t>
      </w:r>
      <w:r>
        <w:rPr>
          <w:rFonts w:hint="eastAsia"/>
          <w:sz w:val="24"/>
          <w:szCs w:val="24"/>
          <w:lang w:eastAsia="zh-CN"/>
        </w:rPr>
        <w:t>结算</w:t>
      </w:r>
      <w:r>
        <w:rPr>
          <w:rFonts w:hint="eastAsia"/>
          <w:sz w:val="24"/>
          <w:szCs w:val="24"/>
        </w:rPr>
        <w:t>和管理：</w:t>
      </w:r>
      <w:bookmarkEnd w:id="64"/>
    </w:p>
    <w:p>
      <w:pPr>
        <w:numPr>
          <w:ilvl w:val="0"/>
          <w:numId w:val="0"/>
        </w:numPr>
        <w:spacing w:line="360" w:lineRule="auto"/>
        <w:ind w:firstLine="482" w:firstLineChars="200"/>
        <w:rPr>
          <w:rFonts w:hint="eastAsia"/>
          <w:sz w:val="24"/>
          <w:szCs w:val="24"/>
          <w:lang w:eastAsia="zh-CN"/>
        </w:rPr>
      </w:pPr>
      <w:bookmarkStart w:id="65" w:name="_Toc4056"/>
      <w:r>
        <w:rPr>
          <w:rFonts w:hint="eastAsia"/>
          <w:sz w:val="24"/>
          <w:szCs w:val="24"/>
        </w:rPr>
        <w:t>1、工程</w:t>
      </w:r>
      <w:r>
        <w:rPr>
          <w:rFonts w:hint="eastAsia"/>
          <w:sz w:val="24"/>
          <w:szCs w:val="24"/>
          <w:lang w:eastAsia="zh-CN"/>
        </w:rPr>
        <w:t>审批</w:t>
      </w:r>
      <w:r>
        <w:rPr>
          <w:rFonts w:hint="eastAsia"/>
          <w:sz w:val="24"/>
          <w:szCs w:val="24"/>
        </w:rPr>
        <w:t>：协助项目业主负责项目前期勘测设计审批</w:t>
      </w:r>
      <w:bookmarkEnd w:id="65"/>
      <w:bookmarkStart w:id="66" w:name="_Toc3883"/>
      <w:r>
        <w:rPr>
          <w:rFonts w:hint="eastAsia"/>
          <w:sz w:val="24"/>
          <w:szCs w:val="24"/>
          <w:lang w:eastAsia="zh-CN"/>
        </w:rPr>
        <w:t>。</w:t>
      </w:r>
    </w:p>
    <w:p>
      <w:pPr>
        <w:numPr>
          <w:ilvl w:val="0"/>
          <w:numId w:val="0"/>
        </w:numPr>
        <w:spacing w:line="360" w:lineRule="auto"/>
        <w:ind w:firstLine="482" w:firstLineChars="200"/>
        <w:rPr>
          <w:rFonts w:hint="eastAsia"/>
          <w:sz w:val="24"/>
          <w:szCs w:val="24"/>
        </w:rPr>
      </w:pPr>
      <w:r>
        <w:rPr>
          <w:rFonts w:hint="eastAsia"/>
          <w:sz w:val="24"/>
          <w:szCs w:val="24"/>
        </w:rPr>
        <w:t>2、竣工结算：协助项目业主完成工程量审核，委托具有相应资质的造价咨询单位审核，并执行</w:t>
      </w:r>
      <w:r>
        <w:rPr>
          <w:rFonts w:hint="eastAsia"/>
          <w:sz w:val="24"/>
          <w:szCs w:val="24"/>
          <w:lang w:val="en-US" w:eastAsia="zh-CN"/>
        </w:rPr>
        <w:t>市</w:t>
      </w:r>
      <w:r>
        <w:rPr>
          <w:rFonts w:hint="eastAsia"/>
          <w:sz w:val="24"/>
          <w:szCs w:val="24"/>
        </w:rPr>
        <w:t>政府关于工程预决算的管理办法。</w:t>
      </w:r>
      <w:bookmarkEnd w:id="66"/>
    </w:p>
    <w:p>
      <w:pPr>
        <w:numPr>
          <w:ilvl w:val="0"/>
          <w:numId w:val="0"/>
        </w:numPr>
        <w:spacing w:line="360" w:lineRule="auto"/>
        <w:ind w:firstLine="482" w:firstLineChars="200"/>
        <w:rPr>
          <w:rFonts w:hint="eastAsia"/>
          <w:sz w:val="24"/>
          <w:szCs w:val="24"/>
        </w:rPr>
      </w:pPr>
      <w:bookmarkStart w:id="67" w:name="_Toc3251"/>
      <w:r>
        <w:rPr>
          <w:rFonts w:hint="eastAsia"/>
          <w:sz w:val="24"/>
          <w:szCs w:val="24"/>
        </w:rPr>
        <w:t>3、协助项目业主配合接受审计部门依法对本项目预决算执行情况进行的审计。</w:t>
      </w:r>
      <w:bookmarkEnd w:id="67"/>
    </w:p>
    <w:p>
      <w:pPr>
        <w:numPr>
          <w:ilvl w:val="0"/>
          <w:numId w:val="0"/>
        </w:numPr>
        <w:spacing w:line="360" w:lineRule="auto"/>
        <w:rPr>
          <w:rFonts w:hint="eastAsia"/>
          <w:sz w:val="24"/>
          <w:szCs w:val="24"/>
          <w:lang w:val="en-US" w:eastAsia="zh-CN"/>
        </w:rPr>
      </w:pPr>
      <w:bookmarkStart w:id="68" w:name="_Toc11973"/>
      <w:r>
        <w:rPr>
          <w:rFonts w:hint="eastAsia"/>
          <w:sz w:val="24"/>
          <w:szCs w:val="24"/>
        </w:rPr>
        <w:t>三、项目管理工作内容及职责</w:t>
      </w:r>
      <w:bookmarkEnd w:id="68"/>
      <w:r>
        <w:rPr>
          <w:rFonts w:hint="eastAsia"/>
          <w:sz w:val="24"/>
          <w:szCs w:val="24"/>
          <w:lang w:val="en-US" w:eastAsia="zh-CN"/>
        </w:rPr>
        <w:t xml:space="preserve">  </w:t>
      </w:r>
    </w:p>
    <w:p>
      <w:pPr>
        <w:numPr>
          <w:ilvl w:val="0"/>
          <w:numId w:val="0"/>
        </w:numPr>
        <w:spacing w:line="360" w:lineRule="auto"/>
        <w:rPr>
          <w:rFonts w:hint="eastAsia"/>
          <w:sz w:val="24"/>
          <w:szCs w:val="24"/>
          <w:lang w:val="en-US" w:eastAsia="zh-CN"/>
        </w:rPr>
      </w:pPr>
      <w:r>
        <w:rPr>
          <w:rFonts w:hint="eastAsia"/>
          <w:sz w:val="24"/>
          <w:szCs w:val="24"/>
          <w:lang w:val="en-US" w:eastAsia="zh-CN"/>
        </w:rPr>
        <w:t>（一）前期设计阶段</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 xml:space="preserve">协助项目业主按照批复的内容，结合实际情况，对项目初步设计或实施方案进行评审，督促设计单位按期修改，以完成符合项目要求的设计成果。   </w:t>
      </w:r>
    </w:p>
    <w:p>
      <w:pPr>
        <w:numPr>
          <w:ilvl w:val="0"/>
          <w:numId w:val="0"/>
        </w:numPr>
        <w:spacing w:line="360" w:lineRule="auto"/>
        <w:rPr>
          <w:rFonts w:hint="eastAsia"/>
          <w:sz w:val="24"/>
          <w:szCs w:val="24"/>
          <w:lang w:val="en-US" w:eastAsia="zh-CN"/>
        </w:rPr>
      </w:pPr>
      <w:r>
        <w:rPr>
          <w:rFonts w:hint="eastAsia"/>
          <w:sz w:val="24"/>
          <w:szCs w:val="24"/>
          <w:lang w:val="en-US" w:eastAsia="zh-CN"/>
        </w:rPr>
        <w:t>（二）工程建设管理阶段</w:t>
      </w:r>
    </w:p>
    <w:p>
      <w:pPr>
        <w:numPr>
          <w:ilvl w:val="0"/>
          <w:numId w:val="0"/>
        </w:numPr>
        <w:spacing w:line="360" w:lineRule="auto"/>
        <w:ind w:firstLine="482" w:firstLineChars="200"/>
        <w:rPr>
          <w:rFonts w:hint="eastAsia"/>
          <w:sz w:val="24"/>
          <w:szCs w:val="24"/>
          <w:lang w:val="en-US" w:eastAsia="zh-CN"/>
        </w:rPr>
      </w:pPr>
      <w:bookmarkStart w:id="69" w:name="_Toc7014"/>
      <w:r>
        <w:rPr>
          <w:rFonts w:hint="eastAsia"/>
          <w:sz w:val="24"/>
          <w:szCs w:val="24"/>
          <w:lang w:val="en-US" w:eastAsia="zh-CN"/>
        </w:rPr>
        <w:t>1、协助项目业主与工参建各单位签订相关合同并将签订的合同报相关行政主管部门和使用单位备案，负责所签合同履行的管理。</w:t>
      </w:r>
      <w:bookmarkEnd w:id="69"/>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2、协助项目业主督促参建各方按合同约定时间及时进场，督促参建各方制定符合工期、质量要求的工程建设计划，并报业主审核批准。</w:t>
      </w:r>
      <w:bookmarkStart w:id="70" w:name="_Toc1976"/>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3、协助项目业主组织参建各方按照批复的初步设计或实施方案的建设规模、内容、标准进行工程建设</w:t>
      </w:r>
      <w:bookmarkEnd w:id="70"/>
      <w:bookmarkStart w:id="71" w:name="_Toc10055"/>
      <w:r>
        <w:rPr>
          <w:rFonts w:hint="eastAsia"/>
          <w:sz w:val="24"/>
          <w:szCs w:val="24"/>
          <w:lang w:val="en-US" w:eastAsia="zh-CN"/>
        </w:rPr>
        <w:t>。</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4、协助项目业主协调解决工程建设各方在建设过程中遇到的问题，如拆迁、征地等问题。</w:t>
      </w:r>
      <w:bookmarkEnd w:id="71"/>
      <w:bookmarkStart w:id="72" w:name="_Toc31540"/>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5、</w:t>
      </w:r>
      <w:bookmarkEnd w:id="72"/>
      <w:r>
        <w:rPr>
          <w:rFonts w:hint="eastAsia"/>
          <w:sz w:val="24"/>
          <w:szCs w:val="24"/>
          <w:lang w:val="en-US" w:eastAsia="zh-CN"/>
        </w:rPr>
        <w:t>协助项目业主制定应急预案，以解决项目建设中遇到的紧急、特殊情况。</w:t>
      </w:r>
      <w:bookmarkStart w:id="73" w:name="_Toc19053"/>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6、协助项目业主督促参建各方做好工程建设过程中的隐蔽工程、单元工程、分部工程、单位工程等的质量把关，及时对工程质量、工程安全及安全生产工作进行督促、指导和检查。</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7、督促参建各单位按照合同约定向及时向业主上报各种工程建设信息和简报，及时收集、整理并归档项目建设各类资料。</w:t>
      </w:r>
    </w:p>
    <w:p>
      <w:pPr>
        <w:numPr>
          <w:ilvl w:val="0"/>
          <w:numId w:val="0"/>
        </w:numPr>
        <w:spacing w:line="360" w:lineRule="auto"/>
        <w:ind w:firstLine="482" w:firstLineChars="200"/>
        <w:rPr>
          <w:rFonts w:hint="eastAsia"/>
          <w:sz w:val="24"/>
          <w:szCs w:val="24"/>
          <w:lang w:val="en-US" w:eastAsia="zh-CN"/>
        </w:rPr>
      </w:pPr>
      <w:r>
        <w:rPr>
          <w:rFonts w:hint="eastAsia"/>
          <w:sz w:val="24"/>
          <w:szCs w:val="24"/>
          <w:lang w:val="en-US" w:eastAsia="zh-CN"/>
        </w:rPr>
        <w:t>8、协助项目业主协调处理参建各方之间的纠纷、矛盾和问题，确保工程按期、按质量要求完工。</w:t>
      </w:r>
    </w:p>
    <w:bookmarkEnd w:id="73"/>
    <w:p>
      <w:pPr>
        <w:numPr>
          <w:ilvl w:val="0"/>
          <w:numId w:val="0"/>
        </w:numPr>
        <w:spacing w:line="360" w:lineRule="auto"/>
        <w:ind w:firstLine="482" w:firstLineChars="200"/>
        <w:rPr>
          <w:rFonts w:hint="eastAsia"/>
          <w:sz w:val="24"/>
          <w:szCs w:val="24"/>
          <w:lang w:val="en-US" w:eastAsia="zh-CN"/>
        </w:rPr>
      </w:pPr>
      <w:bookmarkStart w:id="74" w:name="_Toc11025"/>
      <w:r>
        <w:rPr>
          <w:rFonts w:hint="eastAsia"/>
          <w:sz w:val="24"/>
          <w:szCs w:val="24"/>
          <w:lang w:val="en-US" w:eastAsia="zh-CN"/>
        </w:rPr>
        <w:t>9、按照自治区、地区主管部门的相关要求，按照合同约定及时支付工程款及监理费用，做好资金管理及投资控制工作。</w:t>
      </w:r>
      <w:bookmarkEnd w:id="74"/>
    </w:p>
    <w:p>
      <w:pPr>
        <w:numPr>
          <w:ilvl w:val="0"/>
          <w:numId w:val="0"/>
        </w:numPr>
        <w:spacing w:line="360" w:lineRule="auto"/>
        <w:rPr>
          <w:rFonts w:hint="eastAsia"/>
          <w:sz w:val="24"/>
          <w:szCs w:val="24"/>
        </w:rPr>
      </w:pPr>
      <w:bookmarkStart w:id="75" w:name="_Toc1381"/>
      <w:r>
        <w:rPr>
          <w:rFonts w:hint="eastAsia"/>
          <w:sz w:val="24"/>
          <w:szCs w:val="24"/>
        </w:rPr>
        <w:t>（</w:t>
      </w:r>
      <w:r>
        <w:rPr>
          <w:rFonts w:hint="eastAsia"/>
          <w:sz w:val="24"/>
          <w:szCs w:val="24"/>
          <w:lang w:eastAsia="zh-CN"/>
        </w:rPr>
        <w:t>三</w:t>
      </w:r>
      <w:r>
        <w:rPr>
          <w:rFonts w:hint="eastAsia"/>
          <w:sz w:val="24"/>
          <w:szCs w:val="24"/>
        </w:rPr>
        <w:t>）竣工验收移交阶段</w:t>
      </w:r>
      <w:bookmarkEnd w:id="75"/>
    </w:p>
    <w:p>
      <w:pPr>
        <w:numPr>
          <w:ilvl w:val="0"/>
          <w:numId w:val="0"/>
        </w:numPr>
        <w:spacing w:line="360" w:lineRule="auto"/>
        <w:ind w:firstLine="482" w:firstLineChars="200"/>
        <w:rPr>
          <w:rFonts w:hint="eastAsia"/>
          <w:sz w:val="24"/>
          <w:szCs w:val="24"/>
        </w:rPr>
      </w:pPr>
      <w:bookmarkStart w:id="76" w:name="_Toc26470"/>
      <w:bookmarkStart w:id="77" w:name="_Toc5106"/>
      <w:r>
        <w:rPr>
          <w:rFonts w:hint="eastAsia"/>
          <w:sz w:val="24"/>
          <w:szCs w:val="24"/>
          <w:lang w:val="en-US" w:eastAsia="zh-CN"/>
        </w:rPr>
        <w:t>1</w:t>
      </w:r>
      <w:r>
        <w:rPr>
          <w:rFonts w:hint="eastAsia"/>
          <w:sz w:val="24"/>
          <w:szCs w:val="24"/>
        </w:rPr>
        <w:t>、协助项目业主负责办理竣工验收备案手续，组织编制竣工结算和财务决算报告并报送有关部门审核、审计。</w:t>
      </w:r>
      <w:bookmarkEnd w:id="76"/>
    </w:p>
    <w:p>
      <w:pPr>
        <w:numPr>
          <w:ilvl w:val="0"/>
          <w:numId w:val="0"/>
        </w:numPr>
        <w:spacing w:line="360" w:lineRule="auto"/>
        <w:ind w:firstLine="482" w:firstLineChars="200"/>
        <w:rPr>
          <w:rFonts w:hint="eastAsia"/>
          <w:sz w:val="24"/>
          <w:szCs w:val="24"/>
        </w:rPr>
      </w:pPr>
      <w:r>
        <w:rPr>
          <w:rFonts w:hint="eastAsia"/>
          <w:sz w:val="24"/>
          <w:szCs w:val="24"/>
          <w:lang w:val="en-US" w:eastAsia="zh-CN"/>
        </w:rPr>
        <w:t>2</w:t>
      </w:r>
      <w:r>
        <w:rPr>
          <w:rFonts w:hint="eastAsia"/>
          <w:sz w:val="24"/>
          <w:szCs w:val="24"/>
        </w:rPr>
        <w:t>、协助项目业主依据相关工程验收规程，负责组织工程各级验收工作。</w:t>
      </w:r>
      <w:bookmarkEnd w:id="77"/>
    </w:p>
    <w:p>
      <w:pPr>
        <w:numPr>
          <w:ilvl w:val="0"/>
          <w:numId w:val="0"/>
        </w:numPr>
        <w:spacing w:line="360" w:lineRule="auto"/>
        <w:ind w:firstLine="482" w:firstLineChars="200"/>
        <w:rPr>
          <w:rFonts w:hint="eastAsia"/>
          <w:sz w:val="24"/>
          <w:szCs w:val="24"/>
        </w:rPr>
      </w:pPr>
      <w:bookmarkStart w:id="78" w:name="_Toc18974"/>
      <w:r>
        <w:rPr>
          <w:rFonts w:hint="eastAsia"/>
          <w:sz w:val="24"/>
          <w:szCs w:val="24"/>
          <w:lang w:val="en-US" w:eastAsia="zh-CN"/>
        </w:rPr>
        <w:t>3</w:t>
      </w:r>
      <w:r>
        <w:rPr>
          <w:rFonts w:hint="eastAsia"/>
          <w:sz w:val="24"/>
          <w:szCs w:val="24"/>
        </w:rPr>
        <w:t>、</w:t>
      </w:r>
      <w:r>
        <w:rPr>
          <w:rFonts w:hint="eastAsia"/>
          <w:sz w:val="24"/>
          <w:szCs w:val="24"/>
          <w:lang w:val="en-US" w:eastAsia="zh-CN"/>
        </w:rPr>
        <w:t>督促</w:t>
      </w:r>
      <w:r>
        <w:rPr>
          <w:rFonts w:hint="eastAsia"/>
          <w:sz w:val="24"/>
          <w:szCs w:val="24"/>
        </w:rPr>
        <w:t>参建各方</w:t>
      </w:r>
      <w:r>
        <w:rPr>
          <w:rFonts w:hint="eastAsia"/>
          <w:sz w:val="24"/>
          <w:szCs w:val="24"/>
          <w:lang w:val="en-US" w:eastAsia="zh-CN"/>
        </w:rPr>
        <w:t>编制</w:t>
      </w:r>
      <w:r>
        <w:rPr>
          <w:rFonts w:hint="eastAsia"/>
          <w:sz w:val="24"/>
          <w:szCs w:val="24"/>
        </w:rPr>
        <w:t>工作总结报告</w:t>
      </w:r>
      <w:r>
        <w:rPr>
          <w:rFonts w:hint="eastAsia"/>
          <w:sz w:val="24"/>
          <w:szCs w:val="24"/>
          <w:lang w:val="en-US" w:eastAsia="zh-CN"/>
        </w:rPr>
        <w:t>并及时上报业主，</w:t>
      </w:r>
      <w:r>
        <w:rPr>
          <w:rFonts w:hint="eastAsia"/>
          <w:sz w:val="24"/>
          <w:szCs w:val="24"/>
        </w:rPr>
        <w:t>协助项目业主</w:t>
      </w:r>
      <w:r>
        <w:rPr>
          <w:rFonts w:hint="eastAsia"/>
          <w:sz w:val="24"/>
          <w:szCs w:val="24"/>
          <w:lang w:val="en-US" w:eastAsia="zh-CN"/>
        </w:rPr>
        <w:t>收集</w:t>
      </w:r>
      <w:r>
        <w:rPr>
          <w:rFonts w:hint="eastAsia"/>
          <w:sz w:val="24"/>
          <w:szCs w:val="24"/>
        </w:rPr>
        <w:t>项目建设所有资料，按照工程建设项目档案管理规定的要求，整理完整的档案资料，经档案验收合格后，到档案主管部门履行工程验收档案备案手续。</w:t>
      </w:r>
      <w:bookmarkEnd w:id="78"/>
    </w:p>
    <w:p>
      <w:pPr>
        <w:numPr>
          <w:ilvl w:val="0"/>
          <w:numId w:val="0"/>
        </w:numPr>
        <w:spacing w:line="360" w:lineRule="auto"/>
        <w:ind w:firstLine="482" w:firstLineChars="200"/>
        <w:rPr>
          <w:rFonts w:hint="eastAsia"/>
          <w:sz w:val="24"/>
          <w:szCs w:val="24"/>
        </w:rPr>
      </w:pPr>
      <w:bookmarkStart w:id="79" w:name="_Toc24339"/>
      <w:r>
        <w:rPr>
          <w:rFonts w:hint="eastAsia"/>
          <w:sz w:val="24"/>
          <w:szCs w:val="24"/>
          <w:lang w:val="en-US" w:eastAsia="zh-CN"/>
        </w:rPr>
        <w:t>4</w:t>
      </w:r>
      <w:r>
        <w:rPr>
          <w:rFonts w:hint="eastAsia"/>
          <w:sz w:val="24"/>
          <w:szCs w:val="24"/>
        </w:rPr>
        <w:t>、协助项目业主完成审计单位对该项目的审查，配合审计局的审查工作，并提供有关建设资料。</w:t>
      </w:r>
      <w:bookmarkEnd w:id="79"/>
    </w:p>
    <w:p>
      <w:pPr>
        <w:numPr>
          <w:ilvl w:val="0"/>
          <w:numId w:val="0"/>
        </w:numPr>
        <w:spacing w:line="360" w:lineRule="auto"/>
        <w:ind w:firstLine="482" w:firstLineChars="200"/>
        <w:rPr>
          <w:rFonts w:hint="eastAsia"/>
          <w:sz w:val="24"/>
          <w:szCs w:val="24"/>
        </w:rPr>
      </w:pPr>
      <w:bookmarkStart w:id="80" w:name="_Toc8952"/>
      <w:r>
        <w:rPr>
          <w:rFonts w:hint="eastAsia"/>
          <w:sz w:val="24"/>
          <w:szCs w:val="24"/>
          <w:lang w:val="en-US" w:eastAsia="zh-CN"/>
        </w:rPr>
        <w:t>5</w:t>
      </w:r>
      <w:r>
        <w:rPr>
          <w:rFonts w:hint="eastAsia"/>
          <w:sz w:val="24"/>
          <w:szCs w:val="24"/>
        </w:rPr>
        <w:t>、监督工程各级验收工作。</w:t>
      </w:r>
      <w:bookmarkEnd w:id="80"/>
    </w:p>
    <w:p>
      <w:pPr>
        <w:numPr>
          <w:ilvl w:val="0"/>
          <w:numId w:val="0"/>
        </w:numPr>
        <w:spacing w:line="360" w:lineRule="auto"/>
        <w:rPr>
          <w:rFonts w:hint="eastAsia"/>
          <w:sz w:val="24"/>
          <w:szCs w:val="24"/>
        </w:rPr>
      </w:pPr>
      <w:bookmarkStart w:id="81" w:name="_Toc4967"/>
      <w:r>
        <w:rPr>
          <w:rFonts w:hint="eastAsia"/>
          <w:sz w:val="24"/>
          <w:szCs w:val="24"/>
        </w:rPr>
        <w:t>（</w:t>
      </w:r>
      <w:r>
        <w:rPr>
          <w:rFonts w:hint="eastAsia"/>
          <w:sz w:val="24"/>
          <w:szCs w:val="24"/>
          <w:lang w:eastAsia="zh-CN"/>
        </w:rPr>
        <w:t>四</w:t>
      </w:r>
      <w:r>
        <w:rPr>
          <w:rFonts w:hint="eastAsia"/>
          <w:sz w:val="24"/>
          <w:szCs w:val="24"/>
        </w:rPr>
        <w:t>）工程保修阶段</w:t>
      </w:r>
      <w:bookmarkEnd w:id="81"/>
    </w:p>
    <w:p>
      <w:pPr>
        <w:numPr>
          <w:ilvl w:val="0"/>
          <w:numId w:val="0"/>
        </w:numPr>
        <w:spacing w:line="360" w:lineRule="auto"/>
        <w:ind w:firstLine="482" w:firstLineChars="200"/>
        <w:rPr>
          <w:rFonts w:hint="eastAsia"/>
          <w:sz w:val="24"/>
          <w:szCs w:val="24"/>
        </w:rPr>
      </w:pPr>
      <w:bookmarkStart w:id="82" w:name="_Toc116"/>
      <w:r>
        <w:rPr>
          <w:rFonts w:hint="eastAsia"/>
          <w:sz w:val="24"/>
          <w:szCs w:val="24"/>
        </w:rPr>
        <w:t>协助项目业主负责组织工程保修期内的项目维修、管护，工程保修期结束后移交运管单位进行运行管理的工作。</w:t>
      </w:r>
      <w:bookmarkEnd w:id="82"/>
    </w:p>
    <w:p>
      <w:pPr>
        <w:numPr>
          <w:ilvl w:val="0"/>
          <w:numId w:val="0"/>
        </w:numPr>
        <w:spacing w:line="360" w:lineRule="auto"/>
        <w:rPr>
          <w:rFonts w:hint="eastAsia"/>
          <w:sz w:val="24"/>
          <w:szCs w:val="24"/>
        </w:rPr>
      </w:pPr>
      <w:bookmarkStart w:id="83" w:name="_Toc26162"/>
      <w:r>
        <w:rPr>
          <w:rFonts w:hint="eastAsia"/>
          <w:sz w:val="24"/>
          <w:szCs w:val="24"/>
        </w:rPr>
        <w:t>四、设计变更</w:t>
      </w:r>
      <w:bookmarkEnd w:id="83"/>
    </w:p>
    <w:p>
      <w:pPr>
        <w:numPr>
          <w:ilvl w:val="0"/>
          <w:numId w:val="0"/>
        </w:numPr>
        <w:spacing w:line="360" w:lineRule="auto"/>
        <w:ind w:firstLine="482" w:firstLineChars="200"/>
        <w:rPr>
          <w:rFonts w:hint="eastAsia"/>
          <w:sz w:val="24"/>
          <w:szCs w:val="24"/>
        </w:rPr>
      </w:pPr>
      <w:bookmarkStart w:id="84" w:name="_Toc13945"/>
      <w:r>
        <w:rPr>
          <w:rFonts w:hint="eastAsia"/>
          <w:sz w:val="24"/>
          <w:szCs w:val="24"/>
        </w:rPr>
        <w:t>1、本项目须严格按照批准的设计施工图进行施工。</w:t>
      </w:r>
      <w:bookmarkEnd w:id="84"/>
    </w:p>
    <w:p>
      <w:pPr>
        <w:numPr>
          <w:ilvl w:val="0"/>
          <w:numId w:val="0"/>
        </w:numPr>
        <w:spacing w:line="360" w:lineRule="auto"/>
        <w:ind w:firstLine="482" w:firstLineChars="200"/>
        <w:rPr>
          <w:rFonts w:hint="eastAsia"/>
          <w:sz w:val="24"/>
          <w:szCs w:val="24"/>
        </w:rPr>
      </w:pPr>
      <w:bookmarkStart w:id="85" w:name="_Toc26764"/>
      <w:r>
        <w:rPr>
          <w:rFonts w:hint="eastAsia"/>
          <w:sz w:val="24"/>
          <w:szCs w:val="24"/>
        </w:rPr>
        <w:t>2、对使用功能造成实际影响确需变更时，须征得项目业主或上级主管部门同意后，按照项目审批程序报批。如变更后增加投资或工程量超过批复，应负责变更的报审工作及协助完成变更资金的筹措工作。未获批准前，不得执行相关变更内容。</w:t>
      </w:r>
      <w:bookmarkEnd w:id="85"/>
    </w:p>
    <w:p>
      <w:pPr>
        <w:numPr>
          <w:ilvl w:val="0"/>
          <w:numId w:val="0"/>
        </w:numPr>
        <w:spacing w:line="360" w:lineRule="auto"/>
        <w:rPr>
          <w:rFonts w:hint="eastAsia"/>
          <w:sz w:val="24"/>
          <w:szCs w:val="24"/>
        </w:rPr>
      </w:pPr>
      <w:bookmarkStart w:id="86" w:name="_Toc13133"/>
      <w:r>
        <w:rPr>
          <w:rFonts w:hint="eastAsia"/>
          <w:sz w:val="24"/>
          <w:szCs w:val="24"/>
        </w:rPr>
        <w:t>五、协议签署</w:t>
      </w:r>
      <w:bookmarkEnd w:id="86"/>
    </w:p>
    <w:p>
      <w:pPr>
        <w:numPr>
          <w:ilvl w:val="0"/>
          <w:numId w:val="0"/>
        </w:numPr>
        <w:spacing w:line="360" w:lineRule="auto"/>
        <w:ind w:firstLine="482" w:firstLineChars="200"/>
        <w:rPr>
          <w:rFonts w:hint="eastAsia"/>
          <w:sz w:val="24"/>
          <w:szCs w:val="24"/>
        </w:rPr>
      </w:pPr>
      <w:bookmarkStart w:id="87" w:name="_Toc4871"/>
      <w:r>
        <w:rPr>
          <w:rFonts w:hint="eastAsia"/>
          <w:sz w:val="24"/>
          <w:szCs w:val="24"/>
        </w:rPr>
        <w:t>根据财政部、农业农村部“财农〔2019〕46号关于印发《农田建设补助资金管理办法》的通知”要求，项目管理协议应在项目前期工作前完成签署，以免影响工程后续工作。</w:t>
      </w:r>
      <w:bookmarkEnd w:id="87"/>
    </w:p>
    <w:p>
      <w:pPr>
        <w:numPr>
          <w:ilvl w:val="0"/>
          <w:numId w:val="0"/>
        </w:numPr>
        <w:spacing w:line="360" w:lineRule="auto"/>
        <w:rPr>
          <w:rFonts w:hint="eastAsia"/>
          <w:sz w:val="24"/>
          <w:szCs w:val="24"/>
        </w:rPr>
      </w:pPr>
      <w:bookmarkStart w:id="88" w:name="_Toc19222"/>
      <w:r>
        <w:rPr>
          <w:rFonts w:hint="eastAsia"/>
          <w:sz w:val="24"/>
          <w:szCs w:val="24"/>
        </w:rPr>
        <w:t>六、项目管理资源配置计划</w:t>
      </w:r>
      <w:bookmarkEnd w:id="88"/>
    </w:p>
    <w:p>
      <w:pPr>
        <w:numPr>
          <w:ilvl w:val="0"/>
          <w:numId w:val="0"/>
        </w:numPr>
        <w:spacing w:line="360" w:lineRule="auto"/>
        <w:ind w:firstLine="482" w:firstLineChars="200"/>
        <w:rPr>
          <w:rFonts w:hint="eastAsia" w:eastAsia="宋体"/>
          <w:sz w:val="24"/>
          <w:szCs w:val="24"/>
          <w:lang w:eastAsia="zh-CN"/>
        </w:rPr>
      </w:pPr>
      <w:bookmarkStart w:id="89" w:name="_Toc6053"/>
      <w:r>
        <w:rPr>
          <w:rFonts w:hint="eastAsia"/>
          <w:sz w:val="24"/>
          <w:szCs w:val="24"/>
        </w:rPr>
        <w:t>项目管理负责人：1人（水利工程专业高级工程师）</w:t>
      </w:r>
      <w:bookmarkEnd w:id="89"/>
      <w:r>
        <w:rPr>
          <w:rFonts w:hint="eastAsia"/>
          <w:sz w:val="24"/>
          <w:szCs w:val="24"/>
          <w:lang w:eastAsia="zh-CN"/>
        </w:rPr>
        <w:t>。</w:t>
      </w:r>
    </w:p>
    <w:p>
      <w:pPr>
        <w:pStyle w:val="3"/>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第五章 响应文件格式</w:t>
      </w:r>
      <w:bookmarkEnd w:id="56"/>
      <w:bookmarkEnd w:id="57"/>
      <w:bookmarkEnd w:id="58"/>
      <w:bookmarkEnd w:id="59"/>
      <w:bookmarkEnd w:id="60"/>
    </w:p>
    <w:p>
      <w:pPr>
        <w:adjustRightInd w:val="0"/>
        <w:snapToGrid w:val="0"/>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482" w:firstLineChars="200"/>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（项目名称）</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  标  文  件</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（盖单位章）</w:t>
      </w:r>
    </w:p>
    <w:p>
      <w:pPr>
        <w:adjustRightInd w:val="0"/>
        <w:snapToGrid w:val="0"/>
        <w:spacing w:line="360" w:lineRule="auto"/>
        <w:jc w:val="center"/>
        <w:rPr>
          <w:rFonts w:hint="eastAsia" w:ascii="宋体" w:hAnsi="宋体" w:cs="宋体"/>
          <w:i w:val="0"/>
          <w:iCs w:val="0"/>
          <w:color w:val="auto"/>
          <w:sz w:val="24"/>
          <w:highlight w:val="none"/>
          <w:u w:val="singl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法定代表人或其委托代理人：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目录</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投标人自行编制</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rPr>
        <w:br w:type="page"/>
      </w:r>
      <w:r>
        <w:rPr>
          <w:rFonts w:hint="eastAsia" w:ascii="宋体" w:hAnsi="宋体" w:cs="宋体"/>
          <w:b/>
          <w:i w:val="0"/>
          <w:iCs w:val="0"/>
          <w:color w:val="auto"/>
          <w:sz w:val="24"/>
          <w:highlight w:val="none"/>
        </w:rPr>
        <w:t>1、投标函及投标报价表</w:t>
      </w:r>
    </w:p>
    <w:p>
      <w:pPr>
        <w:spacing w:line="360" w:lineRule="auto"/>
        <w:jc w:val="center"/>
        <w:outlineLvl w:val="1"/>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（一）投 标 函</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（招标人名称）：</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我们收到你们</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u w:val="single"/>
          <w:lang w:val="en-US" w:eastAsia="zh-CN"/>
        </w:rPr>
        <w:t>项目名称</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lang w:eastAsia="zh-CN"/>
        </w:rPr>
        <w:t>竞争性磋商文件</w:t>
      </w:r>
      <w:r>
        <w:rPr>
          <w:rFonts w:hint="eastAsia" w:ascii="宋体" w:hAnsi="宋体" w:cs="宋体"/>
          <w:i w:val="0"/>
          <w:iCs w:val="0"/>
          <w:color w:val="auto"/>
          <w:sz w:val="24"/>
          <w:highlight w:val="none"/>
        </w:rPr>
        <w:t>，经认真研究，我们决定参加投标。</w:t>
      </w:r>
    </w:p>
    <w:p>
      <w:pPr>
        <w:spacing w:line="360" w:lineRule="auto"/>
        <w:ind w:firstLine="567"/>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rPr>
        <w:t>⒈按照</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 xml:space="preserve">中的一切要求，提供招标服务投标总价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（人民币大写）￥：</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元（用阿拉伯数字书写）人民币</w:t>
      </w:r>
      <w:r>
        <w:rPr>
          <w:rFonts w:hint="eastAsia" w:ascii="宋体" w:hAnsi="宋体" w:cs="宋体"/>
          <w:i w:val="0"/>
          <w:iCs w:val="0"/>
          <w:color w:val="auto"/>
          <w:sz w:val="24"/>
          <w:highlight w:val="none"/>
          <w:lang w:val="en-US" w:eastAsia="zh-CN"/>
        </w:rPr>
        <w:t>参与本项目的竞标。</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⒉如果我们的投标书被接受，我们将履行</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中规定的每一项要求，按期、按质、按量完成交货和完工任务。</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⒊我们同意按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的规定，本投标书的有效期为开标后</w:t>
      </w:r>
      <w:r>
        <w:rPr>
          <w:rFonts w:hint="eastAsia" w:ascii="宋体" w:hAnsi="宋体" w:cs="宋体"/>
          <w:i w:val="0"/>
          <w:iCs w:val="0"/>
          <w:color w:val="auto"/>
          <w:sz w:val="24"/>
          <w:highlight w:val="none"/>
          <w:u w:val="single"/>
          <w:lang w:val="en-US" w:eastAsia="zh-CN"/>
        </w:rPr>
        <w:t xml:space="preserve">  60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天。</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⒋我们愿意提供采购人在</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中要求的所有资料。</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⒍我们愿按合同法履行自己的全部责任。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⒎我方愿意遵守国家有关规定及</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中规定的收费标准，承付中标服务费。</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⒏该项投标在开标后的全过程中保持有效，不作任何更改和变动。</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⒐我们同意按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规定，交纳</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0</w:t>
      </w:r>
      <w:r>
        <w:rPr>
          <w:rFonts w:hint="eastAsia" w:ascii="宋体" w:hAnsi="宋体" w:cs="宋体"/>
          <w:i w:val="0"/>
          <w:iCs w:val="0"/>
          <w:color w:val="auto"/>
          <w:sz w:val="24"/>
          <w:highlight w:val="none"/>
        </w:rPr>
        <w:t>.所有有关本标书的函电，请按下列地址联系：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邮 政 编 码：</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  系  人：</w:t>
      </w:r>
    </w:p>
    <w:p>
      <w:pPr>
        <w:spacing w:line="360" w:lineRule="auto"/>
        <w:ind w:firstLine="432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pStyle w:val="30"/>
        <w:rPr>
          <w:rFonts w:hint="eastAsia" w:ascii="宋体" w:hAnsi="宋体" w:cs="宋体"/>
          <w:bCs/>
          <w:i w:val="0"/>
          <w:iCs w:val="0"/>
          <w:color w:val="auto"/>
          <w:sz w:val="24"/>
          <w:highlight w:val="none"/>
        </w:rPr>
      </w:pPr>
    </w:p>
    <w:p>
      <w:pPr>
        <w:spacing w:line="360" w:lineRule="auto"/>
        <w:jc w:val="center"/>
        <w:outlineLvl w:val="1"/>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lang w:val="en-US" w:eastAsia="zh-CN"/>
        </w:rPr>
        <w:t>2</w:t>
      </w:r>
      <w:r>
        <w:rPr>
          <w:rFonts w:hint="eastAsia" w:ascii="宋体" w:hAnsi="宋体" w:cs="宋体"/>
          <w:b/>
          <w:i w:val="0"/>
          <w:iCs w:val="0"/>
          <w:color w:val="auto"/>
          <w:sz w:val="24"/>
          <w:highlight w:val="none"/>
        </w:rPr>
        <w:t>、法定代表人身份证明</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单位性质：</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成立时间：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日</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经营期限：</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姓    名：</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性别：</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年    龄：</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职务：</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（投标人名称）的法定代表人。</w:t>
      </w:r>
    </w:p>
    <w:p>
      <w:pPr>
        <w:spacing w:line="360" w:lineRule="auto"/>
        <w:ind w:firstLine="964" w:firstLineChars="4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特此证明。</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注：后附法定代表人身份证复印件</w:t>
      </w:r>
    </w:p>
    <w:p>
      <w:pPr>
        <w:spacing w:line="360" w:lineRule="auto"/>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ind w:firstLine="2892"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spacing w:line="360" w:lineRule="auto"/>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pStyle w:val="30"/>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rPr>
        <w:t>、法定代表人的授权委托书</w:t>
      </w:r>
    </w:p>
    <w:p>
      <w:pPr>
        <w:spacing w:line="360" w:lineRule="auto"/>
        <w:rPr>
          <w:rFonts w:hint="eastAsia" w:ascii="宋体" w:hAnsi="宋体" w:cs="宋体"/>
          <w:i w:val="0"/>
          <w:iCs w:val="0"/>
          <w:color w:val="auto"/>
          <w:sz w:val="24"/>
          <w:highlight w:val="none"/>
        </w:rPr>
      </w:pPr>
    </w:p>
    <w:p>
      <w:pPr>
        <w:topLinePunct/>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本人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（投标人名称）的法定代表人，现委托</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（姓名）为我方代理人。代理人根据授权，以我方名义签署、澄清、说明、补正、递交、撤回、修改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（项目名称）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标段</w:t>
      </w:r>
      <w:r>
        <w:rPr>
          <w:rFonts w:hint="eastAsia" w:ascii="宋体" w:hAnsi="宋体" w:cs="宋体"/>
          <w:i w:val="0"/>
          <w:iCs w:val="0"/>
          <w:color w:val="auto"/>
          <w:sz w:val="24"/>
          <w:highlight w:val="none"/>
          <w:lang w:eastAsia="zh-CN"/>
        </w:rPr>
        <w:t>响应文件</w:t>
      </w:r>
      <w:r>
        <w:rPr>
          <w:rFonts w:hint="eastAsia" w:ascii="宋体" w:hAnsi="宋体" w:cs="宋体"/>
          <w:i w:val="0"/>
          <w:iCs w:val="0"/>
          <w:color w:val="auto"/>
          <w:sz w:val="24"/>
          <w:highlight w:val="none"/>
        </w:rPr>
        <w:t>、签订合同和处理有关事宜，其法律后果由我方承担。</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委托期限：</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代理人无转委托权。</w:t>
      </w:r>
    </w:p>
    <w:p>
      <w:pPr>
        <w:spacing w:line="360" w:lineRule="auto"/>
        <w:ind w:firstLine="482" w:firstLineChars="200"/>
        <w:rPr>
          <w:rFonts w:hint="eastAsia" w:ascii="宋体" w:hAnsi="宋体" w:cs="宋体"/>
          <w:i w:val="0"/>
          <w:iCs w:val="0"/>
          <w:color w:val="auto"/>
          <w:sz w:val="24"/>
          <w:highlight w:val="none"/>
        </w:rPr>
      </w:pP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附：法定代表人身份证明、委托代理人身份证复印件</w:t>
      </w:r>
    </w:p>
    <w:p>
      <w:pPr>
        <w:pStyle w:val="2"/>
        <w:rPr>
          <w:rFonts w:hint="eastAsia"/>
        </w:rPr>
      </w:pP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482" w:firstLineChars="200"/>
        <w:jc w:val="left"/>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（签字）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360" w:lineRule="auto"/>
        <w:jc w:val="center"/>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pStyle w:val="2"/>
        <w:rPr>
          <w:rFonts w:hint="eastAsia" w:ascii="宋体" w:hAnsi="宋体" w:cs="宋体"/>
          <w:b/>
          <w:i w:val="0"/>
          <w:iCs w:val="0"/>
          <w:color w:val="auto"/>
          <w:sz w:val="24"/>
          <w:highlight w:val="none"/>
        </w:rPr>
      </w:pPr>
    </w:p>
    <w:p>
      <w:pPr>
        <w:rPr>
          <w:rFonts w:hint="eastAsia" w:ascii="宋体" w:hAnsi="宋体" w:cs="宋体"/>
          <w:b/>
          <w:i w:val="0"/>
          <w:iCs w:val="0"/>
          <w:color w:val="auto"/>
          <w:sz w:val="24"/>
          <w:highlight w:val="none"/>
        </w:rPr>
      </w:pPr>
    </w:p>
    <w:p>
      <w:pPr>
        <w:pStyle w:val="2"/>
        <w:rPr>
          <w:rFonts w:hint="eastAsia"/>
        </w:rPr>
      </w:pPr>
    </w:p>
    <w:p>
      <w:pPr>
        <w:spacing w:line="360" w:lineRule="auto"/>
        <w:jc w:val="left"/>
        <w:outlineLvl w:val="1"/>
        <w:rPr>
          <w:rFonts w:hint="eastAsia" w:ascii="宋体" w:hAnsi="宋体" w:cs="宋体"/>
          <w:b/>
          <w:i w:val="0"/>
          <w:iCs w:val="0"/>
          <w:color w:val="auto"/>
          <w:sz w:val="24"/>
          <w:highlight w:val="none"/>
        </w:rPr>
      </w:pPr>
    </w:p>
    <w:p>
      <w:pPr>
        <w:pStyle w:val="2"/>
        <w:rPr>
          <w:rFonts w:hint="eastAsia" w:ascii="宋体" w:hAnsi="宋体" w:cs="宋体"/>
          <w:b/>
          <w:i w:val="0"/>
          <w:iCs w:val="0"/>
          <w:color w:val="auto"/>
          <w:sz w:val="24"/>
          <w:highlight w:val="none"/>
        </w:rPr>
      </w:pPr>
    </w:p>
    <w:p>
      <w:pPr>
        <w:rPr>
          <w:rFonts w:hint="eastAsia" w:ascii="宋体" w:hAnsi="宋体" w:cs="宋体"/>
          <w:b/>
          <w:i w:val="0"/>
          <w:iCs w:val="0"/>
          <w:color w:val="auto"/>
          <w:sz w:val="24"/>
          <w:highlight w:val="none"/>
        </w:rPr>
      </w:pPr>
    </w:p>
    <w:p>
      <w:pPr>
        <w:pStyle w:val="2"/>
        <w:rPr>
          <w:rFonts w:hint="eastAsia"/>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numPr>
          <w:ilvl w:val="0"/>
          <w:numId w:val="6"/>
        </w:numPr>
        <w:spacing w:line="360" w:lineRule="auto"/>
        <w:jc w:val="center"/>
        <w:outlineLvl w:val="1"/>
        <w:rPr>
          <w:rFonts w:hint="eastAsia" w:ascii="宋体" w:hAnsi="宋体" w:cs="宋体"/>
          <w:b/>
          <w:i w:val="0"/>
          <w:iCs w:val="0"/>
          <w:color w:val="auto"/>
          <w:sz w:val="24"/>
          <w:highlight w:val="none"/>
          <w:lang w:eastAsia="zh-CN"/>
        </w:rPr>
      </w:pPr>
      <w:r>
        <w:rPr>
          <w:rFonts w:hint="eastAsia" w:ascii="宋体" w:hAnsi="宋体" w:cs="宋体"/>
          <w:b/>
          <w:i w:val="0"/>
          <w:iCs w:val="0"/>
          <w:color w:val="auto"/>
          <w:sz w:val="24"/>
          <w:highlight w:val="none"/>
        </w:rPr>
        <w:t>投标保证金</w:t>
      </w:r>
      <w:r>
        <w:rPr>
          <w:rFonts w:hint="eastAsia" w:ascii="宋体" w:hAnsi="宋体" w:cs="宋体"/>
          <w:b/>
          <w:i w:val="0"/>
          <w:iCs w:val="0"/>
          <w:color w:val="auto"/>
          <w:sz w:val="24"/>
          <w:highlight w:val="none"/>
          <w:lang w:eastAsia="zh-CN"/>
        </w:rPr>
        <w:t>（应附开户信息、投标保证金打款凭证）</w:t>
      </w:r>
    </w:p>
    <w:p>
      <w:pPr>
        <w:pStyle w:val="2"/>
        <w:widowControl w:val="0"/>
        <w:numPr>
          <w:ilvl w:val="0"/>
          <w:numId w:val="0"/>
        </w:numPr>
        <w:jc w:val="center"/>
        <w:rPr>
          <w:rFonts w:hint="eastAsia"/>
          <w:i w:val="0"/>
          <w:iCs w:val="0"/>
          <w:color w:val="auto"/>
          <w:lang w:eastAsia="zh-CN"/>
        </w:rPr>
        <w:sectPr>
          <w:footerReference r:id="rId11" w:type="first"/>
          <w:footerReference r:id="rId10" w:type="default"/>
          <w:pgSz w:w="11849" w:h="16781"/>
          <w:pgMar w:top="1327" w:right="1508" w:bottom="1327" w:left="1502" w:header="851" w:footer="850" w:gutter="0"/>
          <w:pgNumType w:start="1"/>
          <w:cols w:space="720" w:num="1"/>
          <w:titlePg/>
          <w:docGrid w:type="linesAndChars" w:linePitch="320" w:charSpace="269"/>
        </w:sectPr>
      </w:pPr>
      <w:r>
        <w:rPr>
          <w:rFonts w:hint="eastAsia" w:ascii="宋体" w:hAnsi="宋体" w:eastAsia="宋体" w:cs="宋体"/>
          <w:b w:val="0"/>
          <w:bCs/>
          <w:i w:val="0"/>
          <w:iCs w:val="0"/>
          <w:color w:val="auto"/>
          <w:kern w:val="2"/>
          <w:sz w:val="24"/>
          <w:szCs w:val="24"/>
          <w:highlight w:val="none"/>
          <w:lang w:val="en-US" w:eastAsia="zh-CN" w:bidi="ar-SA"/>
        </w:rPr>
        <w:t>本项目不做要求</w:t>
      </w:r>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cs="宋体"/>
          <w:i w:val="0"/>
          <w:iCs w:val="0"/>
          <w:color w:val="auto"/>
          <w:sz w:val="28"/>
          <w:szCs w:val="28"/>
          <w:highlight w:val="none"/>
          <w:lang w:val="en-US" w:eastAsia="zh-CN"/>
        </w:rPr>
        <w:t>、</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我公司承诺：</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在本次</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活动中，我公司保证做到：</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一、公平竞争参加本次招标活动。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三、若出现上述行为，我公司及参与磋商的工作人员愿意接受按照国家法律法规等有关规定给予的处罚。</w:t>
      </w:r>
    </w:p>
    <w:p>
      <w:pPr>
        <w:spacing w:line="360" w:lineRule="auto"/>
        <w:rPr>
          <w:rFonts w:hint="eastAsia" w:ascii="宋体" w:hAnsi="宋体" w:eastAsia="宋体" w:cs="宋体"/>
          <w:i w:val="0"/>
          <w:iCs w:val="0"/>
          <w:color w:val="auto"/>
          <w:sz w:val="24"/>
          <w:szCs w:val="24"/>
          <w:highlight w:val="none"/>
        </w:rPr>
      </w:pPr>
    </w:p>
    <w:p>
      <w:pPr>
        <w:spacing w:line="360" w:lineRule="auto"/>
        <w:rPr>
          <w:rFonts w:hint="eastAsia" w:ascii="宋体" w:hAnsi="宋体" w:cs="宋体"/>
          <w:i w:val="0"/>
          <w:iCs w:val="0"/>
          <w:color w:val="auto"/>
          <w:sz w:val="24"/>
          <w:highlight w:val="none"/>
        </w:rPr>
      </w:pPr>
    </w:p>
    <w:p>
      <w:pPr>
        <w:spacing w:line="360" w:lineRule="auto"/>
        <w:ind w:firstLine="3600" w:firstLineChars="15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400" w:firstLineChars="10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i w:val="0"/>
          <w:iCs w:val="0"/>
          <w:color w:val="auto"/>
          <w:kern w:val="0"/>
          <w:highlight w:val="none"/>
        </w:rPr>
      </w:pPr>
    </w:p>
    <w:tbl>
      <w:tblPr>
        <w:tblStyle w:val="13"/>
        <w:tblW w:w="886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26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职称</w:t>
            </w:r>
          </w:p>
        </w:tc>
        <w:tc>
          <w:tcPr>
            <w:tcW w:w="1261"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在本项目</w:t>
            </w:r>
          </w:p>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bl>
    <w:p>
      <w:pPr>
        <w:spacing w:line="360" w:lineRule="auto"/>
        <w:ind w:firstLine="2880" w:firstLineChars="1200"/>
        <w:rPr>
          <w:rFonts w:hint="eastAsia" w:ascii="宋体" w:hAnsi="宋体" w:cs="宋体"/>
          <w:i w:val="0"/>
          <w:iCs w:val="0"/>
          <w:color w:val="auto"/>
          <w:sz w:val="24"/>
          <w:highlight w:val="none"/>
        </w:rPr>
      </w:pPr>
    </w:p>
    <w:p>
      <w:pPr>
        <w:spacing w:line="360" w:lineRule="auto"/>
        <w:ind w:firstLine="2880"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拟投入项目负责人及主要人员简历表</w:t>
      </w:r>
    </w:p>
    <w:p>
      <w:pPr>
        <w:autoSpaceDE w:val="0"/>
        <w:autoSpaceDN w:val="0"/>
        <w:adjustRightInd w:val="0"/>
        <w:spacing w:line="420" w:lineRule="exact"/>
        <w:ind w:firstLine="480" w:firstLineChars="200"/>
        <w:jc w:val="left"/>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“项目负责人及主要人员简历表”中的项目负责人应附身份证、职称证复印件，管理过的</w:t>
      </w:r>
      <w:r>
        <w:rPr>
          <w:rFonts w:hint="eastAsia" w:ascii="宋体" w:hAnsi="宋体" w:cs="宋体"/>
          <w:bCs/>
          <w:i w:val="0"/>
          <w:iCs w:val="0"/>
          <w:color w:val="auto"/>
          <w:kern w:val="0"/>
          <w:sz w:val="24"/>
          <w:szCs w:val="24"/>
          <w:highlight w:val="none"/>
        </w:rPr>
        <w:t>项目业绩须附合同协议书复印件</w:t>
      </w:r>
      <w:r>
        <w:rPr>
          <w:rFonts w:hint="eastAsia" w:ascii="宋体" w:hAnsi="宋体" w:cs="宋体"/>
          <w:i w:val="0"/>
          <w:iCs w:val="0"/>
          <w:color w:val="auto"/>
          <w:kern w:val="0"/>
          <w:sz w:val="24"/>
          <w:szCs w:val="24"/>
          <w:highlight w:val="none"/>
        </w:rPr>
        <w:t>；其他主要人员应附身份证等。</w:t>
      </w:r>
    </w:p>
    <w:tbl>
      <w:tblPr>
        <w:tblStyle w:val="13"/>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学 历</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拟在本合同任职</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毕业学校</w:t>
            </w:r>
          </w:p>
        </w:tc>
        <w:tc>
          <w:tcPr>
            <w:tcW w:w="7571" w:type="dxa"/>
            <w:gridSpan w:val="7"/>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年毕业于</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学校</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121" w:type="dxa"/>
            <w:gridSpan w:val="8"/>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担任职务</w:t>
            </w: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bl>
    <w:p>
      <w:pPr>
        <w:spacing w:line="450" w:lineRule="atLeast"/>
        <w:rPr>
          <w:rFonts w:hint="eastAsia" w:ascii="宋体" w:hAnsi="宋体" w:cs="宋体"/>
          <w:i w:val="0"/>
          <w:iCs w:val="0"/>
          <w:color w:val="auto"/>
          <w:sz w:val="24"/>
          <w:highlight w:val="none"/>
        </w:rPr>
      </w:pPr>
    </w:p>
    <w:p>
      <w:pPr>
        <w:spacing w:line="450" w:lineRule="atLeast"/>
        <w:rPr>
          <w:rFonts w:hint="eastAsia" w:ascii="宋体" w:hAnsi="宋体" w:cs="宋体"/>
          <w:i w:val="0"/>
          <w:iCs w:val="0"/>
          <w:color w:val="auto"/>
          <w:sz w:val="24"/>
          <w:highlight w:val="none"/>
        </w:rPr>
      </w:pPr>
    </w:p>
    <w:p>
      <w:pPr>
        <w:spacing w:line="360" w:lineRule="auto"/>
        <w:ind w:firstLine="2520" w:firstLineChars="1200"/>
        <w:rPr>
          <w:rFonts w:hint="eastAsia" w:ascii="宋体" w:hAnsi="宋体" w:cs="宋体"/>
          <w:i w:val="0"/>
          <w:iCs w:val="0"/>
          <w:color w:val="auto"/>
          <w:sz w:val="24"/>
          <w:highlight w:val="none"/>
        </w:rPr>
      </w:pPr>
      <w:r>
        <w:rPr>
          <w:rFonts w:hint="eastAsia" w:ascii="宋体" w:hAnsi="宋体" w:cs="宋体"/>
          <w:i w:val="0"/>
          <w:iCs w:val="0"/>
          <w:color w:val="auto"/>
          <w:szCs w:val="21"/>
          <w:highlight w:val="none"/>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jc w:val="center"/>
        <w:rPr>
          <w:rFonts w:hint="eastAsia" w:ascii="宋体" w:hAnsi="宋体" w:cs="宋体"/>
          <w:i w:val="0"/>
          <w:iCs w:val="0"/>
          <w:color w:val="auto"/>
          <w:sz w:val="28"/>
          <w:szCs w:val="28"/>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p>
    <w:p>
      <w:pPr>
        <w:pStyle w:val="2"/>
        <w:rPr>
          <w:rFonts w:hint="eastAsia"/>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3"/>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084"/>
        <w:gridCol w:w="1407"/>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性别</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从事专业工作年限</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1" w:type="dxa"/>
            <w:gridSpan w:val="8"/>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spacing w:line="360" w:lineRule="auto"/>
        <w:ind w:firstLine="3855" w:firstLineChars="1600"/>
        <w:outlineLvl w:val="1"/>
        <w:rPr>
          <w:rFonts w:hint="eastAsia" w:ascii="宋体" w:hAnsi="宋体" w:cs="宋体"/>
          <w:b/>
          <w:i w:val="0"/>
          <w:iCs w:val="0"/>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tbl>
      <w:tblPr>
        <w:tblStyle w:val="13"/>
        <w:tblpPr w:leftFromText="180" w:rightFromText="180" w:vertAnchor="text" w:horzAnchor="page" w:tblpX="1350" w:tblpY="6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jc w:val="center"/>
        <w:rPr>
          <w:rFonts w:hint="eastAsia" w:ascii="宋体" w:hAnsi="宋体" w:eastAsia="宋体" w:cs="宋体"/>
          <w:b/>
          <w:bCs/>
          <w:i w:val="0"/>
          <w:iCs w:val="0"/>
          <w:color w:val="auto"/>
          <w:sz w:val="28"/>
          <w:szCs w:val="28"/>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outlineLvl w:val="1"/>
        <w:rPr>
          <w:rFonts w:hint="eastAsia" w:ascii="宋体" w:hAnsi="宋体" w:cs="宋体"/>
          <w:b/>
          <w:i w:val="0"/>
          <w:iCs w:val="0"/>
          <w:color w:val="auto"/>
          <w:kern w:val="0"/>
          <w:sz w:val="24"/>
          <w:highlight w:val="none"/>
        </w:rPr>
      </w:pPr>
    </w:p>
    <w:p>
      <w:pPr>
        <w:spacing w:before="160" w:beforeLines="50" w:after="160" w:afterLines="50" w:line="360" w:lineRule="auto"/>
        <w:jc w:val="both"/>
        <w:rPr>
          <w:rFonts w:hint="eastAsia" w:ascii="宋体" w:hAnsi="宋体" w:cs="宋体"/>
          <w:b/>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spacing w:before="160" w:beforeLines="50" w:after="160" w:afterLines="50" w:line="360" w:lineRule="auto"/>
        <w:jc w:val="cente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企业其他信誉情况表</w:t>
      </w:r>
    </w:p>
    <w:p>
      <w:pPr>
        <w:spacing w:line="360" w:lineRule="auto"/>
        <w:ind w:left="724" w:hanging="720" w:hangingChars="3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1）近三年企业不良行为记录情况</w:t>
      </w:r>
    </w:p>
    <w:p>
      <w:pPr>
        <w:spacing w:line="450" w:lineRule="atLeast"/>
        <w:rPr>
          <w:rFonts w:hint="eastAsia" w:ascii="宋体" w:hAnsi="宋体" w:eastAsia="宋体" w:cs="宋体"/>
          <w:i w:val="0"/>
          <w:iCs w:val="0"/>
          <w:color w:val="auto"/>
          <w:sz w:val="24"/>
          <w:highlight w:val="none"/>
        </w:rPr>
      </w:pPr>
    </w:p>
    <w:p>
      <w:pPr>
        <w:pStyle w:val="30"/>
        <w:rPr>
          <w:rFonts w:hint="eastAsia"/>
          <w:i w:val="0"/>
          <w:iCs w:val="0"/>
          <w:color w:val="auto"/>
        </w:rPr>
      </w:pPr>
    </w:p>
    <w:p>
      <w:pPr>
        <w:spacing w:line="360" w:lineRule="auto"/>
        <w:ind w:left="724" w:hanging="720" w:hangingChars="300"/>
        <w:rPr>
          <w:rFonts w:hint="eastAsia" w:ascii="宋体" w:hAnsi="宋体" w:cs="宋体"/>
          <w:i w:val="0"/>
          <w:iCs w:val="0"/>
          <w:color w:val="auto"/>
          <w:sz w:val="24"/>
          <w:highlight w:val="none"/>
        </w:rPr>
      </w:pPr>
    </w:p>
    <w:p>
      <w:pPr>
        <w:pStyle w:val="2"/>
        <w:rPr>
          <w:rFonts w:hint="eastAsia"/>
          <w:i w:val="0"/>
          <w:iCs w:val="0"/>
          <w:color w:val="auto"/>
        </w:rPr>
      </w:pPr>
    </w:p>
    <w:p>
      <w:pPr>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rPr>
          <w:rFonts w:hint="eastAsia"/>
          <w:i w:val="0"/>
          <w:iCs w:val="0"/>
          <w:color w:val="auto"/>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pStyle w:val="30"/>
        <w:jc w:val="center"/>
        <w:rPr>
          <w:rFonts w:hint="eastAsia"/>
          <w:b/>
          <w:bCs/>
          <w:i w:val="0"/>
          <w:iCs w:val="0"/>
          <w:color w:val="auto"/>
          <w:sz w:val="30"/>
          <w:szCs w:val="30"/>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附件12</w:t>
      </w:r>
    </w:p>
    <w:p>
      <w:pPr>
        <w:keepNext w:val="0"/>
        <w:keepLines w:val="0"/>
        <w:widowControl/>
        <w:suppressLineNumbers w:val="0"/>
        <w:jc w:val="center"/>
        <w:rPr>
          <w:rFonts w:hint="eastAsia" w:ascii="宋体" w:hAnsi="宋体" w:eastAsia="宋体" w:cs="宋体"/>
          <w:i w:val="0"/>
          <w:iCs w:val="0"/>
          <w:color w:val="auto"/>
        </w:rPr>
      </w:pPr>
      <w:r>
        <w:rPr>
          <w:rFonts w:hint="eastAsia" w:ascii="宋体" w:hAnsi="宋体" w:eastAsia="宋体" w:cs="宋体"/>
          <w:b/>
          <w:i w:val="0"/>
          <w:iCs w:val="0"/>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采购活动，提供的服务、货物全部由符合政策要求的中小企业制造。相关企业（含联合体中的中小企业、签订分包意向协议的中小企业）的具体情况如下：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p>
    <w:p>
      <w:pPr>
        <w:pStyle w:val="2"/>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提供投标人工商行政登记所在管理部门出具的小微企业证明文件；</w:t>
      </w:r>
    </w:p>
    <w:p>
      <w:pPr>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pStyle w:val="30"/>
        <w:rPr>
          <w:rFonts w:hint="eastAsia" w:ascii="宋体" w:hAnsi="宋体" w:eastAsia="宋体" w:cs="宋体"/>
          <w:i w:val="0"/>
          <w:iCs w:val="0"/>
          <w:color w:val="auto"/>
          <w:kern w:val="0"/>
          <w:sz w:val="24"/>
          <w:szCs w:val="24"/>
          <w:lang w:val="en-US" w:eastAsia="zh-CN" w:bidi="ar"/>
        </w:rPr>
      </w:pPr>
    </w:p>
    <w:p>
      <w:pPr>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br w:type="page"/>
      </w:r>
    </w:p>
    <w:p>
      <w:pPr>
        <w:pStyle w:val="30"/>
        <w:rPr>
          <w:rFonts w:hint="eastAsia" w:ascii="宋体" w:hAnsi="宋体" w:eastAsia="宋体" w:cs="宋体"/>
          <w:b/>
          <w:i w:val="0"/>
          <w:iCs w:val="0"/>
          <w:color w:val="auto"/>
          <w:kern w:val="0"/>
          <w:sz w:val="36"/>
          <w:szCs w:val="36"/>
          <w:lang w:val="en-US" w:eastAsia="zh-CN" w:bidi="ar"/>
        </w:rPr>
      </w:pPr>
      <w:r>
        <w:rPr>
          <w:rFonts w:hint="eastAsia" w:ascii="宋体" w:hAnsi="宋体" w:eastAsia="宋体" w:cs="宋体"/>
          <w:i w:val="0"/>
          <w:iCs w:val="0"/>
          <w:color w:val="auto"/>
          <w:kern w:val="0"/>
          <w:sz w:val="24"/>
          <w:szCs w:val="24"/>
          <w:lang w:val="en-US" w:eastAsia="zh-CN" w:bidi="ar"/>
        </w:rPr>
        <w:t>附件13</w:t>
      </w:r>
      <w:r>
        <w:rPr>
          <w:rFonts w:hint="eastAsia" w:hAnsi="宋体" w:eastAsia="宋体" w:cs="宋体"/>
          <w:i w:val="0"/>
          <w:iCs w:val="0"/>
          <w:color w:val="auto"/>
          <w:kern w:val="0"/>
          <w:sz w:val="24"/>
          <w:szCs w:val="24"/>
          <w:lang w:val="en-US" w:eastAsia="zh-CN" w:bidi="ar"/>
        </w:rPr>
        <w:t xml:space="preserve">                   </w:t>
      </w:r>
      <w:r>
        <w:rPr>
          <w:rFonts w:hint="eastAsia" w:ascii="宋体" w:hAnsi="宋体" w:eastAsia="宋体" w:cs="宋体"/>
          <w:b/>
          <w:i w:val="0"/>
          <w:iCs w:val="0"/>
          <w:color w:val="auto"/>
          <w:kern w:val="0"/>
          <w:sz w:val="36"/>
          <w:szCs w:val="36"/>
          <w:lang w:val="en-US" w:eastAsia="zh-CN" w:bidi="ar"/>
        </w:rPr>
        <w:t xml:space="preserve">         </w:t>
      </w:r>
    </w:p>
    <w:p>
      <w:pPr>
        <w:pStyle w:val="30"/>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i w:val="0"/>
          <w:iCs w:val="0"/>
          <w:color w:val="auto"/>
          <w:kern w:val="0"/>
          <w:sz w:val="36"/>
          <w:szCs w:val="36"/>
          <w:lang w:val="en-US" w:eastAsia="zh-CN" w:bidi="ar"/>
        </w:rPr>
        <w:t>其他资料</w:t>
      </w:r>
    </w:p>
    <w:p>
      <w:pPr>
        <w:spacing w:line="360" w:lineRule="auto"/>
        <w:ind w:firstLine="480" w:firstLineChars="200"/>
        <w:rPr>
          <w:rFonts w:hint="default" w:ascii="宋体" w:hAnsi="宋体" w:eastAsia="宋体" w:cs="宋体"/>
          <w:i w:val="0"/>
          <w:iCs w:val="0"/>
          <w:color w:val="auto"/>
          <w:kern w:val="0"/>
          <w:sz w:val="24"/>
          <w:szCs w:val="24"/>
          <w:lang w:val="en-US" w:eastAsia="zh-CN" w:bidi="ar"/>
        </w:rPr>
      </w:pPr>
      <w:r>
        <w:rPr>
          <w:rFonts w:hint="eastAsia" w:ascii="宋体" w:hAnsi="宋体" w:cs="宋体"/>
          <w:b w:val="0"/>
          <w:bCs/>
          <w:i w:val="0"/>
          <w:iCs w:val="0"/>
          <w:color w:val="auto"/>
          <w:sz w:val="24"/>
          <w:lang w:val="en-US" w:eastAsia="zh-CN"/>
        </w:rPr>
        <w:t>(提供近六个月（连续）的社保证明（需有相关人员的社保缴纳明细，退休人员需提供退休证明）和近六个月（连续）的完税证明、近三年的财务审计报告（企业成立不足三年的提供成立至今的财务审计报告，成立不足一年的提供成立至今的财务报表，包含资产负债表、现金流量表、利润表））；供应商“信用中国”的信用信息报告和国家企业信用信息公示系统报告及中国政府采购网截图。)</w:t>
      </w:r>
    </w:p>
    <w:p>
      <w:pPr>
        <w:rPr>
          <w:i w:val="0"/>
          <w:iCs w:val="0"/>
          <w:color w:val="auto"/>
        </w:rPr>
      </w:pPr>
    </w:p>
    <w:p>
      <w:pPr>
        <w:rPr>
          <w:i w:val="0"/>
          <w:iCs w:val="0"/>
          <w:color w:val="auto"/>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27</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ind w:right="360"/>
      <w:jc w:val="center"/>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A1F87D39"/>
    <w:multiLevelType w:val="singleLevel"/>
    <w:tmpl w:val="A1F87D39"/>
    <w:lvl w:ilvl="0" w:tentative="0">
      <w:start w:val="4"/>
      <w:numFmt w:val="chineseCounting"/>
      <w:suff w:val="space"/>
      <w:lvlText w:val="第%1章"/>
      <w:lvlJc w:val="left"/>
      <w:rPr>
        <w:rFonts w:hint="eastAsia"/>
      </w:rPr>
    </w:lvl>
  </w:abstractNum>
  <w:abstractNum w:abstractNumId="2">
    <w:nsid w:val="E14AB187"/>
    <w:multiLevelType w:val="singleLevel"/>
    <w:tmpl w:val="E14AB187"/>
    <w:lvl w:ilvl="0" w:tentative="0">
      <w:start w:val="4"/>
      <w:numFmt w:val="decimal"/>
      <w:suff w:val="nothing"/>
      <w:lvlText w:val="%1、"/>
      <w:lvlJc w:val="left"/>
    </w:lvl>
  </w:abstractNum>
  <w:abstractNum w:abstractNumId="3">
    <w:nsid w:val="E17CBEAC"/>
    <w:multiLevelType w:val="singleLevel"/>
    <w:tmpl w:val="E17CBEAC"/>
    <w:lvl w:ilvl="0" w:tentative="0">
      <w:start w:val="1"/>
      <w:numFmt w:val="decimal"/>
      <w:suff w:val="space"/>
      <w:lvlText w:val="%1."/>
      <w:lvlJc w:val="left"/>
    </w:lvl>
  </w:abstractNum>
  <w:abstractNum w:abstractNumId="4">
    <w:nsid w:val="EE8CF652"/>
    <w:multiLevelType w:val="singleLevel"/>
    <w:tmpl w:val="EE8CF652"/>
    <w:lvl w:ilvl="0" w:tentative="0">
      <w:start w:val="7"/>
      <w:numFmt w:val="chineseCounting"/>
      <w:suff w:val="nothing"/>
      <w:lvlText w:val="%1、"/>
      <w:lvlJc w:val="left"/>
      <w:rPr>
        <w:rFonts w:hint="eastAsia"/>
      </w:rPr>
    </w:lvl>
  </w:abstractNum>
  <w:abstractNum w:abstractNumId="5">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A4DA6B9"/>
    <w:multiLevelType w:val="singleLevel"/>
    <w:tmpl w:val="1A4DA6B9"/>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GQzNzhlMmU5Nzk2ZTdmMTNhZDkyYjI3ODYwZjQifQ=="/>
  </w:docVars>
  <w:rsids>
    <w:rsidRoot w:val="46A24A63"/>
    <w:rsid w:val="037B6CFB"/>
    <w:rsid w:val="047A41C7"/>
    <w:rsid w:val="05DD3341"/>
    <w:rsid w:val="08B41EC7"/>
    <w:rsid w:val="0A8948D7"/>
    <w:rsid w:val="0EB2006D"/>
    <w:rsid w:val="0EFA08F9"/>
    <w:rsid w:val="11931359"/>
    <w:rsid w:val="138E1BA9"/>
    <w:rsid w:val="144F252D"/>
    <w:rsid w:val="16132A4B"/>
    <w:rsid w:val="19096861"/>
    <w:rsid w:val="1CB904B2"/>
    <w:rsid w:val="220B5079"/>
    <w:rsid w:val="270C3402"/>
    <w:rsid w:val="285547E4"/>
    <w:rsid w:val="29B94B9C"/>
    <w:rsid w:val="29D352EE"/>
    <w:rsid w:val="2B535C26"/>
    <w:rsid w:val="2F506F18"/>
    <w:rsid w:val="31A84C60"/>
    <w:rsid w:val="32A21600"/>
    <w:rsid w:val="38FB504F"/>
    <w:rsid w:val="39AF5DE4"/>
    <w:rsid w:val="3B950A34"/>
    <w:rsid w:val="3C576382"/>
    <w:rsid w:val="42206C25"/>
    <w:rsid w:val="46A24A63"/>
    <w:rsid w:val="47CA025D"/>
    <w:rsid w:val="51DB450A"/>
    <w:rsid w:val="529010A5"/>
    <w:rsid w:val="52BB64A4"/>
    <w:rsid w:val="544E1B57"/>
    <w:rsid w:val="558916D6"/>
    <w:rsid w:val="584B5252"/>
    <w:rsid w:val="59C34DC9"/>
    <w:rsid w:val="5CA94310"/>
    <w:rsid w:val="5D791E7B"/>
    <w:rsid w:val="60D85654"/>
    <w:rsid w:val="61E40E5A"/>
    <w:rsid w:val="62D91153"/>
    <w:rsid w:val="63600A22"/>
    <w:rsid w:val="64262EB4"/>
    <w:rsid w:val="645C732C"/>
    <w:rsid w:val="743B7934"/>
    <w:rsid w:val="786104D2"/>
    <w:rsid w:val="7C66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able of authorities"/>
    <w:basedOn w:val="1"/>
    <w:next w:val="1"/>
    <w:qFormat/>
    <w:uiPriority w:val="0"/>
    <w:pPr>
      <w:ind w:left="420" w:leftChars="200"/>
    </w:pPr>
    <w:rPr>
      <w:sz w:val="28"/>
      <w:szCs w:val="20"/>
    </w:rPr>
  </w:style>
  <w:style w:type="paragraph" w:styleId="7">
    <w:name w:val="toc 3"/>
    <w:basedOn w:val="1"/>
    <w:next w:val="1"/>
    <w:unhideWhenUsed/>
    <w:qFormat/>
    <w:uiPriority w:val="39"/>
    <w:pPr>
      <w:spacing w:line="380" w:lineRule="exact"/>
      <w:ind w:left="400" w:leftChars="400"/>
      <w:jc w:val="distribute"/>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6"/>
    <w:qFormat/>
    <w:uiPriority w:val="0"/>
  </w:style>
  <w:style w:type="paragraph" w:styleId="12">
    <w:name w:val="Normal (Web)"/>
    <w:basedOn w:val="1"/>
    <w:next w:val="10"/>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TML Definition"/>
    <w:basedOn w:val="14"/>
    <w:uiPriority w:val="0"/>
  </w:style>
  <w:style w:type="character" w:styleId="19">
    <w:name w:val="HTML Typewriter"/>
    <w:basedOn w:val="14"/>
    <w:qFormat/>
    <w:uiPriority w:val="0"/>
    <w:rPr>
      <w:rFonts w:ascii="monospace" w:hAnsi="monospace" w:eastAsia="monospace" w:cs="monospace"/>
      <w:sz w:val="20"/>
    </w:rPr>
  </w:style>
  <w:style w:type="character" w:styleId="20">
    <w:name w:val="HTML Acronym"/>
    <w:basedOn w:val="14"/>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sz w:val="24"/>
      <w:szCs w:val="20"/>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p0"/>
    <w:basedOn w:val="1"/>
    <w:qFormat/>
    <w:uiPriority w:val="0"/>
    <w:pPr>
      <w:widowControl/>
    </w:pPr>
    <w:rPr>
      <w:kern w:val="0"/>
      <w:szCs w:val="21"/>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styleId="33">
    <w:name w:val="List Paragraph"/>
    <w:basedOn w:val="1"/>
    <w:qFormat/>
    <w:uiPriority w:val="34"/>
    <w:pPr>
      <w:ind w:firstLine="420" w:firstLineChars="200"/>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27552</Words>
  <Characters>29165</Characters>
  <Lines>0</Lines>
  <Paragraphs>0</Paragraphs>
  <TotalTime>13</TotalTime>
  <ScaleCrop>false</ScaleCrop>
  <LinksUpToDate>false</LinksUpToDate>
  <CharactersWithSpaces>31067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2022-07-23T09:33:00Z</dcterms:created>
  <dc:creator> 十二</dc:creator>
  <cp:lastModifiedBy> 十二</cp:lastModifiedBy>
  <cp:lastPrinted>2023-02-02T02:43:00Z</cp:lastPrinted>
  <dcterms:modified xsi:type="dcterms:W3CDTF">2023-02-06T06:32:23Z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55168EB5A4B84E1CA72811E00A43B698</vt:lpwstr>
  </property>
</Properties>
</file>