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0"/>
          <w:szCs w:val="40"/>
          <w:lang w:eastAsia="zh-CN"/>
        </w:rPr>
      </w:pPr>
      <w:r>
        <w:rPr>
          <w:rFonts w:hint="eastAsia" w:ascii="宋体" w:hAnsi="宋体" w:cs="宋体"/>
          <w:b/>
          <w:sz w:val="40"/>
          <w:szCs w:val="40"/>
          <w:lang w:eastAsia="zh-CN"/>
        </w:rPr>
        <w:t>阿克苏市教育系统幼儿园大宗食材统一配送服务</w:t>
      </w:r>
    </w:p>
    <w:p>
      <w:pPr>
        <w:jc w:val="center"/>
        <w:rPr>
          <w:rFonts w:hint="eastAsia" w:ascii="宋体" w:hAnsi="宋体" w:eastAsia="宋体" w:cs="宋体"/>
          <w:b/>
          <w:sz w:val="36"/>
          <w:szCs w:val="36"/>
          <w:lang w:eastAsia="zh-CN"/>
        </w:rPr>
      </w:pPr>
      <w:r>
        <w:rPr>
          <w:rFonts w:hint="eastAsia" w:ascii="宋体" w:hAnsi="宋体" w:cs="宋体"/>
          <w:b/>
          <w:sz w:val="40"/>
          <w:szCs w:val="40"/>
          <w:lang w:eastAsia="zh-CN"/>
        </w:rPr>
        <w:t>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w:t>
      </w:r>
      <w:r>
        <w:rPr>
          <w:rFonts w:hint="eastAsia" w:ascii="宋体" w:hAnsi="宋体" w:cs="宋体"/>
          <w:b/>
          <w:sz w:val="36"/>
          <w:lang w:val="en-US" w:eastAsia="zh-CN"/>
        </w:rPr>
        <w:t>G</w:t>
      </w:r>
      <w:r>
        <w:rPr>
          <w:rFonts w:hint="eastAsia" w:ascii="宋体" w:hAnsi="宋体" w:cs="宋体"/>
          <w:b/>
          <w:sz w:val="36"/>
          <w:lang w:eastAsia="zh-CN"/>
        </w:rPr>
        <w:t>202</w:t>
      </w:r>
      <w:r>
        <w:rPr>
          <w:rFonts w:hint="eastAsia" w:ascii="宋体" w:hAnsi="宋体" w:cs="宋体"/>
          <w:b/>
          <w:sz w:val="36"/>
          <w:lang w:val="en-US" w:eastAsia="zh-CN"/>
        </w:rPr>
        <w:t>3</w:t>
      </w:r>
      <w:r>
        <w:rPr>
          <w:rFonts w:hint="eastAsia" w:ascii="宋体" w:hAnsi="宋体" w:cs="宋体"/>
          <w:b/>
          <w:sz w:val="36"/>
          <w:lang w:eastAsia="zh-CN"/>
        </w:rPr>
        <w:t>-00</w:t>
      </w:r>
      <w:r>
        <w:rPr>
          <w:rFonts w:hint="eastAsia" w:ascii="宋体" w:hAnsi="宋体" w:cs="宋体"/>
          <w:b/>
          <w:sz w:val="36"/>
          <w:lang w:val="en-US" w:eastAsia="zh-CN"/>
        </w:rPr>
        <w:t>1</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4"/>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lang w:val="en-US" w:eastAsia="zh-CN"/>
        </w:rPr>
        <w:t>公开招标</w:t>
      </w:r>
      <w:r>
        <w:rPr>
          <w:rFonts w:hint="eastAsia" w:ascii="宋体" w:hAnsi="宋体" w:cs="宋体"/>
          <w:b/>
          <w:sz w:val="84"/>
        </w:rPr>
        <w:t>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23</w:t>
      </w:r>
      <w:r>
        <w:rPr>
          <w:rFonts w:hint="eastAsia" w:ascii="宋体" w:hAnsi="宋体" w:cs="宋体"/>
          <w:b/>
          <w:sz w:val="32"/>
        </w:rPr>
        <w:t>年</w:t>
      </w:r>
      <w:r>
        <w:rPr>
          <w:rFonts w:hint="eastAsia" w:ascii="宋体" w:hAnsi="宋体" w:cs="宋体"/>
          <w:b/>
          <w:sz w:val="32"/>
          <w:lang w:val="en-US" w:eastAsia="zh-CN"/>
        </w:rPr>
        <w:t>1</w:t>
      </w:r>
      <w:r>
        <w:rPr>
          <w:rFonts w:hint="eastAsia" w:ascii="宋体" w:hAnsi="宋体" w:cs="宋体"/>
          <w:b/>
          <w:sz w:val="32"/>
        </w:rPr>
        <w:t>月</w:t>
      </w:r>
      <w:r>
        <w:rPr>
          <w:rFonts w:hint="eastAsia" w:ascii="宋体" w:hAnsi="宋体" w:cs="宋体"/>
          <w:b/>
          <w:sz w:val="32"/>
          <w:lang w:val="en-US" w:eastAsia="zh-CN"/>
        </w:rPr>
        <w:t>29</w:t>
      </w:r>
      <w:r>
        <w:rPr>
          <w:rFonts w:hint="eastAsia" w:ascii="宋体" w:hAnsi="宋体" w:cs="宋体"/>
          <w:b/>
          <w:sz w:val="32"/>
        </w:rPr>
        <w:t>日</w:t>
      </w:r>
    </w:p>
    <w:p>
      <w:pPr>
        <w:rPr>
          <w:rFonts w:hint="eastAsia" w:ascii="宋体" w:hAnsi="宋体" w:cs="宋体"/>
          <w:b/>
          <w:sz w:val="72"/>
        </w:rPr>
      </w:pPr>
    </w:p>
    <w:p>
      <w:pPr>
        <w:pStyle w:val="2"/>
        <w:rPr>
          <w:rFonts w:hint="eastAsia" w:ascii="宋体" w:hAnsi="宋体" w:cs="宋体"/>
          <w:b/>
          <w:sz w:val="72"/>
        </w:rPr>
      </w:pPr>
    </w:p>
    <w:tbl>
      <w:tblPr>
        <w:tblStyle w:val="1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2167"/>
        <w:gridCol w:w="1982"/>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2" w:type="dxa"/>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交易科经办人签字</w:t>
            </w:r>
          </w:p>
        </w:tc>
        <w:tc>
          <w:tcPr>
            <w:tcW w:w="2167" w:type="dxa"/>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交易科负责人签字</w:t>
            </w:r>
          </w:p>
        </w:tc>
        <w:tc>
          <w:tcPr>
            <w:tcW w:w="1982" w:type="dxa"/>
            <w:vAlign w:val="top"/>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中心负责人签字</w:t>
            </w:r>
          </w:p>
        </w:tc>
        <w:tc>
          <w:tcPr>
            <w:tcW w:w="3081" w:type="dxa"/>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业主单位负责人签字并单位盖章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2" w:type="dxa"/>
          </w:tcPr>
          <w:p>
            <w:pPr>
              <w:rPr>
                <w:rFonts w:hint="eastAsia" w:ascii="仿宋" w:hAnsi="仿宋" w:eastAsia="仿宋"/>
                <w:b/>
                <w:sz w:val="72"/>
                <w:vertAlign w:val="baseline"/>
              </w:rPr>
            </w:pPr>
          </w:p>
        </w:tc>
        <w:tc>
          <w:tcPr>
            <w:tcW w:w="2167" w:type="dxa"/>
          </w:tcPr>
          <w:p>
            <w:pPr>
              <w:rPr>
                <w:rFonts w:hint="eastAsia" w:ascii="仿宋" w:hAnsi="仿宋" w:eastAsia="仿宋"/>
                <w:b/>
                <w:sz w:val="72"/>
                <w:vertAlign w:val="baseline"/>
              </w:rPr>
            </w:pPr>
          </w:p>
        </w:tc>
        <w:tc>
          <w:tcPr>
            <w:tcW w:w="1982" w:type="dxa"/>
          </w:tcPr>
          <w:p>
            <w:pPr>
              <w:rPr>
                <w:rFonts w:hint="eastAsia" w:ascii="仿宋" w:hAnsi="仿宋" w:eastAsia="仿宋"/>
                <w:b/>
                <w:sz w:val="72"/>
                <w:vertAlign w:val="baseline"/>
              </w:rPr>
            </w:pPr>
          </w:p>
        </w:tc>
        <w:tc>
          <w:tcPr>
            <w:tcW w:w="3081" w:type="dxa"/>
          </w:tcPr>
          <w:p>
            <w:pPr>
              <w:rPr>
                <w:rFonts w:hint="eastAsia" w:ascii="仿宋" w:hAnsi="仿宋" w:eastAsia="仿宋"/>
                <w:b/>
                <w:sz w:val="72"/>
                <w:vertAlign w:val="baseline"/>
              </w:rPr>
            </w:pPr>
          </w:p>
        </w:tc>
      </w:tr>
    </w:tbl>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ind w:firstLine="4337" w:firstLineChars="1200"/>
        <w:rPr>
          <w:rFonts w:hint="eastAsia" w:ascii="宋体" w:hAnsi="宋体" w:cs="宋体"/>
          <w:b/>
          <w:color w:val="000000"/>
          <w:sz w:val="36"/>
          <w:szCs w:val="36"/>
        </w:rPr>
      </w:pPr>
    </w:p>
    <w:p>
      <w:pPr>
        <w:spacing w:line="700" w:lineRule="exact"/>
        <w:ind w:firstLine="4337" w:firstLineChars="1200"/>
        <w:rPr>
          <w:rFonts w:hint="eastAsia" w:ascii="宋体" w:hAnsi="宋体" w:cs="宋体"/>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8"/>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阿克苏市教育系统幼儿园大宗食材统一配送服务项目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2月20日上</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w:t>
            </w:r>
            <w:r>
              <w:rPr>
                <w:rFonts w:hint="eastAsia" w:ascii="仿宋_GB2312" w:hAnsi="仿宋_GB2312" w:eastAsia="仿宋_GB2312" w:cs="仿宋_GB2312"/>
                <w:sz w:val="28"/>
                <w:szCs w:val="28"/>
                <w:lang w:eastAsia="zh-CN"/>
              </w:rPr>
              <w:t>阿克苏地区行政公署网、新疆政府采购网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投标保证金及提交方式：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投标保证金金额（人民币）:</w:t>
            </w:r>
            <w:r>
              <w:rPr>
                <w:rFonts w:hint="eastAsia" w:ascii="仿宋_GB2312" w:hAnsi="仿宋_GB2312" w:eastAsia="仿宋_GB2312" w:cs="仿宋_GB2312"/>
                <w:sz w:val="28"/>
                <w:szCs w:val="28"/>
                <w:lang w:val="en-US" w:eastAsia="zh-CN"/>
              </w:rPr>
              <w:t>260000.00</w:t>
            </w:r>
            <w:r>
              <w:rPr>
                <w:rFonts w:hint="default"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val="en-US" w:eastAsia="zh-CN"/>
              </w:rPr>
              <w:t>贰拾陆万</w:t>
            </w:r>
            <w:r>
              <w:rPr>
                <w:rFonts w:hint="default" w:ascii="仿宋_GB2312" w:hAnsi="仿宋_GB2312" w:eastAsia="仿宋_GB2312" w:cs="仿宋_GB2312"/>
                <w:sz w:val="28"/>
                <w:szCs w:val="28"/>
                <w:lang w:val="en-US" w:eastAsia="zh-CN"/>
              </w:rPr>
              <w:t>元整）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收款户名：阿克苏市政务服务和公共资源交易中心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开户银行：杭州联合农村商业银行股份有限公司阿克苏分行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提交方式：</w:t>
            </w:r>
            <w:r>
              <w:rPr>
                <w:rFonts w:hint="default" w:ascii="仿宋_GB2312" w:hAnsi="仿宋_GB2312" w:eastAsia="仿宋_GB2312" w:cs="仿宋_GB2312"/>
                <w:color w:val="FF0000"/>
                <w:sz w:val="28"/>
                <w:szCs w:val="28"/>
                <w:lang w:val="en-US" w:eastAsia="zh-CN"/>
              </w:rPr>
              <w:t>仅允许以支票、汇票、本票或者金融机构、担保机构出具的保函等非现金形式提交投标保证金票据（上传原件扫描件），除此之外，以电汇、转账等方式提交投标保证金的，作无效投标处理。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为公开招标</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2601.735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按照货品价格米、面、油、调料以发改委发布价(部分无指导价格的食材以当季询价价格计)下浮9%；肉类、禽蛋、蔬菜类、水果等大宗食材询价价格下浮8.6%；否则为无效报价，应否决其投标。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的方式确定</w:t>
            </w:r>
            <w:r>
              <w:rPr>
                <w:rFonts w:hint="eastAsia" w:ascii="仿宋_GB2312" w:hAnsi="仿宋_GB2312" w:eastAsia="仿宋_GB2312" w:cs="仿宋_GB2312"/>
                <w:color w:val="auto"/>
                <w:sz w:val="28"/>
                <w:szCs w:val="28"/>
                <w:highlight w:val="none"/>
                <w:lang w:val="en-US" w:eastAsia="zh-CN"/>
              </w:rPr>
              <w:t>两</w:t>
            </w:r>
            <w:r>
              <w:rPr>
                <w:rFonts w:hint="eastAsia" w:ascii="仿宋_GB2312" w:hAnsi="仿宋_GB2312" w:eastAsia="仿宋_GB2312" w:cs="仿宋_GB2312"/>
                <w:color w:val="auto"/>
                <w:sz w:val="28"/>
                <w:szCs w:val="28"/>
                <w:highlight w:val="none"/>
              </w:rPr>
              <w:t>家投标单位</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1.响应文件的编制：供应商应先安装“政采云电子投标客户端”，并按照本招标文件和“政府采购云平台”的要求，通过“政采云电子投标客户端”编制并加密响应文件。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报价文件开启后将开启签字时段，供应商须在30分钟内用CA证书对报价进行签字确认；确认完成后不得离开，做好评标环节答疑咨询工作。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只</w:t>
            </w:r>
            <w:r>
              <w:rPr>
                <w:rFonts w:hint="eastAsia" w:ascii="仿宋_GB2312" w:hAnsi="仿宋_GB2312" w:eastAsia="仿宋_GB2312" w:cs="仿宋_GB2312"/>
                <w:sz w:val="28"/>
                <w:szCs w:val="28"/>
              </w:rPr>
              <w:t>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文件由采购人及公共资源交易中心解释。</w:t>
            </w:r>
          </w:p>
        </w:tc>
      </w:tr>
    </w:tbl>
    <w:p>
      <w:pPr>
        <w:jc w:val="center"/>
        <w:rPr>
          <w:rStyle w:val="21"/>
          <w:rFonts w:hint="eastAsia" w:ascii="仿宋" w:hAnsi="仿宋" w:eastAsia="仿宋" w:cs="仿宋"/>
          <w:b w:val="0"/>
          <w:bCs w:val="0"/>
          <w:kern w:val="0"/>
          <w:sz w:val="28"/>
          <w:szCs w:val="28"/>
          <w:lang w:val="en-US" w:eastAsia="zh-CN" w:bidi="ar"/>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jc w:val="center"/>
        <w:rPr>
          <w:rFonts w:hint="eastAsia" w:ascii="仿宋_GB2312" w:hAnsi="仿宋_GB2312" w:eastAsia="仿宋_GB2312" w:cs="仿宋_GB2312"/>
          <w:sz w:val="28"/>
          <w:szCs w:val="28"/>
          <w:lang w:eastAsia="zh-CN"/>
        </w:rPr>
      </w:pPr>
    </w:p>
    <w:p>
      <w:pPr>
        <w:pStyle w:val="23"/>
        <w:rPr>
          <w:rFonts w:hint="eastAsia" w:ascii="仿宋_GB2312" w:hAnsi="仿宋_GB2312" w:eastAsia="仿宋_GB2312" w:cs="仿宋_GB2312"/>
          <w:sz w:val="28"/>
          <w:szCs w:val="28"/>
          <w:lang w:eastAsia="zh-CN"/>
        </w:rPr>
      </w:pPr>
    </w:p>
    <w:p>
      <w:pPr>
        <w:spacing w:line="360" w:lineRule="auto"/>
        <w:ind w:firstLine="640" w:firstLineChars="200"/>
        <w:jc w:val="cente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阿克苏市教育系统幼儿园大宗食材统一配送服务项目</w:t>
      </w:r>
    </w:p>
    <w:p>
      <w:pPr>
        <w:spacing w:line="360" w:lineRule="auto"/>
        <w:ind w:firstLine="640" w:firstLineChars="200"/>
        <w:jc w:val="center"/>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公开招标公告</w:t>
      </w:r>
    </w:p>
    <w:p>
      <w:pPr>
        <w:spacing w:line="360" w:lineRule="auto"/>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    </w:t>
      </w:r>
    </w:p>
    <w:p>
      <w:pPr>
        <w:rPr>
          <w:rFonts w:hint="eastAsia" w:ascii="仿宋" w:hAnsi="仿宋" w:eastAsia="仿宋" w:cs="仿宋"/>
          <w:sz w:val="32"/>
          <w:szCs w:val="32"/>
        </w:rPr>
      </w:pPr>
      <w:r>
        <w:rPr>
          <w:rFonts w:hint="eastAsia" w:ascii="仿宋" w:hAnsi="仿宋" w:eastAsia="仿宋" w:cs="仿宋"/>
          <w:sz w:val="32"/>
          <w:szCs w:val="32"/>
        </w:rPr>
        <w:t>项目概况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shd w:val="clear" w:color="auto" w:fill="FFFFFF"/>
          <w:lang w:val="en-US" w:eastAsia="zh-CN"/>
        </w:rPr>
        <w:t>阿克苏市教育系统幼儿园大宗食材统一配送服务项目</w:t>
      </w:r>
      <w:r>
        <w:rPr>
          <w:rFonts w:hint="eastAsia" w:ascii="仿宋" w:hAnsi="仿宋" w:eastAsia="仿宋" w:cs="仿宋"/>
          <w:sz w:val="32"/>
          <w:szCs w:val="32"/>
          <w:lang w:val="en-US" w:eastAsia="zh-CN"/>
        </w:rPr>
        <w:t>的潜在供应商应在政采云平台获取采购文件,并于2023年2月20日上午10点30分（北京时间）前提交响应文件。   </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一、项目基本情况                                            </w:t>
      </w:r>
    </w:p>
    <w:p>
      <w:pPr>
        <w:rPr>
          <w:rFonts w:hint="eastAsia" w:ascii="仿宋" w:hAnsi="仿宋" w:eastAsia="仿宋" w:cs="仿宋"/>
          <w:sz w:val="32"/>
          <w:szCs w:val="32"/>
          <w:lang w:val="en-US" w:eastAsia="zh-CN"/>
        </w:rPr>
      </w:pPr>
      <w:r>
        <w:rPr>
          <w:rFonts w:hint="eastAsia" w:ascii="仿宋" w:hAnsi="仿宋" w:eastAsia="仿宋" w:cs="仿宋"/>
          <w:sz w:val="32"/>
          <w:szCs w:val="32"/>
        </w:rPr>
        <w:t>项目编号：AKSSZF-CG-</w:t>
      </w:r>
      <w:r>
        <w:rPr>
          <w:rFonts w:hint="eastAsia" w:ascii="仿宋" w:hAnsi="仿宋" w:eastAsia="仿宋" w:cs="仿宋"/>
          <w:sz w:val="32"/>
          <w:szCs w:val="32"/>
          <w:lang w:val="en-US" w:eastAsia="zh-CN"/>
        </w:rPr>
        <w:t>G</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001号</w:t>
      </w:r>
    </w:p>
    <w:p>
      <w:pPr>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color w:val="000000"/>
          <w:sz w:val="32"/>
          <w:szCs w:val="32"/>
          <w:shd w:val="clear" w:color="auto" w:fill="FFFFFF"/>
          <w:lang w:val="en-US" w:eastAsia="zh-CN"/>
        </w:rPr>
        <w:t>阿克苏市教育系统幼儿园大宗食材统一配送服务项目</w:t>
      </w:r>
    </w:p>
    <w:p>
      <w:pPr>
        <w:rPr>
          <w:rFonts w:hint="eastAsia" w:ascii="仿宋" w:hAnsi="仿宋" w:eastAsia="仿宋" w:cs="仿宋"/>
          <w:sz w:val="32"/>
          <w:szCs w:val="32"/>
        </w:rPr>
      </w:pPr>
      <w:r>
        <w:rPr>
          <w:rFonts w:hint="eastAsia" w:ascii="仿宋" w:hAnsi="仿宋" w:eastAsia="仿宋" w:cs="仿宋"/>
          <w:sz w:val="32"/>
          <w:szCs w:val="32"/>
        </w:rPr>
        <w:t>采购方式：</w:t>
      </w:r>
      <w:r>
        <w:rPr>
          <w:rFonts w:hint="eastAsia" w:ascii="仿宋" w:hAnsi="仿宋" w:eastAsia="仿宋" w:cs="仿宋"/>
          <w:sz w:val="32"/>
          <w:szCs w:val="32"/>
          <w:lang w:val="en-US" w:eastAsia="zh-CN"/>
        </w:rPr>
        <w:t>公开招标 </w:t>
      </w:r>
    </w:p>
    <w:p>
      <w:pPr>
        <w:rPr>
          <w:rFonts w:hint="default" w:ascii="仿宋" w:hAnsi="仿宋" w:eastAsia="仿宋" w:cs="仿宋"/>
          <w:sz w:val="32"/>
          <w:szCs w:val="32"/>
          <w:lang w:val="en-US" w:eastAsia="zh-CN"/>
        </w:rPr>
      </w:pPr>
      <w:r>
        <w:rPr>
          <w:rFonts w:hint="eastAsia" w:ascii="仿宋" w:hAnsi="仿宋" w:eastAsia="仿宋" w:cs="仿宋"/>
          <w:sz w:val="32"/>
          <w:szCs w:val="32"/>
        </w:rPr>
        <w:t>预算金额（元）：</w:t>
      </w:r>
      <w:r>
        <w:rPr>
          <w:rFonts w:hint="eastAsia" w:ascii="仿宋" w:hAnsi="仿宋" w:eastAsia="仿宋" w:cs="仿宋"/>
          <w:sz w:val="32"/>
          <w:szCs w:val="32"/>
          <w:lang w:val="en-US" w:eastAsia="zh-CN"/>
        </w:rPr>
        <w:t>26017350.00</w:t>
      </w:r>
    </w:p>
    <w:p>
      <w:pPr>
        <w:rPr>
          <w:rFonts w:hint="default" w:ascii="仿宋" w:hAnsi="仿宋" w:eastAsia="仿宋" w:cs="仿宋"/>
          <w:sz w:val="32"/>
          <w:szCs w:val="32"/>
          <w:lang w:val="en-US" w:eastAsia="zh-CN"/>
        </w:rPr>
      </w:pPr>
      <w:r>
        <w:rPr>
          <w:rFonts w:hint="eastAsia" w:ascii="仿宋" w:hAnsi="仿宋" w:eastAsia="仿宋" w:cs="仿宋"/>
          <w:sz w:val="32"/>
          <w:szCs w:val="32"/>
        </w:rPr>
        <w:t>最高限价（元）：</w:t>
      </w:r>
      <w:r>
        <w:rPr>
          <w:rFonts w:hint="eastAsia" w:ascii="仿宋" w:hAnsi="仿宋" w:eastAsia="仿宋" w:cs="仿宋"/>
          <w:sz w:val="32"/>
          <w:szCs w:val="32"/>
          <w:lang w:val="en-US" w:eastAsia="zh-CN"/>
        </w:rPr>
        <w:t>26017350.00</w:t>
      </w:r>
    </w:p>
    <w:p>
      <w:pPr>
        <w:rPr>
          <w:rFonts w:hint="default" w:ascii="仿宋" w:hAnsi="仿宋" w:eastAsia="仿宋" w:cs="仿宋"/>
          <w:sz w:val="32"/>
          <w:szCs w:val="32"/>
          <w:lang w:val="en-US" w:eastAsia="zh-CN"/>
        </w:rPr>
      </w:pPr>
      <w:r>
        <w:rPr>
          <w:rFonts w:hint="eastAsia" w:ascii="仿宋" w:hAnsi="仿宋" w:eastAsia="仿宋" w:cs="仿宋"/>
          <w:sz w:val="32"/>
          <w:szCs w:val="32"/>
        </w:rPr>
        <w:t>合同履约期限：</w:t>
      </w:r>
      <w:r>
        <w:rPr>
          <w:rFonts w:hint="eastAsia" w:ascii="仿宋" w:hAnsi="仿宋" w:eastAsia="仿宋" w:cs="仿宋"/>
          <w:sz w:val="32"/>
          <w:szCs w:val="32"/>
          <w:lang w:val="en-US" w:eastAsia="zh-CN"/>
        </w:rPr>
        <w:t>1年</w:t>
      </w:r>
      <w:r>
        <w:rPr>
          <w:rFonts w:hint="default" w:ascii="仿宋" w:hAnsi="仿宋" w:eastAsia="仿宋" w:cs="仿宋"/>
          <w:sz w:val="32"/>
          <w:szCs w:val="32"/>
          <w:lang w:val="en-US" w:eastAsia="zh-CN"/>
        </w:rPr>
        <w:t>。</w:t>
      </w:r>
    </w:p>
    <w:p>
      <w:pPr>
        <w:rPr>
          <w:rFonts w:hint="eastAsia" w:ascii="仿宋" w:hAnsi="仿宋" w:eastAsia="仿宋" w:cs="仿宋"/>
          <w:sz w:val="32"/>
          <w:szCs w:val="32"/>
        </w:rPr>
      </w:pPr>
      <w:r>
        <w:rPr>
          <w:rFonts w:hint="eastAsia" w:ascii="仿宋" w:hAnsi="仿宋" w:eastAsia="仿宋" w:cs="仿宋"/>
          <w:sz w:val="32"/>
          <w:szCs w:val="32"/>
        </w:rPr>
        <w:t>本项目（否）接受联合体投标。</w:t>
      </w:r>
    </w:p>
    <w:p>
      <w:pPr>
        <w:rPr>
          <w:rFonts w:hint="eastAsia" w:ascii="仿宋" w:hAnsi="仿宋" w:eastAsia="仿宋" w:cs="仿宋"/>
          <w:sz w:val="32"/>
          <w:szCs w:val="32"/>
          <w:lang w:eastAsia="zh-CN"/>
        </w:rPr>
      </w:pPr>
      <w:r>
        <w:rPr>
          <w:rFonts w:hint="eastAsia" w:ascii="仿宋" w:hAnsi="仿宋" w:eastAsia="仿宋" w:cs="仿宋"/>
          <w:sz w:val="32"/>
          <w:szCs w:val="32"/>
        </w:rPr>
        <w:t>二、申请人的资格要求</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1.满足《中华人民共和国政府采购法》第二十二条规定；</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法人代表或其委托代理人应</w:t>
      </w:r>
      <w:r>
        <w:rPr>
          <w:rFonts w:hint="eastAsia" w:ascii="仿宋" w:hAnsi="仿宋" w:eastAsia="仿宋" w:cs="仿宋"/>
          <w:sz w:val="32"/>
          <w:szCs w:val="32"/>
          <w:lang w:val="en-US" w:eastAsia="zh-CN"/>
        </w:rPr>
        <w:t>上传</w:t>
      </w:r>
      <w:r>
        <w:rPr>
          <w:rFonts w:hint="eastAsia" w:ascii="仿宋" w:hAnsi="仿宋" w:eastAsia="仿宋" w:cs="仿宋"/>
          <w:sz w:val="32"/>
          <w:szCs w:val="32"/>
        </w:rPr>
        <w:t>本人身份证原件</w:t>
      </w:r>
      <w:r>
        <w:rPr>
          <w:rFonts w:hint="eastAsia" w:ascii="仿宋" w:hAnsi="仿宋" w:eastAsia="仿宋" w:cs="仿宋"/>
          <w:sz w:val="32"/>
          <w:szCs w:val="32"/>
          <w:lang w:val="en-US" w:eastAsia="zh-CN"/>
        </w:rPr>
        <w:t>扫描件</w:t>
      </w:r>
      <w:r>
        <w:rPr>
          <w:rFonts w:hint="eastAsia" w:ascii="仿宋" w:hAnsi="仿宋" w:eastAsia="仿宋" w:cs="仿宋"/>
          <w:sz w:val="32"/>
          <w:szCs w:val="32"/>
        </w:rPr>
        <w:t>，委托代理人还应</w:t>
      </w:r>
      <w:r>
        <w:rPr>
          <w:rFonts w:hint="eastAsia" w:ascii="仿宋" w:hAnsi="仿宋" w:eastAsia="仿宋" w:cs="仿宋"/>
          <w:sz w:val="32"/>
          <w:szCs w:val="32"/>
          <w:lang w:val="en-US" w:eastAsia="zh-CN"/>
        </w:rPr>
        <w:t>上传</w:t>
      </w:r>
      <w:r>
        <w:rPr>
          <w:rFonts w:hint="eastAsia" w:ascii="仿宋" w:hAnsi="仿宋" w:eastAsia="仿宋" w:cs="仿宋"/>
          <w:sz w:val="32"/>
          <w:szCs w:val="32"/>
        </w:rPr>
        <w:t>《法人代表授权委托书》</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有效经年检的营业执照</w:t>
      </w:r>
      <w:r>
        <w:rPr>
          <w:rFonts w:hint="eastAsia" w:ascii="仿宋" w:hAnsi="仿宋" w:eastAsia="仿宋" w:cs="仿宋"/>
          <w:sz w:val="32"/>
          <w:szCs w:val="32"/>
          <w:lang w:val="en-US" w:eastAsia="zh-CN"/>
        </w:rPr>
        <w:t>；</w:t>
      </w:r>
    </w:p>
    <w:p>
      <w:pPr>
        <w:pStyle w:val="17"/>
        <w:ind w:left="0" w:leftChars="0" w:firstLine="0" w:firstLineChars="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（3）有效的</w:t>
      </w:r>
      <w:r>
        <w:rPr>
          <w:rFonts w:hint="default" w:ascii="仿宋" w:hAnsi="仿宋" w:eastAsia="仿宋" w:cs="仿宋"/>
          <w:kern w:val="2"/>
          <w:sz w:val="32"/>
          <w:szCs w:val="32"/>
          <w:lang w:val="en-US" w:eastAsia="zh-CN" w:bidi="ar-SA"/>
        </w:rPr>
        <w:t>《食品经营许可证》或《</w:t>
      </w:r>
      <w:r>
        <w:rPr>
          <w:rFonts w:hint="eastAsia" w:ascii="仿宋" w:hAnsi="仿宋" w:eastAsia="仿宋" w:cs="仿宋"/>
          <w:kern w:val="2"/>
          <w:sz w:val="32"/>
          <w:szCs w:val="32"/>
          <w:lang w:val="en-US" w:eastAsia="zh-CN" w:bidi="ar-SA"/>
        </w:rPr>
        <w:t>食品</w:t>
      </w:r>
      <w:r>
        <w:rPr>
          <w:rFonts w:hint="default" w:ascii="仿宋" w:hAnsi="仿宋" w:eastAsia="仿宋" w:cs="仿宋"/>
          <w:kern w:val="2"/>
          <w:sz w:val="32"/>
          <w:szCs w:val="32"/>
          <w:lang w:val="en-US" w:eastAsia="zh-CN" w:bidi="ar-SA"/>
        </w:rPr>
        <w:t>生产许可证》</w:t>
      </w:r>
      <w:r>
        <w:rPr>
          <w:rFonts w:hint="eastAsia" w:ascii="仿宋" w:hAnsi="仿宋" w:eastAsia="仿宋" w:cs="仿宋"/>
          <w:kern w:val="2"/>
          <w:sz w:val="32"/>
          <w:szCs w:val="32"/>
          <w:lang w:val="en-US" w:eastAsia="zh-CN" w:bidi="ar-SA"/>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供应商如在“信用中国”网站、中国政府采购网被列入严重违法失信行为记录名单的（尚在处罚期内的），将拒绝其参加本次政府采购活动﹙投标人网上自行打印后加盖投标单位公章﹚</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落实政府采购政策需满足的资格要求：</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《新疆维吾尔自治区政府采购促进中小企业发展管理实施办法》（新财规〔2021〕6号）；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《财政部、司法部关于政府采购支持监狱企业发展有关问题的通知》（财库〔2014〕68号）；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《国务院办公厅关于建立政府强制采购节能产品制度的通知》（国办发〔2007〕51号）；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《财政部 民政部 中国残疾人联合会关于促进残疾人就业政府采购政策的通知》财库〔2017〕141号。 </w:t>
      </w:r>
    </w:p>
    <w:p>
      <w:pPr>
        <w:rPr>
          <w:rFonts w:hint="eastAsia" w:ascii="仿宋" w:hAnsi="仿宋" w:eastAsia="仿宋" w:cs="仿宋"/>
          <w:sz w:val="32"/>
          <w:szCs w:val="32"/>
        </w:rPr>
      </w:pPr>
      <w:r>
        <w:rPr>
          <w:rFonts w:hint="eastAsia" w:ascii="仿宋" w:hAnsi="仿宋" w:eastAsia="仿宋" w:cs="仿宋"/>
          <w:sz w:val="32"/>
          <w:szCs w:val="32"/>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rPr>
          <w:rFonts w:hint="eastAsia" w:ascii="仿宋" w:hAnsi="仿宋" w:eastAsia="仿宋" w:cs="仿宋"/>
          <w:sz w:val="32"/>
          <w:szCs w:val="32"/>
          <w:lang w:eastAsia="zh-CN"/>
        </w:rPr>
      </w:pPr>
      <w:r>
        <w:rPr>
          <w:rFonts w:hint="eastAsia" w:ascii="仿宋" w:hAnsi="仿宋" w:eastAsia="仿宋" w:cs="仿宋"/>
          <w:sz w:val="32"/>
          <w:szCs w:val="32"/>
        </w:rPr>
        <w:t>三、获取采购文件 </w:t>
      </w:r>
    </w:p>
    <w:p>
      <w:pPr>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日，每天上午1</w:t>
      </w:r>
      <w:r>
        <w:rPr>
          <w:rFonts w:hint="eastAsia" w:ascii="仿宋" w:hAnsi="仿宋" w:eastAsia="仿宋" w:cs="仿宋"/>
          <w:sz w:val="32"/>
          <w:szCs w:val="32"/>
          <w:lang w:val="en-US" w:eastAsia="zh-CN"/>
        </w:rPr>
        <w:t>0</w:t>
      </w:r>
      <w:r>
        <w:rPr>
          <w:rFonts w:hint="eastAsia" w:ascii="仿宋" w:hAnsi="仿宋" w:eastAsia="仿宋" w:cs="仿宋"/>
          <w:sz w:val="32"/>
          <w:szCs w:val="32"/>
        </w:rPr>
        <w:t>:00至14:00，下午1</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0至</w:t>
      </w:r>
      <w:r>
        <w:rPr>
          <w:rFonts w:hint="eastAsia" w:ascii="仿宋" w:hAnsi="仿宋" w:eastAsia="仿宋" w:cs="仿宋"/>
          <w:sz w:val="32"/>
          <w:szCs w:val="32"/>
          <w:lang w:val="en-US" w:eastAsia="zh-CN"/>
        </w:rPr>
        <w:t>19</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0（北京时间，法定节假日除外）</w:t>
      </w:r>
    </w:p>
    <w:p>
      <w:pPr>
        <w:rPr>
          <w:rFonts w:hint="eastAsia" w:ascii="仿宋" w:hAnsi="仿宋" w:eastAsia="仿宋" w:cs="仿宋"/>
          <w:sz w:val="32"/>
          <w:szCs w:val="32"/>
        </w:rPr>
      </w:pPr>
      <w:r>
        <w:rPr>
          <w:rFonts w:hint="eastAsia" w:ascii="仿宋" w:hAnsi="仿宋" w:eastAsia="仿宋" w:cs="仿宋"/>
          <w:sz w:val="32"/>
          <w:szCs w:val="32"/>
        </w:rPr>
        <w:t>地点：政釆云平台报名 </w:t>
      </w:r>
    </w:p>
    <w:p>
      <w:pPr>
        <w:rPr>
          <w:rFonts w:hint="eastAsia" w:ascii="仿宋" w:hAnsi="仿宋" w:eastAsia="仿宋" w:cs="仿宋"/>
          <w:sz w:val="32"/>
          <w:szCs w:val="32"/>
        </w:rPr>
      </w:pPr>
      <w:r>
        <w:rPr>
          <w:rFonts w:hint="eastAsia" w:ascii="仿宋" w:hAnsi="仿宋" w:eastAsia="仿宋" w:cs="仿宋"/>
          <w:sz w:val="32"/>
          <w:szCs w:val="32"/>
        </w:rPr>
        <w:t>方式：政釆云平台报名成功后</w:t>
      </w:r>
      <w:r>
        <w:rPr>
          <w:rFonts w:hint="eastAsia" w:ascii="仿宋" w:hAnsi="仿宋" w:eastAsia="仿宋" w:cs="仿宋"/>
          <w:sz w:val="32"/>
          <w:szCs w:val="32"/>
          <w:lang w:val="en-US" w:eastAsia="zh-CN"/>
        </w:rPr>
        <w:t>,自行下载</w:t>
      </w: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售价（元）：0 </w:t>
      </w:r>
    </w:p>
    <w:p>
      <w:pPr>
        <w:rPr>
          <w:rFonts w:hint="eastAsia" w:ascii="仿宋" w:hAnsi="仿宋" w:eastAsia="仿宋" w:cs="仿宋"/>
          <w:sz w:val="32"/>
          <w:szCs w:val="32"/>
          <w:lang w:eastAsia="zh-CN"/>
        </w:rPr>
      </w:pPr>
      <w:r>
        <w:rPr>
          <w:rFonts w:hint="eastAsia" w:ascii="仿宋" w:hAnsi="仿宋" w:eastAsia="仿宋" w:cs="仿宋"/>
          <w:sz w:val="32"/>
          <w:szCs w:val="32"/>
        </w:rPr>
        <w:t>四、响应文件提交</w:t>
      </w:r>
      <w:r>
        <w:rPr>
          <w:rFonts w:hint="eastAsia" w:ascii="仿宋" w:hAnsi="仿宋" w:eastAsia="仿宋" w:cs="仿宋"/>
          <w:sz w:val="32"/>
          <w:szCs w:val="32"/>
          <w:lang w:eastAsia="zh-CN"/>
        </w:rPr>
        <w:t>：</w:t>
      </w:r>
      <w:bookmarkStart w:id="51" w:name="_GoBack"/>
      <w:bookmarkEnd w:id="51"/>
    </w:p>
    <w:p>
      <w:pPr>
        <w:rPr>
          <w:rFonts w:hint="eastAsia" w:ascii="仿宋" w:hAnsi="仿宋" w:eastAsia="仿宋" w:cs="仿宋"/>
          <w:sz w:val="32"/>
          <w:szCs w:val="32"/>
        </w:rPr>
      </w:pPr>
      <w:r>
        <w:rPr>
          <w:rFonts w:hint="eastAsia" w:ascii="仿宋" w:hAnsi="仿宋" w:eastAsia="仿宋" w:cs="仿宋"/>
          <w:sz w:val="32"/>
          <w:szCs w:val="32"/>
        </w:rPr>
        <w:t> 截止时间：202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rPr>
      </w:pPr>
      <w:r>
        <w:rPr>
          <w:rFonts w:hint="eastAsia" w:ascii="仿宋" w:hAnsi="仿宋" w:eastAsia="仿宋" w:cs="仿宋"/>
          <w:sz w:val="32"/>
          <w:szCs w:val="32"/>
          <w:lang w:val="en-US" w:eastAsia="zh-CN"/>
        </w:rPr>
        <w:t> 地点：电子加密响应文件上传至政府采购云平台投标客户端。  </w:t>
      </w:r>
    </w:p>
    <w:p>
      <w:pPr>
        <w:rPr>
          <w:rFonts w:hint="eastAsia" w:ascii="仿宋" w:hAnsi="仿宋" w:eastAsia="仿宋" w:cs="仿宋"/>
          <w:sz w:val="32"/>
          <w:szCs w:val="32"/>
        </w:rPr>
      </w:pPr>
      <w:r>
        <w:rPr>
          <w:rFonts w:hint="eastAsia" w:ascii="仿宋" w:hAnsi="仿宋" w:eastAsia="仿宋" w:cs="仿宋"/>
          <w:sz w:val="32"/>
          <w:szCs w:val="32"/>
        </w:rPr>
        <w:t>五、响应文件开启 </w:t>
      </w:r>
    </w:p>
    <w:p>
      <w:pPr>
        <w:rPr>
          <w:rFonts w:hint="eastAsia" w:ascii="仿宋" w:hAnsi="仿宋" w:eastAsia="仿宋" w:cs="仿宋"/>
          <w:sz w:val="32"/>
          <w:szCs w:val="32"/>
        </w:rPr>
      </w:pPr>
      <w:r>
        <w:rPr>
          <w:rFonts w:hint="eastAsia" w:ascii="仿宋" w:hAnsi="仿宋" w:eastAsia="仿宋" w:cs="仿宋"/>
          <w:sz w:val="32"/>
          <w:szCs w:val="32"/>
        </w:rPr>
        <w:t>开启时间：202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地点：政府采购云平台线上开启</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六、公告期限 </w:t>
      </w:r>
    </w:p>
    <w:p>
      <w:pPr>
        <w:rPr>
          <w:rFonts w:hint="eastAsia" w:ascii="仿宋" w:hAnsi="仿宋" w:eastAsia="仿宋" w:cs="仿宋"/>
          <w:sz w:val="32"/>
          <w:szCs w:val="32"/>
        </w:rPr>
      </w:pPr>
      <w:r>
        <w:rPr>
          <w:rFonts w:hint="eastAsia" w:ascii="仿宋" w:hAnsi="仿宋" w:eastAsia="仿宋" w:cs="仿宋"/>
          <w:sz w:val="32"/>
          <w:szCs w:val="32"/>
        </w:rPr>
        <w:t>自本公告发布之日起</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val="en-US" w:eastAsia="zh-CN"/>
        </w:rPr>
        <w:t>工作日</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、其他补充事宜</w:t>
      </w:r>
    </w:p>
    <w:p>
      <w:pPr>
        <w:rPr>
          <w:rFonts w:hint="eastAsia" w:ascii="仿宋" w:hAnsi="仿宋" w:eastAsia="仿宋" w:cs="仿宋"/>
          <w:sz w:val="32"/>
          <w:szCs w:val="32"/>
        </w:rPr>
      </w:pPr>
      <w:r>
        <w:rPr>
          <w:rFonts w:hint="eastAsia" w:ascii="仿宋" w:hAnsi="仿宋" w:eastAsia="仿宋" w:cs="仿宋"/>
          <w:sz w:val="32"/>
          <w:szCs w:val="32"/>
          <w:lang w:val="en-US" w:eastAsia="zh-CN"/>
        </w:rPr>
        <w:t>1、本公告同时在新疆政府采购网和阿克苏地区行政公署网发布；  </w:t>
      </w:r>
    </w:p>
    <w:p>
      <w:pPr>
        <w:rPr>
          <w:rFonts w:hint="eastAsia" w:ascii="仿宋" w:hAnsi="仿宋" w:eastAsia="仿宋" w:cs="仿宋"/>
          <w:sz w:val="32"/>
          <w:szCs w:val="32"/>
        </w:rPr>
      </w:pPr>
      <w:r>
        <w:rPr>
          <w:rFonts w:hint="eastAsia" w:ascii="仿宋" w:hAnsi="仿宋" w:eastAsia="仿宋" w:cs="仿宋"/>
          <w:sz w:val="32"/>
          <w:szCs w:val="32"/>
          <w:lang w:val="en-US" w:eastAsia="zh-CN"/>
        </w:rPr>
        <w:t>2、请投标单位随时关注本项目的澄清、答疑、变更事项。</w:t>
      </w:r>
      <w:r>
        <w:rPr>
          <w:rFonts w:hint="eastAsia" w:ascii="仿宋" w:hAnsi="仿宋" w:eastAsia="仿宋" w:cs="仿宋"/>
          <w:sz w:val="32"/>
          <w:szCs w:val="32"/>
        </w:rPr>
        <w:t>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"https://www.xjca.com.cn/"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https://www.xjca.com.cn/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办理。供应商因未注册入政府采购云平台“供应商库”、或未办理CA数字证书等原因造成无法投标或投标失败等后果由供应商自行承担。</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rPr>
          <w:rFonts w:hint="eastAsia" w:ascii="仿宋" w:hAnsi="仿宋" w:eastAsia="仿宋" w:cs="仿宋"/>
          <w:sz w:val="32"/>
          <w:szCs w:val="32"/>
        </w:rPr>
      </w:pPr>
      <w:r>
        <w:rPr>
          <w:rFonts w:hint="eastAsia" w:ascii="仿宋" w:hAnsi="仿宋" w:eastAsia="仿宋" w:cs="仿宋"/>
          <w:sz w:val="32"/>
          <w:szCs w:val="32"/>
        </w:rPr>
        <w:t>八、凡对本次招标提出询问，请按以下方式联系</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.采购人信息</w:t>
      </w:r>
    </w:p>
    <w:p>
      <w:pPr>
        <w:rPr>
          <w:rFonts w:hint="default"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lang w:val="en-US" w:eastAsia="zh-CN"/>
        </w:rPr>
        <w:t>阿克苏市教育和科学技术局</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 址</w:t>
      </w:r>
      <w:r>
        <w:rPr>
          <w:rFonts w:hint="eastAsia" w:ascii="仿宋" w:hAnsi="仿宋" w:eastAsia="仿宋" w:cs="仿宋"/>
          <w:sz w:val="32"/>
          <w:szCs w:val="32"/>
        </w:rPr>
        <w:t>：</w:t>
      </w:r>
      <w:r>
        <w:rPr>
          <w:rFonts w:hint="eastAsia" w:ascii="仿宋" w:hAnsi="仿宋" w:eastAsia="仿宋" w:cs="仿宋"/>
          <w:sz w:val="32"/>
          <w:szCs w:val="32"/>
          <w:lang w:val="en-US" w:eastAsia="zh-CN"/>
        </w:rPr>
        <w:t>阿克苏市北京路67号（综合办公区）</w:t>
      </w:r>
    </w:p>
    <w:p>
      <w:pPr>
        <w:rPr>
          <w:rFonts w:hint="default" w:ascii="仿宋" w:hAnsi="仿宋" w:eastAsia="仿宋" w:cs="仿宋"/>
          <w:sz w:val="32"/>
          <w:szCs w:val="32"/>
          <w:lang w:val="en-US" w:eastAsia="zh-CN"/>
        </w:rPr>
      </w:pPr>
      <w:r>
        <w:rPr>
          <w:rFonts w:hint="eastAsia" w:ascii="仿宋" w:hAnsi="仿宋" w:eastAsia="仿宋" w:cs="仿宋"/>
          <w:sz w:val="32"/>
          <w:szCs w:val="32"/>
        </w:rPr>
        <w:t>联系方式：</w:t>
      </w:r>
      <w:r>
        <w:rPr>
          <w:rFonts w:hint="eastAsia" w:ascii="仿宋" w:hAnsi="仿宋" w:eastAsia="仿宋" w:cs="仿宋"/>
          <w:sz w:val="32"/>
          <w:szCs w:val="32"/>
          <w:lang w:val="en-US" w:eastAsia="zh-CN"/>
        </w:rPr>
        <w:t>15599737660</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采购代理机构信息</w:t>
      </w:r>
    </w:p>
    <w:p>
      <w:pPr>
        <w:rPr>
          <w:rFonts w:hint="eastAsia" w:ascii="仿宋" w:hAnsi="仿宋" w:eastAsia="仿宋" w:cs="仿宋"/>
          <w:sz w:val="32"/>
          <w:szCs w:val="32"/>
        </w:rPr>
      </w:pPr>
      <w:r>
        <w:rPr>
          <w:rFonts w:hint="eastAsia" w:ascii="仿宋" w:hAnsi="仿宋" w:eastAsia="仿宋" w:cs="仿宋"/>
          <w:sz w:val="32"/>
          <w:szCs w:val="32"/>
        </w:rPr>
        <w:t>名 称：阿克苏市政务服务和</w:t>
      </w:r>
      <w:r>
        <w:rPr>
          <w:rFonts w:hint="eastAsia" w:ascii="仿宋" w:hAnsi="仿宋" w:eastAsia="仿宋" w:cs="仿宋"/>
          <w:sz w:val="32"/>
          <w:szCs w:val="32"/>
          <w:lang w:val="en-US" w:eastAsia="zh-CN"/>
        </w:rPr>
        <w:t>公共资源交易中心</w:t>
      </w:r>
    </w:p>
    <w:p>
      <w:pPr>
        <w:rPr>
          <w:rFonts w:hint="eastAsia" w:ascii="仿宋" w:hAnsi="仿宋" w:eastAsia="仿宋" w:cs="仿宋"/>
          <w:sz w:val="32"/>
          <w:szCs w:val="32"/>
          <w:lang w:val="en-US" w:eastAsia="zh-CN"/>
        </w:rPr>
      </w:pPr>
      <w:r>
        <w:rPr>
          <w:rFonts w:hint="eastAsia" w:ascii="仿宋" w:hAnsi="仿宋" w:eastAsia="仿宋" w:cs="仿宋"/>
          <w:sz w:val="32"/>
          <w:szCs w:val="32"/>
        </w:rPr>
        <w:t>地 址：阿克苏市市民服务中心一号楼</w:t>
      </w:r>
      <w:r>
        <w:rPr>
          <w:rFonts w:hint="eastAsia" w:ascii="仿宋" w:hAnsi="仿宋" w:eastAsia="仿宋" w:cs="仿宋"/>
          <w:sz w:val="32"/>
          <w:szCs w:val="32"/>
          <w:lang w:val="en-US" w:eastAsia="zh-CN"/>
        </w:rPr>
        <w:t>4楼</w:t>
      </w:r>
      <w:r>
        <w:rPr>
          <w:rFonts w:hint="eastAsia" w:ascii="仿宋" w:hAnsi="仿宋" w:eastAsia="仿宋" w:cs="仿宋"/>
          <w:sz w:val="32"/>
          <w:szCs w:val="32"/>
        </w:rPr>
        <w:t>（</w:t>
      </w:r>
      <w:r>
        <w:rPr>
          <w:rFonts w:hint="eastAsia" w:ascii="仿宋" w:hAnsi="仿宋" w:eastAsia="仿宋" w:cs="仿宋"/>
          <w:sz w:val="32"/>
          <w:szCs w:val="32"/>
          <w:lang w:val="en-US" w:eastAsia="zh-CN"/>
        </w:rPr>
        <w:t>公共资源交易中心</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3.项目联系方式</w:t>
      </w:r>
    </w:p>
    <w:p>
      <w:pPr>
        <w:rPr>
          <w:rFonts w:hint="eastAsia" w:ascii="仿宋" w:hAnsi="仿宋" w:eastAsia="仿宋" w:cs="仿宋"/>
          <w:sz w:val="32"/>
          <w:szCs w:val="32"/>
          <w:lang w:val="en-US" w:eastAsia="zh-CN"/>
        </w:rPr>
      </w:pPr>
      <w:r>
        <w:rPr>
          <w:rFonts w:hint="eastAsia" w:ascii="仿宋" w:hAnsi="仿宋" w:eastAsia="仿宋" w:cs="仿宋"/>
          <w:sz w:val="32"/>
          <w:szCs w:val="32"/>
        </w:rPr>
        <w:t>项目联系人：</w:t>
      </w:r>
      <w:r>
        <w:rPr>
          <w:rFonts w:hint="eastAsia" w:ascii="仿宋" w:hAnsi="仿宋" w:eastAsia="仿宋" w:cs="仿宋"/>
          <w:sz w:val="32"/>
          <w:szCs w:val="32"/>
          <w:lang w:val="en-US" w:eastAsia="zh-CN"/>
        </w:rPr>
        <w:t>李婷</w:t>
      </w:r>
    </w:p>
    <w:p>
      <w:pPr>
        <w:rPr>
          <w:rFonts w:hint="eastAsia" w:ascii="仿宋" w:hAnsi="仿宋" w:eastAsia="仿宋" w:cs="仿宋"/>
          <w:sz w:val="32"/>
          <w:szCs w:val="32"/>
        </w:rPr>
      </w:pPr>
      <w:r>
        <w:rPr>
          <w:rFonts w:hint="eastAsia" w:ascii="仿宋" w:hAnsi="仿宋" w:eastAsia="仿宋" w:cs="仿宋"/>
          <w:sz w:val="32"/>
          <w:szCs w:val="32"/>
        </w:rPr>
        <w:t>电 话：0997-2282002</w:t>
      </w:r>
    </w:p>
    <w:p>
      <w:pPr>
        <w:rPr>
          <w:rFonts w:hint="eastAsia" w:ascii="仿宋" w:hAnsi="仿宋" w:eastAsia="仿宋" w:cs="仿宋"/>
          <w:sz w:val="32"/>
          <w:szCs w:val="32"/>
        </w:rPr>
      </w:pPr>
      <w:r>
        <w:rPr>
          <w:rFonts w:hint="eastAsia" w:ascii="仿宋" w:hAnsi="仿宋" w:eastAsia="仿宋" w:cs="仿宋"/>
          <w:sz w:val="32"/>
          <w:szCs w:val="32"/>
          <w:lang w:val="en-US" w:eastAsia="zh-CN"/>
        </w:rPr>
        <w:t>4.监督部门</w:t>
      </w:r>
    </w:p>
    <w:p>
      <w:pPr>
        <w:rPr>
          <w:rFonts w:hint="eastAsia" w:ascii="仿宋" w:hAnsi="仿宋" w:eastAsia="仿宋" w:cs="仿宋"/>
          <w:sz w:val="32"/>
          <w:szCs w:val="32"/>
        </w:rPr>
      </w:pPr>
      <w:r>
        <w:rPr>
          <w:rFonts w:hint="eastAsia" w:ascii="仿宋" w:hAnsi="仿宋" w:eastAsia="仿宋" w:cs="仿宋"/>
          <w:sz w:val="32"/>
          <w:szCs w:val="32"/>
          <w:lang w:val="en-US" w:eastAsia="zh-CN"/>
        </w:rPr>
        <w:t>名  称：阿克苏市政府采购管理办公室         </w:t>
      </w:r>
    </w:p>
    <w:p>
      <w:pPr>
        <w:rPr>
          <w:rFonts w:hint="eastAsia" w:ascii="仿宋" w:hAnsi="仿宋" w:eastAsia="仿宋" w:cs="仿宋"/>
          <w:sz w:val="32"/>
          <w:szCs w:val="32"/>
        </w:rPr>
      </w:pPr>
      <w:r>
        <w:rPr>
          <w:rFonts w:hint="eastAsia" w:ascii="仿宋" w:hAnsi="仿宋" w:eastAsia="仿宋" w:cs="仿宋"/>
          <w:sz w:val="32"/>
          <w:szCs w:val="32"/>
          <w:lang w:val="en-US" w:eastAsia="zh-CN"/>
        </w:rPr>
        <w:t>联系人：雷宇</w:t>
      </w:r>
    </w:p>
    <w:p>
      <w:pPr>
        <w:rPr>
          <w:rFonts w:hint="eastAsia" w:ascii="仿宋" w:hAnsi="仿宋" w:eastAsia="仿宋" w:cs="仿宋"/>
          <w:sz w:val="32"/>
          <w:szCs w:val="32"/>
        </w:rPr>
      </w:pPr>
      <w:r>
        <w:rPr>
          <w:rFonts w:hint="eastAsia" w:ascii="仿宋" w:hAnsi="仿宋" w:eastAsia="仿宋" w:cs="仿宋"/>
          <w:sz w:val="32"/>
          <w:szCs w:val="32"/>
        </w:rPr>
        <w:t>电  话：0997-2653610</w:t>
      </w:r>
    </w:p>
    <w:p>
      <w:pPr>
        <w:rPr>
          <w:rFonts w:hint="eastAsia" w:ascii="仿宋" w:hAnsi="仿宋" w:eastAsia="仿宋" w:cs="仿宋"/>
          <w:sz w:val="32"/>
          <w:szCs w:val="32"/>
          <w:lang w:val="en-US" w:eastAsia="zh-CN"/>
        </w:rPr>
      </w:pPr>
    </w:p>
    <w:p>
      <w:pPr>
        <w:widowControl/>
        <w:spacing w:line="480" w:lineRule="exact"/>
        <w:ind w:firstLine="3052" w:firstLineChars="950"/>
        <w:rPr>
          <w:rFonts w:hint="eastAsia" w:ascii="宋体" w:hAnsi="宋体"/>
          <w:b/>
          <w:color w:val="000000"/>
          <w:sz w:val="32"/>
          <w:szCs w:val="32"/>
        </w:rPr>
      </w:pPr>
    </w:p>
    <w:p>
      <w:pPr>
        <w:pStyle w:val="17"/>
        <w:rPr>
          <w:rFonts w:hint="eastAsia" w:ascii="宋体" w:hAnsi="宋体"/>
          <w:b/>
          <w:color w:val="000000"/>
          <w:sz w:val="32"/>
          <w:szCs w:val="32"/>
        </w:rPr>
      </w:pPr>
    </w:p>
    <w:p>
      <w:pPr>
        <w:pStyle w:val="17"/>
        <w:rPr>
          <w:rFonts w:hint="eastAsia" w:ascii="宋体" w:hAnsi="宋体"/>
          <w:b/>
          <w:color w:val="000000"/>
          <w:sz w:val="32"/>
          <w:szCs w:val="32"/>
        </w:rPr>
      </w:pPr>
    </w:p>
    <w:p>
      <w:pPr>
        <w:pStyle w:val="17"/>
        <w:rPr>
          <w:rFonts w:hint="eastAsia" w:ascii="宋体" w:hAnsi="宋体"/>
          <w:b/>
          <w:color w:val="000000"/>
          <w:sz w:val="32"/>
          <w:szCs w:val="32"/>
        </w:rPr>
      </w:pPr>
    </w:p>
    <w:p>
      <w:pPr>
        <w:pStyle w:val="17"/>
        <w:rPr>
          <w:rFonts w:hint="eastAsia" w:ascii="宋体" w:hAnsi="宋体"/>
          <w:b/>
          <w:color w:val="000000"/>
          <w:sz w:val="32"/>
          <w:szCs w:val="32"/>
        </w:rPr>
      </w:pPr>
    </w:p>
    <w:p>
      <w:pPr>
        <w:pStyle w:val="17"/>
        <w:rPr>
          <w:rFonts w:hint="eastAsia" w:ascii="宋体" w:hAnsi="宋体"/>
          <w:b/>
          <w:color w:val="000000"/>
          <w:sz w:val="32"/>
          <w:szCs w:val="32"/>
        </w:rPr>
      </w:pPr>
    </w:p>
    <w:p>
      <w:pPr>
        <w:pStyle w:val="17"/>
        <w:rPr>
          <w:rFonts w:hint="eastAsia" w:ascii="宋体" w:hAnsi="宋体"/>
          <w:b/>
          <w:color w:val="000000"/>
          <w:sz w:val="32"/>
          <w:szCs w:val="32"/>
        </w:rPr>
      </w:pPr>
    </w:p>
    <w:p>
      <w:pPr>
        <w:pStyle w:val="17"/>
        <w:ind w:left="0" w:leftChars="0" w:firstLine="0" w:firstLineChars="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25120"/>
      <w:bookmarkStart w:id="1" w:name="_Toc177824939"/>
      <w:bookmarkStart w:id="2" w:name="_Toc177824872"/>
      <w:bookmarkStart w:id="3" w:name="_Toc177870537"/>
      <w:r>
        <w:rPr>
          <w:rFonts w:hint="eastAsia" w:ascii="宋体" w:hAnsi="宋体"/>
          <w:color w:val="000000"/>
          <w:sz w:val="32"/>
          <w:szCs w:val="32"/>
          <w:shd w:val="clear" w:color="auto" w:fill="FFFFFF"/>
        </w:rPr>
        <w:t>（一）适用范围</w:t>
      </w:r>
      <w:bookmarkEnd w:id="0"/>
      <w:bookmarkEnd w:id="1"/>
      <w:bookmarkEnd w:id="2"/>
      <w:bookmarkEnd w:id="3"/>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本次公开招标文件适用于：</w:t>
      </w:r>
      <w:r>
        <w:rPr>
          <w:rFonts w:hint="eastAsia" w:ascii="宋体" w:hAnsi="宋体"/>
          <w:color w:val="C00000"/>
          <w:sz w:val="32"/>
          <w:szCs w:val="32"/>
          <w:u w:val="single"/>
          <w:shd w:val="clear" w:color="auto" w:fill="FFFFFF"/>
          <w:lang w:val="en-US" w:eastAsia="zh-CN"/>
        </w:rPr>
        <w:t>阿克苏市教育系统幼儿园大宗食材统一配送服务项目</w:t>
      </w:r>
      <w:r>
        <w:rPr>
          <w:rFonts w:hint="eastAsia" w:ascii="宋体" w:hAnsi="宋体"/>
          <w:color w:val="000000"/>
          <w:sz w:val="32"/>
          <w:szCs w:val="32"/>
          <w:shd w:val="clear" w:color="auto" w:fill="FFFFFF"/>
          <w:lang w:val="en-US" w:eastAsia="zh-CN"/>
        </w:rPr>
        <w:t>的招标、评标、定标、验收、合同履约、付款等（法律、法规另有规定的，从其规定）。</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本项目遵照“财政部、工业和信息化部关于印发《政府采购促进中小企业发展管理办法》的通知”。</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eastAsia="宋体" w:cs="Times New Roman"/>
          <w:color w:val="000000"/>
          <w:kern w:val="2"/>
          <w:sz w:val="32"/>
          <w:szCs w:val="32"/>
          <w:shd w:val="clear" w:color="auto" w:fill="FFFFFF"/>
          <w:lang w:val="en-US" w:eastAsia="zh-CN" w:bidi="ar-SA"/>
        </w:rPr>
      </w:pPr>
      <w:r>
        <w:rPr>
          <w:rFonts w:hint="eastAsia" w:ascii="宋体" w:hAnsi="宋体" w:eastAsia="宋体" w:cs="Times New Roman"/>
          <w:color w:val="000000"/>
          <w:kern w:val="2"/>
          <w:sz w:val="32"/>
          <w:szCs w:val="32"/>
          <w:shd w:val="clear" w:color="auto" w:fill="FFFFFF"/>
          <w:lang w:val="en-US" w:eastAsia="zh-CN" w:bidi="ar-SA"/>
        </w:rPr>
        <w:t>本采购标的对应的中小企业划分标准所属行业为</w:t>
      </w:r>
      <w:r>
        <w:rPr>
          <w:rFonts w:hint="eastAsia" w:ascii="宋体" w:hAnsi="宋体" w:cs="Times New Roman"/>
          <w:color w:val="000000"/>
          <w:kern w:val="2"/>
          <w:sz w:val="32"/>
          <w:szCs w:val="32"/>
          <w:shd w:val="clear" w:color="auto" w:fill="FFFFFF"/>
          <w:lang w:val="en-US" w:eastAsia="zh-CN" w:bidi="ar-SA"/>
        </w:rPr>
        <w:t>服务</w:t>
      </w:r>
      <w:r>
        <w:rPr>
          <w:rFonts w:hint="eastAsia" w:ascii="宋体" w:hAnsi="宋体" w:eastAsia="宋体" w:cs="Times New Roman"/>
          <w:color w:val="000000"/>
          <w:kern w:val="2"/>
          <w:sz w:val="32"/>
          <w:szCs w:val="32"/>
          <w:shd w:val="clear" w:color="auto" w:fill="FFFFFF"/>
          <w:lang w:val="en-US" w:eastAsia="zh-CN" w:bidi="ar-SA"/>
        </w:rPr>
        <w:t>。</w:t>
      </w: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70538"/>
      <w:bookmarkStart w:id="6" w:name="_Toc177824940"/>
      <w:bookmarkStart w:id="7" w:name="_Toc177824873"/>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的方式进行。</w:t>
      </w:r>
    </w:p>
    <w:p>
      <w:pPr>
        <w:spacing w:line="360" w:lineRule="auto"/>
        <w:ind w:firstLine="640" w:firstLineChars="200"/>
        <w:rPr>
          <w:rFonts w:hint="eastAsia" w:ascii="宋体" w:hAnsi="宋体"/>
          <w:color w:val="000000"/>
          <w:sz w:val="32"/>
          <w:szCs w:val="32"/>
          <w:shd w:val="clear" w:color="auto" w:fill="FFFFFF"/>
        </w:rPr>
      </w:pPr>
      <w:bookmarkStart w:id="9" w:name="_Toc177824941"/>
      <w:bookmarkStart w:id="10" w:name="_Toc177824874"/>
      <w:bookmarkStart w:id="11" w:name="_Toc177870540"/>
      <w:bookmarkStart w:id="12" w:name="_Toc177825122"/>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4942"/>
      <w:bookmarkStart w:id="14" w:name="_Toc177870541"/>
      <w:bookmarkStart w:id="15" w:name="_Toc177824875"/>
      <w:bookmarkStart w:id="16" w:name="_Toc177825123"/>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文件的所有内容，按照</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文件的要求提交响应文件，响应文件应对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 xml:space="preserve">二  </w:t>
      </w:r>
      <w:r>
        <w:rPr>
          <w:rFonts w:hint="eastAsia" w:ascii="宋体" w:hAnsi="宋体"/>
          <w:b/>
          <w:color w:val="000000"/>
          <w:sz w:val="32"/>
          <w:szCs w:val="32"/>
          <w:shd w:val="clear" w:color="auto" w:fill="FFFFFF"/>
          <w:lang w:eastAsia="zh-CN"/>
        </w:rPr>
        <w:t>公开招标</w:t>
      </w:r>
      <w:r>
        <w:rPr>
          <w:rFonts w:hint="eastAsia" w:ascii="宋体" w:hAnsi="宋体"/>
          <w:b/>
          <w:color w:val="000000"/>
          <w:sz w:val="32"/>
          <w:szCs w:val="32"/>
          <w:shd w:val="clear" w:color="auto" w:fill="FFFFFF"/>
        </w:rPr>
        <w:t>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w:t>
      </w:r>
      <w:r>
        <w:rPr>
          <w:rFonts w:hint="eastAsia" w:ascii="宋体" w:hAnsi="宋体"/>
          <w:b/>
          <w:color w:val="000000"/>
          <w:sz w:val="32"/>
          <w:szCs w:val="32"/>
          <w:lang w:eastAsia="zh-CN"/>
        </w:rPr>
        <w:t>公开招标</w:t>
      </w:r>
      <w:r>
        <w:rPr>
          <w:rFonts w:hint="eastAsia" w:ascii="宋体" w:hAnsi="宋体"/>
          <w:b/>
          <w:color w:val="000000"/>
          <w:sz w:val="32"/>
          <w:szCs w:val="32"/>
        </w:rPr>
        <w:t>文件的构成。</w:t>
      </w:r>
      <w:r>
        <w:rPr>
          <w:rFonts w:hint="eastAsia" w:ascii="宋体" w:hAnsi="宋体"/>
          <w:b/>
          <w:color w:val="000000"/>
          <w:sz w:val="32"/>
          <w:szCs w:val="32"/>
          <w:lang w:eastAsia="zh-CN"/>
        </w:rPr>
        <w:t>公开招标</w:t>
      </w:r>
      <w:r>
        <w:rPr>
          <w:rFonts w:hint="eastAsia" w:ascii="宋体" w:hAnsi="宋体"/>
          <w:b/>
          <w:color w:val="000000"/>
          <w:sz w:val="32"/>
          <w:szCs w:val="32"/>
        </w:rPr>
        <w:t>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3"/>
        <w:spacing w:line="360" w:lineRule="auto"/>
        <w:ind w:firstLine="617" w:firstLineChars="192"/>
        <w:rPr>
          <w:rFonts w:hint="eastAsia" w:ascii="宋体" w:hAnsi="宋体"/>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公开招标</w:t>
      </w:r>
      <w:r>
        <w:rPr>
          <w:rFonts w:hint="eastAsia" w:ascii="宋体" w:hAnsi="宋体"/>
          <w:b/>
          <w:color w:val="000000"/>
          <w:sz w:val="32"/>
          <w:szCs w:val="32"/>
        </w:rPr>
        <w:t>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w:t>
      </w:r>
      <w:r>
        <w:rPr>
          <w:rFonts w:hint="eastAsia" w:ascii="宋体" w:hAnsi="宋体"/>
          <w:b/>
          <w:sz w:val="32"/>
          <w:szCs w:val="32"/>
          <w:lang w:eastAsia="zh-CN"/>
        </w:rPr>
        <w:t>公开招标</w:t>
      </w:r>
      <w:r>
        <w:rPr>
          <w:rFonts w:hint="eastAsia" w:ascii="宋体" w:hAnsi="宋体"/>
          <w:b/>
          <w:sz w:val="32"/>
          <w:szCs w:val="32"/>
        </w:rPr>
        <w:t>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文件，若对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文件有疑问需要澄清或质疑，须在领取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阿克苏市教育系统幼儿园大宗食材统一配送服务项目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宋体" w:hAnsi="宋体"/>
          <w:color w:val="C00000"/>
          <w:sz w:val="32"/>
          <w:szCs w:val="32"/>
          <w:u w:val="single"/>
          <w:shd w:val="clear" w:color="auto" w:fill="FFFFFF"/>
          <w:lang w:val="en-US" w:eastAsia="zh-CN"/>
        </w:rPr>
        <w:t>阿克苏市教育系统幼儿园大宗食材统一配送服务项目</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w:t>
      </w:r>
      <w:r>
        <w:rPr>
          <w:rFonts w:hint="eastAsia" w:ascii="宋体" w:hAnsi="宋体"/>
          <w:sz w:val="32"/>
          <w:szCs w:val="32"/>
          <w:lang w:eastAsia="zh-CN"/>
        </w:rPr>
        <w:t>阿克苏地区行政公署网</w:t>
      </w:r>
      <w:r>
        <w:rPr>
          <w:rFonts w:hint="eastAsia" w:ascii="宋体" w:hAnsi="宋体"/>
          <w:sz w:val="32"/>
          <w:szCs w:val="32"/>
        </w:rPr>
        <w:t>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3"/>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w:t>
      </w:r>
      <w:r>
        <w:rPr>
          <w:rFonts w:hint="eastAsia" w:ascii="宋体" w:hAnsi="宋体"/>
          <w:b/>
          <w:color w:val="000000"/>
          <w:sz w:val="32"/>
          <w:szCs w:val="32"/>
          <w:lang w:eastAsia="zh-CN"/>
        </w:rPr>
        <w:t>公开招标</w:t>
      </w:r>
      <w:r>
        <w:rPr>
          <w:rFonts w:hint="eastAsia" w:ascii="宋体" w:hAnsi="宋体"/>
          <w:b/>
          <w:color w:val="000000"/>
          <w:sz w:val="32"/>
          <w:szCs w:val="32"/>
        </w:rPr>
        <w:t>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w:t>
      </w:r>
      <w:r>
        <w:rPr>
          <w:rFonts w:hint="eastAsia" w:ascii="宋体" w:hAnsi="宋体"/>
          <w:bCs/>
          <w:color w:val="000000"/>
          <w:sz w:val="32"/>
          <w:szCs w:val="32"/>
          <w:lang w:eastAsia="zh-CN"/>
        </w:rPr>
        <w:t>公开招标</w:t>
      </w:r>
      <w:r>
        <w:rPr>
          <w:rFonts w:hint="eastAsia" w:ascii="宋体" w:hAnsi="宋体"/>
          <w:bCs/>
          <w:color w:val="000000"/>
          <w:sz w:val="32"/>
          <w:szCs w:val="32"/>
        </w:rPr>
        <w:t>文件进行修改，</w:t>
      </w:r>
      <w:r>
        <w:rPr>
          <w:rFonts w:hint="eastAsia" w:ascii="宋体" w:hAnsi="宋体"/>
          <w:sz w:val="32"/>
          <w:szCs w:val="32"/>
        </w:rPr>
        <w:t>据此发出的补遗书将构成</w:t>
      </w:r>
      <w:r>
        <w:rPr>
          <w:rFonts w:hint="eastAsia" w:ascii="宋体" w:hAnsi="宋体"/>
          <w:sz w:val="32"/>
          <w:szCs w:val="32"/>
          <w:lang w:eastAsia="zh-CN"/>
        </w:rPr>
        <w:t>公开招标</w:t>
      </w:r>
      <w:r>
        <w:rPr>
          <w:rFonts w:hint="eastAsia" w:ascii="宋体" w:hAnsi="宋体"/>
          <w:sz w:val="32"/>
          <w:szCs w:val="32"/>
        </w:rPr>
        <w:t>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w:t>
      </w:r>
      <w:r>
        <w:rPr>
          <w:rFonts w:hint="eastAsia" w:ascii="宋体" w:hAnsi="宋体" w:cs="Times New Roman"/>
          <w:sz w:val="32"/>
          <w:szCs w:val="32"/>
          <w:lang w:eastAsia="zh-CN"/>
        </w:rPr>
        <w:t>公开招标</w:t>
      </w:r>
      <w:r>
        <w:rPr>
          <w:rFonts w:hint="eastAsia" w:ascii="宋体" w:hAnsi="宋体" w:eastAsia="宋体" w:cs="Times New Roman"/>
          <w:sz w:val="32"/>
          <w:szCs w:val="32"/>
        </w:rPr>
        <w:t>文件的修改将在</w:t>
      </w:r>
      <w:r>
        <w:rPr>
          <w:rFonts w:hint="eastAsia" w:ascii="宋体" w:hAnsi="宋体" w:eastAsia="宋体" w:cs="Times New Roman"/>
          <w:sz w:val="32"/>
          <w:szCs w:val="32"/>
          <w:lang w:val="en-US" w:eastAsia="zh-CN"/>
        </w:rPr>
        <w:t>新疆政府采购网及</w:t>
      </w:r>
      <w:r>
        <w:rPr>
          <w:rFonts w:hint="eastAsia" w:ascii="宋体" w:hAnsi="宋体" w:cs="Times New Roman"/>
          <w:sz w:val="32"/>
          <w:szCs w:val="32"/>
          <w:lang w:val="en-US" w:eastAsia="zh-CN"/>
        </w:rPr>
        <w:t>阿克苏地区行政公署网</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25124"/>
      <w:bookmarkStart w:id="25" w:name="_Toc177824943"/>
      <w:bookmarkStart w:id="26" w:name="_Toc177870546"/>
      <w:bookmarkStart w:id="27" w:name="_Toc177824876"/>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（1）投标人基本情况表；</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color w:val="000000"/>
          <w:sz w:val="32"/>
          <w:szCs w:val="32"/>
          <w:shd w:val="clear" w:color="auto" w:fill="FFFFFF"/>
        </w:rPr>
        <w:t>（2）有效经年检的</w:t>
      </w:r>
      <w:r>
        <w:rPr>
          <w:rFonts w:hint="eastAsia" w:ascii="宋体" w:hAnsi="宋体"/>
          <w:color w:val="000000"/>
          <w:sz w:val="32"/>
          <w:szCs w:val="32"/>
          <w:shd w:val="clear" w:color="auto" w:fill="FFFFFF"/>
          <w:lang w:eastAsia="zh-CN"/>
        </w:rPr>
        <w:t>三证合一</w:t>
      </w:r>
      <w:r>
        <w:rPr>
          <w:rFonts w:hint="eastAsia" w:ascii="宋体" w:hAnsi="宋体"/>
          <w:color w:val="000000"/>
          <w:sz w:val="32"/>
          <w:szCs w:val="32"/>
          <w:shd w:val="clear" w:color="auto" w:fill="FFFFFF"/>
        </w:rPr>
        <w:t>营业执照</w:t>
      </w:r>
      <w:r>
        <w:rPr>
          <w:rFonts w:hint="eastAsia" w:ascii="宋体" w:hAnsi="宋体" w:eastAsia="宋体" w:cs="Times New Roman"/>
          <w:color w:val="000000"/>
          <w:sz w:val="32"/>
          <w:szCs w:val="32"/>
          <w:shd w:val="clear" w:color="auto" w:fill="FFFFFF"/>
          <w:lang w:eastAsia="zh-CN"/>
        </w:rPr>
        <w:t>、</w:t>
      </w:r>
      <w:r>
        <w:rPr>
          <w:rFonts w:hint="default" w:ascii="宋体" w:hAnsi="宋体" w:eastAsia="宋体" w:cs="Times New Roman"/>
          <w:color w:val="000000"/>
          <w:sz w:val="32"/>
          <w:szCs w:val="32"/>
          <w:shd w:val="clear" w:color="auto" w:fill="FFFFFF"/>
          <w:lang w:val="en-US" w:eastAsia="zh-CN"/>
        </w:rPr>
        <w:t>《食品经营许可证》或《</w:t>
      </w:r>
      <w:r>
        <w:rPr>
          <w:rFonts w:hint="eastAsia" w:ascii="宋体" w:hAnsi="宋体" w:eastAsia="宋体" w:cs="Times New Roman"/>
          <w:color w:val="000000"/>
          <w:sz w:val="32"/>
          <w:szCs w:val="32"/>
          <w:shd w:val="clear" w:color="auto" w:fill="FFFFFF"/>
          <w:lang w:val="en-US" w:eastAsia="zh-CN"/>
        </w:rPr>
        <w:t>食品</w:t>
      </w:r>
      <w:r>
        <w:rPr>
          <w:rFonts w:hint="default" w:ascii="宋体" w:hAnsi="宋体" w:eastAsia="宋体" w:cs="Times New Roman"/>
          <w:color w:val="000000"/>
          <w:sz w:val="32"/>
          <w:szCs w:val="32"/>
          <w:shd w:val="clear" w:color="auto" w:fill="FFFFFF"/>
          <w:lang w:val="en-US" w:eastAsia="zh-CN"/>
        </w:rPr>
        <w:t>生产许可证》</w:t>
      </w:r>
      <w:r>
        <w:rPr>
          <w:rFonts w:hint="eastAsia" w:ascii="宋体" w:hAnsi="宋体" w:eastAsia="宋体" w:cs="Times New Roman"/>
          <w:color w:val="000000"/>
          <w:sz w:val="32"/>
          <w:szCs w:val="32"/>
          <w:shd w:val="clear" w:color="auto" w:fill="FFFFFF"/>
          <w:lang w:eastAsia="zh-CN"/>
        </w:rPr>
        <w:t>等招标文件规定的资质证明文件</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（3）法定代表人身份证明或法定代表人授权委托书； </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（4）投标人近三年有无违法、违规记录承诺书；</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val="en-US" w:eastAsia="zh-CN"/>
        </w:rPr>
        <w:t>5</w:t>
      </w:r>
      <w:r>
        <w:rPr>
          <w:rFonts w:hint="eastAsia" w:ascii="宋体" w:hAnsi="宋体" w:eastAsia="宋体" w:cs="Times New Roman"/>
          <w:color w:val="000000"/>
          <w:sz w:val="32"/>
          <w:szCs w:val="32"/>
          <w:shd w:val="clear" w:color="auto" w:fill="FFFFFF"/>
        </w:rPr>
        <w:t>）近三年类似项目的业绩资料复印件，需加盖公章（以中标通知书或合同为准，业绩须为投标单位所有）；</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（6）投标人的基本情况介绍及合格投标人资格证明文件；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rPr>
        <w:t>）对本采购项目总体要求的理解；对本次采购食品保管合理化建议及方案，需投标人自有场地并能够满足突发及应急食品保障；</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val="en-US" w:eastAsia="zh-CN"/>
        </w:rPr>
        <w:t>8</w:t>
      </w:r>
      <w:r>
        <w:rPr>
          <w:rFonts w:hint="eastAsia" w:ascii="宋体" w:hAnsi="宋体" w:eastAsia="宋体" w:cs="Times New Roman"/>
          <w:color w:val="000000"/>
          <w:sz w:val="32"/>
          <w:szCs w:val="32"/>
          <w:shd w:val="clear" w:color="auto" w:fill="FFFFFF"/>
        </w:rPr>
        <w:t>）投标单位拥有主要生产和检测设施的情况和现状；供货方案，运输、配送方案及情况；</w:t>
      </w:r>
    </w:p>
    <w:p>
      <w:pPr>
        <w:spacing w:line="360" w:lineRule="auto"/>
        <w:ind w:firstLine="640" w:firstLineChars="200"/>
        <w:rPr>
          <w:rFonts w:hint="eastAsia" w:ascii="宋体" w:hAnsi="宋体"/>
          <w:color w:val="000000"/>
          <w:sz w:val="32"/>
          <w:szCs w:val="32"/>
          <w:shd w:val="clear" w:color="auto" w:fill="FFFFFF"/>
          <w:lang w:eastAsia="zh-CN"/>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9</w:t>
      </w:r>
      <w:r>
        <w:rPr>
          <w:rFonts w:hint="eastAsia" w:ascii="宋体" w:hAnsi="宋体"/>
          <w:color w:val="000000"/>
          <w:sz w:val="32"/>
          <w:szCs w:val="32"/>
          <w:shd w:val="clear" w:color="auto" w:fill="FFFFFF"/>
        </w:rPr>
        <w:t>）售后服务的内容和措施；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10</w:t>
      </w:r>
      <w:r>
        <w:rPr>
          <w:rFonts w:hint="eastAsia" w:ascii="宋体" w:hAnsi="宋体"/>
          <w:color w:val="000000"/>
          <w:sz w:val="32"/>
          <w:szCs w:val="32"/>
          <w:shd w:val="clear" w:color="auto" w:fill="FFFFFF"/>
        </w:rPr>
        <w:t>）项目质量</w:t>
      </w:r>
      <w:r>
        <w:rPr>
          <w:rFonts w:hint="eastAsia" w:ascii="宋体" w:hAnsi="宋体"/>
          <w:color w:val="000000"/>
          <w:sz w:val="32"/>
          <w:szCs w:val="32"/>
          <w:shd w:val="clear" w:color="auto" w:fill="FFFFFF"/>
          <w:lang w:val="en-US" w:eastAsia="zh-CN"/>
        </w:rPr>
        <w:t>保证措施</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1</w:t>
      </w:r>
      <w:r>
        <w:rPr>
          <w:rFonts w:hint="eastAsia" w:ascii="宋体" w:hAnsi="宋体"/>
          <w:color w:val="000000"/>
          <w:sz w:val="32"/>
          <w:szCs w:val="32"/>
          <w:shd w:val="clear" w:color="auto" w:fill="FFFFFF"/>
        </w:rPr>
        <w:t>）投标货物（设备）技术、性能、质量具体明细及偏离表；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2</w:t>
      </w:r>
      <w:r>
        <w:rPr>
          <w:rFonts w:hint="eastAsia" w:ascii="宋体" w:hAnsi="宋体"/>
          <w:color w:val="000000"/>
          <w:sz w:val="32"/>
          <w:szCs w:val="32"/>
          <w:shd w:val="clear" w:color="auto" w:fill="FFFFFF"/>
        </w:rPr>
        <w:t>）投标产品质量承诺书；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）投标人技术支持和售后服务承诺；</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年度财务审计报告（2019年-2021年任意一年）、近六个月完税证明、近三个月社保缴纳证明（</w:t>
      </w:r>
      <w:r>
        <w:rPr>
          <w:rFonts w:hint="eastAsia" w:ascii="宋体" w:hAnsi="宋体"/>
          <w:b/>
          <w:bCs/>
          <w:color w:val="000000"/>
          <w:sz w:val="32"/>
          <w:szCs w:val="32"/>
          <w:shd w:val="clear" w:color="auto" w:fill="FFFFFF"/>
          <w:lang w:val="en-US" w:eastAsia="zh-CN"/>
        </w:rPr>
        <w:t>可以采用《政府采购诚信承诺函》的形式</w:t>
      </w:r>
      <w:r>
        <w:rPr>
          <w:rFonts w:hint="eastAsia" w:ascii="宋体" w:hAnsi="宋体"/>
          <w:color w:val="000000"/>
          <w:sz w:val="32"/>
          <w:szCs w:val="32"/>
          <w:shd w:val="clear" w:color="auto" w:fill="FFFFFF"/>
          <w:lang w:val="en-US" w:eastAsia="zh-CN"/>
        </w:rPr>
        <w:t>）上传原件扫描件。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5</w:t>
      </w:r>
      <w:r>
        <w:rPr>
          <w:rFonts w:hint="eastAsia" w:ascii="宋体" w:hAnsi="宋体" w:eastAsia="宋体" w:cs="Times New Roman"/>
          <w:color w:val="000000"/>
          <w:sz w:val="32"/>
          <w:szCs w:val="32"/>
          <w:shd w:val="clear" w:color="auto" w:fill="FFFFFF"/>
          <w:lang w:val="en-US" w:eastAsia="zh-CN"/>
        </w:rPr>
        <w:t>）</w:t>
      </w:r>
      <w:r>
        <w:rPr>
          <w:rFonts w:hint="eastAsia" w:ascii="宋体" w:hAnsi="宋体" w:eastAsia="宋体" w:cs="Times New Roman"/>
          <w:color w:val="000000"/>
          <w:sz w:val="32"/>
          <w:szCs w:val="32"/>
          <w:shd w:val="clear" w:color="auto" w:fill="FFFFFF"/>
        </w:rPr>
        <w:t>中小企业声明函（工程、服务、货物）</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6</w:t>
      </w:r>
      <w:r>
        <w:rPr>
          <w:rFonts w:hint="eastAsia" w:ascii="宋体" w:hAnsi="宋体" w:eastAsia="宋体" w:cs="Times New Roman"/>
          <w:color w:val="000000"/>
          <w:sz w:val="32"/>
          <w:szCs w:val="32"/>
          <w:shd w:val="clear" w:color="auto" w:fill="FFFFFF"/>
          <w:lang w:val="en-US" w:eastAsia="zh-CN"/>
        </w:rPr>
        <w:t>）投标保证金凭证；</w:t>
      </w:r>
    </w:p>
    <w:p>
      <w:pPr>
        <w:spacing w:line="360" w:lineRule="auto"/>
        <w:ind w:firstLine="640" w:firstLineChars="200"/>
        <w:rPr>
          <w:rFonts w:hint="default"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lang w:val="en-US" w:eastAsia="zh-CN"/>
        </w:rPr>
        <w:t>）招标公告、招标文件配置需求要求的其它资格证明文件、及要求；投标人认为需要说明补充的其它资料文件。</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（18）投标人需要说明的其他文件；</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（19）反商业贿赂承诺书。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文件已有明确规定的，使用</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规定的计量单位；</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24945"/>
      <w:bookmarkStart w:id="29" w:name="_Toc177824878"/>
      <w:bookmarkStart w:id="30" w:name="_Toc177825126"/>
      <w:bookmarkStart w:id="31" w:name="_Toc17787054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lang w:val="en-US" w:eastAsia="zh-CN"/>
        </w:rPr>
        <w:t>9</w:t>
      </w:r>
      <w:r>
        <w:rPr>
          <w:rFonts w:hint="eastAsia" w:ascii="宋体" w:hAnsi="宋体"/>
          <w:sz w:val="32"/>
          <w:szCs w:val="32"/>
          <w:shd w:val="clear" w:color="auto" w:fill="FFFFFF"/>
        </w:rPr>
        <w:t>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25127"/>
      <w:bookmarkStart w:id="33" w:name="_Toc177824946"/>
      <w:bookmarkStart w:id="34" w:name="_Toc177870549"/>
      <w:bookmarkStart w:id="35" w:name="_Toc17782487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3" w:firstLineChars="200"/>
        <w:rPr>
          <w:rFonts w:hint="eastAsia" w:ascii="宋体" w:hAnsi="宋体" w:cs="Times New Roman"/>
          <w:b/>
          <w:bCs/>
          <w:color w:val="000000"/>
          <w:sz w:val="32"/>
          <w:szCs w:val="32"/>
          <w:shd w:val="clear" w:color="auto" w:fill="FFFFFF"/>
        </w:rPr>
      </w:pPr>
      <w:r>
        <w:rPr>
          <w:rFonts w:hint="eastAsia" w:ascii="宋体" w:hAnsi="宋体" w:cs="Times New Roman"/>
          <w:b/>
          <w:bCs/>
          <w:color w:val="000000"/>
          <w:sz w:val="32"/>
          <w:szCs w:val="32"/>
          <w:shd w:val="clear" w:color="auto" w:fill="FFFFFF"/>
        </w:rPr>
        <w:t>（五）投标保证金</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★1、投标人须提交投标保证金。否则，其投标将被拒绝。</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3、下列情况，投标保证金将不予退还：</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（1）投标人在投标有效期内撤回投标文件的；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3</w:t>
      </w: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中标</w:t>
      </w:r>
      <w:r>
        <w:rPr>
          <w:rFonts w:hint="eastAsia" w:ascii="宋体" w:hAnsi="宋体" w:cs="Times New Roman"/>
          <w:color w:val="000000"/>
          <w:sz w:val="32"/>
          <w:szCs w:val="32"/>
          <w:shd w:val="clear" w:color="auto" w:fill="FFFFFF"/>
        </w:rPr>
        <w:t>人未按规定的时间、地点与采购人签订合同的；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rPr>
        <w:t>）其他严重扰乱招投标程序的。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4880"/>
      <w:bookmarkStart w:id="37" w:name="_Toc177824947"/>
      <w:bookmarkStart w:id="38" w:name="_Toc177870550"/>
      <w:bookmarkStart w:id="39" w:name="_Toc177825128"/>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25129"/>
      <w:bookmarkStart w:id="41" w:name="_Toc177824881"/>
      <w:bookmarkStart w:id="42" w:name="_Toc177870551"/>
      <w:bookmarkStart w:id="43" w:name="_Toc177824948"/>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w:t>
      </w:r>
      <w:r>
        <w:rPr>
          <w:rFonts w:hint="eastAsia" w:ascii="宋体" w:hAnsi="宋体" w:cs="宋体"/>
          <w:color w:val="FF0000"/>
          <w:sz w:val="32"/>
          <w:szCs w:val="32"/>
          <w:shd w:val="clear" w:color="auto" w:fill="FFFFFF"/>
          <w:lang w:val="en-US" w:eastAsia="zh-CN"/>
        </w:rPr>
        <w:t>3</w:t>
      </w:r>
      <w:r>
        <w:rPr>
          <w:rFonts w:hint="eastAsia" w:ascii="宋体" w:hAnsi="宋体" w:eastAsia="宋体" w:cs="宋体"/>
          <w:color w:val="FF0000"/>
          <w:sz w:val="32"/>
          <w:szCs w:val="32"/>
          <w:shd w:val="clear" w:color="auto" w:fill="FFFFFF"/>
          <w:lang w:val="zh-CN" w:eastAsia="zh-CN"/>
        </w:rPr>
        <w:t>个工作日</w:t>
      </w:r>
      <w:r>
        <w:rPr>
          <w:rFonts w:hint="eastAsia" w:ascii="宋体" w:hAnsi="宋体" w:cs="宋体"/>
          <w:color w:val="FF0000"/>
          <w:sz w:val="32"/>
          <w:szCs w:val="32"/>
          <w:shd w:val="clear" w:color="auto" w:fill="FFFFFF"/>
          <w:lang w:val="en-US" w:eastAsia="zh-CN"/>
        </w:rPr>
        <w:t>内</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李婷；（</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文件的，修改后重新递交的响应文件应当按本</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Times New Roman"/>
          <w:color w:val="C00000"/>
          <w:sz w:val="32"/>
          <w:szCs w:val="32"/>
          <w:shd w:val="clear" w:color="auto" w:fill="FFFFFF"/>
          <w:lang w:eastAsia="zh-CN"/>
        </w:rPr>
      </w:pPr>
      <w:r>
        <w:rPr>
          <w:rFonts w:hint="eastAsia" w:ascii="宋体" w:hAnsi="宋体" w:eastAsia="宋体" w:cs="Times New Roman"/>
          <w:color w:val="C00000"/>
          <w:sz w:val="32"/>
          <w:szCs w:val="32"/>
          <w:shd w:val="clear" w:color="auto" w:fill="FFFFFF"/>
        </w:rPr>
        <w:t>（</w:t>
      </w:r>
      <w:r>
        <w:rPr>
          <w:rFonts w:hint="eastAsia" w:ascii="宋体" w:hAnsi="宋体" w:cs="Times New Roman"/>
          <w:color w:val="C00000"/>
          <w:sz w:val="32"/>
          <w:szCs w:val="32"/>
          <w:shd w:val="clear" w:color="auto" w:fill="FFFFFF"/>
          <w:lang w:val="en-US" w:eastAsia="zh-CN"/>
        </w:rPr>
        <w:t>1</w:t>
      </w:r>
      <w:r>
        <w:rPr>
          <w:rFonts w:hint="eastAsia" w:ascii="宋体" w:hAnsi="宋体" w:eastAsia="宋体" w:cs="Times New Roman"/>
          <w:color w:val="C00000"/>
          <w:sz w:val="32"/>
          <w:szCs w:val="32"/>
          <w:shd w:val="clear" w:color="auto" w:fill="FFFFFF"/>
        </w:rPr>
        <w:t>）</w:t>
      </w:r>
      <w:r>
        <w:rPr>
          <w:rFonts w:hint="eastAsia" w:ascii="宋体" w:hAnsi="宋体" w:eastAsia="宋体" w:cs="Times New Roman"/>
          <w:color w:val="C00000"/>
          <w:sz w:val="32"/>
          <w:szCs w:val="32"/>
          <w:shd w:val="clear" w:color="auto" w:fill="FFFFFF"/>
          <w:lang w:eastAsia="zh-CN"/>
        </w:rPr>
        <w:t>未按规定交纳投标保证金或投标单位没有提交投标保证金</w:t>
      </w:r>
      <w:r>
        <w:rPr>
          <w:rFonts w:hint="eastAsia" w:ascii="宋体" w:hAnsi="宋体" w:cs="Times New Roman"/>
          <w:color w:val="C00000"/>
          <w:sz w:val="32"/>
          <w:szCs w:val="32"/>
          <w:shd w:val="clear" w:color="auto" w:fill="FFFFFF"/>
          <w:lang w:val="en-US" w:eastAsia="zh-CN"/>
        </w:rPr>
        <w:t>凭证</w:t>
      </w:r>
      <w:r>
        <w:rPr>
          <w:rFonts w:hint="eastAsia" w:ascii="宋体" w:hAnsi="宋体" w:eastAsia="宋体" w:cs="Times New Roman"/>
          <w:color w:val="C00000"/>
          <w:sz w:val="32"/>
          <w:szCs w:val="32"/>
          <w:shd w:val="clear" w:color="auto" w:fill="FFFFFF"/>
          <w:lang w:eastAsia="zh-CN"/>
        </w:rPr>
        <w:t>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eastAsia="宋体"/>
          <w:b/>
          <w:color w:val="000000"/>
          <w:sz w:val="32"/>
          <w:szCs w:val="32"/>
          <w:shd w:val="clear" w:color="auto" w:fill="FFFFFF"/>
          <w:lang w:eastAsia="zh-CN"/>
        </w:rPr>
      </w:pPr>
      <w:r>
        <w:rPr>
          <w:rFonts w:hint="eastAsia" w:ascii="宋体" w:hAnsi="宋体"/>
          <w:b/>
          <w:color w:val="000000"/>
          <w:sz w:val="32"/>
          <w:szCs w:val="32"/>
          <w:shd w:val="clear" w:color="auto" w:fill="FFFFFF"/>
        </w:rPr>
        <w:t>（一）组建评委</w:t>
      </w:r>
      <w:r>
        <w:rPr>
          <w:rFonts w:hint="eastAsia" w:ascii="宋体" w:hAnsi="宋体"/>
          <w:b/>
          <w:color w:val="000000"/>
          <w:sz w:val="32"/>
          <w:szCs w:val="32"/>
          <w:shd w:val="clear" w:color="auto" w:fill="FFFFFF"/>
          <w:lang w:eastAsia="zh-CN"/>
        </w:rPr>
        <w:t>公开招标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 xml:space="preserve">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w:t>
      </w:r>
      <w:r>
        <w:rPr>
          <w:rFonts w:hint="eastAsia" w:ascii="宋体" w:hAnsi="宋体"/>
          <w:color w:val="000000"/>
          <w:sz w:val="32"/>
          <w:szCs w:val="32"/>
          <w:shd w:val="clear" w:color="auto" w:fill="FFFFFF"/>
          <w:lang w:val="en-US" w:eastAsia="zh-CN"/>
        </w:rPr>
        <w:t>评标委员会在线</w:t>
      </w:r>
      <w:r>
        <w:rPr>
          <w:rFonts w:hint="eastAsia" w:ascii="宋体" w:hAnsi="宋体"/>
          <w:color w:val="000000"/>
          <w:sz w:val="32"/>
          <w:szCs w:val="32"/>
          <w:shd w:val="clear" w:color="auto" w:fill="FFFFFF"/>
        </w:rPr>
        <w:t>审阅</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应有</w:t>
      </w:r>
      <w:r>
        <w:rPr>
          <w:rFonts w:hint="eastAsia" w:ascii="宋体" w:hAnsi="宋体"/>
          <w:color w:val="000000"/>
          <w:sz w:val="32"/>
          <w:szCs w:val="32"/>
          <w:shd w:val="clear" w:color="auto" w:fill="FFFFFF"/>
          <w:lang w:val="en-US" w:eastAsia="zh-CN"/>
        </w:rPr>
        <w:t>法定代表人</w:t>
      </w:r>
      <w:r>
        <w:rPr>
          <w:rFonts w:hint="eastAsia" w:ascii="宋体" w:hAnsi="宋体"/>
          <w:color w:val="000000"/>
          <w:sz w:val="32"/>
          <w:szCs w:val="32"/>
          <w:shd w:val="clear" w:color="auto" w:fill="FFFFFF"/>
        </w:rPr>
        <w:t>或</w:t>
      </w:r>
      <w:r>
        <w:rPr>
          <w:rFonts w:hint="eastAsia" w:ascii="宋体" w:hAnsi="宋体"/>
          <w:color w:val="000000"/>
          <w:sz w:val="32"/>
          <w:szCs w:val="32"/>
          <w:shd w:val="clear" w:color="auto" w:fill="FFFFFF"/>
          <w:lang w:val="en-US" w:eastAsia="zh-CN"/>
        </w:rPr>
        <w:t>其全权</w:t>
      </w:r>
      <w:r>
        <w:rPr>
          <w:rFonts w:hint="eastAsia" w:ascii="宋体" w:hAnsi="宋体"/>
          <w:color w:val="000000"/>
          <w:sz w:val="32"/>
          <w:szCs w:val="32"/>
          <w:shd w:val="clear" w:color="auto" w:fill="FFFFFF"/>
        </w:rPr>
        <w:t>代理人签署意见的文件、证明等，未经本人签署的，应加盖公章的证照、函件而未加盖公章的；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不具备招标文件中规定资质要求的；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招标文件中明确要求的事项，而投标文件中未做出响应或做出错误响应的；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投标人的组织实施方案、技术支持和服务承诺与招标文件要求有较大偏差的；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所供货物功能、技术性能与招标文件所要求的有较大偏差的；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超出招标文件要求的交货(完工)时间的；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8</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投标单位提供的设备没有质保期的；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投标文件中有招标人不能接受的条件的；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投标人有不良记录的；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不符合法律、法规和招标文件中规定的其它实质性要求的。</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小组根据</w:t>
      </w:r>
      <w:r>
        <w:rPr>
          <w:rFonts w:hint="eastAsia" w:ascii="宋体" w:hAnsi="宋体"/>
          <w:color w:val="000000"/>
          <w:sz w:val="32"/>
          <w:szCs w:val="32"/>
          <w:shd w:val="clear" w:color="auto" w:fill="FFFFFF"/>
          <w:lang w:val="en-US" w:eastAsia="zh-CN"/>
        </w:rPr>
        <w:t>招标</w:t>
      </w:r>
      <w:r>
        <w:rPr>
          <w:rFonts w:hint="eastAsia" w:ascii="宋体" w:hAnsi="宋体"/>
          <w:color w:val="000000"/>
          <w:sz w:val="32"/>
          <w:szCs w:val="32"/>
          <w:shd w:val="clear" w:color="auto" w:fill="FFFFFF"/>
        </w:rPr>
        <w:t>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w:t>
      </w:r>
      <w:r>
        <w:rPr>
          <w:rFonts w:hint="eastAsia" w:ascii="宋体" w:hAnsi="宋体"/>
          <w:sz w:val="32"/>
          <w:szCs w:val="32"/>
          <w:shd w:val="clear" w:color="auto" w:fill="FFFFFF"/>
        </w:rPr>
        <w:t>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2、评委会向招标负责单位报告评标情况及结果。根据有关规定，对未中标单位不作任何解释。为此，评委会对未中标单位要求说明理由均不予受理。</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3、评标办法：</w:t>
      </w:r>
      <w:r>
        <w:rPr>
          <w:rFonts w:hint="eastAsia" w:ascii="宋体" w:hAnsi="宋体" w:eastAsia="宋体" w:cs="Times New Roman"/>
          <w:b w:val="0"/>
          <w:bCs w:val="0"/>
          <w:color w:val="FF0000"/>
          <w:sz w:val="32"/>
          <w:szCs w:val="32"/>
          <w:shd w:val="clear" w:color="auto" w:fill="FFFFFF"/>
        </w:rPr>
        <w:t>综合评分法</w:t>
      </w:r>
      <w:r>
        <w:rPr>
          <w:rFonts w:hint="eastAsia" w:ascii="宋体" w:hAnsi="宋体" w:eastAsia="宋体" w:cs="Times New Roman"/>
          <w:color w:val="000000"/>
          <w:sz w:val="32"/>
          <w:szCs w:val="32"/>
          <w:shd w:val="clear" w:color="auto" w:fill="FFFFFF"/>
        </w:rPr>
        <w:t>，是指在最大限度地满足招标文件实质性要求前提下，按照招标文件中规定的各项因素进行综合评审后，以评标总得分最高的投标单位作为中标供应商或者中标供应商的评标方法。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4.评标办法：综合评价法。满分为100分。按报价分</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0分，技术资信</w:t>
      </w:r>
      <w:r>
        <w:rPr>
          <w:rFonts w:hint="eastAsia" w:ascii="宋体" w:hAnsi="宋体" w:cs="Times New Roman"/>
          <w:color w:val="000000"/>
          <w:sz w:val="32"/>
          <w:szCs w:val="32"/>
          <w:shd w:val="clear" w:color="auto" w:fill="FFFFFF"/>
          <w:lang w:val="en-US" w:eastAsia="zh-CN"/>
        </w:rPr>
        <w:t>90</w:t>
      </w:r>
      <w:r>
        <w:rPr>
          <w:rFonts w:hint="eastAsia" w:ascii="宋体" w:hAnsi="宋体" w:eastAsia="宋体" w:cs="Times New Roman"/>
          <w:color w:val="000000"/>
          <w:sz w:val="32"/>
          <w:szCs w:val="32"/>
          <w:shd w:val="clear" w:color="auto" w:fill="FFFFFF"/>
        </w:rPr>
        <w:t>分计，评分最高者为拟中标单位。</w:t>
      </w:r>
    </w:p>
    <w:p>
      <w:pPr>
        <w:spacing w:line="360" w:lineRule="auto"/>
        <w:ind w:firstLine="640" w:firstLineChars="200"/>
        <w:rPr>
          <w:rFonts w:hint="eastAsia" w:ascii="宋体" w:hAnsi="宋体" w:eastAsia="宋体" w:cs="Times New Roman"/>
          <w:color w:val="000000"/>
          <w:sz w:val="32"/>
          <w:szCs w:val="32"/>
          <w:shd w:val="clear" w:color="auto" w:fill="FFFFFF"/>
          <w:lang w:eastAsia="zh-CN"/>
        </w:rPr>
      </w:pPr>
      <w:r>
        <w:rPr>
          <w:rFonts w:hint="eastAsia" w:ascii="宋体" w:hAnsi="宋体" w:eastAsia="宋体" w:cs="Times New Roman"/>
          <w:color w:val="000000"/>
          <w:sz w:val="32"/>
          <w:szCs w:val="32"/>
          <w:shd w:val="clear" w:color="auto" w:fill="FFFFFF"/>
        </w:rPr>
        <w:t>5.</w:t>
      </w:r>
      <w:r>
        <w:rPr>
          <w:rFonts w:hint="eastAsia" w:ascii="宋体" w:hAnsi="宋体" w:eastAsia="宋体" w:cs="Times New Roman"/>
          <w:color w:val="000000"/>
          <w:sz w:val="32"/>
          <w:szCs w:val="32"/>
          <w:shd w:val="clear" w:color="auto" w:fill="FFFFFF"/>
          <w:lang w:eastAsia="zh-CN"/>
        </w:rPr>
        <w:t>综合评分的主要因素是：从项目报价（</w:t>
      </w:r>
      <w:r>
        <w:rPr>
          <w:rFonts w:hint="eastAsia" w:ascii="宋体" w:hAnsi="宋体" w:eastAsia="宋体" w:cs="Times New Roman"/>
          <w:color w:val="000000"/>
          <w:sz w:val="32"/>
          <w:szCs w:val="32"/>
          <w:shd w:val="clear" w:color="auto" w:fill="FFFFFF"/>
          <w:lang w:val="en-US" w:eastAsia="zh-CN"/>
        </w:rPr>
        <w:t>10</w:t>
      </w:r>
      <w:r>
        <w:rPr>
          <w:rFonts w:hint="eastAsia" w:ascii="宋体" w:hAnsi="宋体" w:eastAsia="宋体" w:cs="Times New Roman"/>
          <w:color w:val="000000"/>
          <w:sz w:val="32"/>
          <w:szCs w:val="32"/>
          <w:shd w:val="clear" w:color="auto" w:fill="FFFFFF"/>
          <w:lang w:eastAsia="zh-CN"/>
        </w:rPr>
        <w:t>分）、</w:t>
      </w:r>
      <w:r>
        <w:rPr>
          <w:rFonts w:hint="default" w:ascii="宋体" w:hAnsi="宋体" w:eastAsia="宋体" w:cs="Times New Roman"/>
          <w:color w:val="000000"/>
          <w:sz w:val="32"/>
          <w:szCs w:val="32"/>
          <w:shd w:val="clear" w:color="auto" w:fill="FFFFFF"/>
          <w:lang w:eastAsia="zh-CN"/>
        </w:rPr>
        <w:t>配置及性能指标</w:t>
      </w:r>
      <w:r>
        <w:rPr>
          <w:rFonts w:hint="eastAsia" w:ascii="宋体" w:hAnsi="宋体" w:eastAsia="宋体" w:cs="Times New Roman"/>
          <w:color w:val="000000"/>
          <w:sz w:val="32"/>
          <w:szCs w:val="32"/>
          <w:shd w:val="clear" w:color="auto" w:fill="FFFFFF"/>
          <w:lang w:val="en-US" w:eastAsia="zh-CN"/>
        </w:rPr>
        <w:t>、</w:t>
      </w:r>
      <w:r>
        <w:rPr>
          <w:rFonts w:hint="default" w:ascii="宋体" w:hAnsi="宋体" w:eastAsia="宋体" w:cs="Times New Roman"/>
          <w:color w:val="000000"/>
          <w:sz w:val="32"/>
          <w:szCs w:val="32"/>
          <w:shd w:val="clear" w:color="auto" w:fill="FFFFFF"/>
          <w:lang w:eastAsia="zh-CN"/>
        </w:rPr>
        <w:t>配送车辆</w:t>
      </w:r>
      <w:r>
        <w:rPr>
          <w:rFonts w:hint="eastAsia" w:ascii="宋体" w:hAnsi="宋体" w:eastAsia="宋体" w:cs="Times New Roman"/>
          <w:color w:val="000000"/>
          <w:sz w:val="32"/>
          <w:szCs w:val="32"/>
          <w:shd w:val="clear" w:color="auto" w:fill="FFFFFF"/>
          <w:lang w:val="en-US" w:eastAsia="zh-CN"/>
        </w:rPr>
        <w:t>、</w:t>
      </w:r>
      <w:r>
        <w:rPr>
          <w:rFonts w:hint="default" w:ascii="宋体" w:hAnsi="宋体" w:eastAsia="宋体" w:cs="Times New Roman"/>
          <w:color w:val="000000"/>
          <w:sz w:val="32"/>
          <w:szCs w:val="32"/>
          <w:shd w:val="clear" w:color="auto" w:fill="FFFFFF"/>
          <w:lang w:eastAsia="zh-CN"/>
        </w:rPr>
        <w:t>认证体系</w:t>
      </w:r>
      <w:r>
        <w:rPr>
          <w:rFonts w:hint="eastAsia" w:ascii="宋体" w:hAnsi="宋体" w:eastAsia="宋体" w:cs="Times New Roman"/>
          <w:color w:val="000000"/>
          <w:sz w:val="32"/>
          <w:szCs w:val="32"/>
          <w:shd w:val="clear" w:color="auto" w:fill="FFFFFF"/>
          <w:lang w:val="en-US" w:eastAsia="zh-CN"/>
        </w:rPr>
        <w:t>、</w:t>
      </w:r>
      <w:r>
        <w:rPr>
          <w:rFonts w:hint="default" w:ascii="宋体" w:hAnsi="宋体" w:eastAsia="宋体" w:cs="Times New Roman"/>
          <w:color w:val="000000"/>
          <w:sz w:val="32"/>
          <w:szCs w:val="32"/>
          <w:shd w:val="clear" w:color="auto" w:fill="FFFFFF"/>
          <w:lang w:eastAsia="zh-CN"/>
        </w:rPr>
        <w:t>企业经营场所</w:t>
      </w:r>
      <w:r>
        <w:rPr>
          <w:rFonts w:hint="eastAsia" w:ascii="宋体" w:hAnsi="宋体" w:eastAsia="宋体" w:cs="Times New Roman"/>
          <w:color w:val="000000"/>
          <w:sz w:val="32"/>
          <w:szCs w:val="32"/>
          <w:shd w:val="clear" w:color="auto" w:fill="FFFFFF"/>
          <w:lang w:val="en-US" w:eastAsia="zh-CN"/>
        </w:rPr>
        <w:t>、</w:t>
      </w:r>
      <w:r>
        <w:rPr>
          <w:rFonts w:hint="eastAsia" w:ascii="宋体" w:hAnsi="宋体" w:eastAsia="宋体" w:cs="Times New Roman"/>
          <w:color w:val="000000"/>
          <w:sz w:val="32"/>
          <w:szCs w:val="32"/>
          <w:shd w:val="clear" w:color="auto" w:fill="FFFFFF"/>
          <w:lang w:eastAsia="zh-CN"/>
        </w:rPr>
        <w:t>同类项目业绩、</w:t>
      </w:r>
      <w:r>
        <w:rPr>
          <w:rFonts w:hint="default" w:ascii="宋体" w:hAnsi="宋体" w:eastAsia="宋体" w:cs="Times New Roman"/>
          <w:color w:val="000000"/>
          <w:sz w:val="32"/>
          <w:szCs w:val="32"/>
          <w:shd w:val="clear" w:color="auto" w:fill="FFFFFF"/>
          <w:lang w:eastAsia="zh-CN"/>
        </w:rPr>
        <w:t>服务承诺</w:t>
      </w:r>
      <w:r>
        <w:rPr>
          <w:rFonts w:hint="eastAsia" w:ascii="宋体" w:hAnsi="宋体" w:eastAsia="宋体" w:cs="Times New Roman"/>
          <w:color w:val="000000"/>
          <w:sz w:val="32"/>
          <w:szCs w:val="32"/>
          <w:shd w:val="clear" w:color="auto" w:fill="FFFFFF"/>
          <w:lang w:eastAsia="zh-CN"/>
        </w:rPr>
        <w:t>等（</w:t>
      </w:r>
      <w:r>
        <w:rPr>
          <w:rFonts w:hint="eastAsia" w:ascii="宋体" w:hAnsi="宋体" w:eastAsia="宋体" w:cs="Times New Roman"/>
          <w:color w:val="000000"/>
          <w:sz w:val="32"/>
          <w:szCs w:val="32"/>
          <w:shd w:val="clear" w:color="auto" w:fill="FFFFFF"/>
          <w:lang w:val="en-US" w:eastAsia="zh-CN"/>
        </w:rPr>
        <w:t>9</w:t>
      </w:r>
      <w:r>
        <w:rPr>
          <w:rFonts w:hint="eastAsia" w:ascii="宋体" w:hAnsi="宋体" w:eastAsia="宋体" w:cs="Times New Roman"/>
          <w:color w:val="000000"/>
          <w:sz w:val="32"/>
          <w:szCs w:val="32"/>
          <w:shd w:val="clear" w:color="auto" w:fill="FFFFFF"/>
          <w:lang w:eastAsia="zh-CN"/>
        </w:rPr>
        <w:t>0分）进行综合评定，</w:t>
      </w:r>
      <w:r>
        <w:rPr>
          <w:rFonts w:hint="eastAsia" w:ascii="宋体" w:hAnsi="宋体" w:cs="Times New Roman"/>
          <w:color w:val="000000"/>
          <w:sz w:val="32"/>
          <w:szCs w:val="32"/>
          <w:shd w:val="clear" w:color="auto" w:fill="FFFFFF"/>
          <w:lang w:val="en-US" w:eastAsia="zh-CN"/>
        </w:rPr>
        <w:t>根据</w:t>
      </w:r>
      <w:r>
        <w:rPr>
          <w:rFonts w:hint="eastAsia" w:ascii="宋体" w:hAnsi="宋体" w:eastAsia="宋体" w:cs="Times New Roman"/>
          <w:color w:val="000000"/>
          <w:sz w:val="32"/>
          <w:szCs w:val="32"/>
          <w:shd w:val="clear" w:color="auto" w:fill="FFFFFF"/>
          <w:lang w:eastAsia="zh-CN"/>
        </w:rPr>
        <w:t>综合分数</w:t>
      </w:r>
      <w:r>
        <w:rPr>
          <w:rFonts w:hint="eastAsia" w:ascii="宋体" w:hAnsi="宋体" w:cs="Times New Roman"/>
          <w:color w:val="000000"/>
          <w:sz w:val="32"/>
          <w:szCs w:val="32"/>
          <w:shd w:val="clear" w:color="auto" w:fill="FFFFFF"/>
          <w:lang w:val="en-US" w:eastAsia="zh-CN"/>
        </w:rPr>
        <w:t>由高到低排序，</w:t>
      </w:r>
      <w:r>
        <w:rPr>
          <w:rFonts w:hint="eastAsia" w:ascii="宋体" w:hAnsi="宋体" w:eastAsia="宋体" w:cs="Times New Roman"/>
          <w:color w:val="000000"/>
          <w:sz w:val="32"/>
          <w:szCs w:val="32"/>
          <w:shd w:val="clear" w:color="auto" w:fill="FFFFFF"/>
          <w:lang w:val="en-US" w:eastAsia="zh-CN"/>
        </w:rPr>
        <w:t>本项目在招标范围内招标符合资质入围单位2家。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6.</w:t>
      </w:r>
      <w:r>
        <w:rPr>
          <w:rFonts w:hint="default" w:ascii="宋体" w:hAnsi="宋体" w:eastAsia="宋体" w:cs="Times New Roman"/>
          <w:color w:val="000000"/>
          <w:sz w:val="32"/>
          <w:szCs w:val="32"/>
          <w:shd w:val="clear" w:color="auto" w:fill="FFFFFF"/>
          <w:lang w:eastAsia="zh-CN"/>
        </w:rPr>
        <w:t>按照货品价格米、面、油、调料以发改委发布价(部分无指导价格的食材以当季询价价格计)下浮9%；肉类、禽蛋、蔬菜类、水果等大宗食材询价价格下浮8.6%；</w:t>
      </w:r>
      <w:r>
        <w:rPr>
          <w:rFonts w:hint="eastAsia" w:ascii="宋体" w:hAnsi="宋体" w:eastAsia="宋体" w:cs="Times New Roman"/>
          <w:color w:val="000000"/>
          <w:sz w:val="32"/>
          <w:szCs w:val="32"/>
          <w:shd w:val="clear" w:color="auto" w:fill="FFFFFF"/>
        </w:rPr>
        <w:t>其价格分为满分。</w:t>
      </w:r>
    </w:p>
    <w:p>
      <w:pPr>
        <w:pStyle w:val="4"/>
        <w:keepNext w:val="0"/>
        <w:keepLines w:val="0"/>
        <w:widowControl/>
        <w:numPr>
          <w:ilvl w:val="0"/>
          <w:numId w:val="0"/>
        </w:numPr>
        <w:suppressLineNumbers w:val="0"/>
        <w:spacing w:line="450" w:lineRule="atLeast"/>
        <w:ind w:leftChars="0" w:firstLine="562" w:firstLineChars="200"/>
        <w:jc w:val="both"/>
        <w:rPr>
          <w:rFonts w:hint="eastAsia" w:ascii="宋体" w:hAnsi="宋体"/>
          <w:color w:val="000000"/>
          <w:sz w:val="44"/>
          <w:szCs w:val="44"/>
          <w:shd w:val="clear" w:color="auto" w:fill="FFFFFF"/>
        </w:rPr>
      </w:pPr>
      <w:r>
        <w:rPr>
          <w:rFonts w:hint="eastAsia" w:ascii="宋体" w:hAnsi="宋体" w:cs="宋体"/>
          <w:b/>
          <w:bCs/>
          <w:color w:val="000000"/>
          <w:sz w:val="28"/>
          <w:szCs w:val="28"/>
          <w:shd w:val="clear" w:color="auto" w:fill="FFFFFF"/>
          <w:lang w:val="en-US" w:eastAsia="zh-CN"/>
        </w:rPr>
        <w:t>根据《</w:t>
      </w:r>
      <w:r>
        <w:rPr>
          <w:rFonts w:hint="default" w:ascii="宋体" w:hAnsi="宋体" w:cs="宋体"/>
          <w:b/>
          <w:bCs/>
          <w:color w:val="000000"/>
          <w:sz w:val="28"/>
          <w:szCs w:val="28"/>
          <w:shd w:val="clear" w:color="auto" w:fill="FFFFFF"/>
          <w:lang w:val="en-US" w:eastAsia="zh-CN"/>
        </w:rPr>
        <w:t>关于进一步加大政府采购支持中小企业力度的通知</w:t>
      </w:r>
      <w:r>
        <w:rPr>
          <w:rFonts w:hint="eastAsia" w:ascii="宋体" w:hAnsi="宋体" w:cs="宋体"/>
          <w:b/>
          <w:bCs/>
          <w:color w:val="000000"/>
          <w:sz w:val="28"/>
          <w:szCs w:val="28"/>
          <w:shd w:val="clear" w:color="auto" w:fill="FFFFFF"/>
          <w:lang w:val="en-US" w:eastAsia="zh-CN"/>
        </w:rPr>
        <w:t>》财库〔2022〕19号、</w:t>
      </w:r>
      <w:r>
        <w:rPr>
          <w:rFonts w:hint="eastAsia" w:ascii="宋体" w:hAnsi="宋体" w:cs="宋体"/>
          <w:b/>
          <w:bCs/>
          <w:color w:val="000000"/>
          <w:sz w:val="28"/>
          <w:szCs w:val="28"/>
          <w:shd w:val="clear" w:color="auto" w:fill="FFFFFF"/>
        </w:rPr>
        <w:t>《政府采购促进中小企业发展管理办法》（财库〔2020〕46号）规定</w:t>
      </w: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本项目只面向中小微企业</w:t>
      </w:r>
      <w:r>
        <w:rPr>
          <w:rFonts w:hint="eastAsia" w:ascii="宋体" w:hAnsi="宋体" w:cs="宋体"/>
          <w:b/>
          <w:bCs/>
          <w:color w:val="000000"/>
          <w:sz w:val="28"/>
          <w:szCs w:val="28"/>
          <w:shd w:val="clear" w:color="auto" w:fill="FFFFFF"/>
        </w:rPr>
        <w:t>。</w:t>
      </w:r>
    </w:p>
    <w:p>
      <w:pPr>
        <w:spacing w:line="360" w:lineRule="auto"/>
        <w:ind w:firstLine="3534" w:firstLineChars="800"/>
        <w:jc w:val="left"/>
        <w:rPr>
          <w:rFonts w:hint="eastAsia" w:ascii="宋体" w:hAnsi="宋体" w:eastAsia="宋体"/>
          <w:color w:val="C00000"/>
          <w:sz w:val="44"/>
          <w:szCs w:val="44"/>
          <w:shd w:val="clear" w:color="auto" w:fill="FFFFFF"/>
          <w:lang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8"/>
        <w:tblW w:w="92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提供有效的</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提供有效的</w:t>
            </w:r>
            <w:r>
              <w:rPr>
                <w:rFonts w:hint="default" w:ascii="仿宋" w:hAnsi="仿宋" w:eastAsia="仿宋" w:cs="仿宋"/>
                <w:color w:val="auto"/>
                <w:sz w:val="24"/>
                <w:szCs w:val="24"/>
                <w:highlight w:val="none"/>
                <w:lang w:val="en-US" w:eastAsia="zh-CN"/>
              </w:rPr>
              <w:t>《食品经营许可证》或《</w:t>
            </w:r>
            <w:r>
              <w:rPr>
                <w:rFonts w:hint="eastAsia" w:ascii="仿宋" w:hAnsi="仿宋" w:eastAsia="仿宋" w:cs="仿宋"/>
                <w:color w:val="auto"/>
                <w:sz w:val="24"/>
                <w:szCs w:val="24"/>
                <w:highlight w:val="none"/>
                <w:lang w:val="en-US" w:eastAsia="zh-CN"/>
              </w:rPr>
              <w:t>食品</w:t>
            </w:r>
            <w:r>
              <w:rPr>
                <w:rFonts w:hint="default" w:ascii="仿宋" w:hAnsi="仿宋" w:eastAsia="仿宋" w:cs="仿宋"/>
                <w:color w:val="auto"/>
                <w:sz w:val="24"/>
                <w:szCs w:val="24"/>
                <w:highlight w:val="none"/>
                <w:lang w:val="en-US" w:eastAsia="zh-CN"/>
              </w:rPr>
              <w:t>生产许可证》</w:t>
            </w:r>
            <w:r>
              <w:rPr>
                <w:rFonts w:hint="eastAsia" w:ascii="仿宋" w:hAnsi="仿宋" w:eastAsia="仿宋" w:cs="仿宋"/>
                <w:color w:val="auto"/>
                <w:sz w:val="24"/>
                <w:szCs w:val="24"/>
                <w:highlight w:val="none"/>
                <w:lang w:val="en-US" w:eastAsia="zh-CN"/>
              </w:rPr>
              <w:t>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22"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提供年度财务审计报告（2019年-2021年任意一年）、近六个月完税证明、近三个月社保缴纳证明（</w:t>
            </w:r>
            <w:r>
              <w:rPr>
                <w:rFonts w:hint="eastAsia" w:ascii="仿宋" w:hAnsi="仿宋" w:eastAsia="仿宋" w:cs="仿宋"/>
                <w:b/>
                <w:bCs/>
                <w:color w:val="auto"/>
                <w:sz w:val="24"/>
                <w:szCs w:val="24"/>
                <w:highlight w:val="none"/>
                <w:lang w:val="en-US" w:eastAsia="zh-CN"/>
              </w:rPr>
              <w:t>可以采用《政府采购诚信承诺函》的形式</w:t>
            </w:r>
            <w:r>
              <w:rPr>
                <w:rFonts w:hint="eastAsia" w:ascii="仿宋" w:hAnsi="仿宋" w:eastAsia="仿宋" w:cs="仿宋"/>
                <w:color w:val="auto"/>
                <w:sz w:val="24"/>
                <w:szCs w:val="24"/>
                <w:highlight w:val="none"/>
                <w:lang w:val="en-US" w:eastAsia="zh-CN"/>
              </w:rPr>
              <w:t>）上传原件扫描件。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按招标文件要求编制了目录及页码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报价得分：10分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000000"/>
                <w:sz w:val="24"/>
                <w:szCs w:val="24"/>
                <w:highlight w:val="none"/>
                <w:lang w:val="en-US" w:eastAsia="zh-CN"/>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10分）</w:t>
            </w:r>
          </w:p>
        </w:tc>
        <w:tc>
          <w:tcPr>
            <w:tcW w:w="5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eastAsia="zh-CN"/>
              </w:rPr>
              <w:t>按照货品价格米、面、油、调料以发改委发布价(部分无指导价格的食材以当季询价价格计)下浮9%；肉类、禽蛋、蔬菜类、水果等大宗食材询价价格下浮8.6%；</w:t>
            </w:r>
            <w:r>
              <w:rPr>
                <w:rFonts w:hint="default" w:ascii="仿宋" w:hAnsi="仿宋" w:eastAsia="仿宋" w:cs="仿宋"/>
                <w:color w:val="000000"/>
                <w:sz w:val="24"/>
                <w:szCs w:val="24"/>
                <w:highlight w:val="none"/>
                <w:lang w:val="en-US" w:eastAsia="zh-CN"/>
              </w:rPr>
              <w:t>所有供应商均为满分10分。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60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w:t>
            </w:r>
          </w:p>
        </w:tc>
        <w:tc>
          <w:tcPr>
            <w:tcW w:w="810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商务、技术得分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90分</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170" w:type="dxa"/>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2.2.2.1</w:t>
            </w:r>
          </w:p>
        </w:tc>
        <w:tc>
          <w:tcPr>
            <w:tcW w:w="1502" w:type="dxa"/>
            <w:noWrap w:val="0"/>
            <w:vAlign w:val="center"/>
          </w:tcPr>
          <w:p>
            <w:pPr>
              <w:spacing w:line="3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配置及性能</w:t>
            </w:r>
          </w:p>
          <w:p>
            <w:pPr>
              <w:spacing w:line="320" w:lineRule="exact"/>
              <w:jc w:val="center"/>
              <w:rPr>
                <w:rFonts w:hint="eastAsia" w:ascii="仿宋" w:hAnsi="仿宋" w:eastAsia="宋体" w:cs="仿宋"/>
                <w:color w:val="000000"/>
                <w:sz w:val="24"/>
                <w:szCs w:val="24"/>
                <w:highlight w:val="none"/>
                <w:lang w:eastAsia="zh-CN"/>
              </w:rPr>
            </w:pPr>
            <w:r>
              <w:rPr>
                <w:rFonts w:hint="default" w:ascii="Times New Roman" w:hAnsi="Times New Roman" w:cs="Times New Roman"/>
                <w:color w:val="auto"/>
                <w:sz w:val="18"/>
                <w:szCs w:val="18"/>
                <w:highlight w:val="none"/>
              </w:rPr>
              <w:t>指标</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10分</w:t>
            </w:r>
            <w:r>
              <w:rPr>
                <w:rFonts w:hint="eastAsia" w:cs="Times New Roman"/>
                <w:color w:val="auto"/>
                <w:sz w:val="18"/>
                <w:szCs w:val="18"/>
                <w:highlight w:val="none"/>
                <w:lang w:eastAsia="zh-CN"/>
              </w:rPr>
              <w:t>）</w:t>
            </w:r>
          </w:p>
        </w:tc>
        <w:tc>
          <w:tcPr>
            <w:tcW w:w="6603" w:type="dxa"/>
            <w:gridSpan w:val="2"/>
            <w:noWrap w:val="0"/>
            <w:vAlign w:val="top"/>
          </w:tcPr>
          <w:p>
            <w:pPr>
              <w:spacing w:line="320" w:lineRule="exact"/>
              <w:rPr>
                <w:rFonts w:hint="eastAsia" w:ascii="仿宋" w:hAnsi="仿宋" w:eastAsia="仿宋" w:cs="仿宋"/>
                <w:color w:val="000000"/>
                <w:sz w:val="24"/>
                <w:szCs w:val="24"/>
                <w:highlight w:val="none"/>
                <w:lang w:eastAsia="zh-CN"/>
              </w:rPr>
            </w:pPr>
            <w:r>
              <w:rPr>
                <w:rFonts w:hint="default" w:ascii="Times New Roman" w:hAnsi="Times New Roman" w:cs="Times New Roman"/>
                <w:color w:val="auto"/>
                <w:sz w:val="18"/>
                <w:szCs w:val="18"/>
                <w:highlight w:val="none"/>
              </w:rPr>
              <w:t>根据所投货物指标响应程度打分。对比所有投标人指标性能全部优得</w:t>
            </w:r>
            <w:r>
              <w:rPr>
                <w:rFonts w:hint="default" w:ascii="Times New Roman" w:hAnsi="Times New Roman" w:cs="Times New Roman"/>
                <w:color w:val="auto"/>
                <w:sz w:val="18"/>
                <w:szCs w:val="18"/>
                <w:highlight w:val="none"/>
                <w:lang w:val="en-US" w:eastAsia="zh-CN"/>
              </w:rPr>
              <w:t>10</w:t>
            </w:r>
            <w:r>
              <w:rPr>
                <w:rFonts w:hint="default" w:ascii="Times New Roman" w:hAnsi="Times New Roman" w:cs="Times New Roman"/>
                <w:color w:val="auto"/>
                <w:sz w:val="18"/>
                <w:szCs w:val="18"/>
                <w:highlight w:val="none"/>
              </w:rPr>
              <w:t>分。其余由评委对比所有投标人酌情给分。每有一项关键性能指标低于要求的扣2分，此项最高得</w:t>
            </w:r>
            <w:r>
              <w:rPr>
                <w:rFonts w:hint="default" w:ascii="Times New Roman" w:hAnsi="Times New Roman" w:cs="Times New Roman"/>
                <w:color w:val="auto"/>
                <w:sz w:val="18"/>
                <w:szCs w:val="18"/>
                <w:highlight w:val="none"/>
                <w:lang w:val="en-US" w:eastAsia="zh-CN"/>
              </w:rPr>
              <w:t>10</w:t>
            </w:r>
            <w:r>
              <w:rPr>
                <w:rFonts w:hint="default" w:ascii="Times New Roman" w:hAnsi="Times New Roman" w:cs="Times New Roman"/>
                <w:color w:val="auto"/>
                <w:sz w:val="18"/>
                <w:szCs w:val="18"/>
                <w:highlight w:val="none"/>
              </w:rPr>
              <w:t>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2.2.2.2</w:t>
            </w:r>
          </w:p>
        </w:tc>
        <w:tc>
          <w:tcPr>
            <w:tcW w:w="1502" w:type="dxa"/>
            <w:noWrap w:val="0"/>
            <w:vAlign w:val="center"/>
          </w:tcPr>
          <w:p>
            <w:pPr>
              <w:spacing w:line="320" w:lineRule="exact"/>
              <w:jc w:val="center"/>
              <w:rPr>
                <w:rFonts w:hint="default" w:ascii="Times New Roman" w:hAnsi="Times New Roman" w:cs="Times New Roman"/>
                <w:color w:val="auto"/>
                <w:kern w:val="0"/>
                <w:sz w:val="18"/>
                <w:szCs w:val="18"/>
                <w:highlight w:val="none"/>
                <w:lang w:bidi="ar"/>
              </w:rPr>
            </w:pPr>
            <w:r>
              <w:rPr>
                <w:rFonts w:hint="default" w:ascii="Times New Roman" w:hAnsi="Times New Roman" w:cs="Times New Roman"/>
                <w:color w:val="auto"/>
                <w:kern w:val="0"/>
                <w:sz w:val="18"/>
                <w:szCs w:val="18"/>
                <w:highlight w:val="none"/>
                <w:lang w:bidi="ar"/>
              </w:rPr>
              <w:t>配送车辆</w:t>
            </w:r>
          </w:p>
          <w:p>
            <w:pPr>
              <w:spacing w:line="320" w:lineRule="exact"/>
              <w:jc w:val="center"/>
              <w:rPr>
                <w:rFonts w:hint="default" w:ascii="仿宋" w:hAnsi="仿宋" w:eastAsia="宋体" w:cs="仿宋"/>
                <w:color w:val="auto"/>
                <w:sz w:val="24"/>
                <w:szCs w:val="24"/>
                <w:highlight w:val="none"/>
                <w:lang w:val="en-US" w:eastAsia="zh-CN"/>
              </w:rPr>
            </w:pPr>
            <w:r>
              <w:rPr>
                <w:rFonts w:hint="eastAsia" w:cs="Times New Roman"/>
                <w:color w:val="auto"/>
                <w:kern w:val="0"/>
                <w:sz w:val="18"/>
                <w:szCs w:val="18"/>
                <w:highlight w:val="none"/>
                <w:lang w:eastAsia="zh-CN" w:bidi="ar"/>
              </w:rPr>
              <w:t>（</w:t>
            </w:r>
            <w:r>
              <w:rPr>
                <w:rFonts w:hint="eastAsia" w:cs="Times New Roman"/>
                <w:color w:val="auto"/>
                <w:kern w:val="0"/>
                <w:sz w:val="18"/>
                <w:szCs w:val="18"/>
                <w:highlight w:val="none"/>
                <w:lang w:val="en-US" w:eastAsia="zh-CN" w:bidi="ar"/>
              </w:rPr>
              <w:t>6分</w:t>
            </w:r>
            <w:r>
              <w:rPr>
                <w:rFonts w:hint="eastAsia" w:cs="Times New Roman"/>
                <w:color w:val="auto"/>
                <w:kern w:val="0"/>
                <w:sz w:val="18"/>
                <w:szCs w:val="18"/>
                <w:highlight w:val="none"/>
                <w:lang w:eastAsia="zh-CN" w:bidi="ar"/>
              </w:rPr>
              <w:t>）</w:t>
            </w:r>
          </w:p>
        </w:tc>
        <w:tc>
          <w:tcPr>
            <w:tcW w:w="6603" w:type="dxa"/>
            <w:gridSpan w:val="2"/>
            <w:noWrap w:val="0"/>
            <w:vAlign w:val="top"/>
          </w:tcPr>
          <w:p>
            <w:pPr>
              <w:pStyle w:val="27"/>
              <w:numPr>
                <w:ilvl w:val="0"/>
                <w:numId w:val="0"/>
              </w:numPr>
              <w:spacing w:line="320" w:lineRule="exact"/>
              <w:ind w:left="0" w:leftChars="0" w:firstLine="0" w:firstLineChars="0"/>
              <w:rPr>
                <w:rFonts w:hint="eastAsia" w:ascii="仿宋" w:hAnsi="仿宋" w:eastAsia="仿宋" w:cs="仿宋"/>
                <w:color w:val="auto"/>
                <w:sz w:val="24"/>
                <w:szCs w:val="24"/>
                <w:highlight w:val="none"/>
                <w:lang w:eastAsia="zh-CN"/>
              </w:rPr>
            </w:pPr>
            <w:r>
              <w:rPr>
                <w:rFonts w:hint="default" w:ascii="Times New Roman" w:hAnsi="Times New Roman" w:cs="Times New Roman"/>
                <w:color w:val="auto"/>
                <w:kern w:val="2"/>
                <w:sz w:val="18"/>
                <w:szCs w:val="18"/>
                <w:highlight w:val="none"/>
                <w:lang w:val="en-US" w:eastAsia="zh-CN" w:bidi="ar-SA"/>
              </w:rPr>
              <w:t>为本项目配备10（含以上）辆冷藏车的，得5分，在此基础上，每增加一辆符合要求（食品配送冷藏车（核定载重量0.95 T以上（含0.95T））的食品配送冷藏车每辆得0.5分，最多可得6分。（车辆必须为投标供应商自有或租赁，车辆必须符合食品卫生要求，提供车辆行驶证及商业保险单，租赁的还需提供租赁合同。原件备查。）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2.2.2.3</w:t>
            </w:r>
          </w:p>
        </w:tc>
        <w:tc>
          <w:tcPr>
            <w:tcW w:w="1502" w:type="dxa"/>
            <w:noWrap w:val="0"/>
            <w:vAlign w:val="center"/>
          </w:tcPr>
          <w:p>
            <w:pPr>
              <w:spacing w:line="32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认证体系</w:t>
            </w:r>
          </w:p>
          <w:p>
            <w:pPr>
              <w:spacing w:line="320" w:lineRule="exact"/>
              <w:jc w:val="center"/>
              <w:rPr>
                <w:rFonts w:hint="eastAsia" w:ascii="仿宋" w:hAnsi="仿宋" w:eastAsia="宋体" w:cs="仿宋"/>
                <w:color w:val="auto"/>
                <w:sz w:val="24"/>
                <w:szCs w:val="24"/>
                <w:highlight w:val="none"/>
                <w:lang w:eastAsia="zh-CN"/>
              </w:rPr>
            </w:pP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3分</w:t>
            </w:r>
            <w:r>
              <w:rPr>
                <w:rFonts w:hint="eastAsia" w:cs="Times New Roman"/>
                <w:color w:val="auto"/>
                <w:sz w:val="18"/>
                <w:szCs w:val="18"/>
                <w:highlight w:val="none"/>
                <w:lang w:eastAsia="zh-CN"/>
              </w:rPr>
              <w:t>）</w:t>
            </w:r>
          </w:p>
        </w:tc>
        <w:tc>
          <w:tcPr>
            <w:tcW w:w="6603" w:type="dxa"/>
            <w:gridSpan w:val="2"/>
            <w:noWrap w:val="0"/>
            <w:vAlign w:val="top"/>
          </w:tcPr>
          <w:p>
            <w:pPr>
              <w:pStyle w:val="27"/>
              <w:numPr>
                <w:ilvl w:val="0"/>
                <w:numId w:val="0"/>
              </w:numPr>
              <w:spacing w:line="320" w:lineRule="exact"/>
              <w:rPr>
                <w:rFonts w:hint="eastAsia" w:ascii="仿宋" w:hAnsi="仿宋" w:eastAsia="仿宋" w:cs="仿宋"/>
                <w:color w:val="auto"/>
                <w:kern w:val="0"/>
                <w:sz w:val="24"/>
                <w:szCs w:val="24"/>
                <w:highlight w:val="none"/>
                <w:lang w:eastAsia="zh-CN"/>
              </w:rPr>
            </w:pPr>
            <w:r>
              <w:rPr>
                <w:rFonts w:hint="eastAsia" w:cs="Times New Roman"/>
                <w:color w:val="auto"/>
                <w:kern w:val="2"/>
                <w:sz w:val="18"/>
                <w:szCs w:val="18"/>
                <w:highlight w:val="none"/>
                <w:lang w:val="en-US" w:eastAsia="zh-CN" w:bidi="ar-SA"/>
              </w:rPr>
              <w:t>1、</w:t>
            </w:r>
            <w:r>
              <w:rPr>
                <w:rFonts w:hint="default" w:ascii="Times New Roman" w:hAnsi="Times New Roman" w:cs="Times New Roman"/>
                <w:color w:val="auto"/>
                <w:kern w:val="2"/>
                <w:sz w:val="18"/>
                <w:szCs w:val="18"/>
                <w:highlight w:val="none"/>
                <w:lang w:val="en-US" w:eastAsia="zh-CN" w:bidi="ar-SA"/>
              </w:rPr>
              <w:t>具备ISO9001质量管理体系认证得1分；2、具备ISO22000食品安全管理体系认证得1分；3、具备ISO14001环境管理体系认证得1分；（提供证书扫描件及查询截图，）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2.2.2.4</w:t>
            </w:r>
          </w:p>
        </w:tc>
        <w:tc>
          <w:tcPr>
            <w:tcW w:w="1502" w:type="dxa"/>
            <w:noWrap w:val="0"/>
            <w:vAlign w:val="center"/>
          </w:tcPr>
          <w:p>
            <w:pPr>
              <w:tabs>
                <w:tab w:val="left" w:pos="553"/>
              </w:tabs>
              <w:spacing w:line="320" w:lineRule="exact"/>
              <w:ind w:left="358" w:leftChars="85" w:hanging="180" w:hangingChars="100"/>
              <w:jc w:val="left"/>
              <w:rPr>
                <w:rFonts w:hint="eastAsia" w:ascii="仿宋" w:hAnsi="仿宋" w:eastAsia="仿宋" w:cs="仿宋"/>
                <w:color w:val="auto"/>
                <w:sz w:val="24"/>
                <w:szCs w:val="24"/>
                <w:highlight w:val="none"/>
                <w:lang w:val="en-US" w:eastAsia="zh-CN"/>
              </w:rPr>
            </w:pPr>
            <w:r>
              <w:rPr>
                <w:rFonts w:hint="default" w:ascii="Times New Roman" w:hAnsi="Times New Roman" w:cs="Times New Roman"/>
                <w:color w:val="auto"/>
                <w:sz w:val="18"/>
                <w:szCs w:val="18"/>
                <w:highlight w:val="none"/>
                <w:lang w:eastAsia="zh-CN"/>
              </w:rPr>
              <w:t>企业经营场所</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4分</w:t>
            </w:r>
            <w:r>
              <w:rPr>
                <w:rFonts w:hint="eastAsia" w:cs="Times New Roman"/>
                <w:color w:val="auto"/>
                <w:sz w:val="18"/>
                <w:szCs w:val="18"/>
                <w:highlight w:val="none"/>
                <w:lang w:eastAsia="zh-CN"/>
              </w:rPr>
              <w:t>）</w:t>
            </w:r>
          </w:p>
        </w:tc>
        <w:tc>
          <w:tcPr>
            <w:tcW w:w="6603" w:type="dxa"/>
            <w:gridSpan w:val="2"/>
            <w:noWrap w:val="0"/>
            <w:vAlign w:val="top"/>
          </w:tcPr>
          <w:p>
            <w:pPr>
              <w:pStyle w:val="27"/>
              <w:tabs>
                <w:tab w:val="left" w:pos="1560"/>
              </w:tabs>
              <w:spacing w:line="320" w:lineRule="exact"/>
              <w:ind w:firstLine="0" w:firstLineChars="0"/>
              <w:rPr>
                <w:rFonts w:hint="eastAsia" w:ascii="仿宋" w:hAnsi="仿宋" w:eastAsia="仿宋" w:cs="仿宋"/>
                <w:color w:val="000000"/>
                <w:kern w:val="2"/>
                <w:sz w:val="24"/>
                <w:szCs w:val="24"/>
                <w:highlight w:val="none"/>
                <w:lang w:val="en-US" w:eastAsia="zh-CN" w:bidi="ar-SA"/>
              </w:rPr>
            </w:pPr>
            <w:r>
              <w:rPr>
                <w:rFonts w:hint="default" w:ascii="Times New Roman" w:hAnsi="Times New Roman" w:cs="Times New Roman"/>
                <w:color w:val="auto"/>
                <w:sz w:val="18"/>
                <w:szCs w:val="18"/>
                <w:highlight w:val="none"/>
                <w:lang w:eastAsia="zh-CN"/>
              </w:rPr>
              <w:t>在本辖区内自有配送中心面积3000平方米以上，得4分；2000平方米（含）以上得3分，1000（含）平方米以上得2分。1000平方米以下得1分。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170" w:type="dxa"/>
            <w:noWrap w:val="0"/>
            <w:vAlign w:val="center"/>
          </w:tcPr>
          <w:p>
            <w:pPr>
              <w:keepNext w:val="0"/>
              <w:keepLines w:val="0"/>
              <w:pageBreakBefore w:val="0"/>
              <w:widowControl w:val="0"/>
              <w:tabs>
                <w:tab w:val="left" w:pos="741"/>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2.2.2.5</w:t>
            </w:r>
          </w:p>
        </w:tc>
        <w:tc>
          <w:tcPr>
            <w:tcW w:w="1502" w:type="dxa"/>
            <w:noWrap w:val="0"/>
            <w:vAlign w:val="center"/>
          </w:tcPr>
          <w:p>
            <w:pPr>
              <w:spacing w:line="320" w:lineRule="exact"/>
              <w:jc w:val="center"/>
              <w:rPr>
                <w:rFonts w:hint="default" w:ascii="仿宋" w:hAnsi="仿宋" w:eastAsia="仿宋" w:cs="仿宋"/>
                <w:color w:val="auto"/>
                <w:sz w:val="24"/>
                <w:szCs w:val="24"/>
                <w:highlight w:val="none"/>
                <w:lang w:val="en-US" w:eastAsia="zh-CN"/>
              </w:rPr>
            </w:pPr>
            <w:r>
              <w:rPr>
                <w:rFonts w:hint="eastAsia" w:ascii="Times New Roman" w:hAnsi="Times New Roman" w:cs="Times New Roman"/>
                <w:color w:val="auto"/>
                <w:sz w:val="18"/>
                <w:szCs w:val="18"/>
                <w:highlight w:val="none"/>
                <w:lang w:eastAsia="zh-CN"/>
              </w:rPr>
              <w:t>同类业务合同</w:t>
            </w:r>
            <w:r>
              <w:rPr>
                <w:rFonts w:hint="eastAsia" w:cs="Times New Roman"/>
                <w:color w:val="auto"/>
                <w:sz w:val="18"/>
                <w:szCs w:val="18"/>
                <w:highlight w:val="none"/>
                <w:lang w:val="en-US" w:eastAsia="zh-CN"/>
              </w:rPr>
              <w:t xml:space="preserve"> </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6分</w:t>
            </w:r>
            <w:r>
              <w:rPr>
                <w:rFonts w:hint="eastAsia" w:cs="Times New Roman"/>
                <w:color w:val="auto"/>
                <w:sz w:val="18"/>
                <w:szCs w:val="18"/>
                <w:highlight w:val="none"/>
                <w:lang w:eastAsia="zh-CN"/>
              </w:rPr>
              <w:t>）</w:t>
            </w:r>
          </w:p>
        </w:tc>
        <w:tc>
          <w:tcPr>
            <w:tcW w:w="6603" w:type="dxa"/>
            <w:gridSpan w:val="2"/>
            <w:noWrap w:val="0"/>
            <w:vAlign w:val="top"/>
          </w:tcPr>
          <w:p>
            <w:pPr>
              <w:pStyle w:val="27"/>
              <w:spacing w:line="320" w:lineRule="exact"/>
              <w:ind w:firstLine="0" w:firstLineChars="0"/>
              <w:rPr>
                <w:rFonts w:hint="default" w:ascii="仿宋" w:hAnsi="仿宋" w:eastAsia="仿宋" w:cs="仿宋"/>
                <w:color w:val="auto"/>
                <w:sz w:val="24"/>
                <w:szCs w:val="24"/>
                <w:highlight w:val="none"/>
                <w:lang w:val="en-US" w:eastAsia="zh-CN"/>
              </w:rPr>
            </w:pPr>
            <w:r>
              <w:rPr>
                <w:rFonts w:hint="default" w:ascii="Times New Roman" w:hAnsi="Times New Roman" w:cs="Times New Roman"/>
                <w:color w:val="auto"/>
                <w:sz w:val="18"/>
                <w:szCs w:val="18"/>
                <w:highlight w:val="none"/>
              </w:rPr>
              <w:t>对比所有投标人</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lang w:val="en-US" w:eastAsia="zh-CN"/>
              </w:rPr>
              <w:t>每</w:t>
            </w:r>
            <w:r>
              <w:rPr>
                <w:rFonts w:hint="eastAsia" w:cs="Times New Roman"/>
                <w:color w:val="auto"/>
                <w:sz w:val="18"/>
                <w:szCs w:val="18"/>
                <w:highlight w:val="none"/>
                <w:lang w:val="en-US" w:eastAsia="zh-CN"/>
              </w:rPr>
              <w:t>提供一个有效</w:t>
            </w:r>
            <w:r>
              <w:rPr>
                <w:rFonts w:hint="default" w:ascii="Times New Roman" w:hAnsi="Times New Roman" w:cs="Times New Roman"/>
                <w:color w:val="auto"/>
                <w:sz w:val="18"/>
                <w:szCs w:val="18"/>
                <w:highlight w:val="none"/>
                <w:lang w:val="en-US" w:eastAsia="zh-CN"/>
              </w:rPr>
              <w:t>业绩</w:t>
            </w:r>
            <w:r>
              <w:rPr>
                <w:rFonts w:hint="eastAsia" w:cs="Times New Roman"/>
                <w:color w:val="auto"/>
                <w:sz w:val="18"/>
                <w:szCs w:val="18"/>
                <w:highlight w:val="none"/>
                <w:lang w:val="en-US" w:eastAsia="zh-CN"/>
              </w:rPr>
              <w:t>得</w:t>
            </w:r>
            <w:r>
              <w:rPr>
                <w:rFonts w:hint="default" w:ascii="Times New Roman" w:hAnsi="Times New Roman" w:cs="Times New Roman"/>
                <w:color w:val="auto"/>
                <w:sz w:val="18"/>
                <w:szCs w:val="18"/>
                <w:highlight w:val="none"/>
                <w:lang w:val="en-US" w:eastAsia="zh-CN"/>
              </w:rPr>
              <w:t>2分，最高得6分</w:t>
            </w:r>
            <w:r>
              <w:rPr>
                <w:rFonts w:hint="default" w:ascii="Times New Roman" w:hAnsi="Times New Roman" w:cs="Times New Roman"/>
                <w:color w:val="auto"/>
                <w:sz w:val="18"/>
                <w:szCs w:val="18"/>
                <w:highlight w:val="none"/>
              </w:rPr>
              <w:t>。（须提供近三年相关业绩合同</w:t>
            </w:r>
            <w:r>
              <w:rPr>
                <w:rFonts w:hint="eastAsia" w:ascii="Times New Roman" w:hAnsi="Times New Roman" w:cs="Times New Roman"/>
                <w:color w:val="auto"/>
                <w:sz w:val="18"/>
                <w:szCs w:val="18"/>
                <w:highlight w:val="none"/>
                <w:lang w:val="en-US" w:eastAsia="zh-CN"/>
              </w:rPr>
              <w:t>或</w:t>
            </w:r>
            <w:r>
              <w:rPr>
                <w:rFonts w:hint="default" w:ascii="Times New Roman" w:hAnsi="Times New Roman" w:cs="Times New Roman"/>
                <w:color w:val="auto"/>
                <w:sz w:val="18"/>
                <w:szCs w:val="18"/>
                <w:highlight w:val="none"/>
              </w:rPr>
              <w:t>中标通知书的清晰复印件并加盖投标单位公章，否则不予计算业绩）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2.2.2.6</w:t>
            </w:r>
          </w:p>
        </w:tc>
        <w:tc>
          <w:tcPr>
            <w:tcW w:w="1502" w:type="dxa"/>
            <w:noWrap w:val="0"/>
            <w:vAlign w:val="center"/>
          </w:tcPr>
          <w:p>
            <w:pPr>
              <w:pStyle w:val="27"/>
              <w:widowControl/>
              <w:ind w:firstLine="0" w:firstLineChars="0"/>
              <w:jc w:val="center"/>
              <w:rPr>
                <w:rFonts w:hint="eastAsia" w:ascii="仿宋" w:hAnsi="仿宋" w:eastAsia="宋体" w:cs="仿宋"/>
                <w:color w:val="auto"/>
                <w:sz w:val="24"/>
                <w:szCs w:val="24"/>
                <w:highlight w:val="none"/>
                <w:lang w:eastAsia="zh-CN"/>
              </w:rPr>
            </w:pPr>
            <w:r>
              <w:rPr>
                <w:rFonts w:hint="default" w:ascii="Times New Roman" w:hAnsi="Times New Roman" w:cs="Times New Roman"/>
                <w:color w:val="auto"/>
                <w:sz w:val="18"/>
                <w:szCs w:val="18"/>
                <w:highlight w:val="none"/>
              </w:rPr>
              <w:t>服务承诺</w:t>
            </w:r>
            <w:r>
              <w:rPr>
                <w:rFonts w:hint="eastAsia" w:cs="Times New Roman"/>
                <w:color w:val="auto"/>
                <w:sz w:val="18"/>
                <w:szCs w:val="18"/>
                <w:highlight w:val="none"/>
                <w:lang w:val="en-US" w:eastAsia="zh-CN"/>
              </w:rPr>
              <w:t xml:space="preserve">     </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5分</w:t>
            </w:r>
            <w:r>
              <w:rPr>
                <w:rFonts w:hint="eastAsia" w:cs="Times New Roman"/>
                <w:color w:val="auto"/>
                <w:sz w:val="18"/>
                <w:szCs w:val="18"/>
                <w:highlight w:val="none"/>
                <w:lang w:eastAsia="zh-CN"/>
              </w:rPr>
              <w:t>）</w:t>
            </w:r>
          </w:p>
        </w:tc>
        <w:tc>
          <w:tcPr>
            <w:tcW w:w="6603" w:type="dxa"/>
            <w:gridSpan w:val="2"/>
            <w:noWrap w:val="0"/>
            <w:vAlign w:val="center"/>
          </w:tcPr>
          <w:p>
            <w:pPr>
              <w:pStyle w:val="27"/>
              <w:spacing w:line="320" w:lineRule="exact"/>
              <w:ind w:firstLine="0" w:firstLineChars="0"/>
              <w:rPr>
                <w:rFonts w:hint="eastAsia" w:ascii="仿宋" w:hAnsi="仿宋" w:eastAsia="仿宋" w:cs="仿宋"/>
                <w:color w:val="auto"/>
                <w:kern w:val="0"/>
                <w:sz w:val="24"/>
                <w:szCs w:val="24"/>
                <w:highlight w:val="none"/>
              </w:rPr>
            </w:pPr>
            <w:r>
              <w:rPr>
                <w:rFonts w:hint="default" w:ascii="Times New Roman" w:hAnsi="Times New Roman" w:cs="Times New Roman"/>
                <w:color w:val="auto"/>
                <w:sz w:val="18"/>
                <w:szCs w:val="18"/>
                <w:highlight w:val="none"/>
              </w:rPr>
              <w:t>承诺有良好的职业道德，遵守法律，服从管理，自觉接受监督，服务承诺</w:t>
            </w:r>
            <w:r>
              <w:rPr>
                <w:rFonts w:hint="default" w:ascii="Times New Roman" w:hAnsi="Times New Roman" w:cs="Times New Roman"/>
                <w:color w:val="auto"/>
                <w:sz w:val="18"/>
                <w:szCs w:val="18"/>
                <w:highlight w:val="none"/>
                <w:lang w:val="en-US" w:eastAsia="zh-CN"/>
              </w:rPr>
              <w:t>完全满足采购人需求得</w:t>
            </w:r>
            <w:r>
              <w:rPr>
                <w:rFonts w:hint="default" w:ascii="Times New Roman" w:hAnsi="Times New Roman" w:cs="Times New Roman"/>
                <w:color w:val="auto"/>
                <w:sz w:val="18"/>
                <w:szCs w:val="18"/>
                <w:highlight w:val="none"/>
              </w:rPr>
              <w:t>5分；</w:t>
            </w:r>
            <w:r>
              <w:rPr>
                <w:rFonts w:hint="default" w:ascii="Times New Roman" w:hAnsi="Times New Roman" w:cs="Times New Roman"/>
                <w:color w:val="auto"/>
                <w:sz w:val="18"/>
                <w:szCs w:val="18"/>
                <w:highlight w:val="none"/>
                <w:lang w:val="en-US" w:eastAsia="zh-CN"/>
              </w:rPr>
              <w:t>基本满足</w:t>
            </w:r>
            <w:r>
              <w:rPr>
                <w:rFonts w:hint="default" w:ascii="Times New Roman" w:hAnsi="Times New Roman" w:cs="Times New Roman"/>
                <w:color w:val="auto"/>
                <w:sz w:val="18"/>
                <w:szCs w:val="18"/>
                <w:highlight w:val="none"/>
              </w:rPr>
              <w:t>的3分；</w:t>
            </w:r>
            <w:r>
              <w:rPr>
                <w:rFonts w:hint="default" w:ascii="Times New Roman" w:hAnsi="Times New Roman" w:cs="Times New Roman"/>
                <w:color w:val="auto"/>
                <w:sz w:val="18"/>
                <w:szCs w:val="18"/>
                <w:highlight w:val="none"/>
                <w:lang w:val="en-US" w:eastAsia="zh-CN"/>
              </w:rPr>
              <w:t>不能满足得0-2分</w:t>
            </w:r>
            <w:r>
              <w:rPr>
                <w:rFonts w:hint="default" w:ascii="Times New Roman" w:hAnsi="Times New Roman" w:cs="Times New Roman"/>
                <w:color w:val="auto"/>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2.2.2.7</w:t>
            </w:r>
          </w:p>
        </w:tc>
        <w:tc>
          <w:tcPr>
            <w:tcW w:w="1502" w:type="dxa"/>
            <w:noWrap w:val="0"/>
            <w:vAlign w:val="center"/>
          </w:tcPr>
          <w:p>
            <w:pPr>
              <w:pStyle w:val="27"/>
              <w:spacing w:line="320" w:lineRule="exact"/>
              <w:ind w:firstLine="0" w:firstLineChars="0"/>
              <w:jc w:val="center"/>
              <w:rPr>
                <w:rFonts w:hint="eastAsia" w:ascii="仿宋" w:hAnsi="仿宋" w:eastAsia="宋体" w:cs="仿宋"/>
                <w:color w:val="auto"/>
                <w:sz w:val="24"/>
                <w:szCs w:val="24"/>
                <w:highlight w:val="none"/>
                <w:lang w:eastAsia="zh-CN"/>
              </w:rPr>
            </w:pPr>
            <w:r>
              <w:rPr>
                <w:rFonts w:hint="default" w:ascii="Times New Roman" w:hAnsi="Times New Roman" w:cs="Times New Roman"/>
                <w:color w:val="auto"/>
                <w:sz w:val="18"/>
                <w:szCs w:val="18"/>
                <w:highlight w:val="none"/>
              </w:rPr>
              <w:t>质量控制制度</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10分</w:t>
            </w:r>
            <w:r>
              <w:rPr>
                <w:rFonts w:hint="eastAsia" w:cs="Times New Roman"/>
                <w:color w:val="auto"/>
                <w:sz w:val="18"/>
                <w:szCs w:val="18"/>
                <w:highlight w:val="none"/>
                <w:lang w:eastAsia="zh-CN"/>
              </w:rPr>
              <w:t>）</w:t>
            </w:r>
          </w:p>
        </w:tc>
        <w:tc>
          <w:tcPr>
            <w:tcW w:w="6603" w:type="dxa"/>
            <w:gridSpan w:val="2"/>
            <w:noWrap w:val="0"/>
            <w:vAlign w:val="center"/>
          </w:tcPr>
          <w:p>
            <w:pPr>
              <w:spacing w:line="320" w:lineRule="exact"/>
              <w:rPr>
                <w:rFonts w:hint="eastAsia" w:ascii="仿宋" w:hAnsi="仿宋" w:eastAsia="仿宋" w:cs="仿宋"/>
                <w:color w:val="auto"/>
                <w:sz w:val="24"/>
                <w:szCs w:val="24"/>
                <w:highlight w:val="none"/>
                <w:lang w:val="en-US" w:eastAsia="zh-CN"/>
              </w:rPr>
            </w:pPr>
            <w:r>
              <w:rPr>
                <w:rFonts w:hint="default" w:ascii="Times New Roman" w:hAnsi="Times New Roman" w:cs="Times New Roman"/>
                <w:color w:val="auto"/>
                <w:sz w:val="18"/>
                <w:szCs w:val="18"/>
                <w:highlight w:val="none"/>
              </w:rPr>
              <w:t>有完善、可操作的复核和管理制度，生产及配送体系建立健全，各专业、各阶段控制措施具体、可行、针对性强得10分；生产及配送体系基本建立，各专业、控制措施基本完整、具有一定针对性得6分</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生产及配送体系基本建立，各专业、控制措施基本完整、针对性</w:t>
            </w:r>
            <w:r>
              <w:rPr>
                <w:rFonts w:hint="default" w:ascii="Times New Roman" w:hAnsi="Times New Roman" w:cs="Times New Roman"/>
                <w:color w:val="auto"/>
                <w:sz w:val="18"/>
                <w:szCs w:val="18"/>
                <w:highlight w:val="none"/>
                <w:lang w:val="en-US" w:eastAsia="zh-CN"/>
              </w:rPr>
              <w:t>一般</w:t>
            </w:r>
            <w:r>
              <w:rPr>
                <w:rFonts w:hint="default" w:ascii="Times New Roman" w:hAnsi="Times New Roman" w:cs="Times New Roman"/>
                <w:color w:val="auto"/>
                <w:sz w:val="18"/>
                <w:szCs w:val="18"/>
                <w:highlight w:val="none"/>
              </w:rPr>
              <w:t>得</w:t>
            </w:r>
            <w:r>
              <w:rPr>
                <w:rFonts w:hint="default"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分</w:t>
            </w:r>
            <w:r>
              <w:rPr>
                <w:rFonts w:hint="default" w:ascii="Times New Roman" w:hAnsi="Times New Roman" w:cs="Times New Roman"/>
                <w:color w:val="auto"/>
                <w:sz w:val="18"/>
                <w:szCs w:val="18"/>
                <w:highlight w:val="none"/>
                <w:lang w:eastAsia="zh-CN"/>
              </w:rPr>
              <w:t>；</w:t>
            </w:r>
            <w:r>
              <w:rPr>
                <w:rFonts w:hint="default" w:ascii="Times New Roman" w:hAnsi="Times New Roman" w:cs="Times New Roman"/>
                <w:color w:val="auto"/>
                <w:sz w:val="18"/>
                <w:szCs w:val="18"/>
                <w:highlight w:val="none"/>
              </w:rPr>
              <w:t>生产及配送体系未建立，无质量控制措施</w:t>
            </w:r>
            <w:r>
              <w:rPr>
                <w:rFonts w:hint="default" w:ascii="Times New Roman" w:hAnsi="Times New Roman" w:cs="Times New Roman"/>
                <w:color w:val="auto"/>
                <w:sz w:val="18"/>
                <w:szCs w:val="18"/>
                <w:highlight w:val="none"/>
                <w:lang w:val="en-US" w:eastAsia="zh-CN"/>
              </w:rPr>
              <w:t>0</w:t>
            </w:r>
            <w:r>
              <w:rPr>
                <w:rFonts w:hint="default" w:ascii="Times New Roman" w:hAnsi="Times New Roman" w:cs="Times New Roman"/>
                <w:color w:val="auto"/>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2.2.2.8</w:t>
            </w:r>
          </w:p>
        </w:tc>
        <w:tc>
          <w:tcPr>
            <w:tcW w:w="1502" w:type="dxa"/>
            <w:noWrap w:val="0"/>
            <w:vAlign w:val="center"/>
          </w:tcPr>
          <w:p>
            <w:pPr>
              <w:spacing w:line="360" w:lineRule="auto"/>
              <w:jc w:val="cente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经营管理方案</w:t>
            </w:r>
            <w:r>
              <w:rPr>
                <w:rFonts w:hint="eastAsia" w:ascii="Times New Roman" w:hAnsi="Times New Roman" w:eastAsia="宋体" w:cs="Times New Roman"/>
                <w:color w:val="auto"/>
                <w:kern w:val="2"/>
                <w:sz w:val="18"/>
                <w:szCs w:val="18"/>
                <w:highlight w:val="none"/>
                <w:lang w:val="en-US" w:eastAsia="zh-CN" w:bidi="ar-SA"/>
              </w:rPr>
              <w:t>（40分）</w:t>
            </w:r>
          </w:p>
        </w:tc>
        <w:tc>
          <w:tcPr>
            <w:tcW w:w="6603" w:type="dxa"/>
            <w:gridSpan w:val="2"/>
            <w:noWrap w:val="0"/>
            <w:vAlign w:val="center"/>
          </w:tcPr>
          <w:p>
            <w:pPr>
              <w:numPr>
                <w:ilvl w:val="0"/>
                <w:numId w:val="6"/>
              </w:numPr>
              <w:spacing w:line="360" w:lineRule="auto"/>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项目管理实施人员组织架构方案：针对本项目拟投入专职人员，根据其职能不同搭建合理的组织架构、分工合理、职责明确，制定详细完整、科学合理、可操作性强的方案，完全满足采购人需求得8-10分，基本满足得4-7分，方案一般并且存在不能满足采购人需求内容得0-3分。</w:t>
            </w:r>
            <w:r>
              <w:rPr>
                <w:rFonts w:hint="eastAsia" w:cs="Times New Roman"/>
                <w:color w:val="auto"/>
                <w:kern w:val="2"/>
                <w:sz w:val="18"/>
                <w:szCs w:val="18"/>
                <w:highlight w:val="none"/>
                <w:lang w:val="en-US" w:eastAsia="zh-CN" w:bidi="ar-SA"/>
              </w:rPr>
              <w:t>（此项满分10分）</w:t>
            </w:r>
          </w:p>
          <w:p>
            <w:pPr>
              <w:pStyle w:val="2"/>
              <w:numPr>
                <w:ilvl w:val="0"/>
                <w:numId w:val="6"/>
              </w:numP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配送方案：根据投标供应商的整体配送方案对比打分：包括配送路线方案、配送车辆安排方案、配送人员工作职责方案、配送的信息化监控方案等相关方案，完全满足采购人需求得8-10分，基本满足得4-7分，方案一般并且存在不能满足采购人需求内容得0-3分。</w:t>
            </w:r>
            <w:r>
              <w:rPr>
                <w:rFonts w:hint="eastAsia" w:cs="Times New Roman"/>
                <w:color w:val="auto"/>
                <w:kern w:val="2"/>
                <w:sz w:val="18"/>
                <w:szCs w:val="18"/>
                <w:highlight w:val="none"/>
                <w:lang w:val="en-US" w:eastAsia="zh-CN" w:bidi="ar-SA"/>
              </w:rPr>
              <w:t>（此项满分10分）</w:t>
            </w:r>
          </w:p>
          <w:p>
            <w:pPr>
              <w:pStyle w:val="2"/>
              <w:numPr>
                <w:ilvl w:val="0"/>
                <w:numId w:val="6"/>
              </w:numP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食品安全事故应急预案：投标供应商针对发生食品安全事故的应急预案，有清晰表明事故的责任权利义务、着重提出应急处理预案、善后处理的方法和措施等内容，且所提供的应急方案供应详细完整、科学合理、可操作性强，完全满足采购人需求得8-10分，基本满足得4-7分，方案一般并且存在不能满足采购人需求内容得0-3分。</w:t>
            </w:r>
            <w:r>
              <w:rPr>
                <w:rFonts w:hint="eastAsia" w:cs="Times New Roman"/>
                <w:color w:val="auto"/>
                <w:kern w:val="2"/>
                <w:sz w:val="18"/>
                <w:szCs w:val="18"/>
                <w:highlight w:val="none"/>
                <w:lang w:val="en-US" w:eastAsia="zh-CN" w:bidi="ar-SA"/>
              </w:rPr>
              <w:t>（此项满分10分）</w:t>
            </w:r>
          </w:p>
          <w:p>
            <w:pPr>
              <w:pStyle w:val="2"/>
              <w:numPr>
                <w:ilvl w:val="0"/>
                <w:numId w:val="6"/>
              </w:numPr>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配送中心作业流程：根据投标人提供的配送中心作业流程及质量控制是否规范、严格、专业化程度、符合食品安全标准等进行综合评分，完全满足采购人需求得8-10分，基本满足得4-7分，方案一般并且存在不能满足采购人需求内容得0-3分。</w:t>
            </w:r>
            <w:r>
              <w:rPr>
                <w:rFonts w:hint="eastAsia" w:cs="Times New Roman"/>
                <w:color w:val="auto"/>
                <w:kern w:val="2"/>
                <w:sz w:val="18"/>
                <w:szCs w:val="18"/>
                <w:highlight w:val="none"/>
                <w:lang w:val="en-US" w:eastAsia="zh-CN" w:bidi="ar-SA"/>
              </w:rPr>
              <w:t>（此项满分10分）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2.2.2.9</w:t>
            </w:r>
          </w:p>
        </w:tc>
        <w:tc>
          <w:tcPr>
            <w:tcW w:w="1502" w:type="dxa"/>
            <w:noWrap w:val="0"/>
            <w:vAlign w:val="center"/>
          </w:tcPr>
          <w:p>
            <w:pPr>
              <w:pStyle w:val="14"/>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Cs w:val="18"/>
                <w:highlight w:val="none"/>
              </w:rPr>
              <w:t>标书制</w:t>
            </w:r>
            <w:r>
              <w:rPr>
                <w:rFonts w:hint="default" w:ascii="Times New Roman" w:hAnsi="Times New Roman" w:cs="Times New Roman"/>
                <w:color w:val="auto"/>
                <w:sz w:val="18"/>
                <w:szCs w:val="18"/>
                <w:highlight w:val="none"/>
              </w:rPr>
              <w:t>作</w:t>
            </w:r>
          </w:p>
          <w:p>
            <w:pPr>
              <w:pStyle w:val="14"/>
              <w:jc w:val="center"/>
              <w:rPr>
                <w:rFonts w:hint="eastAsia" w:ascii="仿宋" w:hAnsi="仿宋" w:eastAsia="宋体" w:cs="仿宋"/>
                <w:color w:val="000000"/>
                <w:kern w:val="2"/>
                <w:sz w:val="24"/>
                <w:szCs w:val="24"/>
                <w:highlight w:val="none"/>
                <w:lang w:val="en-US" w:eastAsia="zh-CN" w:bidi="ar-SA"/>
              </w:rPr>
            </w:pPr>
            <w:r>
              <w:rPr>
                <w:rFonts w:hint="default" w:ascii="Times New Roman" w:hAnsi="Times New Roman" w:cs="Times New Roman"/>
                <w:color w:val="auto"/>
                <w:sz w:val="18"/>
                <w:szCs w:val="18"/>
                <w:highlight w:val="none"/>
              </w:rPr>
              <w:t>情况</w:t>
            </w:r>
            <w:r>
              <w:rPr>
                <w:rFonts w:hint="eastAsia" w:cs="Times New Roman"/>
                <w:color w:val="auto"/>
                <w:sz w:val="18"/>
                <w:szCs w:val="18"/>
                <w:highlight w:val="none"/>
                <w:lang w:eastAsia="zh-CN"/>
              </w:rPr>
              <w:t>（</w:t>
            </w:r>
            <w:r>
              <w:rPr>
                <w:rFonts w:hint="eastAsia" w:cs="Times New Roman"/>
                <w:color w:val="auto"/>
                <w:sz w:val="18"/>
                <w:szCs w:val="18"/>
                <w:highlight w:val="none"/>
                <w:lang w:val="en-US" w:eastAsia="zh-CN"/>
              </w:rPr>
              <w:t>3分</w:t>
            </w:r>
            <w:r>
              <w:rPr>
                <w:rFonts w:hint="eastAsia" w:cs="Times New Roman"/>
                <w:color w:val="auto"/>
                <w:sz w:val="18"/>
                <w:szCs w:val="18"/>
                <w:highlight w:val="none"/>
                <w:lang w:eastAsia="zh-CN"/>
              </w:rPr>
              <w:t>）</w:t>
            </w:r>
          </w:p>
        </w:tc>
        <w:tc>
          <w:tcPr>
            <w:tcW w:w="6603" w:type="dxa"/>
            <w:gridSpan w:val="2"/>
            <w:noWrap w:val="0"/>
            <w:vAlign w:val="center"/>
          </w:tcPr>
          <w:p>
            <w:pPr>
              <w:spacing w:line="360" w:lineRule="auto"/>
              <w:rPr>
                <w:rFonts w:hint="eastAsia" w:ascii="仿宋" w:hAnsi="仿宋" w:eastAsia="仿宋" w:cs="仿宋"/>
                <w:color w:val="000000"/>
                <w:kern w:val="2"/>
                <w:sz w:val="24"/>
                <w:szCs w:val="24"/>
                <w:highlight w:val="none"/>
                <w:lang w:val="en-US" w:eastAsia="zh-CN" w:bidi="ar-SA"/>
              </w:rPr>
            </w:pPr>
            <w:r>
              <w:rPr>
                <w:rFonts w:hint="default" w:ascii="Times New Roman" w:hAnsi="Times New Roman" w:cs="Times New Roman"/>
                <w:color w:val="auto"/>
                <w:sz w:val="18"/>
                <w:szCs w:val="18"/>
                <w:highlight w:val="none"/>
              </w:rPr>
              <w:t>印刷、</w:t>
            </w:r>
            <w:r>
              <w:rPr>
                <w:rFonts w:hint="eastAsia" w:cs="Times New Roman"/>
                <w:color w:val="auto"/>
                <w:sz w:val="18"/>
                <w:szCs w:val="18"/>
                <w:highlight w:val="none"/>
                <w:lang w:val="en-US" w:eastAsia="zh-CN"/>
              </w:rPr>
              <w:t>排版、</w:t>
            </w:r>
            <w:r>
              <w:rPr>
                <w:rFonts w:hint="default" w:ascii="Times New Roman" w:hAnsi="Times New Roman" w:cs="Times New Roman"/>
                <w:color w:val="auto"/>
                <w:sz w:val="18"/>
                <w:szCs w:val="18"/>
                <w:highlight w:val="none"/>
              </w:rPr>
              <w:t>文字体一律采用四号宋体字、</w:t>
            </w:r>
            <w:r>
              <w:rPr>
                <w:rFonts w:hint="default" w:ascii="Times New Roman" w:hAnsi="Times New Roman" w:cs="Times New Roman"/>
                <w:color w:val="auto"/>
                <w:sz w:val="18"/>
                <w:szCs w:val="18"/>
                <w:highlight w:val="none"/>
                <w:lang w:val="en-US" w:eastAsia="zh-CN"/>
              </w:rPr>
              <w:t>有</w:t>
            </w:r>
            <w:r>
              <w:rPr>
                <w:rFonts w:hint="default" w:ascii="Times New Roman" w:hAnsi="Times New Roman" w:cs="Times New Roman"/>
                <w:color w:val="auto"/>
                <w:sz w:val="18"/>
                <w:szCs w:val="18"/>
                <w:highlight w:val="none"/>
              </w:rPr>
              <w:t>目录、</w:t>
            </w:r>
            <w:r>
              <w:rPr>
                <w:rFonts w:hint="default" w:ascii="Times New Roman" w:hAnsi="Times New Roman" w:cs="Times New Roman"/>
                <w:color w:val="auto"/>
                <w:sz w:val="18"/>
                <w:szCs w:val="18"/>
                <w:highlight w:val="none"/>
                <w:lang w:val="en-US" w:eastAsia="zh-CN"/>
              </w:rPr>
              <w:t>有</w:t>
            </w:r>
            <w:r>
              <w:rPr>
                <w:rFonts w:hint="default" w:ascii="Times New Roman" w:hAnsi="Times New Roman" w:cs="Times New Roman"/>
                <w:color w:val="auto"/>
                <w:sz w:val="18"/>
                <w:szCs w:val="18"/>
                <w:highlight w:val="none"/>
              </w:rPr>
              <w:t>页码标识、</w:t>
            </w:r>
            <w:r>
              <w:rPr>
                <w:rFonts w:hint="default" w:ascii="Times New Roman" w:hAnsi="Times New Roman" w:cs="Times New Roman"/>
                <w:color w:val="auto"/>
                <w:sz w:val="18"/>
                <w:szCs w:val="18"/>
                <w:highlight w:val="none"/>
                <w:lang w:val="en-US" w:eastAsia="zh-CN"/>
              </w:rPr>
              <w:t>无</w:t>
            </w:r>
            <w:r>
              <w:rPr>
                <w:rFonts w:hint="default" w:ascii="Times New Roman" w:hAnsi="Times New Roman" w:cs="Times New Roman"/>
                <w:color w:val="auto"/>
                <w:sz w:val="18"/>
                <w:szCs w:val="18"/>
                <w:highlight w:val="none"/>
              </w:rPr>
              <w:t>错漏字、</w:t>
            </w:r>
            <w:r>
              <w:rPr>
                <w:rFonts w:hint="default" w:ascii="Times New Roman" w:hAnsi="Times New Roman" w:cs="Times New Roman"/>
                <w:color w:val="auto"/>
                <w:sz w:val="18"/>
                <w:szCs w:val="18"/>
                <w:highlight w:val="none"/>
                <w:lang w:val="en-US" w:eastAsia="zh-CN"/>
              </w:rPr>
              <w:t>前后</w:t>
            </w:r>
            <w:r>
              <w:rPr>
                <w:rFonts w:hint="default" w:ascii="Times New Roman" w:hAnsi="Times New Roman" w:cs="Times New Roman"/>
                <w:color w:val="auto"/>
                <w:sz w:val="18"/>
                <w:szCs w:val="18"/>
                <w:highlight w:val="none"/>
              </w:rPr>
              <w:t>内容一致性；标函质量非常好得</w:t>
            </w:r>
            <w:r>
              <w:rPr>
                <w:rFonts w:hint="default" w:ascii="Times New Roman" w:hAnsi="Times New Roman" w:cs="Times New Roman"/>
                <w:color w:val="auto"/>
                <w:sz w:val="18"/>
                <w:szCs w:val="18"/>
                <w:highlight w:val="none"/>
                <w:lang w:val="en-US" w:eastAsia="zh-CN"/>
              </w:rPr>
              <w:t>3</w:t>
            </w:r>
            <w:r>
              <w:rPr>
                <w:rFonts w:hint="default" w:ascii="Times New Roman" w:hAnsi="Times New Roman" w:cs="Times New Roman"/>
                <w:color w:val="auto"/>
                <w:sz w:val="18"/>
                <w:szCs w:val="18"/>
                <w:highlight w:val="none"/>
              </w:rPr>
              <w:t>分，标函质量较好得</w:t>
            </w:r>
            <w:r>
              <w:rPr>
                <w:rFonts w:hint="default" w:ascii="Times New Roman" w:hAnsi="Times New Roman" w:cs="Times New Roman"/>
                <w:color w:val="auto"/>
                <w:sz w:val="18"/>
                <w:szCs w:val="18"/>
                <w:highlight w:val="none"/>
                <w:lang w:val="en-US" w:eastAsia="zh-CN"/>
              </w:rPr>
              <w:t>2</w:t>
            </w:r>
            <w:r>
              <w:rPr>
                <w:rFonts w:hint="default" w:ascii="Times New Roman" w:hAnsi="Times New Roman" w:cs="Times New Roman"/>
                <w:color w:val="auto"/>
                <w:sz w:val="18"/>
                <w:szCs w:val="18"/>
                <w:highlight w:val="none"/>
              </w:rPr>
              <w:t>分，标函质量一般得</w:t>
            </w:r>
            <w:r>
              <w:rPr>
                <w:rFonts w:hint="default" w:ascii="Times New Roman" w:hAnsi="Times New Roman" w:cs="Times New Roman"/>
                <w:color w:val="auto"/>
                <w:sz w:val="18"/>
                <w:szCs w:val="18"/>
                <w:highlight w:val="none"/>
                <w:lang w:val="en-US" w:eastAsia="zh-CN"/>
              </w:rPr>
              <w:t>1</w:t>
            </w:r>
            <w:r>
              <w:rPr>
                <w:rFonts w:hint="default" w:ascii="Times New Roman" w:hAnsi="Times New Roman" w:cs="Times New Roman"/>
                <w:color w:val="auto"/>
                <w:sz w:val="18"/>
                <w:szCs w:val="18"/>
                <w:highlight w:val="none"/>
              </w:rPr>
              <w:t>分，标函质量较差不得分。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1170" w:type="dxa"/>
            <w:noWrap w:val="0"/>
            <w:vAlign w:val="center"/>
          </w:tcPr>
          <w:p>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2.2.2. 10</w:t>
            </w:r>
          </w:p>
        </w:tc>
        <w:tc>
          <w:tcPr>
            <w:tcW w:w="1502" w:type="dxa"/>
            <w:noWrap w:val="0"/>
            <w:vAlign w:val="center"/>
          </w:tcPr>
          <w:p>
            <w:pPr>
              <w:spacing w:line="360" w:lineRule="auto"/>
              <w:jc w:val="center"/>
              <w:rPr>
                <w:rFonts w:hint="eastAsia" w:ascii="仿宋" w:hAnsi="仿宋" w:eastAsia="宋体" w:cs="仿宋"/>
                <w:color w:val="000000"/>
                <w:kern w:val="2"/>
                <w:sz w:val="24"/>
                <w:szCs w:val="24"/>
                <w:highlight w:val="none"/>
                <w:lang w:val="en-US" w:eastAsia="zh-CN" w:bidi="ar-SA"/>
              </w:rPr>
            </w:pPr>
            <w:r>
              <w:rPr>
                <w:rFonts w:hint="default" w:ascii="Times New Roman" w:hAnsi="Times New Roman" w:cs="Times New Roman"/>
                <w:kern w:val="0"/>
                <w:sz w:val="18"/>
                <w:szCs w:val="18"/>
              </w:rPr>
              <w:t>企业承诺及优惠条件</w:t>
            </w:r>
            <w:r>
              <w:rPr>
                <w:rFonts w:hint="eastAsia" w:cs="Times New Roman"/>
                <w:kern w:val="0"/>
                <w:sz w:val="18"/>
                <w:szCs w:val="18"/>
                <w:lang w:eastAsia="zh-CN"/>
              </w:rPr>
              <w:t>（</w:t>
            </w:r>
            <w:r>
              <w:rPr>
                <w:rFonts w:hint="eastAsia" w:cs="Times New Roman"/>
                <w:kern w:val="0"/>
                <w:sz w:val="18"/>
                <w:szCs w:val="18"/>
                <w:lang w:val="en-US" w:eastAsia="zh-CN"/>
              </w:rPr>
              <w:t>3分</w:t>
            </w:r>
            <w:r>
              <w:rPr>
                <w:rFonts w:hint="eastAsia" w:cs="Times New Roman"/>
                <w:kern w:val="0"/>
                <w:sz w:val="18"/>
                <w:szCs w:val="18"/>
                <w:lang w:eastAsia="zh-CN"/>
              </w:rPr>
              <w:t>）</w:t>
            </w:r>
          </w:p>
        </w:tc>
        <w:tc>
          <w:tcPr>
            <w:tcW w:w="6603" w:type="dxa"/>
            <w:gridSpan w:val="2"/>
            <w:noWrap w:val="0"/>
            <w:vAlign w:val="center"/>
          </w:tcPr>
          <w:p>
            <w:pPr>
              <w:spacing w:line="360" w:lineRule="auto"/>
              <w:rPr>
                <w:rFonts w:hint="eastAsia" w:ascii="仿宋" w:hAnsi="仿宋" w:eastAsia="仿宋" w:cs="仿宋"/>
                <w:color w:val="000000"/>
                <w:kern w:val="2"/>
                <w:sz w:val="24"/>
                <w:szCs w:val="24"/>
                <w:highlight w:val="none"/>
                <w:lang w:val="en-US" w:eastAsia="zh-CN" w:bidi="ar-SA"/>
              </w:rPr>
            </w:pPr>
            <w:r>
              <w:rPr>
                <w:rFonts w:hint="default" w:ascii="Times New Roman" w:hAnsi="Times New Roman" w:cs="Times New Roman"/>
                <w:kern w:val="0"/>
                <w:sz w:val="18"/>
                <w:szCs w:val="18"/>
              </w:rPr>
              <w:t>是否具有优惠条件及满意的企业承诺，</w:t>
            </w:r>
            <w:r>
              <w:rPr>
                <w:rFonts w:hint="default" w:ascii="Times New Roman" w:hAnsi="Times New Roman" w:cs="Times New Roman"/>
                <w:kern w:val="0"/>
                <w:sz w:val="18"/>
                <w:szCs w:val="18"/>
                <w:lang w:val="en-US" w:eastAsia="zh-CN"/>
              </w:rPr>
              <w:t>针对性强、承诺</w:t>
            </w:r>
            <w:r>
              <w:rPr>
                <w:rFonts w:hint="default" w:ascii="Times New Roman" w:hAnsi="Times New Roman" w:cs="Times New Roman"/>
                <w:kern w:val="0"/>
                <w:sz w:val="18"/>
                <w:szCs w:val="18"/>
              </w:rPr>
              <w:t>好的得3分，</w:t>
            </w:r>
            <w:r>
              <w:rPr>
                <w:rFonts w:hint="default" w:ascii="Times New Roman" w:hAnsi="Times New Roman" w:cs="Times New Roman"/>
                <w:kern w:val="0"/>
                <w:sz w:val="18"/>
                <w:szCs w:val="18"/>
                <w:lang w:val="en-US" w:eastAsia="zh-CN"/>
              </w:rPr>
              <w:t>针对性及承诺</w:t>
            </w:r>
            <w:r>
              <w:rPr>
                <w:rFonts w:hint="default" w:ascii="Times New Roman" w:hAnsi="Times New Roman" w:cs="Times New Roman"/>
                <w:kern w:val="0"/>
                <w:sz w:val="18"/>
                <w:szCs w:val="18"/>
              </w:rPr>
              <w:t>一般的得2分，</w:t>
            </w:r>
            <w:r>
              <w:rPr>
                <w:rFonts w:hint="default" w:ascii="Times New Roman" w:hAnsi="Times New Roman" w:cs="Times New Roman"/>
                <w:kern w:val="0"/>
                <w:sz w:val="18"/>
                <w:szCs w:val="18"/>
                <w:lang w:val="en-US" w:eastAsia="zh-CN"/>
              </w:rPr>
              <w:t>针对性差、与采购人需求不相符</w:t>
            </w:r>
            <w:r>
              <w:rPr>
                <w:rFonts w:hint="default" w:ascii="Times New Roman" w:hAnsi="Times New Roman" w:cs="Times New Roman"/>
                <w:kern w:val="0"/>
                <w:sz w:val="18"/>
                <w:szCs w:val="18"/>
              </w:rPr>
              <w:t>的得</w:t>
            </w:r>
            <w:r>
              <w:rPr>
                <w:rFonts w:hint="default" w:ascii="Times New Roman" w:hAnsi="Times New Roman" w:cs="Times New Roman"/>
                <w:kern w:val="0"/>
                <w:sz w:val="18"/>
                <w:szCs w:val="18"/>
                <w:lang w:val="en-US" w:eastAsia="zh-CN"/>
              </w:rPr>
              <w:t>0-</w:t>
            </w:r>
            <w:r>
              <w:rPr>
                <w:rFonts w:hint="default" w:ascii="Times New Roman" w:hAnsi="Times New Roman" w:cs="Times New Roman"/>
                <w:kern w:val="0"/>
                <w:sz w:val="18"/>
                <w:szCs w:val="18"/>
              </w:rPr>
              <w:t>1分。</w:t>
            </w:r>
          </w:p>
        </w:tc>
      </w:tr>
    </w:tbl>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另</w:t>
      </w:r>
      <w:r>
        <w:rPr>
          <w:rFonts w:hint="eastAsia" w:ascii="楷体" w:hAnsi="楷体" w:eastAsia="楷体"/>
          <w:sz w:val="24"/>
          <w:szCs w:val="24"/>
        </w:rPr>
        <w:t>.政策加分以及计算方法</w:t>
      </w:r>
    </w:p>
    <w:tbl>
      <w:tblPr>
        <w:tblStyle w:val="18"/>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88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883" w:type="dxa"/>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(1)中小企业（含中型、小型、微型）指符合中小企业划分标准（工信部联企业[2011]300号）；</w:t>
            </w:r>
          </w:p>
          <w:p>
            <w:pPr>
              <w:spacing w:beforeLines="30" w:line="312"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highlight w:val="none"/>
              </w:rPr>
              <w:t>)按照《政府采购促进中小企业发展管理办法》（财库【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w:t>
            </w:r>
            <w:r>
              <w:rPr>
                <w:rFonts w:hint="eastAsia" w:ascii="仿宋" w:hAnsi="仿宋" w:eastAsia="仿宋" w:cs="仿宋"/>
                <w:sz w:val="24"/>
                <w:szCs w:val="24"/>
              </w:rPr>
              <w:t>除后的价格参与评审。</w:t>
            </w:r>
          </w:p>
          <w:p>
            <w:pPr>
              <w:spacing w:beforeLines="30" w:line="312" w:lineRule="auto"/>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本项目只面向中小微企业。</w:t>
            </w:r>
          </w:p>
        </w:tc>
      </w:tr>
    </w:tbl>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lang w:val="en-US" w:eastAsia="zh-CN"/>
        </w:rPr>
        <w:t>说明</w:t>
      </w:r>
      <w:r>
        <w:rPr>
          <w:rFonts w:hint="eastAsia" w:ascii="宋体" w:hAnsi="宋体" w:cs="Times New Roman"/>
          <w:color w:val="000000"/>
          <w:sz w:val="32"/>
          <w:szCs w:val="32"/>
          <w:shd w:val="clear" w:color="auto" w:fill="FFFFFF"/>
        </w:rPr>
        <w:t>：1、评委应在认真理解本</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文件有关情况后，做出自己负责的按上述内容对投标人进行评审。2、评分分值精确到小数点后两位数。3、响应文件与</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文件有重大偏差时，评委在评审时需写明原因。</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s="Times New Roman"/>
          <w:color w:val="000000"/>
          <w:sz w:val="32"/>
          <w:szCs w:val="32"/>
          <w:shd w:val="clear" w:color="auto" w:fill="FFFFFF"/>
          <w:lang w:val="en-US" w:eastAsia="zh-CN"/>
        </w:rPr>
        <w:t>5、</w:t>
      </w:r>
      <w:r>
        <w:rPr>
          <w:rFonts w:hint="eastAsia" w:ascii="宋体" w:hAnsi="宋体" w:cs="Times New Roman"/>
          <w:color w:val="000000"/>
          <w:sz w:val="32"/>
          <w:szCs w:val="32"/>
          <w:shd w:val="clear" w:color="auto" w:fill="FFFFFF"/>
        </w:rPr>
        <w:t>以上评标标准中要求</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提交相关证明材料原件（或复印件）的，未</w:t>
      </w:r>
      <w:r>
        <w:rPr>
          <w:rFonts w:hint="eastAsia" w:ascii="宋体" w:hAnsi="宋体" w:cs="Times New Roman"/>
          <w:color w:val="000000"/>
          <w:sz w:val="32"/>
          <w:szCs w:val="32"/>
          <w:shd w:val="clear" w:color="auto" w:fill="FFFFFF"/>
          <w:lang w:val="en-US" w:eastAsia="zh-CN"/>
        </w:rPr>
        <w:t>体现</w:t>
      </w:r>
      <w:r>
        <w:rPr>
          <w:rFonts w:hint="eastAsia" w:ascii="宋体" w:hAnsi="宋体" w:cs="Times New Roman"/>
          <w:color w:val="000000"/>
          <w:sz w:val="32"/>
          <w:szCs w:val="32"/>
          <w:shd w:val="clear" w:color="auto" w:fill="FFFFFF"/>
        </w:rPr>
        <w:t>在</w:t>
      </w:r>
      <w:r>
        <w:rPr>
          <w:rFonts w:hint="eastAsia" w:ascii="宋体" w:hAnsi="宋体" w:cs="Times New Roman"/>
          <w:color w:val="000000"/>
          <w:sz w:val="32"/>
          <w:szCs w:val="32"/>
          <w:shd w:val="clear" w:color="auto" w:fill="FFFFFF"/>
          <w:lang w:eastAsia="zh-CN"/>
        </w:rPr>
        <w:t>响应文件</w:t>
      </w:r>
      <w:r>
        <w:rPr>
          <w:rFonts w:hint="eastAsia" w:ascii="宋体" w:hAnsi="宋体" w:cs="Times New Roman"/>
          <w:color w:val="000000"/>
          <w:sz w:val="32"/>
          <w:szCs w:val="32"/>
          <w:shd w:val="clear" w:color="auto" w:fill="FFFFFF"/>
        </w:rPr>
        <w:t>中的不得分。</w:t>
      </w: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2"/>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2"/>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eastAsia="仿宋_GB2312"/>
          <w:color w:val="C00000"/>
          <w:sz w:val="28"/>
          <w:szCs w:val="28"/>
          <w:u w:val="single"/>
          <w:shd w:val="clear" w:color="auto" w:fill="FFFFFF"/>
          <w:lang w:val="en-US" w:eastAsia="zh-CN"/>
        </w:rPr>
        <w:t>阿克苏市教育系统幼儿园大宗食材统一配送服务项目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12"/>
        <w:keepNext w:val="0"/>
        <w:keepLines w:val="0"/>
        <w:pageBreakBefore w:val="0"/>
        <w:widowControl w:val="0"/>
        <w:shd w:val="clear"/>
        <w:tabs>
          <w:tab w:val="left" w:pos="2475"/>
          <w:tab w:val="center" w:pos="4873"/>
        </w:tabs>
        <w:kinsoku/>
        <w:wordWrap/>
        <w:overflowPunct/>
        <w:topLinePunct w:val="0"/>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30"/>
          <w:szCs w:val="30"/>
          <w:highlight w:val="none"/>
          <w:lang w:val="en-US" w:eastAsia="zh-CN"/>
        </w:rPr>
      </w:pPr>
      <w:r>
        <w:rPr>
          <w:rFonts w:hint="eastAsia" w:ascii="方正小标宋简体" w:hAnsi="方正小标宋简体" w:eastAsia="方正小标宋简体" w:cs="方正小标宋简体"/>
          <w:b w:val="0"/>
          <w:bCs w:val="0"/>
          <w:color w:val="auto"/>
          <w:kern w:val="2"/>
          <w:sz w:val="40"/>
          <w:szCs w:val="40"/>
          <w:highlight w:val="none"/>
          <w:lang w:val="en-US" w:eastAsia="zh-CN" w:bidi="ar-SA"/>
        </w:rPr>
        <w:t>大宗食材招标参数要求</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一、采购项目概况及相关要求</w:t>
      </w:r>
    </w:p>
    <w:p>
      <w:pPr>
        <w:pStyle w:val="16"/>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（一）项目名称∶</w:t>
      </w:r>
      <w:r>
        <w:rPr>
          <w:rFonts w:hint="eastAsia" w:ascii="宋体" w:hAnsi="宋体" w:eastAsia="宋体" w:cs="宋体"/>
          <w:color w:val="auto"/>
          <w:kern w:val="2"/>
          <w:sz w:val="24"/>
          <w:szCs w:val="24"/>
          <w:highlight w:val="none"/>
          <w:lang w:val="en-US" w:eastAsia="zh-CN" w:bidi="ar-SA"/>
        </w:rPr>
        <w:t>阿克苏市教育系统幼儿园大宗食材统一配送服务项目。</w:t>
      </w:r>
    </w:p>
    <w:p>
      <w:pPr>
        <w:pStyle w:val="16"/>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（二）项目预算∶2601.735万元</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（三）配送地点∶</w:t>
      </w:r>
      <w:r>
        <w:rPr>
          <w:rFonts w:hint="eastAsia" w:ascii="宋体" w:hAnsi="宋体" w:eastAsia="宋体" w:cs="宋体"/>
          <w:color w:val="auto"/>
          <w:sz w:val="24"/>
          <w:szCs w:val="24"/>
          <w:highlight w:val="none"/>
          <w:lang w:val="en-US" w:eastAsia="zh-CN"/>
        </w:rPr>
        <w:t>阿克苏市各</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（四）配送数量∶按每天实际就餐人数确定。</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（五）配送时间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每日配送；每日上午配送当日午餐食材、午点及次日早点，（对于特定食材需在甲方规定的时间内配送）每日11</w:t>
      </w:r>
      <w:r>
        <w:rPr>
          <w:rFonts w:hint="eastAsia" w:ascii="宋体" w:hAnsi="宋体" w:eastAsia="宋体" w:cs="宋体"/>
          <w:color w:val="auto"/>
          <w:sz w:val="24"/>
          <w:szCs w:val="24"/>
          <w:highlight w:val="none"/>
          <w:lang w:val="en-US" w:eastAsia="zh-CN"/>
        </w:rPr>
        <w:t>:00之前配送至</w:t>
      </w:r>
      <w:r>
        <w:rPr>
          <w:rFonts w:hint="eastAsia" w:ascii="宋体" w:hAnsi="宋体" w:eastAsia="宋体" w:cs="宋体"/>
          <w:color w:val="auto"/>
          <w:sz w:val="24"/>
          <w:szCs w:val="24"/>
          <w:highlight w:val="none"/>
        </w:rPr>
        <w:t>订购方所在地。</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（六）服务期∶</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（七）付款方式∶按月结算。</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二、为了进一步规范食堂管理，规范食品材料供应工作，选择有配送资质的供应商对食堂进行集中配送所需食材。</w:t>
      </w:r>
    </w:p>
    <w:tbl>
      <w:tblPr>
        <w:tblStyle w:val="19"/>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44" w:type="dxa"/>
            <w:noWrap w:val="0"/>
            <w:vAlign w:val="center"/>
          </w:tcPr>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144" w:type="dxa"/>
            <w:noWrap w:val="0"/>
            <w:vAlign w:val="center"/>
          </w:tcPr>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货物供应</w:t>
            </w:r>
          </w:p>
        </w:tc>
        <w:tc>
          <w:tcPr>
            <w:tcW w:w="2145" w:type="dxa"/>
            <w:noWrap w:val="0"/>
            <w:vAlign w:val="center"/>
          </w:tcPr>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服务年限</w:t>
            </w:r>
          </w:p>
        </w:tc>
        <w:tc>
          <w:tcPr>
            <w:tcW w:w="2145" w:type="dxa"/>
            <w:noWrap w:val="0"/>
            <w:vAlign w:val="center"/>
          </w:tcPr>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每日用餐人数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44" w:type="dxa"/>
            <w:noWrap w:val="0"/>
            <w:vAlign w:val="center"/>
          </w:tcPr>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144" w:type="dxa"/>
            <w:noWrap w:val="0"/>
            <w:vAlign w:val="center"/>
          </w:tcPr>
          <w:p>
            <w:pPr>
              <w:pStyle w:val="28"/>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供应大米、面粉、食用油、调料、禽肉类、禽蛋、蔬菜类、</w:t>
            </w:r>
            <w:r>
              <w:rPr>
                <w:rFonts w:hint="eastAsia" w:ascii="宋体" w:hAnsi="宋体" w:cs="宋体"/>
                <w:color w:val="auto"/>
                <w:kern w:val="2"/>
                <w:sz w:val="24"/>
                <w:szCs w:val="24"/>
                <w:highlight w:val="none"/>
                <w:lang w:val="en-US" w:eastAsia="zh-CN" w:bidi="ar-SA"/>
              </w:rPr>
              <w:t>奶（酸奶、牛奶）类、</w:t>
            </w:r>
            <w:r>
              <w:rPr>
                <w:rFonts w:hint="eastAsia" w:ascii="宋体" w:hAnsi="宋体" w:eastAsia="宋体" w:cs="宋体"/>
                <w:color w:val="auto"/>
                <w:kern w:val="2"/>
                <w:sz w:val="24"/>
                <w:szCs w:val="24"/>
                <w:highlight w:val="none"/>
                <w:lang w:val="en-US" w:eastAsia="zh-CN" w:bidi="ar-SA"/>
              </w:rPr>
              <w:t>水果等大宗食材。</w:t>
            </w:r>
          </w:p>
        </w:tc>
        <w:tc>
          <w:tcPr>
            <w:tcW w:w="2145" w:type="dxa"/>
            <w:noWrap w:val="0"/>
            <w:vAlign w:val="center"/>
          </w:tcPr>
          <w:p>
            <w:pPr>
              <w:keepNext w:val="0"/>
              <w:keepLines w:val="0"/>
              <w:pageBreakBefore w:val="0"/>
              <w:widowControl/>
              <w:shd w:val="clear"/>
              <w:kinsoku/>
              <w:wordWrap/>
              <w:overflowPunct/>
              <w:topLinePunct w:val="0"/>
              <w:autoSpaceDE/>
              <w:autoSpaceDN/>
              <w:bidi w:val="0"/>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自签订合同生效之日起计</w:t>
            </w:r>
            <w:r>
              <w:rPr>
                <w:rFonts w:hint="eastAsia" w:ascii="宋体" w:hAnsi="宋体" w:eastAsia="宋体" w:cs="宋体"/>
                <w:color w:val="auto"/>
                <w:sz w:val="24"/>
                <w:szCs w:val="24"/>
                <w:highlight w:val="none"/>
                <w:lang w:val="en-US" w:eastAsia="zh-CN"/>
              </w:rPr>
              <w:t>算，</w:t>
            </w:r>
            <w:r>
              <w:rPr>
                <w:rFonts w:hint="eastAsia" w:ascii="宋体" w:hAnsi="宋体" w:eastAsia="宋体" w:cs="宋体"/>
                <w:color w:val="auto"/>
                <w:sz w:val="24"/>
                <w:szCs w:val="24"/>
                <w:highlight w:val="none"/>
              </w:rPr>
              <w:t xml:space="preserve"> 为期</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shd w:val="clear"/>
              <w:kinsoku/>
              <w:wordWrap/>
              <w:overflowPunct/>
              <w:topLinePunct w:val="0"/>
              <w:autoSpaceDE/>
              <w:autoSpaceDN/>
              <w:bidi w:val="0"/>
              <w:spacing w:line="380" w:lineRule="exact"/>
              <w:ind w:firstLine="1059" w:firstLineChars="0"/>
              <w:jc w:val="left"/>
              <w:textAlignment w:val="auto"/>
              <w:rPr>
                <w:rFonts w:hint="eastAsia" w:ascii="宋体" w:hAnsi="宋体" w:eastAsia="宋体" w:cs="宋体"/>
                <w:color w:val="auto"/>
                <w:sz w:val="24"/>
                <w:szCs w:val="24"/>
                <w:highlight w:val="none"/>
              </w:rPr>
            </w:pPr>
          </w:p>
        </w:tc>
        <w:tc>
          <w:tcPr>
            <w:tcW w:w="2145" w:type="dxa"/>
            <w:noWrap w:val="0"/>
            <w:vAlign w:val="center"/>
          </w:tcPr>
          <w:p>
            <w:pPr>
              <w:keepNext w:val="0"/>
              <w:keepLines w:val="0"/>
              <w:pageBreakBefore w:val="0"/>
              <w:widowControl/>
              <w:shd w:val="clear"/>
              <w:kinsoku/>
              <w:wordWrap/>
              <w:overflowPunct/>
              <w:topLinePunct w:val="0"/>
              <w:autoSpaceDE/>
              <w:autoSpaceDN/>
              <w:bidi w:val="0"/>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按每天实际就餐人数确定</w:t>
            </w:r>
          </w:p>
        </w:tc>
      </w:tr>
    </w:tbl>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三、采购项目商务要求</w:t>
      </w:r>
    </w:p>
    <w:p>
      <w:pPr>
        <w:keepNext w:val="0"/>
        <w:keepLines w:val="0"/>
        <w:pageBreakBefore w:val="0"/>
        <w:widowControl/>
        <w:shd w:val="clear"/>
        <w:kinsoku/>
        <w:wordWrap/>
        <w:overflowPunct/>
        <w:topLinePunct w:val="0"/>
        <w:autoSpaceDE/>
        <w:autoSpaceDN/>
        <w:bidi w:val="0"/>
        <w:spacing w:line="380" w:lineRule="exact"/>
        <w:ind w:firstLine="600" w:firstLineChars="200"/>
        <w:jc w:val="left"/>
        <w:textAlignment w:val="auto"/>
        <w:rPr>
          <w:rFonts w:hint="eastAsia" w:ascii="宋体" w:hAnsi="宋体" w:eastAsia="宋体" w:cs="宋体"/>
          <w:color w:val="auto"/>
          <w:sz w:val="24"/>
          <w:szCs w:val="24"/>
          <w:highlight w:val="none"/>
          <w:lang w:eastAsia="zh-CN"/>
        </w:rPr>
      </w:pPr>
      <w:r>
        <w:rPr>
          <w:rFonts w:hint="eastAsia" w:ascii="仿宋_GB2312" w:hAnsi="仿宋_GB2312" w:eastAsia="仿宋_GB2312" w:cs="仿宋_GB2312"/>
          <w:color w:val="auto"/>
          <w:sz w:val="30"/>
          <w:szCs w:val="30"/>
          <w:highlight w:val="none"/>
        </w:rPr>
        <w:t xml:space="preserve"> </w:t>
      </w:r>
      <w:r>
        <w:rPr>
          <w:rFonts w:hint="eastAsia" w:ascii="宋体" w:hAnsi="宋体" w:eastAsia="宋体" w:cs="宋体"/>
          <w:color w:val="auto"/>
          <w:sz w:val="24"/>
          <w:szCs w:val="24"/>
          <w:highlight w:val="none"/>
          <w:lang w:eastAsia="zh-CN"/>
        </w:rPr>
        <w:t>（一）报价要求∶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报价应包含所有产品、运输、税费、人员等价格。</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（二）价格要求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供应商在合同期限内，</w:t>
      </w:r>
      <w:r>
        <w:rPr>
          <w:rFonts w:hint="eastAsia" w:ascii="宋体" w:hAnsi="宋体" w:cs="宋体"/>
          <w:color w:val="auto"/>
          <w:sz w:val="24"/>
          <w:szCs w:val="24"/>
          <w:highlight w:val="none"/>
          <w:lang w:val="en-US" w:eastAsia="zh-CN"/>
        </w:rPr>
        <w:t>食材价格按每周市场询价及发改委报价进行下浮</w:t>
      </w:r>
      <w:r>
        <w:rPr>
          <w:rFonts w:hint="eastAsia" w:ascii="宋体" w:hAnsi="宋体" w:eastAsia="宋体" w:cs="宋体"/>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供应商必须负责中标货物的运输、搬运等工作，所产生的费用由供应商负责。</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供应商不得擅自变更投标货品（含商标、名称、产地、包装、规格和重量等），严格按甲方要求供应，否则，甲方有权拒收。如因市场流通问题确实需要变更的，应事先书面申请，并经甲方同意后方可改变。</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、项目要求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中标供应商须在本项目服务期内向甲方供应∶ 肉类（含生鲜肉、鸡肉、</w:t>
      </w:r>
      <w:r>
        <w:rPr>
          <w:rFonts w:hint="eastAsia" w:ascii="宋体" w:hAnsi="宋体" w:eastAsia="宋体" w:cs="宋体"/>
          <w:color w:val="auto"/>
          <w:sz w:val="24"/>
          <w:szCs w:val="24"/>
          <w:highlight w:val="none"/>
          <w:lang w:val="en-US" w:eastAsia="zh-CN"/>
        </w:rPr>
        <w:t>牛肉、羊肉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蛋奶类、</w:t>
      </w:r>
      <w:r>
        <w:rPr>
          <w:rFonts w:hint="eastAsia" w:ascii="宋体" w:hAnsi="宋体" w:eastAsia="宋体" w:cs="宋体"/>
          <w:color w:val="auto"/>
          <w:sz w:val="24"/>
          <w:szCs w:val="24"/>
          <w:highlight w:val="none"/>
          <w:lang w:eastAsia="zh-CN"/>
        </w:rPr>
        <w:t>粮油类、蔬菜瓜果类、其他类及调料类等，除不可抗力外，不得延误影响</w:t>
      </w:r>
      <w:r>
        <w:rPr>
          <w:rFonts w:hint="eastAsia" w:ascii="宋体" w:hAnsi="宋体" w:cs="宋体"/>
          <w:color w:val="auto"/>
          <w:sz w:val="24"/>
          <w:szCs w:val="24"/>
          <w:highlight w:val="none"/>
          <w:lang w:val="en-US" w:eastAsia="zh-CN"/>
        </w:rPr>
        <w:t>幼儿园幼儿</w:t>
      </w:r>
      <w:r>
        <w:rPr>
          <w:rFonts w:hint="eastAsia" w:ascii="宋体" w:hAnsi="宋体" w:eastAsia="宋体" w:cs="宋体"/>
          <w:color w:val="auto"/>
          <w:sz w:val="24"/>
          <w:szCs w:val="24"/>
          <w:highlight w:val="none"/>
          <w:lang w:eastAsia="zh-CN"/>
        </w:rPr>
        <w:t>食材供应。</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中标供应商的采购、运输、退换货等必须全程在甲方的组织、管理和监督下实施，不得私自与</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进行。</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实际供货数量以甲方每</w:t>
      </w:r>
      <w:r>
        <w:rPr>
          <w:rFonts w:hint="eastAsia" w:ascii="宋体" w:hAnsi="宋体" w:eastAsia="宋体" w:cs="宋体"/>
          <w:color w:val="auto"/>
          <w:sz w:val="24"/>
          <w:szCs w:val="24"/>
          <w:highlight w:val="none"/>
          <w:lang w:val="en-US" w:eastAsia="zh-CN"/>
        </w:rPr>
        <w:t>周</w:t>
      </w:r>
      <w:r>
        <w:rPr>
          <w:rFonts w:hint="eastAsia" w:ascii="宋体" w:hAnsi="宋体" w:eastAsia="宋体" w:cs="宋体"/>
          <w:color w:val="auto"/>
          <w:sz w:val="24"/>
          <w:szCs w:val="24"/>
          <w:highlight w:val="none"/>
          <w:lang w:eastAsia="zh-CN"/>
        </w:rPr>
        <w:t>提供的订单为准。</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供应商不得将中标项目转让或分包给他人，否则甲方有权单方面终止合同，由此产生的一切经济损失由供应商自行承担。</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val="en-US" w:eastAsia="zh-CN"/>
        </w:rPr>
        <w:t>每周四</w:t>
      </w:r>
      <w:r>
        <w:rPr>
          <w:rFonts w:hint="eastAsia" w:ascii="宋体" w:hAnsi="宋体" w:eastAsia="宋体" w:cs="宋体"/>
          <w:color w:val="auto"/>
          <w:sz w:val="24"/>
          <w:szCs w:val="24"/>
          <w:highlight w:val="none"/>
          <w:lang w:eastAsia="zh-CN"/>
        </w:rPr>
        <w:t>以电话（含</w:t>
      </w:r>
      <w:r>
        <w:rPr>
          <w:rFonts w:hint="eastAsia" w:ascii="宋体" w:hAnsi="宋体" w:cs="宋体"/>
          <w:color w:val="auto"/>
          <w:sz w:val="24"/>
          <w:szCs w:val="24"/>
          <w:highlight w:val="none"/>
          <w:lang w:val="en-US" w:eastAsia="zh-CN"/>
        </w:rPr>
        <w:t>QQ、</w:t>
      </w:r>
      <w:r>
        <w:rPr>
          <w:rFonts w:hint="eastAsia" w:ascii="宋体" w:hAnsi="宋体" w:eastAsia="宋体" w:cs="宋体"/>
          <w:color w:val="auto"/>
          <w:sz w:val="24"/>
          <w:szCs w:val="24"/>
          <w:highlight w:val="none"/>
          <w:lang w:eastAsia="zh-CN"/>
        </w:rPr>
        <w:t>微信、传真）或邮箱方式向供应商下订单，订单内容包括名称、规格、数量、送货时间、加工要求等。</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肉类（含生鲜肉、鸡肉、</w:t>
      </w:r>
      <w:r>
        <w:rPr>
          <w:rFonts w:hint="eastAsia" w:ascii="宋体" w:hAnsi="宋体" w:eastAsia="宋体" w:cs="宋体"/>
          <w:color w:val="auto"/>
          <w:sz w:val="24"/>
          <w:szCs w:val="24"/>
          <w:highlight w:val="none"/>
          <w:lang w:val="en-US" w:eastAsia="zh-CN"/>
        </w:rPr>
        <w:t>牛羊肉</w:t>
      </w:r>
      <w:r>
        <w:rPr>
          <w:rFonts w:hint="eastAsia" w:ascii="宋体" w:hAnsi="宋体" w:eastAsia="宋体" w:cs="宋体"/>
          <w:color w:val="auto"/>
          <w:sz w:val="24"/>
          <w:szCs w:val="24"/>
          <w:highlight w:val="none"/>
          <w:lang w:eastAsia="zh-CN"/>
        </w:rPr>
        <w:t xml:space="preserve">）、蔬菜瓜果类须使用经过订购方统一核酸检测的冷藏车运输，中途不得随意调换，所供应的货品必须安全卫生、量足、质量合格，并提供有完善的售后服务。 </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当根据甲方实际情况，按与甲方的约定，在规定的时间内将预定的货物数量送到指定地点。除客观不可抗力外，供应商不得推迟送货。如确需延迟送货的，供应商应在得知情况的同时告知甲方并征得甲方同意，投标人须承诺如中标后将准时送货到甲方指定地点，投标时提供承诺函。</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供应商应根据甲方实际要求运送货物甚至进行免费简单加工（肉类要经宰杀和清洗，蔬菜瓜果类要达到净菜上市标准）。</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每次送货，</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须委派一名专门负责人，负责货物的运输、过秤，提供送货清单，并协助</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验收货品，货品的品种和重量以学</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验收的结果为准，验收后双方签字方予认可。</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须严格按照甲方的指令配送商品的数量，不得随意增减数量，否则，甲方有权拒收。如因市场流通问题确实需要变更的，应事先书面申请，并经甲方同意后方可改变。</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甲方发现采购货物不能正常使用的，供应商应无条件退换。</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未能履行招标文件和合同所定事项，或供应不合格的、假冒伪劣、以次充好的商品，甲方退货后将记录在案，并对供应商予以处罚，供应商要承担因此产生的一切损失和费用。</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的送货单必须详细注明商品的品牌、型号、单价、数量、送货单不得涂改。标记不清的，</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将拒绝签收。</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指定的送货专员必须穿着便于辨认的工衣和配戴胸卡，送货专员在甲方单位活动必须严格遵守甲方单位各项规章制度，不得做出有损甲方形象和利益的事情。</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不得泄露甲方的商业秘密。泄密造成甲方损失的，供应商将承担由此产生的一切损失和法律责任。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应严格遵守《食品卫生法》和《动物检疫法》等相关规定，一经发现供应以下食品，除全部退货外，将取消供货单位的供货资格，没收全部履约保证金，供货单位并承担由此造成的经济责任和法律责任。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①腐败变质、油脂酸败、霉变、生虫、污秽不洁、混有异物或者其他感官性状异常，对人体健康有害的。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②含有毒、有害物质或者被有害物质污染，对人体健康有害的。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③含有致病性寄生虫、微生物或者微生物含量超过国家限定标准的。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④未经动物检疫部门检疫、检验或者检疫、检验不合格的肉类及其制品。</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⑤病死、毒死或者死因不明的禽、畜、兽等及其制品。</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⑥掺假、掺杂、伪造，影响营养、卫生的。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⑦用非食品原料加工的，加入非食品用化学物质或者将非食品当作食品的。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⑧超过保质期限的。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其它∶</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）甲方与供应商在投标及履行合同过程中，必须遵守《中华人民共和国反不正当竞争法》中华人民共和国消费者权益保障法》《中华人民共和国经济合同法》及相关的国家法律、法规。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）项目结案要求∶ 项目结束后供应商须向甲方提供台账、项目决算表、项目总结报告等相关数据资料。</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、质量要求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1.预包装食品∶ 证件齐全、标示完整、感官无异常，有1年内合格的产品检验报告。</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2.肉类∶牛羊肉、鸡肉两证齐全，感官无异常。</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3.蔬菜瓜果类∶属无公害蔬菜、水果，应当无毒、无害，具有相应的色、香、味等感官性状并保证优良的色泽和新鲜度。</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蛋奶类、</w:t>
      </w:r>
      <w:r>
        <w:rPr>
          <w:rFonts w:hint="eastAsia" w:ascii="宋体" w:hAnsi="宋体" w:eastAsia="宋体" w:cs="宋体"/>
          <w:color w:val="auto"/>
          <w:sz w:val="24"/>
          <w:szCs w:val="24"/>
          <w:highlight w:val="none"/>
          <w:lang w:eastAsia="zh-CN"/>
        </w:rPr>
        <w:t>粮油类、其他类、干货类及调料类∶保证优良的等级和外观，无虫咬、无变色变味。</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5.所有食材质量必须符合《中华人民共和国食品安全法》相关规定要求。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6.有使用有效期的货物，其剩余有效期不得少于标注有效期的80%。</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所供货物有外包装的，其外包装必须完整清洁（无损、无污、无皱），其中油粮产品每件包装必须有《农产品包装和标识管理办法》规定的标识，标明品名、产地、生产者或销售者名称、生产日期等。每批次的粮油产品须提供厂家自检与第三方的检验报告。商品的外包装必须有简体中文标识。不得配送来源不当的商品，甲方有权拒收包装不整齐、已拆封的商品。所提供的食用油、酱油等食材商品，不含有转基因的成分。散装食材（肉类、蔬菜瓜果类、其他类、干货类及调料类）的包装必须使用无毒、无害、无色（或白色）的胶质包装。</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提供假冒伪劣、过期、变质、有毒食品的，货物出现损坏（包括表面损坏），出现水渍、串味、受潮等导致货物改变的，甲方有权要求无条件退货或换货，情节严重的追究责任、没收履约保证金、或终止合同。</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lang w:eastAsia="zh-CN"/>
        </w:rPr>
        <w:t>9.若因</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提供货物的问题造成食品安全问题或事故，并经国家质检机构鉴定为供应商责任的，供应商除须负担全数医药费外，还须承担相应的民事及刑事法律责任及放弃先诉抗辩权;甲方没收履约保证金外，取消供应商供货资格、解除供货合同，将视情节轻重主张经济赔偿、违约金或者其他处罚。</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、配送服务要求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凡是进入校园的大宗食材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需按照</w:t>
      </w:r>
      <w:r>
        <w:rPr>
          <w:rFonts w:hint="eastAsia" w:ascii="宋体" w:hAnsi="宋体" w:eastAsia="宋体" w:cs="宋体"/>
          <w:color w:val="auto"/>
          <w:sz w:val="24"/>
          <w:szCs w:val="24"/>
          <w:highlight w:val="none"/>
          <w:lang w:eastAsia="zh-CN"/>
        </w:rPr>
        <w:t>疫情防控</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lang w:val="en-US" w:eastAsia="zh-CN"/>
        </w:rPr>
        <w:t>供应批次完成</w:t>
      </w:r>
      <w:r>
        <w:rPr>
          <w:rFonts w:hint="eastAsia" w:ascii="宋体" w:hAnsi="宋体" w:eastAsia="宋体" w:cs="宋体"/>
          <w:color w:val="auto"/>
          <w:sz w:val="24"/>
          <w:szCs w:val="24"/>
          <w:highlight w:val="none"/>
          <w:lang w:eastAsia="zh-CN"/>
        </w:rPr>
        <w:t>配送车辆、货物的核酸检测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每批次配送车辆、货物在送货前一天全部购买齐全，储存在供应商</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食材专用仓库，按要求封存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配送人员按照重点人群要求按时做核酸检测。储存货物仓库、配送车辆必须按</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eastAsia="zh-CN"/>
        </w:rPr>
        <w:t>疫情防控要求按时开展消毒消杀和保存三个月监控影像，在配送前做好核酸检测后单独封存，在配送前不得擅自启用。供应商领取新冠病毒阴性结果后，</w:t>
      </w:r>
      <w:r>
        <w:rPr>
          <w:rFonts w:hint="eastAsia" w:ascii="宋体" w:hAnsi="宋体" w:eastAsia="宋体" w:cs="宋体"/>
          <w:color w:val="auto"/>
          <w:sz w:val="24"/>
          <w:szCs w:val="24"/>
          <w:highlight w:val="none"/>
          <w:lang w:val="en-US" w:eastAsia="zh-CN"/>
        </w:rPr>
        <w:t>随货物一起将食材核酸检测报告交</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val="en-US" w:eastAsia="zh-CN"/>
        </w:rPr>
        <w:t>留存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同时，将核酸检测报告向市教科局餐饮办备案</w:t>
      </w:r>
      <w:r>
        <w:rPr>
          <w:rFonts w:hint="eastAsia" w:ascii="宋体" w:hAnsi="宋体" w:eastAsia="宋体" w:cs="宋体"/>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应具备中标标段相适应的配送车辆、配送人员规模，</w:t>
      </w:r>
      <w:r>
        <w:rPr>
          <w:rFonts w:hint="eastAsia" w:ascii="宋体" w:hAnsi="宋体" w:eastAsia="宋体" w:cs="宋体"/>
          <w:color w:val="auto"/>
          <w:sz w:val="24"/>
          <w:szCs w:val="24"/>
          <w:highlight w:val="none"/>
          <w:lang w:eastAsia="zh-CN"/>
        </w:rPr>
        <w:t>具备严格的质量管理体系和完备的配送流程，同一</w:t>
      </w:r>
      <w:r>
        <w:rPr>
          <w:rFonts w:hint="eastAsia" w:ascii="宋体" w:hAnsi="宋体" w:cs="宋体"/>
          <w:color w:val="auto"/>
          <w:sz w:val="24"/>
          <w:szCs w:val="24"/>
          <w:highlight w:val="none"/>
          <w:lang w:val="en-US" w:eastAsia="zh-CN"/>
        </w:rPr>
        <w:t>片区</w:t>
      </w:r>
      <w:r>
        <w:rPr>
          <w:rFonts w:hint="eastAsia" w:ascii="宋体" w:hAnsi="宋体" w:eastAsia="宋体" w:cs="宋体"/>
          <w:color w:val="auto"/>
          <w:sz w:val="24"/>
          <w:szCs w:val="24"/>
          <w:highlight w:val="none"/>
          <w:lang w:eastAsia="zh-CN"/>
        </w:rPr>
        <w:t>货物必须在当日</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:00前全部送达</w:t>
      </w:r>
      <w:r>
        <w:rPr>
          <w:rFonts w:hint="eastAsia" w:ascii="宋体" w:hAnsi="宋体" w:eastAsia="宋体" w:cs="宋体"/>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配送车辆应</w:t>
      </w:r>
      <w:r>
        <w:rPr>
          <w:rFonts w:hint="eastAsia" w:ascii="宋体" w:hAnsi="宋体" w:eastAsia="宋体" w:cs="宋体"/>
          <w:color w:val="auto"/>
          <w:sz w:val="24"/>
          <w:szCs w:val="24"/>
          <w:highlight w:val="none"/>
          <w:lang w:eastAsia="zh-CN"/>
        </w:rPr>
        <w:t>具备冷、鲜食材的相关储藏和配送设备，并做好防疫卫生要求。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近三年内无违法经营及食品安全事故等不良记录。</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.不合格的货物将被无条件退货，由此而产生的费用将由中标供应商负责。</w:t>
      </w:r>
    </w:p>
    <w:p>
      <w:pPr>
        <w:keepNext w:val="0"/>
        <w:keepLines w:val="0"/>
        <w:pageBreakBefore w:val="0"/>
        <w:widowControl/>
        <w:shd w:val="clear"/>
        <w:kinsoku/>
        <w:wordWrap/>
        <w:overflowPunct/>
        <w:topLinePunct w:val="0"/>
        <w:autoSpaceDE/>
        <w:autoSpaceDN/>
        <w:bidi w:val="0"/>
        <w:spacing w:line="380" w:lineRule="exact"/>
        <w:ind w:firstLine="482" w:firstLineChars="200"/>
        <w:jc w:val="left"/>
        <w:textAlignment w:val="auto"/>
        <w:rPr>
          <w:rFonts w:hint="eastAsia"/>
          <w:color w:val="auto"/>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、验收标准</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面粉，本地特一粉，25公斤/袋，无任何添加剂，质量符合国家SC标准GB-1355-1986，每一批次要有质检报告。</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大米，规格本地长粒香一级，25公斤/袋，非转基因大米，质量符合国家SC标准GB-1354-2009，每一批次要有质检报告。</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食用油，5升/桶，国家一级以上菜籽油，非转基因；二级以上胡麻油，5升/桶，非转基因。质量标准及包装符合国家SC标准GB1536-2004，每一批次要有质检报告。</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鸡肉，需为本地养殖三黄鸡，不得供应产蛋淘汰鸡，必须为新鲜的处理干净的净鸡（需去头去脚去内脏去骨），不得供应冷冻鸡肉或鸡（边）腿。鸡蛋需新鲜、为本地养殖厂生产，不得供应变质、存放时间久的鸡蛋。不得提供破碎、变质或者有质量问题的鸡蛋（鸡蛋为毛菜）。乙方必须向幼儿园提供由畜牧兽医局开具的本批次交易的动物产品的《动物检疫合格证明》,保证是合格产品，不得有注水、变质、变味、以次充好的情况。按照当前疫情防控要求，不采购冻食品类产品。</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牛肉、羊肉必须为本地牛羊，幼儿园整只羊不得超过13kg。必须去除内脏、腹油、尾巴，可带肝；牛肉年龄在6个月-1年之间必须在手续齐全的屠宰场屠宰，经检验检疫合格的新鲜牛肉，必须去除内脏、油、尾巴、剔骨。牛、羊肉必须提供当天的动物检疫合格证和屠宰证。不得提供注水、变质、变味、动物检疫过期、腐烂、器官变异、有肉瘤等对人体有害的肉类食品。</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GB" w:eastAsia="zh-CN"/>
        </w:rPr>
      </w:pPr>
      <w:r>
        <w:rPr>
          <w:rFonts w:hint="eastAsia" w:ascii="宋体" w:hAnsi="宋体" w:eastAsia="宋体" w:cs="宋体"/>
          <w:color w:val="auto"/>
          <w:sz w:val="24"/>
          <w:szCs w:val="24"/>
          <w:highlight w:val="none"/>
          <w:lang w:val="en-US" w:eastAsia="zh-CN"/>
        </w:rPr>
        <w:t>6.根据确定的品牌进行统一供货。</w:t>
      </w:r>
      <w:r>
        <w:rPr>
          <w:rFonts w:hint="eastAsia" w:ascii="宋体" w:hAnsi="宋体" w:eastAsia="宋体" w:cs="宋体"/>
          <w:color w:val="auto"/>
          <w:sz w:val="24"/>
          <w:szCs w:val="24"/>
          <w:highlight w:val="none"/>
          <w:lang w:val="en-GB" w:eastAsia="zh-CN"/>
        </w:rPr>
        <w:t>牛奶的送货日期距离生产日期为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GB" w:eastAsia="zh-CN"/>
        </w:rPr>
        <w:t>天以内，酸奶的送货日期距离生产日期为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GB" w:eastAsia="zh-CN"/>
        </w:rPr>
        <w:t>天以内。包装上必须有</w:t>
      </w:r>
      <w:r>
        <w:rPr>
          <w:rFonts w:hint="eastAsia" w:ascii="宋体" w:hAnsi="宋体" w:eastAsia="宋体" w:cs="宋体"/>
          <w:color w:val="auto"/>
          <w:sz w:val="24"/>
          <w:szCs w:val="24"/>
          <w:highlight w:val="none"/>
          <w:lang w:val="en-US" w:eastAsia="zh-CN"/>
        </w:rPr>
        <w:t>SC</w:t>
      </w:r>
      <w:r>
        <w:rPr>
          <w:rFonts w:hint="eastAsia" w:ascii="宋体" w:hAnsi="宋体" w:eastAsia="宋体" w:cs="宋体"/>
          <w:color w:val="auto"/>
          <w:sz w:val="24"/>
          <w:szCs w:val="24"/>
          <w:highlight w:val="none"/>
          <w:lang w:val="en-GB" w:eastAsia="zh-CN"/>
        </w:rPr>
        <w:t>标志，牛奶（酸奶）不能在保质期内存在有变质、异味现象。</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生鲜蔬菜(西红柿、红薯、豆腐、豆腐干、豆腐皮为毛菜外，其它蔬菜均为净菜）、水果（所有水果均为毛菜），必须保证新鲜，颜色正常、发育正常、成熟良好，个头饱满，无病虫危害，水果和绿叶子菜水分充足，萝卜、土豆、西红柿等个体均匀。不得出现腐烂、变质、以次充好的情况。蔬菜中农药残留、重金属、亚硝酸盐等的含量，控制在国家规定的允许范围内，以净菜为验收标准。所有蔬菜须按批次提供农药残留检测报告。</w:t>
      </w:r>
    </w:p>
    <w:p>
      <w:pPr>
        <w:keepNext w:val="0"/>
        <w:keepLines w:val="0"/>
        <w:pageBreakBefore w:val="0"/>
        <w:widowControl/>
        <w:shd w:val="clear"/>
        <w:tabs>
          <w:tab w:val="left" w:pos="4620"/>
        </w:tabs>
        <w:kinsoku/>
        <w:wordWrap/>
        <w:overflowPunct/>
        <w:topLinePunct w:val="0"/>
        <w:autoSpaceDE/>
        <w:autoSpaceDN/>
        <w:bidi w:val="0"/>
        <w:spacing w:line="380" w:lineRule="exact"/>
        <w:ind w:firstLine="480" w:firstLineChars="200"/>
        <w:jc w:val="left"/>
        <w:textAlignment w:val="auto"/>
        <w:rPr>
          <w:rFonts w:hint="eastAsia"/>
          <w:highlight w:val="none"/>
          <w:lang w:val="en-US" w:eastAsia="zh-CN"/>
        </w:rPr>
      </w:pPr>
      <w:r>
        <w:rPr>
          <w:rFonts w:hint="eastAsia" w:ascii="宋体" w:hAnsi="宋体" w:eastAsia="宋体" w:cs="宋体"/>
          <w:color w:val="auto"/>
          <w:sz w:val="24"/>
          <w:szCs w:val="24"/>
          <w:highlight w:val="none"/>
          <w:lang w:val="en-US" w:eastAsia="zh-CN"/>
        </w:rPr>
        <w:t>8.牛奶、酸奶。根据确定的品牌进行统一供货。</w:t>
      </w:r>
      <w:r>
        <w:rPr>
          <w:rFonts w:hint="eastAsia" w:ascii="宋体" w:hAnsi="宋体" w:eastAsia="宋体" w:cs="宋体"/>
          <w:color w:val="auto"/>
          <w:sz w:val="24"/>
          <w:szCs w:val="24"/>
          <w:highlight w:val="none"/>
          <w:lang w:val="en-GB" w:eastAsia="zh-CN"/>
        </w:rPr>
        <w:t>牛奶的送货日期距离生产日期为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en-GB" w:eastAsia="zh-CN"/>
        </w:rPr>
        <w:t>天以内，酸奶的送货日期距离生产日期为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GB" w:eastAsia="zh-CN"/>
        </w:rPr>
        <w:t>天以内。包装上必须有</w:t>
      </w:r>
      <w:r>
        <w:rPr>
          <w:rFonts w:hint="eastAsia" w:ascii="宋体" w:hAnsi="宋体" w:eastAsia="宋体" w:cs="宋体"/>
          <w:color w:val="auto"/>
          <w:sz w:val="24"/>
          <w:szCs w:val="24"/>
          <w:highlight w:val="none"/>
          <w:lang w:val="en-US" w:eastAsia="zh-CN"/>
        </w:rPr>
        <w:t>SC</w:t>
      </w:r>
      <w:r>
        <w:rPr>
          <w:rFonts w:hint="eastAsia" w:ascii="宋体" w:hAnsi="宋体" w:eastAsia="宋体" w:cs="宋体"/>
          <w:color w:val="auto"/>
          <w:sz w:val="24"/>
          <w:szCs w:val="24"/>
          <w:highlight w:val="none"/>
          <w:lang w:val="en-GB" w:eastAsia="zh-CN"/>
        </w:rPr>
        <w:t>标志，牛奶（酸奶）不能在保质期内存在有变质、异味现象，</w:t>
      </w:r>
      <w:r>
        <w:rPr>
          <w:rFonts w:hint="eastAsia" w:ascii="宋体" w:hAnsi="宋体" w:eastAsia="宋体" w:cs="宋体"/>
          <w:color w:val="auto"/>
          <w:sz w:val="24"/>
          <w:szCs w:val="24"/>
          <w:highlight w:val="none"/>
          <w:lang w:val="en-US" w:eastAsia="zh-CN"/>
        </w:rPr>
        <w:t>牛奶蛋白质含量为3.0g/100ml以上</w:t>
      </w:r>
      <w:r>
        <w:rPr>
          <w:rFonts w:hint="eastAsia" w:ascii="宋体" w:hAnsi="宋体" w:eastAsia="宋体" w:cs="宋体"/>
          <w:color w:val="auto"/>
          <w:sz w:val="24"/>
          <w:szCs w:val="24"/>
          <w:highlight w:val="none"/>
          <w:lang w:val="en-GB" w:eastAsia="zh-CN"/>
        </w:rPr>
        <w:t>。</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陇椒：长形或萝卜状，颜色碧绿、有光泽、表面光滑，饱满有一定硬度和弹性，肉层中等，有辣味。</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菜椒：外观新鲜、厚实、明亮，肉厚，有三个或四个棱，顶端的柄呈鲜绿色，肉质无损伤。</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西红柿：颜色大红、粉红，光泽亮艳，个大圆整，饱满有弹性，至少八成熟，肉厚籽少、味甜中带酸。</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茄子：紫红色或者紫黑色，形正（棒形、卵形、灯泡形），表面光滑亮丽，有弹性不软，皮薄肉嫩籽少，个体均匀。</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芹菜：叶翠绿、无主茎、分支少，根细，茎挺直、脆，芹香味浓，水分充足。</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菠菜：颜色碧绿、鲜嫩，叶子大，挺直，根桃红、无主茎且叶柄无红色，棵株适当。</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大白菜：外叶淡绿色、奶黄色，帮白，内叶乳白色，叶新鲜光泽，棵完整、包心坚实紧密，根部断面洁白完整。</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冬瓜：皮青翠、有白霜，肉洁白，厚嫩、紧密，膛少，有一定硬度。</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白萝卜：颜色为洁白光亮，表面光滑、细腻，形体完整、分量重，底部切面洁白，水分大，肉嫩脆、味甜适中。</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胡萝卜：颜色红色或橘黄色，表面光滑、条直匀称、粗壮、硬实不软，内质甜脆、中心柱细小。</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大蒜：颜色白色或紫色，蒜皮干燥，蒜瓣结实，有硬度。</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大葱：葱叶为管状、绿色、葱白长、紧实、挺直，无根，长约50厘米。</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生姜：表皮粗糙、黄色较暗，手感较硬，有清香味，无异味。</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洋葱：鳞片颜色粉白或紫白、鳞片肥厚、完整无损、抱合紧密，球茎干度适中，有一定的硬度。</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土豆：颜色为黄色，个大形正、表皮光滑，体硬不软、饱满，表皮不能发绿，无发芽。</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蒜台：颜色深绿，梗 细滑、有光泽、挺直，鲜嫩，指甲掐之易断。</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青笋：笋形粗壮、条直、均匀，叶绿色，茎皮光泽、绿或淡绿色，断面碧绿，嫩叶少。</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西葫芦：颜色嫩绿色，表皮饱满且富有光泽，大小适中、外形周正，表面光滑，没有磕碰伤口，指甲掐之溢水。</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花菜：颜色白色或淡乳色，花球要大，紧实，色泽好，花茎脆嫩，以花芽尚未开放的为佳，握在手里有重量感，无茸毛，可带4-5片嫩叶，菜形端正，近似圆形或扁圆形，无机械损伤，球面干净无沾污、无虫害，无霉斑。</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莲花白：叶片呈绿色并有光泽，结球坚实、包裹紧密，质地脆嫩，无虫咬、黄叶、开裂和腐烂，有沉重感。</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娃娃菜：叶子嫩黄，个头小，大小均匀，手感紧实，叶面平整且直。</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红薯：颜色粉红或淡黄色，依品种而定。个大形正、大小整齐，表皮无伤，体硬不软、饱满。</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南瓜：颜色金黄色或橙红色，瓜形周正，肉金黄、紧密、粉甜，表面硬实。</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投标人需承诺所供蔬菜符合上述质量要求及农药残留不超过国家限量标准，若不符合，愿意接受退货处理并承担违约责任。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包装要求∶容器 （框、箱、袋）要求清洁、干燥、牢固、透气，无污染、无异味。每件包装必须按《农产品包装和标识管理办法》规定，在包装上或附加标识标明货物品种、种植地。</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.糕点类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根据确定的要求进行统一供货，本地生产、新鲜、独立包装，保质期10天以内,质量符合国家“SC”标准,提供的糕点中，不得添加任何对人体有害的添加剂。</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其他类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①供货商品均为合格产品，符合食物标准，均在保质期内，严禁使用过期食物。</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②所有商品均为正规厂家生产，包装完整，所有产品食品须有生产许可证编号，标明食品名称、规格、生产商、产地、生产日期、保质期等。</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鸡蛋：供应商提供的鸡蛋质量应完全符合《中华人民共和国食品安全法》的相关规定，具有县畜牧兽医局开具的《动物检疫合格证明》。鸡蛋必须是新鲜的，大小适中，不能供破碎、过期、变质或有严重质量问题的鸡蛋。</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调料类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需根据确定的品牌进行统一供货。必须符合国家质量标准，具有“QS”食品质量安全认证，应有检验合格证，有品牌及生产日期、生产厂家、产品成份，保质期、执行的产品标准、配料表、净含量等，不能配送过期产品。液体状调料必须是瓶装或袋装。</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中标企业必须建立食品安全追溯体系，客观、有效、真实地记录和保存食品质量安全信息，实现食品质量安全顺向可追踪、逆向可溯源、风险可管控，发生质量安全问题时产品可召回、原因可查清、责任可追究，切实落实质量安全主体责任，保障食品质量安全。</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供应的米、面、油等大宗食辅材料必须有企业食品生产许可证标志（SC），必须具备《食品生产许可证》和《食品经营许可证》等资质，有品牌及生产日期、生产厂家、产品成份，保质期、执行的产品标准、配料表、净含量等，不得以次充好，用其他规格或厂家的商品替代。</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供应牛、羊、鸡肉的供应商必须具备《食品生产许可证》和《食品经营许可证》相关合法资质，有本地养殖基地，有冷藏配送车，不得以次充好，用其他公司或养殖场的商品替代。</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运输前，对运输车辆或容器进行清洁，防止食品受到污染。运输过程中，做好防尘、防水，食品与非食品、不同类型的食品原料（动物性食品、植物性食品、水产品，下同）应分隔，食品包装完整、清洁，防止食品受到污染。运输食品的温度、湿度应符合相关食品安全要求。不得将食品与有毒有害物品混装运输，运输食品和运输有毒有害物品的车辆不得混用。</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若在节假日（包括假期超过1周及寒暑假）将未拆包装，且未过保质期的食材，退回供货商，在开学后配送等同品牌、规格、参数、价格的产品。</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供应商将食材送达</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val="en-US" w:eastAsia="zh-CN"/>
        </w:rPr>
        <w:t>时，指定专人（</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val="en-US" w:eastAsia="zh-CN"/>
        </w:rPr>
        <w:t>负责人和食堂管理员同时验收），按国家相关标准签字验收，验收合格后，至少三名经办人在派送单上签字方可生效。对不符合相关标准的货物供货商应及时调换，并不得影响甲方的正常使用。如出现质量问题或以次充好的，可拒绝签收，并限时解决。如供货商未在规定时间内解决，一次按数量参照供应产品价格的10倍罚款，超过一次每次罚款翻倍（每两次20倍，第三次40倍），累计三次未按时配送的同时处罚金100000元人民币，罚金从其保证金中扣除，</w:t>
      </w:r>
      <w:r>
        <w:rPr>
          <w:rFonts w:hint="eastAsia" w:ascii="宋体" w:hAnsi="宋体" w:cs="宋体"/>
          <w:color w:val="auto"/>
          <w:sz w:val="24"/>
          <w:szCs w:val="24"/>
          <w:highlight w:val="none"/>
          <w:lang w:val="en-US" w:eastAsia="zh-CN"/>
        </w:rPr>
        <w:t>幼儿园</w:t>
      </w:r>
      <w:r>
        <w:rPr>
          <w:rFonts w:hint="eastAsia" w:ascii="宋体" w:hAnsi="宋体" w:eastAsia="宋体" w:cs="宋体"/>
          <w:color w:val="auto"/>
          <w:sz w:val="24"/>
          <w:szCs w:val="24"/>
          <w:highlight w:val="none"/>
          <w:lang w:val="en-US" w:eastAsia="zh-CN"/>
        </w:rPr>
        <w:t>若发现质量问题的，应及时送到质检部门检验，质量问题后果由供应商承担，供货质量累计2次出现问题的，可终止合同且保证金不予退还。乙方逾期未交货，每逾期一小时，乙方需支付中标总价的0.5‰违约金，超过一小时的，按照中标总价的0.5‰依次递增。如因食用乙方食品造成甲方身体伤害的，其经济法律责任均由乙方承担。甲方可用保证金先行支付损失，保证金不足以弥补甲方损失的，甲方继续向乙方追讨直至弥补损失，同时，甲方有权解除合同而不承担任何责任。</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供应商供应的大宗食材原料必须是中标的品牌和规格，要购买不低于1000万元的食品责任保险，将购买保险复印件进行备案，如供应商所提供食物造成学生身体不适、中毒者，全部责任由供应商承担。</w:t>
      </w:r>
    </w:p>
    <w:p>
      <w:pPr>
        <w:pStyle w:val="24"/>
        <w:shd w:val="clear"/>
        <w:ind w:firstLine="482" w:firstLineChars="200"/>
        <w:jc w:val="both"/>
        <w:rPr>
          <w:rFonts w:hint="eastAsia"/>
          <w:color w:val="auto"/>
          <w:highlight w:val="none"/>
          <w:lang w:val="en-US" w:eastAsia="zh-CN"/>
        </w:rPr>
      </w:pPr>
      <w:r>
        <w:rPr>
          <w:rFonts w:hint="eastAsia"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、付款方式</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1.乙方向甲方提供本地普票或增值税发票（电子票彩打），并在发票备注栏中详细备注供货时间及村级幼儿园全称。</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于当月供货期满后，在次月5日前，持《教育系统大宗食材入库单》、《食材配送核对单》与幼儿园食材负责人进行核对、确认无误后双方签字后，并将上述材料报送至市教科局核算中心进行再次确认；确认无误后，乙方于次月15日前开具发票、供货清单、银行开户许可证送至学校，由学校报账员报市教科局核算中心对接相关程序支付。实际支付以财政资金到位情况进行结算。</w:t>
      </w:r>
    </w:p>
    <w:p>
      <w:pPr>
        <w:keepNext w:val="0"/>
        <w:keepLines w:val="0"/>
        <w:pageBreakBefore w:val="0"/>
        <w:widowControl/>
        <w:shd w:val="clear"/>
        <w:kinsoku/>
        <w:wordWrap/>
        <w:overflowPunct/>
        <w:topLinePunct w:val="0"/>
        <w:autoSpaceDE/>
        <w:autoSpaceDN/>
        <w:bidi w:val="0"/>
        <w:spacing w:line="38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3.乙方应当自觉接受甲方及相关单位的监督检查，如实反映情况，提供有关资料，不得隐瞒情况、弄虚作假或者拒绝、阻碍监督检查。</w:t>
      </w: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jc w:val="center"/>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阿克苏市教育系统</w:t>
      </w:r>
      <w:r>
        <w:rPr>
          <w:rFonts w:hint="default" w:ascii="Times New Roman" w:hAnsi="Times New Roman" w:eastAsia="黑体" w:cs="Times New Roman"/>
          <w:b/>
          <w:color w:val="auto"/>
          <w:sz w:val="32"/>
          <w:szCs w:val="32"/>
          <w:highlight w:val="none"/>
          <w:lang w:val="en-US" w:eastAsia="zh-CN"/>
        </w:rPr>
        <w:t>采购</w:t>
      </w:r>
      <w:r>
        <w:rPr>
          <w:rFonts w:hint="default" w:ascii="Times New Roman" w:hAnsi="Times New Roman" w:eastAsia="黑体" w:cs="Times New Roman"/>
          <w:b/>
          <w:color w:val="auto"/>
          <w:sz w:val="32"/>
          <w:szCs w:val="32"/>
          <w:highlight w:val="none"/>
        </w:rPr>
        <w:t>大宗食材统一采购清单</w:t>
      </w:r>
    </w:p>
    <w:tbl>
      <w:tblPr>
        <w:tblStyle w:val="18"/>
        <w:tblpPr w:leftFromText="180" w:rightFromText="180" w:vertAnchor="text" w:horzAnchor="page" w:tblpXSpec="center" w:tblpY="455"/>
        <w:tblOverlap w:val="never"/>
        <w:tblW w:w="89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0"/>
        <w:gridCol w:w="1081"/>
        <w:gridCol w:w="1367"/>
        <w:gridCol w:w="4283"/>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jc w:val="center"/>
        </w:trPr>
        <w:tc>
          <w:tcPr>
            <w:tcW w:w="708" w:type="dxa"/>
            <w:vMerge w:val="restart"/>
            <w:noWrap w:val="0"/>
            <w:textDirection w:val="tbRlV"/>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采  购  项  目</w:t>
            </w:r>
          </w:p>
        </w:tc>
        <w:tc>
          <w:tcPr>
            <w:tcW w:w="700" w:type="dxa"/>
            <w:vMerge w:val="restart"/>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序号</w:t>
            </w:r>
          </w:p>
        </w:tc>
        <w:tc>
          <w:tcPr>
            <w:tcW w:w="1081" w:type="dxa"/>
            <w:vMerge w:val="restart"/>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品名</w:t>
            </w:r>
          </w:p>
        </w:tc>
        <w:tc>
          <w:tcPr>
            <w:tcW w:w="1367" w:type="dxa"/>
            <w:vMerge w:val="restart"/>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单位</w:t>
            </w:r>
          </w:p>
        </w:tc>
        <w:tc>
          <w:tcPr>
            <w:tcW w:w="4283" w:type="dxa"/>
            <w:vMerge w:val="restart"/>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规格技术参数</w:t>
            </w:r>
          </w:p>
        </w:tc>
        <w:tc>
          <w:tcPr>
            <w:tcW w:w="838" w:type="dxa"/>
            <w:tcBorders>
              <w:bottom w:val="nil"/>
            </w:tcBorders>
            <w:noWrap w:val="0"/>
            <w:vAlign w:val="center"/>
          </w:tcPr>
          <w:p>
            <w:pPr>
              <w:widowControl/>
              <w:pBdr>
                <w:top w:val="single" w:color="FFFFFF" w:sz="6" w:space="0"/>
              </w:pBdr>
              <w:spacing w:before="150" w:line="240" w:lineRule="atLeast"/>
              <w:ind w:right="225"/>
              <w:jc w:val="both"/>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708" w:type="dxa"/>
            <w:vMerge w:val="continue"/>
            <w:noWrap w:val="0"/>
            <w:textDirection w:val="tbRlV"/>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1081"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1367"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4283"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838" w:type="dxa"/>
            <w:tcBorders>
              <w:top w:val="nil"/>
            </w:tcBorders>
            <w:noWrap w:val="0"/>
            <w:vAlign w:val="center"/>
          </w:tcPr>
          <w:p>
            <w:pPr>
              <w:widowControl/>
              <w:pBdr>
                <w:top w:val="single" w:color="FFFFFF" w:sz="6" w:space="0"/>
              </w:pBdr>
              <w:spacing w:before="150" w:line="240" w:lineRule="atLeast"/>
              <w:ind w:right="225"/>
              <w:jc w:val="right"/>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1</w:t>
            </w:r>
          </w:p>
        </w:tc>
        <w:tc>
          <w:tcPr>
            <w:tcW w:w="1081"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面粉</w:t>
            </w:r>
          </w:p>
        </w:tc>
        <w:tc>
          <w:tcPr>
            <w:tcW w:w="1367"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袋</w:t>
            </w:r>
          </w:p>
        </w:tc>
        <w:tc>
          <w:tcPr>
            <w:tcW w:w="4283"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特一粉，25公斤/袋，无添加剂，质量符合国家标准GB-1355-1986，每一批有质检报告。</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2</w:t>
            </w:r>
          </w:p>
        </w:tc>
        <w:tc>
          <w:tcPr>
            <w:tcW w:w="1081"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大米</w:t>
            </w:r>
          </w:p>
        </w:tc>
        <w:tc>
          <w:tcPr>
            <w:tcW w:w="1367"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袋</w:t>
            </w:r>
          </w:p>
        </w:tc>
        <w:tc>
          <w:tcPr>
            <w:tcW w:w="4283"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阿克苏长粒香一级，25公斤/袋，非转基因大米，质量符合国家标准GB-1354-2009，每一批有质检报告。</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3</w:t>
            </w:r>
          </w:p>
        </w:tc>
        <w:tc>
          <w:tcPr>
            <w:tcW w:w="1081"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食用油</w:t>
            </w:r>
          </w:p>
        </w:tc>
        <w:tc>
          <w:tcPr>
            <w:tcW w:w="1367"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桶/5公升</w:t>
            </w:r>
          </w:p>
        </w:tc>
        <w:tc>
          <w:tcPr>
            <w:tcW w:w="4283"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一级以上菜籽油，二级以上胡麻油，质量标准及包装符合国家标准GB1536-2004，每一批有质检报告。</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4</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鸡肉、鸡蛋</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公斤</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需为本地养殖三黄鸡，不得供应产蛋淘汰鸡，必须为新鲜的处理干净的净鸡（去头去脚去内脏），不得供应冷冻鸡肉或鸡（边）腿。鸡蛋需新鲜、为本地养殖厂生产，不得供应变质、存放时间久的鸡蛋。不得提供破碎、变质或者有质量问题的鸡蛋。</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5</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羊肉</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公斤</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经检验检疫合格的新鲜本地羊肉（去除内脏、留肝），25公斤以下，冷藏配送</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6</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牛肉</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公斤</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经检验检疫合格的新鲜本地牛肉（去除内脏、油、尾巴、剔骨），腿肉和肚腩搭配，冷藏配送车。</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7</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牛奶、酸奶</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袋</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GB" w:eastAsia="zh-CN"/>
              </w:rPr>
              <w:t>包装上必须有</w:t>
            </w:r>
            <w:r>
              <w:rPr>
                <w:rFonts w:hint="eastAsia" w:cs="Times New Roman"/>
                <w:color w:val="auto"/>
                <w:sz w:val="18"/>
                <w:szCs w:val="18"/>
                <w:highlight w:val="none"/>
                <w:lang w:val="en-US" w:eastAsia="zh-CN"/>
              </w:rPr>
              <w:t>SC</w:t>
            </w:r>
            <w:r>
              <w:rPr>
                <w:rFonts w:hint="default" w:ascii="Times New Roman" w:hAnsi="Times New Roman" w:cs="Times New Roman"/>
                <w:color w:val="auto"/>
                <w:sz w:val="18"/>
                <w:szCs w:val="18"/>
                <w:highlight w:val="none"/>
                <w:lang w:val="en-GB" w:eastAsia="zh-CN"/>
              </w:rPr>
              <w:t>标志，牛奶不能在保质期内存在有变质、异味现象</w:t>
            </w:r>
            <w:r>
              <w:rPr>
                <w:rFonts w:hint="eastAsia" w:cs="Times New Roman"/>
                <w:color w:val="auto"/>
                <w:sz w:val="18"/>
                <w:szCs w:val="18"/>
                <w:highlight w:val="none"/>
                <w:lang w:val="en-GB" w:eastAsia="zh-CN"/>
              </w:rPr>
              <w:t>，</w:t>
            </w:r>
            <w:r>
              <w:rPr>
                <w:rFonts w:hint="eastAsia" w:cs="Times New Roman"/>
                <w:color w:val="auto"/>
                <w:sz w:val="18"/>
                <w:szCs w:val="18"/>
                <w:highlight w:val="none"/>
                <w:lang w:val="en-US" w:eastAsia="zh-CN"/>
              </w:rPr>
              <w:t>牛奶蛋白质含量为3.0g/100ml以上</w:t>
            </w:r>
            <w:r>
              <w:rPr>
                <w:rFonts w:hint="default" w:ascii="Times New Roman" w:hAnsi="Times New Roman" w:cs="Times New Roman"/>
                <w:color w:val="auto"/>
                <w:sz w:val="18"/>
                <w:szCs w:val="18"/>
                <w:highlight w:val="none"/>
                <w:lang w:val="en-GB" w:eastAsia="zh-CN"/>
              </w:rPr>
              <w:t>。</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8</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蔬菜、水果</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公斤</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GB" w:eastAsia="zh-CN"/>
              </w:rPr>
              <w:t>严禁配送以次充好、腐败变质、霉变生虫、污秽不洁、含有毒有害物质或者被有毒有害物质污染，可能对人体健康产生危害的蔬菜，水果。</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jc w:val="center"/>
        </w:trPr>
        <w:tc>
          <w:tcPr>
            <w:tcW w:w="708" w:type="dxa"/>
            <w:vMerge w:val="continue"/>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c>
          <w:tcPr>
            <w:tcW w:w="700"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9</w:t>
            </w:r>
          </w:p>
        </w:tc>
        <w:tc>
          <w:tcPr>
            <w:tcW w:w="1081"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调料</w:t>
            </w:r>
          </w:p>
        </w:tc>
        <w:tc>
          <w:tcPr>
            <w:tcW w:w="1367"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瓶、公斤、袋</w:t>
            </w:r>
          </w:p>
        </w:tc>
        <w:tc>
          <w:tcPr>
            <w:tcW w:w="4283" w:type="dxa"/>
            <w:noWrap w:val="0"/>
            <w:vAlign w:val="center"/>
          </w:tcPr>
          <w:p>
            <w:pPr>
              <w:widowControl/>
              <w:pBdr>
                <w:top w:val="single" w:color="FFFFFF" w:sz="6" w:space="0"/>
              </w:pBdr>
              <w:spacing w:before="150" w:line="240" w:lineRule="atLeast"/>
              <w:ind w:right="225" w:rightChars="0"/>
              <w:jc w:val="center"/>
              <w:textAlignment w:val="top"/>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GB" w:eastAsia="zh-CN"/>
              </w:rPr>
              <w:t>有品牌及生产日期、生产厂家、产品成份，保质期、执行的产品标准、配料表、净含量等，非转基因。质量标准及包装符合国家标准国标GB/T 20903－2007。</w:t>
            </w:r>
          </w:p>
        </w:tc>
        <w:tc>
          <w:tcPr>
            <w:tcW w:w="838" w:type="dxa"/>
            <w:noWrap w:val="0"/>
            <w:vAlign w:val="center"/>
          </w:tcPr>
          <w:p>
            <w:pPr>
              <w:widowControl/>
              <w:pBdr>
                <w:top w:val="single" w:color="FFFFFF" w:sz="6" w:space="0"/>
              </w:pBdr>
              <w:spacing w:before="150" w:line="240" w:lineRule="atLeast"/>
              <w:ind w:right="225"/>
              <w:jc w:val="center"/>
              <w:textAlignment w:val="top"/>
              <w:rPr>
                <w:rFonts w:hint="default" w:ascii="Times New Roman" w:hAnsi="Times New Roman" w:cs="Times New Roman"/>
                <w:color w:val="auto"/>
                <w:sz w:val="18"/>
                <w:szCs w:val="18"/>
                <w:highlight w:val="none"/>
                <w:lang w:val="en-US" w:eastAsia="zh-CN"/>
              </w:rPr>
            </w:pPr>
          </w:p>
        </w:tc>
      </w:tr>
    </w:tbl>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rPr>
          <w:rFonts w:hint="eastAsia" w:ascii="仿宋_GB2312" w:eastAsia="仿宋_GB2312"/>
          <w:color w:val="000000"/>
          <w:sz w:val="28"/>
          <w:szCs w:val="28"/>
          <w:shd w:val="clear" w:color="auto" w:fill="FFFFFF"/>
        </w:rPr>
      </w:pPr>
    </w:p>
    <w:p>
      <w:pPr>
        <w:pStyle w:val="2"/>
        <w:ind w:left="0" w:leftChars="0" w:firstLine="0" w:firstLineChars="0"/>
        <w:rPr>
          <w:rFonts w:hint="eastAsia" w:ascii="仿宋_GB2312" w:eastAsia="仿宋_GB2312"/>
          <w:color w:val="000000"/>
          <w:sz w:val="28"/>
          <w:szCs w:val="28"/>
          <w:shd w:val="clear" w:color="auto" w:fill="FFFFFF"/>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tbl>
      <w:tblPr>
        <w:tblStyle w:val="18"/>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1569"/>
        <w:gridCol w:w="533"/>
        <w:gridCol w:w="2370"/>
        <w:gridCol w:w="736"/>
        <w:gridCol w:w="2581"/>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80" w:hRule="atLeast"/>
        </w:trPr>
        <w:tc>
          <w:tcPr>
            <w:tcW w:w="945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阿克苏市教育系统食材种类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序号</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名称（蔬菜）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名称（蔬菜）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名称（调料）</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白菜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鸡蛋</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西红柿酱</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西红柿</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鹌鹑蛋</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巴达木（特级)</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红辣椒</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名称（调料）</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薏米仁</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绿辣椒</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鸡肉火腿肠</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高粱面</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土豆</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牛肉火腿肠</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芹菜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虾皮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红薯淀粉</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白萝卜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燕麦片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桂皮</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胡萝卜（红）</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一级枸杞</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香叶</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胡萝卜（黄）</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花椒粉</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萝卜（青）</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绿豆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豆豉</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洋葱</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干海带</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黑芝麻汤圆</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小葱</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黑米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豆沙馅</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大葱</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高粱米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八宝米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小米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名称（水果）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汤圆粉</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圆茄子</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红富士苹果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长茄子</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芝麻</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白柚</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葫芦瓜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龙须面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红柚</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冰糖</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橙子</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冬瓜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银耳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火龙果（白)</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苦瓜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紫菜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火龙果（红)</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丝瓜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荞麦面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香梨</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南瓜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熟腰果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橘子（大）</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莲花白</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糯米（圆）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小金桔</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花菜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莲子</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葡萄</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韭菜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大辣子皮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圣女果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油白菜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线辣子</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猕猴桃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油麦菜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干红椒（小）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西瓜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菠菜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辣子面（粗）</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哈密瓜</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豆腐</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辣子酱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豆腐皮</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发酵粉</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毛桃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豆腐干</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花生米(白皮）</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油桃</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名称（乳制品）</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白金针菇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玉米面</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牛奶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蘑菇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蚝油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680克</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酸奶</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杏鲍菇</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苏打</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名称（肉类）</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藕</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醋</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4.1升</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羊肉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莴笋</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盐</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牛肉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白砂糖</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鸡肉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蒜苔</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酱油</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名称（糕点）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黄豆芽</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豆瓣酱</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糕点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绿豆芽</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红花椒（A级）</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名称（粮油）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西兰花</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草果</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大米</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山药</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大香（A级）</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面粉</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香菜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孜然粉</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菜籽油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豌豆尖</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粉条</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胡麻油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快菜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桃豆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名称（饺子）</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生菜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一级绿葡萄干</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饺子</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紫甘蓝</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新疆大盘鸡</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包</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名称（馕）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毛豆</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干香菇</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精品小油馕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玉米棒</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醪糟</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金瓜</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干黑木耳（一级）</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(kg）</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bl>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p>
    <w:p>
      <w:pPr>
        <w:pStyle w:val="12"/>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（此合同为格式范本，最终合同以双方协商为准）</w:t>
      </w:r>
    </w:p>
    <w:p>
      <w:pPr>
        <w:spacing w:line="360" w:lineRule="auto"/>
        <w:ind w:firstLine="548" w:firstLineChars="196"/>
        <w:rPr>
          <w:rFonts w:hint="eastAsia" w:ascii="仿宋_GB2312" w:eastAsia="仿宋_GB2312"/>
          <w:color w:val="000000"/>
          <w:sz w:val="28"/>
          <w:szCs w:val="28"/>
          <w:shd w:val="clear" w:color="auto" w:fill="FFFFFF"/>
        </w:rPr>
      </w:pPr>
      <w:bookmarkStart w:id="48" w:name="_Toc490756174"/>
      <w:r>
        <w:rPr>
          <w:rFonts w:hint="eastAsia" w:ascii="仿宋_GB2312" w:eastAsia="仿宋_GB2312"/>
          <w:color w:val="000000"/>
          <w:sz w:val="28"/>
          <w:szCs w:val="28"/>
          <w:shd w:val="clear" w:color="auto" w:fill="FFFFFF"/>
        </w:rPr>
        <w:t>一、合同主要条款</w:t>
      </w:r>
      <w:bookmarkEnd w:id="48"/>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1、定义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1.1甲方（需方）即采购人，是指通过招标采购，接受合同货物及服务的各级国家机关、事业单位和团体组织。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1.2乙方（供方）即中标人，是指中标后提供合同货物和服务的自然人、法人及其他组织。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1.3合同是指由甲乙双方按照招标文件和投标文件的实质性内容，通过协商一致达成的书面协议。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1.4合同价格指以中标价格为依据，在供方全面履行合同义务后，需方（或财政部门）应支付给供方的金额。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合同包括以下内容：服务项目名称、服务提供地点、服务期限、服务标准等内容。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3、合同价格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3.1合同价格即合同总价。</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3.2合同价格包括人员工资、各类社保费用、税费、为保证服务质量所购买或租赁设备的费用等。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4、转包或分包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4.1本合同范围的服务内容，应由乙方直接供应，不得转让他人供应；</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4.2非经甲方书面同意，乙方不得将本合同范围的服务全部或部分分包给他人；</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4.3如有转让和未经甲方同意的分包行为，甲方有权解除合同，没收履约保证金并追究乙方的违约责任。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5、服务质量保证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5.1乙方应按招标文件规定的服务标准向甲方提供服务。</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5.2乙方提供的服务标准达不到招标文件规定者，除承担相应责任外，将按失信行为处置。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6、付款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6.1本合同使用货币币制如未作特别说明均为人民币。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6.2付款方式：银行转账、现金支票。</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6.3付款方法：同本项目“第三篇 商务条款”中关于付款方式的约定。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7、检查考核</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7.1按甲乙双方约定的考核办法监督检查。</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8、合同争议的解决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8.1当事人友好协商达成一致</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8.2在60天内当事人协商不能达成协议的，可提请采购人当地仲裁机构仲裁。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9、违约责任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按《中华人民共和国民法典》、《中华人民共和国政府采购法》有关条款，或由供需双方约定。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10、合同生效及其它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10.1合同生效及其效力应符合《中华人民共和国民法典》有关规定。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10.2合同应经当事人法定代表人或委托代理人签字，加盖双方合同专用章或公章。</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10.3合同所包括附件，是合同不可分割的一部分，具有同等法律效力。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10.4合同需提供担保的，按《中华人民共和国担保法》规定执行。</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10.5本合同条件未尽事宜依照《中华人民共和国民法典》，由供需双方共同协商确定。</w:t>
      </w:r>
    </w:p>
    <w:p>
      <w:pPr>
        <w:spacing w:line="360" w:lineRule="auto"/>
        <w:ind w:firstLine="548" w:firstLineChars="196"/>
        <w:rPr>
          <w:rFonts w:hint="eastAsia" w:ascii="仿宋_GB2312" w:eastAsia="仿宋_GB2312"/>
          <w:color w:val="000000"/>
          <w:sz w:val="28"/>
          <w:szCs w:val="28"/>
          <w:shd w:val="clear" w:color="auto" w:fill="FFFFFF"/>
        </w:rPr>
        <w:sectPr>
          <w:footerReference r:id="rId6" w:type="default"/>
          <w:pgSz w:w="11907" w:h="16840"/>
          <w:pgMar w:top="1134" w:right="708" w:bottom="1134" w:left="1304" w:header="964" w:footer="992" w:gutter="0"/>
          <w:cols w:space="720" w:num="1"/>
          <w:docGrid w:linePitch="312" w:charSpace="0"/>
        </w:sectPr>
      </w:pPr>
    </w:p>
    <w:p>
      <w:pPr>
        <w:spacing w:line="360" w:lineRule="auto"/>
        <w:ind w:firstLine="548" w:firstLineChars="196"/>
        <w:rPr>
          <w:rFonts w:hint="eastAsia" w:ascii="仿宋_GB2312" w:eastAsia="仿宋_GB2312"/>
          <w:color w:val="000000"/>
          <w:sz w:val="28"/>
          <w:szCs w:val="28"/>
          <w:shd w:val="clear" w:color="auto" w:fill="FFFFFF"/>
        </w:rPr>
      </w:pPr>
      <w:bookmarkStart w:id="49" w:name="_Toc490756175"/>
      <w:r>
        <w:rPr>
          <w:rFonts w:hint="eastAsia" w:ascii="仿宋_GB2312" w:eastAsia="仿宋_GB2312"/>
          <w:color w:val="000000"/>
          <w:sz w:val="28"/>
          <w:szCs w:val="28"/>
          <w:shd w:val="clear" w:color="auto" w:fill="FFFFFF"/>
        </w:rPr>
        <w:t>二、合同（格式）</w:t>
      </w:r>
      <w:bookmarkEnd w:id="49"/>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　同　书</w:t>
      </w: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tbl>
      <w:tblPr>
        <w:tblStyle w:val="18"/>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w:t>
            </w:r>
          </w:p>
        </w:tc>
      </w:tr>
      <w:tr>
        <w:tblPrEx>
          <w:tblLayout w:type="fixed"/>
          <w:tblCellMar>
            <w:top w:w="0" w:type="dxa"/>
            <w:left w:w="108" w:type="dxa"/>
            <w:bottom w:w="0" w:type="dxa"/>
            <w:right w:w="108" w:type="dxa"/>
          </w:tblCellMar>
        </w:tblPrEx>
        <w:trPr>
          <w:trHeight w:val="771"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 w:hAnsi="仿宋" w:eastAsia="仿宋"/>
          <w:sz w:val="28"/>
          <w:szCs w:val="28"/>
        </w:rPr>
        <w:br w:type="page"/>
      </w:r>
      <w:r>
        <w:rPr>
          <w:rFonts w:hint="eastAsia" w:ascii="仿宋_GB2312" w:eastAsia="仿宋_GB2312"/>
          <w:color w:val="000000"/>
          <w:sz w:val="28"/>
          <w:szCs w:val="28"/>
          <w:shd w:val="clear" w:color="auto" w:fill="FFFFFF"/>
        </w:rPr>
        <w:t xml:space="preserve">甲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乙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根据                  的采购结果，按照《中华人民共和国政府采购法》、《民法典》的规定，经双方协商，本着平等互利和诚实信用的原则，一致同意签订本合同如下。</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二、合同金额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合同金额为（大写）：______________元（￥______________元）人民币。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三、服务期限、服务地点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服务期限：</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四、付款方式</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费用按照四个季度支付：每个季度支付合同总价的25%。</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五、服务考核办法</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XXXXXXXXXXXXXXXXXXXXXXXXXXXXXXXXXXXXXXXXXXXXXXXXXXXX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六、违约责任与赔偿损失</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其它违约责任按《中华人民共和国民法典》处理。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七、争议的解决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合同执行过程中发生的任何争议，如双方不能通过友好协商解决，按相关法律法规处理(合同双方一致同意提请当地仲裁委员会仲裁或向甲方所在地的人民法院提起诉讼)。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八、不可抗力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九、税费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在中国境内、外发生的与本合同执行有关的一切税费均由乙方负担。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十、其它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1.本合同所有附件、招标文件、投标文件、中标通知书均为合同的有效组成部分，与本合同具有同等法律效力。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2.在执行本合同的过程中，所有经双方签署确认的文件（包括会议纪要、补充协议、往来信函）即成为本合同的有效组成部分。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2"/>
        <w:tabs>
          <w:tab w:val="left" w:pos="2475"/>
          <w:tab w:val="center" w:pos="4873"/>
        </w:tabs>
        <w:spacing w:line="360" w:lineRule="auto"/>
        <w:ind w:firstLine="1115" w:firstLineChars="347"/>
        <w:outlineLvl w:val="0"/>
        <w:rPr>
          <w:rFonts w:hint="eastAsia" w:hAnsi="宋体" w:cs="宋体"/>
          <w:b/>
          <w:sz w:val="32"/>
          <w:szCs w:val="32"/>
        </w:rPr>
      </w:pPr>
    </w:p>
    <w:p>
      <w:pPr>
        <w:pStyle w:val="12"/>
        <w:tabs>
          <w:tab w:val="left" w:pos="2475"/>
          <w:tab w:val="center" w:pos="4873"/>
        </w:tabs>
        <w:spacing w:line="360" w:lineRule="auto"/>
        <w:ind w:firstLine="2400" w:firstLineChars="747"/>
        <w:outlineLvl w:val="0"/>
        <w:rPr>
          <w:rFonts w:hint="eastAsia" w:hAnsi="宋体" w:cs="宋体"/>
          <w:b/>
          <w:sz w:val="32"/>
          <w:szCs w:val="32"/>
        </w:rPr>
      </w:pPr>
    </w:p>
    <w:p>
      <w:pPr>
        <w:pStyle w:val="12"/>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2"/>
        <w:tabs>
          <w:tab w:val="left" w:pos="2475"/>
          <w:tab w:val="center" w:pos="4873"/>
        </w:tabs>
        <w:spacing w:line="360" w:lineRule="auto"/>
        <w:outlineLvl w:val="0"/>
        <w:rPr>
          <w:rFonts w:hAnsi="宋体" w:cs="宋体"/>
          <w:b/>
          <w:sz w:val="44"/>
          <w:szCs w:val="44"/>
        </w:rPr>
      </w:pPr>
    </w:p>
    <w:p>
      <w:pPr>
        <w:pStyle w:val="12"/>
        <w:tabs>
          <w:tab w:val="left" w:pos="2475"/>
          <w:tab w:val="center" w:pos="4873"/>
        </w:tabs>
        <w:spacing w:line="360" w:lineRule="auto"/>
        <w:outlineLvl w:val="0"/>
        <w:rPr>
          <w:rFonts w:hAnsi="宋体" w:cs="宋体"/>
          <w:b/>
          <w:sz w:val="44"/>
          <w:szCs w:val="44"/>
        </w:rPr>
      </w:pPr>
    </w:p>
    <w:p>
      <w:pPr>
        <w:pStyle w:val="12"/>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3"/>
      </w:pPr>
    </w:p>
    <w:p>
      <w:pPr>
        <w:numPr>
          <w:ilvl w:val="0"/>
          <w:numId w:val="7"/>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8"/>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8"/>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8"/>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pStyle w:val="3"/>
        <w:ind w:left="0" w:leftChars="0" w:firstLine="0" w:firstLineChars="0"/>
      </w:pPr>
    </w:p>
    <w:p/>
    <w:p>
      <w:pPr>
        <w:pStyle w:val="2"/>
      </w:pPr>
    </w:p>
    <w:p>
      <w:pPr>
        <w:pStyle w:val="2"/>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8"/>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8"/>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7"/>
        <w:rPr>
          <w:rFonts w:ascii="宋体" w:hAnsi="宋体" w:cs="宋体"/>
        </w:rPr>
      </w:pPr>
    </w:p>
    <w:p>
      <w:pPr>
        <w:pStyle w:val="17"/>
        <w:rPr>
          <w:rFonts w:ascii="宋体" w:hAnsi="宋体" w:cs="宋体"/>
        </w:rPr>
      </w:pPr>
    </w:p>
    <w:p>
      <w:pPr>
        <w:pStyle w:val="17"/>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7"/>
        <w:ind w:firstLine="723"/>
        <w:rPr>
          <w:rFonts w:ascii="宋体" w:hAnsi="宋体" w:cs="宋体"/>
          <w:b/>
          <w:sz w:val="36"/>
          <w:szCs w:val="36"/>
        </w:rPr>
      </w:pPr>
    </w:p>
    <w:p>
      <w:pPr>
        <w:pStyle w:val="17"/>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9"/>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rPr>
          <w:rFonts w:ascii="宋体" w:hAnsi="宋体" w:cs="宋体"/>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3"/>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8"/>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2"/>
        <w:rPr>
          <w:rFonts w:hint="eastAsia" w:ascii="仿宋_GB2312" w:hAnsi="宋体" w:eastAsia="仿宋_GB2312"/>
          <w:color w:val="000000"/>
          <w:sz w:val="28"/>
          <w:szCs w:val="28"/>
        </w:rPr>
      </w:pPr>
    </w:p>
    <w:p>
      <w:pPr>
        <w:pStyle w:val="2"/>
        <w:ind w:left="0" w:leftChars="0" w:firstLine="0" w:firstLineChars="0"/>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10、投  标  报  价  表</w:t>
      </w:r>
    </w:p>
    <w:p>
      <w:pPr>
        <w:tabs>
          <w:tab w:val="left" w:pos="3600"/>
        </w:tabs>
        <w:rPr>
          <w:rFonts w:hint="eastAsia" w:ascii="宋体" w:hAnsi="宋体"/>
          <w:b/>
          <w:bCs/>
          <w:color w:val="000000"/>
          <w:sz w:val="24"/>
        </w:rPr>
      </w:pPr>
      <w:r>
        <w:rPr>
          <w:rFonts w:hint="eastAsia" w:ascii="宋体" w:hAnsi="宋体"/>
          <w:b/>
          <w:bCs/>
          <w:color w:val="000000"/>
          <w:sz w:val="28"/>
          <w:szCs w:val="28"/>
        </w:rPr>
        <w:t xml:space="preserve">                                                                                    </w:t>
      </w:r>
      <w:r>
        <w:rPr>
          <w:rFonts w:hint="eastAsia" w:ascii="宋体" w:hAnsi="宋体"/>
          <w:b/>
          <w:bCs/>
          <w:color w:val="000000"/>
          <w:szCs w:val="21"/>
        </w:rPr>
        <w:t>单位：   元</w:t>
      </w:r>
    </w:p>
    <w:tbl>
      <w:tblPr>
        <w:tblStyle w:val="18"/>
        <w:tblW w:w="147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0"/>
        <w:gridCol w:w="2480"/>
        <w:gridCol w:w="708"/>
        <w:gridCol w:w="865"/>
        <w:gridCol w:w="751"/>
        <w:gridCol w:w="865"/>
        <w:gridCol w:w="1219"/>
        <w:gridCol w:w="1338"/>
        <w:gridCol w:w="1134"/>
        <w:gridCol w:w="1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w:t>
            </w:r>
          </w:p>
          <w:p>
            <w:pPr>
              <w:jc w:val="center"/>
              <w:rPr>
                <w:rFonts w:ascii="宋体" w:hAnsi="宋体"/>
                <w:b/>
                <w:bCs/>
                <w:color w:val="000000"/>
                <w:sz w:val="24"/>
              </w:rPr>
            </w:pPr>
            <w:r>
              <w:rPr>
                <w:rFonts w:hint="eastAsia" w:ascii="宋体" w:hAnsi="宋体"/>
                <w:b/>
                <w:bCs/>
                <w:color w:val="000000"/>
                <w:sz w:val="24"/>
              </w:rPr>
              <w:t>全称</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品牌、型号、规格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数量</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市场</w:t>
            </w:r>
          </w:p>
          <w:p>
            <w:pPr>
              <w:jc w:val="center"/>
              <w:rPr>
                <w:rFonts w:ascii="宋体" w:hAnsi="宋体"/>
                <w:b/>
                <w:bCs/>
                <w:color w:val="000000"/>
                <w:sz w:val="24"/>
              </w:rPr>
            </w:pPr>
            <w:r>
              <w:rPr>
                <w:rFonts w:hint="eastAsia" w:ascii="宋体" w:hAnsi="宋体"/>
                <w:b/>
                <w:bCs/>
                <w:color w:val="000000"/>
                <w:sz w:val="24"/>
              </w:rPr>
              <w:t>售价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w:t>
            </w:r>
          </w:p>
          <w:p>
            <w:pPr>
              <w:jc w:val="center"/>
              <w:rPr>
                <w:rFonts w:ascii="宋体" w:hAnsi="宋体"/>
                <w:b/>
                <w:bCs/>
                <w:color w:val="000000"/>
                <w:sz w:val="24"/>
              </w:rPr>
            </w:pPr>
            <w:r>
              <w:rPr>
                <w:rFonts w:hint="eastAsia" w:ascii="宋体" w:hAnsi="宋体"/>
                <w:b/>
                <w:bCs/>
                <w:color w:val="000000"/>
                <w:sz w:val="24"/>
              </w:rPr>
              <w:t>单价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金额小计</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免费</w:t>
            </w:r>
          </w:p>
          <w:p>
            <w:pPr>
              <w:jc w:val="center"/>
              <w:rPr>
                <w:rFonts w:ascii="宋体" w:hAnsi="宋体"/>
                <w:b/>
                <w:bCs/>
                <w:color w:val="000000"/>
                <w:sz w:val="24"/>
              </w:rPr>
            </w:pPr>
            <w:r>
              <w:rPr>
                <w:rFonts w:hint="eastAsia" w:ascii="宋体" w:hAnsi="宋体"/>
                <w:b/>
                <w:bCs/>
                <w:color w:val="000000"/>
                <w:sz w:val="24"/>
              </w:rPr>
              <w:t>质保期</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质保期外</w:t>
            </w:r>
          </w:p>
          <w:p>
            <w:pPr>
              <w:jc w:val="center"/>
              <w:rPr>
                <w:rFonts w:ascii="宋体" w:hAnsi="宋体"/>
                <w:b/>
                <w:bCs/>
                <w:color w:val="000000"/>
                <w:sz w:val="24"/>
              </w:rPr>
            </w:pPr>
            <w:r>
              <w:rPr>
                <w:rFonts w:hint="eastAsia" w:ascii="宋体" w:hAnsi="宋体"/>
                <w:b/>
                <w:bCs/>
                <w:color w:val="000000"/>
                <w:sz w:val="24"/>
              </w:rPr>
              <w:t>服务年限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交货（完工）日期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投标产品有无偏离</w:t>
            </w:r>
          </w:p>
        </w:tc>
        <w:tc>
          <w:tcPr>
            <w:tcW w:w="2232" w:type="dxa"/>
            <w:tcBorders>
              <w:top w:val="single" w:color="auto" w:sz="4" w:space="0"/>
              <w:left w:val="single" w:color="auto" w:sz="4" w:space="0"/>
              <w:right w:val="single" w:color="auto" w:sz="4" w:space="0"/>
            </w:tcBorders>
            <w:noWrap w:val="0"/>
            <w:vAlign w:val="center"/>
          </w:tcPr>
          <w:p>
            <w:pPr>
              <w:jc w:val="center"/>
              <w:rPr>
                <w:rFonts w:hint="eastAsia"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1</w:t>
            </w:r>
          </w:p>
        </w:tc>
        <w:tc>
          <w:tcPr>
            <w:tcW w:w="124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248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bottom"/>
          </w:tcPr>
          <w:p>
            <w:pPr>
              <w:jc w:val="right"/>
              <w:rPr>
                <w:rFonts w:ascii="宋体" w:hAnsi="宋体"/>
                <w:b/>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月 日</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总报价</w:t>
            </w:r>
          </w:p>
        </w:tc>
        <w:tc>
          <w:tcPr>
            <w:tcW w:w="12831"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000000"/>
                <w:sz w:val="24"/>
              </w:rPr>
            </w:pPr>
            <w:r>
              <w:rPr>
                <w:rFonts w:hint="eastAsia" w:ascii="宋体" w:hAnsi="宋体"/>
                <w:b/>
                <w:color w:val="000000"/>
                <w:sz w:val="24"/>
              </w:rPr>
              <w:t>人民币（大写）：</w:t>
            </w:r>
          </w:p>
          <w:p>
            <w:pPr>
              <w:rPr>
                <w:rFonts w:ascii="宋体" w:hAnsi="宋体"/>
                <w:b/>
                <w:color w:val="000000"/>
                <w:sz w:val="24"/>
              </w:rPr>
            </w:pPr>
            <w:r>
              <w:rPr>
                <w:rFonts w:hint="eastAsia" w:ascii="宋体" w:hAnsi="宋体"/>
                <w:b/>
                <w:color w:val="000000"/>
                <w:sz w:val="24"/>
              </w:rPr>
              <w:t>人民币（小写）：</w:t>
            </w:r>
          </w:p>
        </w:tc>
      </w:tr>
    </w:tbl>
    <w:p>
      <w:pPr>
        <w:jc w:val="left"/>
        <w:rPr>
          <w:rFonts w:hint="eastAsia" w:ascii="宋体" w:hAnsi="宋体"/>
          <w:b/>
          <w:color w:val="000000"/>
          <w:sz w:val="24"/>
        </w:rPr>
      </w:pPr>
      <w:r>
        <w:rPr>
          <w:rFonts w:hint="eastAsia" w:ascii="宋体" w:hAnsi="宋体"/>
          <w:b/>
          <w:color w:val="000000"/>
          <w:sz w:val="24"/>
        </w:rPr>
        <w:t>注：此表作为唱标的依据。</w:t>
      </w:r>
    </w:p>
    <w:p>
      <w:pPr>
        <w:spacing w:before="100" w:beforeAutospacing="1" w:after="100" w:afterAutospacing="1" w:line="300" w:lineRule="exact"/>
        <w:ind w:firstLine="3373" w:firstLineChars="1200"/>
        <w:rPr>
          <w:rFonts w:hint="eastAsia" w:ascii="宋体" w:hAnsi="宋体"/>
          <w:b/>
          <w:color w:val="000000"/>
          <w:sz w:val="28"/>
          <w:szCs w:val="28"/>
          <w:u w:val="single"/>
        </w:rPr>
      </w:pPr>
      <w:r>
        <w:rPr>
          <w:rFonts w:hint="eastAsia" w:ascii="宋体" w:hAnsi="宋体"/>
          <w:b/>
          <w:color w:val="000000"/>
          <w:sz w:val="28"/>
          <w:szCs w:val="28"/>
        </w:rPr>
        <w:t xml:space="preserve">                                   法定代表人：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8854" w:firstLineChars="315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8264" w:firstLineChars="294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40" w:lineRule="exact"/>
        <w:rPr>
          <w:rFonts w:hint="eastAsia" w:ascii="宋体" w:hAnsi="宋体"/>
          <w:b/>
          <w:color w:val="000000"/>
          <w:sz w:val="28"/>
          <w:szCs w:val="28"/>
        </w:rPr>
      </w:pPr>
      <w:r>
        <w:rPr>
          <w:rFonts w:hint="eastAsia" w:ascii="宋体" w:hAnsi="宋体"/>
          <w:b/>
          <w:sz w:val="28"/>
          <w:szCs w:val="28"/>
        </w:rPr>
        <w:t xml:space="preserve">                                                           签署日期：      年     月     日</w:t>
      </w:r>
    </w:p>
    <w:p>
      <w:pPr>
        <w:pStyle w:val="9"/>
        <w:rPr>
          <w:rFonts w:ascii="宋体" w:hAnsi="宋体" w:eastAsia="宋体" w:cs="宋体"/>
          <w:b/>
          <w:bCs/>
          <w:sz w:val="32"/>
          <w:szCs w:val="32"/>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1</w:t>
      </w:r>
      <w:r>
        <w:rPr>
          <w:rFonts w:hint="eastAsia" w:ascii="宋体" w:hAnsi="宋体" w:cs="宋体"/>
          <w:b/>
          <w:bCs/>
          <w:sz w:val="36"/>
          <w:szCs w:val="36"/>
        </w:rPr>
        <w:t>.投标货物（设备）技术、性能、质量具体明细及偏离表</w:t>
      </w:r>
    </w:p>
    <w:tbl>
      <w:tblPr>
        <w:tblStyle w:val="18"/>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3"/>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3</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9"/>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b/>
          <w:color w:val="000000"/>
          <w:sz w:val="32"/>
          <w:szCs w:val="32"/>
          <w:lang w:val="en-US" w:eastAsia="zh-CN"/>
        </w:rPr>
        <w:t>14、</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8"/>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8"/>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15.</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.投标人认为需补充的其它资料或说明</w:t>
      </w:r>
    </w:p>
    <w:p>
      <w:pPr>
        <w:pStyle w:val="9"/>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3"/>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9"/>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17</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19</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3"/>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27</w:t>
    </w:r>
    <w:r>
      <w:fldChar w:fldCharType="end"/>
    </w:r>
  </w:p>
  <w:p>
    <w:pPr>
      <w:pStyle w:val="14"/>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w:t>
    </w:r>
    <w:r>
      <w:rPr>
        <w:rFonts w:hint="eastAsia"/>
        <w:lang w:val="en-US" w:eastAsia="zh-CN"/>
      </w:rPr>
      <w:t>G</w:t>
    </w:r>
    <w:r>
      <w:rPr>
        <w:rFonts w:hint="eastAsia"/>
      </w:rPr>
      <w:t>202</w:t>
    </w:r>
    <w:r>
      <w:rPr>
        <w:rFonts w:hint="eastAsia"/>
        <w:lang w:val="en-US" w:eastAsia="zh-CN"/>
      </w:rPr>
      <w:t>2</w:t>
    </w:r>
    <w:r>
      <w:rPr>
        <w:rFonts w:hint="eastAsia"/>
      </w:rPr>
      <w:t>】0</w:t>
    </w:r>
    <w:r>
      <w:rPr>
        <w:rFonts w:hint="eastAsia"/>
        <w:lang w:val="en-US" w:eastAsia="zh-CN"/>
      </w:rPr>
      <w:t>03</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63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8C3E72E"/>
    <w:multiLevelType w:val="singleLevel"/>
    <w:tmpl w:val="B8C3E72E"/>
    <w:lvl w:ilvl="0" w:tentative="0">
      <w:start w:val="1"/>
      <w:numFmt w:val="decimal"/>
      <w:suff w:val="nothing"/>
      <w:lvlText w:val="%1、"/>
      <w:lvlJc w:val="left"/>
    </w:lvl>
  </w:abstractNum>
  <w:abstractNum w:abstractNumId="2">
    <w:nsid w:val="E3FF88BD"/>
    <w:multiLevelType w:val="singleLevel"/>
    <w:tmpl w:val="E3FF88BD"/>
    <w:lvl w:ilvl="0" w:tentative="0">
      <w:start w:val="1"/>
      <w:numFmt w:val="decimal"/>
      <w:suff w:val="nothing"/>
      <w:lvlText w:val="（%1）"/>
      <w:lvlJc w:val="left"/>
    </w:lvl>
  </w:abstractNum>
  <w:abstractNum w:abstractNumId="3">
    <w:nsid w:val="E85CDC40"/>
    <w:multiLevelType w:val="singleLevel"/>
    <w:tmpl w:val="E85CDC40"/>
    <w:lvl w:ilvl="0" w:tentative="0">
      <w:start w:val="1"/>
      <w:numFmt w:val="decimal"/>
      <w:suff w:val="nothing"/>
      <w:lvlText w:val="%1）"/>
      <w:lvlJc w:val="left"/>
    </w:lvl>
  </w:abstractNum>
  <w:abstractNum w:abstractNumId="4">
    <w:nsid w:val="046E2D7F"/>
    <w:multiLevelType w:val="multilevel"/>
    <w:tmpl w:val="046E2D7F"/>
    <w:lvl w:ilvl="0" w:tentative="0">
      <w:start w:val="3"/>
      <w:numFmt w:val="decimal"/>
      <w:pStyle w:val="29"/>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187B31F1"/>
    <w:multiLevelType w:val="singleLevel"/>
    <w:tmpl w:val="187B31F1"/>
    <w:lvl w:ilvl="0" w:tentative="0">
      <w:start w:val="3"/>
      <w:numFmt w:val="decimal"/>
      <w:lvlText w:val="%1."/>
      <w:lvlJc w:val="left"/>
      <w:pPr>
        <w:tabs>
          <w:tab w:val="left" w:pos="312"/>
        </w:tabs>
      </w:pPr>
    </w:lvl>
  </w:abstractNum>
  <w:abstractNum w:abstractNumId="6">
    <w:nsid w:val="38A53256"/>
    <w:multiLevelType w:val="singleLevel"/>
    <w:tmpl w:val="38A53256"/>
    <w:lvl w:ilvl="0" w:tentative="0">
      <w:start w:val="1"/>
      <w:numFmt w:val="decimal"/>
      <w:pStyle w:val="13"/>
      <w:lvlText w:val="%1."/>
      <w:lvlJc w:val="left"/>
      <w:pPr>
        <w:tabs>
          <w:tab w:val="left" w:pos="2040"/>
        </w:tabs>
        <w:ind w:left="2040" w:hanging="360"/>
      </w:p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0CAD"/>
    <w:rsid w:val="01AA6C56"/>
    <w:rsid w:val="01C71C6B"/>
    <w:rsid w:val="023F7C12"/>
    <w:rsid w:val="027E5F1A"/>
    <w:rsid w:val="02F22CEF"/>
    <w:rsid w:val="030E08E7"/>
    <w:rsid w:val="033411FE"/>
    <w:rsid w:val="048B078A"/>
    <w:rsid w:val="04F27C53"/>
    <w:rsid w:val="05DB7A07"/>
    <w:rsid w:val="063225CA"/>
    <w:rsid w:val="07030014"/>
    <w:rsid w:val="07D95AB5"/>
    <w:rsid w:val="084D2484"/>
    <w:rsid w:val="08DF3541"/>
    <w:rsid w:val="0A5F70CB"/>
    <w:rsid w:val="0A6327F5"/>
    <w:rsid w:val="0AF208EC"/>
    <w:rsid w:val="0C3C1479"/>
    <w:rsid w:val="0CC137AB"/>
    <w:rsid w:val="0D2C394F"/>
    <w:rsid w:val="0D494F22"/>
    <w:rsid w:val="0E8B5266"/>
    <w:rsid w:val="0F242661"/>
    <w:rsid w:val="107E7123"/>
    <w:rsid w:val="11312C2C"/>
    <w:rsid w:val="120523A4"/>
    <w:rsid w:val="127F3F39"/>
    <w:rsid w:val="12BA7E55"/>
    <w:rsid w:val="13392CDE"/>
    <w:rsid w:val="133E5213"/>
    <w:rsid w:val="13527788"/>
    <w:rsid w:val="139E6157"/>
    <w:rsid w:val="15C930C6"/>
    <w:rsid w:val="162B32A4"/>
    <w:rsid w:val="1675290D"/>
    <w:rsid w:val="16C137D8"/>
    <w:rsid w:val="171E3536"/>
    <w:rsid w:val="17922B87"/>
    <w:rsid w:val="18071400"/>
    <w:rsid w:val="186C0F22"/>
    <w:rsid w:val="192D138E"/>
    <w:rsid w:val="19DD1B9D"/>
    <w:rsid w:val="1AAA52A7"/>
    <w:rsid w:val="1B3C13E5"/>
    <w:rsid w:val="1C161FEB"/>
    <w:rsid w:val="1ED277EE"/>
    <w:rsid w:val="205541A8"/>
    <w:rsid w:val="206048B6"/>
    <w:rsid w:val="20C0016B"/>
    <w:rsid w:val="20F913C2"/>
    <w:rsid w:val="21674DF8"/>
    <w:rsid w:val="21C9073D"/>
    <w:rsid w:val="21CB7682"/>
    <w:rsid w:val="22DB5A40"/>
    <w:rsid w:val="24E14931"/>
    <w:rsid w:val="25BD17A0"/>
    <w:rsid w:val="26480952"/>
    <w:rsid w:val="2678082F"/>
    <w:rsid w:val="28A549D2"/>
    <w:rsid w:val="2A405757"/>
    <w:rsid w:val="2BA82118"/>
    <w:rsid w:val="2C0B6B25"/>
    <w:rsid w:val="2C866201"/>
    <w:rsid w:val="2DB0511E"/>
    <w:rsid w:val="2E5141D7"/>
    <w:rsid w:val="2F2C6328"/>
    <w:rsid w:val="2F362295"/>
    <w:rsid w:val="2F3B6E8A"/>
    <w:rsid w:val="2F9D4FFD"/>
    <w:rsid w:val="30190E05"/>
    <w:rsid w:val="30BE1904"/>
    <w:rsid w:val="30F47669"/>
    <w:rsid w:val="30FA2688"/>
    <w:rsid w:val="316E38E7"/>
    <w:rsid w:val="33B270AF"/>
    <w:rsid w:val="340660F2"/>
    <w:rsid w:val="342548D9"/>
    <w:rsid w:val="34C64A45"/>
    <w:rsid w:val="358C3F4F"/>
    <w:rsid w:val="35974E71"/>
    <w:rsid w:val="363103AE"/>
    <w:rsid w:val="36624E4B"/>
    <w:rsid w:val="366322F8"/>
    <w:rsid w:val="372C40F2"/>
    <w:rsid w:val="37712FF0"/>
    <w:rsid w:val="37E826E8"/>
    <w:rsid w:val="382E466E"/>
    <w:rsid w:val="39C90718"/>
    <w:rsid w:val="3A6C0865"/>
    <w:rsid w:val="3A775C3A"/>
    <w:rsid w:val="3B285A2A"/>
    <w:rsid w:val="3CDB653A"/>
    <w:rsid w:val="3D971909"/>
    <w:rsid w:val="3E190768"/>
    <w:rsid w:val="3E235AE7"/>
    <w:rsid w:val="3E287B83"/>
    <w:rsid w:val="3EEE6C70"/>
    <w:rsid w:val="3F1049B4"/>
    <w:rsid w:val="4145724D"/>
    <w:rsid w:val="42717857"/>
    <w:rsid w:val="432666A1"/>
    <w:rsid w:val="43F1091C"/>
    <w:rsid w:val="45CD7080"/>
    <w:rsid w:val="45E04241"/>
    <w:rsid w:val="45E10AE9"/>
    <w:rsid w:val="46862FCD"/>
    <w:rsid w:val="46B72EEE"/>
    <w:rsid w:val="49FA05B5"/>
    <w:rsid w:val="4AC704F6"/>
    <w:rsid w:val="4B0A3C30"/>
    <w:rsid w:val="4D5012CE"/>
    <w:rsid w:val="4ED44DFA"/>
    <w:rsid w:val="4F034A91"/>
    <w:rsid w:val="4F595B01"/>
    <w:rsid w:val="50142756"/>
    <w:rsid w:val="503B351C"/>
    <w:rsid w:val="50896EEA"/>
    <w:rsid w:val="50AD7F10"/>
    <w:rsid w:val="51163C9A"/>
    <w:rsid w:val="51C45F13"/>
    <w:rsid w:val="5288647A"/>
    <w:rsid w:val="530D1295"/>
    <w:rsid w:val="552511BC"/>
    <w:rsid w:val="55A70331"/>
    <w:rsid w:val="55B57AD8"/>
    <w:rsid w:val="56B44925"/>
    <w:rsid w:val="571977E2"/>
    <w:rsid w:val="58BA4936"/>
    <w:rsid w:val="58BC252D"/>
    <w:rsid w:val="58C75E9A"/>
    <w:rsid w:val="59145DE6"/>
    <w:rsid w:val="591D02D4"/>
    <w:rsid w:val="5AB5130D"/>
    <w:rsid w:val="5B013074"/>
    <w:rsid w:val="5B5462FF"/>
    <w:rsid w:val="5BBA7524"/>
    <w:rsid w:val="5BE25F2F"/>
    <w:rsid w:val="5BF54703"/>
    <w:rsid w:val="5C443467"/>
    <w:rsid w:val="5D4C55FA"/>
    <w:rsid w:val="5D847EDE"/>
    <w:rsid w:val="5E221864"/>
    <w:rsid w:val="5E31085B"/>
    <w:rsid w:val="5EBB2038"/>
    <w:rsid w:val="5F20334F"/>
    <w:rsid w:val="5FE0185D"/>
    <w:rsid w:val="60B77A09"/>
    <w:rsid w:val="614E59B6"/>
    <w:rsid w:val="61CB4BD6"/>
    <w:rsid w:val="62F26C79"/>
    <w:rsid w:val="63C61E1E"/>
    <w:rsid w:val="653E4B8E"/>
    <w:rsid w:val="65A757D9"/>
    <w:rsid w:val="66592377"/>
    <w:rsid w:val="666128B5"/>
    <w:rsid w:val="668B7FB0"/>
    <w:rsid w:val="68446976"/>
    <w:rsid w:val="68890EEF"/>
    <w:rsid w:val="6AC67A49"/>
    <w:rsid w:val="6AEF194C"/>
    <w:rsid w:val="6B812244"/>
    <w:rsid w:val="6B9902E8"/>
    <w:rsid w:val="6C1135DE"/>
    <w:rsid w:val="6C1E5094"/>
    <w:rsid w:val="6C736BCF"/>
    <w:rsid w:val="6D017B17"/>
    <w:rsid w:val="6D512696"/>
    <w:rsid w:val="6D8C3633"/>
    <w:rsid w:val="6DFB5B23"/>
    <w:rsid w:val="6E2C6360"/>
    <w:rsid w:val="6E5356F6"/>
    <w:rsid w:val="6FEE6770"/>
    <w:rsid w:val="703504EA"/>
    <w:rsid w:val="70784F26"/>
    <w:rsid w:val="71A63BF5"/>
    <w:rsid w:val="72753BC9"/>
    <w:rsid w:val="729B6582"/>
    <w:rsid w:val="733D6AE7"/>
    <w:rsid w:val="742D3280"/>
    <w:rsid w:val="75063944"/>
    <w:rsid w:val="75CD283E"/>
    <w:rsid w:val="75DE571A"/>
    <w:rsid w:val="77E85975"/>
    <w:rsid w:val="77EF3781"/>
    <w:rsid w:val="78086720"/>
    <w:rsid w:val="79D1793C"/>
    <w:rsid w:val="7A1732A5"/>
    <w:rsid w:val="7A476811"/>
    <w:rsid w:val="7A5362C6"/>
    <w:rsid w:val="7A735E1D"/>
    <w:rsid w:val="7AC80525"/>
    <w:rsid w:val="7B6007C3"/>
    <w:rsid w:val="7C381A44"/>
    <w:rsid w:val="7D000136"/>
    <w:rsid w:val="7D5A3BF4"/>
    <w:rsid w:val="7DA35A7C"/>
    <w:rsid w:val="7E4C3AD3"/>
    <w:rsid w:val="7E8853E4"/>
    <w:rsid w:val="7F3D59E2"/>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5">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6">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7">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8">
    <w:name w:val="Normal Indent"/>
    <w:basedOn w:val="1"/>
    <w:next w:val="1"/>
    <w:qFormat/>
    <w:uiPriority w:val="0"/>
    <w:pPr>
      <w:ind w:firstLine="420" w:firstLineChars="200"/>
    </w:pPr>
  </w:style>
  <w:style w:type="paragraph" w:styleId="9">
    <w:name w:val="toa heading"/>
    <w:basedOn w:val="1"/>
    <w:next w:val="1"/>
    <w:unhideWhenUsed/>
    <w:qFormat/>
    <w:uiPriority w:val="99"/>
    <w:pPr>
      <w:spacing w:before="120"/>
    </w:pPr>
    <w:rPr>
      <w:rFonts w:ascii="Cambria" w:hAnsi="Cambria" w:eastAsia="微软雅黑"/>
      <w:sz w:val="24"/>
      <w:szCs w:val="24"/>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Plain Text"/>
    <w:basedOn w:val="1"/>
    <w:next w:val="13"/>
    <w:qFormat/>
    <w:uiPriority w:val="0"/>
    <w:rPr>
      <w:rFonts w:ascii="宋体" w:hAnsi="Courier New"/>
    </w:rPr>
  </w:style>
  <w:style w:type="paragraph" w:styleId="13">
    <w:name w:val="List Number 5"/>
    <w:basedOn w:val="1"/>
    <w:uiPriority w:val="0"/>
    <w:pPr>
      <w:numPr>
        <w:ilvl w:val="0"/>
        <w:numId w:val="2"/>
      </w:numPr>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10"/>
    <w:next w:val="12"/>
    <w:qFormat/>
    <w:uiPriority w:val="0"/>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Strong"/>
    <w:basedOn w:val="20"/>
    <w:qFormat/>
    <w:uiPriority w:val="0"/>
    <w:rPr>
      <w:b/>
      <w:bCs/>
    </w:rPr>
  </w:style>
  <w:style w:type="character" w:styleId="22">
    <w:name w:val="page number"/>
    <w:basedOn w:val="20"/>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BodyText"/>
    <w:basedOn w:val="1"/>
    <w:next w:val="25"/>
    <w:qFormat/>
    <w:uiPriority w:val="0"/>
    <w:pPr>
      <w:tabs>
        <w:tab w:val="left" w:pos="780"/>
      </w:tabs>
    </w:pPr>
    <w:rPr>
      <w:rFonts w:ascii="黑体" w:eastAsia="黑体"/>
      <w:sz w:val="22"/>
    </w:rPr>
  </w:style>
  <w:style w:type="paragraph" w:customStyle="1" w:styleId="2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26">
    <w:name w:val="正文空2格  1."/>
    <w:basedOn w:val="1"/>
    <w:qFormat/>
    <w:uiPriority w:val="0"/>
    <w:pPr>
      <w:ind w:firstLine="480" w:firstLineChars="200"/>
    </w:pPr>
    <w:rPr>
      <w:rFonts w:cs="宋体"/>
      <w:szCs w:val="20"/>
    </w:rPr>
  </w:style>
  <w:style w:type="paragraph" w:customStyle="1" w:styleId="2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30">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31">
    <w:name w:val="WPS Plain"/>
    <w:qFormat/>
    <w:uiPriority w:val="0"/>
    <w:rPr>
      <w:rFonts w:ascii="Times New Roman" w:hAnsi="Times New Roman" w:eastAsia="宋体" w:cs="Times New Roman"/>
      <w:sz w:val="21"/>
      <w:szCs w:val="22"/>
      <w:lang w:val="en-US" w:eastAsia="zh-CN" w:bidi="ar-SA"/>
    </w:rPr>
  </w:style>
  <w:style w:type="paragraph" w:customStyle="1" w:styleId="32">
    <w:name w:val="Table Paragraph"/>
    <w:basedOn w:val="1"/>
    <w:qFormat/>
    <w:uiPriority w:val="0"/>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L4</cp:lastModifiedBy>
  <cp:lastPrinted>2022-03-22T05:24:00Z</cp:lastPrinted>
  <dcterms:modified xsi:type="dcterms:W3CDTF">2023-01-29T08:13:58Z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