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克州乌恰县2022年保障性住房安居工程城市燃气设施更新改造采购项目（</w:t>
      </w:r>
      <w:r>
        <w:rPr>
          <w:rFonts w:hint="eastAsia" w:ascii="仿宋" w:hAnsi="仿宋" w:eastAsia="仿宋" w:cs="仿宋"/>
          <w:b/>
          <w:bCs/>
          <w:color w:val="auto"/>
          <w:sz w:val="44"/>
          <w:szCs w:val="44"/>
          <w:lang w:val="en-US" w:eastAsia="zh-CN"/>
        </w:rPr>
        <w:t>2</w:t>
      </w:r>
      <w:r>
        <w:rPr>
          <w:rFonts w:hint="eastAsia" w:ascii="仿宋" w:hAnsi="仿宋" w:eastAsia="仿宋" w:cs="仿宋"/>
          <w:b/>
          <w:bCs/>
          <w:color w:val="auto"/>
          <w:sz w:val="44"/>
          <w:szCs w:val="44"/>
          <w:lang w:eastAsia="zh-CN"/>
        </w:rPr>
        <w:t>包）</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36"/>
          <w:szCs w:val="36"/>
          <w:lang w:val="en-US"/>
        </w:rPr>
      </w:pPr>
      <w:r>
        <w:rPr>
          <w:rFonts w:hint="eastAsia" w:ascii="仿宋" w:hAnsi="仿宋" w:eastAsia="仿宋" w:cs="仿宋"/>
          <w:b/>
          <w:bCs/>
          <w:color w:val="auto"/>
          <w:sz w:val="36"/>
          <w:szCs w:val="36"/>
          <w:lang w:eastAsia="zh-CN"/>
        </w:rPr>
        <w:t>项目编号：WQXZFCG（ZB）</w:t>
      </w:r>
      <w:r>
        <w:rPr>
          <w:rFonts w:hint="eastAsia" w:ascii="仿宋" w:hAnsi="仿宋" w:eastAsia="仿宋" w:cs="仿宋"/>
          <w:b/>
          <w:bCs/>
          <w:color w:val="auto"/>
          <w:sz w:val="36"/>
          <w:szCs w:val="36"/>
          <w:lang w:val="en-US" w:eastAsia="zh-CN"/>
        </w:rPr>
        <w:t>-2022-057-2</w:t>
      </w:r>
    </w:p>
    <w:p>
      <w:pPr>
        <w:pStyle w:val="10"/>
        <w:rPr>
          <w:rFonts w:hint="eastAsia" w:ascii="仿宋" w:hAnsi="仿宋" w:eastAsia="仿宋" w:cs="仿宋"/>
          <w:color w:val="auto"/>
        </w:rPr>
      </w:pPr>
    </w:p>
    <w:p>
      <w:pPr>
        <w:pStyle w:val="10"/>
        <w:rPr>
          <w:rFonts w:hint="eastAsia" w:ascii="仿宋" w:hAnsi="仿宋" w:eastAsia="仿宋" w:cs="仿宋"/>
          <w:color w:val="auto"/>
        </w:rPr>
      </w:pPr>
    </w:p>
    <w:p>
      <w:pPr>
        <w:pStyle w:val="10"/>
        <w:jc w:val="center"/>
        <w:rPr>
          <w:rFonts w:hint="eastAsia" w:ascii="仿宋" w:hAnsi="仿宋" w:eastAsia="仿宋" w:cs="仿宋"/>
          <w:color w:val="auto"/>
          <w:lang w:eastAsia="zh-CN"/>
        </w:rPr>
      </w:pPr>
      <w:r>
        <w:rPr>
          <w:rFonts w:hint="eastAsia" w:ascii="仿宋" w:hAnsi="仿宋" w:eastAsia="仿宋" w:cs="仿宋"/>
          <w:color w:val="auto"/>
          <w:lang w:eastAsia="zh-CN"/>
        </w:rPr>
        <w:drawing>
          <wp:inline distT="0" distB="0" distL="114300" distR="114300">
            <wp:extent cx="2105025" cy="2990850"/>
            <wp:effectExtent l="0" t="0" r="9525" b="0"/>
            <wp:docPr id="276" name="图片 276" descr="166444565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1664445654615"/>
                    <pic:cNvPicPr>
                      <a:picLocks noChangeAspect="1"/>
                    </pic:cNvPicPr>
                  </pic:nvPicPr>
                  <pic:blipFill>
                    <a:blip r:embed="rId15"/>
                    <a:stretch>
                      <a:fillRect/>
                    </a:stretch>
                  </pic:blipFill>
                  <pic:spPr>
                    <a:xfrm>
                      <a:off x="0" y="0"/>
                      <a:ext cx="2105025" cy="2990850"/>
                    </a:xfrm>
                    <a:prstGeom prst="rect">
                      <a:avLst/>
                    </a:prstGeom>
                  </pic:spPr>
                </pic:pic>
              </a:graphicData>
            </a:graphic>
          </wp:inline>
        </w:drawing>
      </w:r>
    </w:p>
    <w:p>
      <w:pPr>
        <w:pStyle w:val="10"/>
        <w:jc w:val="center"/>
        <w:rPr>
          <w:rFonts w:hint="default" w:ascii="仿宋" w:hAnsi="仿宋" w:eastAsia="仿宋" w:cs="仿宋"/>
          <w:b/>
          <w:bCs/>
          <w:color w:val="auto"/>
          <w:sz w:val="96"/>
          <w:szCs w:val="96"/>
          <w:lang w:val="en-US" w:eastAsia="zh-CN"/>
        </w:rPr>
      </w:pPr>
      <w:r>
        <w:rPr>
          <w:rFonts w:hint="eastAsia" w:ascii="仿宋" w:hAnsi="仿宋" w:eastAsia="仿宋" w:cs="仿宋"/>
          <w:b/>
          <w:bCs/>
          <w:color w:val="auto"/>
          <w:sz w:val="96"/>
          <w:szCs w:val="96"/>
          <w:lang w:val="en-US" w:eastAsia="zh-CN"/>
        </w:rPr>
        <w:t>招标文件</w:t>
      </w:r>
    </w:p>
    <w:p>
      <w:pPr>
        <w:pStyle w:val="10"/>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乌恰县住房和城乡建设局</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人：白女士</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联系电话：13779610956</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新疆宏力源工程项目管理有限公司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val="en-US" w:eastAsia="zh-CN"/>
        </w:rPr>
        <w:t>夏</w:t>
      </w:r>
      <w:r>
        <w:rPr>
          <w:rFonts w:hint="eastAsia" w:ascii="仿宋" w:hAnsi="仿宋" w:eastAsia="仿宋" w:cs="仿宋"/>
          <w:color w:val="auto"/>
          <w:sz w:val="32"/>
          <w:szCs w:val="32"/>
          <w:lang w:eastAsia="zh-CN"/>
        </w:rPr>
        <w:t>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 17881605898</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乌恰县住房和城乡建设局</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shd w:val="clear" w:color="auto" w:fill="auto"/>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项目名称：克州乌恰县2022年保障性住房安居工程城市燃气设施更新改造采购项目（</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新疆宏力源工程项目管理有限公司（盖章）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1</w:t>
            </w:r>
            <w:r>
              <w:rPr>
                <w:rFonts w:hint="eastAsia" w:ascii="仿宋" w:hAnsi="仿宋" w:eastAsia="仿宋" w:cs="仿宋"/>
                <w:color w:val="auto"/>
              </w:rPr>
              <w:t>月</w:t>
            </w:r>
          </w:p>
          <w:p>
            <w:pPr>
              <w:pStyle w:val="5"/>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27"/>
        <w:spacing w:before="0" w:line="36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widowControl/>
        <w:rPr>
          <w:rFonts w:ascii="仿宋" w:hAnsi="仿宋" w:eastAsia="仿宋" w:cs="仿宋"/>
          <w:color w:val="000000" w:themeColor="text1"/>
          <w:sz w:val="30"/>
          <w:szCs w:val="30"/>
          <w14:textFill>
            <w14:solidFill>
              <w14:schemeClr w14:val="tx1"/>
            </w14:solidFill>
          </w14:textFill>
        </w:rPr>
      </w:pPr>
    </w:p>
    <w:p>
      <w:pPr>
        <w:numPr>
          <w:ilvl w:val="0"/>
          <w:numId w:val="0"/>
        </w:numPr>
        <w:spacing w:line="600" w:lineRule="auto"/>
        <w:ind w:leftChars="0" w:right="0" w:rightChars="0" w:firstLine="600" w:firstLineChars="200"/>
        <w:jc w:val="both"/>
        <w:rPr>
          <w:rFonts w:hint="default"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第一章    招标公告</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4</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第二章  </w:t>
      </w:r>
      <w:r>
        <w:rPr>
          <w:rFonts w:hint="eastAsia" w:ascii="仿宋" w:hAnsi="仿宋" w:eastAsia="仿宋" w:cs="仿宋"/>
          <w:b/>
          <w:color w:val="000000" w:themeColor="text1"/>
          <w:sz w:val="30"/>
          <w:szCs w:val="30"/>
          <w:lang w:val="en-US" w:eastAsia="zh-CN"/>
          <w14:textFill>
            <w14:solidFill>
              <w14:schemeClr w14:val="tx1"/>
            </w14:solidFill>
          </w14:textFill>
        </w:rPr>
        <w:t xml:space="preserve">  </w:t>
      </w:r>
      <w:r>
        <w:rPr>
          <w:rFonts w:hint="eastAsia" w:ascii="仿宋" w:hAnsi="仿宋" w:eastAsia="仿宋" w:cs="仿宋"/>
          <w:b/>
          <w:color w:val="000000" w:themeColor="text1"/>
          <w:sz w:val="30"/>
          <w:szCs w:val="30"/>
          <w:lang w:eastAsia="zh-CN"/>
          <w14:textFill>
            <w14:solidFill>
              <w14:schemeClr w14:val="tx1"/>
            </w14:solidFill>
          </w14:textFill>
        </w:rPr>
        <w:t>供应商须知</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7</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第三章    评标办法</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40</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第四章</w:t>
      </w:r>
      <w:r>
        <w:rPr>
          <w:rFonts w:hint="eastAsia" w:ascii="仿宋" w:hAnsi="仿宋" w:eastAsia="仿宋" w:cs="仿宋"/>
          <w:b/>
          <w:color w:val="000000" w:themeColor="text1"/>
          <w:sz w:val="30"/>
          <w:szCs w:val="30"/>
          <w:lang w:val="en-US" w:eastAsia="zh-CN"/>
          <w14:textFill>
            <w14:solidFill>
              <w14:schemeClr w14:val="tx1"/>
            </w14:solidFill>
          </w14:textFill>
        </w:rPr>
        <w:t xml:space="preserve">    项目采购清单（</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r>
        <w:rPr>
          <w:rFonts w:hint="eastAsia" w:ascii="仿宋" w:hAnsi="仿宋" w:eastAsia="仿宋" w:cs="仿宋"/>
          <w:b/>
          <w:color w:val="000000" w:themeColor="text1"/>
          <w:sz w:val="30"/>
          <w:szCs w:val="30"/>
          <w:lang w:val="en-US" w:eastAsia="zh-CN"/>
          <w14:textFill>
            <w14:solidFill>
              <w14:schemeClr w14:val="tx1"/>
            </w14:solidFill>
          </w14:textFill>
        </w:rPr>
        <w:t>）</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4</w:t>
      </w:r>
      <w:r>
        <w:rPr>
          <w:rFonts w:hint="eastAsia" w:ascii="仿宋" w:hAnsi="仿宋" w:eastAsia="仿宋" w:cs="仿宋"/>
          <w:b/>
          <w:color w:val="000000" w:themeColor="text1"/>
          <w:sz w:val="30"/>
          <w:szCs w:val="30"/>
          <w:lang w:val="en-US" w:eastAsia="zh-CN"/>
          <w14:textFill>
            <w14:solidFill>
              <w14:schemeClr w14:val="tx1"/>
            </w14:solidFill>
          </w14:textFill>
        </w:rPr>
        <w:t>8</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第五章    合同（参考）</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62</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第六章    投标文件格式</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65</w:t>
      </w:r>
    </w:p>
    <w:p>
      <w:pPr>
        <w:pStyle w:val="8"/>
        <w:numPr>
          <w:ilvl w:val="0"/>
          <w:numId w:val="0"/>
        </w:numPr>
        <w:spacing w:line="480" w:lineRule="auto"/>
        <w:rPr>
          <w:rFonts w:ascii="仿宋" w:hAnsi="仿宋" w:eastAsia="仿宋" w:cs="仿宋"/>
          <w:color w:val="000000" w:themeColor="text1"/>
          <w:lang w:eastAsia="zh-CN"/>
          <w14:textFill>
            <w14:solidFill>
              <w14:schemeClr w14:val="tx1"/>
            </w14:solidFill>
          </w14:textFill>
        </w:rPr>
      </w:pPr>
    </w:p>
    <w:p>
      <w:pPr>
        <w:spacing w:line="480" w:lineRule="auto"/>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30"/>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7" w:type="default"/>
          <w:pgSz w:w="11906" w:h="16838"/>
          <w:pgMar w:top="1440" w:right="1080" w:bottom="1440" w:left="1080" w:header="851" w:footer="992" w:gutter="0"/>
          <w:pgNumType w:fmt="decimal"/>
          <w:cols w:space="720" w:num="1"/>
          <w:docGrid w:type="linesAndChars" w:linePitch="312" w:charSpace="0"/>
        </w:sectPr>
      </w:pPr>
    </w:p>
    <w:p>
      <w:pPr>
        <w:pStyle w:val="30"/>
        <w:keepNext/>
        <w:keepLines/>
        <w:pageBreakBefore w:val="0"/>
        <w:widowControl w:val="0"/>
        <w:shd w:val="clear" w:color="auto" w:fill="auto"/>
        <w:kinsoku/>
        <w:wordWrap/>
        <w:overflowPunct/>
        <w:topLinePunct w:val="0"/>
        <w:autoSpaceDE/>
        <w:autoSpaceDN/>
        <w:bidi w:val="0"/>
        <w:adjustRightInd/>
        <w:snapToGrid/>
        <w:spacing w:before="120" w:after="300" w:line="440" w:lineRule="exact"/>
        <w:ind w:left="0" w:right="0" w:firstLine="0"/>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pacing w:val="0"/>
          <w:w w:val="100"/>
          <w:position w:val="0"/>
          <w:sz w:val="44"/>
          <w:szCs w:val="44"/>
        </w:rPr>
        <w:t>第一</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lang w:eastAsia="zh-CN"/>
        </w:rPr>
        <w:t>招标公告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w w:val="90"/>
          <w:sz w:val="36"/>
          <w:szCs w:val="36"/>
          <w:lang w:eastAsia="zh-CN"/>
        </w:rPr>
        <w:t>克州乌恰县2022年保障性住房安居工程城市燃气设施更新改造采购项目（</w:t>
      </w:r>
      <w:r>
        <w:rPr>
          <w:rFonts w:hint="eastAsia" w:ascii="仿宋" w:hAnsi="仿宋" w:eastAsia="仿宋" w:cs="仿宋"/>
          <w:b/>
          <w:bCs/>
          <w:color w:val="auto"/>
          <w:w w:val="90"/>
          <w:sz w:val="36"/>
          <w:szCs w:val="36"/>
          <w:lang w:val="en-US" w:eastAsia="zh-CN"/>
        </w:rPr>
        <w:t>2</w:t>
      </w:r>
      <w:r>
        <w:rPr>
          <w:rFonts w:hint="eastAsia" w:ascii="仿宋" w:hAnsi="仿宋" w:eastAsia="仿宋" w:cs="仿宋"/>
          <w:b/>
          <w:bCs/>
          <w:color w:val="auto"/>
          <w:w w:val="90"/>
          <w:sz w:val="36"/>
          <w:szCs w:val="36"/>
          <w:lang w:eastAsia="zh-CN"/>
        </w:rPr>
        <w:t>包）公开招标公告</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961" w:type="dxa"/>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项目概况</w:t>
            </w:r>
          </w:p>
          <w:p>
            <w:pPr>
              <w:spacing w:line="360" w:lineRule="auto"/>
              <w:ind w:firstLine="480" w:firstLineChars="200"/>
              <w:jc w:val="both"/>
              <w:rPr>
                <w:rFonts w:hint="eastAsia" w:ascii="仿宋" w:hAnsi="仿宋" w:eastAsia="仿宋" w:cs="仿宋"/>
                <w:color w:val="auto"/>
                <w:vertAlign w:val="baseline"/>
                <w:lang w:eastAsia="zh-CN"/>
              </w:rPr>
            </w:pPr>
            <w:r>
              <w:rPr>
                <w:rFonts w:hint="eastAsia" w:ascii="仿宋" w:hAnsi="仿宋" w:eastAsia="仿宋" w:cs="仿宋"/>
                <w:color w:val="auto"/>
                <w:lang w:eastAsia="zh-CN"/>
              </w:rPr>
              <w:t>克州乌恰县2022年保障性住房安居工程城市燃气设施更新改造采购项目（1包）的潜在投标人应在供应商登陆政采云平台http://www.zcygov.cn/，在线申请获取采购文件（登录政府采购云平台 → 项目采购 → 获取采购文件 → 申请，审核通过后可下载招标文件，如有操作性问题，可与政采云在线客服进行咨询，咨询电话：</w:t>
            </w:r>
            <w:r>
              <w:rPr>
                <w:rFonts w:hint="eastAsia" w:ascii="仿宋" w:hAnsi="仿宋" w:eastAsia="仿宋" w:cs="仿宋"/>
                <w:color w:val="auto"/>
                <w:lang w:val="en-US" w:eastAsia="zh-CN"/>
              </w:rPr>
              <w:t>95763</w:t>
            </w:r>
            <w:r>
              <w:rPr>
                <w:rFonts w:hint="eastAsia" w:ascii="仿宋" w:hAnsi="仿宋" w:eastAsia="仿宋" w:cs="仿宋"/>
                <w:color w:val="auto"/>
                <w:lang w:eastAsia="zh-CN"/>
              </w:rPr>
              <w:t>）获取招标文件，</w:t>
            </w:r>
            <w:r>
              <w:rPr>
                <w:rFonts w:hint="eastAsia" w:ascii="仿宋" w:hAnsi="仿宋" w:eastAsia="仿宋" w:cs="仿宋"/>
                <w:color w:val="0000FF"/>
                <w:lang w:eastAsia="zh-CN"/>
              </w:rPr>
              <w:t>并于 202</w:t>
            </w:r>
            <w:r>
              <w:rPr>
                <w:rFonts w:hint="eastAsia" w:ascii="仿宋" w:hAnsi="仿宋" w:eastAsia="仿宋" w:cs="仿宋"/>
                <w:color w:val="0000FF"/>
                <w:lang w:val="en-US" w:eastAsia="zh-CN"/>
              </w:rPr>
              <w:t>3</w:t>
            </w:r>
            <w:r>
              <w:rPr>
                <w:rFonts w:hint="eastAsia" w:ascii="仿宋" w:hAnsi="仿宋" w:eastAsia="仿宋" w:cs="仿宋"/>
                <w:color w:val="0000FF"/>
                <w:lang w:eastAsia="zh-CN"/>
              </w:rPr>
              <w:t>年</w:t>
            </w:r>
            <w:r>
              <w:rPr>
                <w:rFonts w:hint="eastAsia" w:ascii="仿宋" w:hAnsi="仿宋" w:eastAsia="仿宋" w:cs="仿宋"/>
                <w:color w:val="0000FF"/>
                <w:u w:val="single"/>
                <w:lang w:val="en-US" w:eastAsia="zh-CN"/>
              </w:rPr>
              <w:t>02</w:t>
            </w:r>
            <w:r>
              <w:rPr>
                <w:rFonts w:hint="eastAsia" w:ascii="仿宋" w:hAnsi="仿宋" w:eastAsia="仿宋" w:cs="仿宋"/>
                <w:color w:val="0000FF"/>
                <w:lang w:eastAsia="zh-CN"/>
              </w:rPr>
              <w:t>月</w:t>
            </w:r>
            <w:r>
              <w:rPr>
                <w:rFonts w:hint="eastAsia" w:ascii="仿宋" w:hAnsi="仿宋" w:eastAsia="仿宋" w:cs="仿宋"/>
                <w:color w:val="0000FF"/>
                <w:u w:val="single"/>
                <w:lang w:val="en-US" w:eastAsia="zh-CN"/>
              </w:rPr>
              <w:t>07</w:t>
            </w:r>
            <w:r>
              <w:rPr>
                <w:rFonts w:hint="eastAsia" w:ascii="仿宋" w:hAnsi="仿宋" w:eastAsia="仿宋" w:cs="仿宋"/>
                <w:color w:val="0000FF"/>
                <w:lang w:eastAsia="zh-CN"/>
              </w:rPr>
              <w:t>日 1</w:t>
            </w:r>
            <w:r>
              <w:rPr>
                <w:rFonts w:hint="eastAsia" w:ascii="仿宋" w:hAnsi="仿宋" w:eastAsia="仿宋" w:cs="仿宋"/>
                <w:color w:val="0000FF"/>
                <w:lang w:val="en-US" w:eastAsia="zh-CN"/>
              </w:rPr>
              <w:t>1</w:t>
            </w:r>
            <w:r>
              <w:rPr>
                <w:rFonts w:hint="eastAsia" w:ascii="仿宋" w:hAnsi="仿宋" w:eastAsia="仿宋" w:cs="仿宋"/>
                <w:color w:val="0000FF"/>
                <w:lang w:eastAsia="zh-CN"/>
              </w:rPr>
              <w:t>:</w:t>
            </w:r>
            <w:r>
              <w:rPr>
                <w:rFonts w:hint="eastAsia" w:ascii="仿宋" w:hAnsi="仿宋" w:eastAsia="仿宋" w:cs="仿宋"/>
                <w:color w:val="0000FF"/>
                <w:lang w:val="en-US" w:eastAsia="zh-CN"/>
              </w:rPr>
              <w:t>0</w:t>
            </w:r>
            <w:r>
              <w:rPr>
                <w:rFonts w:hint="eastAsia" w:ascii="仿宋" w:hAnsi="仿宋" w:eastAsia="仿宋" w:cs="仿宋"/>
                <w:color w:val="0000FF"/>
                <w:lang w:eastAsia="zh-CN"/>
              </w:rPr>
              <w:t>0（</w:t>
            </w:r>
            <w:r>
              <w:rPr>
                <w:rFonts w:hint="eastAsia" w:ascii="仿宋" w:hAnsi="仿宋" w:eastAsia="仿宋" w:cs="仿宋"/>
                <w:color w:val="auto"/>
                <w:lang w:eastAsia="zh-CN"/>
              </w:rPr>
              <w:t>北京时间）前（上传）电子投标文件。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rPr>
      </w:pPr>
      <w:r>
        <w:rPr>
          <w:rFonts w:hint="eastAsia" w:ascii="仿宋" w:hAnsi="仿宋" w:eastAsia="仿宋" w:cs="仿宋"/>
          <w:b/>
          <w:bCs/>
          <w:color w:val="auto"/>
          <w:lang w:eastAsia="zh-CN"/>
        </w:rPr>
        <w:t>一、</w:t>
      </w: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FF0000"/>
          <w:lang w:val="en-US" w:eastAsia="zh-CN"/>
        </w:rPr>
      </w:pPr>
      <w:r>
        <w:rPr>
          <w:rFonts w:hint="eastAsia" w:ascii="仿宋" w:hAnsi="仿宋" w:eastAsia="仿宋" w:cs="仿宋"/>
          <w:color w:val="auto"/>
        </w:rPr>
        <w:t>项目编号：WQXZFCG（ZB）-2022-057</w:t>
      </w:r>
      <w:r>
        <w:rPr>
          <w:rFonts w:hint="eastAsia" w:ascii="仿宋" w:hAnsi="仿宋" w:eastAsia="仿宋" w:cs="仿宋"/>
          <w:color w:val="auto"/>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eastAsia="zh-CN"/>
        </w:rPr>
        <w:t>克州乌恰县2022年保障性住房安居工程城市燃气设施更新改造采购项目（</w:t>
      </w:r>
      <w:r>
        <w:rPr>
          <w:rFonts w:hint="eastAsia" w:ascii="仿宋" w:hAnsi="仿宋" w:eastAsia="仿宋" w:cs="仿宋"/>
          <w:color w:val="auto"/>
          <w:lang w:val="en-US" w:eastAsia="zh-CN"/>
        </w:rPr>
        <w:t>2</w:t>
      </w:r>
      <w:r>
        <w:rPr>
          <w:rFonts w:hint="eastAsia" w:ascii="仿宋" w:hAnsi="仿宋" w:eastAsia="仿宋" w:cs="仿宋"/>
          <w:color w:val="auto"/>
          <w:lang w:eastAsia="zh-CN"/>
        </w:rPr>
        <w:t>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预算金额（元）</w:t>
      </w:r>
      <w:r>
        <w:rPr>
          <w:rFonts w:hint="eastAsia" w:ascii="仿宋" w:hAnsi="仿宋" w:eastAsia="仿宋" w:cs="仿宋"/>
          <w:color w:val="0000FF"/>
          <w:lang w:val="en-US" w:eastAsia="zh-CN"/>
        </w:rPr>
        <w:t>:2350000.00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最高限价（元）</w:t>
      </w:r>
      <w:r>
        <w:rPr>
          <w:rFonts w:hint="eastAsia" w:ascii="仿宋" w:hAnsi="仿宋" w:eastAsia="仿宋" w:cs="仿宋"/>
          <w:color w:val="0000FF"/>
          <w:lang w:val="en-US" w:eastAsia="zh-CN"/>
        </w:rPr>
        <w:t>:2350000</w:t>
      </w:r>
      <w:r>
        <w:rPr>
          <w:rFonts w:hint="eastAsia" w:ascii="仿宋" w:hAnsi="仿宋" w:eastAsia="仿宋" w:cs="仿宋"/>
          <w:color w:val="0000FF"/>
          <w:kern w:val="0"/>
          <w:sz w:val="24"/>
          <w:lang w:val="en-US" w:eastAsia="zh-CN"/>
        </w:rPr>
        <w:t>.00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eastAsia="zh-CN"/>
        </w:rPr>
      </w:pPr>
      <w:r>
        <w:rPr>
          <w:rFonts w:hint="eastAsia" w:ascii="仿宋" w:hAnsi="仿宋" w:eastAsia="仿宋" w:cs="仿宋"/>
          <w:color w:val="auto"/>
        </w:rPr>
        <w:t>标项名称:</w:t>
      </w:r>
      <w:r>
        <w:rPr>
          <w:rFonts w:hint="eastAsia" w:ascii="仿宋" w:hAnsi="仿宋" w:eastAsia="仿宋" w:cs="仿宋"/>
          <w:color w:val="auto"/>
          <w:lang w:eastAsia="zh-CN"/>
        </w:rPr>
        <w:t>克州乌恰县2022年保障性住房安居工程城市燃气设施更新改造采购项目（</w:t>
      </w:r>
      <w:r>
        <w:rPr>
          <w:rFonts w:hint="eastAsia" w:ascii="仿宋" w:hAnsi="仿宋" w:eastAsia="仿宋" w:cs="仿宋"/>
          <w:color w:val="auto"/>
          <w:lang w:val="en-US" w:eastAsia="zh-CN"/>
        </w:rPr>
        <w:t>2</w:t>
      </w:r>
      <w:r>
        <w:rPr>
          <w:rFonts w:hint="eastAsia" w:ascii="仿宋" w:hAnsi="仿宋" w:eastAsia="仿宋" w:cs="仿宋"/>
          <w:color w:val="auto"/>
          <w:lang w:eastAsia="zh-CN"/>
        </w:rPr>
        <w:t>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数量:</w:t>
      </w:r>
      <w:r>
        <w:rPr>
          <w:rFonts w:hint="eastAsia" w:ascii="仿宋" w:hAnsi="仿宋" w:eastAsia="仿宋" w:cs="仿宋"/>
          <w:color w:val="auto"/>
          <w:lang w:val="en-US" w:eastAsia="zh-CN"/>
        </w:rPr>
        <w:t>1批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FF"/>
          <w:lang w:val="en-US" w:eastAsia="zh-CN"/>
        </w:rPr>
      </w:pPr>
      <w:r>
        <w:rPr>
          <w:rFonts w:hint="eastAsia" w:ascii="仿宋" w:hAnsi="仿宋" w:eastAsia="仿宋" w:cs="仿宋"/>
          <w:color w:val="0000FF"/>
        </w:rPr>
        <w:t>预算金额（元）:</w:t>
      </w:r>
      <w:r>
        <w:rPr>
          <w:rFonts w:hint="eastAsia" w:ascii="仿宋" w:hAnsi="仿宋" w:eastAsia="仿宋" w:cs="仿宋"/>
          <w:color w:val="0000FF"/>
          <w:lang w:val="en-US" w:eastAsia="zh-CN"/>
        </w:rPr>
        <w:t>2350000</w:t>
      </w:r>
      <w:r>
        <w:rPr>
          <w:rFonts w:hint="eastAsia" w:ascii="仿宋" w:hAnsi="仿宋" w:eastAsia="仿宋" w:cs="仿宋"/>
          <w:color w:val="0000FF"/>
          <w:kern w:val="0"/>
          <w:sz w:val="24"/>
          <w:lang w:val="en-US" w:eastAsia="zh-CN"/>
        </w:rPr>
        <w:t>.00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简要规格描述或项目基本概况介绍、用途：</w:t>
      </w:r>
      <w:r>
        <w:rPr>
          <w:rFonts w:hint="eastAsia" w:ascii="仿宋" w:hAnsi="仿宋" w:eastAsia="仿宋" w:cs="仿宋"/>
          <w:color w:val="000000"/>
          <w:sz w:val="24"/>
          <w:lang w:val="en-US" w:eastAsia="zh-CN"/>
        </w:rPr>
        <w:t>综合管理平台(</w:t>
      </w:r>
      <w:r>
        <w:rPr>
          <w:rFonts w:hint="eastAsia" w:ascii="仿宋" w:hAnsi="仿宋" w:eastAsia="仿宋" w:cs="仿宋"/>
          <w:color w:val="000000"/>
          <w:sz w:val="24"/>
          <w:lang w:eastAsia="zh-CN"/>
        </w:rPr>
        <w:t>具体内容详见采购清单)。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合同履约期限：</w:t>
      </w:r>
      <w:r>
        <w:rPr>
          <w:rFonts w:hint="eastAsia" w:ascii="仿宋" w:hAnsi="仿宋" w:eastAsia="仿宋" w:cs="仿宋"/>
          <w:color w:val="auto"/>
          <w:lang w:val="en-US" w:eastAsia="zh-CN"/>
        </w:rPr>
        <w:t>签订合同后30天内完成供货及安装调试完毕；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本项目</w:t>
      </w:r>
      <w:r>
        <w:rPr>
          <w:rFonts w:hint="eastAsia" w:ascii="仿宋" w:hAnsi="仿宋" w:eastAsia="仿宋" w:cs="仿宋"/>
          <w:color w:val="auto"/>
          <w:lang w:eastAsia="zh-CN"/>
        </w:rPr>
        <w:t>不</w:t>
      </w:r>
      <w:r>
        <w:rPr>
          <w:rFonts w:hint="eastAsia" w:ascii="仿宋" w:hAnsi="仿宋" w:eastAsia="仿宋" w:cs="仿宋"/>
          <w:color w:val="auto"/>
        </w:rPr>
        <w:t>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eastAsia="zh-CN"/>
        </w:rPr>
        <w:t>二、</w:t>
      </w:r>
      <w:r>
        <w:rPr>
          <w:rFonts w:hint="eastAsia" w:ascii="仿宋" w:hAnsi="仿宋" w:eastAsia="仿宋" w:cs="仿宋"/>
          <w:b/>
          <w:bCs/>
          <w:color w:val="auto"/>
        </w:rPr>
        <w:t>申请人的资格要求：</w:t>
      </w:r>
      <w:bookmarkStart w:id="76" w:name="_GoBack"/>
      <w:bookmarkEnd w:id="7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2.落实政府采购政策需满足的资格要求：标项1：供应商为中小企业，（1）《政府采购促进中小企业发展管理办法》（财库[2020]46号）；（2）《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 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（1）有效的三证合一营业执照副本；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（2）法定代表人投标需提供法定代表人资格证明书，委托代理人投标需提供法定代表人授权委托书，投标企业须提供投标人（被授权在职人员）近6个月有效的社保证明；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（4）投标单位（供应商）针对本次采购项目《反商业贿赂承诺书》，《采购活动前三年内无重大违规记录承诺书》的书面声明。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rPr>
      </w:pPr>
      <w:r>
        <w:rPr>
          <w:rFonts w:hint="eastAsia" w:ascii="仿宋" w:hAnsi="仿宋" w:eastAsia="仿宋" w:cs="仿宋"/>
          <w:b/>
          <w:bCs/>
          <w:color w:val="auto"/>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时间：</w:t>
      </w:r>
      <w:r>
        <w:rPr>
          <w:rFonts w:hint="eastAsia" w:ascii="仿宋" w:hAnsi="仿宋" w:eastAsia="仿宋" w:cs="仿宋"/>
          <w:color w:val="0000FF"/>
        </w:rPr>
        <w:t>202</w:t>
      </w:r>
      <w:r>
        <w:rPr>
          <w:rFonts w:hint="eastAsia" w:ascii="仿宋" w:hAnsi="仿宋" w:eastAsia="仿宋" w:cs="仿宋"/>
          <w:color w:val="0000FF"/>
          <w:lang w:val="en-US" w:eastAsia="zh-CN"/>
        </w:rPr>
        <w:t>3</w:t>
      </w:r>
      <w:r>
        <w:rPr>
          <w:rFonts w:hint="eastAsia" w:ascii="仿宋" w:hAnsi="仿宋" w:eastAsia="仿宋" w:cs="仿宋"/>
          <w:color w:val="0000FF"/>
        </w:rPr>
        <w:t>年</w:t>
      </w:r>
      <w:r>
        <w:rPr>
          <w:rFonts w:hint="eastAsia" w:ascii="仿宋" w:hAnsi="仿宋" w:eastAsia="仿宋" w:cs="仿宋"/>
          <w:color w:val="0000FF"/>
          <w:u w:val="single"/>
          <w:lang w:val="en-US" w:eastAsia="zh-CN"/>
        </w:rPr>
        <w:t>01</w:t>
      </w:r>
      <w:r>
        <w:rPr>
          <w:rFonts w:hint="eastAsia" w:ascii="仿宋" w:hAnsi="仿宋" w:eastAsia="仿宋" w:cs="仿宋"/>
          <w:color w:val="0000FF"/>
        </w:rPr>
        <w:t>月</w:t>
      </w:r>
      <w:r>
        <w:rPr>
          <w:rFonts w:hint="eastAsia" w:ascii="仿宋" w:hAnsi="仿宋" w:eastAsia="仿宋" w:cs="仿宋"/>
          <w:color w:val="0000FF"/>
          <w:u w:val="single"/>
          <w:lang w:val="en-US" w:eastAsia="zh-CN"/>
        </w:rPr>
        <w:t>17</w:t>
      </w:r>
      <w:r>
        <w:rPr>
          <w:rFonts w:hint="eastAsia" w:ascii="仿宋" w:hAnsi="仿宋" w:eastAsia="仿宋" w:cs="仿宋"/>
          <w:color w:val="0000FF"/>
        </w:rPr>
        <w:t>日至202</w:t>
      </w:r>
      <w:r>
        <w:rPr>
          <w:rFonts w:hint="eastAsia" w:ascii="仿宋" w:hAnsi="仿宋" w:eastAsia="仿宋" w:cs="仿宋"/>
          <w:color w:val="0000FF"/>
          <w:lang w:val="en-US" w:eastAsia="zh-CN"/>
        </w:rPr>
        <w:t>2</w:t>
      </w:r>
      <w:r>
        <w:rPr>
          <w:rFonts w:hint="eastAsia" w:ascii="仿宋" w:hAnsi="仿宋" w:eastAsia="仿宋" w:cs="仿宋"/>
          <w:color w:val="0000FF"/>
        </w:rPr>
        <w:t>年</w:t>
      </w:r>
      <w:r>
        <w:rPr>
          <w:rFonts w:hint="eastAsia" w:ascii="仿宋" w:hAnsi="仿宋" w:eastAsia="仿宋" w:cs="仿宋"/>
          <w:color w:val="0000FF"/>
          <w:u w:val="single"/>
          <w:lang w:val="en-US" w:eastAsia="zh-CN"/>
        </w:rPr>
        <w:t>01</w:t>
      </w:r>
      <w:r>
        <w:rPr>
          <w:rFonts w:hint="eastAsia" w:ascii="仿宋" w:hAnsi="仿宋" w:eastAsia="仿宋" w:cs="仿宋"/>
          <w:color w:val="0000FF"/>
        </w:rPr>
        <w:t>月</w:t>
      </w:r>
      <w:r>
        <w:rPr>
          <w:rFonts w:hint="eastAsia" w:ascii="仿宋" w:hAnsi="仿宋" w:eastAsia="仿宋" w:cs="仿宋"/>
          <w:color w:val="0000FF"/>
          <w:lang w:val="en-US" w:eastAsia="zh-CN"/>
        </w:rPr>
        <w:t>3</w:t>
      </w:r>
      <w:r>
        <w:rPr>
          <w:rFonts w:hint="eastAsia" w:ascii="仿宋" w:hAnsi="仿宋" w:eastAsia="仿宋" w:cs="仿宋"/>
          <w:color w:val="0000FF"/>
          <w:u w:val="single"/>
          <w:lang w:val="en-US" w:eastAsia="zh-CN"/>
        </w:rPr>
        <w:t>0</w:t>
      </w:r>
      <w:r>
        <w:rPr>
          <w:rFonts w:hint="eastAsia" w:ascii="仿宋" w:hAnsi="仿宋" w:eastAsia="仿宋" w:cs="仿宋"/>
          <w:color w:val="0000FF"/>
        </w:rPr>
        <w:t>日</w:t>
      </w:r>
      <w:r>
        <w:rPr>
          <w:rFonts w:hint="eastAsia" w:ascii="仿宋" w:hAnsi="仿宋" w:eastAsia="仿宋" w:cs="仿宋"/>
          <w:color w:val="auto"/>
        </w:rPr>
        <w:t>，每天上午10:00至1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0，下午16:</w:t>
      </w:r>
      <w:r>
        <w:rPr>
          <w:rFonts w:hint="eastAsia" w:ascii="仿宋" w:hAnsi="仿宋" w:eastAsia="仿宋" w:cs="仿宋"/>
          <w:color w:val="auto"/>
          <w:lang w:val="en-US" w:eastAsia="zh-CN"/>
        </w:rPr>
        <w:t>0</w:t>
      </w:r>
      <w:r>
        <w:rPr>
          <w:rFonts w:hint="eastAsia" w:ascii="仿宋" w:hAnsi="仿宋" w:eastAsia="仿宋" w:cs="仿宋"/>
          <w:color w:val="auto"/>
        </w:rPr>
        <w:t>0至</w:t>
      </w:r>
      <w:r>
        <w:rPr>
          <w:rFonts w:hint="eastAsia" w:ascii="仿宋" w:hAnsi="仿宋" w:eastAsia="仿宋" w:cs="仿宋"/>
          <w:color w:val="auto"/>
          <w:lang w:val="en-US" w:eastAsia="zh-CN"/>
        </w:rPr>
        <w:t>19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0（北京时间，节假日除外）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地点：供应商登陆政采云平台http://www.zcygov.cn/，在线申请获取</w:t>
      </w:r>
      <w:r>
        <w:rPr>
          <w:rFonts w:hint="eastAsia" w:ascii="仿宋" w:hAnsi="仿宋" w:eastAsia="仿宋" w:cs="仿宋"/>
          <w:color w:val="auto"/>
          <w:lang w:eastAsia="zh-CN"/>
        </w:rPr>
        <w:t>招标文件</w:t>
      </w:r>
      <w:r>
        <w:rPr>
          <w:rFonts w:hint="eastAsia" w:ascii="仿宋" w:hAnsi="仿宋" w:eastAsia="仿宋" w:cs="仿宋"/>
          <w:color w:val="auto"/>
        </w:rPr>
        <w:t>（登录政府采购云平台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，如有操作性问题，可与政采云在线客服进行咨询，咨询电话：</w:t>
      </w:r>
      <w:r>
        <w:rPr>
          <w:rFonts w:hint="eastAsia" w:ascii="仿宋" w:hAnsi="仿宋" w:eastAsia="仿宋" w:cs="仿宋"/>
          <w:color w:val="auto"/>
          <w:lang w:val="en-US" w:eastAsia="zh-CN"/>
        </w:rPr>
        <w:t>95763</w:t>
      </w:r>
      <w:r>
        <w:rPr>
          <w:rFonts w:hint="eastAsia" w:ascii="仿宋" w:hAnsi="仿宋" w:eastAsia="仿宋" w:cs="仿宋"/>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方式：（1）线上获取（登录政府采购云平台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 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）。本次招标不提供纸质版</w:t>
      </w:r>
      <w:r>
        <w:rPr>
          <w:rFonts w:hint="eastAsia" w:ascii="仿宋" w:hAnsi="仿宋" w:eastAsia="仿宋" w:cs="仿宋"/>
          <w:color w:val="auto"/>
          <w:lang w:eastAsia="zh-CN"/>
        </w:rPr>
        <w:t>招标文件</w:t>
      </w:r>
      <w:r>
        <w:rPr>
          <w:rFonts w:hint="eastAsia" w:ascii="仿宋" w:hAnsi="仿宋" w:eastAsia="仿宋" w:cs="仿宋"/>
          <w:color w:val="auto"/>
        </w:rPr>
        <w:t>。（2）供应商获取</w:t>
      </w:r>
      <w:r>
        <w:rPr>
          <w:rFonts w:hint="eastAsia" w:ascii="仿宋" w:hAnsi="仿宋" w:eastAsia="仿宋" w:cs="仿宋"/>
          <w:color w:val="auto"/>
          <w:lang w:eastAsia="zh-CN"/>
        </w:rPr>
        <w:t>招标文件</w:t>
      </w:r>
      <w:r>
        <w:rPr>
          <w:rFonts w:hint="eastAsia" w:ascii="仿宋" w:hAnsi="仿宋" w:eastAsia="仿宋" w:cs="仿宋"/>
          <w:color w:val="auto"/>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四、提交投标文件截止时间、开标时间和地点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截止时间：</w:t>
      </w:r>
      <w:r>
        <w:rPr>
          <w:rFonts w:hint="eastAsia" w:ascii="仿宋" w:hAnsi="仿宋" w:eastAsia="仿宋" w:cs="仿宋"/>
          <w:color w:val="0000FF"/>
          <w:lang w:val="en-US" w:eastAsia="zh-CN"/>
        </w:rPr>
        <w:t xml:space="preserve">2023年02月07日 11：00 </w:t>
      </w:r>
      <w:r>
        <w:rPr>
          <w:rFonts w:hint="eastAsia" w:ascii="仿宋" w:hAnsi="仿宋" w:eastAsia="仿宋" w:cs="仿宋"/>
          <w:color w:val="auto"/>
          <w:lang w:val="en-US" w:eastAsia="zh-CN"/>
        </w:rPr>
        <w:t>（北京时间）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w:t>
      </w:r>
      <w:r>
        <w:rPr>
          <w:rFonts w:hint="eastAsia" w:ascii="仿宋" w:hAnsi="仿宋" w:eastAsia="仿宋" w:cs="仿宋"/>
          <w:color w:val="0000FF"/>
          <w:lang w:val="en-US" w:eastAsia="zh-CN"/>
        </w:rPr>
        <w:t>2023年02月07日 11：00 （</w:t>
      </w:r>
      <w:r>
        <w:rPr>
          <w:rFonts w:hint="eastAsia" w:ascii="仿宋" w:hAnsi="仿宋" w:eastAsia="仿宋" w:cs="仿宋"/>
          <w:color w:val="auto"/>
          <w:lang w:val="en-US" w:eastAsia="zh-CN"/>
        </w:rPr>
        <w:t>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开标地点：在政府采购云平台（www.zcygov.cn）上开启投标文件，开标时间后，待采购组织机构发出解密通知后30分钟内，供应商须登录“政采云”平台，用“项目采购-开标评标”功能解密投标文件。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五、公告期限</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自本公告发布之日起5个工作日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六、其他补充事宜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群：35547618、二十一群：44303812（如已加入1-19群，无需重复加入，二十一个群联动直播），钉钉工具软件具有回放功能，直播培训结束后可在钉钉群中回放观看学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7.为了保证开评标顺利进行，政采云线上开标功能完全实现，供应商开标所使用的电脑设备须具有视频及语音功能。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b/>
          <w:bCs/>
          <w:color w:val="auto"/>
          <w:lang w:val="en-US" w:eastAsia="zh-CN"/>
        </w:rPr>
        <w:t>七、对本次招标提出询问，请按以下方式联系。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1.采购人信息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名 称：乌恰县住房和城乡建设局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址：乌恰县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联系方式：13779610956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2.采购代理机构信息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名 称：新疆宏力源工程项目管理有限公司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址：新疆克州乌恰县天源市政7楼　  　</w:t>
      </w: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联系方式：夏先生　17881605898</w:t>
      </w:r>
    </w:p>
    <w:p>
      <w:pPr>
        <w:pStyle w:val="2"/>
        <w:rPr>
          <w:rFonts w:hint="eastAsia" w:ascii="仿宋" w:hAnsi="仿宋" w:eastAsia="仿宋" w:cs="仿宋"/>
          <w:color w:val="auto"/>
          <w:lang w:val="en-US" w:eastAsia="zh-CN"/>
        </w:rPr>
      </w:pPr>
    </w:p>
    <w:p>
      <w:pPr>
        <w:pStyle w:val="2"/>
        <w:rPr>
          <w:rFonts w:hint="eastAsia" w:ascii="仿宋" w:hAnsi="仿宋" w:eastAsia="仿宋" w:cs="仿宋"/>
          <w:color w:val="auto"/>
          <w:lang w:val="en-US" w:eastAsia="zh-CN"/>
        </w:rPr>
      </w:pPr>
    </w:p>
    <w:p>
      <w:pPr>
        <w:pStyle w:val="2"/>
        <w:rPr>
          <w:rFonts w:hint="eastAsia" w:ascii="仿宋" w:hAnsi="仿宋" w:eastAsia="仿宋" w:cs="仿宋"/>
          <w:color w:val="auto"/>
          <w:lang w:val="en-US" w:eastAsia="zh-CN"/>
        </w:rPr>
      </w:pPr>
    </w:p>
    <w:p>
      <w:pPr>
        <w:pStyle w:val="5"/>
        <w:rPr>
          <w:rFonts w:hint="eastAsia"/>
        </w:rPr>
      </w:pPr>
    </w:p>
    <w:p>
      <w:pPr>
        <w:rPr>
          <w:rFonts w:hint="eastAsia"/>
        </w:rPr>
      </w:pPr>
    </w:p>
    <w:p>
      <w:pPr>
        <w:rPr>
          <w:rFonts w:hint="eastAsia"/>
        </w:rPr>
      </w:pPr>
    </w:p>
    <w:p>
      <w:pPr>
        <w:rPr>
          <w:rFonts w:hint="eastAsia"/>
        </w:rPr>
      </w:pPr>
    </w:p>
    <w:p>
      <w:pPr>
        <w:pStyle w:val="30"/>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第二</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供应商须知</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9"/>
        <w:tblW w:w="9803" w:type="dxa"/>
        <w:jc w:val="center"/>
        <w:tblLayout w:type="fixed"/>
        <w:tblCellMar>
          <w:top w:w="0" w:type="dxa"/>
          <w:left w:w="108" w:type="dxa"/>
          <w:bottom w:w="0" w:type="dxa"/>
          <w:right w:w="108" w:type="dxa"/>
        </w:tblCellMar>
      </w:tblPr>
      <w:tblGrid>
        <w:gridCol w:w="536"/>
        <w:gridCol w:w="1719"/>
        <w:gridCol w:w="7548"/>
      </w:tblGrid>
      <w:tr>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项目名称：克州乌恰县2022年保障性住房安居工程城市燃气设施更新改造采购项目（2包）</w:t>
            </w:r>
          </w:p>
          <w:p>
            <w:pPr>
              <w:shd w:val="clear" w:color="auto" w:fill="auto"/>
              <w:spacing w:line="360" w:lineRule="auto"/>
              <w:jc w:val="left"/>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项目编号：WQXZFCG（ZB）-2022-057-2</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w:t>
            </w:r>
            <w:r>
              <w:rPr>
                <w:rFonts w:hint="eastAsia" w:ascii="仿宋" w:hAnsi="仿宋" w:eastAsia="仿宋" w:cs="仿宋"/>
                <w:color w:val="000000"/>
                <w:sz w:val="24"/>
                <w:lang w:val="en-US" w:eastAsia="zh-CN"/>
              </w:rPr>
              <w:t>综合管理平台(</w:t>
            </w:r>
            <w:r>
              <w:rPr>
                <w:rFonts w:hint="eastAsia" w:ascii="仿宋" w:hAnsi="仿宋" w:eastAsia="仿宋" w:cs="仿宋"/>
                <w:color w:val="000000"/>
                <w:sz w:val="24"/>
                <w:lang w:eastAsia="zh-CN"/>
              </w:rPr>
              <w:t>具体内容详见采购清单)。</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0000FF"/>
                <w:sz w:val="24"/>
                <w:szCs w:val="24"/>
                <w:lang w:val="en-US" w:eastAsia="zh-CN"/>
              </w:rPr>
              <w:t>供货及安装期：签订合同后30天内完成供货及安装调试完毕</w:t>
            </w:r>
            <w:r>
              <w:rPr>
                <w:rFonts w:hint="eastAsia" w:ascii="仿宋" w:hAnsi="仿宋" w:eastAsia="仿宋" w:cs="仿宋"/>
                <w:color w:val="auto"/>
                <w:sz w:val="24"/>
                <w:szCs w:val="24"/>
                <w:lang w:val="en-US" w:eastAsia="zh-CN"/>
              </w:rPr>
              <w:t>；</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称：乌恰县住房和城乡建设局</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联系人：白女士       电  话：13779610956</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称：新疆宏力源工程项目管理有限公司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址：新疆克州乌恰县天源市政7楼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联系人：夏先生       电  话：17881605898</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2.落实政府采购政策需满足的资格要求：标项1：供应商为中小企业/小微企业，（1）《政府采购促进中小企业发展管理办法》（财库[2020]46号）；（2）《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 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（1）有效的三证合一营业执照副本；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（2）法定代表人投标需提供法定代表人资格证明书，委托代理人投标需提供法定代表人授权委托书，投标企业须提供投标人（被授权在职人员）近6个月有效的社保证明；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（4）投标单位（供应商）针对本次采购项目《反商业贿赂承诺书》，《采购活动前三年内无重大违规记录承诺书》的书面声明。</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中央预算内资金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w:t>
            </w:r>
            <w:r>
              <w:rPr>
                <w:rFonts w:hint="eastAsia" w:ascii="仿宋" w:hAnsi="仿宋" w:eastAsia="仿宋" w:cs="仿宋"/>
                <w:b w:val="0"/>
                <w:bCs w:val="0"/>
                <w:color w:val="0000FF"/>
                <w:sz w:val="24"/>
                <w:szCs w:val="24"/>
                <w:lang w:val="en-US" w:eastAsia="zh-CN"/>
              </w:rPr>
              <w:t>2023年02月07日11时00分（北京时间）</w:t>
            </w:r>
          </w:p>
        </w:tc>
      </w:tr>
      <w:tr>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w:t>
            </w:r>
            <w:r>
              <w:rPr>
                <w:rFonts w:hint="eastAsia" w:ascii="仿宋" w:hAnsi="仿宋" w:eastAsia="仿宋" w:cs="仿宋"/>
                <w:b w:val="0"/>
                <w:bCs w:val="0"/>
                <w:color w:val="0000FF"/>
                <w:sz w:val="24"/>
                <w:szCs w:val="24"/>
                <w:lang w:val="en-US" w:eastAsia="zh-CN"/>
              </w:rPr>
              <w:t>47000.00元（肆万柒仟元整）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1、投标保证金以电汇、网银等转账形式提交的，应在投标截止时间 2023年02月07日 上午11：00时（北京时间）前以总公司的基本账户一次性汇入指定账户（以到账时间为准），不接受现金及任何个人汇款。确认到账后，持法定代表人授权委托书、社保证明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（基本存款账户信息原件）乌恰县政务服务和公共资源交易中心二楼换取票据收据，项目开具的票据收据原件须扫描上传，标书内附有此票据收据。</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2、投标保证金以保函等票据形式提交的，需注明项目名称及单位名称，银行保函（电子保函）的有效期与投标有效期一致。需提供基本户开户行 出具的银行保函，投标文件内附此保函原件电子件。</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户  名：乌恰县政务服务和公共资源交易中心</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账  号：30470101040018134</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行  名：中国农业银行乌恰县支行营业部 </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联 系 人：唐晓伟  </w:t>
            </w:r>
          </w:p>
          <w:p>
            <w:pPr>
              <w:shd w:val="clear" w:color="auto" w:fill="auto"/>
              <w:spacing w:line="360" w:lineRule="auto"/>
              <w:jc w:val="left"/>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 xml:space="preserve">电   话：15509080607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（备注：必须写清楚某某公司某某项目保证金）</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投标保证金退还：</w:t>
            </w:r>
          </w:p>
          <w:p>
            <w:pPr>
              <w:numPr>
                <w:ilvl w:val="0"/>
                <w:numId w:val="3"/>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中标供应商持合同和票据收据5日内办理；</w:t>
            </w:r>
          </w:p>
          <w:p>
            <w:pPr>
              <w:numPr>
                <w:ilvl w:val="0"/>
                <w:numId w:val="3"/>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未中标供应商持收据5日内办理；</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3、因供应商自身原因耽搁领取，超过退还时限，不承担延后退还责任。                             </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招标文件获取</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w:t>
            </w:r>
            <w:r>
              <w:rPr>
                <w:rFonts w:hint="eastAsia" w:ascii="仿宋" w:hAnsi="仿宋" w:eastAsia="仿宋" w:cs="仿宋"/>
                <w:b w:val="0"/>
                <w:bCs w:val="0"/>
                <w:color w:val="0000FF"/>
                <w:sz w:val="24"/>
                <w:szCs w:val="24"/>
                <w:u w:val="none"/>
                <w:lang w:val="en-US" w:eastAsia="zh-CN"/>
              </w:rPr>
              <w:t>2023年01月17日至2022年01月30日</w:t>
            </w:r>
            <w:r>
              <w:rPr>
                <w:rFonts w:hint="eastAsia" w:ascii="仿宋" w:hAnsi="仿宋" w:eastAsia="仿宋" w:cs="仿宋"/>
                <w:b w:val="0"/>
                <w:bCs w:val="0"/>
                <w:color w:val="auto"/>
                <w:sz w:val="24"/>
                <w:szCs w:val="24"/>
                <w:u w:val="none"/>
                <w:lang w:val="en-US" w:eastAsia="zh-CN"/>
              </w:rPr>
              <w:t>，</w:t>
            </w:r>
            <w:r>
              <w:rPr>
                <w:rFonts w:hint="eastAsia" w:ascii="仿宋" w:hAnsi="仿宋" w:eastAsia="仿宋" w:cs="仿宋"/>
                <w:b w:val="0"/>
                <w:bCs w:val="0"/>
                <w:color w:val="auto"/>
                <w:sz w:val="24"/>
                <w:szCs w:val="24"/>
                <w:lang w:val="en-US" w:eastAsia="zh-CN"/>
              </w:rPr>
              <w:t>每天上午10:00至14:00，下午16:00至19：30（北京时间，节假日除外）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3、待开标结束后，中标企业请于</w:t>
            </w:r>
            <w:r>
              <w:rPr>
                <w:rFonts w:hint="eastAsia" w:ascii="仿宋" w:hAnsi="仿宋" w:eastAsia="仿宋" w:cs="仿宋"/>
                <w:b w:val="0"/>
                <w:bCs w:val="0"/>
                <w:color w:val="auto"/>
                <w:sz w:val="24"/>
                <w:szCs w:val="24"/>
                <w:u w:val="single"/>
                <w:lang w:val="en-US" w:eastAsia="zh-CN"/>
              </w:rPr>
              <w:t>2023年02月15日20:00</w:t>
            </w:r>
            <w:r>
              <w:rPr>
                <w:rFonts w:hint="eastAsia" w:ascii="仿宋" w:hAnsi="仿宋" w:eastAsia="仿宋" w:cs="仿宋"/>
                <w:b w:val="0"/>
                <w:bCs w:val="0"/>
                <w:color w:val="auto"/>
                <w:sz w:val="24"/>
                <w:szCs w:val="24"/>
                <w:lang w:val="en-US" w:eastAsia="zh-CN"/>
              </w:rPr>
              <w:t>前提供纸质投标文件五份并承诺与电子投标文件内容一致的承诺书至新疆宏力源工程项目管理有限公司（新疆克州乌恰县天源市政7楼）。中标人可采用邮寄方式提供纸质版投标文件（收件地址：新疆克州乌恰县天源市政7楼，收件人：夏先生，电话：17881605898），费用自行承担。</w:t>
            </w:r>
          </w:p>
        </w:tc>
      </w:tr>
      <w:tr>
        <w:tblPrEx>
          <w:tblCellMar>
            <w:top w:w="0" w:type="dxa"/>
            <w:left w:w="108" w:type="dxa"/>
            <w:bottom w:w="0" w:type="dxa"/>
            <w:right w:w="108" w:type="dxa"/>
          </w:tblCellMar>
        </w:tblPrEx>
        <w:trPr>
          <w:trHeight w:val="731"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562251287@qq.com，接收人：夏先生，电话：17881605898），“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w:t>
            </w:r>
            <w:r>
              <w:rPr>
                <w:rFonts w:hint="eastAsia" w:ascii="仿宋" w:hAnsi="仿宋" w:eastAsia="仿宋" w:cs="仿宋"/>
                <w:b w:val="0"/>
                <w:bCs w:val="0"/>
                <w:color w:val="0000FF"/>
                <w:sz w:val="24"/>
                <w:szCs w:val="24"/>
                <w:lang w:val="en-US" w:eastAsia="zh-CN"/>
              </w:rPr>
              <w:t>2023年02月07日11时00分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19"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w:t>
            </w:r>
            <w:r>
              <w:rPr>
                <w:rFonts w:hint="eastAsia" w:ascii="仿宋" w:hAnsi="仿宋" w:eastAsia="仿宋" w:cs="仿宋"/>
                <w:b w:val="0"/>
                <w:bCs w:val="0"/>
                <w:color w:val="0000FF"/>
                <w:sz w:val="24"/>
                <w:szCs w:val="24"/>
                <w:lang w:val="en-US" w:eastAsia="zh-CN"/>
              </w:rPr>
              <w:t>：2023年02月07日11时00分（</w:t>
            </w:r>
            <w:r>
              <w:rPr>
                <w:rFonts w:hint="eastAsia" w:ascii="仿宋" w:hAnsi="仿宋" w:eastAsia="仿宋" w:cs="仿宋"/>
                <w:b w:val="0"/>
                <w:bCs w:val="0"/>
                <w:color w:val="auto"/>
                <w:sz w:val="24"/>
                <w:szCs w:val="24"/>
                <w:lang w:val="en-US" w:eastAsia="zh-CN"/>
              </w:rPr>
              <w:t>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群：35547618、二十一群：44303812（如已加入1-19群，无需重复加入，二十一个群联动直播），钉钉工具软件具有回放功能，直播培训结束后可在钉钉群中回放观看学习。</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color w:val="auto"/>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207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lang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562251287@qq.com，接收人：夏先生，电话：17881605898），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），点击右侧咨询小采，获取采小蜜智能服务管家帮助，或拨打政采云服务热线95763获取热线服务帮助。</w:t>
            </w:r>
          </w:p>
          <w:p>
            <w:pPr>
              <w:shd w:val="clear" w:color="auto" w:fill="auto"/>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3652"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9"/>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4"/>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w:t>
            </w:r>
            <w:r>
              <w:rPr>
                <w:rFonts w:hint="eastAsia" w:ascii="仿宋" w:hAnsi="仿宋" w:eastAsia="仿宋" w:cs="仿宋"/>
                <w:b w:val="0"/>
                <w:bCs w:val="0"/>
                <w:color w:val="0000FF"/>
                <w:sz w:val="24"/>
                <w:szCs w:val="24"/>
                <w:lang w:val="en-US" w:eastAsia="zh-CN"/>
              </w:rPr>
              <w:t>综合评分法</w:t>
            </w:r>
          </w:p>
        </w:tc>
      </w:tr>
      <w:tr>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w:t>
            </w:r>
            <w:r>
              <w:rPr>
                <w:rFonts w:hint="eastAsia" w:ascii="仿宋" w:hAnsi="仿宋" w:eastAsia="仿宋" w:cs="仿宋"/>
                <w:b w:val="0"/>
                <w:bCs w:val="0"/>
                <w:color w:val="0000FF"/>
                <w:sz w:val="24"/>
                <w:szCs w:val="24"/>
                <w:lang w:val="en-US" w:eastAsia="zh-CN"/>
              </w:rPr>
              <w:t>2350000.00元（贰佰叁拾伍万元整）</w:t>
            </w:r>
            <w:r>
              <w:rPr>
                <w:rFonts w:hint="eastAsia" w:ascii="仿宋" w:hAnsi="仿宋" w:eastAsia="仿宋" w:cs="仿宋"/>
                <w:b w:val="0"/>
                <w:bCs w:val="0"/>
                <w:color w:val="auto"/>
                <w:sz w:val="24"/>
                <w:szCs w:val="24"/>
                <w:lang w:val="en-US" w:eastAsia="zh-CN"/>
              </w:rPr>
              <w:t>，</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2726"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1759"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173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534"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19"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）支持中小企业发展：给予小型和微型企业产品的价格10%-20%的扣除，用扣除后的价格参与评审，</w:t>
            </w:r>
            <w:r>
              <w:rPr>
                <w:rFonts w:hint="eastAsia" w:ascii="仿宋" w:hAnsi="仿宋" w:eastAsia="仿宋" w:cs="仿宋"/>
                <w:color w:val="000000" w:themeColor="text1"/>
                <w:u w:val="single"/>
                <w:lang w:eastAsia="zh-CN"/>
                <w14:textFill>
                  <w14:solidFill>
                    <w14:schemeClr w14:val="tx1"/>
                  </w14:solidFill>
                </w14:textFill>
              </w:rPr>
              <w:t>本</w:t>
            </w:r>
            <w:r>
              <w:rPr>
                <w:rFonts w:hint="eastAsia" w:ascii="仿宋" w:hAnsi="仿宋" w:eastAsia="仿宋" w:cs="仿宋"/>
                <w:color w:val="0000FF"/>
                <w:u w:val="single"/>
                <w:lang w:eastAsia="zh-CN"/>
              </w:rPr>
              <w:t>项目具体扣除比例为10%</w:t>
            </w:r>
            <w:r>
              <w:rPr>
                <w:rFonts w:hint="eastAsia" w:ascii="仿宋" w:hAnsi="仿宋" w:eastAsia="仿宋" w:cs="仿宋"/>
                <w:color w:val="0000FF"/>
                <w:lang w:eastAsia="zh-CN"/>
              </w:rPr>
              <w:t>。</w:t>
            </w:r>
            <w:r>
              <w:rPr>
                <w:rFonts w:hint="eastAsia" w:ascii="仿宋" w:hAnsi="仿宋" w:eastAsia="仿宋" w:cs="仿宋"/>
                <w:color w:val="000000" w:themeColor="text1"/>
                <w:lang w:eastAsia="zh-CN"/>
                <w14:textFill>
                  <w14:solidFill>
                    <w14:schemeClr w14:val="tx1"/>
                  </w14:solidFill>
                </w14:textFill>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584"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19"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（2）不符合上述适用情形的投标人无需提供上述声明函件。</w:t>
            </w:r>
          </w:p>
        </w:tc>
      </w:tr>
      <w:tr>
        <w:tblPrEx>
          <w:tblCellMar>
            <w:top w:w="0" w:type="dxa"/>
            <w:left w:w="108" w:type="dxa"/>
            <w:bottom w:w="0" w:type="dxa"/>
            <w:right w:w="108" w:type="dxa"/>
          </w:tblCellMar>
        </w:tblPrEx>
        <w:trPr>
          <w:trHeight w:val="1497" w:hRule="atLeast"/>
          <w:jc w:val="center"/>
        </w:trPr>
        <w:tc>
          <w:tcPr>
            <w:tcW w:w="536"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719" w:type="dxa"/>
            <w:tcBorders>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中标通知书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中标交人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中标</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default"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31</w:t>
            </w:r>
          </w:p>
        </w:tc>
        <w:tc>
          <w:tcPr>
            <w:tcW w:w="171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本采购项目所属行业</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本采购项目所属行业：</w:t>
            </w:r>
            <w:r>
              <w:rPr>
                <w:rFonts w:hint="eastAsia" w:ascii="仿宋" w:hAnsi="仿宋" w:eastAsia="仿宋" w:cs="仿宋"/>
                <w:b w:val="0"/>
                <w:bCs w:val="0"/>
                <w:color w:val="auto"/>
                <w:sz w:val="24"/>
                <w:szCs w:val="24"/>
                <w:u w:val="single"/>
                <w:lang w:val="en-US" w:eastAsia="zh-CN"/>
              </w:rPr>
              <w:t>工业（制造业）</w:t>
            </w:r>
          </w:p>
        </w:tc>
      </w:tr>
      <w:tr>
        <w:tblPrEx>
          <w:tblCellMar>
            <w:top w:w="0" w:type="dxa"/>
            <w:left w:w="108" w:type="dxa"/>
            <w:bottom w:w="0" w:type="dxa"/>
            <w:right w:w="108" w:type="dxa"/>
          </w:tblCellMar>
        </w:tblPrEx>
        <w:trPr>
          <w:trHeight w:val="84" w:hRule="atLeast"/>
          <w:jc w:val="center"/>
        </w:trPr>
        <w:tc>
          <w:tcPr>
            <w:tcW w:w="2255"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152042315"/>
      <w:bookmarkStart w:id="2" w:name="_Toc144974507"/>
      <w:bookmarkStart w:id="3" w:name="_Toc296602429"/>
      <w:bookmarkStart w:id="4" w:name="_Toc247592876"/>
      <w:bookmarkStart w:id="5" w:name="_Toc247527563"/>
      <w:bookmarkStart w:id="6" w:name="_Toc152045539"/>
      <w:bookmarkStart w:id="7" w:name="_Toc247513962"/>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247527564"/>
      <w:bookmarkStart w:id="9" w:name="_Toc144974508"/>
      <w:bookmarkStart w:id="10" w:name="_Toc247513963"/>
      <w:bookmarkStart w:id="11" w:name="_Toc247592877"/>
      <w:bookmarkStart w:id="12" w:name="_Toc152045540"/>
      <w:bookmarkStart w:id="13" w:name="_Toc296602430"/>
      <w:bookmarkStart w:id="14" w:name="_Toc152042316"/>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招标代理服务收费标准</w:t>
      </w:r>
    </w:p>
    <w:tbl>
      <w:tblPr>
        <w:tblStyle w:val="1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542"/>
        <w:gridCol w:w="1758"/>
        <w:gridCol w:w="171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中标金额</w:t>
            </w:r>
          </w:p>
        </w:tc>
        <w:tc>
          <w:tcPr>
            <w:tcW w:w="1542" w:type="dxa"/>
            <w:noWrap w:val="0"/>
            <w:vAlign w:val="center"/>
          </w:tcPr>
          <w:p>
            <w:pPr>
              <w:shd w:val="clear" w:color="auto" w:fill="auto"/>
              <w:spacing w:line="360" w:lineRule="auto"/>
              <w:ind w:left="0" w:leftChars="0" w:right="0" w:rightChars="0" w:firstLine="240" w:firstLineChars="10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货物招标</w:t>
            </w:r>
          </w:p>
        </w:tc>
        <w:tc>
          <w:tcPr>
            <w:tcW w:w="1758"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服务招标</w:t>
            </w:r>
          </w:p>
        </w:tc>
        <w:tc>
          <w:tcPr>
            <w:tcW w:w="1714"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工程招标</w:t>
            </w:r>
          </w:p>
        </w:tc>
        <w:tc>
          <w:tcPr>
            <w:tcW w:w="1509" w:type="dxa"/>
            <w:noWrap w:val="0"/>
            <w:vAlign w:val="center"/>
          </w:tcPr>
          <w:p>
            <w:pPr>
              <w:shd w:val="clear" w:color="auto" w:fill="auto"/>
              <w:tabs>
                <w:tab w:val="left" w:pos="317"/>
              </w:tabs>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100万元以下</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100～500万元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1.1%</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0.7%</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500～1000万元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0.45%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1000～5000万元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0.25%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0.35%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招标代理服务收费</w:t>
      </w:r>
      <w:r>
        <w:rPr>
          <w:rFonts w:hint="eastAsia" w:ascii="仿宋" w:hAnsi="仿宋" w:eastAsia="仿宋" w:cs="仿宋"/>
          <w:color w:val="auto"/>
          <w:szCs w:val="21"/>
          <w:highlight w:val="none"/>
        </w:rPr>
        <w:t>按差额定率累进法计算。例如：某项目招标代理业务</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（2000-1000）万元×0.50%=5.0（万元）</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合计收费=1.5+4.4+4.0+5.0=14.9(万元)</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1"/>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0000FF"/>
          <w:szCs w:val="21"/>
          <w:highlight w:val="none"/>
          <w:lang w:val="en-US" w:eastAsia="zh-CN"/>
        </w:rPr>
        <w:t>、投标企业须提供投标人（被授权在职人员）近6个月有效的社保证明；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6、投标单位（供应商）针对本次采购项目《反商业贿赂承诺书》；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7、参加政府采购活动前三年内，在经营活动中没有重大违法记录的书面声明;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8、供应商须提供 “信用中国”网（http://www.creditchina.gov.cn/）、“中国政府采购网”网站（http://www.ccgp.gov.cn）无违法违规行为的查询记录（提供查询结果网页截图并加盖供应商公章）；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8、近三年（2020年1月1日至今）类似项目业绩表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综合单价今后将不作任何调整。</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6"/>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6"/>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6"/>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 w:val="24"/>
          <w:szCs w:val="24"/>
          <w:highlight w:val="none"/>
          <w:u w:val="single"/>
          <w:lang w:bidi="zh-CN"/>
        </w:rPr>
        <w:t>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562251287@qq.com</w:t>
      </w:r>
      <w:r>
        <w:rPr>
          <w:rStyle w:val="23"/>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夏先生</w:t>
      </w:r>
      <w:r>
        <w:rPr>
          <w:rStyle w:val="23"/>
          <w:rFonts w:hint="eastAsia" w:ascii="仿宋" w:hAnsi="仿宋" w:eastAsia="仿宋" w:cs="仿宋"/>
          <w:color w:val="auto"/>
          <w:sz w:val="24"/>
          <w:szCs w:val="24"/>
          <w:highlight w:val="none"/>
          <w:u w:val="single"/>
          <w:lang w:bidi="zh-CN"/>
        </w:rPr>
        <w:t>，电话</w:t>
      </w:r>
      <w:r>
        <w:rPr>
          <w:rStyle w:val="23"/>
          <w:rFonts w:hint="eastAsia" w:ascii="仿宋" w:hAnsi="仿宋" w:eastAsia="仿宋" w:cs="仿宋"/>
          <w:color w:val="auto"/>
          <w:sz w:val="24"/>
          <w:szCs w:val="24"/>
          <w:highlight w:val="none"/>
          <w:u w:val="single"/>
          <w:lang w:val="en-US" w:bidi="zh-CN"/>
        </w:rPr>
        <w:t xml:space="preserve"> </w:t>
      </w:r>
      <w:r>
        <w:rPr>
          <w:rStyle w:val="23"/>
          <w:rFonts w:hint="eastAsia" w:ascii="仿宋" w:hAnsi="仿宋" w:eastAsia="仿宋" w:cs="仿宋"/>
          <w:color w:val="auto"/>
          <w:sz w:val="24"/>
          <w:szCs w:val="24"/>
          <w:highlight w:val="none"/>
          <w:u w:val="single"/>
          <w:lang w:bidi="zh-CN"/>
        </w:rPr>
        <w:t>：</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7881605898</w:t>
      </w:r>
      <w:r>
        <w:rPr>
          <w:rFonts w:hint="eastAsia" w:ascii="仿宋" w:hAnsi="仿宋" w:eastAsia="仿宋" w:cs="仿宋"/>
          <w:color w:val="auto"/>
          <w:sz w:val="24"/>
          <w:szCs w:val="24"/>
          <w:highlight w:val="none"/>
          <w:u w:val="single"/>
          <w:lang w:bidi="zh-CN"/>
        </w:rPr>
        <w:t>）</w:t>
      </w:r>
      <w:r>
        <w:rPr>
          <w:rFonts w:hint="eastAsia" w:ascii="仿宋" w:hAnsi="仿宋" w:eastAsia="仿宋" w:cs="仿宋"/>
          <w:color w:val="auto"/>
          <w:sz w:val="24"/>
          <w:szCs w:val="24"/>
          <w:highlight w:val="none"/>
          <w:u w:val="none"/>
          <w:lang w:bidi="zh-CN"/>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3"/>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562251287@qq.com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0000FF"/>
          <w:kern w:val="0"/>
          <w:szCs w:val="21"/>
          <w:highlight w:val="none"/>
          <w:lang w:val="en-US" w:eastAsia="zh-CN"/>
        </w:rPr>
        <w:t>30</w:t>
      </w:r>
      <w:r>
        <w:rPr>
          <w:rFonts w:hint="eastAsia" w:ascii="仿宋" w:hAnsi="仿宋" w:eastAsia="仿宋" w:cs="仿宋"/>
          <w:color w:val="0000FF"/>
          <w:kern w:val="0"/>
          <w:szCs w:val="21"/>
          <w:highlight w:val="none"/>
        </w:rPr>
        <w:t>％</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新疆政府采购网（www.zjzfcg.gov.cn）、克州公共资源交易中心网上公告采购结果，中标公告期限为1个工作日。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28"/>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2"/>
        <w:rPr>
          <w:rFonts w:hint="eastAsia"/>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2"/>
        <w:rPr>
          <w:rFonts w:hint="eastAsia"/>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8"/>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44"/>
          <w:szCs w:val="44"/>
          <w:highlight w:val="none"/>
        </w:rPr>
      </w:pPr>
      <w:bookmarkStart w:id="34" w:name="_Toc469495731"/>
      <w:r>
        <w:rPr>
          <w:rFonts w:hint="eastAsia" w:ascii="仿宋" w:hAnsi="仿宋" w:eastAsia="仿宋" w:cs="仿宋"/>
          <w:b/>
          <w:bCs/>
          <w:color w:val="auto"/>
          <w:sz w:val="44"/>
          <w:szCs w:val="44"/>
          <w:highlight w:val="none"/>
        </w:rPr>
        <w:t>第三</w:t>
      </w:r>
      <w:r>
        <w:rPr>
          <w:rFonts w:hint="eastAsia" w:ascii="仿宋" w:hAnsi="仿宋" w:eastAsia="仿宋" w:cs="仿宋"/>
          <w:b/>
          <w:bCs/>
          <w:color w:val="auto"/>
          <w:sz w:val="44"/>
          <w:szCs w:val="44"/>
          <w:highlight w:val="none"/>
          <w:lang w:eastAsia="zh-CN"/>
        </w:rPr>
        <w:t>章</w:t>
      </w:r>
      <w:r>
        <w:rPr>
          <w:rFonts w:hint="eastAsia" w:ascii="仿宋" w:hAnsi="仿宋" w:eastAsia="仿宋" w:cs="仿宋"/>
          <w:b/>
          <w:bCs/>
          <w:color w:val="auto"/>
          <w:sz w:val="44"/>
          <w:szCs w:val="44"/>
          <w:highlight w:val="none"/>
        </w:rPr>
        <w:t xml:space="preserve">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36"/>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36"/>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36"/>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6"/>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（三证合一）营业执照</w:t>
            </w:r>
            <w:r>
              <w:rPr>
                <w:rFonts w:hint="eastAsia" w:ascii="仿宋" w:hAnsi="仿宋" w:eastAsia="仿宋" w:cs="仿宋"/>
                <w:color w:val="auto"/>
                <w:kern w:val="0"/>
                <w:sz w:val="24"/>
                <w:szCs w:val="24"/>
                <w:highlight w:val="none"/>
                <w:lang w:eastAsia="zh-CN" w:bidi="ar"/>
              </w:rPr>
              <w:t>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r>
              <w:rPr>
                <w:rFonts w:hint="eastAsia" w:ascii="仿宋" w:hAnsi="仿宋" w:eastAsia="仿宋" w:cs="仿宋"/>
                <w:b/>
                <w:bCs/>
                <w:color w:val="0000FF"/>
                <w:kern w:val="0"/>
                <w:sz w:val="24"/>
                <w:szCs w:val="24"/>
                <w:highlight w:val="none"/>
                <w:lang w:val="en-US" w:eastAsia="zh-CN" w:bidi="ar"/>
              </w:rPr>
              <w:t>投标企业须提供投标人（被授权在职人员）近6个月有效的社保证明</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both"/>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“信用中国”网（http://www.creditchina.gov.cn/）、“中国政府采购网”网站（http://www.ccgp.gov.cn）无违法违规行为的查询记录（提供查询结果网页截图并加盖供应商公章）；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lang w:eastAsia="zh-CN"/>
              </w:rPr>
              <w:t>投标单位（供应商）针对本次采购项目《反商业贿赂承诺书》，《采购活动前三年内无重大违规记录承诺书》的书面声明；</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vMerge w:val="restart"/>
            <w:noWrap w:val="0"/>
            <w:vAlign w:val="center"/>
          </w:tcPr>
          <w:p>
            <w:pPr>
              <w:widowControl/>
              <w:shd w:val="clear" w:color="auto" w:fill="auto"/>
              <w:jc w:val="left"/>
              <w:textAlignment w:val="center"/>
              <w:rPr>
                <w:rFonts w:hint="default" w:ascii="仿宋" w:hAnsi="仿宋" w:eastAsia="仿宋" w:cs="仿宋"/>
                <w:color w:val="auto"/>
                <w:kern w:val="0"/>
                <w:sz w:val="24"/>
                <w:szCs w:val="24"/>
                <w:highlight w:val="none"/>
                <w:lang w:val="en-US" w:eastAsia="zh-CN" w:bidi="ar"/>
              </w:rPr>
            </w:pPr>
          </w:p>
        </w:tc>
        <w:tc>
          <w:tcPr>
            <w:tcW w:w="6649" w:type="dxa"/>
            <w:vMerge w:val="restart"/>
            <w:noWrap w:val="0"/>
            <w:vAlign w:val="center"/>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vMerge w:val="continue"/>
            <w:noWrap w:val="0"/>
            <w:vAlign w:val="top"/>
          </w:tcPr>
          <w:p>
            <w:pPr>
              <w:shd w:val="clear" w:color="auto" w:fill="auto"/>
              <w:spacing w:line="440" w:lineRule="exact"/>
              <w:rPr>
                <w:rFonts w:hint="eastAsia" w:ascii="仿宋" w:hAnsi="仿宋" w:eastAsia="仿宋" w:cs="仿宋"/>
                <w:color w:val="auto"/>
                <w:sz w:val="24"/>
                <w:szCs w:val="24"/>
                <w:highlight w:val="none"/>
              </w:rPr>
            </w:pPr>
          </w:p>
        </w:tc>
        <w:tc>
          <w:tcPr>
            <w:tcW w:w="6649" w:type="dxa"/>
            <w:vMerge w:val="continue"/>
            <w:noWrap w:val="0"/>
            <w:vAlign w:val="top"/>
          </w:tcPr>
          <w:p>
            <w:pPr>
              <w:shd w:val="clear" w:color="auto" w:fill="auto"/>
              <w:rPr>
                <w:rFonts w:hint="eastAsia" w:ascii="仿宋" w:hAnsi="仿宋" w:eastAsia="仿宋" w:cs="仿宋"/>
                <w:color w:val="auto"/>
                <w:sz w:val="24"/>
                <w:szCs w:val="24"/>
                <w:highlight w:val="none"/>
              </w:rPr>
            </w:pP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9"/>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39" w:name="_Toc362983803"/>
      <w:bookmarkStart w:id="40" w:name="_Toc469495734"/>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42" w:name="_Toc469495736"/>
      <w:bookmarkStart w:id="43" w:name="_Toc362983805"/>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pStyle w:val="5"/>
        <w:ind w:firstLine="480" w:firstLineChars="200"/>
        <w:rPr>
          <w:rFonts w:hint="eastAsia" w:ascii="仿宋" w:hAnsi="仿宋" w:eastAsia="仿宋" w:cs="仿宋"/>
          <w:b w:val="0"/>
          <w:bCs w:val="0"/>
          <w:color w:val="auto"/>
          <w:spacing w:val="0"/>
          <w:w w:val="100"/>
          <w:position w:val="0"/>
          <w:sz w:val="24"/>
          <w:szCs w:val="21"/>
          <w:highlight w:val="none"/>
          <w:shd w:val="clear" w:color="auto" w:fill="auto"/>
          <w:lang w:val="en-US" w:eastAsia="en-US" w:bidi="ar-SA"/>
        </w:rPr>
      </w:pPr>
      <w:r>
        <w:rPr>
          <w:rFonts w:hint="eastAsia" w:ascii="仿宋" w:hAnsi="仿宋" w:eastAsia="仿宋" w:cs="仿宋"/>
          <w:b w:val="0"/>
          <w:bCs w:val="0"/>
          <w:color w:val="auto"/>
          <w:spacing w:val="0"/>
          <w:w w:val="100"/>
          <w:position w:val="0"/>
          <w:sz w:val="24"/>
          <w:szCs w:val="21"/>
          <w:highlight w:val="none"/>
          <w:shd w:val="clear" w:color="auto" w:fill="auto"/>
          <w:lang w:val="en-US" w:eastAsia="en-US" w:bidi="ar-SA"/>
        </w:rPr>
        <w:t>（8）评分标准和细则（综合评分法评分标准）</w:t>
      </w:r>
    </w:p>
    <w:tbl>
      <w:tblPr>
        <w:tblStyle w:val="19"/>
        <w:tblW w:w="505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1248"/>
        <w:gridCol w:w="778"/>
        <w:gridCol w:w="72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87"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序号</w:t>
            </w:r>
          </w:p>
        </w:tc>
        <w:tc>
          <w:tcPr>
            <w:tcW w:w="619"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评分因素</w:t>
            </w:r>
          </w:p>
        </w:tc>
        <w:tc>
          <w:tcPr>
            <w:tcW w:w="386"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分值</w:t>
            </w:r>
          </w:p>
        </w:tc>
        <w:tc>
          <w:tcPr>
            <w:tcW w:w="3606"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5000" w:type="pct"/>
            <w:gridSpan w:val="4"/>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经济部分：</w:t>
            </w:r>
            <w:r>
              <w:rPr>
                <w:rFonts w:hint="eastAsia" w:ascii="仿宋" w:hAnsi="仿宋" w:eastAsia="仿宋" w:cs="仿宋"/>
                <w:color w:val="0000FF"/>
                <w:szCs w:val="21"/>
                <w:highlight w:val="none"/>
                <w:lang w:val="en-US" w:eastAsia="zh-CN" w:bidi="ar-SA"/>
              </w:rPr>
              <w:t>30</w:t>
            </w:r>
            <w:r>
              <w:rPr>
                <w:rFonts w:hint="eastAsia" w:ascii="仿宋" w:hAnsi="仿宋" w:eastAsia="仿宋" w:cs="仿宋"/>
                <w:color w:val="0000FF"/>
                <w:szCs w:val="21"/>
                <w:highlight w:val="none"/>
                <w:lang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387"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1</w:t>
            </w:r>
          </w:p>
        </w:tc>
        <w:tc>
          <w:tcPr>
            <w:tcW w:w="619"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报价</w:t>
            </w:r>
          </w:p>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eastAsia="zh-CN" w:bidi="ar-SA"/>
              </w:rPr>
              <w:t>部分</w:t>
            </w:r>
          </w:p>
        </w:tc>
        <w:tc>
          <w:tcPr>
            <w:tcW w:w="386"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val="en-US" w:eastAsia="zh-CN" w:bidi="ar-SA"/>
              </w:rPr>
              <w:t>30分</w:t>
            </w:r>
          </w:p>
        </w:tc>
        <w:tc>
          <w:tcPr>
            <w:tcW w:w="3606" w:type="pct"/>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评标基准价=有效投标报价的最低值，有效投标报价等于基准值的得满分</w:t>
            </w:r>
            <w:r>
              <w:rPr>
                <w:rFonts w:hint="eastAsia" w:ascii="仿宋" w:hAnsi="仿宋" w:eastAsia="仿宋" w:cs="仿宋"/>
                <w:color w:val="0000FF"/>
                <w:szCs w:val="21"/>
                <w:highlight w:val="none"/>
                <w:lang w:val="en-US" w:eastAsia="zh-CN" w:bidi="ar-SA"/>
              </w:rPr>
              <w:t>30</w:t>
            </w:r>
            <w:r>
              <w:rPr>
                <w:rFonts w:hint="eastAsia" w:ascii="仿宋" w:hAnsi="仿宋" w:eastAsia="仿宋" w:cs="仿宋"/>
                <w:color w:val="0000FF"/>
                <w:szCs w:val="21"/>
                <w:highlight w:val="none"/>
                <w:lang w:bidi="ar-SA"/>
              </w:rPr>
              <w:t>分，投标报价得分=（评标基准价/投标报价）×价格权重×100；有效投标报价为通过资格性和符合性审查的供应商报价。计算分数时四舍五入取小数点后两位,分数最高不超过</w:t>
            </w:r>
            <w:r>
              <w:rPr>
                <w:rFonts w:hint="eastAsia" w:ascii="仿宋" w:hAnsi="仿宋" w:eastAsia="仿宋" w:cs="仿宋"/>
                <w:color w:val="0000FF"/>
                <w:szCs w:val="21"/>
                <w:highlight w:val="none"/>
                <w:lang w:val="en-US" w:eastAsia="zh-CN" w:bidi="ar-SA"/>
              </w:rPr>
              <w:t>30</w:t>
            </w:r>
            <w:r>
              <w:rPr>
                <w:rFonts w:hint="eastAsia" w:ascii="仿宋" w:hAnsi="仿宋" w:eastAsia="仿宋" w:cs="仿宋"/>
                <w:color w:val="0000FF"/>
                <w:szCs w:val="21"/>
                <w:highlight w:val="none"/>
                <w:lang w:bidi="ar-SA"/>
              </w:rPr>
              <w:t>分。对小型和微型企业产品的价格给予</w:t>
            </w:r>
            <w:r>
              <w:rPr>
                <w:rFonts w:hint="eastAsia" w:ascii="仿宋" w:hAnsi="仿宋" w:eastAsia="仿宋" w:cs="仿宋"/>
                <w:color w:val="0000FF"/>
                <w:szCs w:val="21"/>
                <w:highlight w:val="none"/>
                <w:lang w:val="en-US" w:eastAsia="zh-CN" w:bidi="ar-SA"/>
              </w:rPr>
              <w:t xml:space="preserve"> 10% </w:t>
            </w:r>
            <w:r>
              <w:rPr>
                <w:rFonts w:hint="eastAsia" w:ascii="仿宋" w:hAnsi="仿宋" w:eastAsia="仿宋" w:cs="仿宋"/>
                <w:color w:val="0000FF"/>
                <w:szCs w:val="21"/>
                <w:highlight w:val="none"/>
                <w:lang w:bidi="ar-SA"/>
              </w:rPr>
              <w:t>的扣除【即:投标报价-（投标报价×</w:t>
            </w:r>
            <w:r>
              <w:rPr>
                <w:rFonts w:hint="eastAsia" w:ascii="仿宋" w:hAnsi="仿宋" w:eastAsia="仿宋" w:cs="仿宋"/>
                <w:color w:val="0000FF"/>
                <w:szCs w:val="21"/>
                <w:highlight w:val="none"/>
                <w:lang w:val="en-US" w:eastAsia="zh-CN" w:bidi="ar-SA"/>
              </w:rPr>
              <w:t xml:space="preserve"> 10% </w:t>
            </w:r>
            <w:r>
              <w:rPr>
                <w:rFonts w:hint="eastAsia" w:ascii="仿宋" w:hAnsi="仿宋" w:eastAsia="仿宋" w:cs="仿宋"/>
                <w:color w:val="0000FF"/>
                <w:szCs w:val="21"/>
                <w:highlight w:val="none"/>
                <w:lang w:bidi="ar-SA"/>
              </w:rPr>
              <w:t>）】，用扣除后的价格参与评审。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5000" w:type="pct"/>
            <w:gridSpan w:val="4"/>
            <w:noWrap w:val="0"/>
            <w:vAlign w:val="center"/>
          </w:tcPr>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eastAsia="zh-CN" w:bidi="ar-SA"/>
              </w:rPr>
              <w:t>商务部分：</w:t>
            </w:r>
            <w:r>
              <w:rPr>
                <w:rFonts w:hint="eastAsia" w:ascii="仿宋" w:hAnsi="仿宋" w:eastAsia="仿宋" w:cs="仿宋"/>
                <w:color w:val="0000FF"/>
                <w:szCs w:val="21"/>
                <w:highlight w:val="none"/>
                <w:lang w:val="en-US" w:eastAsia="zh-CN" w:bidi="ar-SA"/>
              </w:rPr>
              <w:t>20</w:t>
            </w:r>
            <w:r>
              <w:rPr>
                <w:rFonts w:hint="eastAsia" w:ascii="仿宋" w:hAnsi="仿宋" w:eastAsia="仿宋" w:cs="仿宋"/>
                <w:color w:val="0000FF"/>
                <w:szCs w:val="21"/>
                <w:highlight w:val="none"/>
                <w:lang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87" w:type="pct"/>
            <w:noWrap w:val="0"/>
            <w:vAlign w:val="center"/>
          </w:tcPr>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val="en-US" w:eastAsia="zh-CN" w:bidi="ar-SA"/>
              </w:rPr>
              <w:t>1</w:t>
            </w:r>
          </w:p>
        </w:tc>
        <w:tc>
          <w:tcPr>
            <w:tcW w:w="619"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供货及安装期限</w:t>
            </w:r>
          </w:p>
        </w:tc>
        <w:tc>
          <w:tcPr>
            <w:tcW w:w="386"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5分</w:t>
            </w:r>
          </w:p>
        </w:tc>
        <w:tc>
          <w:tcPr>
            <w:tcW w:w="3606"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供货及安装期限完全满足招标文件得2分，完成期限每提前10天加1分，最高加3分；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87"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2</w:t>
            </w:r>
          </w:p>
        </w:tc>
        <w:tc>
          <w:tcPr>
            <w:tcW w:w="619"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业绩</w:t>
            </w:r>
          </w:p>
        </w:tc>
        <w:tc>
          <w:tcPr>
            <w:tcW w:w="386"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2分</w:t>
            </w:r>
          </w:p>
        </w:tc>
        <w:tc>
          <w:tcPr>
            <w:tcW w:w="3606" w:type="pct"/>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具有类似业绩一个得1分，满分2分。</w:t>
            </w:r>
          </w:p>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说明：项目业绩以合同和中标通知书为准，分包、转包或劳务合作项目无效。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87"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3</w:t>
            </w:r>
          </w:p>
        </w:tc>
        <w:tc>
          <w:tcPr>
            <w:tcW w:w="619"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质保期限</w:t>
            </w:r>
          </w:p>
        </w:tc>
        <w:tc>
          <w:tcPr>
            <w:tcW w:w="386"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3分</w:t>
            </w:r>
          </w:p>
        </w:tc>
        <w:tc>
          <w:tcPr>
            <w:tcW w:w="3606" w:type="pct"/>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软、硬件质保期限完全满足招标文件得1分，软、硬件质保期限每延长半年加1分，最高加2分；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trPr>
        <w:tc>
          <w:tcPr>
            <w:tcW w:w="387" w:type="pct"/>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4</w:t>
            </w:r>
          </w:p>
        </w:tc>
        <w:tc>
          <w:tcPr>
            <w:tcW w:w="619" w:type="pct"/>
            <w:noWrap w:val="0"/>
            <w:vAlign w:val="center"/>
          </w:tcPr>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bidi="ar-SA"/>
              </w:rPr>
              <w:t>人员</w:t>
            </w:r>
            <w:r>
              <w:rPr>
                <w:rFonts w:hint="eastAsia" w:ascii="仿宋" w:hAnsi="仿宋" w:eastAsia="仿宋" w:cs="仿宋"/>
                <w:color w:val="0000FF"/>
                <w:szCs w:val="21"/>
                <w:highlight w:val="none"/>
                <w:lang w:val="en-US" w:eastAsia="zh-CN" w:bidi="ar-SA"/>
              </w:rPr>
              <w:t>配备</w:t>
            </w:r>
          </w:p>
          <w:p>
            <w:pPr>
              <w:shd w:val="clear" w:color="auto" w:fill="auto"/>
              <w:spacing w:line="440" w:lineRule="exact"/>
              <w:ind w:left="0" w:leftChars="0" w:right="0" w:rightChars="0" w:firstLine="0" w:firstLineChars="0"/>
              <w:rPr>
                <w:rFonts w:hint="eastAsia" w:ascii="仿宋" w:hAnsi="仿宋" w:eastAsia="仿宋" w:cs="仿宋"/>
                <w:color w:val="0000FF"/>
                <w:spacing w:val="0"/>
                <w:w w:val="100"/>
                <w:position w:val="0"/>
                <w:sz w:val="24"/>
                <w:szCs w:val="21"/>
                <w:highlight w:val="none"/>
                <w:shd w:val="clear" w:color="auto" w:fill="auto"/>
                <w:lang w:val="en-US" w:eastAsia="zh-CN" w:bidi="ar-SA"/>
              </w:rPr>
            </w:pPr>
            <w:r>
              <w:rPr>
                <w:rFonts w:hint="eastAsia" w:ascii="仿宋" w:hAnsi="仿宋" w:eastAsia="仿宋" w:cs="仿宋"/>
                <w:color w:val="0000FF"/>
                <w:szCs w:val="21"/>
                <w:highlight w:val="none"/>
                <w:lang w:bidi="ar-SA"/>
              </w:rPr>
              <w:t>（0-1</w:t>
            </w:r>
            <w:r>
              <w:rPr>
                <w:rFonts w:hint="eastAsia" w:ascii="仿宋" w:hAnsi="仿宋" w:eastAsia="仿宋" w:cs="仿宋"/>
                <w:color w:val="0000FF"/>
                <w:szCs w:val="21"/>
                <w:highlight w:val="none"/>
                <w:lang w:val="en-US" w:eastAsia="zh-CN" w:bidi="ar-SA"/>
              </w:rPr>
              <w:t>0</w:t>
            </w:r>
            <w:r>
              <w:rPr>
                <w:rFonts w:hint="eastAsia" w:ascii="仿宋" w:hAnsi="仿宋" w:eastAsia="仿宋" w:cs="仿宋"/>
                <w:color w:val="0000FF"/>
                <w:szCs w:val="21"/>
                <w:highlight w:val="none"/>
                <w:lang w:bidi="ar-SA"/>
              </w:rPr>
              <w:t>分）</w:t>
            </w:r>
          </w:p>
        </w:tc>
        <w:tc>
          <w:tcPr>
            <w:tcW w:w="386" w:type="pct"/>
            <w:noWrap w:val="0"/>
            <w:vAlign w:val="center"/>
          </w:tcPr>
          <w:p>
            <w:pPr>
              <w:shd w:val="clear" w:color="auto" w:fill="auto"/>
              <w:spacing w:line="440" w:lineRule="exact"/>
              <w:ind w:left="0" w:leftChars="0" w:right="0" w:rightChars="0" w:firstLine="0" w:firstLineChars="0"/>
              <w:rPr>
                <w:rFonts w:hint="default" w:ascii="仿宋" w:hAnsi="仿宋" w:eastAsia="仿宋" w:cs="仿宋"/>
                <w:color w:val="0000FF"/>
                <w:spacing w:val="0"/>
                <w:w w:val="100"/>
                <w:position w:val="0"/>
                <w:sz w:val="24"/>
                <w:szCs w:val="21"/>
                <w:highlight w:val="none"/>
                <w:shd w:val="clear" w:color="auto" w:fill="auto"/>
                <w:lang w:val="en-US" w:eastAsia="zh-CN" w:bidi="ar-SA"/>
              </w:rPr>
            </w:pPr>
            <w:r>
              <w:rPr>
                <w:rFonts w:hint="eastAsia" w:ascii="仿宋" w:hAnsi="仿宋" w:eastAsia="仿宋" w:cs="仿宋"/>
                <w:color w:val="0000FF"/>
                <w:spacing w:val="0"/>
                <w:w w:val="100"/>
                <w:position w:val="0"/>
                <w:sz w:val="24"/>
                <w:szCs w:val="21"/>
                <w:highlight w:val="none"/>
                <w:shd w:val="clear" w:color="auto" w:fill="auto"/>
                <w:lang w:val="en-US" w:eastAsia="zh-CN" w:bidi="ar-SA"/>
              </w:rPr>
              <w:t>10分</w:t>
            </w:r>
          </w:p>
        </w:tc>
        <w:tc>
          <w:tcPr>
            <w:tcW w:w="3606" w:type="pct"/>
            <w:noWrap w:val="0"/>
            <w:vAlign w:val="center"/>
          </w:tcPr>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bidi="ar-SA"/>
              </w:rPr>
              <w:t>团队人员配置要求：为本项目配置具有</w:t>
            </w:r>
            <w:r>
              <w:rPr>
                <w:rFonts w:hint="eastAsia" w:ascii="仿宋" w:hAnsi="仿宋" w:eastAsia="仿宋" w:cs="仿宋"/>
                <w:color w:val="0000FF"/>
                <w:szCs w:val="21"/>
                <w:highlight w:val="none"/>
                <w:lang w:val="en-US" w:eastAsia="zh-CN" w:bidi="ar-SA"/>
              </w:rPr>
              <w:t>软件</w:t>
            </w:r>
            <w:r>
              <w:rPr>
                <w:rFonts w:hint="eastAsia" w:ascii="仿宋" w:hAnsi="仿宋" w:eastAsia="仿宋" w:cs="仿宋"/>
                <w:color w:val="0000FF"/>
                <w:szCs w:val="21"/>
                <w:highlight w:val="none"/>
                <w:lang w:bidi="ar-SA"/>
              </w:rPr>
              <w:t>开发优势的人员资源，包括</w:t>
            </w:r>
            <w:r>
              <w:rPr>
                <w:rFonts w:hint="eastAsia" w:ascii="仿宋" w:hAnsi="仿宋" w:eastAsia="仿宋" w:cs="仿宋"/>
                <w:color w:val="0000FF"/>
                <w:szCs w:val="21"/>
                <w:highlight w:val="none"/>
                <w:lang w:val="en-US" w:eastAsia="zh-CN" w:bidi="ar-SA"/>
              </w:rPr>
              <w:t>1名</w:t>
            </w:r>
            <w:r>
              <w:rPr>
                <w:rFonts w:hint="eastAsia" w:ascii="仿宋" w:hAnsi="仿宋" w:eastAsia="仿宋" w:cs="仿宋"/>
                <w:color w:val="0000FF"/>
                <w:szCs w:val="21"/>
                <w:highlight w:val="none"/>
                <w:lang w:bidi="ar-SA"/>
              </w:rPr>
              <w:t>项目经理</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val="en-US" w:eastAsia="zh-CN" w:bidi="ar-SA"/>
              </w:rPr>
              <w:t>每有1人得1分，最高得1分</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bidi="ar-SA"/>
              </w:rPr>
              <w:t>、研发工程师</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val="en-US" w:eastAsia="zh-CN" w:bidi="ar-SA"/>
              </w:rPr>
              <w:t>每有1人得0.5分，最高得4分</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bidi="ar-SA"/>
              </w:rPr>
              <w:t>，以上岗位不得相互兼任</w:t>
            </w:r>
            <w:r>
              <w:rPr>
                <w:rFonts w:hint="eastAsia" w:ascii="仿宋" w:hAnsi="仿宋" w:eastAsia="仿宋" w:cs="仿宋"/>
                <w:color w:val="0000FF"/>
                <w:szCs w:val="21"/>
                <w:highlight w:val="none"/>
                <w:lang w:eastAsia="zh-CN" w:bidi="ar-SA"/>
              </w:rPr>
              <w:t>。</w:t>
            </w:r>
          </w:p>
          <w:p>
            <w:pPr>
              <w:shd w:val="clear" w:color="auto" w:fill="auto"/>
              <w:spacing w:line="440" w:lineRule="exact"/>
              <w:ind w:left="0" w:leftChars="0" w:right="0" w:rightChars="0" w:firstLine="0" w:firstLineChars="0"/>
              <w:rPr>
                <w:rFonts w:hint="eastAsia" w:ascii="仿宋" w:hAnsi="仿宋" w:eastAsia="仿宋" w:cs="仿宋"/>
                <w:color w:val="0000FF"/>
                <w:spacing w:val="0"/>
                <w:w w:val="100"/>
                <w:position w:val="0"/>
                <w:sz w:val="24"/>
                <w:szCs w:val="21"/>
                <w:highlight w:val="none"/>
                <w:shd w:val="clear" w:color="auto" w:fill="auto"/>
                <w:lang w:val="en-US" w:eastAsia="zh-CN" w:bidi="ar-SA"/>
              </w:rPr>
            </w:pPr>
            <w:r>
              <w:rPr>
                <w:rFonts w:hint="eastAsia" w:ascii="仿宋" w:hAnsi="仿宋" w:eastAsia="仿宋" w:cs="仿宋"/>
                <w:color w:val="0000FF"/>
                <w:szCs w:val="21"/>
                <w:highlight w:val="none"/>
                <w:lang w:bidi="ar-SA"/>
              </w:rPr>
              <w:t>注：投标单位的团队人员须提供在本单位最近6个月的社保缴费证明材料</w:t>
            </w:r>
            <w:r>
              <w:rPr>
                <w:rFonts w:hint="eastAsia" w:ascii="仿宋" w:hAnsi="仿宋" w:eastAsia="仿宋" w:cs="仿宋"/>
                <w:color w:val="0000FF"/>
                <w:szCs w:val="21"/>
                <w:highlight w:val="none"/>
                <w:lang w:val="en-US" w:eastAsia="zh-CN" w:bidi="ar-SA"/>
              </w:rPr>
              <w:t>或缴纳社保的承诺函，及相关资质证书</w:t>
            </w:r>
            <w:r>
              <w:rPr>
                <w:rFonts w:hint="eastAsia" w:ascii="仿宋" w:hAnsi="仿宋" w:eastAsia="仿宋" w:cs="仿宋"/>
                <w:color w:val="0000FF"/>
                <w:szCs w:val="21"/>
                <w:highlight w:val="none"/>
                <w:lang w:bidi="ar-SA"/>
              </w:rPr>
              <w:t>，不提供者不得分。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5000" w:type="pct"/>
            <w:gridSpan w:val="4"/>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技术部分：50分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6" w:hRule="atLeast"/>
        </w:trPr>
        <w:tc>
          <w:tcPr>
            <w:tcW w:w="387"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1</w:t>
            </w:r>
          </w:p>
        </w:tc>
        <w:tc>
          <w:tcPr>
            <w:tcW w:w="619"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技术参数</w:t>
            </w:r>
          </w:p>
        </w:tc>
        <w:tc>
          <w:tcPr>
            <w:tcW w:w="386"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10分</w:t>
            </w:r>
          </w:p>
        </w:tc>
        <w:tc>
          <w:tcPr>
            <w:tcW w:w="360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技术指标、参数完全满足招标文件技术指标、参数要求的得5分；</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技术参数及要求优于招标文件的一项加0.5分，最多加5分；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4" w:hRule="atLeast"/>
        </w:trPr>
        <w:tc>
          <w:tcPr>
            <w:tcW w:w="387"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2</w:t>
            </w:r>
          </w:p>
        </w:tc>
        <w:tc>
          <w:tcPr>
            <w:tcW w:w="619"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方案总体设计</w:t>
            </w:r>
          </w:p>
        </w:tc>
        <w:tc>
          <w:tcPr>
            <w:tcW w:w="386"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15分</w:t>
            </w:r>
          </w:p>
        </w:tc>
        <w:tc>
          <w:tcPr>
            <w:tcW w:w="360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对项目需求理解</w:t>
            </w:r>
            <w:r>
              <w:rPr>
                <w:rFonts w:hint="eastAsia" w:ascii="仿宋" w:hAnsi="仿宋" w:eastAsia="仿宋" w:cs="仿宋"/>
                <w:color w:val="0000FF"/>
                <w:szCs w:val="21"/>
                <w:highlight w:val="none"/>
                <w:lang w:val="en-US" w:eastAsia="zh-CN" w:bidi="ar-SA"/>
              </w:rPr>
              <w:t>陈述</w:t>
            </w:r>
            <w:r>
              <w:rPr>
                <w:rFonts w:hint="eastAsia" w:ascii="仿宋" w:hAnsi="仿宋" w:eastAsia="仿宋" w:cs="仿宋"/>
                <w:color w:val="0000FF"/>
                <w:szCs w:val="21"/>
                <w:highlight w:val="none"/>
                <w:lang w:bidi="ar-SA"/>
              </w:rPr>
              <w:t>准确</w:t>
            </w:r>
            <w:r>
              <w:rPr>
                <w:rFonts w:hint="eastAsia" w:ascii="仿宋" w:hAnsi="仿宋" w:eastAsia="仿宋" w:cs="仿宋"/>
                <w:color w:val="0000FF"/>
                <w:szCs w:val="21"/>
                <w:highlight w:val="none"/>
                <w:lang w:val="en-US" w:eastAsia="zh-CN" w:bidi="ar-SA"/>
              </w:rPr>
              <w:t>得2分；</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能够充分准确分析作业现状</w:t>
            </w:r>
            <w:r>
              <w:rPr>
                <w:rFonts w:hint="eastAsia" w:ascii="仿宋" w:hAnsi="仿宋" w:eastAsia="仿宋" w:cs="仿宋"/>
                <w:color w:val="0000FF"/>
                <w:szCs w:val="21"/>
                <w:highlight w:val="none"/>
                <w:lang w:val="en-US" w:eastAsia="zh-CN" w:bidi="ar-SA"/>
              </w:rPr>
              <w:t>得2分；</w:t>
            </w:r>
          </w:p>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bidi="ar-SA"/>
              </w:rPr>
              <w:t>能够充分准确分析业务流程，能够充分准确分析相关模式</w:t>
            </w:r>
            <w:r>
              <w:rPr>
                <w:rFonts w:hint="eastAsia" w:ascii="仿宋" w:hAnsi="仿宋" w:eastAsia="仿宋" w:cs="仿宋"/>
                <w:color w:val="0000FF"/>
                <w:szCs w:val="21"/>
                <w:highlight w:val="none"/>
                <w:lang w:val="en-US" w:eastAsia="zh-CN" w:bidi="ar-SA"/>
              </w:rPr>
              <w:t>得2分</w:t>
            </w:r>
            <w:r>
              <w:rPr>
                <w:rFonts w:hint="eastAsia" w:ascii="仿宋" w:hAnsi="仿宋" w:eastAsia="仿宋" w:cs="仿宋"/>
                <w:color w:val="0000FF"/>
                <w:szCs w:val="21"/>
                <w:highlight w:val="none"/>
                <w:lang w:eastAsia="zh-CN" w:bidi="ar-SA"/>
              </w:rPr>
              <w:t>；</w:t>
            </w:r>
          </w:p>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bidi="ar-SA"/>
              </w:rPr>
              <w:t>能够准确</w:t>
            </w:r>
            <w:r>
              <w:rPr>
                <w:rFonts w:hint="eastAsia" w:ascii="仿宋" w:hAnsi="仿宋" w:eastAsia="仿宋" w:cs="仿宋"/>
                <w:color w:val="0000FF"/>
                <w:szCs w:val="21"/>
                <w:highlight w:val="none"/>
                <w:lang w:val="en-US" w:eastAsia="zh-CN" w:bidi="ar-SA"/>
              </w:rPr>
              <w:t>描述</w:t>
            </w:r>
            <w:r>
              <w:rPr>
                <w:rFonts w:hint="eastAsia" w:ascii="仿宋" w:hAnsi="仿宋" w:eastAsia="仿宋" w:cs="仿宋"/>
                <w:color w:val="0000FF"/>
                <w:szCs w:val="21"/>
                <w:highlight w:val="none"/>
                <w:lang w:bidi="ar-SA"/>
              </w:rPr>
              <w:t>业务流程与周边系统的关系和协作</w:t>
            </w:r>
            <w:r>
              <w:rPr>
                <w:rFonts w:hint="eastAsia" w:ascii="仿宋" w:hAnsi="仿宋" w:eastAsia="仿宋" w:cs="仿宋"/>
                <w:color w:val="0000FF"/>
                <w:szCs w:val="21"/>
                <w:highlight w:val="none"/>
                <w:lang w:val="en-US" w:eastAsia="zh-CN" w:bidi="ar-SA"/>
              </w:rPr>
              <w:t>得2分</w:t>
            </w:r>
            <w:r>
              <w:rPr>
                <w:rFonts w:hint="eastAsia" w:ascii="仿宋" w:hAnsi="仿宋" w:eastAsia="仿宋" w:cs="仿宋"/>
                <w:color w:val="0000FF"/>
                <w:szCs w:val="21"/>
                <w:highlight w:val="none"/>
                <w:lang w:eastAsia="zh-CN" w:bidi="ar-SA"/>
              </w:rPr>
              <w:t>；</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方案设计科学合理，完全满足项目需求</w:t>
            </w:r>
            <w:r>
              <w:rPr>
                <w:rFonts w:hint="eastAsia" w:ascii="仿宋" w:hAnsi="仿宋" w:eastAsia="仿宋" w:cs="仿宋"/>
                <w:color w:val="0000FF"/>
                <w:szCs w:val="21"/>
                <w:highlight w:val="none"/>
                <w:lang w:val="en-US" w:eastAsia="zh-CN" w:bidi="ar-SA"/>
              </w:rPr>
              <w:t>得2分；</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系统架构设计清晰，技术成熟先进</w:t>
            </w:r>
            <w:r>
              <w:rPr>
                <w:rFonts w:hint="eastAsia" w:ascii="仿宋" w:hAnsi="仿宋" w:eastAsia="仿宋" w:cs="仿宋"/>
                <w:color w:val="0000FF"/>
                <w:szCs w:val="21"/>
                <w:highlight w:val="none"/>
                <w:lang w:val="en-US" w:eastAsia="zh-CN" w:bidi="ar-SA"/>
              </w:rPr>
              <w:t>得2分；</w:t>
            </w:r>
          </w:p>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系统兼容性强</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val="en-US" w:eastAsia="zh-CN" w:bidi="ar-SA"/>
              </w:rPr>
              <w:t>与现有设备对接完善得3分。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trPr>
        <w:tc>
          <w:tcPr>
            <w:tcW w:w="387"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3</w:t>
            </w:r>
          </w:p>
        </w:tc>
        <w:tc>
          <w:tcPr>
            <w:tcW w:w="619"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实施方案完整性</w:t>
            </w:r>
          </w:p>
        </w:tc>
        <w:tc>
          <w:tcPr>
            <w:tcW w:w="386"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7分</w:t>
            </w:r>
          </w:p>
        </w:tc>
        <w:tc>
          <w:tcPr>
            <w:tcW w:w="360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eastAsia="zh-CN" w:bidi="ar-SA"/>
              </w:rPr>
            </w:pPr>
            <w:r>
              <w:rPr>
                <w:rFonts w:hint="eastAsia" w:ascii="仿宋" w:hAnsi="仿宋" w:eastAsia="仿宋" w:cs="仿宋"/>
                <w:color w:val="0000FF"/>
                <w:szCs w:val="21"/>
                <w:highlight w:val="none"/>
                <w:lang w:bidi="ar-SA"/>
              </w:rPr>
              <w:t>实施方案科学合理，制度完善</w:t>
            </w:r>
            <w:r>
              <w:rPr>
                <w:rFonts w:hint="eastAsia" w:ascii="仿宋" w:hAnsi="仿宋" w:eastAsia="仿宋" w:cs="仿宋"/>
                <w:color w:val="0000FF"/>
                <w:szCs w:val="21"/>
                <w:highlight w:val="none"/>
                <w:lang w:val="en-US" w:eastAsia="zh-CN" w:bidi="ar-SA"/>
              </w:rPr>
              <w:t>得2分</w:t>
            </w:r>
            <w:r>
              <w:rPr>
                <w:rFonts w:hint="eastAsia" w:ascii="仿宋" w:hAnsi="仿宋" w:eastAsia="仿宋" w:cs="仿宋"/>
                <w:color w:val="0000FF"/>
                <w:szCs w:val="21"/>
                <w:highlight w:val="none"/>
                <w:lang w:eastAsia="zh-CN" w:bidi="ar-SA"/>
              </w:rPr>
              <w:t>；</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管理措施先进，能够涵盖项目组织机构、项目需求及变更管理计划、项目进度计划、项目质量保障、集成测试、安全保障等方面</w:t>
            </w:r>
            <w:r>
              <w:rPr>
                <w:rFonts w:hint="eastAsia" w:ascii="仿宋" w:hAnsi="仿宋" w:eastAsia="仿宋" w:cs="仿宋"/>
                <w:color w:val="0000FF"/>
                <w:szCs w:val="21"/>
                <w:highlight w:val="none"/>
                <w:lang w:val="en-US" w:eastAsia="zh-CN" w:bidi="ar-SA"/>
              </w:rPr>
              <w:t>得3分；</w:t>
            </w:r>
          </w:p>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对旧系统接口理解充分，对接方案合理</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bidi="ar-SA"/>
              </w:rPr>
              <w:t>能够完全满足甲方管理要求</w:t>
            </w:r>
            <w:r>
              <w:rPr>
                <w:rFonts w:hint="eastAsia" w:ascii="仿宋" w:hAnsi="仿宋" w:eastAsia="仿宋" w:cs="仿宋"/>
                <w:color w:val="0000FF"/>
                <w:szCs w:val="21"/>
                <w:highlight w:val="none"/>
                <w:lang w:val="en-US" w:eastAsia="zh-CN" w:bidi="ar-SA"/>
              </w:rPr>
              <w:t>得2分。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trPr>
        <w:tc>
          <w:tcPr>
            <w:tcW w:w="387"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4</w:t>
            </w:r>
          </w:p>
        </w:tc>
        <w:tc>
          <w:tcPr>
            <w:tcW w:w="619"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提供保证系统安全、可靠性的方案</w:t>
            </w:r>
          </w:p>
        </w:tc>
        <w:tc>
          <w:tcPr>
            <w:tcW w:w="386" w:type="pct"/>
            <w:tcBorders>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10分</w:t>
            </w:r>
          </w:p>
        </w:tc>
        <w:tc>
          <w:tcPr>
            <w:tcW w:w="3606" w:type="pct"/>
            <w:tcBorders>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全面分析了系统安全需求</w:t>
            </w:r>
            <w:r>
              <w:rPr>
                <w:rFonts w:hint="eastAsia" w:ascii="仿宋" w:hAnsi="仿宋" w:eastAsia="仿宋" w:cs="仿宋"/>
                <w:color w:val="0000FF"/>
                <w:szCs w:val="21"/>
                <w:highlight w:val="none"/>
                <w:lang w:val="en-US" w:eastAsia="zh-CN" w:bidi="ar-SA"/>
              </w:rPr>
              <w:t>得3分</w:t>
            </w:r>
            <w:r>
              <w:rPr>
                <w:rFonts w:hint="eastAsia" w:ascii="仿宋" w:hAnsi="仿宋" w:eastAsia="仿宋" w:cs="仿宋"/>
                <w:color w:val="0000FF"/>
                <w:szCs w:val="21"/>
                <w:highlight w:val="none"/>
                <w:lang w:bidi="ar-SA"/>
              </w:rPr>
              <w:t>，</w:t>
            </w:r>
          </w:p>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提供了</w:t>
            </w:r>
            <w:r>
              <w:rPr>
                <w:rFonts w:hint="eastAsia" w:ascii="仿宋" w:hAnsi="仿宋" w:eastAsia="仿宋" w:cs="仿宋"/>
                <w:color w:val="0000FF"/>
                <w:szCs w:val="21"/>
                <w:highlight w:val="none"/>
                <w:lang w:val="en-US" w:eastAsia="zh-CN" w:bidi="ar-SA"/>
              </w:rPr>
              <w:t>本软件的</w:t>
            </w:r>
            <w:r>
              <w:rPr>
                <w:rFonts w:hint="eastAsia" w:ascii="仿宋" w:hAnsi="仿宋" w:eastAsia="仿宋" w:cs="仿宋"/>
                <w:color w:val="0000FF"/>
                <w:szCs w:val="21"/>
                <w:highlight w:val="none"/>
                <w:lang w:bidi="ar-SA"/>
              </w:rPr>
              <w:t>安全架构</w:t>
            </w:r>
            <w:r>
              <w:rPr>
                <w:rFonts w:hint="eastAsia" w:ascii="仿宋" w:hAnsi="仿宋" w:eastAsia="仿宋" w:cs="仿宋"/>
                <w:color w:val="0000FF"/>
                <w:szCs w:val="21"/>
                <w:highlight w:val="none"/>
                <w:lang w:val="en-US" w:eastAsia="zh-CN" w:bidi="ar-SA"/>
              </w:rPr>
              <w:t>及对应安全需求的功能得3分</w:t>
            </w:r>
            <w:r>
              <w:rPr>
                <w:rFonts w:hint="eastAsia" w:ascii="仿宋" w:hAnsi="仿宋" w:eastAsia="仿宋" w:cs="仿宋"/>
                <w:color w:val="0000FF"/>
                <w:szCs w:val="21"/>
                <w:highlight w:val="none"/>
                <w:lang w:bidi="ar-SA"/>
              </w:rPr>
              <w:t>，</w:t>
            </w:r>
          </w:p>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结合用户基础设施现状，提出针对性强</w:t>
            </w:r>
            <w:r>
              <w:rPr>
                <w:rFonts w:hint="eastAsia" w:ascii="仿宋" w:hAnsi="仿宋" w:eastAsia="仿宋" w:cs="仿宋"/>
                <w:color w:val="0000FF"/>
                <w:szCs w:val="21"/>
                <w:highlight w:val="none"/>
                <w:lang w:eastAsia="zh-CN" w:bidi="ar-SA"/>
              </w:rPr>
              <w:t>、</w:t>
            </w:r>
            <w:r>
              <w:rPr>
                <w:rFonts w:hint="eastAsia" w:ascii="仿宋" w:hAnsi="仿宋" w:eastAsia="仿宋" w:cs="仿宋"/>
                <w:color w:val="0000FF"/>
                <w:szCs w:val="21"/>
                <w:highlight w:val="none"/>
                <w:lang w:val="en-US" w:eastAsia="zh-CN" w:bidi="ar-SA"/>
              </w:rPr>
              <w:t>可行性高的</w:t>
            </w:r>
            <w:r>
              <w:rPr>
                <w:rFonts w:hint="eastAsia" w:ascii="仿宋" w:hAnsi="仿宋" w:eastAsia="仿宋" w:cs="仿宋"/>
                <w:color w:val="0000FF"/>
                <w:szCs w:val="21"/>
                <w:highlight w:val="none"/>
                <w:lang w:bidi="ar-SA"/>
              </w:rPr>
              <w:t>信息安全建议</w:t>
            </w:r>
            <w:r>
              <w:rPr>
                <w:rFonts w:hint="eastAsia" w:ascii="仿宋" w:hAnsi="仿宋" w:eastAsia="仿宋" w:cs="仿宋"/>
                <w:color w:val="0000FF"/>
                <w:szCs w:val="21"/>
                <w:highlight w:val="none"/>
                <w:lang w:val="en-US" w:eastAsia="zh-CN" w:bidi="ar-SA"/>
              </w:rPr>
              <w:t>及升级措施得4分。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trPr>
        <w:tc>
          <w:tcPr>
            <w:tcW w:w="387" w:type="pct"/>
            <w:tcBorders>
              <w:top w:val="single" w:color="auto" w:sz="4" w:space="0"/>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5</w:t>
            </w:r>
          </w:p>
        </w:tc>
        <w:tc>
          <w:tcPr>
            <w:tcW w:w="619" w:type="pct"/>
            <w:tcBorders>
              <w:top w:val="single" w:color="auto" w:sz="4" w:space="0"/>
              <w:bottom w:val="single" w:color="auto" w:sz="4" w:space="0"/>
            </w:tcBorders>
            <w:noWrap w:val="0"/>
            <w:vAlign w:val="center"/>
          </w:tcPr>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售后、培训服务</w:t>
            </w:r>
          </w:p>
        </w:tc>
        <w:tc>
          <w:tcPr>
            <w:tcW w:w="386" w:type="pct"/>
            <w:tcBorders>
              <w:top w:val="single" w:color="auto" w:sz="4" w:space="0"/>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val="en-US" w:eastAsia="zh-CN" w:bidi="ar-SA"/>
              </w:rPr>
              <w:t>8分</w:t>
            </w:r>
          </w:p>
        </w:tc>
        <w:tc>
          <w:tcPr>
            <w:tcW w:w="3606" w:type="pct"/>
            <w:tcBorders>
              <w:top w:val="single" w:color="auto" w:sz="4" w:space="0"/>
              <w:bottom w:val="single" w:color="auto" w:sz="4" w:space="0"/>
            </w:tcBorders>
            <w:noWrap w:val="0"/>
            <w:vAlign w:val="center"/>
          </w:tcPr>
          <w:p>
            <w:pPr>
              <w:shd w:val="clear" w:color="auto" w:fill="auto"/>
              <w:spacing w:line="440" w:lineRule="exact"/>
              <w:rPr>
                <w:rFonts w:hint="default" w:ascii="仿宋" w:hAnsi="仿宋" w:eastAsia="仿宋" w:cs="仿宋"/>
                <w:color w:val="0000FF"/>
                <w:szCs w:val="21"/>
                <w:highlight w:val="none"/>
                <w:lang w:val="en-US" w:eastAsia="zh-CN" w:bidi="ar-SA"/>
              </w:rPr>
            </w:pPr>
            <w:r>
              <w:rPr>
                <w:rFonts w:hint="eastAsia" w:ascii="仿宋" w:hAnsi="仿宋" w:eastAsia="仿宋" w:cs="仿宋"/>
                <w:color w:val="0000FF"/>
                <w:szCs w:val="21"/>
                <w:highlight w:val="none"/>
                <w:lang w:bidi="ar-SA"/>
              </w:rPr>
              <w:t>售后服务方案完整、合理、可行</w:t>
            </w:r>
            <w:r>
              <w:rPr>
                <w:rFonts w:hint="eastAsia" w:ascii="仿宋" w:hAnsi="仿宋" w:eastAsia="仿宋" w:cs="仿宋"/>
                <w:color w:val="0000FF"/>
                <w:szCs w:val="21"/>
                <w:highlight w:val="none"/>
                <w:lang w:val="en-US" w:eastAsia="zh-CN" w:bidi="ar-SA"/>
              </w:rPr>
              <w:t>得3分</w:t>
            </w:r>
          </w:p>
          <w:p>
            <w:pPr>
              <w:shd w:val="clear" w:color="auto" w:fill="auto"/>
              <w:spacing w:line="440" w:lineRule="exact"/>
              <w:rPr>
                <w:rFonts w:hint="default" w:ascii="仿宋" w:hAnsi="仿宋" w:eastAsia="仿宋" w:cs="仿宋"/>
                <w:color w:val="0000FF"/>
                <w:szCs w:val="21"/>
                <w:highlight w:val="none"/>
                <w:lang w:val="en-US" w:bidi="ar-SA"/>
              </w:rPr>
            </w:pPr>
            <w:r>
              <w:rPr>
                <w:rFonts w:hint="eastAsia" w:ascii="仿宋" w:hAnsi="仿宋" w:eastAsia="仿宋" w:cs="仿宋"/>
                <w:color w:val="0000FF"/>
                <w:szCs w:val="21"/>
                <w:highlight w:val="none"/>
                <w:lang w:bidi="ar-SA"/>
              </w:rPr>
              <w:t>售后服务方案</w:t>
            </w:r>
            <w:r>
              <w:rPr>
                <w:rFonts w:hint="eastAsia" w:ascii="仿宋" w:hAnsi="仿宋" w:eastAsia="仿宋" w:cs="仿宋"/>
                <w:color w:val="0000FF"/>
                <w:szCs w:val="21"/>
                <w:highlight w:val="none"/>
                <w:lang w:val="en-US" w:eastAsia="zh-CN" w:bidi="ar-SA"/>
              </w:rPr>
              <w:t>能充分考虑到各种突发情况及相应应对环节得3分</w:t>
            </w:r>
          </w:p>
          <w:p>
            <w:pPr>
              <w:shd w:val="clear" w:color="auto" w:fill="auto"/>
              <w:spacing w:line="440" w:lineRule="exact"/>
              <w:rPr>
                <w:rFonts w:hint="eastAsia" w:ascii="仿宋" w:hAnsi="仿宋" w:eastAsia="仿宋" w:cs="仿宋"/>
                <w:color w:val="0000FF"/>
                <w:szCs w:val="21"/>
                <w:highlight w:val="none"/>
                <w:lang w:bidi="ar-SA"/>
              </w:rPr>
            </w:pPr>
            <w:r>
              <w:rPr>
                <w:rFonts w:hint="eastAsia" w:ascii="仿宋" w:hAnsi="仿宋" w:eastAsia="仿宋" w:cs="仿宋"/>
                <w:color w:val="0000FF"/>
                <w:szCs w:val="21"/>
                <w:highlight w:val="none"/>
                <w:lang w:bidi="ar-SA"/>
              </w:rPr>
              <w:t>能够</w:t>
            </w:r>
            <w:r>
              <w:rPr>
                <w:rFonts w:hint="eastAsia" w:ascii="仿宋" w:hAnsi="仿宋" w:eastAsia="仿宋" w:cs="仿宋"/>
                <w:color w:val="0000FF"/>
                <w:szCs w:val="21"/>
                <w:highlight w:val="none"/>
                <w:lang w:val="en-US" w:eastAsia="zh-CN" w:bidi="ar-SA"/>
              </w:rPr>
              <w:t>针对项目各种功能需求</w:t>
            </w:r>
            <w:r>
              <w:rPr>
                <w:rFonts w:hint="eastAsia" w:ascii="仿宋" w:hAnsi="仿宋" w:eastAsia="仿宋" w:cs="仿宋"/>
                <w:color w:val="0000FF"/>
                <w:szCs w:val="21"/>
                <w:highlight w:val="none"/>
                <w:lang w:bidi="ar-SA"/>
              </w:rPr>
              <w:t>提供完整的培训方案</w:t>
            </w:r>
            <w:r>
              <w:rPr>
                <w:rFonts w:hint="eastAsia" w:ascii="仿宋" w:hAnsi="仿宋" w:eastAsia="仿宋" w:cs="仿宋"/>
                <w:color w:val="0000FF"/>
                <w:szCs w:val="21"/>
                <w:highlight w:val="none"/>
                <w:lang w:val="en-US" w:eastAsia="zh-CN" w:bidi="ar-SA"/>
              </w:rPr>
              <w:t>得,2分</w:t>
            </w:r>
          </w:p>
        </w:tc>
      </w:tr>
    </w:tbl>
    <w:p>
      <w:pPr>
        <w:rPr>
          <w:rFonts w:hint="eastAsia" w:ascii="仿宋" w:hAnsi="仿宋" w:eastAsia="仿宋" w:cs="仿宋"/>
          <w:b w:val="0"/>
          <w:bCs w:val="0"/>
          <w:color w:val="auto"/>
          <w:spacing w:val="0"/>
          <w:w w:val="100"/>
          <w:position w:val="0"/>
          <w:sz w:val="24"/>
          <w:szCs w:val="21"/>
          <w:highlight w:val="none"/>
          <w:shd w:val="clear" w:color="auto" w:fill="auto"/>
          <w:lang w:val="en-US" w:eastAsia="en-US" w:bidi="ar-SA"/>
        </w:rPr>
      </w:pPr>
    </w:p>
    <w:p>
      <w:pPr>
        <w:pStyle w:val="39"/>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Style w:val="26"/>
        <w:rPr>
          <w:rFonts w:hint="eastAsia" w:ascii="仿宋" w:hAnsi="仿宋" w:eastAsia="仿宋" w:cs="仿宋"/>
          <w:b/>
          <w:color w:val="auto"/>
          <w:sz w:val="32"/>
          <w:szCs w:val="32"/>
          <w:highlight w:val="none"/>
        </w:rPr>
      </w:pPr>
      <w:bookmarkStart w:id="44" w:name="_Toc469495737"/>
      <w:bookmarkStart w:id="45" w:name="OLE_LINK4"/>
    </w:p>
    <w:p>
      <w:pPr>
        <w:pStyle w:val="26"/>
        <w:rPr>
          <w:rFonts w:hint="eastAsia" w:ascii="仿宋" w:hAnsi="仿宋" w:eastAsia="仿宋" w:cs="仿宋"/>
          <w:b/>
          <w:color w:val="auto"/>
          <w:sz w:val="32"/>
          <w:szCs w:val="32"/>
          <w:highlight w:val="none"/>
        </w:rPr>
        <w:sectPr>
          <w:footerReference r:id="rId8" w:type="default"/>
          <w:pgSz w:w="11906" w:h="16838"/>
          <w:pgMar w:top="1440" w:right="1080" w:bottom="1440" w:left="1080" w:header="851" w:footer="992" w:gutter="0"/>
          <w:pgNumType w:fmt="decimal"/>
          <w:cols w:space="720" w:num="1"/>
          <w:docGrid w:type="linesAndChars" w:linePitch="312" w:charSpace="0"/>
        </w:sectPr>
      </w:pPr>
    </w:p>
    <w:p>
      <w:pPr>
        <w:pageBreakBefore/>
        <w:numPr>
          <w:ilvl w:val="0"/>
          <w:numId w:val="0"/>
        </w:numPr>
        <w:shd w:val="clear" w:color="auto" w:fill="auto"/>
        <w:spacing w:line="360" w:lineRule="auto"/>
        <w:ind w:leftChars="0" w:right="0" w:rightChars="0"/>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36"/>
          <w:szCs w:val="36"/>
          <w:highlight w:val="none"/>
          <w:lang w:eastAsia="zh-CN"/>
        </w:rPr>
        <w:t>第四章</w:t>
      </w:r>
      <w:r>
        <w:rPr>
          <w:rFonts w:hint="eastAsia" w:ascii="仿宋" w:hAnsi="仿宋" w:eastAsia="仿宋" w:cs="仿宋"/>
          <w:b/>
          <w:color w:val="auto"/>
          <w:sz w:val="36"/>
          <w:szCs w:val="36"/>
          <w:highlight w:val="none"/>
          <w:lang w:val="en-US" w:eastAsia="zh-CN"/>
        </w:rPr>
        <w:t xml:space="preserve">  项目采购清单（</w:t>
      </w:r>
      <w:r>
        <w:rPr>
          <w:rFonts w:hint="eastAsia" w:ascii="仿宋" w:hAnsi="仿宋" w:eastAsia="仿宋" w:cs="仿宋"/>
          <w:b/>
          <w:color w:val="auto"/>
          <w:sz w:val="36"/>
          <w:szCs w:val="36"/>
          <w:highlight w:val="none"/>
        </w:rPr>
        <w:t>技术规格、数量及质量要求</w:t>
      </w:r>
      <w:r>
        <w:rPr>
          <w:rFonts w:hint="eastAsia" w:ascii="仿宋" w:hAnsi="仿宋" w:eastAsia="仿宋" w:cs="仿宋"/>
          <w:b/>
          <w:color w:val="auto"/>
          <w:sz w:val="36"/>
          <w:szCs w:val="36"/>
          <w:highlight w:val="none"/>
          <w:lang w:val="en-US" w:eastAsia="zh-CN"/>
        </w:rPr>
        <w:t>）</w:t>
      </w:r>
    </w:p>
    <w:p>
      <w:pPr>
        <w:pStyle w:val="26"/>
        <w:rPr>
          <w:rFonts w:hint="eastAsia" w:ascii="仿宋" w:hAnsi="仿宋" w:eastAsia="仿宋" w:cs="仿宋"/>
          <w:b/>
          <w:color w:val="auto"/>
          <w:sz w:val="32"/>
          <w:szCs w:val="32"/>
          <w:highlight w:val="none"/>
        </w:rPr>
      </w:pP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647"/>
        <w:gridCol w:w="7809"/>
        <w:gridCol w:w="629"/>
        <w:gridCol w:w="629"/>
        <w:gridCol w:w="958"/>
        <w:gridCol w:w="1007"/>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采购服务</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规格要求</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总价</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（元）</w:t>
            </w:r>
          </w:p>
        </w:tc>
        <w:tc>
          <w:tcPr>
            <w:tcW w:w="3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（元）</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燃气营收业务综合管理平台服务</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营业收费系统：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1、权限管理：管理员可以添加操作员及角色，针对操作员或角色分配相应功能模块权限。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2、区域管理：支持多级区域管理，增删改查。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3、地址管理：在此对客户地址进行管理维护，地址可支持到街道、小区、幢、楼、号共九级。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4、客户档案管理：在此对用户进行增、删、改、查管理，同时支持批量导入用户。支持用户类型维护，如工商户、民用户等。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5、阶梯气价管理：在此对用户气价进行维护管理。历史调价记录可追溯，调价支持审核操作。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6、IC卡管理：在此IC卡用户可进行购气、退购、补卡、退补气操作。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7、收费管理：在此对基表、卡表、物联网表用户进行充值，退购，还可支持批量充值操作。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8、财务管理：（1）系统支持个人用户和企业用户的应收、实收账款的管理。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（2）支持销账处理，支持人工销账、自动销账。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（3）按权限反销帐、修改缴费、调整帐户的余额。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（4）打印收费通知单、催缴通知单。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（5）支持公建户的预付款管理，在余额不足时，可发送短信提醒。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（6）在账户层面上实现预付款的查询、资金存储、结算等管理功能。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（7）根据财务账期进行气量月终数据结转、气费月终数据结转、下月初数据生成、月报表数据生成、帐期标识等处理。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（8）调量、调账、冲正业务必须采用冲销方式，不能直接修改历史数据，影响往月的营销报表。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换表管理：用户换表根据用户姓名或用户编号查询需要换表的用户信息，（卡表选择读卡器点击读卡）填写换表信息（表具编号、新表名称、换表原因等）点击确定即可（卡表点击换表写卡，非卡表点击保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10、抄表管理：在此可实现用户抄表管理。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11、用户综合业务管理：在此可实现用户报停、启用、销户、过户、换表操作，还可对商品进行收费操作，如波纹管等商品。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12、表具监控：在此可以查看监控所有表具上报的最新信息，如电量值、信号值、开关阀状态。可根据用户编号查询，也可以点击“更多条件”根据用户姓名查询需要的用户信息。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13、阀门管理：在此可对所有物联网表阀门进行监控及开关阀操作。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14、通讯设置：在此可对所有物联网表上报频率进行设置。支持按天、按周、按月上报设置。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查询&amp;报表：1）客户综合查询：根据用户编号、用户姓名查询用户信息。在综合查询界面不仅可以查询用户的基本信息还可以查询售气记录、退补气记录、抄表记录、上报记录、补卡记录、换表记录、开关阀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2）收费查询：在此财务人员可以按天，按月，按年查询到所有收费信息，包括各渠道，如微信公众号、营业厅等，还可以查询到各支付方式的收款信息；支持导出EXCEL格式，方便对账。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3）物联网用气明细查询：在此可以查询到所有物联网表每天的用气记录信息。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4）物联网抄表率查询：可以查看到所有物联网表每天的上报情况，成功率多少，针对未上报的表具可以导出，方便运营排查为什么不上报。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5）未抄表表具清单：根据页面的查询条件查询未联网抄表清单，采集日期默认查询近一天的抄表信息。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6）日常业务查询：可以查询到补卡、过户、销户记录。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7）开关阀记录：在此可以查询到所有的开关阀历史记录。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8）账户余额查询：根据用户编号、用户名称以及余额的剩余量，查询到账户的所剩余额。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9）多日未充值查询：根据用户编号、用户名称以及表具条码查询多日未充值记录，天数默认是7天。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10）报警监控：在此可以查询到所有表具的报警信息，异常情况。如燃气泄漏，电量不足等。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11）账户余额分析报表：在此可以查看到燃气公司账户余额情况。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12）物联网抄表率分析：查询近1个月物联网表抄表成功率走趋图。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13）大屏看板：查看燃气开户情况、营收情况等。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二、燃气综合抄表系统：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说明：抄表管理功能使燃气公司能够有效地管理燃气表指示数、应收气量等信息。系统除了能有效地实现及验证从各种渠道获得的抄表信息外，还应提供用气量计算、输入异常提醒、查询抄表历史记录等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系统能够整合所有抄表方式，包括物联网自动抄表、自动集中器抄表（有线集中器、无线集中器）、机械表、IC卡表人工抄表（抄表机、安卓终端设备）、半自动抄表（抄表机、安卓终端小无线自动抄表）等。系统要兼容国内主流厂家的各类表计及集中器等设备，只要厂家提供通讯规约和配置参数，并配合调试，均可接入。系统要支持远传阀控和预付费，支持远程调价和阶梯气价，系统能科学地实现断线检测、短路检测、防磁防盗、违章报警、险情报警等功能，并提供报警信息的推送策略。系统要充分预留与其他第三方系统的数据接口，保证后期扩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2、客户档案管理：在此对用户进行增、删、改、查管理，同时支持批量导入用户。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3、表计档案管理：表计档案进行管理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4、远程抄表管理：此对远传表进行抄表管理，可设置抄表通讯时间。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5、数据监控：在此对表具数据进行监控，及时了解表具上传数据情况。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6、统计分析：在此实现用户用气量、收费统计进行分析。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三、物联网采集系统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1、系统说明：物联网表数据采集系统采用B/S架构，针对不同表具、不同协议和不同网络架构，实现统一的数据采集， 并实现对各类表具和通讯设备的管理、运行监控及远程参数设定与操控。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2、采集频率维护：用户可以自定义对表采集频率进行设置维护。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3、报警参数维护：对报警类型维护设置。如：强磁干扰报警、多天不通讯报警、电量不足等。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4、阀控参数维护：对阀控参数维护设置。如：透支关阀上限、余量不足关阀等。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5、表具监控：监控表具通讯情况、剩余量、电池电量、信号强弱、阀门状态等。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6、报警监控:监控所有表具异常报警情况。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7、充值监控：监控所有表具充值下发命令情况。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8、采集数据监控：对所有表具上报采集数据进行查看监控。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9、阀门管理：监控表具阀门状态、并可阀门进行开关阀操作。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10、统计分析：对采集数据进行统计分析。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四、互联网自助服务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系统说明：基于微网厅（公众号）、支付宝（生活缴费）的社会化媒体渠道，提供用户全面的自助网络服务（用户中心、费用查询、服务申请、用气管理、充值缴费、咨询投诉）等功能，为客户提供掌上便民终端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2、微信营业厅：支持用户通过微信公众号进行业务办理及燃气缴费等业务，主要包括用户登记（绑定）、燃气费查询、信息推送、气费缴纳、营业网点、在线客服等。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3、服务申请：包括报装、维修、电子账单、维修等服务。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4、业务查询：包括欠费、收费、业务办理进度、历史业务详单等数据查询。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5、用户缴费：支持营收客服管理系统各类型费用的缴纳。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6、信息推送：用户缴费、欠费通知、入户业务等业务发生时，通过短信或微信渠道，向用户进行信息推送。</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FF"/>
                <w:kern w:val="0"/>
                <w:sz w:val="20"/>
                <w:szCs w:val="20"/>
                <w:u w:val="none"/>
                <w:lang w:val="en-US" w:eastAsia="zh-CN" w:bidi="ar"/>
              </w:rPr>
              <w:t>其它要求：平台需具备至少3家物联网燃气表接入能力。</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燃气监测预警平台服务</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（一）由设备管理平台统一进行全量设备的接入，需满足下表参数要求。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1、多协议接入与数据标准化统一：平台支持多种通讯协议，包括MQTT，CoAP/LWM2M，Http(s)，TCP、JT808、HJ212、SL651等国标行标通讯协议等。对于采集数据通过TDL物模型抽象模块进行数据标准化。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2、规则引擎：提供数据转发，设备联动等功能，通过条件触发，基于预设的规则，可实现设备状态、数据转发至多种目的端，也可引发多设备的协同反应，实现设备联动、智能控制。支持Kafka和RocketMQ消息队列。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3、节电模式：支持LTE Cat.1网络节电服务。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4、物网协同：支持与连接管理平台进行账户绑定，支持连接管理平台账户查看、新增、删除。支持网络状态查询，除了基础的卡信息查询，还需提供设备与卡的自动绑定、卡网络状态统计、卡详细用量统计。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端到端安全可信链：智能化的联动处置综合运营管理体系，让设备、人、应用智能化的协同，要求全链路中的设备、数据和信令为安全可信难以被仿造和篡改。平台提供设备端到应用端的端到端可信链，对体系内各类信息的加解密，密钥保存，密钥生命周期管理进行完整的支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（二）燃气监测预警应用端平台，直接面向客户使用，能够支持设备状态查看、报警列表查询、设备快速定位。支持多层级、多地区不同权限管理及设置。此外可提供小程序应用面向C端用户使用。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平台是由小程序+PC端组成。小程序实现用户自行注册、绑定设备，可随时查看设备产生的告警以及相关信息。PC端实现设备的统一管理，统一对设备进行分配，导入、安装。前端框架使用react,采用微前端架构，后台框架采用Java语言开发，基于SpringBoot，SpringCloud，采用微服务架构，并支持国产化服务私有化部署。</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1、小程序：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1.1注册/登录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（1）注册：手机号+验证码注册；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（2）快速登录：微信、手机验证码快捷登录。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1.2首页：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（1）使用者信息：首次登录填写使用者信息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（2）设备添加：通过扫描或输入序列号添加燃气设备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（3）数据刷新：一键获取最新设备数据信息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（1）设备列表：展示所有设备在当前账户下的信息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（2）设备管理 查看设备定位、联系人设置、解绑操作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1.4、消息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（1）告警消息：查看设备告警产生的消息，支持筛选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（2）系统消息：查看平台通知或其它的系统消息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1.5、我的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（1）个人信息 获取登录者的个人微信信息，支持修改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（2）操作指南 提供设备或平台的操作方法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（3）使用者档案 维护使用者信息，新增或删除</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（4）推送管理 平台设备产生告警推送开关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（5）设备共享 实现多账户统一管理设备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2、PC端（Web）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2.1、用户权限管理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（1）用户管理：用户信息的添加及修改，查看用户信息列表。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（2）角色管理：角色的划分是按照授权的需要进行的，角色的管理最主要的是给角色授权，而角色的授权是按照信息操作的流程授予角色对信息有哪些操作权限。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2.2、功能管理：功能管理是通过一些基础参数的维护实现对各平台所需模块的灵活配置。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2.3、组织机构管理：组织机构管理是通过租户实现对各用户所需组织机构的灵活配置。模块信息通过删除功能、修改信息、新增功能进行管理。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2.4、设备管理：设备管理 可根据设备ID、负责人、联系人等查询条件对设备进行多维度查询，可实现批量按照，修改、解绑功能。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2.5、告警管理：告警管理 可根据告警类型、告警时间等查询条件对告警记录进行多维度查询。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2.6、日志管理：日志管理 可以查看系统登录日志。</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燃气营收业务综合管理平台物理服务器</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1、国产品牌，非OEM产品，2U机架式服务器；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2、处理器：配置≥2*4216(2.1GHz/16-Core/22MB/100W)处理器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3、内存：配置≥2*32GB DDR4 RDIMM 2933MT  内存；最多可扩展24个内存条；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4、硬盘：配置≥2T-SATA 6Gb/s-7.2K rpm-128MB或以上-3.5英寸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5、RAID：SR130-BC1M05ESMN-SR130 (LSI3008)-SAS/SATA RAID Card-RAID0,1,1E,+600mm MiniSAS HD模块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6、网络：配置2个千兆网口对外提供1个10/100Mbps RJ45管理网口,2个万兆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7、IO：最多支持≥8个PCIe扩展插槽，4个USB</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民用燃气监测预警平台物理服务器</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1、国产品牌，非OEM产品，2U机架式服务器；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2、处理器：配置≥2*4216(2.1GHz/16-Core/22MB/100W)处理器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3、内存：配置≥2*32GB DDR4 RDIMM 2933MT  内存；最多可扩展24个内存条；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4、硬盘：配置≥2T-SATA 6Gb/s-7.2K rpm-128MB或以上-3.5英寸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5、RAID：SR130-BC1M05ESMN-SR130 (LSI3008)-SAS/SATA RAID Card-RAID0,1,1E,+600mm MiniSAS HD模块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6、网络：配置2个千兆网口对外提供1个10/100Mbps RJ45管理网口,2个万兆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7、IO：最多支持≥8个PCIe扩展插槽，5个USB</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1"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出口防火墙</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标准1U上架设备，单交流电源；配置不少于6个千兆电口，4个千兆光口；整机吞吐量≥6Gbps，最大并发连接数≥400万，每秒新建连接数≥4万；默认支持IPSec VPN和SSL VPN模块，实配80个SSL VPN并发用户授权；基于产品可靠性角度考虑，要求防火墙必须具备2个操作系统互为备份，且需要支持一个可用于恢复的操作系统，系统切换可在web页面完成；支持防病毒功能模块；支持IPv4和IPv6双栈协议下的主动防御，对服务器、主机进行后门、服务探测、文件共享、系统补丁、IE漏洞等主动式扫描；具备反垃圾邮件功能，支持邮件自动加密发送功能，并可将密码通过短信形式发送给指定用户；支持对主流数据库基于用户的细粒度权限控制，限制使用create、drop等数据库原语，实现对数据库服务器的保护；支持端口联动，支持上下行端口组的联动，可以实现单端口决定同组中的任意接口失效启动链路切换；</w:t>
            </w:r>
            <w:r>
              <w:rPr>
                <w:rStyle w:val="48"/>
                <w:color w:val="auto"/>
                <w:lang w:val="en-US" w:eastAsia="zh-CN" w:bidi="ar"/>
              </w:rPr>
              <w:t>三年软件升级服务，三年硬件质保服务。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2"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Web应用安全防护系统</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标准2U上架设备，双冗余电源；配置不少于1个RJ-45 Console口，1个GE带外管理口，1个10/100/1000 Base-T HA口，4个具备BYPASS功能的10/100/1000Base-T接口，1个接口扩展槽位，可选配Leadsec-WAF-NIM系列接口板卡；整机吞吐量≥5Gbps，HTTP吞吐量≥1Gbps，最大并发HTTP连接数≥220万；产品为专业性WEB应用防火墙设备及专业性WEB应用防火墙资质，而非NGAF、NGFW、UTM设备及资质；支持智能部署，上线WAF设备能够自动感知Web网站IP和端口；具备蜜罐检测功能，诱使攻击方对它实施攻击，从而可以对攻击行为进行捕获和阻断；具备业务合规功能，可对业务进行恶意试探、恶意撞库、恶意登录等行为进行检测及拦截；具备深度网站检测识别能力；支持NAT环境下的用户识别能力；具备网站锁功能，对网站进行锁定，可按日期、周期进行锁定时间设置；支持主主模式且主主模式配置、运行状态进行同步；</w:t>
            </w:r>
            <w:r>
              <w:rPr>
                <w:rStyle w:val="48"/>
                <w:color w:val="auto"/>
                <w:lang w:val="en-US" w:eastAsia="zh-CN" w:bidi="ar"/>
              </w:rPr>
              <w:t>三年软件版本及Web攻击防护特征库升级服务，三年硬件质保服务。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日志审计系统</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1U机架设备，单交流电源；配置不少于1个GE管理口，2个USB接口，6个千兆电口，1个接口扩展槽位，可选配Leadsec-RS系列接口板卡，有效存储容量≥2TB；日志平均处理性能≥3000EPS，实配30个审计对象授权；支持对国内主流国产化数据库进行日志数据采集，包括武汉达梦、人大金仓、南大通用、神州通用等；支持动态表名模式进行数据库采集，能自定义采集数据库时间和数字进行增量数据采集；能够根据收到的事件的设备地址自动识别新的资产并自动添加到资产库中；日志可加密压缩传输 支持加密压缩方式转发，定时转发；支持对选中的日志提供在线/离线地图定位、视网膜图、事件拓扑图等多种分析工具；能够显示告警状态雷达图，日志趋势曲线图，最近事件览图，最近一段时间不同日志分类的日志数量，不同等级的日志的数量，事件EPS曲线；支持全智能范式化解析模式，通过配置原始日志标识库，系统能自动识别原始日志，并匹配映射系统通用标准字段，同时还可以进行解析字段的编辑和调整，确保日志解析达到想要的细粒度和效果；支持系统时间同步，能够指定时钟服务器，确保审计系统与用户网络环境的时间保持同步；支持与Kafka、Hadoop、ES、MangoDB、SAP HANA内存数据库大数据存储组件对接进行日志数据传输采集；</w:t>
            </w:r>
            <w:r>
              <w:rPr>
                <w:rStyle w:val="48"/>
                <w:color w:val="auto"/>
                <w:lang w:val="en-US" w:eastAsia="zh-CN" w:bidi="ar"/>
              </w:rPr>
              <w:t>三年软件版本升级服务，三年硬件质保服务。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7"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数据库审计系统</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2U机架设备，双冗余电源；配置不少于1个RJ45串口，6个千兆电口，1个接口扩展槽，可选配LA-DAP-HM系列接口板卡，硬盘≥2TB；整机吞吐量≥2Gbps，每秒入库速度≥6000条，包含3个被审计数据库服务数授权，可扩充；支持主流数据库如Oracle、SQL-Server、MySQL、达梦、人大金仓等数据库的审计；支持对Oracle数据库状态的自动监控，可监控会话数、连接进程、CPU和内存占用率等信息；支持数据库中存储过程自动学习，可学习存储过程中涉及的操作并与审计事件中的存储过程名进行关联，方便确认存储过程是否存在风险；支持自动建立数据库操作行为基线；支持用户操作轨迹图展示，轨迹图维度可根据资源账号、源ip、客户端程序名、命令、表名、错误码等按需定义，可根据昨天、最近七天、最近30天以及自定义时间进行轨迹显示，可显示下一节点数量，可在某一维度中进行筛选；支持一键自检功能，可以检查系统当前运行状态，检查内容包括：系统信息、进程信息、数据库信息、授权信息、用户信息内容，协助管理员迅速定位系统异常，减少日常维护工作量；支持动态口令卡认证，账号具备独立动态口令卡，提升管理员账号安全级别，降低账号泄露风险；支持记录审计事件、界面告警、Syslog告警、SNMP trap告警、邮件告警、短信告警等多种响应方式；支持与本项目中的Web应用防火墙（WAF）联动，可对WAF上报的应用系统攻击实现场景还原展示；</w:t>
            </w:r>
            <w:r>
              <w:rPr>
                <w:rStyle w:val="48"/>
                <w:color w:val="auto"/>
                <w:lang w:val="en-US" w:eastAsia="zh-CN" w:bidi="ar"/>
              </w:rPr>
              <w:t>三年软件版本升级服务，三年硬件质保服务。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5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漏洞扫描</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标准1U机架设备，单交流电源；配置不少于1个RJ45 Console口，2个USB接口，6个千兆电口，1个接口扩展插槽，可选配TS-SC-SLOT系列接口板卡；配置网御漏洞扫描系统授权，可扫描IP地址总数无限制，单任务最大可扫描≥100IP地址，并发扫描≥40IP地址；集成系统漏洞扫描、Web应用扫描、基线核查于一体，支持通过购买授权的方式扩展Web应用扫描和基线核查功能，支持扫描的漏洞数量不少于120000个；支持对主流操作系统的识别与扫描，包括：Windows、Redhat、Ubuntu、深度、红旗、中标麒麟等；支持对主流数据库的识别与扫描，包括：Oracle、Sybase、GBASE、GaussDB、达梦、人大金仓、优炫等，能够扫描的数据库漏洞扫描方法不小于2600种；支持国产应用软件的识别与扫描，包括：Foxit、WPS、永中、数科、用友、景云、北信源等；支持大华、海康、宇视、雄迈、科达等视频监控类设备扫描；支持漏洞验证功能，在扫描结束后，能够对结果中的重要漏洞进行现场验证，展示漏洞利用过程和风险；支持以txt、csv、dat、xls等格式进行资产列表的导入；支持输出单独的系统漏扫报表，报告中的漏洞应具备统一的CVSS国际标准评分，以准确衡量漏洞的危险级别，为漏洞修补工作的优先级提供指导；</w:t>
            </w:r>
            <w:r>
              <w:rPr>
                <w:rStyle w:val="48"/>
                <w:color w:val="auto"/>
                <w:lang w:val="en-US" w:eastAsia="zh-CN" w:bidi="ar"/>
              </w:rPr>
              <w:t>三年软件版本及漏洞库升级服务，三年硬件质保服务。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安全扫描设备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主机安全管理系统（含硬件服务器）</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软件产品，支持便捷部署模式，无需单独数据库，采用Web方式进行管理；客户端支持主流Windows系统，包括：Windows XP - windows 10，winServer 2003+；客户端支持主流Linux操作系统，包括：CentOS 6+、RedHat 6+、Debian 7+、Ubuntu 14+、fedora 14+；支持终端使用率限制及资源上限监控，主机资源过高时，客户端降级运行或暂停运行；支持windows与linux策略进行差异化配置与维护；支持详细记录终端进程每一次变动信息，包括：进程ID、进程名、动作（启动、退出）、进程路径、父进程ID、父进程名、进程命令行参数、启动或退出时间、进程所属会话、启动进程的用户名称；支持对终端脆弱性扫描统计呈现，并对漏洞按照一般、低危、中危、高危进行统计分类；支持终端基线检查，检查内容包括：补丁版本、防火墙状态、远程桌面状态、共享目录状态、打印机共享权限、IPC共享权限、屏保状态、高危端口、密码复杂度、密码长度、密码使用期限检查、弱密码；支持勒索病毒专杀；支持文件保险箱、数据备份、文件诱捕、文件备份与恢复，提供截图证明；支持非法外联检查，当检测到外联行为时，可对主机进行断网、外设封禁等响应；支持基于白名单外设自学习及白名单运行控制能力，保护业务所需外设可正常使用，防止未知外设接入带来的潜在安全风险；支持周期性自动刷新执行，降低人工点选工作量，便于持续分析内容，定位安全威胁；支持通过syslog、kafka将数据推送至第三方平台；支持通过大屏进行数据聚合展示，了解全网安全状态；配置硬件服务器一台：4核CPU 至强E5以上,16G内存，4TB硬盘，CentOS7.6系统最小化安装；三年软件升版本及病毒库升级服务。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核心交换机（光交换）</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一体化总装机箱,主控板*2,800W交流电源*2，2块主控板槽位，业务槽位3个，交换容量38.4Tbps/168Tbps，包转发率7200Mpps/36000Mpps ,含1块48端口百兆/千兆以太网光接口板(SFP)，1块48端口十兆/百兆/千兆以太网电接口板(RJ45)</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接入交换机</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24个10/100/1000BASE-T以太网端口,4个千兆SFP,交流供电，交换容量336Gbps/3.36Tbps，包转发率51/126Mpps</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核心路由器</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WAN口数：4*GE电+4*10GE光，LAN口数：12*GE电+4*SIC插槽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带机量1000台PC，转发性能9Mpps-40Mpps，交换容量20Gbps-80Gbps，免费可管理4个AP（仅Wi-Fi 5），最大支持64个</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机柜</w:t>
            </w:r>
          </w:p>
        </w:tc>
        <w:tc>
          <w:tcPr>
            <w:tcW w:w="2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600*1200*2000</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UPS</w:t>
            </w:r>
          </w:p>
        </w:tc>
        <w:tc>
          <w:tcPr>
            <w:tcW w:w="2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1.UPS容量 高频在线式20KVA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2.UPS 整流器：具有限流功能, 并可做大电流充电、均充、浮充三段式充电,，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3.UPS蓄电池电源±96-±120VDC可调节，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4.UPS 输出可承受100%之三相不平衡负载，UPS 输出可承受100%之三相不平衡负载，100%不平衡负载输出电压不平衡度应≤3%                                                                   5.输出功因：≥0.9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6.切换时间（ms）：0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7.过载能力：负载≤110%，60min；≤125%，10min；≤150%，1min</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8.含32节100AH/12V铅酸防漏液蓄电池，后备2小时；</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网线、电源线、光纤（光模块）和其他辅材</w:t>
            </w:r>
          </w:p>
        </w:tc>
        <w:tc>
          <w:tcPr>
            <w:tcW w:w="2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网线、电源线、光纤（光模块）、配线架、理线架、跳线和其他辅材</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专线链路</w:t>
            </w:r>
          </w:p>
        </w:tc>
        <w:tc>
          <w:tcPr>
            <w:tcW w:w="2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50M互联网专线，含10年通讯费用，含1个公网IP地址。</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10年费用。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系统集成服务</w:t>
            </w:r>
          </w:p>
        </w:tc>
        <w:tc>
          <w:tcPr>
            <w:tcW w:w="2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机房服务器、安全设备等安装实施、系统测试、维护、联调、施工组织、方案规划、系统及设备检查</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总计</w:t>
            </w: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r>
    </w:tbl>
    <w:p>
      <w:pPr>
        <w:pStyle w:val="26"/>
        <w:rPr>
          <w:rFonts w:hint="eastAsia" w:ascii="仿宋" w:hAnsi="仿宋" w:eastAsia="仿宋" w:cs="仿宋"/>
          <w:b/>
          <w:color w:val="auto"/>
          <w:sz w:val="32"/>
          <w:szCs w:val="32"/>
          <w:highlight w:val="none"/>
        </w:rPr>
        <w:sectPr>
          <w:pgSz w:w="16838" w:h="11906" w:orient="landscape"/>
          <w:pgMar w:top="1080" w:right="1440" w:bottom="1080" w:left="1440" w:header="851" w:footer="992" w:gutter="0"/>
          <w:pgNumType w:fmt="decimal"/>
          <w:cols w:space="720" w:num="1"/>
          <w:docGrid w:type="linesAndChars" w:linePitch="312" w:charSpace="0"/>
        </w:sectPr>
      </w:pPr>
    </w:p>
    <w:bookmarkEnd w:id="38"/>
    <w:bookmarkEnd w:id="44"/>
    <w:p>
      <w:pPr>
        <w:spacing w:line="360" w:lineRule="auto"/>
        <w:rPr>
          <w:rFonts w:hint="eastAsia" w:ascii="仿宋" w:hAnsi="仿宋" w:eastAsia="仿宋" w:cs="仿宋"/>
          <w:b/>
          <w:bCs/>
          <w:color w:val="auto"/>
          <w:sz w:val="24"/>
          <w:szCs w:val="24"/>
          <w:lang w:eastAsia="zh-CN"/>
        </w:rPr>
      </w:pPr>
      <w:bookmarkStart w:id="46" w:name="_Toc267320052"/>
      <w:bookmarkStart w:id="47" w:name="_Toc340225294"/>
      <w:r>
        <w:rPr>
          <w:rFonts w:hint="eastAsia" w:ascii="仿宋" w:hAnsi="仿宋" w:eastAsia="仿宋" w:cs="仿宋"/>
          <w:b/>
          <w:bCs/>
          <w:color w:val="auto"/>
          <w:sz w:val="24"/>
          <w:szCs w:val="24"/>
          <w:lang w:eastAsia="zh-CN"/>
        </w:rPr>
        <w:t>1.2包装要求</w:t>
      </w:r>
    </w:p>
    <w:p>
      <w:pPr>
        <w:spacing w:line="360" w:lineRule="auto"/>
        <w:ind w:firstLine="49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项目商务要求</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（一）实施（供货及安装期限）时间</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签订合同后</w:t>
      </w:r>
      <w:r>
        <w:rPr>
          <w:rFonts w:hint="eastAsia" w:ascii="仿宋" w:hAnsi="仿宋" w:eastAsia="仿宋" w:cs="仿宋"/>
          <w:color w:val="auto"/>
          <w:sz w:val="24"/>
          <w:szCs w:val="24"/>
          <w:u w:val="single"/>
          <w:lang w:val="en-US" w:eastAsia="zh-CN"/>
        </w:rPr>
        <w:t xml:space="preserve"> 30 </w:t>
      </w:r>
      <w:r>
        <w:rPr>
          <w:rFonts w:hint="eastAsia" w:ascii="仿宋" w:hAnsi="仿宋" w:eastAsia="仿宋" w:cs="仿宋"/>
          <w:color w:val="auto"/>
          <w:sz w:val="24"/>
          <w:szCs w:val="24"/>
          <w:lang w:val="en-US" w:eastAsia="zh-CN"/>
        </w:rPr>
        <w:t>天内完成供货及安装调试完毕；</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（二）实施（交货）地点</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实施（交货）地点：甲方指定地点</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（三）报价要求</w:t>
      </w:r>
    </w:p>
    <w:p>
      <w:pPr>
        <w:spacing w:line="360" w:lineRule="auto"/>
        <w:ind w:firstLine="49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项目报价采用人民币综合单价，投标供应商应严格按照“开标一览表”和“分项报价明细表”的格式认真填写。本项目只接受一个投标报价，有选择的或有条件的报价将不予接受。</w:t>
      </w:r>
    </w:p>
    <w:p>
      <w:pPr>
        <w:spacing w:line="360" w:lineRule="auto"/>
        <w:ind w:firstLine="490" w:firstLineChars="200"/>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投标企业报价必须考虑事宜如下：从采购、运输、税金、安装维修、卸货至指定地点、验收合格、交付使用及售后服务等的人民币报价。单价包括了货物本身价格、运输税金费、安装维修费、现场检验试验费、交付使用及售后服务费等，因质量问题引起的更换、技术指导和培训、成品保护、投标人的利润、税金、政策性文件的规定以及包括原材料涨价等合同明示或暗示的所有一切风险、责任和义务的费用，本次报价投标企业必须考虑清楚一切费用，一旦中标不增加任何费用。</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（四）质保要求</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1、本项目质保期</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lang w:val="en-US" w:eastAsia="zh-CN"/>
        </w:rPr>
        <w:t>年，质保期内免费维修。</w:t>
      </w:r>
    </w:p>
    <w:p>
      <w:pPr>
        <w:spacing w:line="360" w:lineRule="auto"/>
        <w:ind w:firstLine="49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2、质量标准：货物的技术指标作为交货验收时的依据（采购人按照所投产品的技术规格及商务要求验收，如投标人实际应标的标准高于国家标准及招标文件中的要求，则按投标人应标标准验收）。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3、投标人应保证用品是全新、未使用过的合格正品,并完全符合国家规定的质量、规格和性能要求。</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4、投标人提供伪劣假冒商品或非合格全新的，投标人应无条件更换为合格产品。给甲方造成损失的,应承担赔偿责任。</w:t>
      </w:r>
    </w:p>
    <w:p>
      <w:pPr>
        <w:spacing w:line="360" w:lineRule="auto"/>
        <w:ind w:firstLine="490" w:firstLineChars="200"/>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5、所供货物质量如达不到甲方质量要求的，必须按甲方要求更换，更换至甲方满意为止。</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（五）售后服务、理赔、质量技术及验收保证的承诺</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1、产品质量：在合同期内甲方正常使用乙方所供产品而出现质量问题时，乙方负责。产品使用：甲方在使用乙方所供产品中出现问题需乙方解决时，乙方应无偿解决（退换货）。</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①、货物到达现场后，供应商应在使用单位人员在场情况下当面共同清点、检查，作出检查记录，双方签字确认。</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②、货物验收时，供应商向采购人提供所有构件的生产厂家出具的出厂合格证、厂家资格证件、安装手册、操作手册、维修保养手册等，否则甲方不予以验收。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 3 \* GB3 \* MERGEFORMAT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w:t>
      </w:r>
      <w:r>
        <w:rPr>
          <w:rFonts w:hint="eastAsia" w:ascii="仿宋" w:hAnsi="仿宋" w:eastAsia="仿宋" w:cs="仿宋"/>
          <w:color w:val="000000" w:themeColor="text1"/>
          <w:sz w:val="24"/>
          <w:szCs w:val="24"/>
          <w:lang w:val="en-US" w:eastAsia="zh-CN"/>
          <w14:textFill>
            <w14:solidFill>
              <w14:schemeClr w14:val="tx1"/>
            </w14:solidFill>
          </w14:textFill>
        </w:rPr>
        <w:t>货物的技术指标作为交货验收时的依据（采购人按照所投产品的技术规格及商务要求验收货物，如投标人实际应标的标准高于国家标准及招标文件中的要求，则按投标人应标标准验收）</w:t>
      </w:r>
      <w:r>
        <w:rPr>
          <w:rFonts w:hint="eastAsia" w:ascii="仿宋" w:hAnsi="仿宋" w:eastAsia="仿宋" w:cs="仿宋"/>
          <w:color w:val="auto"/>
          <w:sz w:val="24"/>
          <w:szCs w:val="24"/>
          <w:lang w:val="en-US" w:eastAsia="zh-CN"/>
        </w:rPr>
        <w:t>。</w:t>
      </w:r>
    </w:p>
    <w:p>
      <w:pPr>
        <w:spacing w:line="360" w:lineRule="auto"/>
        <w:ind w:firstLine="490" w:firstLineChars="200"/>
        <w:rPr>
          <w:rFonts w:hint="eastAsia" w:ascii="仿宋" w:hAnsi="仿宋" w:eastAsia="仿宋" w:cs="仿宋"/>
          <w:b w:val="0"/>
          <w:color w:val="auto"/>
          <w:spacing w:val="0"/>
          <w:w w:val="100"/>
          <w:position w:val="0"/>
          <w:sz w:val="24"/>
          <w:szCs w:val="24"/>
          <w:shd w:val="clear" w:color="auto" w:fill="auto"/>
          <w:lang w:val="en-US" w:eastAsia="zh-CN" w:bidi="en-US"/>
        </w:rPr>
      </w:pPr>
      <w:r>
        <w:rPr>
          <w:rFonts w:hint="eastAsia" w:ascii="仿宋" w:hAnsi="仿宋" w:eastAsia="仿宋" w:cs="仿宋"/>
          <w:b w:val="0"/>
          <w:color w:val="auto"/>
          <w:spacing w:val="0"/>
          <w:w w:val="100"/>
          <w:position w:val="0"/>
          <w:sz w:val="24"/>
          <w:szCs w:val="24"/>
          <w:shd w:val="clear" w:color="auto" w:fill="auto"/>
          <w:lang w:val="en-US" w:eastAsia="zh-CN" w:bidi="en-US"/>
        </w:rPr>
        <w:t>④、</w:t>
      </w:r>
      <w:r>
        <w:rPr>
          <w:rFonts w:hint="eastAsia" w:ascii="仿宋" w:hAnsi="仿宋" w:eastAsia="仿宋" w:cs="仿宋"/>
          <w:color w:val="000000" w:themeColor="text1"/>
          <w:sz w:val="24"/>
          <w:szCs w:val="24"/>
          <w:lang w:val="en-US" w:eastAsia="zh-CN"/>
          <w14:textFill>
            <w14:solidFill>
              <w14:schemeClr w14:val="tx1"/>
            </w14:solidFill>
          </w14:textFill>
        </w:rPr>
        <w:t>供应商提供的货物未达到招标文件规定要求，且对采购人造成损失的，由供应商承担一切责任，并赔偿所造成的损失。</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1）凡乙方所售产品，在质保期之内设备出现非人为损坏，上门服务不收任何费用。质保期过后只收取配件的成本费，免费维修。</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2）在质保期外，提供零配件和保养服务（只计取成本费）。</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3）质保期满后，若有零部件出现故障，经权威部门签定属于寿命异常问题（明显短于该零部件正常寿命）时，则由乙方负责免费更换及维修。</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4）质保期满后不能维修的，配件更换，只收成本费。在配件停止生产的情况下，乙方事先将要停止生产的计划通知用户，使用户有足够的时间采购所需备件。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5）质保期内，自设备投入使用之日起开始计算，提供每年不少于2次回访。</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6）供应商须配备必备的原厂零配件，零配件必须满足正常使用1年的零配件损耗，保证设备正常运行。</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7）甲方正常使用乙方所供产品出现损坏需要维修时，乙方须在2小时内响应，12小时内到达现场进行处理，一般24小时内解决故障问题，重大故障48小时内解决故障问题。</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8）供应商提供的货物未达到招标文件规定要求，且对采购人造成损失的，由供应商承担一切责任，并赔偿所造成的损失。</w:t>
      </w:r>
    </w:p>
    <w:p>
      <w:pPr>
        <w:spacing w:line="360" w:lineRule="auto"/>
        <w:ind w:firstLine="490"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（六）付款方式</w:t>
      </w:r>
    </w:p>
    <w:bookmarkEnd w:id="45"/>
    <w:bookmarkEnd w:id="46"/>
    <w:bookmarkEnd w:id="47"/>
    <w:p>
      <w:pPr>
        <w:shd w:val="clear" w:color="auto" w:fill="auto"/>
        <w:spacing w:line="360" w:lineRule="auto"/>
        <w:ind w:firstLine="490" w:firstLineChars="200"/>
        <w:jc w:val="left"/>
        <w:rPr>
          <w:rFonts w:hint="eastAsia" w:ascii="仿宋" w:hAnsi="仿宋" w:eastAsia="仿宋" w:cs="仿宋"/>
          <w:color w:val="0000FF"/>
          <w:sz w:val="24"/>
          <w:szCs w:val="24"/>
          <w:lang w:val="en-US" w:eastAsia="zh-CN"/>
        </w:rPr>
      </w:pPr>
      <w:bookmarkStart w:id="48" w:name="_Toc8238"/>
      <w:bookmarkStart w:id="49" w:name="_Toc16945"/>
      <w:bookmarkStart w:id="50" w:name="_Toc21807"/>
      <w:bookmarkStart w:id="51" w:name="_Toc469495740"/>
      <w:r>
        <w:rPr>
          <w:rFonts w:hint="eastAsia" w:ascii="仿宋" w:hAnsi="仿宋" w:eastAsia="仿宋" w:cs="仿宋"/>
          <w:color w:val="0000FF"/>
          <w:sz w:val="24"/>
          <w:szCs w:val="24"/>
          <w:lang w:val="en-US" w:eastAsia="zh-CN"/>
        </w:rPr>
        <w:t>项目合同签订后，软、硬件按照合同约定移交至甲方指定地点付合同款项50%，软、硬件成功运营及验收合格后支付剩余50%的款项（实际以签订合同为准）。</w:t>
      </w:r>
    </w:p>
    <w:p>
      <w:pPr>
        <w:spacing w:line="360" w:lineRule="auto"/>
        <w:ind w:firstLine="490" w:firstLineChars="20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lang w:eastAsia="zh-CN"/>
        </w:rPr>
        <w:t>知识产权</w:t>
      </w:r>
      <w:bookmarkEnd w:id="48"/>
      <w:bookmarkEnd w:id="49"/>
      <w:bookmarkEnd w:id="50"/>
    </w:p>
    <w:p>
      <w:pPr>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spacing w:line="360" w:lineRule="auto"/>
        <w:ind w:firstLine="490" w:firstLineChars="200"/>
        <w:rPr>
          <w:rFonts w:hint="eastAsia" w:ascii="仿宋" w:hAnsi="仿宋" w:eastAsia="仿宋" w:cs="仿宋"/>
          <w:b/>
          <w:bCs/>
          <w:color w:val="auto"/>
          <w:sz w:val="24"/>
          <w:szCs w:val="24"/>
          <w:lang w:eastAsia="zh-CN"/>
        </w:rPr>
      </w:pPr>
      <w:bookmarkStart w:id="52" w:name="_Toc7598"/>
      <w:bookmarkStart w:id="53" w:name="_Toc12239"/>
      <w:bookmarkStart w:id="54" w:name="_Toc20832"/>
      <w:bookmarkStart w:id="55" w:name="_Toc267320054"/>
      <w:bookmarkStart w:id="56" w:name="_Toc439255252"/>
      <w:bookmarkStart w:id="57" w:name="_Toc12840_WPSOffice_Level1"/>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lang w:eastAsia="zh-CN"/>
        </w:rPr>
        <w:t>其他</w:t>
      </w:r>
      <w:bookmarkEnd w:id="52"/>
      <w:bookmarkEnd w:id="53"/>
      <w:bookmarkEnd w:id="54"/>
    </w:p>
    <w:bookmarkEnd w:id="55"/>
    <w:bookmarkEnd w:id="56"/>
    <w:bookmarkEnd w:id="57"/>
    <w:p>
      <w:pPr>
        <w:shd w:val="clear" w:color="auto" w:fill="auto"/>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1、投标人必须在投标文件中对以上条款和服务承诺明确列出，承诺内容必须达到本篇及招标文件其他条款的要求。</w:t>
      </w:r>
    </w:p>
    <w:p>
      <w:pPr>
        <w:shd w:val="clear" w:color="auto" w:fill="auto"/>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2、其他未尽事宜由供需双方在采购合同中详细约定。</w:t>
      </w: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p>
      <w:pPr>
        <w:pStyle w:val="2"/>
        <w:rPr>
          <w:rFonts w:hint="eastAsia" w:ascii="仿宋" w:hAnsi="仿宋" w:eastAsia="仿宋" w:cs="仿宋"/>
          <w:color w:val="auto"/>
          <w:sz w:val="24"/>
          <w:szCs w:val="24"/>
          <w:lang w:eastAsia="zh-CN"/>
        </w:rPr>
      </w:pPr>
    </w:p>
    <w:bookmarkEnd w:id="51"/>
    <w:p>
      <w:pPr>
        <w:numPr>
          <w:ilvl w:val="0"/>
          <w:numId w:val="0"/>
        </w:numPr>
        <w:spacing w:line="360" w:lineRule="auto"/>
        <w:ind w:leftChars="0" w:right="0" w:rightChars="0"/>
        <w:jc w:val="center"/>
        <w:outlineLvl w:val="0"/>
        <w:rPr>
          <w:rFonts w:hint="eastAsia" w:ascii="仿宋" w:hAnsi="仿宋" w:eastAsia="仿宋" w:cs="仿宋"/>
          <w:b/>
          <w:bCs/>
          <w:color w:val="auto"/>
          <w:sz w:val="44"/>
          <w:szCs w:val="44"/>
          <w:lang w:eastAsia="zh-CN"/>
        </w:rPr>
      </w:pPr>
    </w:p>
    <w:p>
      <w:pPr>
        <w:numPr>
          <w:ilvl w:val="0"/>
          <w:numId w:val="0"/>
        </w:numPr>
        <w:spacing w:line="360" w:lineRule="auto"/>
        <w:ind w:leftChars="0" w:right="0" w:rightChars="0"/>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lang w:eastAsia="zh-CN"/>
        </w:rPr>
        <w:t>第五章</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合  同</w:t>
      </w:r>
    </w:p>
    <w:p>
      <w:pPr>
        <w:pStyle w:val="2"/>
        <w:numPr>
          <w:ilvl w:val="0"/>
          <w:numId w:val="0"/>
        </w:numPr>
        <w:ind w:leftChars="0" w:right="0" w:rightChars="0"/>
        <w:rPr>
          <w:rFonts w:hint="eastAsia"/>
        </w:rPr>
      </w:pP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2"/>
        <w:rPr>
          <w:rFonts w:hint="eastAsia"/>
        </w:rPr>
      </w:pPr>
    </w:p>
    <w:p>
      <w:pPr>
        <w:spacing w:line="440" w:lineRule="exact"/>
        <w:jc w:val="center"/>
        <w:rPr>
          <w:rFonts w:hint="eastAsia" w:ascii="宋体" w:hAnsi="宋体" w:cs="宋体"/>
          <w:szCs w:val="21"/>
        </w:rPr>
      </w:pPr>
      <w:r>
        <w:rPr>
          <w:rFonts w:hint="eastAsia" w:ascii="宋体" w:hAnsi="宋体" w:eastAsia="宋体" w:cs="宋体"/>
          <w:szCs w:val="21"/>
          <w:lang w:val="en-US" w:eastAsia="zh-CN"/>
        </w:rPr>
        <w:t xml:space="preserve">                                        </w:t>
      </w:r>
      <w:r>
        <w:rPr>
          <w:rFonts w:hint="eastAsia" w:ascii="宋体" w:hAnsi="宋体" w:cs="宋体"/>
          <w:szCs w:val="21"/>
        </w:rPr>
        <w:t>合同编号：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w:t>
      </w:r>
    </w:p>
    <w:p>
      <w:pPr>
        <w:shd w:val="clear" w:color="auto" w:fill="auto"/>
        <w:spacing w:line="360" w:lineRule="auto"/>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 xml:space="preserve">（代理公司名称）受有关单位委托，为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（下称需方）经公开招标结果确定</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为供应方。现经供需双方充分协商订立本合同。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一、名称、规格、数量及价款</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（名称、规格、数量及单价）                           </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合同总金额          元整（￥      元）。</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二、质量要求及技术标准</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1、本项目质保期</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lang w:val="en-US" w:eastAsia="zh-CN"/>
        </w:rPr>
        <w:t>年，质保期内免费维修。</w:t>
      </w:r>
    </w:p>
    <w:p>
      <w:pPr>
        <w:spacing w:line="360" w:lineRule="auto"/>
        <w:ind w:firstLine="49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2、质量标准：货物的技术指标作为交货验收时的依据（采购人按照所投产品的技术规格及商务要求验收货物，如投标人实际应标的标准高于国家标准及招标文件中的要求，则按投标人应标标准验收）。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3、投标人应保证用品是全新、未使用过的合格正品,并完全符合国家规定的质量、规格和性能要求。</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4、投标人提供伪劣假冒商品或非合格全新的，投标人应无条件更换为合格产品。给甲方造成损失的,应承担赔偿责任。</w:t>
      </w:r>
    </w:p>
    <w:p>
      <w:pPr>
        <w:spacing w:line="360" w:lineRule="auto"/>
        <w:ind w:firstLine="490" w:firstLineChars="200"/>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val="en-US" w:eastAsia="zh-CN"/>
        </w:rPr>
        <w:t>5、所供货物质量如达不到甲方质量要求的，必须按甲方要求更换，更换至甲方满意为止。</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三、交货时间、地点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货物供应方须在     年  月  日在    交货，并由</w:t>
      </w:r>
      <w:r>
        <w:rPr>
          <w:rFonts w:hint="eastAsia" w:ascii="仿宋" w:hAnsi="仿宋" w:eastAsia="仿宋" w:cs="仿宋"/>
          <w:b w:val="0"/>
          <w:bCs w:val="0"/>
          <w:color w:val="auto"/>
          <w:sz w:val="24"/>
          <w:szCs w:val="24"/>
          <w:lang w:val="en-US" w:eastAsia="zh-CN"/>
        </w:rPr>
        <w:t>招标人</w:t>
      </w:r>
      <w:r>
        <w:rPr>
          <w:rFonts w:hint="eastAsia" w:ascii="仿宋" w:hAnsi="仿宋" w:eastAsia="仿宋" w:cs="仿宋"/>
          <w:b w:val="0"/>
          <w:bCs w:val="0"/>
          <w:color w:val="auto"/>
          <w:sz w:val="24"/>
          <w:szCs w:val="24"/>
        </w:rPr>
        <w:t>验收。</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en-US" w:eastAsia="zh-CN"/>
        </w:rPr>
        <w:t>售后服务、理赔、质量技术及验收保证的承诺</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1、产品质量：在合同期内甲方正常使用乙方所供产品而出现质量问题时，乙方负责。产品使用：甲方在使用乙方所供产品中出现问题需乙方解决时，乙方应无偿解决（退换货）。</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①、货物到达现场后，供应商应在使用单位人员在场情况下当面共同清点、检查，作出检查记录，双方签字确认。</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②、货物验收时，供应商向采购人提供所有构件的生产厂家出具的出厂合格证、厂家资格证件、安装手册、操作手册、维修保养手册等，否则甲方不予以验收。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 3 \* GB3 \* MERGEFORMAT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③</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w:t>
      </w:r>
      <w:r>
        <w:rPr>
          <w:rFonts w:hint="eastAsia" w:ascii="仿宋" w:hAnsi="仿宋" w:eastAsia="仿宋" w:cs="仿宋"/>
          <w:color w:val="000000" w:themeColor="text1"/>
          <w:sz w:val="24"/>
          <w:szCs w:val="24"/>
          <w:lang w:val="en-US" w:eastAsia="zh-CN"/>
          <w14:textFill>
            <w14:solidFill>
              <w14:schemeClr w14:val="tx1"/>
            </w14:solidFill>
          </w14:textFill>
        </w:rPr>
        <w:t>货物的技术指标作为交货验收时的依据（采购人按照所投产品的技术规格及商务要求验收货物，如投标人实际应标的标准高于国家标准及招标文件中的要求，则按投标人应标标准验收）</w:t>
      </w:r>
      <w:r>
        <w:rPr>
          <w:rFonts w:hint="eastAsia" w:ascii="仿宋" w:hAnsi="仿宋" w:eastAsia="仿宋" w:cs="仿宋"/>
          <w:color w:val="auto"/>
          <w:sz w:val="24"/>
          <w:szCs w:val="24"/>
          <w:lang w:val="en-US" w:eastAsia="zh-CN"/>
        </w:rPr>
        <w:t>。</w:t>
      </w:r>
    </w:p>
    <w:p>
      <w:pPr>
        <w:spacing w:line="360" w:lineRule="auto"/>
        <w:ind w:firstLine="490" w:firstLineChars="200"/>
        <w:rPr>
          <w:rFonts w:hint="eastAsia" w:ascii="仿宋" w:hAnsi="仿宋" w:eastAsia="仿宋" w:cs="仿宋"/>
          <w:b w:val="0"/>
          <w:color w:val="auto"/>
          <w:spacing w:val="0"/>
          <w:w w:val="100"/>
          <w:position w:val="0"/>
          <w:sz w:val="24"/>
          <w:szCs w:val="24"/>
          <w:shd w:val="clear" w:color="auto" w:fill="auto"/>
          <w:lang w:val="en-US" w:eastAsia="zh-CN" w:bidi="en-US"/>
        </w:rPr>
      </w:pPr>
      <w:r>
        <w:rPr>
          <w:rFonts w:hint="eastAsia" w:ascii="仿宋" w:hAnsi="仿宋" w:eastAsia="仿宋" w:cs="仿宋"/>
          <w:b w:val="0"/>
          <w:color w:val="auto"/>
          <w:spacing w:val="0"/>
          <w:w w:val="100"/>
          <w:position w:val="0"/>
          <w:sz w:val="24"/>
          <w:szCs w:val="24"/>
          <w:shd w:val="clear" w:color="auto" w:fill="auto"/>
          <w:lang w:val="en-US" w:eastAsia="zh-CN" w:bidi="en-US"/>
        </w:rPr>
        <w:t>④、</w:t>
      </w:r>
      <w:r>
        <w:rPr>
          <w:rFonts w:hint="eastAsia" w:ascii="仿宋" w:hAnsi="仿宋" w:eastAsia="仿宋" w:cs="仿宋"/>
          <w:color w:val="000000" w:themeColor="text1"/>
          <w:sz w:val="24"/>
          <w:szCs w:val="24"/>
          <w:lang w:val="en-US" w:eastAsia="zh-CN"/>
          <w14:textFill>
            <w14:solidFill>
              <w14:schemeClr w14:val="tx1"/>
            </w14:solidFill>
          </w14:textFill>
        </w:rPr>
        <w:t>供应商提供的货物未达到招标文件规定要求，且对采购人造成损失的，由供应商承担一切责任，并赔偿所造成的损失。</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1）凡乙方所售产品，在质保期之内设备出现非人为损坏，上门服务不收任何费用。质保期过后只收取配件的成本费，免费维修。</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2）在质保期外，提供零配件和保养服务（只计取成本费）。</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3）质保期满后，若有零部件出现故障，经权威部门签定属于寿命异常问题（明显短于该零部件正常寿命）时，则由乙方负责免费更换及维修。</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4）质保期满后不能维修的，配件更换，只收成本费。在配件停止生产的情况下，乙方事先将要停止生产的计划通知用户，使用户有足够的时间采购所需备件。</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5）质保期内，自设备投入使用之日起开始计算，提供每年不少于2次回访。</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6）供应商须配备必备的原厂零配件，零配件必须满足正常使用1年的零配件损耗，保证设备正常运行。</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7）甲方正常使用乙方所供产品出现损坏需要维修时，乙方须在2小时内响应，12小时内到达现场进行处理，一般24小时内解决故障问题，重大故障48小时内解决故障问题。</w:t>
      </w:r>
    </w:p>
    <w:p>
      <w:pPr>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8）供应商提供的货物未达到招标文件规定要求，且对采购人造成损失的，由供应商承担一切责任，并赔偿所造成的损失。</w:t>
      </w:r>
    </w:p>
    <w:p>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五、付款方式</w:t>
      </w:r>
    </w:p>
    <w:p>
      <w:pPr>
        <w:shd w:val="clear" w:color="auto" w:fill="auto"/>
        <w:spacing w:line="360" w:lineRule="auto"/>
        <w:ind w:firstLine="490" w:firstLineChars="200"/>
        <w:jc w:val="left"/>
        <w:rPr>
          <w:rFonts w:hint="eastAsia" w:ascii="仿宋" w:hAnsi="仿宋" w:eastAsia="仿宋" w:cs="仿宋"/>
          <w:color w:val="0000FF"/>
          <w:sz w:val="24"/>
          <w:szCs w:val="24"/>
          <w:lang w:val="en-US" w:eastAsia="zh-CN"/>
        </w:rPr>
      </w:pPr>
      <w:r>
        <w:rPr>
          <w:rFonts w:hint="eastAsia" w:ascii="仿宋" w:hAnsi="仿宋" w:eastAsia="仿宋" w:cs="仿宋"/>
          <w:color w:val="0000FF"/>
          <w:sz w:val="24"/>
          <w:szCs w:val="24"/>
          <w:lang w:val="en-US" w:eastAsia="zh-CN"/>
        </w:rPr>
        <w:t>项目合同签订后，软、硬件按照合同约定移交至甲方指定地点付合同款项50%，软、硬件成功运营及验收合格后支付剩余50%的款项（实际以签订合同为准）。</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、违约责任</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2、如有质量问题时需方可以按照供应方投标文件的服务承诺从质量保证金款项中扣除相关费用。</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3、其它违约，按《中华人民共和国合同法》的相关条款执行。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七</w:t>
      </w:r>
      <w:r>
        <w:rPr>
          <w:rFonts w:hint="eastAsia" w:ascii="仿宋" w:hAnsi="仿宋" w:eastAsia="仿宋" w:cs="仿宋"/>
          <w:b/>
          <w:bCs/>
          <w:color w:val="auto"/>
          <w:sz w:val="24"/>
          <w:szCs w:val="24"/>
        </w:rPr>
        <w:t>、解决合同纠纷的方式</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当出现纠纷时，双方协商解决；协商不成时可向当地仲裁机关申请仲裁。</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、技术协议</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附技术协议（另定）</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、其它约定事项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1、本合同壹式叁份，经双方法定代表人或授权代理人</w:t>
      </w:r>
      <w:r>
        <w:rPr>
          <w:rFonts w:hint="eastAsia" w:ascii="仿宋" w:hAnsi="仿宋" w:eastAsia="仿宋" w:cs="仿宋"/>
          <w:b w:val="0"/>
          <w:bCs w:val="0"/>
          <w:color w:val="auto"/>
          <w:sz w:val="24"/>
          <w:szCs w:val="24"/>
          <w:lang w:eastAsia="zh-CN"/>
        </w:rPr>
        <w:t>签字或盖章</w:t>
      </w:r>
      <w:r>
        <w:rPr>
          <w:rFonts w:hint="eastAsia" w:ascii="仿宋" w:hAnsi="仿宋" w:eastAsia="仿宋" w:cs="仿宋"/>
          <w:b w:val="0"/>
          <w:bCs w:val="0"/>
          <w:color w:val="auto"/>
          <w:sz w:val="24"/>
          <w:szCs w:val="24"/>
          <w:lang w:val="en-US" w:eastAsia="zh-CN"/>
        </w:rPr>
        <w:t>后确认</w:t>
      </w:r>
      <w:r>
        <w:rPr>
          <w:rFonts w:hint="eastAsia" w:ascii="仿宋" w:hAnsi="仿宋" w:eastAsia="仿宋" w:cs="仿宋"/>
          <w:b w:val="0"/>
          <w:bCs w:val="0"/>
          <w:color w:val="auto"/>
          <w:sz w:val="24"/>
          <w:szCs w:val="24"/>
        </w:rPr>
        <w:t>。</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2、本合同</w:t>
      </w: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rPr>
        <w:t>份，供应方执一份，需方执</w:t>
      </w: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份，</w:t>
      </w:r>
    </w:p>
    <w:p>
      <w:pPr>
        <w:shd w:val="clear" w:color="auto" w:fill="auto"/>
        <w:spacing w:line="360" w:lineRule="auto"/>
        <w:ind w:firstLine="490" w:firstLineChars="200"/>
        <w:jc w:val="left"/>
        <w:rPr>
          <w:rFonts w:hint="eastAsia"/>
        </w:rPr>
      </w:pPr>
      <w:r>
        <w:rPr>
          <w:rFonts w:hint="eastAsia" w:ascii="仿宋" w:hAnsi="仿宋" w:eastAsia="仿宋" w:cs="仿宋"/>
          <w:b w:val="0"/>
          <w:bCs w:val="0"/>
          <w:color w:val="auto"/>
          <w:sz w:val="24"/>
          <w:szCs w:val="24"/>
        </w:rPr>
        <w:t>3、相关招标文件、投标文件与本合同具有同等法律效力。</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                               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                               法定代表人：</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 地址：                                 单位 地址：</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 电话：                                 联系 电话：</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 银行：                                 开户 银行：</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     号：                                 账     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签约时间：                                   签约地点：</w:t>
      </w:r>
    </w:p>
    <w:p>
      <w:pPr>
        <w:pStyle w:val="2"/>
        <w:rPr>
          <w:rFonts w:hint="eastAsia" w:ascii="仿宋" w:hAnsi="仿宋" w:eastAsia="仿宋" w:cs="仿宋"/>
          <w:b w:val="0"/>
          <w:bCs w:val="0"/>
          <w:color w:val="auto"/>
          <w:sz w:val="24"/>
          <w:szCs w:val="24"/>
        </w:rPr>
      </w:pPr>
    </w:p>
    <w:p>
      <w:pPr>
        <w:pStyle w:val="30"/>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w:t>
      </w:r>
      <w:r>
        <w:rPr>
          <w:rFonts w:hint="eastAsia" w:ascii="仿宋" w:hAnsi="仿宋" w:eastAsia="仿宋" w:cs="仿宋"/>
          <w:b/>
          <w:bCs/>
          <w:color w:val="auto"/>
          <w:spacing w:val="0"/>
          <w:w w:val="100"/>
          <w:position w:val="0"/>
          <w:sz w:val="44"/>
          <w:szCs w:val="44"/>
          <w:lang w:eastAsia="zh-CN"/>
        </w:rPr>
        <w:t>六章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58"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pStyle w:val="5"/>
        <w:rPr>
          <w:rFonts w:hint="eastAsia"/>
        </w:rPr>
      </w:pPr>
    </w:p>
    <w:p>
      <w:pPr>
        <w:adjustRightInd w:val="0"/>
        <w:snapToGrid w:val="0"/>
        <w:spacing w:line="360" w:lineRule="auto"/>
        <w:jc w:val="both"/>
        <w:rPr>
          <w:rFonts w:hint="eastAsia" w:ascii="仿宋" w:hAnsi="仿宋" w:eastAsia="仿宋" w:cs="仿宋"/>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470909418"/>
        </w:rPr>
        <w:t>供应商名称（公章）</w:t>
      </w:r>
      <w:r>
        <w:rPr>
          <w:rFonts w:hint="eastAsia" w:ascii="仿宋" w:hAnsi="仿宋" w:eastAsia="仿宋" w:cs="仿宋"/>
          <w:b/>
          <w:caps/>
          <w:color w:val="auto"/>
          <w:spacing w:val="3"/>
          <w:w w:val="87"/>
          <w:kern w:val="0"/>
          <w:sz w:val="32"/>
          <w:szCs w:val="32"/>
          <w:fitText w:val="2810" w:id="1470909418"/>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
        </w:rPr>
        <w:t>法定代表人（</w:t>
      </w:r>
      <w:r>
        <w:rPr>
          <w:rFonts w:hint="eastAsia" w:ascii="仿宋" w:hAnsi="仿宋" w:eastAsia="仿宋" w:cs="仿宋"/>
          <w:b/>
          <w:caps/>
          <w:color w:val="auto"/>
          <w:spacing w:val="0"/>
          <w:w w:val="67"/>
          <w:kern w:val="0"/>
          <w:sz w:val="32"/>
          <w:szCs w:val="32"/>
          <w:fitText w:val="2810" w:id="1"/>
          <w:lang w:eastAsia="zh-CN"/>
        </w:rPr>
        <w:t>签字</w:t>
      </w:r>
      <w:r>
        <w:rPr>
          <w:rFonts w:hint="eastAsia" w:ascii="仿宋" w:hAnsi="仿宋" w:eastAsia="仿宋" w:cs="仿宋"/>
          <w:b/>
          <w:caps/>
          <w:color w:val="auto"/>
          <w:spacing w:val="0"/>
          <w:w w:val="67"/>
          <w:kern w:val="0"/>
          <w:sz w:val="32"/>
          <w:szCs w:val="32"/>
          <w:fitText w:val="2810" w:id="1"/>
        </w:rPr>
        <w:t>或盖章）</w:t>
      </w:r>
      <w:r>
        <w:rPr>
          <w:rFonts w:hint="eastAsia" w:ascii="仿宋" w:hAnsi="仿宋" w:eastAsia="仿宋" w:cs="仿宋"/>
          <w:b/>
          <w:caps/>
          <w:color w:val="auto"/>
          <w:spacing w:val="5"/>
          <w:w w:val="67"/>
          <w:kern w:val="0"/>
          <w:sz w:val="32"/>
          <w:szCs w:val="32"/>
          <w:fitText w:val="2810" w:id="1"/>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2"/>
        </w:rPr>
        <w:t>供应商地址</w:t>
      </w:r>
      <w:r>
        <w:rPr>
          <w:rFonts w:hint="eastAsia" w:ascii="仿宋" w:hAnsi="仿宋" w:eastAsia="仿宋" w:cs="仿宋"/>
          <w:b/>
          <w:caps/>
          <w:color w:val="auto"/>
          <w:spacing w:val="0"/>
          <w:kern w:val="0"/>
          <w:sz w:val="32"/>
          <w:szCs w:val="32"/>
          <w:fitText w:val="2810" w:id="2"/>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3"/>
        </w:rPr>
        <w:t>联系人</w:t>
      </w:r>
      <w:r>
        <w:rPr>
          <w:rFonts w:hint="eastAsia" w:ascii="仿宋" w:hAnsi="仿宋" w:eastAsia="仿宋" w:cs="仿宋"/>
          <w:b/>
          <w:caps/>
          <w:color w:val="auto"/>
          <w:spacing w:val="0"/>
          <w:kern w:val="0"/>
          <w:sz w:val="32"/>
          <w:szCs w:val="32"/>
          <w:fitText w:val="2810" w:id="3"/>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4"/>
        </w:rPr>
        <w:t>联系电话</w:t>
      </w:r>
      <w:r>
        <w:rPr>
          <w:rFonts w:hint="eastAsia" w:ascii="仿宋" w:hAnsi="仿宋" w:eastAsia="仿宋" w:cs="仿宋"/>
          <w:b/>
          <w:caps/>
          <w:color w:val="auto"/>
          <w:spacing w:val="1"/>
          <w:kern w:val="0"/>
          <w:sz w:val="32"/>
          <w:szCs w:val="32"/>
          <w:fitText w:val="2810" w:id="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p>
    <w:p>
      <w:pPr>
        <w:pStyle w:val="32"/>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58"/>
    <w:p>
      <w:pPr>
        <w:pStyle w:val="4"/>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59" w:name="_Toc8919"/>
      <w:bookmarkStart w:id="60" w:name="_Toc515647803"/>
      <w:bookmarkStart w:id="61" w:name="_Toc18694"/>
      <w:bookmarkStart w:id="62" w:name="_Toc18974"/>
    </w:p>
    <w:p>
      <w:pPr>
        <w:pStyle w:val="4"/>
        <w:numPr>
          <w:ilvl w:val="0"/>
          <w:numId w:val="0"/>
        </w:numPr>
        <w:shd w:val="clear" w:color="auto" w:fill="auto"/>
        <w:spacing w:before="0" w:line="240" w:lineRule="atLeast"/>
        <w:rPr>
          <w:rFonts w:hint="eastAsia" w:ascii="仿宋" w:hAnsi="仿宋" w:eastAsia="仿宋" w:cs="仿宋"/>
          <w:color w:val="auto"/>
          <w:sz w:val="32"/>
          <w:szCs w:val="32"/>
          <w:highlight w:val="none"/>
        </w:rPr>
      </w:pPr>
      <w:r>
        <w:rPr>
          <w:rFonts w:hint="eastAsia" w:ascii="仿宋" w:hAnsi="仿宋" w:eastAsia="仿宋" w:cs="仿宋"/>
          <w:b/>
          <w:bCs/>
          <w:color w:val="auto"/>
          <w:sz w:val="40"/>
          <w:szCs w:val="40"/>
          <w:highlight w:val="none"/>
        </w:rPr>
        <w:t>第一部分 资格证明文件</w:t>
      </w:r>
      <w:bookmarkEnd w:id="59"/>
      <w:bookmarkEnd w:id="60"/>
      <w:bookmarkEnd w:id="61"/>
      <w:bookmarkEnd w:id="62"/>
    </w:p>
    <w:p>
      <w:pPr>
        <w:shd w:val="clear" w:color="auto" w:fill="auto"/>
        <w:spacing w:line="240" w:lineRule="atLeast"/>
        <w:ind w:left="708" w:hanging="722"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具备三证合一营业执照副本；</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b w:val="0"/>
          <w:color w:val="0000FF"/>
          <w:spacing w:val="0"/>
          <w:w w:val="100"/>
          <w:position w:val="0"/>
          <w:sz w:val="24"/>
          <w:szCs w:val="24"/>
          <w:highlight w:val="none"/>
          <w:shd w:val="clear" w:color="auto" w:fill="auto"/>
          <w:lang w:val="en-US" w:eastAsia="zh-CN" w:bidi="en-US"/>
        </w:rPr>
      </w:pPr>
      <w:r>
        <w:rPr>
          <w:rFonts w:hint="eastAsia" w:ascii="仿宋" w:hAnsi="仿宋" w:eastAsia="仿宋" w:cs="仿宋"/>
          <w:b w:val="0"/>
          <w:color w:val="0000FF"/>
          <w:spacing w:val="0"/>
          <w:w w:val="100"/>
          <w:position w:val="0"/>
          <w:sz w:val="24"/>
          <w:szCs w:val="24"/>
          <w:highlight w:val="none"/>
          <w:shd w:val="clear" w:color="auto" w:fill="auto"/>
          <w:lang w:val="en-US" w:eastAsia="zh-CN" w:bidi="en-US"/>
        </w:rPr>
        <w:t>4、投标企业须提供投标人（被授权在职人员）近6个月有效的社保证明；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lang w:eastAsia="zh-CN"/>
        </w:rPr>
        <w:t>投标单位（供应商）针对本次采购项目《反商业贿赂承诺书》；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w:t>
      </w:r>
      <w:r>
        <w:rPr>
          <w:rFonts w:hint="eastAsia" w:ascii="仿宋" w:hAnsi="仿宋" w:eastAsia="仿宋" w:cs="仿宋"/>
          <w:color w:val="auto"/>
          <w:sz w:val="24"/>
          <w:highlight w:val="none"/>
        </w:rPr>
        <w:t>、投标人须知资料表要求的其他资格证明文件;</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63" w:name="_Toc17577"/>
      <w:bookmarkStart w:id="64" w:name="_Toc4844"/>
      <w:bookmarkStart w:id="65" w:name="_Toc29899"/>
      <w:bookmarkStart w:id="66" w:name="_Toc515647805"/>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 xml:space="preserve">1、 </w:t>
      </w:r>
      <w:bookmarkEnd w:id="63"/>
      <w:bookmarkEnd w:id="64"/>
      <w:bookmarkEnd w:id="65"/>
      <w:bookmarkEnd w:id="66"/>
      <w:r>
        <w:rPr>
          <w:rFonts w:hint="eastAsia" w:ascii="仿宋" w:hAnsi="仿宋" w:eastAsia="仿宋" w:cs="仿宋"/>
          <w:b/>
          <w:bCs/>
          <w:color w:val="auto"/>
          <w:sz w:val="36"/>
          <w:szCs w:val="36"/>
          <w:lang w:val="en-US" w:eastAsia="zh-CN"/>
        </w:rPr>
        <w:t>具备三证合一营业执照副本；</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28"/>
        <w:rPr>
          <w:rFonts w:hint="eastAsia" w:ascii="仿宋" w:hAnsi="仿宋" w:eastAsia="仿宋" w:cs="仿宋"/>
          <w:b/>
          <w:bCs/>
          <w:color w:val="auto"/>
          <w:sz w:val="36"/>
          <w:szCs w:val="36"/>
        </w:rPr>
      </w:pPr>
    </w:p>
    <w:p>
      <w:pPr>
        <w:pStyle w:val="8"/>
        <w:keepNext w:val="0"/>
        <w:keepLines w:val="0"/>
        <w:pageBreakBefore w:val="0"/>
        <w:widowControl w:val="0"/>
        <w:numPr>
          <w:ilvl w:val="0"/>
          <w:numId w:val="0"/>
        </w:numPr>
        <w:tabs>
          <w:tab w:val="left" w:pos="2556"/>
        </w:tabs>
        <w:kinsoku w:val="0"/>
        <w:overflowPunct w:val="0"/>
        <w:topLinePunct w:val="0"/>
        <w:autoSpaceDE/>
        <w:autoSpaceDN/>
        <w:bidi w:val="0"/>
        <w:adjustRightInd/>
        <w:snapToGrid/>
        <w:spacing w:before="34" w:line="440" w:lineRule="exact"/>
        <w:ind w:right="126" w:rightChars="0"/>
        <w:jc w:val="left"/>
        <w:textAlignment w:val="auto"/>
        <w:rPr>
          <w:rFonts w:hint="eastAsia" w:ascii="仿宋" w:hAnsi="仿宋" w:eastAsia="仿宋" w:cs="仿宋"/>
          <w:b/>
          <w:bCs/>
          <w:color w:val="auto"/>
          <w:sz w:val="36"/>
          <w:szCs w:val="36"/>
          <w:lang w:eastAsia="zh-CN"/>
        </w:rPr>
      </w:pPr>
    </w:p>
    <w:p>
      <w:pPr>
        <w:pStyle w:val="8"/>
        <w:keepNext w:val="0"/>
        <w:keepLines w:val="0"/>
        <w:pageBreakBefore w:val="0"/>
        <w:widowControl w:val="0"/>
        <w:numPr>
          <w:ilvl w:val="0"/>
          <w:numId w:val="4"/>
        </w:numPr>
        <w:kinsoku w:val="0"/>
        <w:overflowPunct w:val="0"/>
        <w:topLinePunct w:val="0"/>
        <w:autoSpaceDE/>
        <w:autoSpaceDN/>
        <w:bidi w:val="0"/>
        <w:adjustRightInd/>
        <w:snapToGrid/>
        <w:spacing w:before="34" w:line="440" w:lineRule="exact"/>
        <w:ind w:left="320" w:leftChars="0" w:right="126" w:rightChars="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法定代表人身份证明</w:t>
      </w:r>
    </w:p>
    <w:p>
      <w:pPr>
        <w:pStyle w:val="5"/>
        <w:rPr>
          <w:rFonts w:hint="eastAsia"/>
        </w:rPr>
      </w:pP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8"/>
        <w:numPr>
          <w:ilvl w:val="0"/>
          <w:numId w:val="0"/>
        </w:numPr>
        <w:kinsoku w:val="0"/>
        <w:overflowPunct w:val="0"/>
        <w:ind w:leftChars="0" w:right="0" w:rightChars="0"/>
        <w:rPr>
          <w:rFonts w:hint="eastAsia" w:ascii="仿宋" w:hAnsi="仿宋" w:eastAsia="仿宋" w:cs="仿宋"/>
          <w:color w:val="auto"/>
          <w:sz w:val="20"/>
          <w:szCs w:val="20"/>
        </w:rPr>
      </w:pPr>
    </w:p>
    <w:p>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wordWrap w:val="0"/>
        <w:spacing w:line="420" w:lineRule="exact"/>
        <w:ind w:firstLine="490" w:firstLineChars="200"/>
        <w:jc w:val="right"/>
        <w:rPr>
          <w:rFonts w:hint="eastAsia" w:ascii="仿宋" w:hAnsi="仿宋" w:eastAsia="仿宋" w:cs="仿宋"/>
          <w:color w:val="auto"/>
          <w:kern w:val="0"/>
          <w:sz w:val="24"/>
        </w:rPr>
      </w:pPr>
    </w:p>
    <w:p>
      <w:pPr>
        <w:spacing w:line="420" w:lineRule="exact"/>
        <w:ind w:firstLine="490" w:firstLineChars="200"/>
        <w:jc w:val="right"/>
        <w:rPr>
          <w:rFonts w:hint="eastAsia" w:ascii="仿宋" w:hAnsi="仿宋" w:eastAsia="仿宋" w:cs="仿宋"/>
          <w:color w:val="auto"/>
          <w:kern w:val="0"/>
          <w:sz w:val="24"/>
        </w:rPr>
      </w:pPr>
    </w:p>
    <w:p>
      <w:pPr>
        <w:pStyle w:val="2"/>
        <w:rPr>
          <w:rFonts w:hint="eastAsia" w:ascii="仿宋" w:hAnsi="仿宋" w:eastAsia="仿宋" w:cs="仿宋"/>
          <w:color w:val="auto"/>
          <w:kern w:val="0"/>
          <w:sz w:val="24"/>
        </w:rPr>
      </w:pPr>
    </w:p>
    <w:p>
      <w:pPr>
        <w:pStyle w:val="2"/>
        <w:rPr>
          <w:rFonts w:hint="eastAsia" w:ascii="仿宋" w:hAnsi="仿宋" w:eastAsia="仿宋" w:cs="仿宋"/>
          <w:color w:val="auto"/>
          <w:kern w:val="0"/>
          <w:sz w:val="24"/>
        </w:rPr>
      </w:pPr>
    </w:p>
    <w:p>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8"/>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460" w:firstLineChars="1200"/>
        <w:jc w:val="both"/>
        <w:rPr>
          <w:rFonts w:hint="eastAsia" w:ascii="仿宋" w:hAnsi="仿宋" w:eastAsia="仿宋" w:cs="仿宋"/>
          <w:color w:val="auto"/>
          <w:sz w:val="20"/>
        </w:rPr>
      </w:pPr>
      <w:r>
        <w:rPr>
          <w:rFonts w:hint="eastAsia" w:ascii="仿宋" w:hAnsi="仿宋" w:eastAsia="仿宋" w:cs="仿宋"/>
          <w:color w:val="auto"/>
          <w:sz w:val="20"/>
        </w:rPr>
        <w:t xml:space="preserve">              </w:t>
      </w:r>
    </w:p>
    <w:p>
      <w:pPr>
        <w:pStyle w:val="28"/>
        <w:ind w:left="0" w:leftChars="0" w:firstLine="0" w:firstLineChars="0"/>
        <w:rPr>
          <w:rFonts w:hint="default" w:ascii="仿宋" w:hAnsi="仿宋" w:eastAsia="仿宋" w:cs="仿宋"/>
          <w:b/>
          <w:bCs/>
          <w:color w:val="auto"/>
          <w:sz w:val="36"/>
          <w:szCs w:val="36"/>
          <w:lang w:val="en-US" w:eastAsia="zh-CN"/>
        </w:rPr>
      </w:pPr>
      <w:r>
        <w:rPr>
          <w:rFonts w:hint="eastAsia" w:ascii="仿宋" w:hAnsi="仿宋" w:eastAsia="仿宋" w:cs="仿宋"/>
          <w:b/>
          <w:bCs/>
          <w:color w:val="333333"/>
          <w:spacing w:val="0"/>
          <w:w w:val="100"/>
          <w:kern w:val="2"/>
          <w:position w:val="0"/>
          <w:sz w:val="21"/>
          <w:szCs w:val="21"/>
          <w:shd w:val="clear" w:color="auto" w:fill="auto"/>
          <w:lang w:val="en-US" w:eastAsia="zh-CN" w:bidi="ar"/>
        </w:rPr>
        <w:t>注：投标企业须提供投标人（被授权在职人员）近6个月有效的社保证明</w:t>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36"/>
          <w:szCs w:val="24"/>
          <w:highlight w:val="none"/>
          <w:lang w:val="en-US" w:eastAsia="zh-CN"/>
        </w:rPr>
        <w:t>4、</w:t>
      </w:r>
      <w:r>
        <w:rPr>
          <w:rFonts w:hint="eastAsia" w:ascii="仿宋" w:hAnsi="仿宋" w:eastAsia="仿宋" w:cs="仿宋"/>
          <w:color w:val="auto"/>
          <w:sz w:val="36"/>
          <w:szCs w:val="24"/>
          <w:highlight w:val="none"/>
        </w:rPr>
        <w:t>参加政府采购活动前3年内</w:t>
      </w:r>
      <w:bookmarkStart w:id="67" w:name="_Toc515647812"/>
      <w:bookmarkStart w:id="68" w:name="_Toc1137"/>
      <w:bookmarkStart w:id="69" w:name="_Toc6008"/>
      <w:r>
        <w:rPr>
          <w:rFonts w:hint="eastAsia" w:ascii="仿宋" w:hAnsi="仿宋" w:eastAsia="仿宋" w:cs="仿宋"/>
          <w:color w:val="auto"/>
          <w:sz w:val="36"/>
          <w:szCs w:val="24"/>
          <w:highlight w:val="none"/>
        </w:rPr>
        <w:t>在经营活动中没有重大违法记录的书面声明</w:t>
      </w:r>
      <w:bookmarkEnd w:id="67"/>
      <w:bookmarkEnd w:id="68"/>
      <w:bookmarkEnd w:id="69"/>
    </w:p>
    <w:p>
      <w:pPr>
        <w:pStyle w:val="11"/>
        <w:shd w:val="clear" w:color="auto" w:fill="auto"/>
        <w:tabs>
          <w:tab w:val="left" w:pos="5580"/>
        </w:tabs>
        <w:spacing w:line="240" w:lineRule="atLeast"/>
        <w:ind w:left="1169" w:leftChars="257" w:hanging="540"/>
        <w:jc w:val="center"/>
        <w:rPr>
          <w:rFonts w:hint="eastAsia" w:ascii="仿宋" w:hAnsi="仿宋" w:eastAsia="仿宋" w:cs="仿宋"/>
          <w:b/>
          <w:color w:val="auto"/>
          <w:sz w:val="24"/>
          <w:highlight w:val="none"/>
        </w:rPr>
      </w:pPr>
    </w:p>
    <w:p>
      <w:pPr>
        <w:pStyle w:val="11"/>
        <w:shd w:val="clear" w:color="auto" w:fill="auto"/>
        <w:tabs>
          <w:tab w:val="left" w:pos="5580"/>
        </w:tabs>
        <w:spacing w:line="240" w:lineRule="atLeast"/>
        <w:ind w:left="1169"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30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5"/>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pStyle w:val="5"/>
        <w:rPr>
          <w:rFonts w:hint="eastAsia"/>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90" w:firstLineChars="200"/>
        <w:rPr>
          <w:rFonts w:hint="eastAsia" w:ascii="仿宋" w:hAnsi="仿宋" w:eastAsia="仿宋" w:cs="仿宋"/>
          <w:color w:val="auto"/>
          <w:sz w:val="24"/>
          <w:highlight w:val="none"/>
        </w:rPr>
      </w:pPr>
      <w:bookmarkStart w:id="70" w:name="_Toc494296991"/>
      <w:bookmarkStart w:id="71" w:name="_Toc494296665"/>
    </w:p>
    <w:bookmarkEnd w:id="70"/>
    <w:bookmarkEnd w:id="71"/>
    <w:p>
      <w:pPr>
        <w:pStyle w:val="6"/>
        <w:shd w:val="clear" w:color="auto" w:fill="auto"/>
        <w:rPr>
          <w:rFonts w:hint="eastAsia" w:ascii="仿宋" w:hAnsi="仿宋" w:eastAsia="仿宋" w:cs="仿宋"/>
          <w:color w:val="auto"/>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6"/>
        <w:shd w:val="clear" w:color="auto" w:fill="auto"/>
        <w:rPr>
          <w:rFonts w:hint="eastAsia" w:ascii="仿宋" w:hAnsi="仿宋" w:eastAsia="仿宋" w:cs="仿宋"/>
          <w:color w:val="auto"/>
          <w:highlight w:val="none"/>
        </w:rPr>
      </w:pPr>
    </w:p>
    <w:p>
      <w:pPr>
        <w:shd w:val="clear" w:color="auto" w:fill="auto"/>
        <w:spacing w:line="240" w:lineRule="atLeast"/>
        <w:ind w:left="1169"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6、投标单位（供应商）针对本次采购项目《反商业贿赂承诺书》</w:t>
      </w:r>
    </w:p>
    <w:p>
      <w:pPr>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8、投标人须知资料表要求的其他资格证明文件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rPr>
          <w:rFonts w:hint="eastAsia" w:ascii="仿宋" w:hAnsi="仿宋" w:eastAsia="仿宋" w:cs="仿宋"/>
          <w:b/>
          <w:bCs/>
          <w:color w:val="auto"/>
        </w:rPr>
      </w:pPr>
    </w:p>
    <w:p>
      <w:pPr>
        <w:pStyle w:val="5"/>
        <w:rPr>
          <w:rFonts w:hint="eastAsia" w:ascii="仿宋" w:hAnsi="仿宋" w:eastAsia="仿宋" w:cs="仿宋"/>
          <w:b/>
          <w:bCs/>
          <w:color w:val="auto"/>
        </w:rPr>
      </w:pPr>
    </w:p>
    <w:p>
      <w:pPr>
        <w:rPr>
          <w:rFonts w:hint="eastAsia" w:ascii="仿宋" w:hAnsi="仿宋" w:eastAsia="仿宋" w:cs="仿宋"/>
          <w:b/>
          <w:bCs/>
          <w:color w:val="auto"/>
        </w:rPr>
      </w:pPr>
    </w:p>
    <w:p>
      <w:pPr>
        <w:pStyle w:val="5"/>
        <w:rPr>
          <w:rFonts w:hint="eastAsia" w:ascii="仿宋" w:hAnsi="仿宋" w:eastAsia="仿宋" w:cs="仿宋"/>
          <w:b/>
          <w:bCs/>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2"/>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72" w:name="_Toc22967"/>
      <w:bookmarkStart w:id="73" w:name="_Toc515647816"/>
      <w:bookmarkStart w:id="74" w:name="_Toc5695"/>
      <w:bookmarkStart w:id="75" w:name="_Toc11180"/>
      <w:r>
        <w:rPr>
          <w:rFonts w:hint="eastAsia" w:ascii="仿宋" w:hAnsi="仿宋" w:eastAsia="仿宋" w:cs="仿宋"/>
          <w:color w:val="auto"/>
          <w:sz w:val="32"/>
          <w:szCs w:val="32"/>
          <w:highlight w:val="none"/>
        </w:rPr>
        <w:t>第二部分  商务及技术文件</w:t>
      </w:r>
      <w:bookmarkEnd w:id="72"/>
      <w:bookmarkEnd w:id="73"/>
      <w:bookmarkEnd w:id="74"/>
      <w:bookmarkEnd w:id="75"/>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8、近三年（2020年1月1日至今）类似项目业绩表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8"/>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6"/>
        <w:shd w:val="clear" w:color="auto" w:fill="auto"/>
        <w:tabs>
          <w:tab w:val="left" w:pos="5580"/>
        </w:tabs>
        <w:spacing w:line="240" w:lineRule="atLeast"/>
        <w:ind w:firstLine="3383"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w:t>
            </w:r>
            <w:r>
              <w:rPr>
                <w:rFonts w:hint="eastAsia" w:ascii="仿宋" w:hAnsi="仿宋" w:eastAsia="仿宋" w:cs="仿宋"/>
                <w:color w:val="auto"/>
                <w:szCs w:val="21"/>
                <w:highlight w:val="none"/>
                <w:lang w:val="en-US" w:eastAsia="zh-CN"/>
              </w:rPr>
              <w:t>及安装</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val="en-US" w:eastAsia="zh-CN"/>
              </w:rPr>
              <w:t>限</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bl>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9" w:leftChars="257" w:hanging="540"/>
        <w:rPr>
          <w:rFonts w:hint="eastAsia" w:ascii="宋体" w:hAnsi="宋体" w:eastAsia="宋体" w:cs="宋体"/>
          <w:color w:val="auto"/>
          <w:sz w:val="24"/>
          <w:highlight w:val="none"/>
        </w:rPr>
      </w:pPr>
    </w:p>
    <w:p>
      <w:pPr>
        <w:pStyle w:val="11"/>
        <w:shd w:val="clear" w:color="auto" w:fill="auto"/>
        <w:tabs>
          <w:tab w:val="left" w:pos="5370"/>
        </w:tabs>
        <w:spacing w:line="240" w:lineRule="atLeast"/>
        <w:ind w:left="116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sectPr>
          <w:footerReference r:id="rId11" w:type="default"/>
          <w:pgSz w:w="11905" w:h="16838"/>
          <w:pgMar w:top="1440" w:right="1417" w:bottom="1440" w:left="1417" w:header="850" w:footer="992" w:gutter="0"/>
          <w:pgNumType w:fmt="decimal"/>
          <w:cols w:space="0" w:num="1"/>
          <w:rtlGutter w:val="0"/>
          <w:docGrid w:type="linesAndChars" w:linePitch="332" w:charSpace="1057"/>
        </w:sectPr>
      </w:pP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30"/>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9"/>
        <w:tblW w:w="93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310"/>
        <w:gridCol w:w="929"/>
        <w:gridCol w:w="1166"/>
        <w:gridCol w:w="974"/>
        <w:gridCol w:w="1221"/>
        <w:gridCol w:w="825"/>
        <w:gridCol w:w="782"/>
        <w:gridCol w:w="739"/>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70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序号</w:t>
            </w:r>
          </w:p>
        </w:tc>
        <w:tc>
          <w:tcPr>
            <w:tcW w:w="1310"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名称</w:t>
            </w:r>
          </w:p>
        </w:tc>
        <w:tc>
          <w:tcPr>
            <w:tcW w:w="929"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b/>
                <w:bCs/>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品牌</w:t>
            </w:r>
          </w:p>
        </w:tc>
        <w:tc>
          <w:tcPr>
            <w:tcW w:w="116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规格要求</w:t>
            </w:r>
          </w:p>
        </w:tc>
        <w:tc>
          <w:tcPr>
            <w:tcW w:w="974"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单位</w:t>
            </w:r>
          </w:p>
        </w:tc>
        <w:tc>
          <w:tcPr>
            <w:tcW w:w="1221"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数量</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单价</w:t>
            </w:r>
          </w:p>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（元）</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总价</w:t>
            </w:r>
          </w:p>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lang w:eastAsia="zh-CN"/>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（元）</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r>
              <w:rPr>
                <w:rFonts w:hint="eastAsia" w:ascii="宋体" w:hAnsi="宋体" w:eastAsia="宋体" w:cs="宋体"/>
                <w:b/>
                <w:bCs/>
                <w:i w:val="0"/>
                <w:iCs w:val="0"/>
                <w:color w:val="000000"/>
                <w:spacing w:val="0"/>
                <w:w w:val="100"/>
                <w:kern w:val="0"/>
                <w:position w:val="0"/>
                <w:sz w:val="20"/>
                <w:szCs w:val="20"/>
                <w:u w:val="none"/>
                <w:shd w:val="clear" w:color="auto" w:fill="auto"/>
                <w:lang w:val="en-US" w:eastAsia="zh-CN" w:bidi="ar"/>
              </w:rPr>
              <w:t>备注</w:t>
            </w:r>
          </w:p>
        </w:tc>
        <w:tc>
          <w:tcPr>
            <w:tcW w:w="722"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widowControl/>
              <w:suppressLineNumbers w:val="0"/>
              <w:ind w:left="0" w:leftChars="0" w:right="0" w:rightChars="0" w:firstLine="0" w:firstLineChars="0"/>
              <w:jc w:val="center"/>
              <w:textAlignment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16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74"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4"/>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4"/>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4"/>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4"/>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34"/>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0"/>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9"/>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84"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85" w:firstLineChars="1300"/>
        <w:rPr>
          <w:rFonts w:hint="eastAsia" w:ascii="仿宋" w:hAnsi="仿宋" w:eastAsia="仿宋" w:cs="仿宋"/>
          <w:color w:val="auto"/>
          <w:sz w:val="24"/>
        </w:rPr>
      </w:pPr>
    </w:p>
    <w:p>
      <w:pPr>
        <w:pStyle w:val="11"/>
        <w:tabs>
          <w:tab w:val="left" w:pos="5580"/>
        </w:tabs>
        <w:spacing w:line="360" w:lineRule="auto"/>
        <w:ind w:firstLine="3185"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1"/>
        <w:tabs>
          <w:tab w:val="left" w:pos="5580"/>
        </w:tabs>
        <w:spacing w:line="360" w:lineRule="auto"/>
        <w:ind w:firstLine="3185"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85"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5"/>
        <w:rPr>
          <w:rFonts w:hint="eastAsia" w:ascii="仿宋" w:hAnsi="仿宋" w:eastAsia="仿宋" w:cs="仿宋"/>
          <w:b/>
          <w:bCs/>
          <w:color w:val="auto"/>
          <w:sz w:val="36"/>
          <w:szCs w:val="36"/>
        </w:rPr>
      </w:pPr>
    </w:p>
    <w:p>
      <w:pPr>
        <w:rPr>
          <w:rFonts w:hint="eastAsia" w:ascii="仿宋" w:hAnsi="仿宋" w:eastAsia="仿宋" w:cs="仿宋"/>
          <w:color w:val="auto"/>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2"/>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2"/>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31"/>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color w:val="auto"/>
                <w:sz w:val="20"/>
                <w:szCs w:val="20"/>
              </w:rPr>
            </w:pPr>
          </w:p>
          <w:p>
            <w:pPr>
              <w:pStyle w:val="35"/>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4"/>
              <w:rPr>
                <w:rFonts w:hint="eastAsia" w:ascii="仿宋" w:hAnsi="仿宋" w:eastAsia="仿宋" w:cs="仿宋"/>
                <w:b/>
                <w:bCs/>
                <w:color w:val="auto"/>
                <w:sz w:val="20"/>
                <w:szCs w:val="20"/>
              </w:rPr>
            </w:pPr>
          </w:p>
          <w:p>
            <w:pPr>
              <w:pStyle w:val="35"/>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rPr>
                <w:rFonts w:hint="eastAsia" w:ascii="仿宋" w:hAnsi="仿宋" w:eastAsia="仿宋" w:cs="仿宋"/>
                <w:b/>
                <w:bCs/>
                <w:color w:val="auto"/>
              </w:rPr>
            </w:pPr>
          </w:p>
          <w:p>
            <w:pPr>
              <w:pStyle w:val="35"/>
              <w:kinsoku w:val="0"/>
              <w:overflowPunct w:val="0"/>
              <w:rPr>
                <w:rFonts w:hint="eastAsia" w:ascii="仿宋" w:hAnsi="仿宋" w:eastAsia="仿宋" w:cs="仿宋"/>
                <w:b/>
                <w:bCs/>
                <w:color w:val="auto"/>
              </w:rPr>
            </w:pPr>
          </w:p>
          <w:p>
            <w:pPr>
              <w:pStyle w:val="35"/>
              <w:kinsoku w:val="0"/>
              <w:overflowPunct w:val="0"/>
              <w:rPr>
                <w:rFonts w:hint="eastAsia" w:ascii="仿宋" w:hAnsi="仿宋" w:eastAsia="仿宋" w:cs="仿宋"/>
                <w:b/>
                <w:bCs/>
                <w:color w:val="auto"/>
              </w:rPr>
            </w:pPr>
          </w:p>
          <w:p>
            <w:pPr>
              <w:pStyle w:val="35"/>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5"/>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5"/>
              <w:kinsoku w:val="0"/>
              <w:overflowPunct w:val="0"/>
              <w:spacing w:before="1"/>
              <w:rPr>
                <w:rFonts w:hint="eastAsia" w:ascii="仿宋" w:hAnsi="仿宋" w:eastAsia="仿宋" w:cs="仿宋"/>
                <w:b/>
                <w:bCs/>
                <w:color w:val="auto"/>
                <w:sz w:val="23"/>
                <w:szCs w:val="23"/>
              </w:rPr>
            </w:pPr>
          </w:p>
          <w:p>
            <w:pPr>
              <w:pStyle w:val="35"/>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2"/>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20</w:t>
      </w:r>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9"/>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center"/>
          </w:tcPr>
          <w:p>
            <w:pPr>
              <w:pStyle w:val="33"/>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3"/>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right="0" w:rightChars="0" w:firstLine="441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1"/>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w:t>
      </w:r>
      <w:r>
        <w:rPr>
          <w:rFonts w:hint="eastAsia" w:ascii="仿宋" w:hAnsi="仿宋" w:eastAsia="仿宋" w:cs="仿宋"/>
          <w:color w:val="auto"/>
          <w:kern w:val="0"/>
          <w:sz w:val="24"/>
          <w:szCs w:val="24"/>
          <w:lang w:eastAsia="zh-CN"/>
        </w:rPr>
        <w:t>（财库[2020]46号）和（财库[2020]19号）</w:t>
      </w:r>
      <w:r>
        <w:rPr>
          <w:rFonts w:hint="eastAsia" w:ascii="仿宋" w:hAnsi="仿宋" w:eastAsia="仿宋" w:cs="仿宋"/>
          <w:color w:val="auto"/>
          <w:kern w:val="0"/>
          <w:sz w:val="24"/>
          <w:szCs w:val="24"/>
        </w:rPr>
        <w:t>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655"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65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28"/>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5"/>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w:t>
      </w:r>
    </w:p>
    <w:p>
      <w:pPr>
        <w:pStyle w:val="12"/>
        <w:rPr>
          <w:rFonts w:hint="eastAsia"/>
          <w:color w:val="auto"/>
        </w:rPr>
      </w:pPr>
    </w:p>
    <w:sectPr>
      <w:headerReference r:id="rId12" w:type="default"/>
      <w:footerReference r:id="rId13"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E8QMsBAACd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WbV5Q4bnHk558/zr/+nH9/&#10;J9mJEvUBasy8DZibhnd+wMWZ/YDOzHxQ0eYvciIYR4FPF4HlkIjIj1bL1arCkMDYfEF8dvc8REjv&#10;pbckGw2NOMEiLD9+hDSmzim5mvM32pgyReP+cyBm9rDc+9hjttKwGyZCO9+ekE+Pw2+ow12nxHxw&#10;qG3ek9mIs7GbjUOIet+VRcr1ILw9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BPEDLAQAAnQ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电话：0908-4230011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2JN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HYk3DUCAABlBAAADgAAAAAAAAABACAAAAAfAQAAZHJzL2Uyb0RvYy54bWxQ&#10;SwUGAAAAAAYABgBZAQAAx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电话：0908-4230011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r>
      <w:rPr>
        <w:rFonts w:hint="eastAsia" w:eastAsia="宋体"/>
        <w:sz w:val="16"/>
        <w:szCs w:val="16"/>
        <w:lang w:val="en-US" w:eastAsia="zh-CN"/>
      </w:rPr>
      <w:t>地址：新疆克州乌恰县天源市政7楼</w:t>
    </w:r>
    <w:r>
      <w:rPr>
        <w:rFonts w:hint="eastAsia"/>
        <w:color w:val="800000"/>
        <w:sz w:val="16"/>
        <w:szCs w:val="20"/>
        <w:lang w:val="en-US" w:eastAsia="zh-CN"/>
      </w:rPr>
      <w:t xml:space="preserve">           电话：0908-4610011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3"/>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3"/>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tabs>
        <w:tab w:val="clear" w:pos="4153"/>
        <w:tab w:val="clear" w:pos="8306"/>
      </w:tabs>
      <w:rPr>
        <w:rFonts w:hint="eastAsia" w:eastAsia="宋体"/>
        <w:lang w:eastAsia="zh-CN"/>
      </w:rPr>
    </w:pPr>
    <w:r>
      <w:rPr>
        <w:rFonts w:hint="eastAsia" w:eastAsia="宋体"/>
        <w:lang w:eastAsia="zh-CN"/>
      </w:rPr>
      <w:drawing>
        <wp:inline distT="0" distB="0" distL="114300" distR="114300">
          <wp:extent cx="258445" cy="367665"/>
          <wp:effectExtent l="0" t="0" r="8255" b="13335"/>
          <wp:docPr id="394" name="图片 394" descr="166444565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1664445654615"/>
                  <pic:cNvPicPr>
                    <a:picLocks noChangeAspect="1"/>
                  </pic:cNvPicPr>
                </pic:nvPicPr>
                <pic:blipFill>
                  <a:blip r:embed="rId1"/>
                  <a:stretch>
                    <a:fillRect/>
                  </a:stretch>
                </pic:blipFill>
                <pic:spPr>
                  <a:xfrm>
                    <a:off x="0" y="0"/>
                    <a:ext cx="258445" cy="367665"/>
                  </a:xfrm>
                  <a:prstGeom prst="rect">
                    <a:avLst/>
                  </a:prstGeom>
                </pic:spPr>
              </pic:pic>
            </a:graphicData>
          </a:graphic>
        </wp:inline>
      </w:drawing>
    </w:r>
    <w:r>
      <w:rPr>
        <w:rFonts w:hint="eastAsia" w:ascii="仿宋" w:hAnsi="仿宋" w:eastAsia="仿宋" w:cs="仿宋"/>
        <w:b/>
        <w:bCs/>
        <w:color w:val="auto"/>
        <w:sz w:val="24"/>
        <w:szCs w:val="24"/>
        <w:lang w:eastAsia="zh-CN"/>
      </w:rPr>
      <w:t>新疆宏力源工程项目管理有限公司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00100"/>
    <w:multiLevelType w:val="singleLevel"/>
    <w:tmpl w:val="A8100100"/>
    <w:lvl w:ilvl="0" w:tentative="0">
      <w:start w:val="1"/>
      <w:numFmt w:val="chineseCounting"/>
      <w:suff w:val="nothing"/>
      <w:lvlText w:val="%1、"/>
      <w:lvlJc w:val="left"/>
      <w:rPr>
        <w:rFonts w:hint="eastAsia"/>
      </w:rPr>
    </w:lvl>
  </w:abstractNum>
  <w:abstractNum w:abstractNumId="1">
    <w:nsid w:val="FAF293B7"/>
    <w:multiLevelType w:val="singleLevel"/>
    <w:tmpl w:val="FAF293B7"/>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jEyMjlhYmExMjkyNTI5Mjk5MmRmMWRkNjZmZGUifQ=="/>
  </w:docVars>
  <w:rsids>
    <w:rsidRoot w:val="430832B2"/>
    <w:rsid w:val="00036274"/>
    <w:rsid w:val="001E33B2"/>
    <w:rsid w:val="00DF3300"/>
    <w:rsid w:val="0123584C"/>
    <w:rsid w:val="018F2A1A"/>
    <w:rsid w:val="01DA6404"/>
    <w:rsid w:val="01E44B68"/>
    <w:rsid w:val="023C35FE"/>
    <w:rsid w:val="03120DC1"/>
    <w:rsid w:val="0312238C"/>
    <w:rsid w:val="038329E4"/>
    <w:rsid w:val="03AD6B3B"/>
    <w:rsid w:val="03B46B2C"/>
    <w:rsid w:val="04020AD7"/>
    <w:rsid w:val="042A106A"/>
    <w:rsid w:val="04511EA2"/>
    <w:rsid w:val="04C17856"/>
    <w:rsid w:val="04DF1D99"/>
    <w:rsid w:val="05CE725F"/>
    <w:rsid w:val="05E31007"/>
    <w:rsid w:val="06141E47"/>
    <w:rsid w:val="063B7194"/>
    <w:rsid w:val="068E19BA"/>
    <w:rsid w:val="06E33B5C"/>
    <w:rsid w:val="08323FEC"/>
    <w:rsid w:val="085D5AE7"/>
    <w:rsid w:val="08D0181D"/>
    <w:rsid w:val="08D10DBA"/>
    <w:rsid w:val="091D420B"/>
    <w:rsid w:val="09231976"/>
    <w:rsid w:val="09260F52"/>
    <w:rsid w:val="093F2ABC"/>
    <w:rsid w:val="0A1E3055"/>
    <w:rsid w:val="0A742C74"/>
    <w:rsid w:val="0A8A6A4D"/>
    <w:rsid w:val="0A982D0F"/>
    <w:rsid w:val="0AEC1713"/>
    <w:rsid w:val="0B213EE8"/>
    <w:rsid w:val="0B2F3756"/>
    <w:rsid w:val="0B9E39F1"/>
    <w:rsid w:val="0BF26C44"/>
    <w:rsid w:val="0C3A5E6D"/>
    <w:rsid w:val="0C6E7ED8"/>
    <w:rsid w:val="0D2B33CB"/>
    <w:rsid w:val="0DB8731C"/>
    <w:rsid w:val="0DE97ED5"/>
    <w:rsid w:val="0E512943"/>
    <w:rsid w:val="0FD54405"/>
    <w:rsid w:val="10685029"/>
    <w:rsid w:val="107847B5"/>
    <w:rsid w:val="10DB1C9F"/>
    <w:rsid w:val="110E25D3"/>
    <w:rsid w:val="11A227BD"/>
    <w:rsid w:val="130308CA"/>
    <w:rsid w:val="134B4C7E"/>
    <w:rsid w:val="13516249"/>
    <w:rsid w:val="135B3A09"/>
    <w:rsid w:val="13725EDE"/>
    <w:rsid w:val="14726477"/>
    <w:rsid w:val="147F77B9"/>
    <w:rsid w:val="15164F4C"/>
    <w:rsid w:val="15250C2F"/>
    <w:rsid w:val="1525173B"/>
    <w:rsid w:val="153C6A85"/>
    <w:rsid w:val="15AE1060"/>
    <w:rsid w:val="15E839EB"/>
    <w:rsid w:val="167B61DA"/>
    <w:rsid w:val="16897AA8"/>
    <w:rsid w:val="169054C1"/>
    <w:rsid w:val="171F0B4E"/>
    <w:rsid w:val="17EB3771"/>
    <w:rsid w:val="182C2DE0"/>
    <w:rsid w:val="18333FC9"/>
    <w:rsid w:val="183F1C44"/>
    <w:rsid w:val="18DC572E"/>
    <w:rsid w:val="18FE29CF"/>
    <w:rsid w:val="1910625E"/>
    <w:rsid w:val="19791440"/>
    <w:rsid w:val="198D3D53"/>
    <w:rsid w:val="199A5C11"/>
    <w:rsid w:val="1A3C3B56"/>
    <w:rsid w:val="1AA14F3E"/>
    <w:rsid w:val="1AFA15B8"/>
    <w:rsid w:val="1B5C39DD"/>
    <w:rsid w:val="1BB83309"/>
    <w:rsid w:val="1BE65325"/>
    <w:rsid w:val="1C6F6962"/>
    <w:rsid w:val="1E6813A9"/>
    <w:rsid w:val="1E864215"/>
    <w:rsid w:val="1EA62FF8"/>
    <w:rsid w:val="1ECE4F82"/>
    <w:rsid w:val="1EE5064C"/>
    <w:rsid w:val="1EE64021"/>
    <w:rsid w:val="1F232690"/>
    <w:rsid w:val="1F5B26D6"/>
    <w:rsid w:val="1F6007D8"/>
    <w:rsid w:val="1F7313AF"/>
    <w:rsid w:val="1FBF7012"/>
    <w:rsid w:val="2080160F"/>
    <w:rsid w:val="21C10A3D"/>
    <w:rsid w:val="22965E6B"/>
    <w:rsid w:val="22F917C9"/>
    <w:rsid w:val="23874BA3"/>
    <w:rsid w:val="23D277F4"/>
    <w:rsid w:val="24C51A8E"/>
    <w:rsid w:val="24D004EB"/>
    <w:rsid w:val="24D80E4E"/>
    <w:rsid w:val="25002F8D"/>
    <w:rsid w:val="25546BA5"/>
    <w:rsid w:val="25550156"/>
    <w:rsid w:val="26127F70"/>
    <w:rsid w:val="267D2FA7"/>
    <w:rsid w:val="26D37563"/>
    <w:rsid w:val="26E45926"/>
    <w:rsid w:val="27161DF2"/>
    <w:rsid w:val="272D2C04"/>
    <w:rsid w:val="27D72414"/>
    <w:rsid w:val="28041684"/>
    <w:rsid w:val="2819185B"/>
    <w:rsid w:val="283D072F"/>
    <w:rsid w:val="285C7E68"/>
    <w:rsid w:val="286B44D3"/>
    <w:rsid w:val="28800981"/>
    <w:rsid w:val="28D472A8"/>
    <w:rsid w:val="291C049E"/>
    <w:rsid w:val="299F2BD7"/>
    <w:rsid w:val="29EC750E"/>
    <w:rsid w:val="2A2953D2"/>
    <w:rsid w:val="2A403E4C"/>
    <w:rsid w:val="2A6F2C28"/>
    <w:rsid w:val="2AB303AA"/>
    <w:rsid w:val="2AF552B4"/>
    <w:rsid w:val="2B7102E5"/>
    <w:rsid w:val="2B762634"/>
    <w:rsid w:val="2BF67536"/>
    <w:rsid w:val="2C047AD0"/>
    <w:rsid w:val="2C4C731E"/>
    <w:rsid w:val="2C7C4FC9"/>
    <w:rsid w:val="2C840FA8"/>
    <w:rsid w:val="2D1B0C53"/>
    <w:rsid w:val="2D9C46BB"/>
    <w:rsid w:val="2DF06B27"/>
    <w:rsid w:val="2DF1140A"/>
    <w:rsid w:val="2E1B0C2F"/>
    <w:rsid w:val="2E764B34"/>
    <w:rsid w:val="2F2345B2"/>
    <w:rsid w:val="2F947791"/>
    <w:rsid w:val="2FA50B1C"/>
    <w:rsid w:val="2FF002CE"/>
    <w:rsid w:val="31286C3D"/>
    <w:rsid w:val="31C54436"/>
    <w:rsid w:val="31CA43CC"/>
    <w:rsid w:val="328722D8"/>
    <w:rsid w:val="32F4471A"/>
    <w:rsid w:val="335C76C1"/>
    <w:rsid w:val="33974E7C"/>
    <w:rsid w:val="340B1D20"/>
    <w:rsid w:val="3464452F"/>
    <w:rsid w:val="34825780"/>
    <w:rsid w:val="34AC63E7"/>
    <w:rsid w:val="35427B0F"/>
    <w:rsid w:val="35634C55"/>
    <w:rsid w:val="35C66178"/>
    <w:rsid w:val="363027C5"/>
    <w:rsid w:val="3689653D"/>
    <w:rsid w:val="36AA5E0A"/>
    <w:rsid w:val="36D81F7F"/>
    <w:rsid w:val="379F4F25"/>
    <w:rsid w:val="37B403D1"/>
    <w:rsid w:val="37D44BCF"/>
    <w:rsid w:val="38083993"/>
    <w:rsid w:val="38C56C0D"/>
    <w:rsid w:val="39951BD0"/>
    <w:rsid w:val="3A1273C6"/>
    <w:rsid w:val="3A905834"/>
    <w:rsid w:val="3AA05170"/>
    <w:rsid w:val="3AE06945"/>
    <w:rsid w:val="3BC33109"/>
    <w:rsid w:val="3C544530"/>
    <w:rsid w:val="3CA827C1"/>
    <w:rsid w:val="3CAD59EE"/>
    <w:rsid w:val="3D3710F7"/>
    <w:rsid w:val="3D5F178A"/>
    <w:rsid w:val="3D681E63"/>
    <w:rsid w:val="3D751F42"/>
    <w:rsid w:val="3D780746"/>
    <w:rsid w:val="3ED26025"/>
    <w:rsid w:val="3FF20A38"/>
    <w:rsid w:val="40706583"/>
    <w:rsid w:val="408E72C3"/>
    <w:rsid w:val="408E7BCF"/>
    <w:rsid w:val="40B26236"/>
    <w:rsid w:val="40BC115C"/>
    <w:rsid w:val="413A315B"/>
    <w:rsid w:val="41597EF3"/>
    <w:rsid w:val="41681350"/>
    <w:rsid w:val="416F668A"/>
    <w:rsid w:val="419F6662"/>
    <w:rsid w:val="41A72D03"/>
    <w:rsid w:val="41B765E4"/>
    <w:rsid w:val="41BC55E0"/>
    <w:rsid w:val="420B7389"/>
    <w:rsid w:val="423563C7"/>
    <w:rsid w:val="42C57370"/>
    <w:rsid w:val="430832B2"/>
    <w:rsid w:val="44444E8A"/>
    <w:rsid w:val="44520810"/>
    <w:rsid w:val="445769C9"/>
    <w:rsid w:val="44740DA7"/>
    <w:rsid w:val="447633DE"/>
    <w:rsid w:val="44951B21"/>
    <w:rsid w:val="454815E5"/>
    <w:rsid w:val="457C2033"/>
    <w:rsid w:val="4699234E"/>
    <w:rsid w:val="46A95479"/>
    <w:rsid w:val="46BA43CC"/>
    <w:rsid w:val="46F77B89"/>
    <w:rsid w:val="4706296E"/>
    <w:rsid w:val="4743767B"/>
    <w:rsid w:val="4785077D"/>
    <w:rsid w:val="478B367B"/>
    <w:rsid w:val="47CD0146"/>
    <w:rsid w:val="4814321B"/>
    <w:rsid w:val="485C1B1F"/>
    <w:rsid w:val="49726A4B"/>
    <w:rsid w:val="49E35DD6"/>
    <w:rsid w:val="4A0D2D7D"/>
    <w:rsid w:val="4A43687F"/>
    <w:rsid w:val="4A4B2CCE"/>
    <w:rsid w:val="4B697B8F"/>
    <w:rsid w:val="4BB73B85"/>
    <w:rsid w:val="4BE15206"/>
    <w:rsid w:val="4BF478AD"/>
    <w:rsid w:val="4BF50141"/>
    <w:rsid w:val="4C17384D"/>
    <w:rsid w:val="4C257A37"/>
    <w:rsid w:val="4C967FBD"/>
    <w:rsid w:val="4CF5766A"/>
    <w:rsid w:val="4D271A1E"/>
    <w:rsid w:val="4DE615D3"/>
    <w:rsid w:val="4DF50B78"/>
    <w:rsid w:val="4E6938E7"/>
    <w:rsid w:val="4E701DC0"/>
    <w:rsid w:val="4EC47EFE"/>
    <w:rsid w:val="4F006719"/>
    <w:rsid w:val="4F2E489B"/>
    <w:rsid w:val="4F5166AD"/>
    <w:rsid w:val="4F5D25FD"/>
    <w:rsid w:val="4FB41D44"/>
    <w:rsid w:val="50395ABF"/>
    <w:rsid w:val="50BF6E81"/>
    <w:rsid w:val="513F080C"/>
    <w:rsid w:val="515661FD"/>
    <w:rsid w:val="523B2375"/>
    <w:rsid w:val="52654DCD"/>
    <w:rsid w:val="5306542C"/>
    <w:rsid w:val="533662E6"/>
    <w:rsid w:val="53390376"/>
    <w:rsid w:val="53746819"/>
    <w:rsid w:val="53786F73"/>
    <w:rsid w:val="53940122"/>
    <w:rsid w:val="54006C82"/>
    <w:rsid w:val="550D4D66"/>
    <w:rsid w:val="55284354"/>
    <w:rsid w:val="5536450D"/>
    <w:rsid w:val="553813F1"/>
    <w:rsid w:val="55CF657E"/>
    <w:rsid w:val="56493792"/>
    <w:rsid w:val="57710879"/>
    <w:rsid w:val="58A83ABB"/>
    <w:rsid w:val="59811315"/>
    <w:rsid w:val="59BD150F"/>
    <w:rsid w:val="5A012B26"/>
    <w:rsid w:val="5A04337A"/>
    <w:rsid w:val="5A7E608A"/>
    <w:rsid w:val="5AE0581C"/>
    <w:rsid w:val="5B804D3D"/>
    <w:rsid w:val="5BE43388"/>
    <w:rsid w:val="5C337866"/>
    <w:rsid w:val="5CD53D28"/>
    <w:rsid w:val="5CD658F1"/>
    <w:rsid w:val="5CDF2064"/>
    <w:rsid w:val="5D2366CB"/>
    <w:rsid w:val="5D3331A6"/>
    <w:rsid w:val="5D533B73"/>
    <w:rsid w:val="5E0B0134"/>
    <w:rsid w:val="5E135BA1"/>
    <w:rsid w:val="5E1D1079"/>
    <w:rsid w:val="5EDA6373"/>
    <w:rsid w:val="5F0C00BF"/>
    <w:rsid w:val="5F1D0C71"/>
    <w:rsid w:val="5F2C67EF"/>
    <w:rsid w:val="5F2F4E9F"/>
    <w:rsid w:val="601F4136"/>
    <w:rsid w:val="6031773D"/>
    <w:rsid w:val="60365D26"/>
    <w:rsid w:val="61652CF4"/>
    <w:rsid w:val="62001FFF"/>
    <w:rsid w:val="62123B3B"/>
    <w:rsid w:val="62233CD3"/>
    <w:rsid w:val="622D3D77"/>
    <w:rsid w:val="62870921"/>
    <w:rsid w:val="63307788"/>
    <w:rsid w:val="634A483E"/>
    <w:rsid w:val="642B45E0"/>
    <w:rsid w:val="643007E6"/>
    <w:rsid w:val="644545DB"/>
    <w:rsid w:val="64604EAC"/>
    <w:rsid w:val="64740A1C"/>
    <w:rsid w:val="64DF79CD"/>
    <w:rsid w:val="651E6BDA"/>
    <w:rsid w:val="6559478F"/>
    <w:rsid w:val="65A128EC"/>
    <w:rsid w:val="66457796"/>
    <w:rsid w:val="66A5387A"/>
    <w:rsid w:val="66DB1226"/>
    <w:rsid w:val="66F069F8"/>
    <w:rsid w:val="67656B1B"/>
    <w:rsid w:val="67AE419D"/>
    <w:rsid w:val="67B22635"/>
    <w:rsid w:val="683769EB"/>
    <w:rsid w:val="698C50B9"/>
    <w:rsid w:val="69B75707"/>
    <w:rsid w:val="69D47128"/>
    <w:rsid w:val="6ADE7537"/>
    <w:rsid w:val="6B221B0E"/>
    <w:rsid w:val="6B237BBE"/>
    <w:rsid w:val="6B506044"/>
    <w:rsid w:val="6C527E9B"/>
    <w:rsid w:val="6C7543E1"/>
    <w:rsid w:val="6C963B87"/>
    <w:rsid w:val="6CA34594"/>
    <w:rsid w:val="6CA96079"/>
    <w:rsid w:val="6CAC1F8A"/>
    <w:rsid w:val="6CC81EA4"/>
    <w:rsid w:val="6CE72502"/>
    <w:rsid w:val="6D3756D1"/>
    <w:rsid w:val="6D37776E"/>
    <w:rsid w:val="6D3B79B9"/>
    <w:rsid w:val="6DBD66CF"/>
    <w:rsid w:val="6DD37F37"/>
    <w:rsid w:val="6F3F2C86"/>
    <w:rsid w:val="6FFC5967"/>
    <w:rsid w:val="701E297D"/>
    <w:rsid w:val="704838FD"/>
    <w:rsid w:val="709119F6"/>
    <w:rsid w:val="71F7318A"/>
    <w:rsid w:val="721A3870"/>
    <w:rsid w:val="72AB5F51"/>
    <w:rsid w:val="72DB435C"/>
    <w:rsid w:val="739641CD"/>
    <w:rsid w:val="74574EBF"/>
    <w:rsid w:val="746335E0"/>
    <w:rsid w:val="74B1717B"/>
    <w:rsid w:val="751E0D04"/>
    <w:rsid w:val="754C749B"/>
    <w:rsid w:val="75AB1C93"/>
    <w:rsid w:val="761B163F"/>
    <w:rsid w:val="76810114"/>
    <w:rsid w:val="76E41762"/>
    <w:rsid w:val="76F13850"/>
    <w:rsid w:val="7717316E"/>
    <w:rsid w:val="772E7150"/>
    <w:rsid w:val="77603777"/>
    <w:rsid w:val="77901BB9"/>
    <w:rsid w:val="77A829DC"/>
    <w:rsid w:val="77C7479C"/>
    <w:rsid w:val="78460399"/>
    <w:rsid w:val="788E3223"/>
    <w:rsid w:val="78E06AB0"/>
    <w:rsid w:val="791F1447"/>
    <w:rsid w:val="798E0318"/>
    <w:rsid w:val="7A520EB1"/>
    <w:rsid w:val="7A630025"/>
    <w:rsid w:val="7A767C71"/>
    <w:rsid w:val="7AA32CA1"/>
    <w:rsid w:val="7AD93877"/>
    <w:rsid w:val="7BB5621D"/>
    <w:rsid w:val="7BFC0690"/>
    <w:rsid w:val="7CC540BD"/>
    <w:rsid w:val="7CEE4788"/>
    <w:rsid w:val="7D423759"/>
    <w:rsid w:val="7D6528D4"/>
    <w:rsid w:val="7D695F1A"/>
    <w:rsid w:val="7DA30807"/>
    <w:rsid w:val="7DD956AA"/>
    <w:rsid w:val="7E2D5B39"/>
    <w:rsid w:val="7E3239CA"/>
    <w:rsid w:val="7ED160D1"/>
    <w:rsid w:val="7EFF672B"/>
    <w:rsid w:val="7F8738A2"/>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0"/>
    </w:r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0"/>
    <w:qFormat/>
    <w:uiPriority w:val="0"/>
    <w:pPr>
      <w:spacing w:after="120"/>
      <w:ind w:left="200" w:leftChars="200"/>
    </w:p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2"/>
    <w:basedOn w:val="9"/>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qFormat/>
    <w:uiPriority w:val="99"/>
    <w:rPr>
      <w:color w:val="0000FF"/>
      <w:u w:val="single"/>
    </w:rPr>
  </w:style>
  <w:style w:type="character" w:styleId="24">
    <w:name w:val="footnote reference"/>
    <w:basedOn w:val="21"/>
    <w:semiHidden/>
    <w:unhideWhenUsed/>
    <w:qFormat/>
    <w:uiPriority w:val="99"/>
    <w:rPr>
      <w:vertAlign w:val="superscript"/>
    </w:rPr>
  </w:style>
  <w:style w:type="paragraph" w:customStyle="1" w:styleId="25">
    <w:name w:val="标题 5（有编号）（绿盟科技）"/>
    <w:basedOn w:val="1"/>
    <w:next w:val="2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9">
    <w:name w:val="文档正文"/>
    <w:basedOn w:val="6"/>
    <w:qFormat/>
    <w:uiPriority w:val="0"/>
    <w:pPr>
      <w:spacing w:line="360" w:lineRule="auto"/>
    </w:pPr>
    <w:rPr>
      <w:rFonts w:ascii="宋体" w:hAnsi="宋体"/>
      <w:b/>
      <w:bCs/>
    </w:rPr>
  </w:style>
  <w:style w:type="paragraph" w:customStyle="1" w:styleId="30">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31">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3">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5">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6">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7">
    <w:name w:val="图例"/>
    <w:basedOn w:val="1"/>
    <w:qFormat/>
    <w:uiPriority w:val="0"/>
    <w:pPr>
      <w:spacing w:before="120" w:beforeLines="0" w:after="120" w:afterLines="0" w:line="360" w:lineRule="auto"/>
      <w:jc w:val="center"/>
    </w:pPr>
    <w:rPr>
      <w:rFonts w:eastAsia="仿宋_GB2312"/>
      <w:b/>
      <w:sz w:val="24"/>
    </w:rPr>
  </w:style>
  <w:style w:type="paragraph" w:customStyle="1" w:styleId="38">
    <w:name w:val="WPS Plain"/>
    <w:qFormat/>
    <w:uiPriority w:val="0"/>
    <w:rPr>
      <w:rFonts w:ascii="Times New Roman" w:hAnsi="Times New Roman" w:eastAsia="宋体" w:cs="Times New Roman"/>
      <w:lang w:val="en-US" w:eastAsia="zh-CN" w:bidi="ar-SA"/>
    </w:rPr>
  </w:style>
  <w:style w:type="paragraph" w:customStyle="1" w:styleId="39">
    <w:name w:val="样式 左侧:  0 厘米 悬挂缩进: 2.5 字符"/>
    <w:basedOn w:val="1"/>
    <w:qFormat/>
    <w:uiPriority w:val="0"/>
    <w:pPr>
      <w:ind w:left="525" w:hanging="525" w:hangingChars="250"/>
    </w:pPr>
    <w:rPr>
      <w:szCs w:val="20"/>
    </w:rPr>
  </w:style>
  <w:style w:type="character" w:customStyle="1" w:styleId="40">
    <w:name w:val="font11"/>
    <w:basedOn w:val="21"/>
    <w:qFormat/>
    <w:uiPriority w:val="0"/>
    <w:rPr>
      <w:rFonts w:ascii="Calibri" w:hAnsi="Calibri" w:cs="Calibri"/>
      <w:color w:val="000000"/>
      <w:sz w:val="20"/>
      <w:szCs w:val="20"/>
      <w:u w:val="none"/>
    </w:rPr>
  </w:style>
  <w:style w:type="paragraph" w:customStyle="1" w:styleId="41">
    <w:name w:val="Normal"/>
    <w:qFormat/>
    <w:uiPriority w:val="0"/>
    <w:rPr>
      <w:rFonts w:ascii="Times New Roman" w:hAnsi="Times New Roman" w:eastAsia="Times New Roman" w:cs="Times New Roman"/>
      <w:sz w:val="24"/>
      <w:szCs w:val="24"/>
      <w:lang w:bidi="ar-SA"/>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43">
    <w:name w:val="font31"/>
    <w:basedOn w:val="21"/>
    <w:qFormat/>
    <w:uiPriority w:val="0"/>
    <w:rPr>
      <w:rFonts w:hint="eastAsia" w:ascii="宋体" w:hAnsi="宋体" w:eastAsia="宋体" w:cs="宋体"/>
      <w:color w:val="000000"/>
      <w:sz w:val="12"/>
      <w:szCs w:val="12"/>
      <w:u w:val="none"/>
    </w:rPr>
  </w:style>
  <w:style w:type="character" w:customStyle="1" w:styleId="44">
    <w:name w:val="font131"/>
    <w:basedOn w:val="21"/>
    <w:qFormat/>
    <w:uiPriority w:val="0"/>
    <w:rPr>
      <w:rFonts w:hint="eastAsia" w:ascii="宋体" w:hAnsi="宋体" w:eastAsia="宋体" w:cs="宋体"/>
      <w:color w:val="FF0000"/>
      <w:sz w:val="12"/>
      <w:szCs w:val="12"/>
      <w:u w:val="none"/>
    </w:rPr>
  </w:style>
  <w:style w:type="character" w:customStyle="1" w:styleId="45">
    <w:name w:val="font51"/>
    <w:basedOn w:val="21"/>
    <w:qFormat/>
    <w:uiPriority w:val="0"/>
    <w:rPr>
      <w:rFonts w:hint="eastAsia" w:ascii="宋体" w:hAnsi="宋体" w:eastAsia="宋体" w:cs="宋体"/>
      <w:color w:val="000000"/>
      <w:sz w:val="12"/>
      <w:szCs w:val="12"/>
      <w:u w:val="none"/>
    </w:rPr>
  </w:style>
  <w:style w:type="character" w:customStyle="1" w:styleId="46">
    <w:name w:val="font171"/>
    <w:basedOn w:val="21"/>
    <w:qFormat/>
    <w:uiPriority w:val="0"/>
    <w:rPr>
      <w:rFonts w:hint="eastAsia" w:ascii="宋体" w:hAnsi="宋体" w:eastAsia="宋体" w:cs="宋体"/>
      <w:color w:val="FF0000"/>
      <w:sz w:val="12"/>
      <w:szCs w:val="12"/>
      <w:u w:val="none"/>
    </w:rPr>
  </w:style>
  <w:style w:type="character" w:customStyle="1" w:styleId="47">
    <w:name w:val="font41"/>
    <w:basedOn w:val="21"/>
    <w:qFormat/>
    <w:uiPriority w:val="0"/>
    <w:rPr>
      <w:rFonts w:hint="eastAsia" w:ascii="宋体" w:hAnsi="宋体" w:eastAsia="宋体" w:cs="宋体"/>
      <w:b/>
      <w:bCs/>
      <w:color w:val="0D0D0D"/>
      <w:sz w:val="18"/>
      <w:szCs w:val="18"/>
      <w:u w:val="none"/>
    </w:rPr>
  </w:style>
  <w:style w:type="character" w:customStyle="1" w:styleId="48">
    <w:name w:val="font71"/>
    <w:basedOn w:val="21"/>
    <w:qFormat/>
    <w:uiPriority w:val="0"/>
    <w:rPr>
      <w:rFonts w:hint="eastAsia" w:ascii="宋体" w:hAnsi="宋体" w:eastAsia="宋体" w:cs="宋体"/>
      <w:b/>
      <w:bCs/>
      <w:color w:val="000000"/>
      <w:sz w:val="18"/>
      <w:szCs w:val="18"/>
      <w:u w:val="none"/>
    </w:rPr>
  </w:style>
  <w:style w:type="paragraph" w:customStyle="1" w:styleId="4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48594</Words>
  <Characters>52449</Characters>
  <Lines>0</Lines>
  <Paragraphs>0</Paragraphs>
  <TotalTime>37</TotalTime>
  <ScaleCrop>false</ScaleCrop>
  <LinksUpToDate>false</LinksUpToDate>
  <CharactersWithSpaces>56484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夏邱霸气</cp:lastModifiedBy>
  <cp:lastPrinted>2022-07-25T05:36:00Z</cp:lastPrinted>
  <dcterms:modified xsi:type="dcterms:W3CDTF">2023-01-16T07:55:12Z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DEC63E6696464C9394C13ADC17C5580A</vt:lpwstr>
  </property>
</Properties>
</file>