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both"/>
        <w:rPr>
          <w:rFonts w:hint="eastAsia" w:ascii="楷体" w:hAnsi="楷体" w:eastAsia="楷体" w:cs="楷体"/>
          <w:b/>
          <w:bCs/>
          <w:color w:val="FF0000"/>
          <w:sz w:val="48"/>
          <w:szCs w:val="48"/>
          <w:lang w:val="en-US" w:eastAsia="zh-CN"/>
        </w:rPr>
      </w:pPr>
    </w:p>
    <w:p>
      <w:pPr>
        <w:jc w:val="center"/>
        <w:rPr>
          <w:rFonts w:hint="eastAsia" w:ascii="楷体" w:hAnsi="楷体" w:eastAsia="楷体" w:cs="楷体"/>
          <w:b/>
          <w:bCs/>
          <w:color w:val="FF0000"/>
          <w:sz w:val="48"/>
          <w:szCs w:val="48"/>
          <w:lang w:eastAsia="zh-CN"/>
        </w:rPr>
      </w:pPr>
      <w:r>
        <w:rPr>
          <w:rFonts w:hint="eastAsia" w:ascii="楷体" w:hAnsi="楷体" w:eastAsia="楷体" w:cs="楷体"/>
          <w:b/>
          <w:bCs/>
          <w:color w:val="FF0000"/>
          <w:sz w:val="48"/>
          <w:szCs w:val="48"/>
          <w:lang w:eastAsia="zh-CN"/>
        </w:rPr>
        <w:t>2022年伊犁哈萨克自治州友谊医院第七批医疗设备采购项目（</w:t>
      </w:r>
      <w:r>
        <w:rPr>
          <w:rFonts w:hint="eastAsia" w:ascii="楷体" w:hAnsi="楷体" w:eastAsia="楷体" w:cs="楷体"/>
          <w:b/>
          <w:bCs/>
          <w:color w:val="FF0000"/>
          <w:sz w:val="48"/>
          <w:szCs w:val="48"/>
          <w:lang w:val="en-US" w:eastAsia="zh-CN"/>
        </w:rPr>
        <w:t>二次</w:t>
      </w:r>
      <w:r>
        <w:rPr>
          <w:rFonts w:hint="eastAsia" w:ascii="楷体" w:hAnsi="楷体" w:eastAsia="楷体" w:cs="楷体"/>
          <w:b/>
          <w:bCs/>
          <w:color w:val="FF0000"/>
          <w:sz w:val="48"/>
          <w:szCs w:val="48"/>
          <w:lang w:eastAsia="zh-CN"/>
        </w:rPr>
        <w:t>）</w:t>
      </w:r>
    </w:p>
    <w:p>
      <w:pPr>
        <w:pStyle w:val="24"/>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5"/>
        <w:ind w:firstLine="480"/>
      </w:pPr>
    </w:p>
    <w:p>
      <w:pPr>
        <w:jc w:val="center"/>
        <w:rPr>
          <w:rFonts w:hint="default" w:ascii="楷体" w:hAnsi="楷体" w:eastAsia="楷体" w:cs="楷体"/>
          <w:b/>
          <w:bCs/>
          <w:color w:val="FF0000"/>
          <w:sz w:val="30"/>
          <w:szCs w:val="30"/>
          <w:lang w:val="en-US" w:eastAsia="zh-CN"/>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HYDF-2023-03</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新疆宏裕鼎峰工程项目管理有限公司</w:t>
      </w:r>
      <w:r>
        <w:rPr>
          <w:rFonts w:hint="eastAsia" w:ascii="楷体" w:hAnsi="楷体" w:eastAsia="楷体" w:cs="楷体"/>
          <w:b/>
          <w:bCs/>
          <w:sz w:val="30"/>
          <w:szCs w:val="30"/>
        </w:rPr>
        <w:t>编制</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01</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19"/>
        <w:rPr>
          <w:rFonts w:asciiTheme="minorEastAsia" w:hAnsiTheme="minorEastAsia" w:eastAsiaTheme="minorEastAsia"/>
          <w:sz w:val="32"/>
          <w:szCs w:val="32"/>
        </w:rPr>
      </w:pPr>
    </w:p>
    <w:p>
      <w:pPr>
        <w:rPr>
          <w:rFonts w:asciiTheme="minorEastAsia" w:hAnsiTheme="minorEastAsia" w:eastAsiaTheme="minorEastAsia"/>
          <w:sz w:val="32"/>
          <w:szCs w:val="32"/>
        </w:rPr>
      </w:pPr>
    </w:p>
    <w:p/>
    <w:p>
      <w:pPr>
        <w:pStyle w:val="19"/>
        <w:jc w:val="both"/>
        <w:rPr>
          <w:rFonts w:asciiTheme="minorEastAsia" w:hAnsiTheme="minorEastAsia" w:eastAsiaTheme="minorEastAsia"/>
          <w:sz w:val="32"/>
          <w:szCs w:val="32"/>
        </w:rPr>
      </w:pPr>
    </w:p>
    <w:p>
      <w:pPr>
        <w:pStyle w:val="19"/>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19"/>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2"/>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2"/>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2"/>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2"/>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2"/>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2"/>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2"/>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2"/>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2"/>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2"/>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2"/>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2"/>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2"/>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2"/>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2"/>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2"/>
          <w:rFonts w:hint="eastAsia" w:asciiTheme="minorEastAsia" w:hAnsiTheme="minorEastAsia" w:eastAsiaTheme="minorEastAsia"/>
          <w:sz w:val="32"/>
          <w:szCs w:val="32"/>
        </w:rPr>
        <w:t>第四部分采购货物清单及技</w:t>
      </w:r>
      <w:bookmarkStart w:id="0" w:name="_Hlt12874821"/>
      <w:r>
        <w:rPr>
          <w:rStyle w:val="32"/>
          <w:rFonts w:hint="eastAsia" w:asciiTheme="minorEastAsia" w:hAnsiTheme="minorEastAsia" w:eastAsiaTheme="minorEastAsia"/>
          <w:sz w:val="32"/>
          <w:szCs w:val="32"/>
        </w:rPr>
        <w:t>术</w:t>
      </w:r>
      <w:bookmarkEnd w:id="0"/>
      <w:r>
        <w:rPr>
          <w:rStyle w:val="32"/>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2"/>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2"/>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b/>
          <w:szCs w:val="21"/>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keepNext w:val="0"/>
        <w:keepLines w:val="0"/>
        <w:pageBreakBefore w:val="0"/>
        <w:widowControl/>
        <w:kinsoku/>
        <w:wordWrap/>
        <w:overflowPunct/>
        <w:topLinePunct w:val="0"/>
        <w:autoSpaceDE/>
        <w:autoSpaceDN/>
        <w:bidi w:val="0"/>
        <w:adjustRightInd w:val="0"/>
        <w:snapToGrid w:val="0"/>
        <w:spacing w:line="300" w:lineRule="auto"/>
        <w:jc w:val="center"/>
        <w:rPr>
          <w:rFonts w:hint="eastAsia" w:ascii="宋体" w:hAnsi="宋体" w:eastAsia="宋体" w:cs="宋体"/>
          <w:color w:val="000000"/>
          <w:sz w:val="30"/>
          <w:szCs w:val="30"/>
        </w:rPr>
      </w:pPr>
      <w:bookmarkStart w:id="1" w:name="_Toc533162509"/>
      <w:r>
        <w:rPr>
          <w:rFonts w:hint="eastAsia" w:cs="宋体"/>
          <w:sz w:val="30"/>
          <w:szCs w:val="30"/>
          <w:lang w:eastAsia="zh-CN"/>
        </w:rPr>
        <w:t>2022年伊犁哈萨克自治州友谊医院第七批医疗设备采购项目（</w:t>
      </w:r>
      <w:r>
        <w:rPr>
          <w:rFonts w:hint="eastAsia" w:cs="宋体"/>
          <w:sz w:val="30"/>
          <w:szCs w:val="30"/>
          <w:lang w:val="en-US" w:eastAsia="zh-CN"/>
        </w:rPr>
        <w:t>二次</w:t>
      </w:r>
      <w:r>
        <w:rPr>
          <w:rFonts w:hint="eastAsia" w:cs="宋体"/>
          <w:sz w:val="30"/>
          <w:szCs w:val="30"/>
          <w:lang w:eastAsia="zh-CN"/>
        </w:rPr>
        <w:t>）</w:t>
      </w:r>
      <w:r>
        <w:rPr>
          <w:rFonts w:hint="eastAsia" w:ascii="宋体" w:hAnsi="宋体" w:eastAsia="宋体" w:cs="宋体"/>
          <w:sz w:val="30"/>
          <w:szCs w:val="30"/>
        </w:rPr>
        <w:t>公开招标公告</w:t>
      </w:r>
    </w:p>
    <w:p>
      <w:pPr>
        <w:pStyle w:val="22"/>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8"/>
          <w:szCs w:val="28"/>
          <w:lang w:val="en-US"/>
        </w:rPr>
      </w:pPr>
      <w:r>
        <w:rPr>
          <w:rStyle w:val="29"/>
          <w:rFonts w:hint="eastAsia" w:ascii="宋体" w:hAnsi="宋体" w:eastAsia="宋体" w:cs="宋体"/>
          <w:color w:val="000000"/>
          <w:sz w:val="28"/>
          <w:szCs w:val="28"/>
        </w:rPr>
        <w:t> 采购项目编号:</w:t>
      </w:r>
      <w:r>
        <w:rPr>
          <w:rFonts w:hint="eastAsia" w:cs="宋体"/>
          <w:color w:val="000000"/>
          <w:sz w:val="28"/>
          <w:szCs w:val="28"/>
          <w:lang w:eastAsia="zh-CN"/>
        </w:rPr>
        <w:t>HYDF-2023-03</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二</w:t>
      </w:r>
      <w:r>
        <w:rPr>
          <w:rStyle w:val="29"/>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tbl>
      <w:tblPr>
        <w:tblStyle w:val="26"/>
        <w:tblpPr w:leftFromText="180" w:rightFromText="180" w:vertAnchor="text" w:horzAnchor="page" w:tblpX="842" w:tblpY="222"/>
        <w:tblOverlap w:val="never"/>
        <w:tblW w:w="62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95"/>
        <w:gridCol w:w="1505"/>
        <w:gridCol w:w="2068"/>
        <w:gridCol w:w="1017"/>
        <w:gridCol w:w="1017"/>
        <w:gridCol w:w="1312"/>
        <w:gridCol w:w="134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项目名称</w:t>
            </w: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标段划分</w:t>
            </w:r>
          </w:p>
        </w:tc>
        <w:tc>
          <w:tcPr>
            <w:tcW w:w="95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eastAsia="zh-CN" w:bidi="ar"/>
              </w:rPr>
            </w:pPr>
            <w:r>
              <w:rPr>
                <w:rFonts w:hint="eastAsia" w:ascii="宋体" w:hAnsi="宋体" w:cs="宋体"/>
                <w:color w:val="000000"/>
                <w:kern w:val="0"/>
                <w:sz w:val="24"/>
                <w:szCs w:val="22"/>
                <w:lang w:val="en-US" w:eastAsia="zh-CN" w:bidi="ar"/>
              </w:rPr>
              <w:t>采购内容</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数量</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2"/>
                <w:lang w:bidi="ar"/>
              </w:rPr>
              <w:t>单位</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cs="宋体"/>
                <w:color w:val="000000"/>
                <w:kern w:val="0"/>
                <w:sz w:val="24"/>
                <w:szCs w:val="22"/>
                <w:lang w:val="en-US" w:eastAsia="zh-CN" w:bidi="ar"/>
              </w:rPr>
              <w:t>单价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cs="宋体"/>
                <w:color w:val="000000"/>
                <w:kern w:val="0"/>
                <w:sz w:val="24"/>
                <w:szCs w:val="22"/>
                <w:lang w:val="en-US" w:eastAsia="zh-CN" w:bidi="ar"/>
              </w:rPr>
              <w:t>总价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bidi="ar"/>
              </w:rPr>
              <w:t>(</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57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restar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lang w:val="en-US" w:eastAsia="zh-CN"/>
              </w:rPr>
            </w:pPr>
            <w:r>
              <w:rPr>
                <w:rFonts w:hint="eastAsia" w:ascii="宋体" w:hAnsi="宋体" w:cs="宋体"/>
                <w:color w:val="000000"/>
                <w:sz w:val="24"/>
                <w:szCs w:val="22"/>
                <w:lang w:val="en-US" w:eastAsia="zh-CN"/>
              </w:rPr>
              <w:t>2022年伊犁哈萨克自治州友谊医院第七批医疗设备采购项目</w:t>
            </w: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一标段</w:t>
            </w:r>
          </w:p>
        </w:tc>
        <w:tc>
          <w:tcPr>
            <w:tcW w:w="95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24"/>
                <w:szCs w:val="22"/>
              </w:rPr>
            </w:pPr>
            <w:r>
              <w:rPr>
                <w:rFonts w:hint="eastAsia" w:ascii="宋体" w:hAnsi="宋体" w:eastAsia="宋体" w:cs="宋体"/>
                <w:i w:val="0"/>
                <w:iCs w:val="0"/>
                <w:color w:val="000000"/>
                <w:kern w:val="0"/>
                <w:sz w:val="22"/>
                <w:szCs w:val="22"/>
                <w:u w:val="none"/>
                <w:lang w:val="en-US" w:eastAsia="zh-CN" w:bidi="ar"/>
              </w:rPr>
              <w:t>微生物质谱系统</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2"/>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120</w:t>
            </w:r>
          </w:p>
        </w:tc>
        <w:tc>
          <w:tcPr>
            <w:tcW w:w="570"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2"/>
                <w:lang w:val="en-US" w:eastAsia="zh-CN"/>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cs="宋体"/>
                <w:color w:val="000000"/>
                <w:sz w:val="24"/>
                <w:szCs w:val="22"/>
                <w:lang w:val="en-US" w:eastAsia="zh-CN"/>
              </w:rPr>
            </w:pP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二标段</w:t>
            </w:r>
          </w:p>
        </w:tc>
        <w:tc>
          <w:tcPr>
            <w:tcW w:w="95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Cs w:val="22"/>
              </w:rPr>
              <w:t>特种蛋白分析仪</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570"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cs="宋体"/>
                <w:color w:val="000000"/>
                <w:sz w:val="24"/>
                <w:szCs w:val="22"/>
                <w:lang w:val="en-US" w:eastAsia="zh-CN"/>
              </w:rPr>
            </w:pP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三标段</w:t>
            </w:r>
          </w:p>
        </w:tc>
        <w:tc>
          <w:tcPr>
            <w:tcW w:w="95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szCs w:val="22"/>
              </w:rPr>
            </w:pPr>
            <w:r>
              <w:rPr>
                <w:rFonts w:hint="eastAsia"/>
                <w:szCs w:val="22"/>
              </w:rPr>
              <w:t>全自动洗板机</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570"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cs="宋体"/>
                <w:color w:val="000000"/>
                <w:sz w:val="24"/>
                <w:szCs w:val="22"/>
                <w:lang w:val="en-US" w:eastAsia="zh-CN"/>
              </w:rPr>
            </w:pP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四标段</w:t>
            </w:r>
          </w:p>
        </w:tc>
        <w:tc>
          <w:tcPr>
            <w:tcW w:w="95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szCs w:val="22"/>
              </w:rPr>
            </w:pPr>
            <w:r>
              <w:rPr>
                <w:rFonts w:hint="eastAsia"/>
                <w:szCs w:val="22"/>
              </w:rPr>
              <w:t>检验用纯水机</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570"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lang w:val="en-US" w:eastAsia="zh-CN"/>
              </w:rPr>
            </w:pP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五标段</w:t>
            </w:r>
          </w:p>
        </w:tc>
        <w:tc>
          <w:tcPr>
            <w:tcW w:w="95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2"/>
              </w:rPr>
            </w:pPr>
            <w:r>
              <w:rPr>
                <w:rFonts w:hint="eastAsia" w:ascii="宋体" w:hAnsi="宋体" w:eastAsia="宋体" w:cs="宋体"/>
                <w:color w:val="000000"/>
                <w:sz w:val="24"/>
                <w:szCs w:val="22"/>
              </w:rPr>
              <w:t>胰岛素泵</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5</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2.5</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12.5</w:t>
            </w:r>
          </w:p>
        </w:tc>
        <w:tc>
          <w:tcPr>
            <w:tcW w:w="570"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2"/>
                <w:lang w:val="en-US" w:eastAsia="zh-CN"/>
              </w:rPr>
            </w:pP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六标段</w:t>
            </w:r>
          </w:p>
        </w:tc>
        <w:tc>
          <w:tcPr>
            <w:tcW w:w="95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2"/>
              </w:rPr>
            </w:pPr>
            <w:r>
              <w:rPr>
                <w:rFonts w:hint="eastAsia" w:ascii="宋体" w:hAnsi="宋体" w:eastAsia="宋体" w:cs="宋体"/>
                <w:color w:val="000000"/>
                <w:sz w:val="24"/>
                <w:szCs w:val="22"/>
              </w:rPr>
              <w:t>超声骨密度仪</w:t>
            </w:r>
          </w:p>
        </w:tc>
        <w:tc>
          <w:tcPr>
            <w:tcW w:w="471"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2"/>
                <w:sz w:val="24"/>
                <w:szCs w:val="24"/>
                <w:lang w:val="en-US" w:eastAsia="zh-CN" w:bidi="ar-SA"/>
              </w:rPr>
              <w:t>台</w:t>
            </w:r>
          </w:p>
        </w:tc>
        <w:tc>
          <w:tcPr>
            <w:tcW w:w="60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w:t>
            </w:r>
          </w:p>
        </w:tc>
        <w:tc>
          <w:tcPr>
            <w:tcW w:w="623"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570"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kern w:val="0"/>
                <w:sz w:val="24"/>
                <w:szCs w:val="22"/>
                <w:lang w:val="en-US" w:eastAsia="zh-CN" w:bidi="ar"/>
              </w:rPr>
            </w:pPr>
          </w:p>
        </w:tc>
        <w:tc>
          <w:tcPr>
            <w:tcW w:w="1655" w:type="pct"/>
            <w:gridSpan w:val="2"/>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项目总金额合计</w:t>
            </w:r>
          </w:p>
        </w:tc>
        <w:tc>
          <w:tcPr>
            <w:tcW w:w="2743" w:type="pct"/>
            <w:gridSpan w:val="5"/>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120+30+10+20+12.5+30=222.5万元</w:t>
            </w: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120" w:lineRule="auto"/>
        <w:textAlignment w:val="auto"/>
        <w:rPr>
          <w:rFonts w:hint="eastAsia" w:ascii="宋体" w:hAnsi="宋体" w:eastAsia="宋体" w:cs="宋体"/>
          <w:color w:val="000000"/>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三</w:t>
      </w:r>
      <w:r>
        <w:rPr>
          <w:rStyle w:val="29"/>
          <w:rFonts w:hint="eastAsia" w:ascii="宋体" w:hAnsi="宋体" w:eastAsia="宋体" w:cs="宋体"/>
          <w:color w:val="000000"/>
          <w:sz w:val="27"/>
          <w:szCs w:val="27"/>
        </w:rPr>
        <w:t>、  供应商资格要求：</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（1）符合《中华人民共和国政府采购法》第二十二条之规定</w:t>
      </w:r>
      <w:r>
        <w:rPr>
          <w:rFonts w:hint="eastAsia" w:cs="宋体"/>
          <w:color w:val="000000"/>
          <w:sz w:val="28"/>
          <w:szCs w:val="28"/>
          <w:lang w:val="en-US" w:eastAsia="zh-CN"/>
        </w:rPr>
        <w:t>,</w:t>
      </w:r>
      <w:r>
        <w:rPr>
          <w:rFonts w:hint="eastAsia" w:ascii="宋体" w:hAnsi="宋体" w:eastAsia="宋体" w:cs="宋体"/>
          <w:color w:val="000000"/>
          <w:sz w:val="28"/>
          <w:szCs w:val="28"/>
        </w:rPr>
        <w:t>提供有效期内且年检合格的营业执照正本或副本；</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（2）法定代表人证明或授权委托人授权委托书；</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cs="宋体"/>
          <w:color w:val="000000"/>
          <w:sz w:val="28"/>
          <w:szCs w:val="28"/>
          <w:lang w:val="en-US" w:eastAsia="zh-CN"/>
        </w:rPr>
        <w:t>3</w:t>
      </w:r>
      <w:r>
        <w:rPr>
          <w:rFonts w:hint="eastAsia" w:ascii="宋体" w:hAnsi="宋体" w:eastAsia="宋体" w:cs="宋体"/>
          <w:color w:val="000000"/>
          <w:sz w:val="28"/>
          <w:szCs w:val="28"/>
        </w:rPr>
        <w:t>）法定代表人身份证或委托代理人身份证；</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w:t>
      </w:r>
      <w:r>
        <w:rPr>
          <w:rFonts w:hint="eastAsia" w:cs="宋体"/>
          <w:color w:val="000000"/>
          <w:sz w:val="28"/>
          <w:szCs w:val="28"/>
          <w:lang w:val="en-US" w:eastAsia="zh-CN"/>
        </w:rPr>
        <w:t>4</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投标人为制造商的须提供《医疗器械生产许可证》；投标人为经销商的须提供《医疗器械经营许可证》</w:t>
      </w:r>
      <w:r>
        <w:rPr>
          <w:rFonts w:hint="eastAsia" w:cs="宋体"/>
          <w:color w:val="000000"/>
          <w:sz w:val="28"/>
          <w:szCs w:val="28"/>
          <w:lang w:val="en-US" w:eastAsia="zh-CN"/>
        </w:rPr>
        <w:t>及制造商的医疗器械生产许可证</w:t>
      </w:r>
      <w:r>
        <w:rPr>
          <w:rFonts w:hint="eastAsia" w:ascii="宋体" w:hAnsi="宋体" w:eastAsia="宋体" w:cs="宋体"/>
          <w:color w:val="000000"/>
          <w:sz w:val="28"/>
          <w:szCs w:val="28"/>
        </w:rPr>
        <w:t>；</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5</w:t>
      </w:r>
      <w:r>
        <w:rPr>
          <w:rFonts w:hint="eastAsia" w:ascii="宋体" w:hAnsi="宋体" w:eastAsia="宋体" w:cs="宋体"/>
          <w:color w:val="000000"/>
          <w:sz w:val="28"/>
          <w:szCs w:val="28"/>
          <w:lang w:val="en-US" w:eastAsia="zh-CN"/>
        </w:rPr>
        <w:t>）社保机构或税务机构出具的投标企业缴纳被授权人近3个月的社会保障资金证明（法定代表人参加也须提供此项，退休人员提供退休证）。</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6</w:t>
      </w:r>
      <w:r>
        <w:rPr>
          <w:rFonts w:hint="eastAsia" w:ascii="宋体" w:hAnsi="宋体" w:eastAsia="宋体" w:cs="宋体"/>
          <w:color w:val="000000"/>
          <w:sz w:val="28"/>
          <w:szCs w:val="28"/>
          <w:lang w:val="en-US" w:eastAsia="zh-CN"/>
        </w:rPr>
        <w:t>）税务机关出具的参加本次采购活动近3个月报价人依法纳税凭证原件或有电子专用章的完税证明。</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7</w:t>
      </w:r>
      <w:r>
        <w:rPr>
          <w:rFonts w:hint="eastAsia" w:ascii="宋体" w:hAnsi="宋体" w:eastAsia="宋体" w:cs="宋体"/>
          <w:color w:val="000000"/>
          <w:sz w:val="28"/>
          <w:szCs w:val="28"/>
          <w:lang w:val="en-US" w:eastAsia="zh-CN"/>
        </w:rPr>
        <w:t>）会计师事务所出具的2021年度财务审计报告原件（复印件加盖公章）或银行出具的资信证明。</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cs="宋体"/>
          <w:color w:val="000000"/>
          <w:sz w:val="28"/>
          <w:szCs w:val="28"/>
          <w:lang w:eastAsia="zh-CN"/>
        </w:rPr>
      </w:pPr>
      <w:r>
        <w:rPr>
          <w:rFonts w:hint="eastAsia" w:ascii="仿宋" w:hAnsi="仿宋" w:eastAsia="仿宋" w:cs="仿宋"/>
          <w:sz w:val="28"/>
          <w:szCs w:val="28"/>
          <w:u w:val="none"/>
          <w:lang w:val="en-US" w:eastAsia="zh-CN"/>
        </w:rPr>
        <w:t>（8）</w:t>
      </w:r>
      <w:r>
        <w:rPr>
          <w:rFonts w:hint="eastAsia" w:cs="宋体"/>
          <w:color w:val="000000"/>
          <w:sz w:val="28"/>
          <w:szCs w:val="28"/>
          <w:lang w:val="en-US" w:eastAsia="zh-CN"/>
        </w:rPr>
        <w:t>投标人需提供所投产品的《医疗器械注册证》(含注册登记表)，所有证件均应在有效期内。</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说明：本项目不接受联合体投标，单位负责人为同一人或者存在控股、管理关系的不同单位，不得同时参加本项目的投标；为本项目提供整体设计、规范编制或者项目管理、监理、检测等服务的服务商，不得再参加本项目投标。其中（</w:t>
      </w:r>
      <w:r>
        <w:rPr>
          <w:rStyle w:val="29"/>
          <w:rFonts w:hint="eastAsia" w:cs="宋体"/>
          <w:color w:val="000000"/>
          <w:sz w:val="27"/>
          <w:szCs w:val="27"/>
          <w:lang w:val="en-US" w:eastAsia="zh-CN"/>
        </w:rPr>
        <w:t>1</w:t>
      </w:r>
      <w:r>
        <w:rPr>
          <w:rStyle w:val="29"/>
          <w:rFonts w:hint="eastAsia" w:ascii="宋体" w:hAnsi="宋体" w:eastAsia="宋体" w:cs="宋体"/>
          <w:color w:val="000000"/>
          <w:sz w:val="27"/>
          <w:szCs w:val="27"/>
          <w:lang w:val="en-US" w:eastAsia="zh-CN"/>
        </w:rPr>
        <w:t>）-（</w:t>
      </w:r>
      <w:r>
        <w:rPr>
          <w:rStyle w:val="29"/>
          <w:rFonts w:hint="eastAsia" w:cs="宋体"/>
          <w:color w:val="000000"/>
          <w:sz w:val="27"/>
          <w:szCs w:val="27"/>
          <w:lang w:val="en-US" w:eastAsia="zh-CN"/>
        </w:rPr>
        <w:t>8</w:t>
      </w:r>
      <w:r>
        <w:rPr>
          <w:rStyle w:val="29"/>
          <w:rFonts w:hint="eastAsia" w:ascii="宋体" w:hAnsi="宋体" w:eastAsia="宋体" w:cs="宋体"/>
          <w:color w:val="000000"/>
          <w:sz w:val="27"/>
          <w:szCs w:val="27"/>
          <w:lang w:val="en-US" w:eastAsia="zh-CN"/>
        </w:rPr>
        <w:t>）为资格审查时的必备条件，投标人必须按要求</w:t>
      </w:r>
      <w:r>
        <w:rPr>
          <w:rStyle w:val="29"/>
          <w:rFonts w:hint="eastAsia" w:cs="宋体"/>
          <w:color w:val="000000"/>
          <w:sz w:val="27"/>
          <w:szCs w:val="27"/>
          <w:lang w:val="en-US" w:eastAsia="zh-CN"/>
        </w:rPr>
        <w:t>上传</w:t>
      </w:r>
      <w:r>
        <w:rPr>
          <w:rStyle w:val="29"/>
          <w:rFonts w:hint="eastAsia" w:ascii="宋体" w:hAnsi="宋体" w:eastAsia="宋体" w:cs="宋体"/>
          <w:color w:val="000000"/>
          <w:sz w:val="27"/>
          <w:szCs w:val="27"/>
          <w:lang w:val="en-US" w:eastAsia="zh-CN"/>
        </w:rPr>
        <w:t>提供，如果提供不全则视为对招标文件资格审查内容的不响应，投标将被拒绝（不接受二次提供）。</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9"/>
          <w:rFonts w:hint="eastAsia" w:ascii="宋体" w:hAnsi="宋体" w:eastAsia="宋体" w:cs="宋体"/>
          <w:color w:val="000000"/>
          <w:sz w:val="27"/>
          <w:szCs w:val="27"/>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ind w:right="0" w:rightChars="0"/>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四、</w:t>
      </w:r>
      <w:r>
        <w:rPr>
          <w:rStyle w:val="29"/>
          <w:rFonts w:hint="eastAsia" w:ascii="宋体" w:hAnsi="宋体" w:eastAsia="宋体" w:cs="宋体"/>
          <w:color w:val="000000"/>
          <w:sz w:val="27"/>
          <w:szCs w:val="27"/>
        </w:rPr>
        <w:t> 供应商报名及采购文件发售时间、地址、售价:</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default" w:ascii="宋体" w:hAnsi="宋体" w:eastAsia="宋体" w:cs="宋体"/>
          <w:color w:val="000000"/>
          <w:lang w:val="en-US"/>
        </w:rPr>
      </w:pPr>
      <w:r>
        <w:rPr>
          <w:rStyle w:val="29"/>
          <w:rFonts w:hint="eastAsia" w:ascii="宋体" w:hAnsi="宋体" w:eastAsia="宋体" w:cs="宋体"/>
          <w:color w:val="000000"/>
          <w:sz w:val="27"/>
          <w:szCs w:val="27"/>
        </w:rPr>
        <w:t>1. 采购文件发售时间：</w:t>
      </w:r>
      <w:r>
        <w:rPr>
          <w:rStyle w:val="29"/>
          <w:rFonts w:hint="eastAsia" w:ascii="宋体" w:hAnsi="宋体" w:eastAsia="宋体" w:cs="宋体"/>
          <w:b w:val="0"/>
          <w:bCs/>
          <w:sz w:val="27"/>
          <w:szCs w:val="27"/>
        </w:rPr>
        <w:t>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01</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30</w:t>
      </w:r>
      <w:r>
        <w:rPr>
          <w:rStyle w:val="29"/>
          <w:rFonts w:hint="eastAsia" w:ascii="宋体" w:hAnsi="宋体" w:eastAsia="宋体" w:cs="宋体"/>
          <w:b w:val="0"/>
          <w:bCs/>
          <w:sz w:val="27"/>
          <w:szCs w:val="27"/>
        </w:rPr>
        <w:t>至202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02</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03</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上午：</w:t>
      </w:r>
      <w:r>
        <w:rPr>
          <w:rFonts w:hint="eastAsia" w:ascii="宋体" w:hAnsi="宋体" w:eastAsia="宋体" w:cs="宋体"/>
          <w:color w:val="000000"/>
          <w:sz w:val="27"/>
          <w:szCs w:val="27"/>
        </w:rPr>
        <w:t> 10:00-14:00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5</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19</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 </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288"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获取采购文件地址：</w:t>
      </w:r>
      <w:r>
        <w:rPr>
          <w:rStyle w:val="29"/>
          <w:rFonts w:hint="eastAsia" w:ascii="宋体" w:hAnsi="宋体" w:eastAsia="宋体" w:cs="宋体"/>
          <w:b w:val="0"/>
          <w:bCs/>
          <w:color w:val="000000"/>
          <w:sz w:val="27"/>
          <w:szCs w:val="27"/>
          <w:lang w:eastAsia="zh-CN"/>
        </w:rPr>
        <w:t>政采云平台线上获取</w:t>
      </w:r>
      <w:r>
        <w:rPr>
          <w:rFonts w:ascii="仿宋" w:hAnsi="仿宋" w:eastAsia="仿宋" w:cs="仿宋"/>
          <w:i w:val="0"/>
          <w:iCs w:val="0"/>
          <w:caps w:val="0"/>
          <w:color w:val="000000"/>
          <w:spacing w:val="0"/>
          <w:sz w:val="27"/>
          <w:szCs w:val="27"/>
        </w:rPr>
        <w:t>https://www.zcygov.cn/）</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288"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获取采购文件方式：</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288"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（1）、凡有意参加项目投标者，须办理企业数字证书（CA)，并进入政府采购云平台（网址：www.zcygov.c），绑定企业数字证书（CA)后在网上获取采购文件及其它采购资料。</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288"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（2）、供应商登录政采云平台https://www.zcygov.cn/在线申请获取采购文件（进入“项目采购”应用，在获取采购文件菜单中选择项目，申请获取采购文件）</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default" w:ascii="宋体" w:hAnsi="宋体" w:eastAsia="宋体" w:cs="宋体"/>
          <w:b/>
          <w:color w:val="000000"/>
          <w:sz w:val="27"/>
          <w:szCs w:val="27"/>
          <w:lang w:val="en-US" w:eastAsia="zh-CN"/>
        </w:rPr>
      </w:pPr>
      <w:r>
        <w:rPr>
          <w:rStyle w:val="29"/>
          <w:rFonts w:hint="eastAsia" w:ascii="宋体" w:hAnsi="宋体" w:eastAsia="宋体" w:cs="宋体"/>
          <w:color w:val="000000"/>
          <w:sz w:val="27"/>
          <w:szCs w:val="27"/>
        </w:rPr>
        <w:t>4.采购文件售价(元)：</w:t>
      </w:r>
      <w:r>
        <w:rPr>
          <w:rStyle w:val="29"/>
          <w:rFonts w:hint="eastAsia" w:ascii="宋体" w:hAnsi="宋体" w:eastAsia="宋体" w:cs="宋体"/>
          <w:color w:val="000000"/>
          <w:sz w:val="27"/>
          <w:szCs w:val="27"/>
          <w:lang w:val="en-US" w:eastAsia="zh-CN"/>
        </w:rPr>
        <w:t>0元</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highlight w:val="red"/>
        </w:rPr>
      </w:pPr>
      <w:r>
        <w:rPr>
          <w:rStyle w:val="29"/>
          <w:rFonts w:hint="eastAsia" w:ascii="宋体" w:hAnsi="宋体" w:eastAsia="宋体" w:cs="宋体"/>
          <w:color w:val="000000"/>
          <w:sz w:val="27"/>
          <w:szCs w:val="27"/>
          <w:lang w:val="en-US" w:eastAsia="zh-CN"/>
        </w:rPr>
        <w:t>五</w:t>
      </w:r>
      <w:r>
        <w:rPr>
          <w:rStyle w:val="29"/>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19</w:t>
      </w:r>
      <w:r>
        <w:rPr>
          <w:rFonts w:hint="eastAsia" w:ascii="宋体" w:hAnsi="宋体" w:eastAsia="宋体" w:cs="宋体"/>
          <w:color w:val="000000"/>
          <w:sz w:val="27"/>
          <w:szCs w:val="27"/>
        </w:rPr>
        <w:t>上午</w:t>
      </w:r>
      <w:r>
        <w:rPr>
          <w:rFonts w:hint="eastAsia" w:cs="宋体"/>
          <w:color w:val="000000"/>
          <w:sz w:val="27"/>
          <w:szCs w:val="27"/>
          <w:lang w:val="en-US" w:eastAsia="zh-CN"/>
        </w:rPr>
        <w:t>12</w:t>
      </w:r>
      <w:r>
        <w:rPr>
          <w:rFonts w:hint="eastAsia" w:ascii="宋体" w:hAnsi="宋体" w:eastAsia="宋体" w:cs="宋体"/>
          <w:color w:val="000000"/>
          <w:sz w:val="27"/>
          <w:szCs w:val="27"/>
        </w:rPr>
        <w:t>:</w:t>
      </w:r>
      <w:r>
        <w:rPr>
          <w:rFonts w:hint="eastAsia" w:cs="宋体"/>
          <w:color w:val="000000"/>
          <w:sz w:val="27"/>
          <w:szCs w:val="27"/>
          <w:lang w:val="en-US" w:eastAsia="zh-CN"/>
        </w:rPr>
        <w:t>30</w:t>
      </w:r>
      <w:r>
        <w:rPr>
          <w:rFonts w:hint="eastAsia" w:ascii="宋体" w:hAnsi="宋体" w:eastAsia="宋体" w:cs="宋体"/>
          <w:color w:val="000000"/>
          <w:sz w:val="27"/>
          <w:szCs w:val="27"/>
        </w:rPr>
        <w:t>:00</w:t>
      </w:r>
    </w:p>
    <w:p>
      <w:pPr>
        <w:pStyle w:val="22"/>
        <w:keepNext w:val="0"/>
        <w:keepLines w:val="0"/>
        <w:pageBreakBefore w:val="0"/>
        <w:widowControl/>
        <w:kinsoku/>
        <w:wordWrap/>
        <w:overflowPunct/>
        <w:topLinePunct w:val="0"/>
        <w:autoSpaceDE/>
        <w:autoSpaceDN/>
        <w:bidi w:val="0"/>
        <w:adjustRightInd w:val="0"/>
        <w:snapToGrid w:val="0"/>
        <w:spacing w:before="75" w:after="75" w:line="288" w:lineRule="auto"/>
        <w:textAlignment w:val="auto"/>
        <w:rPr>
          <w:rStyle w:val="29"/>
          <w:rFonts w:hint="eastAsia" w:ascii="宋体" w:hAnsi="宋体" w:eastAsia="宋体" w:cs="宋体"/>
          <w:sz w:val="27"/>
          <w:szCs w:val="27"/>
        </w:rPr>
      </w:pPr>
      <w:r>
        <w:rPr>
          <w:rStyle w:val="29"/>
          <w:rFonts w:hint="eastAsia" w:ascii="宋体" w:hAnsi="宋体" w:eastAsia="宋体" w:cs="宋体"/>
          <w:color w:val="000000"/>
          <w:sz w:val="27"/>
          <w:szCs w:val="27"/>
          <w:lang w:val="en-US" w:eastAsia="zh-CN"/>
        </w:rPr>
        <w:t>六</w:t>
      </w:r>
      <w:r>
        <w:rPr>
          <w:rStyle w:val="29"/>
          <w:rFonts w:hint="eastAsia" w:ascii="宋体" w:hAnsi="宋体" w:eastAsia="宋体" w:cs="宋体"/>
          <w:color w:val="000000"/>
          <w:sz w:val="27"/>
          <w:szCs w:val="27"/>
        </w:rPr>
        <w:t>、  投标文件提交地址：</w:t>
      </w:r>
      <w:r>
        <w:rPr>
          <w:rStyle w:val="29"/>
          <w:rFonts w:hint="eastAsia" w:ascii="宋体" w:hAnsi="宋体" w:eastAsia="宋体" w:cs="宋体"/>
          <w:color w:val="000000"/>
          <w:sz w:val="27"/>
          <w:szCs w:val="27"/>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88"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七</w:t>
      </w:r>
      <w:r>
        <w:rPr>
          <w:rStyle w:val="29"/>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19</w:t>
      </w:r>
      <w:r>
        <w:rPr>
          <w:rFonts w:hint="eastAsia" w:ascii="宋体" w:hAnsi="宋体" w:eastAsia="宋体" w:cs="宋体"/>
          <w:color w:val="000000"/>
          <w:sz w:val="27"/>
          <w:szCs w:val="27"/>
        </w:rPr>
        <w:t>上午</w:t>
      </w:r>
      <w:r>
        <w:rPr>
          <w:rFonts w:hint="eastAsia" w:cs="宋体"/>
          <w:color w:val="000000"/>
          <w:sz w:val="27"/>
          <w:szCs w:val="27"/>
          <w:lang w:val="en-US" w:eastAsia="zh-CN"/>
        </w:rPr>
        <w:t>12</w:t>
      </w:r>
      <w:r>
        <w:rPr>
          <w:rFonts w:hint="eastAsia" w:ascii="宋体" w:hAnsi="宋体" w:eastAsia="宋体" w:cs="宋体"/>
          <w:color w:val="000000"/>
          <w:sz w:val="27"/>
          <w:szCs w:val="27"/>
        </w:rPr>
        <w:t>:</w:t>
      </w:r>
      <w:r>
        <w:rPr>
          <w:rFonts w:hint="eastAsia" w:cs="宋体"/>
          <w:color w:val="000000"/>
          <w:sz w:val="27"/>
          <w:szCs w:val="27"/>
          <w:lang w:val="en-US" w:eastAsia="zh-CN"/>
        </w:rPr>
        <w:t>30</w:t>
      </w:r>
      <w:r>
        <w:rPr>
          <w:rFonts w:hint="eastAsia" w:ascii="宋体" w:hAnsi="宋体" w:eastAsia="宋体" w:cs="宋体"/>
          <w:color w:val="000000"/>
          <w:sz w:val="27"/>
          <w:szCs w:val="27"/>
        </w:rPr>
        <w:t>:00</w:t>
      </w:r>
      <w:r>
        <w:rPr>
          <w:rFonts w:hint="eastAsia" w:ascii="宋体" w:hAnsi="宋体" w:eastAsia="宋体" w:cs="宋体"/>
          <w:color w:val="FF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after="75" w:line="288" w:lineRule="auto"/>
        <w:textAlignment w:val="auto"/>
        <w:rPr>
          <w:rStyle w:val="29"/>
          <w:rFonts w:hint="eastAsia" w:ascii="宋体" w:hAnsi="宋体" w:eastAsia="宋体" w:cs="宋体"/>
          <w:b w:val="0"/>
          <w:bCs/>
          <w:color w:val="000000"/>
          <w:sz w:val="27"/>
          <w:szCs w:val="27"/>
          <w:lang w:val="en-US" w:eastAsia="zh-CN"/>
        </w:rPr>
      </w:pPr>
      <w:r>
        <w:rPr>
          <w:rStyle w:val="29"/>
          <w:rFonts w:hint="eastAsia" w:ascii="宋体" w:hAnsi="宋体" w:eastAsia="宋体" w:cs="宋体"/>
          <w:color w:val="000000"/>
          <w:sz w:val="27"/>
          <w:szCs w:val="27"/>
          <w:lang w:val="en-US" w:eastAsia="zh-CN"/>
        </w:rPr>
        <w:t>八</w:t>
      </w:r>
      <w:r>
        <w:rPr>
          <w:rStyle w:val="29"/>
          <w:rFonts w:hint="eastAsia" w:ascii="宋体" w:hAnsi="宋体" w:eastAsia="宋体" w:cs="宋体"/>
          <w:color w:val="000000"/>
          <w:sz w:val="27"/>
          <w:szCs w:val="27"/>
        </w:rPr>
        <w:t>、  投标地址：</w:t>
      </w:r>
      <w:r>
        <w:rPr>
          <w:rStyle w:val="29"/>
          <w:rFonts w:hint="eastAsia" w:ascii="宋体" w:hAnsi="宋体" w:eastAsia="宋体" w:cs="宋体"/>
          <w:color w:val="000000"/>
          <w:sz w:val="27"/>
          <w:szCs w:val="27"/>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九</w:t>
      </w:r>
      <w:r>
        <w:rPr>
          <w:rStyle w:val="29"/>
          <w:rFonts w:hint="eastAsia" w:ascii="宋体" w:hAnsi="宋体" w:eastAsia="宋体" w:cs="宋体"/>
          <w:color w:val="000000"/>
          <w:sz w:val="27"/>
          <w:szCs w:val="27"/>
        </w:rPr>
        <w:t>、  保证金及交付方式：</w:t>
      </w:r>
    </w:p>
    <w:tbl>
      <w:tblPr>
        <w:tblStyle w:val="26"/>
        <w:tblpPr w:leftFromText="180" w:rightFromText="180" w:vertAnchor="text" w:horzAnchor="page" w:tblpX="1257" w:tblpY="543"/>
        <w:tblOverlap w:val="never"/>
        <w:tblW w:w="10044" w:type="dxa"/>
        <w:tblInd w:w="0" w:type="dxa"/>
        <w:tblLayout w:type="fixed"/>
        <w:tblCellMar>
          <w:top w:w="15" w:type="dxa"/>
          <w:left w:w="15" w:type="dxa"/>
          <w:bottom w:w="15" w:type="dxa"/>
          <w:right w:w="15" w:type="dxa"/>
        </w:tblCellMar>
      </w:tblPr>
      <w:tblGrid>
        <w:gridCol w:w="1826"/>
        <w:gridCol w:w="1290"/>
        <w:gridCol w:w="1476"/>
        <w:gridCol w:w="1496"/>
        <w:gridCol w:w="2319"/>
        <w:gridCol w:w="887"/>
        <w:gridCol w:w="750"/>
      </w:tblGrid>
      <w:tr>
        <w:tblPrEx>
          <w:tblCellMar>
            <w:top w:w="15" w:type="dxa"/>
            <w:left w:w="15" w:type="dxa"/>
            <w:bottom w:w="15" w:type="dxa"/>
            <w:right w:w="15" w:type="dxa"/>
          </w:tblCellMar>
        </w:tblPrEx>
        <w:trPr>
          <w:trHeight w:val="830" w:hRule="atLeast"/>
        </w:trPr>
        <w:tc>
          <w:tcPr>
            <w:tcW w:w="182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cs="宋体"/>
                <w:color w:val="000000"/>
                <w:kern w:val="0"/>
                <w:sz w:val="24"/>
                <w:szCs w:val="22"/>
                <w:lang w:val="en-US" w:eastAsia="zh-CN" w:bidi="ar"/>
              </w:rPr>
              <w:t>项目</w:t>
            </w:r>
            <w:r>
              <w:rPr>
                <w:rFonts w:hint="eastAsia" w:ascii="宋体" w:hAnsi="宋体" w:eastAsia="宋体" w:cs="宋体"/>
                <w:color w:val="000000"/>
                <w:kern w:val="0"/>
                <w:sz w:val="24"/>
                <w:szCs w:val="22"/>
                <w:lang w:bidi="ar"/>
              </w:rPr>
              <w:t>名称</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标段划分</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投标保证金</w:t>
            </w:r>
            <w:r>
              <w:rPr>
                <w:rFonts w:hint="eastAsia" w:ascii="宋体" w:hAnsi="宋体" w:cs="宋体"/>
                <w:color w:val="000000"/>
                <w:kern w:val="0"/>
                <w:sz w:val="24"/>
                <w:szCs w:val="22"/>
                <w:lang w:val="en-US" w:eastAsia="zh-CN" w:bidi="ar"/>
              </w:rPr>
              <w:t>需缴纳</w:t>
            </w:r>
            <w:r>
              <w:rPr>
                <w:rFonts w:hint="eastAsia" w:ascii="宋体" w:hAnsi="宋体" w:eastAsia="宋体" w:cs="宋体"/>
                <w:color w:val="000000"/>
                <w:kern w:val="0"/>
                <w:sz w:val="24"/>
                <w:szCs w:val="22"/>
                <w:lang w:bidi="ar"/>
              </w:rPr>
              <w:t>金额（元）</w:t>
            </w:r>
          </w:p>
        </w:tc>
        <w:tc>
          <w:tcPr>
            <w:tcW w:w="149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开户银行</w:t>
            </w:r>
          </w:p>
        </w:tc>
        <w:tc>
          <w:tcPr>
            <w:tcW w:w="231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收款账号/行号</w:t>
            </w:r>
          </w:p>
        </w:tc>
        <w:tc>
          <w:tcPr>
            <w:tcW w:w="88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交付方式</w:t>
            </w: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CellMar>
            <w:top w:w="15" w:type="dxa"/>
            <w:left w:w="15" w:type="dxa"/>
            <w:bottom w:w="15" w:type="dxa"/>
            <w:right w:w="15" w:type="dxa"/>
          </w:tblCellMar>
        </w:tblPrEx>
        <w:trPr>
          <w:trHeight w:val="592" w:hRule="atLeast"/>
        </w:trPr>
        <w:tc>
          <w:tcPr>
            <w:tcW w:w="1826"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eastAsia="zh-CN"/>
              </w:rPr>
            </w:pPr>
            <w:r>
              <w:rPr>
                <w:rFonts w:hint="eastAsia" w:ascii="宋体" w:hAnsi="宋体" w:cs="宋体"/>
                <w:bCs/>
                <w:spacing w:val="-6"/>
                <w:sz w:val="24"/>
                <w:szCs w:val="22"/>
                <w:lang w:eastAsia="zh-CN"/>
              </w:rPr>
              <w:t>2022年伊犁哈萨克自治州友谊医院第七批医疗设备采购项目</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一标段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24000</w:t>
            </w:r>
          </w:p>
        </w:tc>
        <w:tc>
          <w:tcPr>
            <w:tcW w:w="1496"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cs="宋体"/>
                <w:spacing w:val="-6"/>
                <w:sz w:val="24"/>
                <w:szCs w:val="24"/>
              </w:rPr>
              <w:t>中国建设银行股份有限公司伊宁辽宁路支行</w:t>
            </w:r>
          </w:p>
        </w:tc>
        <w:tc>
          <w:tcPr>
            <w:tcW w:w="2319"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ascii="宋体" w:hAnsi="宋体" w:cs="宋体"/>
                <w:spacing w:val="-6"/>
                <w:sz w:val="24"/>
                <w:szCs w:val="24"/>
              </w:rPr>
              <w:t>65050110260000001170/105898000139</w:t>
            </w:r>
          </w:p>
        </w:tc>
        <w:tc>
          <w:tcPr>
            <w:tcW w:w="887"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eastAsia="宋体" w:cs="宋体"/>
                <w:bCs/>
                <w:spacing w:val="-6"/>
                <w:sz w:val="24"/>
                <w:szCs w:val="22"/>
              </w:rPr>
              <w:t>基本账户转出</w:t>
            </w: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二标段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6000</w:t>
            </w:r>
          </w:p>
        </w:tc>
        <w:tc>
          <w:tcPr>
            <w:tcW w:w="149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三标段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2000</w:t>
            </w:r>
          </w:p>
        </w:tc>
        <w:tc>
          <w:tcPr>
            <w:tcW w:w="149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四标段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4000</w:t>
            </w:r>
          </w:p>
        </w:tc>
        <w:tc>
          <w:tcPr>
            <w:tcW w:w="149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五标段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2500</w:t>
            </w:r>
          </w:p>
        </w:tc>
        <w:tc>
          <w:tcPr>
            <w:tcW w:w="1496"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六标段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6000</w:t>
            </w:r>
          </w:p>
        </w:tc>
        <w:tc>
          <w:tcPr>
            <w:tcW w:w="1496"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rPr>
      </w:pPr>
      <w:r>
        <w:rPr>
          <w:rStyle w:val="29"/>
          <w:rFonts w:hint="eastAsia" w:ascii="宋体" w:hAnsi="宋体" w:eastAsia="宋体" w:cs="宋体"/>
          <w:color w:val="000000"/>
          <w:sz w:val="27"/>
          <w:szCs w:val="27"/>
        </w:rPr>
        <w:t>十、    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Fonts w:hint="eastAsia" w:ascii="宋体" w:hAnsi="宋体" w:eastAsia="宋体" w:cs="宋体"/>
          <w:color w:val="000000"/>
        </w:rPr>
      </w:pPr>
      <w:r>
        <w:rPr>
          <w:rStyle w:val="29"/>
          <w:rFonts w:hint="eastAsia" w:ascii="宋体" w:hAnsi="宋体" w:eastAsia="宋体" w:cs="宋体"/>
          <w:color w:val="000000"/>
          <w:sz w:val="27"/>
          <w:szCs w:val="27"/>
        </w:rPr>
        <w:t>1、购买公开文件时须提交的文件资料</w:t>
      </w:r>
    </w:p>
    <w:p>
      <w:pPr>
        <w:pStyle w:val="22"/>
        <w:keepNext w:val="0"/>
        <w:keepLines w:val="0"/>
        <w:pageBreakBefore w:val="0"/>
        <w:kinsoku/>
        <w:wordWrap/>
        <w:overflowPunct/>
        <w:topLinePunct w:val="0"/>
        <w:autoSpaceDE/>
        <w:autoSpaceDN/>
        <w:bidi w:val="0"/>
        <w:adjustRightInd w:val="0"/>
        <w:snapToGrid w:val="0"/>
        <w:spacing w:line="240" w:lineRule="auto"/>
        <w:ind w:firstLine="280" w:firstLineChars="1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w:t>
      </w:r>
      <w:r>
        <w:rPr>
          <w:rFonts w:hint="eastAsia" w:cs="宋体"/>
          <w:color w:val="000000"/>
          <w:kern w:val="2"/>
          <w:sz w:val="28"/>
          <w:szCs w:val="28"/>
          <w:lang w:eastAsia="zh-CN"/>
        </w:rPr>
        <w:t>无</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2、采购项目需要落实的政府采购政策</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w:t>
      </w:r>
      <w:r>
        <w:rPr>
          <w:rFonts w:hint="eastAsia" w:ascii="宋体" w:hAnsi="宋体" w:eastAsia="宋体" w:cs="宋体"/>
          <w:sz w:val="28"/>
          <w:szCs w:val="28"/>
        </w:rPr>
        <w:t>中华人民共和国政府采购法</w:t>
      </w:r>
      <w:r>
        <w:rPr>
          <w:rFonts w:hint="eastAsia" w:ascii="宋体" w:hAnsi="宋体" w:eastAsia="宋体" w:cs="宋体"/>
          <w:color w:val="000000"/>
          <w:sz w:val="27"/>
          <w:szCs w:val="27"/>
        </w:rPr>
        <w:t>》</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（二）财政部、国家发展改革委《关于印发《节能产品政府采购实施意见》的通知》（财库[2004]185号文）； </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（三）《财政部发展改革委 生态环境部 市场监管总局关于调整优化节能产品 环境标志产品政府采购执行机制的通知》（财库〔2019〕9号）; （四）财政部、工业和信息化部</w:t>
      </w:r>
      <w:r>
        <w:rPr>
          <w:rFonts w:hint="eastAsia" w:cs="宋体"/>
          <w:color w:val="000000"/>
          <w:sz w:val="27"/>
          <w:szCs w:val="27"/>
          <w:lang w:eastAsia="zh-CN"/>
        </w:rPr>
        <w:t>《关于印发《政府采购促进中小企业发展管理办法》的通知》（财库〔2020〕46号）</w:t>
      </w:r>
      <w:r>
        <w:rPr>
          <w:rFonts w:hint="eastAsia" w:cs="宋体"/>
          <w:color w:val="000000"/>
          <w:sz w:val="27"/>
          <w:szCs w:val="27"/>
          <w:lang w:val="en-US" w:eastAsia="zh-CN"/>
        </w:rPr>
        <w:t>和</w:t>
      </w:r>
      <w:r>
        <w:rPr>
          <w:rFonts w:hint="eastAsia" w:ascii="宋体" w:hAnsi="宋体" w:eastAsia="宋体" w:cs="宋体"/>
          <w:color w:val="000000"/>
          <w:sz w:val="27"/>
          <w:szCs w:val="27"/>
        </w:rPr>
        <w:t>《</w:t>
      </w:r>
      <w:r>
        <w:rPr>
          <w:rFonts w:hint="eastAsia" w:cs="宋体"/>
          <w:color w:val="000000"/>
          <w:sz w:val="27"/>
          <w:szCs w:val="27"/>
          <w:lang w:val="en-US" w:eastAsia="zh-CN"/>
        </w:rPr>
        <w:t>关于落实好政府采购支持中小企业发展的通知</w:t>
      </w:r>
      <w:r>
        <w:rPr>
          <w:rFonts w:hint="eastAsia" w:ascii="宋体" w:hAnsi="宋体" w:eastAsia="宋体" w:cs="宋体"/>
          <w:color w:val="000000"/>
          <w:sz w:val="27"/>
          <w:szCs w:val="27"/>
        </w:rPr>
        <w:t>》（</w:t>
      </w:r>
      <w:r>
        <w:rPr>
          <w:rFonts w:hint="eastAsia" w:cs="宋体"/>
          <w:color w:val="000000"/>
          <w:sz w:val="27"/>
          <w:szCs w:val="27"/>
          <w:lang w:val="en-US" w:eastAsia="zh-CN"/>
        </w:rPr>
        <w:t>新</w:t>
      </w:r>
      <w:r>
        <w:rPr>
          <w:rFonts w:hint="eastAsia" w:ascii="宋体" w:hAnsi="宋体" w:eastAsia="宋体" w:cs="宋体"/>
          <w:color w:val="000000"/>
          <w:sz w:val="27"/>
          <w:szCs w:val="27"/>
        </w:rPr>
        <w:t>财</w:t>
      </w:r>
      <w:r>
        <w:rPr>
          <w:rFonts w:hint="eastAsia" w:cs="宋体"/>
          <w:color w:val="000000"/>
          <w:sz w:val="27"/>
          <w:szCs w:val="27"/>
          <w:lang w:val="en-US" w:eastAsia="zh-CN"/>
        </w:rPr>
        <w:t>购</w:t>
      </w:r>
      <w:r>
        <w:rPr>
          <w:rFonts w:hint="eastAsia" w:ascii="宋体" w:hAnsi="宋体" w:eastAsia="宋体" w:cs="宋体"/>
          <w:color w:val="000000"/>
          <w:sz w:val="27"/>
          <w:szCs w:val="27"/>
        </w:rPr>
        <w:t>〔20</w:t>
      </w:r>
      <w:r>
        <w:rPr>
          <w:rFonts w:hint="eastAsia" w:cs="宋体"/>
          <w:color w:val="000000"/>
          <w:sz w:val="27"/>
          <w:szCs w:val="27"/>
          <w:lang w:val="en-US" w:eastAsia="zh-CN"/>
        </w:rPr>
        <w:t>22</w:t>
      </w:r>
      <w:r>
        <w:rPr>
          <w:rFonts w:hint="eastAsia" w:ascii="宋体" w:hAnsi="宋体" w:eastAsia="宋体" w:cs="宋体"/>
          <w:color w:val="000000"/>
          <w:sz w:val="27"/>
          <w:szCs w:val="27"/>
        </w:rPr>
        <w:t>〕</w:t>
      </w:r>
      <w:r>
        <w:rPr>
          <w:rFonts w:hint="eastAsia" w:cs="宋体"/>
          <w:color w:val="000000"/>
          <w:sz w:val="27"/>
          <w:szCs w:val="27"/>
          <w:lang w:val="en-US" w:eastAsia="zh-CN"/>
        </w:rPr>
        <w:t>22</w:t>
      </w:r>
      <w:r>
        <w:rPr>
          <w:rFonts w:hint="eastAsia" w:ascii="宋体" w:hAnsi="宋体" w:eastAsia="宋体" w:cs="宋体"/>
          <w:color w:val="000000"/>
          <w:sz w:val="27"/>
          <w:szCs w:val="27"/>
        </w:rPr>
        <w:t xml:space="preserve">号）； </w:t>
      </w:r>
    </w:p>
    <w:p>
      <w:pPr>
        <w:pStyle w:val="22"/>
        <w:keepNext w:val="0"/>
        <w:keepLines w:val="0"/>
        <w:pageBreakBefore w:val="0"/>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（五）财政部、民政部、中国残疾人联合会《关于促进残疾人就业政府采购政策的通知》（财库[2017]141号）； </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7"/>
          <w:szCs w:val="27"/>
        </w:rPr>
      </w:pPr>
      <w:r>
        <w:rPr>
          <w:rFonts w:hint="eastAsia" w:ascii="宋体" w:hAnsi="宋体" w:eastAsia="宋体" w:cs="宋体"/>
          <w:color w:val="000000"/>
          <w:sz w:val="27"/>
          <w:szCs w:val="27"/>
        </w:rPr>
        <w:t>（六）财政部、司法部《关于政府采购支持监狱企业发展有关问题的通知》（财库[2014]68号文）   </w:t>
      </w:r>
    </w:p>
    <w:p>
      <w:pPr>
        <w:pStyle w:val="22"/>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0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十</w:t>
      </w:r>
      <w:r>
        <w:rPr>
          <w:rStyle w:val="29"/>
          <w:rFonts w:hint="eastAsia" w:ascii="宋体" w:hAnsi="宋体" w:eastAsia="宋体" w:cs="宋体"/>
          <w:color w:val="000000"/>
          <w:sz w:val="27"/>
          <w:szCs w:val="27"/>
          <w:lang w:val="en-US" w:eastAsia="zh-CN"/>
        </w:rPr>
        <w:t>一</w:t>
      </w:r>
      <w:r>
        <w:rPr>
          <w:rStyle w:val="29"/>
          <w:rFonts w:hint="eastAsia" w:ascii="宋体" w:hAnsi="宋体" w:eastAsia="宋体" w:cs="宋体"/>
          <w:color w:val="000000"/>
          <w:sz w:val="27"/>
          <w:szCs w:val="27"/>
        </w:rPr>
        <w:t>、联系方式</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1、采购代理机构名称：</w:t>
      </w:r>
      <w:r>
        <w:rPr>
          <w:rStyle w:val="29"/>
          <w:rFonts w:hint="eastAsia" w:cs="宋体"/>
          <w:b w:val="0"/>
          <w:bCs/>
          <w:color w:val="000000"/>
          <w:sz w:val="27"/>
          <w:szCs w:val="27"/>
          <w:lang w:eastAsia="zh-CN"/>
        </w:rPr>
        <w:t>新疆宏裕鼎峰工程项目管理有限公司</w:t>
      </w:r>
      <w:r>
        <w:rPr>
          <w:rFonts w:hint="eastAsia" w:ascii="宋体" w:hAnsi="宋体" w:eastAsia="宋体" w:cs="宋体"/>
          <w:color w:val="00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联系人：</w:t>
      </w:r>
      <w:r>
        <w:rPr>
          <w:rStyle w:val="29"/>
          <w:rFonts w:hint="eastAsia" w:cs="宋体"/>
          <w:b w:val="0"/>
          <w:bCs/>
          <w:color w:val="000000"/>
          <w:sz w:val="27"/>
          <w:szCs w:val="27"/>
          <w:lang w:eastAsia="zh-CN"/>
        </w:rPr>
        <w:t>陈浩</w:t>
      </w:r>
      <w:r>
        <w:rPr>
          <w:rStyle w:val="29"/>
          <w:rFonts w:hint="eastAsia" w:ascii="宋体" w:hAnsi="宋体" w:eastAsia="宋体" w:cs="宋体"/>
          <w:color w:val="000000"/>
          <w:sz w:val="27"/>
          <w:szCs w:val="27"/>
        </w:rPr>
        <w:tab/>
      </w:r>
      <w:r>
        <w:rPr>
          <w:rFonts w:hint="eastAsia" w:ascii="宋体" w:hAnsi="宋体" w:eastAsia="宋体" w:cs="宋体"/>
          <w:color w:val="00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29"/>
          <w:rFonts w:hint="eastAsia" w:ascii="宋体" w:hAnsi="宋体" w:eastAsia="宋体" w:cs="宋体"/>
          <w:color w:val="000000"/>
          <w:sz w:val="27"/>
          <w:szCs w:val="27"/>
        </w:rPr>
        <w:t>联系电话：</w:t>
      </w:r>
      <w:r>
        <w:rPr>
          <w:rFonts w:hint="eastAsia" w:cs="宋体"/>
          <w:color w:val="000000"/>
          <w:sz w:val="27"/>
          <w:szCs w:val="27"/>
          <w:lang w:eastAsia="zh-CN"/>
        </w:rPr>
        <w:t>18699959566</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29"/>
          <w:rFonts w:hint="eastAsia" w:ascii="宋体" w:hAnsi="宋体" w:eastAsia="宋体" w:cs="宋体"/>
          <w:color w:val="000000"/>
          <w:sz w:val="27"/>
          <w:szCs w:val="27"/>
        </w:rPr>
        <w:t>地址：</w:t>
      </w:r>
      <w:r>
        <w:rPr>
          <w:rStyle w:val="29"/>
          <w:rFonts w:hint="eastAsia" w:cs="宋体"/>
          <w:b w:val="0"/>
          <w:bCs/>
          <w:color w:val="000000"/>
          <w:sz w:val="27"/>
          <w:szCs w:val="27"/>
          <w:lang w:eastAsia="zh-CN"/>
        </w:rPr>
        <w:t>新疆伊犁州伊宁市西环路20号综合楼4楼招标室</w:t>
      </w:r>
    </w:p>
    <w:p>
      <w:pPr>
        <w:pStyle w:val="22"/>
        <w:keepNext w:val="0"/>
        <w:keepLines w:val="0"/>
        <w:pageBreakBefore w:val="0"/>
        <w:widowControl/>
        <w:numPr>
          <w:ilvl w:val="0"/>
          <w:numId w:val="5"/>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rPr>
        <w:t>采购人名称：</w:t>
      </w:r>
      <w:r>
        <w:rPr>
          <w:rFonts w:hint="eastAsia" w:cs="宋体"/>
          <w:color w:val="000000"/>
          <w:sz w:val="27"/>
          <w:szCs w:val="27"/>
          <w:lang w:eastAsia="zh-CN"/>
        </w:rPr>
        <w:t>伊犁哈萨克自治州友谊医院</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联系人：</w:t>
      </w:r>
      <w:r>
        <w:rPr>
          <w:rStyle w:val="29"/>
          <w:rFonts w:hint="eastAsia" w:ascii="宋体" w:hAnsi="宋体" w:eastAsia="宋体" w:cs="宋体"/>
          <w:b w:val="0"/>
          <w:bCs w:val="0"/>
          <w:color w:val="000000"/>
          <w:sz w:val="27"/>
          <w:szCs w:val="27"/>
          <w:lang w:val="en-US" w:eastAsia="zh-CN"/>
        </w:rPr>
        <w:t>李新芳</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r>
        <w:rPr>
          <w:rStyle w:val="29"/>
          <w:rFonts w:hint="eastAsia" w:ascii="宋体" w:hAnsi="宋体" w:eastAsia="宋体" w:cs="宋体"/>
          <w:color w:val="000000"/>
          <w:sz w:val="27"/>
          <w:szCs w:val="27"/>
          <w:lang w:val="en-US" w:eastAsia="zh-CN"/>
        </w:rPr>
        <w:t>电话：</w:t>
      </w:r>
      <w:r>
        <w:rPr>
          <w:rStyle w:val="29"/>
          <w:rFonts w:hint="eastAsia" w:ascii="宋体" w:hAnsi="宋体" w:eastAsia="宋体" w:cs="宋体"/>
          <w:b w:val="0"/>
          <w:bCs w:val="0"/>
          <w:color w:val="000000"/>
          <w:sz w:val="27"/>
          <w:szCs w:val="27"/>
          <w:lang w:val="en-US" w:eastAsia="zh-CN"/>
        </w:rPr>
        <w:t>15292776767</w:t>
      </w: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pStyle w:val="24"/>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pStyle w:val="24"/>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pStyle w:val="24"/>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pStyle w:val="2"/>
        <w:rPr>
          <w:rFonts w:hint="eastAsia"/>
        </w:rPr>
      </w:pPr>
    </w:p>
    <w:p>
      <w:pPr>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spacing w:line="440" w:lineRule="exact"/>
        <w:jc w:val="both"/>
        <w:outlineLvl w:val="0"/>
        <w:rPr>
          <w:rFonts w:hint="eastAsia" w:asciiTheme="minorEastAsia" w:hAnsiTheme="minorEastAsia" w:eastAsiaTheme="minorEastAsia"/>
          <w:b/>
          <w:sz w:val="24"/>
          <w:szCs w:val="24"/>
        </w:rPr>
      </w:pPr>
    </w:p>
    <w:p>
      <w:pPr>
        <w:pStyle w:val="24"/>
        <w:rPr>
          <w:rFonts w:hint="eastAsia"/>
        </w:rPr>
      </w:pPr>
    </w:p>
    <w:p>
      <w:pPr>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第一部份</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投标须知</w:t>
      </w:r>
      <w:bookmarkEnd w:id="1"/>
    </w:p>
    <w:tbl>
      <w:tblPr>
        <w:tblStyle w:val="26"/>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5"/>
        <w:gridCol w:w="7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7323"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HYDF-2023-03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323" w:type="dxa"/>
            <w:vAlign w:val="center"/>
          </w:tcPr>
          <w:p>
            <w:pPr>
              <w:keepNext w:val="0"/>
              <w:keepLines w:val="0"/>
              <w:suppressLineNumbers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2022年伊犁哈萨克自治州友谊医院第七批医疗设备采购项目（</w:t>
            </w:r>
            <w:r>
              <w:rPr>
                <w:rFonts w:hint="eastAsia" w:asciiTheme="minorEastAsia" w:hAnsiTheme="minorEastAsia" w:eastAsiaTheme="minorEastAsia"/>
                <w:sz w:val="24"/>
                <w:szCs w:val="24"/>
                <w:lang w:val="en-US" w:eastAsia="zh-CN"/>
              </w:rPr>
              <w:t>二次</w:t>
            </w:r>
            <w:r>
              <w:rPr>
                <w:rFonts w:hint="eastAsia" w:asciiTheme="minorEastAsia" w:hAnsiTheme="minorEastAsia" w:eastAsiaTheme="minorEastAsia"/>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招标代理机构</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单位名称：</w:t>
            </w:r>
            <w:r>
              <w:rPr>
                <w:rFonts w:hint="eastAsia" w:asciiTheme="minorEastAsia" w:hAnsiTheme="minorEastAsia" w:eastAsiaTheme="minorEastAsia"/>
                <w:sz w:val="24"/>
                <w:szCs w:val="24"/>
                <w:lang w:eastAsia="zh-CN"/>
              </w:rPr>
              <w:t>新疆宏裕鼎峰工程项目管理有限公司</w:t>
            </w:r>
          </w:p>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单位地址：</w:t>
            </w:r>
            <w:r>
              <w:rPr>
                <w:rFonts w:hint="eastAsia" w:asciiTheme="minorEastAsia" w:hAnsiTheme="minorEastAsia" w:eastAsiaTheme="minorEastAsia"/>
                <w:sz w:val="24"/>
                <w:szCs w:val="24"/>
                <w:lang w:eastAsia="zh-CN"/>
              </w:rPr>
              <w:t>新疆伊犁州伊宁市西环路20号综合楼4楼招标室</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邮编：835000</w:t>
            </w:r>
          </w:p>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eastAsia="zh-CN"/>
              </w:rPr>
              <w:t>18699959566</w:t>
            </w:r>
            <w:r>
              <w:rPr>
                <w:rFonts w:hint="eastAsia" w:asciiTheme="minorEastAsia" w:hAnsiTheme="minorEastAsia" w:eastAsiaTheme="minorEastAsia"/>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1"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采购内容，标段划分及预算金额</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采购内容</w:t>
            </w:r>
            <w:r>
              <w:rPr>
                <w:rFonts w:hint="eastAsia" w:asciiTheme="minorEastAsia" w:hAnsiTheme="minorEastAsia" w:eastAsiaTheme="minorEastAsia"/>
                <w:sz w:val="24"/>
                <w:szCs w:val="24"/>
                <w:lang w:val="en-US" w:eastAsia="zh-CN"/>
              </w:rPr>
              <w:t>及预算金额</w:t>
            </w:r>
            <w:r>
              <w:rPr>
                <w:rFonts w:hint="eastAsia" w:asciiTheme="minorEastAsia" w:hAnsiTheme="minorEastAsia" w:eastAsiaTheme="minorEastAsia"/>
                <w:sz w:val="24"/>
                <w:szCs w:val="24"/>
              </w:rPr>
              <w:t>：</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（一标段）微生物质谱系统1台（国产）</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（一标段预算金额：120万）</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二标段）特种蛋白分析仪1台（国产）</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（二标段预算金额：30万元）</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 xml:space="preserve">（三标段）全自动洗板机2台（国产）  </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（三标段预算金额：10万元）</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（四标段）微检验用纯水机1台（国产）</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（四标段预算金额：20万元）</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 xml:space="preserve">（五标段）胰岛素泵5台（国产）      </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（五标段预算金额：12.5万元）</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 xml:space="preserve">（六标段）超声骨密度仪1台（国产）  </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（六标段预算金额：30万元）</w:t>
            </w:r>
          </w:p>
          <w:p>
            <w:pPr>
              <w:keepNext w:val="0"/>
              <w:keepLines w:val="0"/>
              <w:suppressLineNumbers w:val="0"/>
              <w:overflowPunct w:val="0"/>
              <w:spacing w:before="0" w:beforeAutospacing="0" w:after="0" w:afterAutospacing="0" w:line="440" w:lineRule="exact"/>
              <w:ind w:left="0" w:right="0"/>
              <w:jc w:val="left"/>
              <w:rPr>
                <w:rFonts w:hint="default" w:asciiTheme="minorEastAsia" w:hAnsiTheme="minorEastAsia" w:eastAsiaTheme="minorEastAsia"/>
                <w:sz w:val="24"/>
                <w:szCs w:val="24"/>
                <w:lang w:val="en-US"/>
              </w:rPr>
            </w:pPr>
            <w:r>
              <w:rPr>
                <w:rFonts w:hint="eastAsia" w:cs="Times New Roman" w:asciiTheme="minorEastAsia" w:hAnsiTheme="minorEastAsia" w:eastAsiaTheme="minorEastAsia"/>
                <w:sz w:val="24"/>
                <w:szCs w:val="24"/>
                <w:lang w:val="en-US" w:eastAsia="zh-CN"/>
              </w:rPr>
              <w:t>标段划分：本项目共计6个标段，项目预算总金额共计：222.5万元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报价方式</w:t>
            </w:r>
          </w:p>
        </w:tc>
        <w:tc>
          <w:tcPr>
            <w:tcW w:w="7323" w:type="dxa"/>
            <w:vAlign w:val="center"/>
          </w:tcPr>
          <w:p>
            <w:pPr>
              <w:keepNext w:val="0"/>
              <w:keepLines w:val="0"/>
              <w:suppressLineNumbers w:val="0"/>
              <w:overflowPunct w:val="0"/>
              <w:spacing w:before="0" w:beforeAutospacing="0" w:after="0" w:afterAutospacing="0" w:line="440" w:lineRule="exact"/>
              <w:ind w:left="0" w:right="0" w:firstLine="118" w:firstLineChars="4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价</w:t>
            </w:r>
          </w:p>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lang w:val="en-US" w:eastAsia="zh-CN"/>
              </w:rPr>
              <w:t>各标段分项明细报价均不得超过单项预算单价及单项预算总价</w:t>
            </w:r>
            <w:r>
              <w:rPr>
                <w:rFonts w:hint="eastAsia" w:asciiTheme="minorEastAsia" w:hAnsiTheme="minorEastAsia" w:eastAsiaTheme="minorEastAsia"/>
                <w:b/>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125"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投标资格</w:t>
            </w:r>
          </w:p>
        </w:tc>
        <w:tc>
          <w:tcPr>
            <w:tcW w:w="7323" w:type="dxa"/>
            <w:tcBorders>
              <w:left w:val="single" w:color="auto" w:sz="4" w:space="0"/>
              <w:bottom w:val="single" w:color="auto" w:sz="4" w:space="0"/>
            </w:tcBorders>
            <w:vAlign w:val="center"/>
          </w:tcPr>
          <w:p>
            <w:pPr>
              <w:pStyle w:val="25"/>
              <w:keepNext w:val="0"/>
              <w:keepLines w:val="0"/>
              <w:suppressLineNumbers w:val="0"/>
              <w:spacing w:before="0" w:beforeAutospacing="0" w:afterAutospacing="0"/>
              <w:ind w:left="0" w:leftChars="0" w:right="0" w:firstLine="0" w:firstLineChars="0"/>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有独立的法人资格,且具有承担本项目的能力以及符合下述条件的供应商（或制造商）均为合格的投标人：</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（4）投标人为制造商的须提供《医疗器械生产许可证》；投标人为经销商的须提供《医疗器械经营许可证》及制造商的医疗器械生产许可证；</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（5）社保机构或税务机构出具的投标企业缴纳被授权人近3个月的社会保障资金证明（法定代表人参加也须提供此项，退休人员提供退休证）。</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（6）税务机关出具的参加本次采购活动近3个月报价人依法纳税凭证原件或有电子专用章的完税证明。</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（7）会计师事务所出具的2021年度财务审计报告原件（复印件加盖公章）或银行出具的资信证明。</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cs="宋体" w:asciiTheme="minorEastAsia" w:hAnsiTheme="minorEastAsia" w:eastAsiaTheme="minorEastAsia"/>
                <w:kern w:val="0"/>
                <w:szCs w:val="24"/>
                <w:lang w:val="en-US" w:eastAsia="zh-CN"/>
              </w:rPr>
            </w:pPr>
            <w:r>
              <w:rPr>
                <w:rFonts w:hint="eastAsia" w:ascii="宋体" w:hAnsi="宋体" w:eastAsia="宋体" w:cs="宋体"/>
                <w:sz w:val="24"/>
                <w:szCs w:val="24"/>
              </w:rPr>
              <w:t>（8）投标人需提供所投产品的《医疗器械注册证》(含注册登记表)，所有证件均应在有效期内。</w:t>
            </w:r>
            <w:r>
              <w:rPr>
                <w:rFonts w:hint="eastAsia" w:ascii="宋体" w:hAnsi="宋体" w:eastAsia="宋体" w:cs="宋体"/>
                <w:b/>
                <w:bCs/>
                <w:kern w:val="2"/>
                <w:sz w:val="24"/>
                <w:szCs w:val="24"/>
              </w:rPr>
              <w:t>备注：上述证件原件扫描加盖公章或电子章，证件齐全有效满足要求的投标人为有效投标人；上述证件的公证件，本次招标不予认可。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招标有效期</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9</w:t>
            </w:r>
          </w:p>
        </w:tc>
        <w:tc>
          <w:tcPr>
            <w:tcW w:w="2125"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评标方法</w:t>
            </w:r>
          </w:p>
        </w:tc>
        <w:tc>
          <w:tcPr>
            <w:tcW w:w="7323"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是否接受联合体投标</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采购文件发售</w:t>
            </w:r>
          </w:p>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及地址</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cs="宋体" w:asciiTheme="minorEastAsia" w:hAnsiTheme="minorEastAsia" w:eastAsiaTheme="minorEastAsia"/>
                <w:kern w:val="0"/>
                <w:sz w:val="24"/>
                <w:szCs w:val="24"/>
                <w:lang w:val="en-US" w:eastAsia="zh-CN"/>
              </w:rPr>
              <w:t>2023年01月30日</w:t>
            </w:r>
            <w:r>
              <w:rPr>
                <w:rFonts w:hint="eastAsia" w:cs="宋体" w:asciiTheme="minorEastAsia" w:hAnsiTheme="minorEastAsia" w:eastAsiaTheme="minorEastAsia"/>
                <w:kern w:val="0"/>
                <w:sz w:val="24"/>
                <w:szCs w:val="24"/>
              </w:rPr>
              <w:t>至</w:t>
            </w:r>
            <w:r>
              <w:rPr>
                <w:rFonts w:hint="eastAsia" w:cs="宋体" w:asciiTheme="minorEastAsia" w:hAnsiTheme="minorEastAsia" w:eastAsiaTheme="minorEastAsia"/>
                <w:kern w:val="0"/>
                <w:sz w:val="24"/>
                <w:szCs w:val="24"/>
                <w:lang w:val="en-US" w:eastAsia="zh-CN"/>
              </w:rPr>
              <w:t>2023年02月03日</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（每天上午10：</w:t>
            </w:r>
            <w:r>
              <w:rPr>
                <w:rFonts w:hint="eastAsia" w:asciiTheme="minorEastAsia" w:hAnsiTheme="minorEastAsia" w:eastAsiaTheme="minorEastAsia"/>
                <w:sz w:val="24"/>
                <w:szCs w:val="24"/>
                <w:lang w:val="en-US" w:eastAsia="zh-CN"/>
              </w:rPr>
              <w:t>00</w:t>
            </w:r>
            <w:r>
              <w:rPr>
                <w:rFonts w:hint="eastAsia" w:asciiTheme="minorEastAsia" w:hAnsiTheme="minorEastAsia" w:eastAsiaTheme="minorEastAsia"/>
                <w:sz w:val="24"/>
                <w:szCs w:val="24"/>
              </w:rPr>
              <w:t>至14：00，下午</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0至</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0北京时间）</w:t>
            </w:r>
          </w:p>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rPr>
              <w:t>地点：</w:t>
            </w:r>
            <w:r>
              <w:rPr>
                <w:rFonts w:hint="eastAsia" w:asciiTheme="minorEastAsia" w:hAnsiTheme="minorEastAsia" w:eastAsiaTheme="minorEastAsia"/>
                <w:sz w:val="24"/>
                <w:szCs w:val="24"/>
                <w:lang w:eastAsia="zh-CN"/>
              </w:rPr>
              <w:t>政采云平台</w:t>
            </w:r>
            <w:r>
              <w:rPr>
                <w:rFonts w:hint="eastAsia" w:asciiTheme="minorEastAsia" w:hAnsiTheme="minorEastAsia" w:eastAsiaTheme="minorEastAsia"/>
                <w:sz w:val="24"/>
                <w:szCs w:val="24"/>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标书售价</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投标保证金</w:t>
            </w:r>
          </w:p>
        </w:tc>
        <w:tc>
          <w:tcPr>
            <w:tcW w:w="7323" w:type="dxa"/>
            <w:vAlign w:val="center"/>
          </w:tcPr>
          <w:p>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cs="宋体"/>
                <w:kern w:val="2"/>
                <w:sz w:val="24"/>
                <w:szCs w:val="24"/>
                <w:lang w:val="en-US" w:eastAsia="zh-CN"/>
              </w:rPr>
              <w:t>需缴纳</w:t>
            </w:r>
            <w:r>
              <w:rPr>
                <w:rFonts w:hint="eastAsia" w:ascii="宋体" w:hAnsi="宋体" w:eastAsia="宋体" w:cs="宋体"/>
                <w:kern w:val="2"/>
                <w:sz w:val="24"/>
                <w:szCs w:val="24"/>
              </w:rPr>
              <w:t>投标保证金的金额</w:t>
            </w:r>
            <w:r>
              <w:rPr>
                <w:rFonts w:hint="eastAsia" w:ascii="宋体" w:hAnsi="宋体" w:cs="宋体"/>
                <w:kern w:val="2"/>
                <w:sz w:val="24"/>
                <w:szCs w:val="24"/>
                <w:lang w:eastAsia="zh-CN"/>
              </w:rPr>
              <w:t>（</w:t>
            </w:r>
            <w:r>
              <w:rPr>
                <w:rFonts w:hint="eastAsia" w:ascii="宋体" w:hAnsi="宋体" w:cs="宋体"/>
                <w:kern w:val="2"/>
                <w:sz w:val="24"/>
                <w:szCs w:val="24"/>
                <w:lang w:val="en-US" w:eastAsia="zh-CN"/>
              </w:rPr>
              <w:t>人民币</w:t>
            </w:r>
            <w:r>
              <w:rPr>
                <w:rFonts w:hint="eastAsia" w:ascii="宋体" w:hAnsi="宋体" w:cs="宋体"/>
                <w:kern w:val="2"/>
                <w:sz w:val="24"/>
                <w:szCs w:val="24"/>
                <w:lang w:eastAsia="zh-CN"/>
              </w:rPr>
              <w:t>）</w:t>
            </w:r>
            <w:r>
              <w:rPr>
                <w:rFonts w:hint="eastAsia" w:ascii="宋体" w:hAnsi="宋体" w:eastAsia="宋体" w:cs="宋体"/>
                <w:kern w:val="2"/>
                <w:sz w:val="24"/>
                <w:szCs w:val="24"/>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b/>
                <w:bCs/>
                <w:kern w:val="2"/>
                <w:sz w:val="24"/>
                <w:szCs w:val="24"/>
              </w:rPr>
            </w:pPr>
            <w:r>
              <w:rPr>
                <w:rFonts w:hint="eastAsia" w:ascii="宋体" w:hAnsi="宋体" w:cs="宋体"/>
                <w:kern w:val="2"/>
                <w:sz w:val="24"/>
                <w:szCs w:val="24"/>
                <w:lang w:val="en-US" w:eastAsia="zh-CN"/>
              </w:rPr>
              <w:t>一标段保证金：小写：</w:t>
            </w:r>
            <w:r>
              <w:rPr>
                <w:rFonts w:hint="eastAsia" w:ascii="宋体" w:hAnsi="宋体" w:cs="宋体"/>
                <w:bCs/>
                <w:spacing w:val="-6"/>
                <w:sz w:val="24"/>
                <w:szCs w:val="22"/>
                <w:lang w:val="en-US" w:eastAsia="zh-CN"/>
              </w:rPr>
              <w:t xml:space="preserve">24000元；  </w:t>
            </w:r>
            <w:r>
              <w:rPr>
                <w:rFonts w:hint="eastAsia" w:ascii="宋体" w:hAnsi="宋体" w:cs="宋体"/>
                <w:kern w:val="2"/>
                <w:sz w:val="24"/>
                <w:szCs w:val="24"/>
                <w:lang w:val="en-US" w:eastAsia="zh-CN"/>
              </w:rPr>
              <w:t>大写：</w:t>
            </w:r>
            <w:r>
              <w:rPr>
                <w:rFonts w:hint="eastAsia" w:ascii="宋体" w:hAnsi="宋体" w:eastAsia="宋体" w:cs="宋体"/>
                <w:bCs/>
                <w:spacing w:val="-6"/>
                <w:sz w:val="24"/>
                <w:szCs w:val="22"/>
                <w:lang w:val="en-US" w:eastAsia="zh-CN"/>
              </w:rPr>
              <w:t>贰万肆仟元整；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szCs w:val="22"/>
                <w:lang w:val="en-US" w:eastAsia="zh-CN"/>
              </w:rPr>
            </w:pPr>
            <w:r>
              <w:rPr>
                <w:rFonts w:hint="eastAsia" w:ascii="宋体" w:hAnsi="宋体" w:eastAsia="宋体" w:cs="宋体"/>
                <w:kern w:val="2"/>
                <w:sz w:val="24"/>
                <w:szCs w:val="24"/>
                <w:lang w:val="en-US" w:eastAsia="zh-CN"/>
              </w:rPr>
              <w:t>二标段保证金：小写：</w:t>
            </w:r>
            <w:r>
              <w:rPr>
                <w:rFonts w:hint="eastAsia" w:ascii="宋体" w:hAnsi="宋体" w:cs="宋体"/>
                <w:bCs/>
                <w:spacing w:val="-6"/>
                <w:sz w:val="24"/>
                <w:szCs w:val="22"/>
                <w:lang w:val="en-US" w:eastAsia="zh-CN"/>
              </w:rPr>
              <w:t>6000元；   大写：陆仟元整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三标段保证金：小写：2</w:t>
            </w:r>
            <w:r>
              <w:rPr>
                <w:rFonts w:hint="eastAsia" w:ascii="宋体" w:hAnsi="宋体" w:cs="宋体"/>
                <w:bCs/>
                <w:spacing w:val="-6"/>
                <w:sz w:val="24"/>
                <w:szCs w:val="22"/>
                <w:lang w:val="en-US" w:eastAsia="zh-CN"/>
              </w:rPr>
              <w:t>000元；   大写：贰仟元整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四标段保证金：小写：</w:t>
            </w:r>
            <w:r>
              <w:rPr>
                <w:rFonts w:hint="eastAsia" w:ascii="宋体" w:hAnsi="宋体" w:cs="宋体"/>
                <w:bCs/>
                <w:spacing w:val="-6"/>
                <w:sz w:val="24"/>
                <w:szCs w:val="22"/>
                <w:lang w:val="en-US" w:eastAsia="zh-CN"/>
              </w:rPr>
              <w:t>4000元；   大写：肆仟元整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五</w:t>
            </w:r>
            <w:r>
              <w:rPr>
                <w:rFonts w:hint="eastAsia" w:ascii="宋体" w:hAnsi="宋体" w:eastAsia="宋体" w:cs="宋体"/>
                <w:kern w:val="2"/>
                <w:sz w:val="24"/>
                <w:szCs w:val="24"/>
                <w:lang w:val="en-US" w:eastAsia="zh-CN"/>
              </w:rPr>
              <w:t>标段保证金：小写：</w:t>
            </w:r>
            <w:r>
              <w:rPr>
                <w:rFonts w:hint="eastAsia" w:ascii="宋体" w:hAnsi="宋体" w:cs="宋体"/>
                <w:bCs/>
                <w:spacing w:val="-6"/>
                <w:sz w:val="24"/>
                <w:szCs w:val="22"/>
                <w:lang w:val="en-US" w:eastAsia="zh-CN"/>
              </w:rPr>
              <w:t>2500元；   大写：贰仟伍佰元整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六</w:t>
            </w:r>
            <w:r>
              <w:rPr>
                <w:rFonts w:hint="eastAsia" w:ascii="宋体" w:hAnsi="宋体" w:eastAsia="宋体" w:cs="宋体"/>
                <w:kern w:val="2"/>
                <w:sz w:val="24"/>
                <w:szCs w:val="24"/>
                <w:lang w:val="en-US" w:eastAsia="zh-CN"/>
              </w:rPr>
              <w:t>标段保证金：小写：</w:t>
            </w:r>
            <w:r>
              <w:rPr>
                <w:rFonts w:hint="eastAsia" w:ascii="宋体" w:hAnsi="宋体" w:cs="宋体"/>
                <w:bCs/>
                <w:spacing w:val="-6"/>
                <w:sz w:val="24"/>
                <w:szCs w:val="22"/>
                <w:lang w:val="en-US" w:eastAsia="zh-CN"/>
              </w:rPr>
              <w:t>6000元，  大写：陆仟元整</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3.投标保证金的递交方式：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3.1采用第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种形式递交保证金的，收款账户信息如下：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账户名：</w:t>
            </w:r>
            <w:r>
              <w:rPr>
                <w:rFonts w:hint="eastAsia" w:ascii="宋体" w:hAnsi="宋体" w:cs="宋体"/>
                <w:kern w:val="2"/>
                <w:sz w:val="24"/>
                <w:szCs w:val="24"/>
                <w:lang w:eastAsia="zh-CN"/>
              </w:rPr>
              <w:t>新疆宏裕鼎峰工程项目管理有限公司</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开户行：</w:t>
            </w:r>
            <w:r>
              <w:rPr>
                <w:rFonts w:hint="eastAsia" w:ascii="宋体" w:hAnsi="宋体" w:cs="宋体"/>
                <w:kern w:val="2"/>
                <w:sz w:val="24"/>
                <w:szCs w:val="24"/>
                <w:lang w:eastAsia="zh-CN"/>
              </w:rPr>
              <w:t>中国建设银行股份有限公司伊宁辽宁路支行</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行  号：105898000139</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帐  号：65050110260000001170</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注：汇款单上需注明“项目名称</w:t>
            </w:r>
            <w:r>
              <w:rPr>
                <w:rFonts w:hint="eastAsia" w:ascii="宋体" w:hAnsi="宋体" w:cs="宋体"/>
                <w:kern w:val="2"/>
                <w:sz w:val="24"/>
                <w:szCs w:val="24"/>
                <w:lang w:val="en-US" w:eastAsia="zh-CN"/>
              </w:rPr>
              <w:t>+标段</w:t>
            </w:r>
            <w:r>
              <w:rPr>
                <w:rFonts w:hint="eastAsia" w:ascii="宋体" w:hAnsi="宋体" w:eastAsia="宋体" w:cs="宋体"/>
                <w:kern w:val="2"/>
                <w:sz w:val="24"/>
                <w:szCs w:val="24"/>
              </w:rPr>
              <w:t>”及“投标保证金”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招标代理服务费缴纳账号：（同上）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kern w:val="2"/>
                <w:sz w:val="24"/>
                <w:szCs w:val="24"/>
              </w:rPr>
              <w:t>4.潜在投标人可以自主选择以上任一种形式递交保证金。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w:t>
            </w:r>
          </w:p>
        </w:tc>
        <w:tc>
          <w:tcPr>
            <w:tcW w:w="732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lang w:eastAsia="zh-CN"/>
              </w:rPr>
            </w:pPr>
            <w:r>
              <w:rPr>
                <w:rFonts w:hint="eastAsia" w:ascii="宋体" w:hAnsi="宋体" w:cs="宋体"/>
                <w:sz w:val="24"/>
                <w:szCs w:val="24"/>
                <w:lang w:eastAsia="zh-CN"/>
              </w:rPr>
              <w:t>各投标供应商政采云电子评标结束后</w:t>
            </w:r>
            <w:r>
              <w:rPr>
                <w:rFonts w:hint="eastAsia" w:ascii="宋体" w:hAnsi="宋体" w:eastAsia="宋体" w:cs="宋体"/>
                <w:sz w:val="24"/>
                <w:szCs w:val="24"/>
              </w:rPr>
              <w:t>须提供</w:t>
            </w:r>
            <w:r>
              <w:rPr>
                <w:rFonts w:hint="eastAsia" w:ascii="宋体" w:hAnsi="宋体" w:cs="宋体"/>
                <w:sz w:val="24"/>
                <w:szCs w:val="24"/>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w:t>
            </w:r>
            <w:r>
              <w:rPr>
                <w:rFonts w:hint="eastAsia" w:ascii="宋体" w:hAnsi="宋体" w:cs="宋体"/>
                <w:sz w:val="24"/>
                <w:szCs w:val="24"/>
                <w:lang w:eastAsia="zh-CN"/>
              </w:rPr>
              <w:t>（纸质版）</w:t>
            </w:r>
            <w:r>
              <w:rPr>
                <w:rFonts w:hint="eastAsia" w:ascii="宋体" w:hAnsi="宋体" w:eastAsia="宋体" w:cs="宋体"/>
                <w:sz w:val="24"/>
                <w:szCs w:val="24"/>
              </w:rPr>
              <w:t>份数：正本一份、副本</w:t>
            </w:r>
            <w:r>
              <w:rPr>
                <w:rFonts w:hint="eastAsia" w:ascii="宋体" w:hAnsi="宋体" w:cs="宋体"/>
                <w:sz w:val="24"/>
                <w:szCs w:val="24"/>
                <w:lang w:eastAsia="zh-CN"/>
              </w:rPr>
              <w:t>贰</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是否要求提交电子版文件：是，提供整套标书U盘</w:t>
            </w:r>
            <w:r>
              <w:rPr>
                <w:rFonts w:hint="eastAsia" w:ascii="宋体" w:hAnsi="宋体" w:cs="宋体"/>
                <w:sz w:val="24"/>
                <w:szCs w:val="24"/>
                <w:lang w:eastAsia="zh-CN"/>
              </w:rPr>
              <w:t>二</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其他要求：</w:t>
            </w:r>
          </w:p>
          <w:p>
            <w:pPr>
              <w:pStyle w:val="25"/>
              <w:keepNext w:val="0"/>
              <w:keepLines w:val="0"/>
              <w:suppressLineNumbers w:val="0"/>
              <w:spacing w:before="0" w:beforeAutospacing="0" w:afterAutospacing="0"/>
              <w:ind w:left="0" w:leftChars="0" w:right="0" w:firstLine="0" w:firstLineChars="0"/>
              <w:rPr>
                <w:rFonts w:asciiTheme="minorEastAsia" w:hAnsiTheme="minorEastAsia" w:eastAsiaTheme="minorEastAsia"/>
                <w:szCs w:val="24"/>
              </w:rPr>
            </w:pPr>
            <w:r>
              <w:rPr>
                <w:rFonts w:hint="eastAsia" w:ascii="宋体" w:hAnsi="宋体" w:eastAsia="宋体" w:cs="宋体"/>
                <w:b/>
                <w:bCs/>
                <w:kern w:val="2"/>
                <w:sz w:val="24"/>
                <w:szCs w:val="24"/>
              </w:rPr>
              <w:t>若招标文件评分项中规定须提供业绩、证件等资料原件作为评分依据的，投标人须在投标文件中</w:t>
            </w:r>
            <w:r>
              <w:rPr>
                <w:rFonts w:hint="eastAsia" w:ascii="宋体" w:hAnsi="宋体" w:eastAsia="宋体" w:cs="宋体"/>
                <w:b/>
                <w:bCs/>
                <w:kern w:val="2"/>
                <w:sz w:val="24"/>
                <w:szCs w:val="24"/>
                <w:u w:val="single"/>
              </w:rPr>
              <w:t>附原件的直接扫描件</w:t>
            </w:r>
            <w:r>
              <w:rPr>
                <w:rFonts w:hint="eastAsia" w:ascii="宋体" w:hAnsi="宋体" w:eastAsia="宋体" w:cs="宋体"/>
                <w:b/>
                <w:bCs/>
                <w:kern w:val="2"/>
                <w:sz w:val="24"/>
                <w:szCs w:val="24"/>
              </w:rPr>
              <w:t>并清晰可辨，否则视为未提供评标证明资料。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5</w:t>
            </w:r>
          </w:p>
        </w:tc>
        <w:tc>
          <w:tcPr>
            <w:tcW w:w="2125" w:type="dxa"/>
            <w:vAlign w:val="center"/>
          </w:tcPr>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开标时间及投标文件递交截止</w:t>
            </w:r>
          </w:p>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7323" w:type="dxa"/>
            <w:vAlign w:val="center"/>
          </w:tcPr>
          <w:p>
            <w:pPr>
              <w:keepNext w:val="0"/>
              <w:keepLines w:val="0"/>
              <w:widowControl/>
              <w:suppressLineNumbers w:val="0"/>
              <w:spacing w:before="0" w:beforeAutospacing="0" w:after="0" w:afterAutospacing="0" w:line="360" w:lineRule="auto"/>
              <w:ind w:left="0" w:right="0"/>
              <w:jc w:val="left"/>
              <w:rPr>
                <w:rFonts w:cs="宋体" w:asciiTheme="minorEastAsia" w:hAnsiTheme="minorEastAsia" w:eastAsiaTheme="minorEastAsia"/>
                <w:kern w:val="0"/>
                <w:sz w:val="24"/>
                <w:szCs w:val="24"/>
              </w:rPr>
            </w:pPr>
            <w:r>
              <w:rPr>
                <w:rFonts w:hint="eastAsia" w:ascii="宋体" w:hAnsi="宋体" w:eastAsia="宋体" w:cs="宋体"/>
                <w:kern w:val="2"/>
                <w:sz w:val="24"/>
                <w:szCs w:val="24"/>
              </w:rPr>
              <w:t>投标人应于202</w:t>
            </w:r>
            <w:r>
              <w:rPr>
                <w:rFonts w:hint="eastAsia" w:ascii="宋体" w:hAnsi="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cs="宋体"/>
                <w:kern w:val="2"/>
                <w:sz w:val="24"/>
                <w:szCs w:val="24"/>
                <w:lang w:val="en-US" w:eastAsia="zh-CN"/>
              </w:rPr>
              <w:t>02</w:t>
            </w:r>
            <w:r>
              <w:rPr>
                <w:rFonts w:hint="eastAsia" w:ascii="宋体" w:hAnsi="宋体" w:eastAsia="宋体" w:cs="宋体"/>
                <w:kern w:val="2"/>
                <w:sz w:val="24"/>
                <w:szCs w:val="24"/>
                <w:highlight w:val="none"/>
                <w:lang w:eastAsia="zh-CN"/>
              </w:rPr>
              <w:t>月</w:t>
            </w:r>
            <w:r>
              <w:rPr>
                <w:rFonts w:hint="eastAsia" w:ascii="宋体" w:hAnsi="宋体" w:cs="宋体"/>
                <w:kern w:val="2"/>
                <w:sz w:val="24"/>
                <w:szCs w:val="24"/>
                <w:highlight w:val="none"/>
                <w:lang w:val="en-US" w:eastAsia="zh-CN"/>
              </w:rPr>
              <w:t>19</w:t>
            </w:r>
            <w:r>
              <w:rPr>
                <w:rFonts w:hint="eastAsia" w:ascii="宋体" w:hAnsi="宋体" w:eastAsia="宋体" w:cs="宋体"/>
                <w:kern w:val="2"/>
                <w:sz w:val="24"/>
                <w:szCs w:val="24"/>
                <w:highlight w:val="none"/>
                <w:lang w:eastAsia="zh-CN"/>
              </w:rPr>
              <w:t>日</w:t>
            </w:r>
            <w:r>
              <w:rPr>
                <w:rFonts w:hint="eastAsia" w:ascii="宋体" w:hAnsi="宋体" w:cs="宋体"/>
                <w:kern w:val="2"/>
                <w:sz w:val="24"/>
                <w:szCs w:val="24"/>
                <w:highlight w:val="none"/>
                <w:lang w:val="en-US" w:eastAsia="zh-CN"/>
              </w:rPr>
              <w:t>12</w:t>
            </w: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0之前将电子投标文件上传到“政采云”平台。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cs="宋体"/>
                <w:b/>
                <w:kern w:val="2"/>
                <w:sz w:val="24"/>
                <w:szCs w:val="24"/>
                <w:highlight w:val="none"/>
                <w:lang w:val="en-US" w:eastAsia="zh-CN"/>
              </w:rPr>
              <w:t>02</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19</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上</w:t>
            </w:r>
            <w:r>
              <w:rPr>
                <w:rFonts w:hint="eastAsia" w:ascii="宋体" w:hAnsi="宋体" w:eastAsia="宋体" w:cs="宋体"/>
                <w:b/>
                <w:kern w:val="2"/>
                <w:sz w:val="24"/>
                <w:szCs w:val="24"/>
                <w:highlight w:val="none"/>
              </w:rPr>
              <w:t>午</w:t>
            </w:r>
            <w:r>
              <w:rPr>
                <w:rFonts w:hint="eastAsia" w:ascii="宋体" w:hAnsi="宋体" w:cs="宋体"/>
                <w:b/>
                <w:kern w:val="2"/>
                <w:sz w:val="24"/>
                <w:szCs w:val="24"/>
                <w:highlight w:val="none"/>
                <w:lang w:val="en-US" w:eastAsia="zh-CN"/>
              </w:rPr>
              <w:t>12</w:t>
            </w:r>
            <w:r>
              <w:rPr>
                <w:rFonts w:hint="eastAsia" w:ascii="宋体" w:hAnsi="宋体" w:eastAsia="宋体" w:cs="宋体"/>
                <w:b/>
                <w:kern w:val="2"/>
                <w:sz w:val="24"/>
                <w:szCs w:val="24"/>
                <w:highlight w:val="none"/>
              </w:rPr>
              <w:t>:</w:t>
            </w:r>
            <w:r>
              <w:rPr>
                <w:rFonts w:hint="eastAsia" w:ascii="宋体" w:hAnsi="宋体" w:cs="宋体"/>
                <w:b/>
                <w:kern w:val="2"/>
                <w:sz w:val="24"/>
                <w:szCs w:val="24"/>
                <w:highlight w:val="none"/>
                <w:lang w:val="en-US" w:eastAsia="zh-CN"/>
              </w:rPr>
              <w:t>3</w:t>
            </w:r>
            <w:r>
              <w:rPr>
                <w:rFonts w:hint="eastAsia" w:ascii="宋体" w:hAnsi="宋体" w:eastAsia="宋体" w:cs="宋体"/>
                <w:b/>
                <w:kern w:val="2"/>
                <w:sz w:val="24"/>
                <w:szCs w:val="24"/>
                <w:highlight w:val="none"/>
              </w:rPr>
              <w:t>0-</w:t>
            </w:r>
            <w:r>
              <w:rPr>
                <w:rFonts w:hint="eastAsia" w:ascii="宋体" w:hAnsi="宋体" w:cs="宋体"/>
                <w:b/>
                <w:kern w:val="2"/>
                <w:sz w:val="24"/>
                <w:szCs w:val="24"/>
                <w:highlight w:val="none"/>
                <w:lang w:val="en-US" w:eastAsia="zh-CN"/>
              </w:rPr>
              <w:t>13</w:t>
            </w:r>
            <w:r>
              <w:rPr>
                <w:rFonts w:hint="eastAsia" w:ascii="宋体" w:hAnsi="宋体" w:eastAsia="宋体" w:cs="宋体"/>
                <w:b/>
                <w:kern w:val="2"/>
                <w:sz w:val="24"/>
                <w:szCs w:val="24"/>
                <w:highlight w:val="none"/>
              </w:rPr>
              <w:t>：</w:t>
            </w:r>
            <w:r>
              <w:rPr>
                <w:rFonts w:hint="eastAsia" w:ascii="宋体" w:hAnsi="宋体" w:cs="宋体"/>
                <w:b/>
                <w:kern w:val="2"/>
                <w:sz w:val="24"/>
                <w:szCs w:val="24"/>
                <w:highlight w:val="none"/>
                <w:lang w:val="en-US" w:eastAsia="zh-CN"/>
              </w:rPr>
              <w:t>00</w:t>
            </w:r>
            <w:r>
              <w:rPr>
                <w:rFonts w:hint="eastAsia" w:ascii="宋体" w:hAnsi="宋体" w:eastAsia="宋体" w:cs="宋体"/>
                <w:b/>
                <w:kern w:val="2"/>
                <w:sz w:val="24"/>
                <w:szCs w:val="24"/>
                <w:highlight w:val="none"/>
              </w:rPr>
              <w:t>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cs="宋体"/>
                <w:b/>
                <w:kern w:val="2"/>
                <w:sz w:val="24"/>
                <w:szCs w:val="24"/>
                <w:lang w:val="en-US" w:eastAsia="zh-CN"/>
              </w:rPr>
              <w:t>02</w:t>
            </w:r>
            <w:r>
              <w:rPr>
                <w:rFonts w:hint="eastAsia" w:ascii="宋体" w:hAnsi="宋体" w:eastAsia="宋体" w:cs="宋体"/>
                <w:b/>
                <w:kern w:val="2"/>
                <w:sz w:val="24"/>
                <w:szCs w:val="24"/>
                <w:lang w:eastAsia="zh-CN"/>
              </w:rPr>
              <w:t>月</w:t>
            </w:r>
            <w:r>
              <w:rPr>
                <w:rFonts w:hint="eastAsia" w:ascii="宋体" w:hAnsi="宋体" w:cs="宋体"/>
                <w:b/>
                <w:kern w:val="2"/>
                <w:sz w:val="24"/>
                <w:szCs w:val="24"/>
                <w:lang w:val="en-US" w:eastAsia="zh-CN"/>
              </w:rPr>
              <w:t>19</w:t>
            </w:r>
            <w:r>
              <w:rPr>
                <w:rFonts w:hint="eastAsia" w:ascii="宋体" w:hAnsi="宋体" w:eastAsia="宋体" w:cs="宋体"/>
                <w:b/>
                <w:kern w:val="2"/>
                <w:sz w:val="24"/>
                <w:szCs w:val="24"/>
                <w:lang w:eastAsia="zh-CN"/>
              </w:rPr>
              <w:t>日上</w:t>
            </w:r>
            <w:r>
              <w:rPr>
                <w:rFonts w:hint="eastAsia" w:ascii="宋体" w:hAnsi="宋体" w:eastAsia="宋体" w:cs="宋体"/>
                <w:b/>
                <w:kern w:val="2"/>
                <w:sz w:val="24"/>
                <w:szCs w:val="24"/>
              </w:rPr>
              <w:t>午</w:t>
            </w:r>
            <w:r>
              <w:rPr>
                <w:rFonts w:hint="eastAsia" w:ascii="宋体" w:hAnsi="宋体" w:cs="宋体"/>
                <w:b/>
                <w:kern w:val="2"/>
                <w:sz w:val="24"/>
                <w:szCs w:val="24"/>
                <w:lang w:val="en-US" w:eastAsia="zh-CN"/>
              </w:rPr>
              <w:t>13</w:t>
            </w:r>
            <w:r>
              <w:rPr>
                <w:rFonts w:hint="eastAsia" w:ascii="宋体" w:hAnsi="宋体" w:eastAsia="宋体" w:cs="宋体"/>
                <w:b/>
                <w:kern w:val="2"/>
                <w:sz w:val="24"/>
                <w:szCs w:val="24"/>
              </w:rPr>
              <w:t>:</w:t>
            </w:r>
            <w:r>
              <w:rPr>
                <w:rFonts w:hint="eastAsia" w:ascii="宋体" w:hAnsi="宋体" w:cs="宋体"/>
                <w:b/>
                <w:kern w:val="2"/>
                <w:sz w:val="24"/>
                <w:szCs w:val="24"/>
                <w:lang w:val="en-US" w:eastAsia="zh-CN"/>
              </w:rPr>
              <w:t>00</w:t>
            </w:r>
            <w:r>
              <w:rPr>
                <w:rFonts w:hint="eastAsia" w:ascii="宋体" w:hAnsi="宋体" w:eastAsia="宋体" w:cs="宋体"/>
                <w:b/>
                <w:kern w:val="2"/>
                <w:sz w:val="24"/>
                <w:szCs w:val="24"/>
              </w:rPr>
              <w:t>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投标文件递交及开标地点</w:t>
            </w:r>
          </w:p>
        </w:tc>
        <w:tc>
          <w:tcPr>
            <w:tcW w:w="7323" w:type="dxa"/>
            <w:vAlign w:val="center"/>
          </w:tcPr>
          <w:p>
            <w:pPr>
              <w:keepNext w:val="0"/>
              <w:keepLines w:val="0"/>
              <w:widowControl/>
              <w:suppressLineNumbers w:val="0"/>
              <w:spacing w:before="0" w:beforeAutospacing="0" w:after="0" w:afterAutospacing="0" w:line="400" w:lineRule="exact"/>
              <w:ind w:left="0" w:right="0"/>
              <w:jc w:val="left"/>
              <w:rPr>
                <w:rFonts w:cs="Arial" w:asciiTheme="minorEastAsia" w:hAnsiTheme="minorEastAsia" w:eastAsiaTheme="minorEastAsia"/>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7</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宋体" w:hAnsi="宋体" w:eastAsia="宋体" w:cs="宋体"/>
                <w:kern w:val="2"/>
                <w:sz w:val="24"/>
                <w:szCs w:val="24"/>
              </w:rPr>
              <w:t>投标</w:t>
            </w:r>
          </w:p>
        </w:tc>
        <w:tc>
          <w:tcPr>
            <w:tcW w:w="7323"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招标代理服务费</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根据国家计委《招标代理服务收费管理暂行办法》（计价格[2002]1980号）所规定标准由中标企业在领取成交通知书三日内向招标代理机构支付。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投标文件的签署规定</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10</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投标文件格式</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5</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付款方式及币种</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1、付款币种：本次招标所述的项目资金均以人民币支付。</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2、付款方式：</w:t>
            </w:r>
            <w:r>
              <w:rPr>
                <w:rFonts w:hint="eastAsia" w:asciiTheme="minorEastAsia" w:hAnsiTheme="minorEastAsia" w:eastAsiaTheme="minorEastAsia"/>
                <w:b/>
                <w:bCs/>
                <w:sz w:val="24"/>
                <w:szCs w:val="24"/>
                <w:highlight w:val="none"/>
              </w:rPr>
              <w:t>设备到医院经安装、调试、验收合格后付全款的20%；设备正常使用六个月后付全款的20%；正常使用十二个月后付全款的20%；正常使用十八个月后付全款的30%；</w:t>
            </w:r>
            <w:r>
              <w:rPr>
                <w:rFonts w:hint="eastAsia" w:asciiTheme="minorEastAsia" w:hAnsiTheme="minorEastAsia" w:eastAsiaTheme="minorEastAsia"/>
                <w:b/>
                <w:bCs/>
                <w:color w:val="FF0000"/>
                <w:sz w:val="24"/>
                <w:szCs w:val="24"/>
                <w:highlight w:val="none"/>
              </w:rPr>
              <w:t>余款10%作为</w:t>
            </w:r>
            <w:r>
              <w:rPr>
                <w:rFonts w:hint="eastAsia" w:asciiTheme="minorEastAsia" w:hAnsiTheme="minorEastAsia" w:eastAsiaTheme="minorEastAsia"/>
                <w:b/>
                <w:bCs/>
                <w:color w:val="FF0000"/>
                <w:sz w:val="24"/>
                <w:szCs w:val="24"/>
                <w:highlight w:val="none"/>
                <w:lang w:eastAsia="zh-CN"/>
              </w:rPr>
              <w:t>尾款待</w:t>
            </w:r>
            <w:r>
              <w:rPr>
                <w:rFonts w:hint="eastAsia" w:asciiTheme="minorEastAsia" w:hAnsiTheme="minorEastAsia" w:eastAsiaTheme="minorEastAsia"/>
                <w:b/>
                <w:bCs/>
                <w:color w:val="FF0000"/>
                <w:sz w:val="24"/>
                <w:szCs w:val="24"/>
                <w:highlight w:val="none"/>
              </w:rPr>
              <w:t>设备正常使用满二十四个月后付清。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22</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交货时间</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签订合同后</w:t>
            </w:r>
            <w:r>
              <w:rPr>
                <w:rFonts w:hint="eastAsia" w:asciiTheme="minorEastAsia" w:hAnsiTheme="minorEastAsia" w:eastAsiaTheme="minorEastAsia"/>
                <w:sz w:val="24"/>
                <w:szCs w:val="24"/>
                <w:highlight w:val="none"/>
                <w:lang w:val="en-US" w:eastAsia="zh-CN"/>
              </w:rPr>
              <w:t>30</w:t>
            </w:r>
            <w:r>
              <w:rPr>
                <w:rFonts w:hint="eastAsia" w:asciiTheme="minorEastAsia" w:hAnsiTheme="minorEastAsia" w:eastAsiaTheme="minorEastAsia"/>
                <w:sz w:val="24"/>
                <w:szCs w:val="24"/>
                <w:highlight w:val="none"/>
              </w:rPr>
              <w:t>天内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23</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质保年限</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乙方对合同项下的各类产品均提供</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u w:val="single"/>
                <w:lang w:val="en-US" w:eastAsia="zh-CN"/>
              </w:rPr>
              <w:t>1-3标段提供终身，4标段提供</w:t>
            </w:r>
            <w:r>
              <w:rPr>
                <w:rFonts w:hint="eastAsia" w:asciiTheme="minorEastAsia" w:hAnsiTheme="minorEastAsia" w:eastAsiaTheme="minorEastAsia"/>
                <w:sz w:val="24"/>
                <w:szCs w:val="24"/>
                <w:highlight w:val="none"/>
                <w:u w:val="single"/>
              </w:rPr>
              <w:t>原厂维保2年</w:t>
            </w:r>
            <w:r>
              <w:rPr>
                <w:rFonts w:hint="eastAsia" w:asciiTheme="minorEastAsia" w:hAnsiTheme="minorEastAsia" w:eastAsiaTheme="minorEastAsia"/>
                <w:sz w:val="24"/>
                <w:szCs w:val="24"/>
                <w:highlight w:val="none"/>
                <w:u w:val="single"/>
                <w:lang w:eastAsia="zh-CN"/>
              </w:rPr>
              <w:t>，</w:t>
            </w:r>
            <w:r>
              <w:rPr>
                <w:rFonts w:hint="eastAsia" w:asciiTheme="minorEastAsia" w:hAnsiTheme="minorEastAsia" w:eastAsiaTheme="minorEastAsia"/>
                <w:sz w:val="24"/>
                <w:szCs w:val="24"/>
                <w:highlight w:val="none"/>
                <w:u w:val="single"/>
                <w:lang w:val="en-US" w:eastAsia="zh-CN"/>
              </w:rPr>
              <w:t>5-6标段提供</w:t>
            </w:r>
            <w:r>
              <w:rPr>
                <w:rFonts w:hint="eastAsia" w:asciiTheme="minorEastAsia" w:hAnsiTheme="minorEastAsia" w:eastAsiaTheme="minorEastAsia"/>
                <w:sz w:val="24"/>
                <w:szCs w:val="24"/>
                <w:highlight w:val="none"/>
                <w:u w:val="single"/>
              </w:rPr>
              <w:t>原厂维保</w:t>
            </w:r>
            <w:r>
              <w:rPr>
                <w:rFonts w:hint="eastAsia" w:asciiTheme="minorEastAsia" w:hAnsiTheme="minorEastAsia" w:eastAsiaTheme="minorEastAsia"/>
                <w:sz w:val="24"/>
                <w:szCs w:val="24"/>
                <w:highlight w:val="none"/>
                <w:u w:val="single"/>
                <w:lang w:val="en-US" w:eastAsia="zh-CN"/>
              </w:rPr>
              <w:t>5</w:t>
            </w:r>
            <w:r>
              <w:rPr>
                <w:rFonts w:hint="eastAsia" w:asciiTheme="minorEastAsia" w:hAnsiTheme="minorEastAsia" w:eastAsiaTheme="minorEastAsia"/>
                <w:sz w:val="24"/>
                <w:szCs w:val="24"/>
                <w:highlight w:val="none"/>
                <w:u w:val="single"/>
              </w:rPr>
              <w:t xml:space="preserve">年  </w:t>
            </w:r>
            <w:r>
              <w:rPr>
                <w:rFonts w:hint="eastAsia" w:asciiTheme="minorEastAsia" w:hAnsiTheme="minorEastAsia" w:eastAsiaTheme="minorEastAsia"/>
                <w:sz w:val="24"/>
                <w:szCs w:val="24"/>
                <w:highlight w:val="none"/>
              </w:rPr>
              <w:t>的免费质保。免费质保期限自验收合格双方签字时算起。在免费保修期内，乙方需提供免费的维修</w:t>
            </w:r>
            <w:r>
              <w:rPr>
                <w:rFonts w:hint="eastAsia" w:asciiTheme="minorEastAsia" w:hAnsiTheme="minorEastAsia" w:eastAsiaTheme="minorEastAsia"/>
                <w:sz w:val="24"/>
                <w:szCs w:val="24"/>
                <w:highlight w:val="none"/>
                <w:lang w:eastAsia="zh-CN"/>
              </w:rPr>
              <w:t>原厂</w:t>
            </w:r>
            <w:r>
              <w:rPr>
                <w:rFonts w:hint="eastAsia" w:asciiTheme="minorEastAsia" w:hAnsiTheme="minorEastAsia" w:eastAsiaTheme="minorEastAsia"/>
                <w:sz w:val="24"/>
                <w:szCs w:val="24"/>
                <w:highlight w:val="none"/>
              </w:rPr>
              <w:t>零配件及人工。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配送地点</w:t>
            </w:r>
          </w:p>
        </w:tc>
        <w:tc>
          <w:tcPr>
            <w:tcW w:w="7323" w:type="dxa"/>
            <w:vAlign w:val="center"/>
          </w:tcPr>
          <w:p>
            <w:pPr>
              <w:keepNext w:val="0"/>
              <w:keepLines w:val="0"/>
              <w:suppressLineNumbers w:val="0"/>
              <w:spacing w:before="0" w:beforeAutospacing="0" w:after="0" w:afterAutospacing="0" w:line="40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w:t>
            </w:r>
          </w:p>
        </w:tc>
        <w:tc>
          <w:tcPr>
            <w:tcW w:w="212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w:t>
            </w:r>
          </w:p>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支持</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一标段：非专门面向中小企业采购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二标段：专门面向中小企业采购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三标段：专门面向中小企业采购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四标段：专门面向中小企业采购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五标段：专门面向中小企业采购</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六标段：专门面向中小企业采购</w:t>
            </w:r>
          </w:p>
          <w:p>
            <w:pPr>
              <w:keepNext w:val="0"/>
              <w:keepLines w:val="0"/>
              <w:suppressLineNumbers w:val="0"/>
              <w:overflowPunct w:val="0"/>
              <w:spacing w:before="0" w:beforeAutospacing="0" w:after="0" w:afterAutospacing="0" w:line="440" w:lineRule="exact"/>
              <w:ind w:left="0" w:right="0"/>
              <w:jc w:val="left"/>
              <w:rPr>
                <w:rFonts w:hint="default"/>
                <w:szCs w:val="22"/>
                <w:lang w:val="en-US"/>
              </w:rPr>
            </w:pPr>
            <w:r>
              <w:rPr>
                <w:rFonts w:hint="eastAsia" w:ascii="宋体" w:hAnsi="宋体" w:cs="宋体"/>
                <w:b/>
                <w:bCs/>
                <w:kern w:val="2"/>
                <w:sz w:val="24"/>
                <w:szCs w:val="24"/>
                <w:highlight w:val="none"/>
                <w:lang w:val="en-US" w:eastAsia="zh-CN"/>
              </w:rPr>
              <w:t>注：专门面向中小企业采购标段的</w:t>
            </w:r>
            <w:r>
              <w:rPr>
                <w:rFonts w:hint="eastAsia" w:ascii="宋体" w:hAnsi="宋体" w:cs="宋体"/>
                <w:b/>
                <w:bCs/>
                <w:kern w:val="2"/>
                <w:sz w:val="24"/>
                <w:szCs w:val="24"/>
                <w:highlight w:val="none"/>
                <w:lang w:eastAsia="zh-CN"/>
              </w:rPr>
              <w:t>投标人需落实政府采购政策需满足的资格要求提供中小企业声明函（</w:t>
            </w:r>
            <w:r>
              <w:rPr>
                <w:rFonts w:hint="eastAsia" w:ascii="宋体" w:hAnsi="宋体" w:cs="宋体"/>
                <w:b/>
                <w:bCs/>
                <w:kern w:val="2"/>
                <w:sz w:val="24"/>
                <w:szCs w:val="24"/>
                <w:highlight w:val="none"/>
                <w:lang w:val="en-US" w:eastAsia="zh-CN"/>
              </w:rPr>
              <w:t>货物类中小企业声明函中投标供应商需填写货物制造商的信息</w:t>
            </w:r>
            <w:r>
              <w:rPr>
                <w:rFonts w:hint="eastAsia" w:ascii="宋体" w:hAnsi="宋体" w:cs="宋体"/>
                <w:b/>
                <w:bCs/>
                <w:kern w:val="2"/>
                <w:sz w:val="24"/>
                <w:szCs w:val="24"/>
                <w:highlight w:val="none"/>
                <w:lang w:eastAsia="zh-CN"/>
              </w:rPr>
              <w:t>）</w:t>
            </w:r>
            <w:r>
              <w:rPr>
                <w:rFonts w:hint="eastAsia" w:ascii="宋体" w:hAnsi="宋体" w:eastAsia="宋体" w:cs="宋体"/>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4"/>
        <w:ind w:left="0" w:leftChars="0" w:firstLine="0" w:firstLineChars="0"/>
        <w:rPr>
          <w:rFonts w:hint="eastAsia"/>
        </w:rPr>
      </w:pPr>
      <w:bookmarkStart w:id="2" w:name="_Toc533162510"/>
    </w:p>
    <w:p>
      <w:pPr>
        <w:rPr>
          <w:rFonts w:hint="eastAsia"/>
        </w:rPr>
      </w:pPr>
    </w:p>
    <w:p>
      <w:pPr>
        <w:pStyle w:val="24"/>
        <w:rPr>
          <w:rFonts w:hint="eastAsia"/>
        </w:rPr>
      </w:pPr>
    </w:p>
    <w:p>
      <w:pPr>
        <w:rPr>
          <w:rFonts w:hint="eastAsia"/>
        </w:rPr>
      </w:pPr>
    </w:p>
    <w:p>
      <w:pPr>
        <w:rPr>
          <w:rFonts w:hint="eastAsia"/>
        </w:rPr>
      </w:pPr>
    </w:p>
    <w:p>
      <w:pPr>
        <w:pStyle w:val="24"/>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4"/>
        <w:rPr>
          <w:rFonts w:hint="eastAsia"/>
        </w:rPr>
      </w:pPr>
    </w:p>
    <w:p>
      <w:pPr>
        <w:rPr>
          <w:rFonts w:hint="eastAsia"/>
        </w:rPr>
      </w:pPr>
    </w:p>
    <w:p>
      <w:pPr>
        <w:pStyle w:val="24"/>
        <w:rPr>
          <w:rFonts w:hint="eastAsia"/>
        </w:rPr>
      </w:pPr>
    </w:p>
    <w:p>
      <w:pPr>
        <w:rPr>
          <w:rFonts w:hint="eastAsia"/>
        </w:rPr>
      </w:pPr>
    </w:p>
    <w:p>
      <w:pPr>
        <w:spacing w:beforeLines="100" w:afterLines="100"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第二部分    招标说明</w:t>
      </w:r>
      <w:bookmarkEnd w:id="2"/>
    </w:p>
    <w:p>
      <w:pPr>
        <w:pStyle w:val="66"/>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（1）符合《中华人民共和国政府采购法》第二十二条之规定</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提供有效期内且年检合格的营业执照正本或副本原件</w:t>
      </w:r>
      <w:r>
        <w:rPr>
          <w:rFonts w:hint="eastAsia" w:asciiTheme="minorEastAsia" w:hAnsiTheme="minorEastAsia" w:eastAsiaTheme="minorEastAsia"/>
          <w:sz w:val="24"/>
          <w:szCs w:val="24"/>
          <w:lang w:val="en-US" w:eastAsia="zh-CN"/>
        </w:rPr>
        <w:t>或复印件加盖投标企业公章</w:t>
      </w:r>
      <w:r>
        <w:rPr>
          <w:rFonts w:hint="eastAsia" w:asciiTheme="minorEastAsia" w:hAnsiTheme="minorEastAsia" w:eastAsiaTheme="minorEastAsia"/>
          <w:sz w:val="24"/>
          <w:szCs w:val="24"/>
        </w:rPr>
        <w:t>；</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（2）法定代表人证明或授权委托人授权委托书原件；</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）法定代表人身份证或委托代理人身份证原件；</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投标人为制造商的须提供《医疗器械生产许可证》原件（或复印件加盖公章）；投标人为经销商的须提供《医疗器械经营许可证》原件（或复印件加盖公章）及制造商的医疗器械生产许可证复印件加盖制造商公章</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（5）社保机构或税务机构出具的投标企业缴纳被授权人近3个月的社会保障资金证明原件（法定代表人参加也须提供此项，退休人员提供退休证）。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（6）税务机关出具的参加本次采购活动近3个月报价人依法纳税凭证原件或有电子专用章的完税证明。</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（7）会计师事务所出具的2021年度财务审计报告原件（复印件加盖公章）或银行出具的资信证明原件。</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（8）投标人需提供所投产品的《医疗器械注册证》(含注册登记表)原件或复印件加盖公章，所有证件均应在有效期内。</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伊犁哈萨克自治州友谊医院</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sz w:val="24"/>
          <w:szCs w:val="24"/>
        </w:rPr>
      </w:pPr>
    </w:p>
    <w:p>
      <w:pPr>
        <w:pStyle w:val="66"/>
        <w:spacing w:line="440" w:lineRule="exact"/>
        <w:jc w:val="center"/>
        <w:outlineLvl w:val="1"/>
        <w:rPr>
          <w:rFonts w:asciiTheme="minorEastAsia" w:hAnsiTheme="minorEastAsia" w:eastAsiaTheme="minorEastAsia"/>
          <w:b/>
          <w:color w:val="auto"/>
          <w:kern w:val="2"/>
        </w:rPr>
      </w:pPr>
      <w:bookmarkStart w:id="4" w:name="_Toc508981635"/>
      <w:bookmarkStart w:id="5" w:name="_Toc533162512"/>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ind w:firstLine="482" w:firstLineChars="200"/>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1.2、采购人将邀请所有投标人派代表参加开标会，投标人必须在开标现场提交能够证明其具有履行本招标项目合同能力的资质证明文件，作为投标文件的一部分，具体要求如下：</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（1）符合《中华人民共和国政府采购法》第二十二条之规定,提供有效期内且年检合格的营业执照正本或副本原件或复印件加盖投标企业公章；</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（2）法定代表人证明或授权委托人授权委托书原件；</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（3）法定代表人身份证或委托代理人身份证原件；</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投标人为制造商的须提供《医疗器械生产许可证》原件（或复印件加盖公章）；投标人为经销商的须提供《医疗器械经营许可证》原件（或复印件加盖公章）及制造商的医疗器械生产许可证复印件加盖制造商公章</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（5）社保机构或税务机构出具的投标企业缴纳被授权人近3个月的社会保障资金证明原件（法定代表人参加也须提供此项，退休人员提供退休证）。</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（6）税务机关出具的参加本次采购活动近3个月报价人依法纳税凭证原件或有电子专用章的完税证明。</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（7）会计师事务所出具的2021年度财务审计报告原件（复印件加盖公章）或银行出具的资信证明原件。</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（8）投标人需提供所投产品的《医疗器械注册证》(含注册登记表)原件或复印件加盖公章，所有证件均应在有效期内。</w:t>
      </w:r>
    </w:p>
    <w:p>
      <w:pPr>
        <w:numPr>
          <w:ilvl w:val="0"/>
          <w:numId w:val="0"/>
        </w:numPr>
        <w:spacing w:line="440" w:lineRule="exact"/>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（9）新疆宏裕鼎峰工程项目管理有限公司开具的投标保证金收据原件或保函原件</w:t>
      </w:r>
    </w:p>
    <w:p>
      <w:pPr>
        <w:spacing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9</w:t>
      </w:r>
      <w:r>
        <w:rPr>
          <w:rFonts w:hint="eastAsia" w:asciiTheme="minorEastAsia" w:hAnsiTheme="minorEastAsia" w:eastAsiaTheme="minorEastAsia"/>
          <w:b/>
          <w:bCs/>
          <w:sz w:val="24"/>
          <w:szCs w:val="24"/>
        </w:rPr>
        <w:t>）项为投标时资格审查的必备条件，以上资料原件</w:t>
      </w:r>
      <w:r>
        <w:rPr>
          <w:rFonts w:hint="eastAsia" w:asciiTheme="minorEastAsia" w:hAnsiTheme="minorEastAsia" w:eastAsiaTheme="minorEastAsia"/>
          <w:b/>
          <w:bCs/>
          <w:sz w:val="24"/>
          <w:szCs w:val="24"/>
          <w:lang w:val="en-US" w:eastAsia="zh-CN"/>
        </w:rPr>
        <w:t>扫描加盖公章或电子章</w:t>
      </w:r>
      <w:r>
        <w:rPr>
          <w:rFonts w:hint="eastAsia" w:asciiTheme="minorEastAsia" w:hAnsiTheme="minorEastAsia" w:eastAsiaTheme="minorEastAsia"/>
          <w:b/>
          <w:bCs/>
          <w:sz w:val="24"/>
          <w:szCs w:val="24"/>
        </w:rPr>
        <w:t>，如果缺项则视为对采购文件资格审查内容的不响应，投标将被拒绝。</w:t>
      </w:r>
    </w:p>
    <w:p>
      <w:pPr>
        <w:spacing w:line="440" w:lineRule="exact"/>
        <w:ind w:left="840" w:hanging="36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1.3　所有资格证明文件必须满足采购文件的要求，否则将导致废标。</w:t>
      </w:r>
    </w:p>
    <w:p>
      <w:pPr>
        <w:spacing w:line="440" w:lineRule="exact"/>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8" w:name="_Toc533162515"/>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pStyle w:val="25"/>
        <w:rPr>
          <w:rFonts w:hint="eastAsia" w:asciiTheme="minorEastAsia" w:hAnsiTheme="minorEastAsia" w:eastAsiaTheme="minorEastAsia"/>
          <w:sz w:val="24"/>
          <w:szCs w:val="24"/>
        </w:rPr>
      </w:pP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投标人应按下列顺序排列、装订投标文件：</w:t>
      </w:r>
    </w:p>
    <w:tbl>
      <w:tblPr>
        <w:tblStyle w:val="2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投标保证金缴纳凭证</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电汇凭证或投标保证金收据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投标人为制造商的提供《医疗器械生产许可证》；投标人为经销商的提供《医疗器械经营许可证》及制造商的医疗器械生产许可证复印件加盖制造商公章</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投标人为经销商的提供《医疗器械经营许可证》及制造商的医疗器械生产许可证复印件加盖制造商公章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投标人的服务承诺应按不低于采购文件中要求的服务标准做出响应。4.2.2</w:t>
      </w:r>
      <w:r>
        <w:rPr>
          <w:rFonts w:hint="eastAsia" w:asciiTheme="minorEastAsia" w:hAnsiTheme="minorEastAsia" w:eastAsiaTheme="minorEastAsia"/>
          <w:sz w:val="24"/>
          <w:szCs w:val="24"/>
          <w:lang w:val="en-US" w:eastAsia="zh-CN"/>
        </w:rPr>
        <w:t xml:space="preserve">2.2  </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sz w:val="24"/>
          <w:szCs w:val="24"/>
          <w:lang w:eastAsia="zh-CN"/>
        </w:rPr>
        <w:t>或签章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10.4　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投标文件必须提交正本</w:t>
      </w:r>
      <w:r>
        <w:rPr>
          <w:rFonts w:hint="eastAsia" w:asciiTheme="minorEastAsia" w:hAnsiTheme="minorEastAsia" w:eastAsiaTheme="minorEastAsia"/>
          <w:sz w:val="24"/>
          <w:szCs w:val="24"/>
          <w:u w:val="single"/>
        </w:rPr>
        <w:t xml:space="preserve"> 一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副本</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贰</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、电子版盘</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二</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b/>
          <w:sz w:val="24"/>
          <w:szCs w:val="24"/>
          <w:lang w:eastAsia="zh-CN"/>
        </w:rPr>
        <w:t>政采云电子评标结束后提供</w:t>
      </w:r>
      <w:r>
        <w:rPr>
          <w:rFonts w:hint="eastAsia" w:asciiTheme="minorEastAsia" w:hAnsiTheme="minorEastAsia" w:eastAsiaTheme="minorEastAsia"/>
          <w:sz w:val="24"/>
          <w:szCs w:val="24"/>
        </w:rPr>
        <w:t>），并在封面上标记“正本”或“副本”。</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10.5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10.6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eastAsia="zh-CN"/>
        </w:rPr>
        <w:t>1531131030@qq.com</w:t>
      </w:r>
      <w:r>
        <w:rPr>
          <w:rFonts w:hint="eastAsia" w:asciiTheme="minorEastAsia" w:hAnsiTheme="minorEastAsia" w:eastAsiaTheme="minorEastAsia"/>
          <w:sz w:val="24"/>
          <w:szCs w:val="24"/>
        </w:rPr>
        <w:t>。</w:t>
      </w: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szCs w:val="24"/>
          <w:lang w:eastAsia="zh-CN"/>
        </w:rPr>
        <w:t>超过规定解密时限或者上传失败</w:t>
      </w:r>
      <w:r>
        <w:rPr>
          <w:rFonts w:hint="eastAsia" w:asciiTheme="minorEastAsia" w:hAnsiTheme="minorEastAsia" w:eastAsiaTheme="minorEastAsia"/>
          <w:sz w:val="24"/>
          <w:szCs w:val="24"/>
        </w:rPr>
        <w:t>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5"/>
        <w:ind w:left="0" w:leftChars="0" w:firstLine="0" w:firstLineChars="0"/>
      </w:pPr>
      <w:bookmarkStart w:id="11" w:name="_Toc533162518"/>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spacing w:line="440" w:lineRule="exact"/>
        <w:ind w:firstLine="482" w:firstLineChars="200"/>
        <w:jc w:val="center"/>
        <w:outlineLvl w:val="1"/>
        <w:rPr>
          <w:rFonts w:hint="eastAsia" w:asciiTheme="minorEastAsia" w:hAnsiTheme="minorEastAsia" w:eastAsiaTheme="minorEastAsia"/>
          <w:b/>
          <w:bCs/>
          <w:sz w:val="24"/>
          <w:szCs w:val="24"/>
        </w:rPr>
      </w:pPr>
      <w:bookmarkStart w:id="12" w:name="_Toc533162519"/>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5"/>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7"/>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6"/>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符合《中华人民共和国政府采购法》第二十二条之规定,提供有效期内且年检合格的营业执照正本或副本（加盖投标企业公章或电子章）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法定代表人证明或授权委托人授权委托书原件</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法定代表人身份证或委托代理人身份证原件</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投标人为制造商的须提供《医疗器械生产许可证》</w:t>
            </w:r>
            <w:r>
              <w:rPr>
                <w:rFonts w:hint="eastAsia" w:asciiTheme="minorEastAsia" w:hAnsiTheme="minorEastAsia" w:eastAsiaTheme="minorEastAsia"/>
                <w:spacing w:val="-2"/>
                <w:sz w:val="24"/>
                <w:szCs w:val="24"/>
              </w:rPr>
              <w:t>（加盖投标企业公章或电子章）</w:t>
            </w:r>
            <w:r>
              <w:rPr>
                <w:rFonts w:hint="eastAsia" w:asciiTheme="minorEastAsia" w:hAnsiTheme="minorEastAsia" w:eastAsiaTheme="minorEastAsia"/>
                <w:sz w:val="24"/>
                <w:szCs w:val="24"/>
                <w:lang w:val="en-US" w:eastAsia="zh-CN"/>
              </w:rPr>
              <w:t>；投标人为经销商的须提供《医疗器械经营许可证》</w:t>
            </w:r>
            <w:r>
              <w:rPr>
                <w:rFonts w:hint="eastAsia" w:asciiTheme="minorEastAsia" w:hAnsiTheme="minorEastAsia" w:eastAsiaTheme="minorEastAsia"/>
                <w:spacing w:val="-2"/>
                <w:sz w:val="24"/>
                <w:szCs w:val="24"/>
              </w:rPr>
              <w:t>（加盖投标企业公章或电子章）</w:t>
            </w:r>
            <w:r>
              <w:rPr>
                <w:rFonts w:hint="eastAsia" w:asciiTheme="minorEastAsia" w:hAnsiTheme="minorEastAsia" w:eastAsiaTheme="minorEastAsia"/>
                <w:sz w:val="24"/>
                <w:szCs w:val="24"/>
                <w:lang w:val="en-US" w:eastAsia="zh-CN"/>
              </w:rPr>
              <w:t>及制造商的医疗器械生产许可证复印件加盖制造商公章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社保机构或税务机构出具的投标企业缴纳被授权人近3个月的社会保障资金证明原件（法定代表人参加也须提供此项，退休人员提供退休证）（加盖投标企业公章或电子章）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rPr>
            </w:pPr>
            <w:r>
              <w:rPr>
                <w:rFonts w:hint="default" w:asciiTheme="minorEastAsia" w:hAnsiTheme="minorEastAsia" w:eastAsiaTheme="minorEastAsia"/>
                <w:sz w:val="24"/>
                <w:szCs w:val="24"/>
                <w:lang w:val="en-US" w:eastAsia="zh-CN"/>
              </w:rPr>
              <w:t>税务机关出具的参加本次采购活动近3个月报价人依法纳税凭证原件或有电子专用章的完税证明</w:t>
            </w:r>
            <w:r>
              <w:rPr>
                <w:rFonts w:hint="eastAsia" w:asciiTheme="minorEastAsia" w:hAnsiTheme="minorEastAsia" w:eastAsiaTheme="minorEastAsia"/>
                <w:sz w:val="24"/>
                <w:szCs w:val="24"/>
                <w:lang w:val="en-US"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会计师事务所出具的2021年度财务审计报告或银行出具的资信证明（加盖投标企业公章或电子章）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投标人需提供所投产品的《医疗器械注册证》(</w:t>
            </w:r>
            <w:bookmarkStart w:id="183" w:name="_GoBack"/>
            <w:bookmarkEnd w:id="183"/>
            <w:r>
              <w:rPr>
                <w:rFonts w:hint="default" w:asciiTheme="minorEastAsia" w:hAnsiTheme="minorEastAsia" w:eastAsiaTheme="minorEastAsia"/>
                <w:sz w:val="24"/>
                <w:szCs w:val="24"/>
                <w:lang w:val="en-US" w:eastAsia="zh-CN"/>
              </w:rPr>
              <w:t>含注册登记表)（加盖投标企业公章或电子章），所有证件均应在有效期内</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中小企业声明函</w:t>
            </w:r>
            <w:r>
              <w:rPr>
                <w:rFonts w:hint="eastAsia" w:asciiTheme="minorEastAsia" w:hAnsiTheme="minorEastAsia" w:eastAsiaTheme="minorEastAsia"/>
                <w:b/>
                <w:bCs/>
                <w:sz w:val="24"/>
                <w:szCs w:val="24"/>
                <w:lang w:val="en-US" w:eastAsia="zh-CN"/>
              </w:rPr>
              <w:t>（专门面向中小企业标段提供）</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leftChars="0" w:right="0" w:rightChars="0"/>
              <w:rPr>
                <w:rFonts w:asciiTheme="minorEastAsia" w:hAnsiTheme="minorEastAsia" w:eastAsiaTheme="minorEastAsia"/>
                <w:sz w:val="24"/>
                <w:szCs w:val="24"/>
              </w:rPr>
            </w:pPr>
            <w:r>
              <w:rPr>
                <w:rFonts w:hint="eastAsia" w:ascii="宋体" w:hAnsi="宋体" w:eastAsia="宋体" w:cs="宋体"/>
                <w:spacing w:val="6"/>
                <w:kern w:val="0"/>
                <w:sz w:val="24"/>
                <w:szCs w:val="24"/>
              </w:rPr>
              <w:t>投标保证金收据</w:t>
            </w:r>
            <w:r>
              <w:rPr>
                <w:rFonts w:hint="eastAsia" w:ascii="宋体" w:hAnsi="宋体" w:cs="宋体"/>
                <w:spacing w:val="6"/>
                <w:kern w:val="0"/>
                <w:sz w:val="24"/>
                <w:szCs w:val="24"/>
                <w:lang w:val="en-US" w:eastAsia="zh-CN"/>
              </w:rPr>
              <w:t>或汇款凭证</w:t>
            </w:r>
            <w:r>
              <w:rPr>
                <w:rFonts w:hint="eastAsia" w:ascii="宋体" w:hAnsi="宋体" w:eastAsia="宋体" w:cs="宋体"/>
                <w:spacing w:val="6"/>
                <w:kern w:val="0"/>
                <w:sz w:val="24"/>
                <w:szCs w:val="24"/>
                <w:lang w:eastAsia="zh-CN"/>
              </w:rPr>
              <w:t>或</w:t>
            </w:r>
            <w:r>
              <w:rPr>
                <w:rFonts w:hint="eastAsia" w:ascii="宋体" w:hAnsi="宋体" w:cs="宋体"/>
                <w:spacing w:val="6"/>
                <w:kern w:val="0"/>
                <w:sz w:val="24"/>
                <w:szCs w:val="24"/>
                <w:lang w:val="en-US" w:eastAsia="zh-CN"/>
              </w:rPr>
              <w:t>投标</w:t>
            </w:r>
            <w:r>
              <w:rPr>
                <w:rFonts w:hint="eastAsia" w:ascii="宋体" w:hAnsi="宋体" w:eastAsia="宋体" w:cs="宋体"/>
                <w:spacing w:val="6"/>
                <w:kern w:val="0"/>
                <w:sz w:val="24"/>
                <w:szCs w:val="24"/>
                <w:lang w:eastAsia="zh-CN"/>
              </w:rPr>
              <w:t>保函</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hint="default" w:cs="宋体" w:asciiTheme="minorEastAsia" w:hAnsiTheme="minorEastAsia" w:eastAsiaTheme="minorEastAsia"/>
                <w:color w:val="000000"/>
                <w:kern w:val="0"/>
                <w:sz w:val="24"/>
                <w:szCs w:val="22"/>
                <w:lang w:val="en-US" w:eastAsia="zh-CN"/>
              </w:rPr>
            </w:pPr>
            <w:r>
              <w:rPr>
                <w:rFonts w:hint="eastAsia" w:cs="宋体" w:asciiTheme="minorEastAsia" w:hAnsiTheme="minorEastAsia" w:eastAsiaTheme="minorEastAsia"/>
                <w:color w:val="000000"/>
                <w:kern w:val="0"/>
                <w:sz w:val="24"/>
                <w:szCs w:val="22"/>
                <w:highlight w:val="red"/>
                <w:lang w:val="en-US" w:eastAsia="zh-CN"/>
              </w:rPr>
              <w:t>是否提供所投货物检验报告单</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投标人是否有违法招标投标纪律的。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50"/>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50"/>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50"/>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50"/>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pStyle w:val="24"/>
        <w:ind w:left="0" w:leftChars="0" w:firstLine="0" w:firstLineChars="0"/>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新疆宏裕鼎峰工程项目管理有限公司</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4"/>
        <w:rPr>
          <w:rFonts w:hint="eastAsia"/>
        </w:rPr>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2"/>
                    <a:stretch>
                      <a:fillRect/>
                    </a:stretch>
                  </pic:blipFill>
                  <pic:spPr>
                    <a:xfrm>
                      <a:off x="0" y="0"/>
                      <a:ext cx="5231130" cy="2573655"/>
                    </a:xfrm>
                    <a:prstGeom prst="rect">
                      <a:avLst/>
                    </a:prstGeom>
                    <a:noFill/>
                    <a:ln>
                      <a:noFill/>
                    </a:ln>
                  </pic:spPr>
                </pic:pic>
              </a:graphicData>
            </a:graphic>
          </wp:inline>
        </w:drawing>
      </w:r>
    </w:p>
    <w:p>
      <w:pPr>
        <w:pStyle w:val="25"/>
        <w:ind w:left="0" w:leftChars="0" w:firstLine="0" w:firstLineChars="0"/>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b/>
          <w:sz w:val="24"/>
          <w:szCs w:val="24"/>
        </w:rPr>
      </w:pPr>
      <w:r>
        <w:rPr>
          <w:rFonts w:hint="eastAsia" w:asciiTheme="minorEastAsia" w:hAnsiTheme="minorEastAsia" w:eastAsiaTheme="minorEastAsia"/>
          <w:sz w:val="24"/>
          <w:szCs w:val="24"/>
        </w:rPr>
        <w:t>27.3采购人应当在收到供应商的书面质疑后七个工作日做出答复。</w:t>
      </w:r>
      <w:bookmarkStart w:id="14" w:name="_Toc533162521"/>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ind w:left="0" w:leftChars="0" w:firstLine="0" w:firstLineChars="0"/>
      </w:pPr>
    </w:p>
    <w:p/>
    <w:p>
      <w:pPr>
        <w:pStyle w:val="24"/>
      </w:pPr>
    </w:p>
    <w:p/>
    <w:p/>
    <w:p>
      <w:pPr>
        <w:numPr>
          <w:ilvl w:val="0"/>
          <w:numId w:val="8"/>
        </w:numPr>
        <w:spacing w:line="440" w:lineRule="exact"/>
        <w:jc w:val="center"/>
        <w:outlineLvl w:val="0"/>
        <w:rPr>
          <w:rFonts w:hint="eastAsia" w:ascii="宋体" w:hAnsi="宋体" w:cs="宋体"/>
          <w:b/>
          <w:sz w:val="24"/>
          <w:szCs w:val="24"/>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5"/>
        <w:ind w:left="0" w:leftChars="0" w:firstLine="0" w:firstLineChars="0"/>
        <w:jc w:val="both"/>
        <w:rPr>
          <w:rFonts w:hint="eastAsia"/>
        </w:rPr>
      </w:pPr>
    </w:p>
    <w:p>
      <w:pPr>
        <w:numPr>
          <w:ilvl w:val="0"/>
          <w:numId w:val="0"/>
        </w:numPr>
        <w:spacing w:line="360" w:lineRule="auto"/>
        <w:jc w:val="center"/>
        <w:outlineLvl w:val="0"/>
        <w:rPr>
          <w:rFonts w:hint="eastAsia" w:ascii="宋体" w:hAnsi="宋体" w:eastAsia="宋体" w:cs="宋体"/>
          <w:b/>
          <w:sz w:val="24"/>
          <w:szCs w:val="24"/>
          <w:lang w:val="en-US" w:eastAsia="zh-CN"/>
        </w:rPr>
      </w:pPr>
      <w:bookmarkStart w:id="16" w:name="_Toc483336508"/>
      <w:bookmarkStart w:id="17" w:name="_Toc533162523"/>
      <w:r>
        <w:rPr>
          <w:rFonts w:hint="eastAsia" w:ascii="宋体" w:hAnsi="宋体" w:eastAsia="宋体" w:cs="宋体"/>
          <w:b/>
          <w:sz w:val="24"/>
          <w:szCs w:val="24"/>
          <w:highlight w:val="red"/>
          <w:lang w:val="en-US" w:eastAsia="zh-CN"/>
        </w:rPr>
        <w:t>（一标段招标参数）</w:t>
      </w:r>
      <w:r>
        <w:rPr>
          <w:rFonts w:hint="eastAsia" w:ascii="宋体" w:hAnsi="宋体" w:eastAsia="宋体" w:cs="宋体"/>
          <w:b/>
          <w:sz w:val="24"/>
          <w:szCs w:val="24"/>
          <w:lang w:val="en-US" w:eastAsia="zh-CN"/>
        </w:rPr>
        <w:t>微生物质谱系统</w:t>
      </w:r>
    </w:p>
    <w:p>
      <w:pPr>
        <w:spacing w:line="360" w:lineRule="auto"/>
        <w:rPr>
          <w:rFonts w:hint="eastAsia" w:ascii="宋体" w:hAnsi="宋体" w:eastAsia="宋体" w:cs="宋体"/>
          <w:b/>
          <w:bCs w:val="0"/>
          <w:kern w:val="2"/>
          <w:sz w:val="24"/>
          <w:szCs w:val="24"/>
          <w:lang w:val="en-US" w:eastAsia="zh-CN" w:bidi="ar-SA"/>
        </w:rPr>
      </w:pPr>
      <w:r>
        <w:rPr>
          <w:rFonts w:hint="eastAsia" w:ascii="宋体" w:hAnsi="宋体" w:eastAsia="宋体" w:cs="宋体"/>
          <w:b/>
          <w:sz w:val="24"/>
          <w:szCs w:val="24"/>
        </w:rPr>
        <w:t>一、</w:t>
      </w:r>
      <w:r>
        <w:rPr>
          <w:rFonts w:hint="eastAsia" w:ascii="宋体" w:hAnsi="宋体" w:eastAsia="宋体" w:cs="宋体"/>
          <w:b/>
          <w:bCs w:val="0"/>
          <w:sz w:val="24"/>
          <w:szCs w:val="24"/>
          <w:lang w:val="en-US" w:eastAsia="zh-CN"/>
        </w:rPr>
        <w:t>设备名称：</w:t>
      </w:r>
      <w:r>
        <w:rPr>
          <w:rFonts w:hint="eastAsia" w:ascii="宋体" w:hAnsi="宋体" w:eastAsia="宋体" w:cs="宋体"/>
          <w:b/>
          <w:bCs w:val="0"/>
          <w:kern w:val="2"/>
          <w:sz w:val="24"/>
          <w:szCs w:val="24"/>
          <w:lang w:val="en-US" w:eastAsia="zh-CN" w:bidi="ar-SA"/>
        </w:rPr>
        <w:t>微生物质谱系统一套（国产）</w:t>
      </w:r>
    </w:p>
    <w:p>
      <w:pPr>
        <w:spacing w:line="360" w:lineRule="auto"/>
        <w:rPr>
          <w:rFonts w:hint="eastAsia" w:ascii="宋体" w:hAnsi="宋体" w:eastAsia="宋体" w:cs="宋体"/>
          <w:sz w:val="24"/>
          <w:szCs w:val="24"/>
        </w:rPr>
      </w:pPr>
      <w:r>
        <w:rPr>
          <w:rFonts w:hint="eastAsia" w:ascii="宋体" w:hAnsi="宋体" w:eastAsia="宋体" w:cs="宋体"/>
          <w:sz w:val="24"/>
          <w:szCs w:val="24"/>
        </w:rPr>
        <w:t>用于微生物（细菌，丝状真菌，酵母，分枝杆菌等）样品的快速鉴定。</w:t>
      </w:r>
    </w:p>
    <w:p>
      <w:pPr>
        <w:spacing w:line="360" w:lineRule="auto"/>
        <w:rPr>
          <w:rFonts w:hint="eastAsia" w:ascii="宋体" w:hAnsi="宋体" w:eastAsia="宋体" w:cs="宋体"/>
          <w:b/>
          <w:bCs w:val="0"/>
          <w:kern w:val="2"/>
          <w:sz w:val="24"/>
          <w:szCs w:val="24"/>
          <w:lang w:val="en-US" w:eastAsia="zh-CN" w:bidi="ar-SA"/>
        </w:rPr>
      </w:pPr>
      <w:r>
        <w:rPr>
          <w:rFonts w:hint="eastAsia" w:ascii="宋体" w:hAnsi="宋体" w:eastAsia="宋体" w:cs="宋体"/>
          <w:b/>
          <w:sz w:val="24"/>
          <w:szCs w:val="24"/>
          <w:lang w:val="en-US" w:eastAsia="zh-CN"/>
        </w:rPr>
        <w:t>二、</w:t>
      </w:r>
      <w:r>
        <w:rPr>
          <w:rFonts w:hint="eastAsia" w:ascii="宋体" w:hAnsi="宋体" w:eastAsia="宋体" w:cs="宋体"/>
          <w:b/>
          <w:bCs w:val="0"/>
          <w:kern w:val="2"/>
          <w:sz w:val="24"/>
          <w:szCs w:val="24"/>
          <w:lang w:val="en-US" w:eastAsia="zh-CN" w:bidi="ar-SA"/>
        </w:rPr>
        <w:t>主要技术参数：</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.硬件指标：</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.1激光器：氮气激光器，在1-60Hz范围内任意连续可调，激光发射次数≥</w:t>
      </w:r>
      <w:r>
        <w:rPr>
          <w:rFonts w:hint="eastAsia" w:ascii="宋体" w:hAnsi="宋体" w:eastAsia="宋体" w:cs="宋体"/>
          <w:bCs/>
          <w:sz w:val="24"/>
          <w:szCs w:val="24"/>
          <w:lang w:val="en-US" w:eastAsia="zh-CN"/>
        </w:rPr>
        <w:t>3亿次</w:t>
      </w:r>
      <w:r>
        <w:rPr>
          <w:rFonts w:hint="eastAsia" w:ascii="宋体" w:hAnsi="宋体" w:eastAsia="宋体" w:cs="宋体"/>
          <w:bCs/>
          <w:sz w:val="24"/>
          <w:szCs w:val="24"/>
          <w:lang w:eastAsia="zh-CN"/>
        </w:rPr>
        <w:t>。</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.2离子源：离子源无需清洗，方便日常维护。</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.3进样类型：全自动进样系统；</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.4真空泵：高通量涡轮分子泵，分子泵最大进气量（H2）≥14mbarl/s（提供证明文件）。</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.5过滤器：≤0.01μm高精度泵口过滤器。</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.6飞行管：长度≥1</w:t>
      </w:r>
      <w:r>
        <w:rPr>
          <w:rFonts w:hint="eastAsia" w:ascii="宋体" w:hAnsi="宋体" w:eastAsia="宋体" w:cs="宋体"/>
          <w:bCs/>
          <w:sz w:val="24"/>
          <w:szCs w:val="24"/>
          <w:lang w:val="en-US" w:eastAsia="zh-CN"/>
        </w:rPr>
        <w:t>05</w:t>
      </w:r>
      <w:r>
        <w:rPr>
          <w:rFonts w:hint="eastAsia" w:ascii="宋体" w:hAnsi="宋体" w:eastAsia="宋体" w:cs="宋体"/>
          <w:bCs/>
          <w:sz w:val="24"/>
          <w:szCs w:val="24"/>
          <w:lang w:eastAsia="zh-CN"/>
        </w:rPr>
        <w:t>0mm。</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 软件指标：</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.1 软件具备仪器控制、数据采集、数据处理及微生物鉴定分析的全套功能。</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.2 自动化数据采集，图谱实时刷新，可根据样品信号强度和分辨率自动调整激光能量、采集位置和采集次数来自动获得高质量蛋白质量指纹图谱。</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.3软件具备数据处理与统计功能，主成分分析功能，可以为用户更好的总结数据提供强有力的工具支持；支持用户自建库。。</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.4软件有混合菌的提示功能，遗传聚类分析功能，可直接生成微生物样品的遗传聚类图，能确认微生</w:t>
      </w:r>
      <w:r>
        <w:rPr>
          <w:rFonts w:hint="eastAsia" w:ascii="宋体" w:hAnsi="宋体" w:eastAsia="宋体" w:cs="宋体"/>
          <w:bCs/>
          <w:sz w:val="24"/>
          <w:szCs w:val="24"/>
          <w:lang w:val="en-US" w:eastAsia="zh-CN"/>
        </w:rPr>
        <w:t>+</w:t>
      </w:r>
      <w:r>
        <w:rPr>
          <w:rFonts w:hint="eastAsia" w:ascii="宋体" w:hAnsi="宋体" w:eastAsia="宋体" w:cs="宋体"/>
          <w:bCs/>
          <w:sz w:val="24"/>
          <w:szCs w:val="24"/>
          <w:lang w:eastAsia="zh-CN"/>
        </w:rPr>
        <w:t>物亲缘关系；</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软件可选择中、英文界面，鉴定结果可选择拉丁文、中文，且可在运行期间任意切换。</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可以与LIS/HIS系统实现无缝对接，可实现病人样品信息录入、实验数据存储及统计分析、报告审核、打印分发等功能，有效提高信息化程度。</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lang w:eastAsia="zh-CN"/>
        </w:rPr>
        <w:t>采集软件在采集的同时可实现一键式快速鉴定。</w:t>
      </w:r>
    </w:p>
    <w:p>
      <w:pPr>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2.8要求配备微生物实验室信息管理系统一套，便于微生物科室仪器、标本、信息流的传递及管理</w:t>
      </w:r>
      <w:r>
        <w:rPr>
          <w:rFonts w:hint="eastAsia" w:ascii="宋体" w:hAnsi="宋体" w:eastAsia="宋体" w:cs="宋体"/>
          <w:bCs/>
          <w:sz w:val="24"/>
          <w:szCs w:val="24"/>
          <w:lang w:eastAsia="zh-CN"/>
        </w:rPr>
        <w:t>（提供证明文件）</w:t>
      </w:r>
      <w:r>
        <w:rPr>
          <w:rFonts w:hint="eastAsia" w:ascii="宋体" w:hAnsi="宋体" w:eastAsia="宋体" w:cs="宋体"/>
          <w:bCs/>
          <w:sz w:val="24"/>
          <w:szCs w:val="24"/>
          <w:lang w:val="en-US" w:eastAsia="zh-CN"/>
        </w:rPr>
        <w:t>。</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 检测性能：</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.1 M/Z范围：分子量范围可达1-500kDa。</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.2 分辨率：&gt;3600FWHM（血管紧张素，Angiotensin）。</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.3灵敏度：</w:t>
      </w:r>
      <w:r>
        <w:rPr>
          <w:rFonts w:hint="eastAsia" w:ascii="宋体" w:hAnsi="宋体" w:eastAsia="宋体" w:cs="宋体"/>
          <w:bCs/>
          <w:sz w:val="24"/>
          <w:szCs w:val="24"/>
          <w:lang w:val="en-US" w:eastAsia="zh-CN"/>
        </w:rPr>
        <w:t>≤</w:t>
      </w:r>
      <w:r>
        <w:rPr>
          <w:rFonts w:hint="eastAsia" w:ascii="宋体" w:hAnsi="宋体" w:eastAsia="宋体" w:cs="宋体"/>
          <w:bCs/>
          <w:sz w:val="24"/>
          <w:szCs w:val="24"/>
          <w:lang w:eastAsia="zh-CN"/>
        </w:rPr>
        <w:t>50 fmol/uL (S/N≥60)。</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质量重复性：变异系数&lt;0.015%。</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仪器检测通量：单次检测≥96个样本，96个样本检测时间≤</w:t>
      </w:r>
      <w:r>
        <w:rPr>
          <w:rFonts w:hint="eastAsia" w:ascii="宋体" w:hAnsi="宋体" w:eastAsia="宋体" w:cs="宋体"/>
          <w:bCs/>
          <w:sz w:val="24"/>
          <w:szCs w:val="24"/>
          <w:lang w:val="en-US" w:eastAsia="zh-CN"/>
        </w:rPr>
        <w:t>20</w:t>
      </w:r>
      <w:r>
        <w:rPr>
          <w:rFonts w:hint="eastAsia" w:ascii="宋体" w:hAnsi="宋体" w:eastAsia="宋体" w:cs="宋体"/>
          <w:bCs/>
          <w:sz w:val="24"/>
          <w:szCs w:val="24"/>
          <w:lang w:eastAsia="zh-CN"/>
        </w:rPr>
        <w:t>min。</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 数据库：</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.1标配的数据库容量：菌属数量≥</w:t>
      </w:r>
      <w:r>
        <w:rPr>
          <w:rFonts w:hint="eastAsia" w:ascii="宋体" w:hAnsi="宋体" w:eastAsia="宋体" w:cs="宋体"/>
          <w:bCs/>
          <w:sz w:val="24"/>
          <w:szCs w:val="24"/>
          <w:lang w:val="en-US" w:eastAsia="zh-CN"/>
        </w:rPr>
        <w:t>950</w:t>
      </w:r>
      <w:r>
        <w:rPr>
          <w:rFonts w:hint="eastAsia" w:ascii="宋体" w:hAnsi="宋体" w:eastAsia="宋体" w:cs="宋体"/>
          <w:bCs/>
          <w:sz w:val="24"/>
          <w:szCs w:val="24"/>
          <w:lang w:eastAsia="zh-CN"/>
        </w:rPr>
        <w:t>个，菌种数量≥</w:t>
      </w:r>
      <w:r>
        <w:rPr>
          <w:rFonts w:hint="eastAsia" w:ascii="宋体" w:hAnsi="宋体" w:eastAsia="宋体" w:cs="宋体"/>
          <w:bCs/>
          <w:sz w:val="24"/>
          <w:szCs w:val="24"/>
          <w:lang w:val="en-US" w:eastAsia="zh-CN"/>
        </w:rPr>
        <w:t>50</w:t>
      </w:r>
      <w:r>
        <w:rPr>
          <w:rFonts w:hint="eastAsia" w:ascii="宋体" w:hAnsi="宋体" w:eastAsia="宋体" w:cs="宋体"/>
          <w:bCs/>
          <w:sz w:val="24"/>
          <w:szCs w:val="24"/>
          <w:lang w:eastAsia="zh-CN"/>
        </w:rPr>
        <w:t>00种（提供证明文件）。</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.2丝状真菌数据库：菌种数量≥</w:t>
      </w:r>
      <w:r>
        <w:rPr>
          <w:rFonts w:hint="eastAsia" w:ascii="宋体" w:hAnsi="宋体" w:eastAsia="宋体" w:cs="宋体"/>
          <w:bCs/>
          <w:sz w:val="24"/>
          <w:szCs w:val="24"/>
          <w:lang w:val="en-US" w:eastAsia="zh-CN"/>
        </w:rPr>
        <w:t>400</w:t>
      </w:r>
      <w:r>
        <w:rPr>
          <w:rFonts w:hint="eastAsia" w:ascii="宋体" w:hAnsi="宋体" w:eastAsia="宋体" w:cs="宋体"/>
          <w:bCs/>
          <w:sz w:val="24"/>
          <w:szCs w:val="24"/>
          <w:lang w:eastAsia="zh-CN"/>
        </w:rPr>
        <w:t>种，菌株数量≥</w:t>
      </w:r>
      <w:r>
        <w:rPr>
          <w:rFonts w:hint="eastAsia" w:ascii="宋体" w:hAnsi="宋体" w:eastAsia="宋体" w:cs="宋体"/>
          <w:bCs/>
          <w:sz w:val="24"/>
          <w:szCs w:val="24"/>
          <w:lang w:val="en-US" w:eastAsia="zh-CN"/>
        </w:rPr>
        <w:t>1900</w:t>
      </w:r>
      <w:r>
        <w:rPr>
          <w:rFonts w:hint="eastAsia" w:ascii="宋体" w:hAnsi="宋体" w:eastAsia="宋体" w:cs="宋体"/>
          <w:bCs/>
          <w:sz w:val="24"/>
          <w:szCs w:val="24"/>
          <w:lang w:eastAsia="zh-CN"/>
        </w:rPr>
        <w:t>株（提供证明文件）；</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3提供微生物数据云，用于查询菌种的形态学、药敏、基因序列等信息。（提供网址及网页截图）</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4.4</w:t>
      </w:r>
      <w:r>
        <w:rPr>
          <w:rFonts w:hint="eastAsia" w:ascii="宋体" w:hAnsi="宋体" w:eastAsia="宋体" w:cs="宋体"/>
          <w:bCs/>
          <w:sz w:val="24"/>
          <w:szCs w:val="24"/>
          <w:lang w:eastAsia="zh-CN"/>
        </w:rPr>
        <w:t>数据库可即时</w:t>
      </w:r>
      <w:r>
        <w:rPr>
          <w:rFonts w:hint="eastAsia" w:ascii="宋体" w:hAnsi="宋体" w:eastAsia="宋体" w:cs="宋体"/>
          <w:bCs/>
          <w:sz w:val="24"/>
          <w:szCs w:val="24"/>
          <w:lang w:val="en-US" w:eastAsia="zh-CN"/>
        </w:rPr>
        <w:t>免费</w:t>
      </w:r>
      <w:r>
        <w:rPr>
          <w:rFonts w:hint="eastAsia" w:ascii="宋体" w:hAnsi="宋体" w:eastAsia="宋体" w:cs="宋体"/>
          <w:bCs/>
          <w:sz w:val="24"/>
          <w:szCs w:val="24"/>
          <w:lang w:eastAsia="zh-CN"/>
        </w:rPr>
        <w:t>更新，</w:t>
      </w:r>
      <w:r>
        <w:rPr>
          <w:rFonts w:hint="eastAsia" w:ascii="宋体" w:hAnsi="宋体" w:eastAsia="宋体" w:cs="宋体"/>
          <w:bCs/>
          <w:sz w:val="24"/>
          <w:szCs w:val="24"/>
          <w:lang w:val="en-US" w:eastAsia="zh-CN"/>
        </w:rPr>
        <w:t>拓展</w:t>
      </w:r>
      <w:r>
        <w:rPr>
          <w:rFonts w:hint="eastAsia" w:ascii="宋体" w:hAnsi="宋体" w:eastAsia="宋体" w:cs="宋体"/>
          <w:bCs/>
          <w:sz w:val="24"/>
          <w:szCs w:val="24"/>
          <w:lang w:eastAsia="zh-CN"/>
        </w:rPr>
        <w:t>。</w:t>
      </w:r>
    </w:p>
    <w:p>
      <w:pPr>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4.5要求配备血液培养分析系统一套，大于330个孔位。</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.消耗品</w:t>
      </w:r>
      <w:r>
        <w:rPr>
          <w:rFonts w:hint="eastAsia" w:ascii="宋体" w:hAnsi="宋体" w:eastAsia="宋体" w:cs="宋体"/>
          <w:bCs/>
          <w:sz w:val="24"/>
          <w:szCs w:val="24"/>
          <w:lang w:eastAsia="zh-CN"/>
        </w:rPr>
        <w:tab/>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.1可提供质谱样本预处理试剂（包含基质及前处理试剂）。</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.2提供质谱鉴定校准品：该校准品取得</w:t>
      </w:r>
      <w:r>
        <w:rPr>
          <w:rFonts w:hint="eastAsia" w:ascii="宋体" w:hAnsi="宋体" w:eastAsia="宋体" w:cs="宋体"/>
          <w:bCs/>
          <w:sz w:val="24"/>
          <w:szCs w:val="24"/>
          <w:lang w:val="en-US" w:eastAsia="zh-CN"/>
        </w:rPr>
        <w:t>NMPA注册证</w:t>
      </w:r>
      <w:r>
        <w:rPr>
          <w:rFonts w:hint="eastAsia" w:ascii="宋体" w:hAnsi="宋体" w:eastAsia="宋体" w:cs="宋体"/>
          <w:bCs/>
          <w:sz w:val="24"/>
          <w:szCs w:val="24"/>
          <w:lang w:eastAsia="zh-CN"/>
        </w:rPr>
        <w:t>（提供证明文件）。</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.3可提供一次性分体式标本板或者可重复使用标本板，规格≥96孔；操作者可根据个人习惯选择任意孔为校准位点；有可扫描条码，满足可追溯性。</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.售后服务</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.1终身</w:t>
      </w:r>
      <w:r>
        <w:rPr>
          <w:rFonts w:hint="eastAsia" w:ascii="宋体" w:hAnsi="宋体" w:cs="宋体"/>
          <w:bCs/>
          <w:sz w:val="24"/>
          <w:szCs w:val="24"/>
          <w:lang w:val="en-US" w:eastAsia="zh-CN"/>
        </w:rPr>
        <w:t>免费</w:t>
      </w:r>
      <w:r>
        <w:rPr>
          <w:rFonts w:hint="eastAsia" w:ascii="宋体" w:hAnsi="宋体" w:eastAsia="宋体" w:cs="宋体"/>
          <w:bCs/>
          <w:sz w:val="24"/>
          <w:szCs w:val="24"/>
          <w:lang w:eastAsia="zh-CN"/>
        </w:rPr>
        <w:t>维修</w:t>
      </w:r>
      <w:r>
        <w:rPr>
          <w:rFonts w:hint="eastAsia" w:ascii="宋体" w:hAnsi="宋体" w:cs="宋体"/>
          <w:bCs/>
          <w:sz w:val="24"/>
          <w:szCs w:val="24"/>
          <w:lang w:val="en-US" w:eastAsia="zh-CN"/>
        </w:rPr>
        <w:t>免费</w:t>
      </w:r>
      <w:r>
        <w:rPr>
          <w:rFonts w:hint="eastAsia" w:ascii="宋体" w:hAnsi="宋体" w:eastAsia="宋体" w:cs="宋体"/>
          <w:bCs/>
          <w:sz w:val="24"/>
          <w:szCs w:val="24"/>
          <w:lang w:val="en-US" w:eastAsia="zh-CN"/>
        </w:rPr>
        <w:t>保养</w:t>
      </w:r>
      <w:r>
        <w:rPr>
          <w:rFonts w:hint="eastAsia" w:ascii="宋体" w:hAnsi="宋体" w:eastAsia="宋体" w:cs="宋体"/>
          <w:bCs/>
          <w:sz w:val="24"/>
          <w:szCs w:val="24"/>
          <w:lang w:eastAsia="zh-CN"/>
        </w:rPr>
        <w:t>,软件免费升级；使用期内每半年免费保养、巡检一次，并确保备品备件的正常供应。</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.2设备安装、调试和验收：厂家需提前向用户提供详细的安装需求确认书；仪器到达用户所在地，在接到用户通知后的一周内进行安装、调试，直到通过验收。</w:t>
      </w:r>
    </w:p>
    <w:p>
      <w:pPr>
        <w:numPr>
          <w:ilvl w:val="0"/>
          <w:numId w:val="0"/>
        </w:num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.3技术培训： “一对一”技术指导，免费提供售前、售中、售后培训服务，培训内容包括仪器的技术原理、检测步骤、软件操作、数据处理、维护保养等。</w:t>
      </w:r>
    </w:p>
    <w:p>
      <w:pPr>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4售后团队：当地要求有不少于10人的厂家直接服务售后团队（需</w:t>
      </w:r>
      <w:r>
        <w:rPr>
          <w:rFonts w:hint="eastAsia" w:ascii="宋体" w:hAnsi="宋体" w:cs="宋体"/>
          <w:bCs/>
          <w:sz w:val="24"/>
          <w:szCs w:val="24"/>
          <w:lang w:val="en-US" w:eastAsia="zh-CN"/>
        </w:rPr>
        <w:t>提供</w:t>
      </w:r>
      <w:r>
        <w:rPr>
          <w:rFonts w:hint="eastAsia" w:ascii="宋体" w:hAnsi="宋体" w:eastAsia="宋体" w:cs="宋体"/>
          <w:bCs/>
          <w:sz w:val="24"/>
          <w:szCs w:val="24"/>
          <w:lang w:val="en-US" w:eastAsia="zh-CN"/>
        </w:rPr>
        <w:t>工程师近半年的疆内社保证明），确保售后质量，要求2小时内响应，24小时内到达现场给予解决方案。</w:t>
      </w:r>
    </w:p>
    <w:p>
      <w:pPr>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6.5仪器占有率：新疆二级以上装机客户≥6家，使用情况良好，提供名单。</w:t>
      </w:r>
    </w:p>
    <w:p>
      <w:pPr>
        <w:keepNext w:val="0"/>
        <w:keepLines w:val="0"/>
        <w:pageBreakBefore w:val="0"/>
        <w:widowControl w:val="0"/>
        <w:tabs>
          <w:tab w:val="left" w:pos="240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指定配置</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技</w:t>
      </w:r>
      <w:r>
        <w:rPr>
          <w:rFonts w:hint="eastAsia" w:ascii="宋体" w:hAnsi="宋体" w:eastAsia="宋体" w:cs="宋体"/>
          <w:bCs/>
          <w:sz w:val="24"/>
          <w:szCs w:val="24"/>
          <w:lang w:val="en-US" w:eastAsia="zh-CN"/>
        </w:rPr>
        <w:t>术资料：包括中文操作手册、维修手册。提供全套中文报告及打印（机）系统。</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校准品：需提供校准品定值溯源性文件。</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每年不得少于1次校准（包括校准品6年内免费）。可根据需求增加校准次数。并出具书面校准报告。</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 配套试剂，耗材供给时等于或低于其他同类试剂、耗材中标价。</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 操作系统定期免费升级。</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 通讯模式：单向、双向和智能双向，连接医院LIS和HIS管理系统。</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7.配备一台荧光显微镜和一台小型台式离心机。</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四、售后服务</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  如有疑问及时答疑，故障时24小时到场。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终身免费对设备进行保质保修维护。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培训检验工作人员到完全掌握并独立操作。</w:t>
      </w:r>
    </w:p>
    <w:p>
      <w:pPr>
        <w:spacing w:line="360" w:lineRule="auto"/>
        <w:jc w:val="center"/>
        <w:outlineLvl w:val="0"/>
        <w:rPr>
          <w:rFonts w:hint="eastAsia" w:ascii="宋体" w:hAnsi="宋体" w:eastAsia="宋体" w:cs="宋体"/>
          <w:b/>
          <w:sz w:val="24"/>
          <w:szCs w:val="24"/>
        </w:rPr>
      </w:pPr>
    </w:p>
    <w:p>
      <w:pPr>
        <w:spacing w:line="360" w:lineRule="auto"/>
        <w:jc w:val="center"/>
        <w:outlineLvl w:val="0"/>
        <w:rPr>
          <w:rFonts w:hint="eastAsia" w:ascii="宋体" w:hAnsi="宋体" w:eastAsia="宋体" w:cs="宋体"/>
          <w:b/>
          <w:sz w:val="24"/>
          <w:szCs w:val="24"/>
        </w:rPr>
      </w:pPr>
    </w:p>
    <w:p>
      <w:pPr>
        <w:spacing w:line="360" w:lineRule="auto"/>
        <w:jc w:val="center"/>
        <w:outlineLvl w:val="0"/>
        <w:rPr>
          <w:rFonts w:hint="eastAsia" w:ascii="宋体" w:hAnsi="宋体" w:eastAsia="宋体" w:cs="宋体"/>
          <w:b/>
          <w:sz w:val="24"/>
          <w:szCs w:val="24"/>
        </w:rPr>
      </w:pPr>
    </w:p>
    <w:p>
      <w:pPr>
        <w:spacing w:line="360" w:lineRule="auto"/>
        <w:jc w:val="center"/>
        <w:outlineLvl w:val="0"/>
        <w:rPr>
          <w:rFonts w:hint="eastAsia" w:ascii="宋体" w:hAnsi="宋体" w:eastAsia="宋体" w:cs="宋体"/>
          <w:b/>
          <w:sz w:val="24"/>
          <w:szCs w:val="24"/>
        </w:rPr>
      </w:pPr>
    </w:p>
    <w:p>
      <w:pPr>
        <w:spacing w:line="360" w:lineRule="auto"/>
        <w:jc w:val="center"/>
        <w:outlineLvl w:val="0"/>
        <w:rPr>
          <w:rFonts w:hint="eastAsia" w:ascii="宋体" w:hAnsi="宋体" w:eastAsia="宋体" w:cs="宋体"/>
          <w:b/>
          <w:sz w:val="24"/>
          <w:szCs w:val="24"/>
        </w:rPr>
      </w:pPr>
    </w:p>
    <w:p>
      <w:pPr>
        <w:spacing w:line="360" w:lineRule="auto"/>
        <w:jc w:val="center"/>
        <w:outlineLvl w:val="0"/>
        <w:rPr>
          <w:rFonts w:hint="eastAsia" w:ascii="宋体" w:hAnsi="宋体" w:eastAsia="宋体" w:cs="宋体"/>
          <w:b/>
          <w:sz w:val="24"/>
          <w:szCs w:val="24"/>
        </w:rPr>
      </w:pPr>
    </w:p>
    <w:p>
      <w:pPr>
        <w:pStyle w:val="24"/>
        <w:rPr>
          <w:rFonts w:hint="eastAsia" w:ascii="宋体" w:hAnsi="宋体" w:eastAsia="宋体" w:cs="宋体"/>
          <w:b/>
          <w:sz w:val="24"/>
          <w:szCs w:val="24"/>
        </w:rPr>
      </w:pPr>
    </w:p>
    <w:p>
      <w:pPr>
        <w:spacing w:line="360" w:lineRule="auto"/>
        <w:jc w:val="both"/>
        <w:outlineLvl w:val="0"/>
        <w:rPr>
          <w:rFonts w:hint="eastAsia" w:ascii="宋体" w:hAnsi="宋体" w:eastAsia="宋体" w:cs="宋体"/>
          <w:b/>
          <w:sz w:val="24"/>
          <w:szCs w:val="24"/>
        </w:rPr>
      </w:pPr>
    </w:p>
    <w:p>
      <w:pPr>
        <w:pStyle w:val="24"/>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red"/>
          <w:lang w:val="en-US" w:eastAsia="zh-CN"/>
        </w:rPr>
        <w:t>（二标段招标参数）</w:t>
      </w:r>
      <w:r>
        <w:rPr>
          <w:rFonts w:hint="eastAsia" w:ascii="宋体" w:hAnsi="宋体" w:eastAsia="宋体" w:cs="宋体"/>
          <w:b/>
          <w:color w:val="auto"/>
          <w:sz w:val="24"/>
          <w:szCs w:val="24"/>
          <w:highlight w:val="none"/>
          <w:lang w:val="en-US" w:eastAsia="zh-CN"/>
        </w:rPr>
        <w:t>特种蛋白分析仪</w:t>
      </w:r>
    </w:p>
    <w:p>
      <w:pPr>
        <w:pStyle w:val="68"/>
        <w:numPr>
          <w:ilvl w:val="0"/>
          <w:numId w:val="9"/>
        </w:numPr>
        <w:spacing w:line="360" w:lineRule="auto"/>
        <w:ind w:firstLineChars="0"/>
        <w:jc w:val="lef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设备名称：全自动特种蛋白分析仪一套（国产）</w:t>
      </w:r>
    </w:p>
    <w:p>
      <w:pPr>
        <w:pStyle w:val="68"/>
        <w:numPr>
          <w:ilvl w:val="0"/>
          <w:numId w:val="9"/>
        </w:numPr>
        <w:spacing w:line="360" w:lineRule="auto"/>
        <w:ind w:firstLineChars="0"/>
        <w:jc w:val="left"/>
        <w:rPr>
          <w:rFonts w:hint="eastAsia" w:ascii="宋体" w:hAnsi="宋体" w:eastAsia="宋体" w:cs="宋体"/>
          <w:b/>
          <w:sz w:val="24"/>
          <w:szCs w:val="24"/>
        </w:rPr>
      </w:pPr>
      <w:r>
        <w:rPr>
          <w:rFonts w:hint="eastAsia" w:ascii="宋体" w:hAnsi="宋体" w:eastAsia="宋体" w:cs="宋体"/>
          <w:b/>
          <w:bCs w:val="0"/>
          <w:sz w:val="24"/>
          <w:szCs w:val="24"/>
          <w:lang w:val="en-US"/>
        </w:rPr>
        <w:t xml:space="preserve"> </w:t>
      </w:r>
      <w:r>
        <w:rPr>
          <w:rFonts w:hint="eastAsia" w:ascii="宋体" w:hAnsi="宋体" w:eastAsia="宋体" w:cs="宋体"/>
          <w:b/>
          <w:bCs w:val="0"/>
          <w:sz w:val="24"/>
          <w:szCs w:val="24"/>
          <w:lang w:val="en-US" w:eastAsia="zh-CN"/>
        </w:rPr>
        <w:t>主要技术参数：</w:t>
      </w:r>
    </w:p>
    <w:tbl>
      <w:tblPr>
        <w:tblStyle w:val="27"/>
        <w:tblW w:w="8962"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7"/>
        <w:gridCol w:w="6276"/>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1.光源</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670nm红色激光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2.测试速度</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200T/小时，bCRP与SAA两项联检速度100样本/小时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3.环境温度</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77" w:type="dxa"/>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4.工作电源</w:t>
            </w:r>
          </w:p>
        </w:tc>
        <w:tc>
          <w:tcPr>
            <w:tcW w:w="6985"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额定电压220V～，额定频率50Hz，输入功率320VA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5.重复性：对同一样品重复测量时变异系数不超过2%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6.准确度：在规定的测量范围内相对误差不超过±5%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7.稳定性：在30分钟内的读值波动不超过满量程值的±1.5%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8.零点漂移：在30分钟内的读值波动不超过满量程值的±1.5%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9.温度准确度与波动度：温度值在设定值的±0.3℃内，波动度不超过±0.2℃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10.样品携带污染率不超过0.5%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11.加样准确度与重复性：加样准确度误差不超过±5%，变异系数不超过2%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12.采用先进的免疫散射比浊法，结果准确可靠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13.可与市场上常见血细胞分析仪、尿液流水线轨道联机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14全中文操作界面，智能化信息管理系统，操作简便快捷，定标、质控、样本测试智能化管理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15.外接RS232、USB接口，支持LIS双向连接，足够的数据存储空间，支持外置条形码扫描枪、打印机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16.智能云平台软件可实时监测仪器运行状态、实时在线远程质控管理等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17.配套试剂特异性及灵敏度强，可避免非特异性反应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18.样本类型：全血、血清、血浆、预稀释血、尿液等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19.原始管直接上机，轨道式进样，自动全血混匀，自动穿刺取血，自动条码扫描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20.可自动搅拌，自动温控，高值样本自动稀释重测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21.可自主定标，符合ISO15189质量控制要求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可检测全程全血C反应蛋白(hsCRP+常规CRP)、血清淀粉样蛋白A(SAA)、糖化血红蛋白22.(HbA1c)、尿微量白蛋白(mALB)、铜蓝蛋白、抗环瓜氨酸肽（CCP）抗体等40余个项目，可自主设置参考范围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23.微量末梢血，CRP+SAA两个项目用血量仅13微升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24.全血样本HCT自动校准，全血与血清样本结果无差异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25.可开展免疫类、心血管病类、急性时相反应类、肾病类、糖尿病类项目组合测试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26.装载50个反应杯，每个反应杯经自动清洗后可重复使用，空白率过高提示更换反应杯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27.加样针具有液面探测功能、堵针提示功能，机械臂、加样针防撞功能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28.30个试剂位，试剂类型自动识别，实时提醒试剂状态，试剂盘带有不间断冷藏功能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29.bCRP、SAA等项目在国家卫健委室间质评中有单独分组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9" w:type="dxa"/>
          <w:trHeight w:val="70" w:hRule="atLeast"/>
        </w:trPr>
        <w:tc>
          <w:tcPr>
            <w:tcW w:w="8253" w:type="dxa"/>
            <w:gridSpan w:val="2"/>
            <w:vAlign w:val="center"/>
          </w:tcPr>
          <w:p>
            <w:pPr>
              <w:keepNext w:val="0"/>
              <w:keepLines w:val="0"/>
              <w:numPr>
                <w:ilvl w:val="0"/>
                <w:numId w:val="0"/>
              </w:numPr>
              <w:suppressLineNumbers w:val="0"/>
              <w:spacing w:before="0" w:beforeAutospacing="0" w:after="0" w:afterAutospacing="0" w:line="360" w:lineRule="auto"/>
              <w:ind w:left="279" w:leftChars="133" w:right="0"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30.全国多地设有厂家专业售后服务网点</w:t>
            </w:r>
          </w:p>
        </w:tc>
      </w:tr>
    </w:tbl>
    <w:p>
      <w:pPr>
        <w:numPr>
          <w:ilvl w:val="0"/>
          <w:numId w:val="0"/>
        </w:numPr>
        <w:spacing w:line="360" w:lineRule="auto"/>
        <w:ind w:left="279" w:leftChars="133" w:firstLine="0" w:firstLineChars="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31. 有ISO13485：2003及ISO9001：2000质量体系认证，产品获CE认证</w:t>
      </w:r>
    </w:p>
    <w:p>
      <w:pPr>
        <w:keepNext w:val="0"/>
        <w:keepLines w:val="0"/>
        <w:pageBreakBefore w:val="0"/>
        <w:widowControl w:val="0"/>
        <w:tabs>
          <w:tab w:val="left" w:pos="240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指定配置</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技</w:t>
      </w:r>
      <w:r>
        <w:rPr>
          <w:rFonts w:hint="eastAsia" w:ascii="宋体" w:hAnsi="宋体" w:eastAsia="宋体" w:cs="宋体"/>
          <w:bCs/>
          <w:sz w:val="24"/>
          <w:szCs w:val="24"/>
          <w:lang w:val="en-US" w:eastAsia="zh-CN"/>
        </w:rPr>
        <w:t>术资料：包括中文操作手册、维修手册。提供全套中文报告及打印（机）系统。</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校准品：需提供校准品定值溯源性文件。</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每年不得少于1次校准（包括校准品终身免费）。可根据需求增加校准次数。并出具书面校准报告。</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 配套试剂，耗材供给时等于或低于其他同类试剂、耗材中标价。</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 操作系统定期免费升级。</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 通讯模式：单向、双向和智能双向，连接医院LIS和HIS管理系统。</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四、售后服务</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  如有疑问及时答疑，故障时24小时到场。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终身免费对设备进行保质保修维护。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培训检验工作人员到完全掌握并独立操作。</w:t>
      </w:r>
    </w:p>
    <w:p>
      <w:pPr>
        <w:spacing w:line="360" w:lineRule="auto"/>
        <w:rPr>
          <w:rFonts w:hint="eastAsia" w:ascii="宋体" w:hAnsi="宋体" w:eastAsia="宋体" w:cs="宋体"/>
          <w:sz w:val="24"/>
          <w:szCs w:val="24"/>
          <w:lang w:val="en-US" w:eastAsia="zh-CN"/>
        </w:rPr>
      </w:pPr>
    </w:p>
    <w:p>
      <w:pPr>
        <w:pStyle w:val="24"/>
        <w:rPr>
          <w:rFonts w:hint="eastAsia"/>
          <w:lang w:val="en-US" w:eastAsia="zh-CN"/>
        </w:rPr>
      </w:pPr>
    </w:p>
    <w:p>
      <w:pPr>
        <w:pStyle w:val="24"/>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red"/>
          <w:lang w:val="en-US" w:eastAsia="zh-CN"/>
        </w:rPr>
        <w:t>（三标段招标参数）</w:t>
      </w:r>
      <w:r>
        <w:rPr>
          <w:rFonts w:hint="eastAsia" w:ascii="宋体" w:hAnsi="宋体" w:eastAsia="宋体" w:cs="宋体"/>
          <w:b/>
          <w:color w:val="auto"/>
          <w:sz w:val="24"/>
          <w:szCs w:val="24"/>
          <w:highlight w:val="none"/>
          <w:lang w:val="en-US" w:eastAsia="zh-CN"/>
        </w:rPr>
        <w:t>全自动洗板机技术参数</w:t>
      </w:r>
    </w:p>
    <w:p>
      <w:pPr>
        <w:pStyle w:val="68"/>
        <w:numPr>
          <w:ilvl w:val="0"/>
          <w:numId w:val="0"/>
        </w:numPr>
        <w:spacing w:line="360" w:lineRule="auto"/>
        <w:ind w:leftChars="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一、设备名称：全自动洗板机两台（国产）</w:t>
      </w:r>
    </w:p>
    <w:p>
      <w:pPr>
        <w:pStyle w:val="68"/>
        <w:numPr>
          <w:ilvl w:val="0"/>
          <w:numId w:val="0"/>
        </w:numPr>
        <w:spacing w:line="360" w:lineRule="auto"/>
        <w:ind w:leftChars="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二、主要技术参数：</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1.洗板机类型：全自动立式离心洗板机；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2.操作方式：8寸以上触摸屏操作；</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3.残液量：≤0.5μL；</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4.洗板仓位：≥4个，可一次性处理四块酶标板，清洗效率极高；</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5.清洗头：96针清洗头（8*12），可选择板洗、行洗、或跳行冲洗，清洗行数可由用户调节。</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6.酶标板清洗条数可调：1~8条可调；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7.清洗次数：可调；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8.清洗时间：可调；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9.浸泡时间：可调；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10.脱水时间：可调；</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11.自动休眠时间：可调，开机后仪器在设定时间内未被使用时，将自动清洗管路后进入休眠状态。</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12.清洗通道：洗液通道3个，清洁通道1个，废液通道1个；3种洗液可自由切换。</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13.自动清洗功能：开机和关机自动对管路进行清洗维护；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14.脱水运行中开盖自动停止功能，开盖紧急停止；高速运行过程中有安全提示功能。</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15液位报警：洗液瓶空，去离子水瓶空或废液桶满，均会发生报警提示。</w:t>
      </w:r>
    </w:p>
    <w:p>
      <w:pPr>
        <w:keepNext w:val="0"/>
        <w:keepLines w:val="0"/>
        <w:pageBreakBefore w:val="0"/>
        <w:widowControl w:val="0"/>
        <w:tabs>
          <w:tab w:val="left" w:pos="240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指定配置</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技</w:t>
      </w:r>
      <w:r>
        <w:rPr>
          <w:rFonts w:hint="eastAsia" w:ascii="宋体" w:hAnsi="宋体" w:eastAsia="宋体" w:cs="宋体"/>
          <w:bCs/>
          <w:sz w:val="24"/>
          <w:szCs w:val="24"/>
          <w:lang w:val="en-US" w:eastAsia="zh-CN"/>
        </w:rPr>
        <w:t>术资料：包括中文操作手册、维修手册。提供全套中文报告及打印（机）系统。</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校准品：需提供校准品定值溯源性文件。</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每年不得少于1次校准（包括校准品终身免费）。可根据需求增加校准次数。并出具书面校准报告。</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 配套试剂，耗材供给时等于或低于其他同类试剂、耗材中标价。</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 操作系统定期免费升级。</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 通讯模式：单向、双向和智能双向，连接医院LIS和HIS管理系统。</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四、售后服务</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  如有疑问及时答疑，故障时24小时到场。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终身免费对设备进行保质保修维护。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培训检验工作人员到完全掌握并独立操作。</w:t>
      </w:r>
    </w:p>
    <w:p>
      <w:pPr>
        <w:spacing w:line="360" w:lineRule="auto"/>
        <w:rPr>
          <w:rFonts w:hint="eastAsia" w:ascii="宋体" w:hAnsi="宋体" w:eastAsia="宋体" w:cs="宋体"/>
          <w:sz w:val="24"/>
          <w:szCs w:val="24"/>
          <w:lang w:val="en-US" w:eastAsia="zh-CN"/>
        </w:rPr>
      </w:pPr>
    </w:p>
    <w:p>
      <w:pPr>
        <w:pStyle w:val="24"/>
        <w:spacing w:line="360" w:lineRule="auto"/>
        <w:jc w:val="center"/>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red"/>
          <w:lang w:val="en-US" w:eastAsia="zh-CN"/>
        </w:rPr>
        <w:t>（四标段招标参数）</w:t>
      </w:r>
      <w:r>
        <w:rPr>
          <w:rFonts w:hint="eastAsia" w:ascii="宋体" w:hAnsi="宋体" w:eastAsia="宋体" w:cs="宋体"/>
          <w:b/>
          <w:color w:val="auto"/>
          <w:sz w:val="24"/>
          <w:szCs w:val="24"/>
          <w:highlight w:val="none"/>
          <w:lang w:val="en-US" w:eastAsia="zh-CN"/>
        </w:rPr>
        <w:t>检验用纯水机</w:t>
      </w:r>
    </w:p>
    <w:p>
      <w:pPr>
        <w:pStyle w:val="68"/>
        <w:numPr>
          <w:ilvl w:val="0"/>
          <w:numId w:val="0"/>
        </w:numPr>
        <w:spacing w:line="360" w:lineRule="auto"/>
        <w:ind w:leftChars="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一、设备名称：检验用纯水机一套（国产）</w:t>
      </w:r>
    </w:p>
    <w:p>
      <w:pPr>
        <w:pStyle w:val="68"/>
        <w:numPr>
          <w:ilvl w:val="0"/>
          <w:numId w:val="0"/>
        </w:numPr>
        <w:spacing w:line="360" w:lineRule="auto"/>
        <w:ind w:leftChars="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二、主要技术参数：</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1.产水流量：产水量≥800L/H（25℃室温），系统回收率≧80% 。</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必须提供融合最新科技、稳定、经济、智能化的检验用纯水设备，必须提供投标设备的彩页、配置及参数说明。投标人应根据招标技术参数和各项功能要求给予响应。产生的纯水水质必须能够满足实验用水要求。</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3.产水水质：水质满足临床实验室：直径 0.22μm以上的微粒数量＜ 1个（不可检出） PH:5-7，离子去除率：≥99%；水质优于 GB6682—2008《国检实验室分析用水标准》国家实验室I 级用水水质要求。  电导率(μs/cm.25℃)：≤0.1 ； 比电阻(MΩ.cm. 25℃)：≥10 ；吸光度(254nm，1cm光程)：≤0.001；可溶性硅[以(SIo2]计，mg/L：＜0.01。</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4.主要工艺及系统设计：采用双级反渗透工艺，全循环恒压供水方式，在一级和二级膜之间以及二级膜之后无任何储水装置，避免细菌滋生。膜采用进口品牌，膜壳采用 304不锈钢外壳。纯水机具有反渗透膜组件的自动冲洗系统，可对反渗透内部进行清洗、维护，并提供“纯水机中纯水循环处理系统”和“纯水机中反渗透膜组件的冲洗系统”专业技术证书复印件。工艺采用：原水系统+304材质三级预处理（石英砂过滤器+活性炭过滤器+全自动软化器）+双级反渗透系统+ EDI（连续电除盐技术）+PLC 智能控制+恒压供水系统+化学消毒，一体式组合机架式设计，系统占地面积≤10</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；主机一、二级可同时或单独供水，运行压力 0.2-0.3Mpa。</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5.供水水源：城市自来水，给水压力 0.2MPa-0.3MPa，进水 TDS≤1000ppm。</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6.供电电源：电源AC380±10%，控制电路电压为 AC220V 。</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系统运行模式及故障报警：采用智能PLC系统控制+10寸触摸屏。系统具备缺水/低压保护、运行超压保护、原水缺水系统停机，纯水箱满水停机/缺水启动，水泵电机热过载保护，线路过流保护，漏电保护等功能，有无水保护、压力保护、电导超标等多种安全报警装置和监测数显功能，电导率监测数值在线显示，纯水机具有检测纯水机生成纯水电导率时定位电导仪的电导槽，能够使水质检测精确，水质显示直观， 能够及时发现水质的变化（供应商应提供“检测纯水机生成纯水电导率时定位电导仪的电导槽” 专业技术证书复印件提供此装置国家部门出具的有效证明文件复印件）。</w:t>
      </w:r>
    </w:p>
    <w:p>
      <w:pPr>
        <w:numPr>
          <w:ilvl w:val="0"/>
          <w:numId w:val="0"/>
        </w:numPr>
        <w:spacing w:line="360" w:lineRule="auto"/>
        <w:ind w:left="279" w:leftChars="133"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8.自动维护保养：预处理系统自动正洗、反洗、吸盐、补水运行，全自动运行</w:t>
      </w:r>
      <w:r>
        <w:rPr>
          <w:rFonts w:hint="eastAsia" w:ascii="宋体" w:hAnsi="宋体" w:eastAsia="宋体" w:cs="宋体"/>
          <w:bCs/>
          <w:kern w:val="2"/>
          <w:sz w:val="24"/>
          <w:szCs w:val="24"/>
          <w:lang w:val="en-US" w:eastAsia="zh-CN" w:bidi="ar-SA"/>
        </w:rPr>
        <w:t>。反渗透具有RO 膜防垢保护功能，反渗透自动在线冲洗、自动产水并且有显示屏提示。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9.运行控制：主机 PLC 电气控制；具有操作系统的故障识别和电压安全过载保护、自动保护和报警功能，局部出现问题，系统自动停机，所投设备厂家应提供国家部门出具的有关“纯水机的电气控制系统”类专业技术证书复印件。相关设备通过液位联锁实现自动运行，具备自动制水、自动冲洗、</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原水缺水/水箱满水自动停机等功能；系统运行可靠，供水管路封闭，出水水质稳定，操作方便。</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10.预处理系统：预处理系统（石英砂过滤器、活性炭过滤器、软水器）均配备多功能自动控制阀头可实现自动运行—反洗—正洗功能为全自动运行，最高压力 6BAR。预处理系统末端采用 20 寸 3 芯 5um</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保安过滤器防止预处理杂质进入反渗透系统，预处理罐体、过滤器外壳均采用 304不锈钢材质。</w:t>
      </w:r>
    </w:p>
    <w:p>
      <w:pPr>
        <w:numPr>
          <w:ilvl w:val="0"/>
          <w:numId w:val="1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水泵：知名品牌水泵，包括系统预处理原水泵，一、二级高压水泵，EDI 增压泵，纯水输送水泵。</w:t>
      </w:r>
    </w:p>
    <w:p>
      <w:pPr>
        <w:numPr>
          <w:ilvl w:val="0"/>
          <w:numId w:val="1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反渗透系统：进口知名品牌反渗透低压膜 ，采用配套的 304 不锈钢材质膜壳。</w:t>
      </w:r>
    </w:p>
    <w:p>
      <w:pPr>
        <w:pStyle w:val="76"/>
        <w:numPr>
          <w:ilvl w:val="0"/>
          <w:numId w:val="10"/>
        </w:numPr>
        <w:spacing w:before="8" w:line="360" w:lineRule="auto"/>
        <w:ind w:left="279" w:leftChars="133" w:right="95"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
          <w:bCs w:val="0"/>
          <w:kern w:val="2"/>
          <w:sz w:val="24"/>
          <w:szCs w:val="24"/>
          <w:lang w:val="en-US" w:eastAsia="zh-CN" w:bidi="ar-SA"/>
        </w:rPr>
        <w:t>EDI 系统：配备进口品牌 EDI 堆膜系统一套</w:t>
      </w:r>
      <w:r>
        <w:rPr>
          <w:rFonts w:hint="eastAsia" w:ascii="宋体" w:hAnsi="宋体" w:eastAsia="宋体" w:cs="宋体"/>
          <w:bCs/>
          <w:kern w:val="2"/>
          <w:sz w:val="24"/>
          <w:szCs w:val="24"/>
          <w:lang w:val="en-US" w:eastAsia="zh-CN" w:bidi="ar-SA"/>
        </w:rPr>
        <w:t>，采用连续电除盐技术，通过阳、阴离子膜对阳、阴离子的选择透过作用以及离子交换树脂对水中离子的交换作用，在电场的作用下实现水中离子的定向迁移，从而达到水的深度净化除盐，可连续制取高品质超纯水，出水水质稳定；EDI堆膜装置进水前，采用快速拆卸和更换的筒式精密过滤器，内部装有 10寸 0.2μm滤芯，截留产品水存放产生的残留物质，避免粉尘和颗粒物质进入EDI堆膜，有效控制直径 0.22μm以上的微粒数量。</w:t>
      </w:r>
    </w:p>
    <w:p>
      <w:pPr>
        <w:pStyle w:val="76"/>
        <w:numPr>
          <w:ilvl w:val="0"/>
          <w:numId w:val="10"/>
        </w:numPr>
        <w:spacing w:before="8" w:line="360" w:lineRule="auto"/>
        <w:ind w:left="279" w:leftChars="133" w:right="95"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消毒模式：主机部分采用全自动化学消毒（0.5%过氧乙酸）功能，一键式清洗消毒，无需人员值守，实时监测并在线显示消毒工作状态和时间，对一、二级反渗膜和制水管路整套系统自动消毒。制水系统管道采用全自动化学消毒，实时监测并在线显示消毒工作状态和时间，对制水系统的整套疏水管道系统定期自动消毒。</w:t>
      </w:r>
    </w:p>
    <w:p>
      <w:pPr>
        <w:pStyle w:val="76"/>
        <w:numPr>
          <w:ilvl w:val="0"/>
          <w:numId w:val="10"/>
        </w:numPr>
        <w:spacing w:before="8" w:line="360" w:lineRule="auto"/>
        <w:ind w:left="279" w:leftChars="133" w:right="95"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紫外线杀菌系统：终端输水装置配备紫外线杀菌器，杀菌器外壳采用 316 不锈钢材质，成品水通过紫外线杀菌器后进入终端用水点，降低微生物总数，控制菌落总数。</w:t>
      </w:r>
    </w:p>
    <w:p>
      <w:pPr>
        <w:pStyle w:val="76"/>
        <w:numPr>
          <w:ilvl w:val="0"/>
          <w:numId w:val="10"/>
        </w:numPr>
        <w:spacing w:before="8" w:line="360" w:lineRule="auto"/>
        <w:ind w:left="279" w:leftChars="133" w:right="95"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设备外观：主机组合式机 304不锈钢机架设计，主机系统连接管路采用 UPVC不锈钢材质，安装节省空间。</w:t>
      </w:r>
    </w:p>
    <w:p>
      <w:pPr>
        <w:pStyle w:val="76"/>
        <w:numPr>
          <w:ilvl w:val="0"/>
          <w:numId w:val="10"/>
        </w:numPr>
        <w:spacing w:before="8" w:line="360" w:lineRule="auto"/>
        <w:ind w:left="279" w:leftChars="133" w:right="95"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生产企业质量认证：供应商投标设备生产单位必须通过ISO9001：2008 质量管理体系认证和欧盟CE 产品质量体系认证。</w:t>
      </w:r>
    </w:p>
    <w:p>
      <w:pPr>
        <w:pStyle w:val="76"/>
        <w:numPr>
          <w:ilvl w:val="0"/>
          <w:numId w:val="10"/>
        </w:numPr>
        <w:spacing w:before="8" w:line="360" w:lineRule="auto"/>
        <w:ind w:left="279" w:leftChars="133" w:right="95"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纯水系统兼容要求：纯水机产水流量应保证目前科室内所涉及的管路用水流量要求，应与科室所涉及管路配套，与目前科室内所涉及的其他水处理设备兼容，自行勘察现场。</w:t>
      </w:r>
    </w:p>
    <w:p>
      <w:pPr>
        <w:pStyle w:val="76"/>
        <w:spacing w:line="360" w:lineRule="auto"/>
        <w:rPr>
          <w:rFonts w:hint="eastAsia" w:ascii="宋体" w:hAnsi="宋体" w:eastAsia="宋体" w:cs="宋体"/>
          <w:bCs/>
          <w:kern w:val="2"/>
          <w:sz w:val="24"/>
          <w:szCs w:val="24"/>
          <w:lang w:val="en-US" w:eastAsia="zh-CN" w:bidi="ar-SA"/>
        </w:rPr>
      </w:pPr>
    </w:p>
    <w:p>
      <w:pPr>
        <w:keepNext w:val="0"/>
        <w:keepLines w:val="0"/>
        <w:pageBreakBefore w:val="0"/>
        <w:widowControl w:val="0"/>
        <w:tabs>
          <w:tab w:val="left" w:pos="240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指定配置</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技</w:t>
      </w:r>
      <w:r>
        <w:rPr>
          <w:rFonts w:hint="eastAsia" w:ascii="宋体" w:hAnsi="宋体" w:eastAsia="宋体" w:cs="宋体"/>
          <w:bCs/>
          <w:sz w:val="24"/>
          <w:szCs w:val="24"/>
          <w:lang w:val="en-US" w:eastAsia="zh-CN"/>
        </w:rPr>
        <w:t>术资料：包括中文操作手册、维修手册等。</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每年不得少于1次校准（包括校准品终身免费）。可根据需求增加校准次数。并出具书面校准报告。</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配套耗材供给时等于或低于其他同类耗材中标价。</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 操作系统定期免费升级。</w:t>
      </w:r>
    </w:p>
    <w:p>
      <w:pPr>
        <w:numPr>
          <w:ilvl w:val="0"/>
          <w:numId w:val="0"/>
        </w:numPr>
        <w:spacing w:line="360" w:lineRule="auto"/>
        <w:ind w:left="279" w:leftChars="133" w:firstLine="0"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四、售后服务</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  如有疑问及时答疑，故障时24小时到场。</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  三年免费对设备进行保质保修，终身维修维护。</w:t>
      </w:r>
    </w:p>
    <w:p>
      <w:pPr>
        <w:numPr>
          <w:ilvl w:val="0"/>
          <w:numId w:val="0"/>
        </w:numPr>
        <w:spacing w:line="360" w:lineRule="auto"/>
        <w:ind w:left="279" w:leftChars="133"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  培训检验工作人员到完全掌握并独立操作。</w:t>
      </w:r>
    </w:p>
    <w:p>
      <w:pPr>
        <w:pStyle w:val="24"/>
        <w:spacing w:line="360" w:lineRule="auto"/>
        <w:rPr>
          <w:rFonts w:hint="eastAsia" w:ascii="宋体" w:hAnsi="宋体" w:eastAsia="宋体" w:cs="宋体"/>
          <w:sz w:val="24"/>
          <w:szCs w:val="24"/>
          <w:lang w:val="en-US" w:eastAsia="zh-CN"/>
        </w:rPr>
      </w:pPr>
    </w:p>
    <w:p>
      <w:pPr>
        <w:pStyle w:val="24"/>
        <w:spacing w:line="360" w:lineRule="auto"/>
        <w:ind w:left="0" w:leftChars="0" w:firstLine="0" w:firstLineChars="0"/>
        <w:rPr>
          <w:rFonts w:hint="eastAsia" w:ascii="宋体" w:hAnsi="宋体" w:eastAsia="宋体" w:cs="宋体"/>
          <w:sz w:val="24"/>
          <w:szCs w:val="24"/>
          <w:lang w:val="en-US" w:eastAsia="zh-CN"/>
        </w:rPr>
      </w:pPr>
    </w:p>
    <w:p>
      <w:pPr>
        <w:pStyle w:val="24"/>
        <w:spacing w:line="360" w:lineRule="auto"/>
        <w:ind w:left="0" w:lef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color w:val="auto"/>
          <w:sz w:val="24"/>
          <w:szCs w:val="24"/>
          <w:highlight w:val="red"/>
          <w:lang w:val="en-US" w:eastAsia="zh-CN"/>
        </w:rPr>
        <w:t>（五标段招标参数）</w:t>
      </w:r>
      <w:r>
        <w:rPr>
          <w:rFonts w:hint="eastAsia" w:ascii="宋体" w:hAnsi="宋体" w:eastAsia="宋体" w:cs="宋体"/>
          <w:b/>
          <w:color w:val="auto"/>
          <w:sz w:val="24"/>
          <w:szCs w:val="24"/>
          <w:highlight w:val="none"/>
          <w:lang w:val="en-US" w:eastAsia="zh-CN"/>
        </w:rPr>
        <w:t>胰岛素泵参数2（5台）</w:t>
      </w:r>
    </w:p>
    <w:tbl>
      <w:tblPr>
        <w:tblStyle w:val="26"/>
        <w:tblpPr w:leftFromText="180" w:rightFromText="180" w:vertAnchor="text" w:horzAnchor="page" w:tblpX="1792" w:tblpY="125"/>
        <w:tblOverlap w:val="never"/>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076"/>
        <w:gridCol w:w="5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名称</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胰岛素泵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尺寸（mm）</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1</w:t>
            </w:r>
            <w:r>
              <w:rPr>
                <w:rFonts w:hint="eastAsia" w:ascii="宋体" w:hAnsi="宋体" w:eastAsia="宋体" w:cs="宋体"/>
                <w:sz w:val="24"/>
                <w:szCs w:val="24"/>
              </w:rPr>
              <w:t>mm×5</w:t>
            </w:r>
            <w:r>
              <w:rPr>
                <w:rFonts w:hint="eastAsia" w:ascii="宋体" w:hAnsi="宋体" w:eastAsia="宋体" w:cs="宋体"/>
                <w:sz w:val="24"/>
                <w:szCs w:val="24"/>
                <w:lang w:val="en-US" w:eastAsia="zh-CN"/>
              </w:rPr>
              <w:t>2</w:t>
            </w:r>
            <w:r>
              <w:rPr>
                <w:rFonts w:hint="eastAsia" w:ascii="宋体" w:hAnsi="宋体" w:eastAsia="宋体" w:cs="宋体"/>
                <w:sz w:val="24"/>
                <w:szCs w:val="24"/>
              </w:rPr>
              <w:t>mm×2</w:t>
            </w:r>
            <w:r>
              <w:rPr>
                <w:rFonts w:hint="eastAsia" w:ascii="宋体" w:hAnsi="宋体" w:eastAsia="宋体" w:cs="宋体"/>
                <w:sz w:val="24"/>
                <w:szCs w:val="24"/>
                <w:lang w:val="en-US" w:eastAsia="zh-CN"/>
              </w:rPr>
              <w:t>3</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重量（g）</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90 (不含电池)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防水</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有（IP×7）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电机</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瑞士进口一体式减速编码电机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屏幕显示</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动画、图标、中文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储药器容量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胰岛素选择</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U-100</w:t>
            </w:r>
            <w:r>
              <w:rPr>
                <w:rFonts w:hint="eastAsia" w:ascii="宋体" w:hAnsi="宋体" w:eastAsia="宋体" w:cs="宋体"/>
                <w:sz w:val="24"/>
                <w:szCs w:val="24"/>
                <w:lang w:val="en-US" w:eastAsia="zh-CN"/>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装药自动定位读数功能</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操作模式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背景光</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屏幕显示胰岛素余量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屏幕显示电池余量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屏幕显示基础曲线</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基础率分段</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24个时段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基础率输注最小时段</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基础率输注方式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最小间隔</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基础率设置范围</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0.1U～</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临基率方式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当前基础率的倍率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临基率范围</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0% ～ 250%（间隔25%）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大剂量设置范围</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0.1U～87U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大剂量输注速度</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约10U/分钟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大剂量设置增量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0.1U(0-10U)，1U(10-87U)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预设餐前量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上次餐前量显示</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日总量回顾</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基础量回顾</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大剂量回顾</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排气回顾</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报警回顾</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自动报警功能显示</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报警方式</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音频、振动报警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电池</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一节DC 3.0V锂电，市场可购买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内部时钟</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24 小时制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用户可调整时间，有备用电池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安全防护设定</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自动锁键功能；密码保护的医生模式（可以设定日总量、大剂量、基础率的最大限量）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分 类</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Bf型设备（防电击保护）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环境要求</w:t>
            </w:r>
          </w:p>
        </w:tc>
        <w:tc>
          <w:tcPr>
            <w:tcW w:w="3076" w:type="dxa"/>
            <w:noWrap w:val="0"/>
            <w:vAlign w:val="center"/>
          </w:tcPr>
          <w:p>
            <w:pPr>
              <w:keepNext w:val="0"/>
              <w:keepLines w:val="0"/>
              <w:suppressLineNumbers w:val="0"/>
              <w:spacing w:before="0" w:beforeAutospacing="0" w:after="0" w:afterAutospacing="0" w:line="360" w:lineRule="auto"/>
              <w:ind w:left="87" w:right="0"/>
              <w:jc w:val="center"/>
              <w:rPr>
                <w:rFonts w:hint="eastAsia" w:ascii="宋体" w:hAnsi="宋体" w:eastAsia="宋体" w:cs="宋体"/>
                <w:sz w:val="24"/>
                <w:szCs w:val="24"/>
              </w:rPr>
            </w:pPr>
            <w:r>
              <w:rPr>
                <w:rFonts w:hint="eastAsia" w:ascii="宋体" w:hAnsi="宋体" w:eastAsia="宋体" w:cs="宋体"/>
                <w:sz w:val="24"/>
                <w:szCs w:val="24"/>
              </w:rPr>
              <w:t>运输和贮存</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温度范围:-20℃～+50℃；</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相对湿度:20%～93%大气压力范围50KPa～106KPa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3076" w:type="dxa"/>
            <w:noWrap w:val="0"/>
            <w:vAlign w:val="center"/>
          </w:tcPr>
          <w:p>
            <w:pPr>
              <w:keepNext w:val="0"/>
              <w:keepLines w:val="0"/>
              <w:suppressLineNumbers w:val="0"/>
              <w:spacing w:before="0" w:beforeAutospacing="0" w:after="0" w:afterAutospacing="0" w:line="360" w:lineRule="auto"/>
              <w:ind w:left="192" w:right="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正常工作</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温度范围：5℃～40℃；相对湿度：≤93%</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大气压力范围：86kPa～106kPa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Merge w:val="continue"/>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3076" w:type="dxa"/>
            <w:noWrap w:val="0"/>
            <w:vAlign w:val="center"/>
          </w:tcPr>
          <w:p>
            <w:pPr>
              <w:keepNext w:val="0"/>
              <w:keepLines w:val="0"/>
              <w:suppressLineNumbers w:val="0"/>
              <w:spacing w:before="0" w:beforeAutospacing="0" w:after="0" w:afterAutospacing="0" w:line="360" w:lineRule="auto"/>
              <w:ind w:left="75" w:right="0"/>
              <w:jc w:val="center"/>
              <w:rPr>
                <w:rFonts w:hint="eastAsia" w:ascii="宋体" w:hAnsi="宋体" w:eastAsia="宋体" w:cs="宋体"/>
                <w:sz w:val="24"/>
                <w:szCs w:val="24"/>
              </w:rPr>
            </w:pPr>
            <w:r>
              <w:rPr>
                <w:rFonts w:hint="eastAsia" w:ascii="宋体" w:hAnsi="宋体" w:eastAsia="宋体" w:cs="宋体"/>
                <w:sz w:val="24"/>
                <w:szCs w:val="24"/>
              </w:rPr>
              <w:t>安全性能</w:t>
            </w:r>
          </w:p>
        </w:tc>
        <w:tc>
          <w:tcPr>
            <w:tcW w:w="501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符合GB9706.1-2007《医用电气设备 第1部分：安全通用要求》和GB9706.27-2005《医用电气设备 第2-24部分：输液泵和输液控制器 安全专用要求》</w:t>
            </w:r>
          </w:p>
        </w:tc>
      </w:tr>
    </w:tbl>
    <w:p>
      <w:pPr>
        <w:spacing w:line="360" w:lineRule="auto"/>
        <w:rPr>
          <w:rFonts w:hint="eastAsia" w:ascii="宋体" w:hAnsi="宋体" w:eastAsia="宋体" w:cs="宋体"/>
          <w:sz w:val="24"/>
          <w:szCs w:val="24"/>
          <w:lang w:val="en-US" w:eastAsia="zh-CN"/>
        </w:rPr>
      </w:pPr>
    </w:p>
    <w:p>
      <w:pPr>
        <w:pStyle w:val="24"/>
        <w:spacing w:line="360" w:lineRule="auto"/>
        <w:ind w:left="0" w:leftChars="0" w:firstLine="0" w:firstLineChars="0"/>
        <w:jc w:val="both"/>
        <w:rPr>
          <w:rFonts w:hint="eastAsia" w:ascii="宋体" w:hAnsi="宋体" w:eastAsia="宋体" w:cs="宋体"/>
          <w:b/>
          <w:color w:val="auto"/>
          <w:sz w:val="24"/>
          <w:szCs w:val="24"/>
          <w:highlight w:val="red"/>
          <w:lang w:val="en-US" w:eastAsia="zh-CN"/>
        </w:rPr>
      </w:pPr>
    </w:p>
    <w:p>
      <w:pPr>
        <w:rPr>
          <w:rFonts w:hint="eastAsia"/>
          <w:lang w:val="en-US" w:eastAsia="zh-CN"/>
        </w:rPr>
      </w:pPr>
    </w:p>
    <w:p>
      <w:pPr>
        <w:pStyle w:val="24"/>
        <w:spacing w:line="360" w:lineRule="auto"/>
        <w:ind w:left="0" w:lef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red"/>
          <w:lang w:val="en-US" w:eastAsia="zh-CN"/>
        </w:rPr>
        <w:t>（六标段招标参数）</w:t>
      </w:r>
      <w:r>
        <w:rPr>
          <w:rFonts w:hint="eastAsia" w:ascii="宋体" w:hAnsi="宋体" w:eastAsia="宋体" w:cs="宋体"/>
          <w:b/>
          <w:color w:val="auto"/>
          <w:sz w:val="24"/>
          <w:szCs w:val="24"/>
          <w:highlight w:val="none"/>
          <w:lang w:val="en-US" w:eastAsia="zh-CN"/>
        </w:rPr>
        <w:t>超声骨密度仪</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测量方式:全干式沿骨轴测量，无辐射，适合于各种人群检测（婴幼儿，儿童，孕妇，成人及老人）检测年龄范围0-100岁。检查程序全自动，探头检测原理为四晶片双向发射与接收，测量骨传播声速（SOS)，骨质指数（BQI），T值，Z值等数据。专业自主研发软件，可提供软件著权证书。</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测量部位：桡骨，胫骨双部位测量</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sz w:val="24"/>
          <w:szCs w:val="24"/>
        </w:rPr>
        <w:t>超声探头的生物相容性满足要求，通过细胞毒性、皮肤刺激、迟发型超敏反应等试验。</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探头：手持式宽频聚焦探头，阵列多发多收，高精度，多晶片。采用高灵敏度超声换能器精品材料和多芯同轴屏蔽插头，自动屏蔽消除软组织干扰，确保检测的数据准确性和重复性。</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*平行度角度提示软件：实时可视探头与皮肤接触状态、探头与骨骼平行度，软件页面自动显示探头当前的角度位置，提示修正角度，从而便于快速矫正检测手法，提高检测效率。</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*三探头配置：</w:t>
      </w: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1.00MHZ宽频探头,误差范围±15%，实际检验结果8%。穿透力更强，测量准确，适应不同年龄段的人群。</w:t>
      </w: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1.25MHZ Mini小探头，误差范围±15%，实际检验结果4%。独有的小探头设计在测量婴幼儿和青少年时，采集数据更简单，测量结果更准确。</w:t>
      </w:r>
    </w:p>
    <w:p>
      <w:pPr>
        <w:topLinePunct/>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1.25MHZ宽频探头,误差范围±15%，实际检验结果-10%。精度更高，适合绝大数人群体检普查。</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骨声速（SOS）测量范围；2100-4800m/s</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随机提供校正模块测试，USB连接PC接口，随插随用，方便灵活；</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sz w:val="24"/>
          <w:szCs w:val="24"/>
        </w:rPr>
        <w:t>*超声速度SOS误差≤±2%，实际检验结果-1%</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超声速度SOS精度≤0.3%， 实际检验结果0%，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超声速度SOS测量重复性≤1%， 实际检验结果0%</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测量范围：婴幼儿（0-3岁），儿童（0-20岁），成人/老人（20-100岁），全自动分析得出结果；</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检测迅速：单次测量≤10秒，实际检验结果6秒；重复精确测量≤30秒，实际检测19秒；完成快速度检测</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 xml:space="preserve">中国人参考值数据库（曲线模板）及统计功能，软件语言支持中英文切换。 </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 计算参数齐全：</w:t>
      </w:r>
    </w:p>
    <w:p>
      <w:pPr>
        <w:topLinePunct/>
        <w:spacing w:line="360" w:lineRule="auto"/>
        <w:ind w:left="1558" w:leftChars="399" w:hanging="720" w:hangingChars="300"/>
        <w:rPr>
          <w:rFonts w:hint="eastAsia" w:ascii="宋体" w:hAnsi="宋体" w:eastAsia="宋体" w:cs="宋体"/>
          <w:sz w:val="24"/>
          <w:szCs w:val="24"/>
        </w:rPr>
      </w:pPr>
      <w:r>
        <w:rPr>
          <w:rFonts w:hint="eastAsia" w:ascii="宋体" w:hAnsi="宋体" w:eastAsia="宋体" w:cs="宋体"/>
          <w:sz w:val="24"/>
          <w:szCs w:val="24"/>
        </w:rPr>
        <w:t>成人：T值、Z值、同龄比、成人比、骨骼的生理年龄（PAB）、 预期发生骨质疏松的年龄（EOA)、相对骨折风险（RRF)，骨强度指数（BQI)</w:t>
      </w:r>
    </w:p>
    <w:p>
      <w:pPr>
        <w:topLinePunct/>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儿童：Z值、骨骼的生理年龄（PAB)、身高预测、肥胖度，BMI指数</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SQV高级校准模块，该校验模块可显示当前温度以及当前温度下标准声速值并配有温度校准软件（随机自带）</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病例数据库管理系统，自动记录、查询、分类、备份等，快速方便查找；测量结果可导出成EXCEL格式，便于医生进行数据统计和分析。</w:t>
      </w:r>
    </w:p>
    <w:p>
      <w:pPr>
        <w:numPr>
          <w:ilvl w:val="0"/>
          <w:numId w:val="11"/>
        </w:numPr>
        <w:topLinePunct/>
        <w:spacing w:line="360" w:lineRule="auto"/>
        <w:rPr>
          <w:rFonts w:hint="eastAsia" w:ascii="宋体" w:hAnsi="宋体" w:eastAsia="宋体" w:cs="宋体"/>
          <w:bCs/>
          <w:sz w:val="24"/>
          <w:szCs w:val="24"/>
        </w:rPr>
      </w:pPr>
      <w:r>
        <w:rPr>
          <w:rFonts w:hint="eastAsia" w:ascii="宋体" w:hAnsi="宋体" w:eastAsia="宋体" w:cs="宋体"/>
          <w:sz w:val="24"/>
          <w:szCs w:val="24"/>
        </w:rPr>
        <w:t>*全中文彩色报告单，并内置营养处方报告；提供JPG、PDF、DOC等不同格式的报告，支持A4、B5、16等尺寸报告格式，方便随时预览、打印。</w:t>
      </w:r>
    </w:p>
    <w:p>
      <w:pPr>
        <w:numPr>
          <w:ilvl w:val="0"/>
          <w:numId w:val="11"/>
        </w:numPr>
        <w:topLinePunct/>
        <w:spacing w:line="360" w:lineRule="auto"/>
        <w:rPr>
          <w:rFonts w:hint="eastAsia" w:ascii="宋体" w:hAnsi="宋体" w:eastAsia="宋体" w:cs="宋体"/>
          <w:bCs/>
          <w:sz w:val="24"/>
          <w:szCs w:val="24"/>
        </w:rPr>
      </w:pPr>
      <w:r>
        <w:rPr>
          <w:rFonts w:hint="eastAsia" w:ascii="宋体" w:hAnsi="宋体" w:eastAsia="宋体" w:cs="宋体"/>
          <w:bCs/>
          <w:sz w:val="24"/>
          <w:szCs w:val="24"/>
        </w:rPr>
        <w:t>* 可自定义显示报告内容，包括显示医院LOGO，选择隐藏部分参数等。</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bCs/>
          <w:sz w:val="24"/>
          <w:szCs w:val="24"/>
        </w:rPr>
        <w:t>* 多接口支持：</w:t>
      </w:r>
      <w:r>
        <w:rPr>
          <w:rFonts w:hint="eastAsia" w:ascii="宋体" w:hAnsi="宋体" w:eastAsia="宋体" w:cs="宋体"/>
          <w:sz w:val="24"/>
          <w:szCs w:val="24"/>
        </w:rPr>
        <w:t>Dicom接口（PACS）、身份证信息读取接口、数据库视图接口、本地文件接口、Web Service接口和微信扫码获取报告接口。</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 支持微信扫码自助下载打印。</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完整的互联网功能和通信协议，方便接入医院的联网系统及专家远程会诊。</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设置日期，时间，输入受检测者姓名，年龄，性别和检测部位；</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高级彩色喷墨打印机，多种打印机预览方式；设置PACS，开机启动，打印    预览，语言选择，恢复默认功能等；</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防浸液等级：整机防浸液等级IPX0，探头防浸液等级IPX7；</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sz w:val="24"/>
          <w:szCs w:val="24"/>
        </w:rPr>
        <w:t>* 配备高端双屏工作台车，高清液晶显示器可显示扩展内容，在检测婴幼儿时，可显示动画，有效转移其注意力，帮助医生快速，准确的完成检测。</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 配有专业手托，可精确定位检测部位，使检测结果更加准确。</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sz w:val="24"/>
          <w:szCs w:val="24"/>
        </w:rPr>
        <w:t>* 配备15.6寸触屏操控一体机，内置高速热敏打印机，且可配合微信二维码自助传输检测报告；更可选配身份证读取功能，输入受测者信息快捷方便。</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sz w:val="24"/>
          <w:szCs w:val="24"/>
        </w:rPr>
        <w:t>支持微软操作系统：WindowsXP、7、8、10(支持微软32位/64位操作系统)</w:t>
      </w:r>
    </w:p>
    <w:p>
      <w:pPr>
        <w:numPr>
          <w:ilvl w:val="0"/>
          <w:numId w:val="11"/>
        </w:numPr>
        <w:spacing w:line="360" w:lineRule="auto"/>
        <w:rPr>
          <w:rFonts w:hint="eastAsia" w:ascii="宋体" w:hAnsi="宋体" w:eastAsia="宋体" w:cs="宋体"/>
          <w:sz w:val="24"/>
          <w:szCs w:val="24"/>
        </w:rPr>
      </w:pPr>
      <w:r>
        <w:rPr>
          <w:rFonts w:hint="eastAsia" w:ascii="宋体" w:hAnsi="宋体" w:eastAsia="宋体" w:cs="宋体"/>
          <w:sz w:val="24"/>
          <w:szCs w:val="24"/>
        </w:rPr>
        <w:t>支持安卓操作系统，随机标配安卓软件，可选配安卓平板或手机实现安卓环境下的便携运行。</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电气安全性能符合：GB9706.1-2007，GB9706.9-2008的要求；</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 符合超声骨密度仪国家最新标准：YY/T0774-2019；</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符合CMDDE ISO9001及ISO13485质量体系要求；</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符合电磁兼容性能：YY0505-2012的要求；</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rPr>
        <w:t>符合环境试验：GB/T14710-2009的要求；</w:t>
      </w:r>
    </w:p>
    <w:p>
      <w:pPr>
        <w:numPr>
          <w:ilvl w:val="0"/>
          <w:numId w:val="11"/>
        </w:numPr>
        <w:topLinePunct/>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可选配1.25MHZ无线探头；</w:t>
      </w:r>
    </w:p>
    <w:p>
      <w:pPr>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rPr>
          <w:rFonts w:hint="eastAsia"/>
        </w:rPr>
      </w:pPr>
    </w:p>
    <w:p>
      <w:pPr>
        <w:pStyle w:val="24"/>
        <w:rPr>
          <w:rFonts w:hint="eastAsia"/>
        </w:rPr>
      </w:pPr>
    </w:p>
    <w:p>
      <w:p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18"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3"/>
        <w:ind w:firstLine="0"/>
        <w:rPr>
          <w:rFonts w:hAnsi="宋体" w:cs="宋体"/>
          <w:szCs w:val="24"/>
        </w:rPr>
      </w:pPr>
    </w:p>
    <w:p>
      <w:pPr>
        <w:pStyle w:val="73"/>
        <w:ind w:firstLine="0"/>
        <w:rPr>
          <w:rFonts w:hAnsi="宋体" w:cs="宋体"/>
          <w:szCs w:val="24"/>
        </w:rPr>
      </w:pPr>
    </w:p>
    <w:p>
      <w:pPr>
        <w:pStyle w:val="73"/>
        <w:ind w:firstLine="0"/>
        <w:rPr>
          <w:rFonts w:hAnsi="宋体" w:cs="宋体"/>
          <w:szCs w:val="24"/>
        </w:rPr>
      </w:pPr>
    </w:p>
    <w:p>
      <w:pPr>
        <w:pStyle w:val="73"/>
        <w:ind w:firstLine="0"/>
        <w:jc w:val="center"/>
        <w:outlineLvl w:val="0"/>
        <w:rPr>
          <w:rFonts w:hAnsi="宋体" w:cs="宋体"/>
          <w:b/>
          <w:szCs w:val="24"/>
        </w:rPr>
      </w:pPr>
      <w:r>
        <w:rPr>
          <w:rFonts w:hint="eastAsia" w:hAnsi="宋体" w:cs="宋体"/>
          <w:b/>
          <w:szCs w:val="24"/>
        </w:rPr>
        <w:t>第一部分 合同书</w:t>
      </w:r>
    </w:p>
    <w:p>
      <w:pPr>
        <w:pStyle w:val="73"/>
        <w:ind w:firstLine="0"/>
        <w:rPr>
          <w:rFonts w:hAnsi="宋体" w:cs="宋体"/>
          <w:szCs w:val="24"/>
        </w:rPr>
      </w:pPr>
    </w:p>
    <w:p>
      <w:pPr>
        <w:pStyle w:val="73"/>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4"/>
        <w:spacing w:before="120" w:line="22" w:lineRule="atLeast"/>
        <w:rPr>
          <w:rFonts w:ascii="宋体" w:hAnsi="宋体" w:eastAsia="宋体" w:cs="宋体"/>
          <w:szCs w:val="24"/>
        </w:rPr>
      </w:pPr>
    </w:p>
    <w:p>
      <w:pPr>
        <w:pStyle w:val="74"/>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8" w:type="default"/>
          <w:footerReference r:id="rId9" w:type="default"/>
          <w:pgSz w:w="11907" w:h="16840"/>
          <w:pgMar w:top="1474" w:right="1814" w:bottom="1474" w:left="1814" w:header="851" w:footer="851" w:gutter="0"/>
          <w:pgNumType w:fmt="decimal" w:start="1"/>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19" w:name="_Toc3029"/>
      <w:bookmarkStart w:id="20" w:name="_Toc24059"/>
      <w:bookmarkStart w:id="21" w:name="_Toc2232"/>
      <w:r>
        <w:rPr>
          <w:rFonts w:hint="eastAsia" w:ascii="宋体" w:hAnsi="宋体" w:cs="宋体"/>
          <w:b/>
          <w:sz w:val="24"/>
          <w:szCs w:val="24"/>
        </w:rPr>
        <w:t>1.1 合同组成部分</w:t>
      </w:r>
      <w:bookmarkEnd w:id="19"/>
      <w:bookmarkEnd w:id="20"/>
      <w:bookmarkEnd w:id="21"/>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2" w:name="_Toc21295"/>
      <w:bookmarkStart w:id="23" w:name="_Toc24300"/>
      <w:bookmarkStart w:id="24" w:name="_Toc27126"/>
      <w:r>
        <w:rPr>
          <w:rFonts w:hint="eastAsia" w:ascii="宋体" w:hAnsi="宋体" w:cs="宋体"/>
          <w:b/>
          <w:sz w:val="24"/>
          <w:szCs w:val="24"/>
        </w:rPr>
        <w:t>1.2 货物</w:t>
      </w:r>
      <w:bookmarkEnd w:id="22"/>
      <w:bookmarkEnd w:id="23"/>
      <w:bookmarkEnd w:id="24"/>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25" w:name="_Toc21551"/>
      <w:bookmarkStart w:id="26" w:name="_Toc23292"/>
      <w:bookmarkStart w:id="27" w:name="_Toc21631"/>
      <w:r>
        <w:rPr>
          <w:rFonts w:hint="eastAsia" w:ascii="宋体" w:hAnsi="宋体" w:cs="宋体"/>
          <w:b/>
          <w:sz w:val="24"/>
          <w:szCs w:val="24"/>
        </w:rPr>
        <w:t>1.3 价款</w:t>
      </w:r>
      <w:bookmarkEnd w:id="25"/>
      <w:bookmarkEnd w:id="26"/>
      <w:bookmarkEnd w:id="27"/>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5"/>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28" w:name="_Toc10340"/>
      <w:bookmarkStart w:id="29" w:name="_Toc22618"/>
      <w:bookmarkStart w:id="30" w:name="_Toc1814"/>
      <w:r>
        <w:rPr>
          <w:rFonts w:hint="eastAsia" w:ascii="宋体" w:hAnsi="宋体" w:cs="宋体"/>
          <w:b/>
          <w:sz w:val="24"/>
          <w:szCs w:val="24"/>
        </w:rPr>
        <w:t>1.4 付款方式和发票开具方式</w:t>
      </w:r>
      <w:bookmarkEnd w:id="28"/>
      <w:bookmarkEnd w:id="29"/>
      <w:bookmarkEnd w:id="30"/>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1" w:name="_Toc19304"/>
      <w:bookmarkStart w:id="32" w:name="_Toc2846"/>
      <w:bookmarkStart w:id="33" w:name="_Toc32071"/>
      <w:r>
        <w:rPr>
          <w:rFonts w:hint="eastAsia" w:ascii="宋体" w:hAnsi="宋体" w:cs="宋体"/>
          <w:b/>
          <w:sz w:val="24"/>
          <w:szCs w:val="24"/>
        </w:rPr>
        <w:t>1.5 货物交付期限、地点和方式</w:t>
      </w:r>
      <w:bookmarkEnd w:id="31"/>
      <w:bookmarkEnd w:id="32"/>
      <w:bookmarkEnd w:id="33"/>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4" w:name="_Toc21423"/>
      <w:bookmarkStart w:id="35" w:name="_Toc19554"/>
      <w:bookmarkStart w:id="36" w:name="_Toc27250"/>
      <w:r>
        <w:rPr>
          <w:rFonts w:hint="eastAsia" w:ascii="宋体" w:hAnsi="宋体" w:cs="宋体"/>
          <w:b/>
          <w:sz w:val="24"/>
          <w:szCs w:val="24"/>
        </w:rPr>
        <w:t>1.6 违约责任</w:t>
      </w:r>
      <w:bookmarkEnd w:id="34"/>
      <w:bookmarkEnd w:id="35"/>
      <w:bookmarkEnd w:id="36"/>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37" w:name="_Toc28375"/>
      <w:bookmarkStart w:id="38" w:name="_Toc15583"/>
      <w:bookmarkStart w:id="39" w:name="_Toc16021"/>
      <w:r>
        <w:rPr>
          <w:rFonts w:hint="eastAsia" w:ascii="宋体" w:hAnsi="宋体" w:cs="宋体"/>
          <w:b/>
          <w:sz w:val="24"/>
          <w:szCs w:val="24"/>
        </w:rPr>
        <w:t>1.7 合同争议的解决</w:t>
      </w:r>
      <w:bookmarkEnd w:id="37"/>
      <w:bookmarkEnd w:id="38"/>
      <w:bookmarkEnd w:id="39"/>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0" w:name="_Toc15322"/>
      <w:bookmarkStart w:id="41" w:name="_Toc7245"/>
      <w:bookmarkStart w:id="42" w:name="_Toc11173"/>
      <w:r>
        <w:rPr>
          <w:rFonts w:hint="eastAsia" w:ascii="宋体" w:hAnsi="宋体" w:cs="宋体"/>
          <w:b/>
          <w:sz w:val="24"/>
          <w:szCs w:val="24"/>
        </w:rPr>
        <w:t>1.8 合同生效</w:t>
      </w:r>
      <w:bookmarkEnd w:id="40"/>
      <w:bookmarkEnd w:id="41"/>
      <w:bookmarkEnd w:id="42"/>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开户账号：开户账号：</w:t>
      </w:r>
    </w:p>
    <w:p>
      <w:pPr>
        <w:widowControl/>
        <w:spacing w:line="560" w:lineRule="exact"/>
        <w:jc w:val="left"/>
        <w:rPr>
          <w:rFonts w:ascii="宋体" w:hAnsi="宋体" w:cs="宋体"/>
          <w:b/>
          <w:sz w:val="24"/>
          <w:szCs w:val="24"/>
        </w:rPr>
      </w:pPr>
      <w:bookmarkStart w:id="43"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73"/>
        <w:spacing w:line="560" w:lineRule="exact"/>
        <w:ind w:firstLine="200"/>
        <w:jc w:val="center"/>
        <w:outlineLvl w:val="0"/>
        <w:rPr>
          <w:rFonts w:hAnsi="宋体" w:cs="宋体"/>
          <w:b/>
          <w:szCs w:val="24"/>
        </w:rPr>
      </w:pPr>
      <w:r>
        <w:rPr>
          <w:rFonts w:hint="eastAsia" w:hAnsi="宋体" w:cs="宋体"/>
          <w:b/>
          <w:szCs w:val="24"/>
        </w:rPr>
        <w:t>第二部分 合同一般条款</w:t>
      </w:r>
      <w:bookmarkEnd w:id="43"/>
    </w:p>
    <w:p>
      <w:pPr>
        <w:spacing w:line="560" w:lineRule="exact"/>
        <w:ind w:firstLine="482" w:firstLineChars="200"/>
        <w:outlineLvl w:val="1"/>
        <w:rPr>
          <w:rFonts w:ascii="宋体" w:hAnsi="宋体" w:cs="宋体"/>
          <w:b/>
          <w:sz w:val="24"/>
          <w:szCs w:val="24"/>
        </w:rPr>
      </w:pPr>
      <w:bookmarkStart w:id="44" w:name="_Ref467378463"/>
      <w:bookmarkStart w:id="45" w:name="_Ref467379195"/>
      <w:bookmarkStart w:id="46" w:name="_Toc19614"/>
      <w:bookmarkStart w:id="47" w:name="_Ref467379109"/>
      <w:bookmarkStart w:id="48" w:name="_Ref467379225"/>
      <w:bookmarkStart w:id="49" w:name="_Ref467378499"/>
      <w:bookmarkStart w:id="50" w:name="_Toc259093669"/>
      <w:bookmarkStart w:id="51" w:name="_Ref467379101"/>
      <w:bookmarkStart w:id="52" w:name="_Ref467379205"/>
      <w:bookmarkStart w:id="53" w:name="_Toc16917"/>
      <w:bookmarkStart w:id="54" w:name="_Ref467379094"/>
      <w:bookmarkStart w:id="55" w:name="_Toc279701240"/>
      <w:bookmarkStart w:id="56" w:name="_Ref467379214"/>
      <w:bookmarkStart w:id="57" w:name="_Toc28763"/>
      <w:bookmarkStart w:id="58" w:name="_Ref467378404"/>
      <w:bookmarkStart w:id="59" w:name="_Toc487900349"/>
      <w:r>
        <w:rPr>
          <w:rFonts w:hint="eastAsia" w:ascii="宋体" w:hAnsi="宋体" w:cs="宋体"/>
          <w:b/>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0" w:name="_Ref467378840"/>
      <w:r>
        <w:rPr>
          <w:rFonts w:hint="eastAsia" w:ascii="宋体" w:hAnsi="宋体" w:cs="宋体"/>
          <w:sz w:val="24"/>
          <w:szCs w:val="24"/>
        </w:rPr>
        <w:t>2.1.4 “甲方”系指与中标供应商签署合同的采购人</w:t>
      </w:r>
      <w:bookmarkEnd w:id="60"/>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1" w:name="_Ref467379400"/>
      <w:r>
        <w:rPr>
          <w:rFonts w:hint="eastAsia" w:ascii="宋体" w:hAnsi="宋体" w:cs="宋体"/>
          <w:sz w:val="24"/>
          <w:szCs w:val="24"/>
        </w:rPr>
        <w:t>2.1.5 “乙方”系指根据合同约定交付货物的中标供应商</w:t>
      </w:r>
      <w:bookmarkEnd w:id="61"/>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2" w:name="_Ref467379436"/>
      <w:r>
        <w:rPr>
          <w:rFonts w:hint="eastAsia" w:ascii="宋体" w:hAnsi="宋体" w:cs="宋体"/>
          <w:sz w:val="24"/>
          <w:szCs w:val="24"/>
        </w:rPr>
        <w:t>2.1.6 “现场”系指合同约定货物将要运至或者安装的地点。</w:t>
      </w:r>
      <w:bookmarkEnd w:id="62"/>
    </w:p>
    <w:p>
      <w:pPr>
        <w:spacing w:line="560" w:lineRule="exact"/>
        <w:ind w:firstLine="482" w:firstLineChars="200"/>
        <w:outlineLvl w:val="1"/>
        <w:rPr>
          <w:rFonts w:ascii="宋体" w:hAnsi="宋体" w:cs="宋体"/>
          <w:b/>
          <w:sz w:val="24"/>
          <w:szCs w:val="24"/>
        </w:rPr>
      </w:pPr>
      <w:bookmarkStart w:id="63" w:name="_Toc279701241"/>
      <w:bookmarkStart w:id="64" w:name="_Toc259093670"/>
      <w:bookmarkStart w:id="65" w:name="_Toc487900350"/>
      <w:bookmarkStart w:id="66" w:name="_Toc27635"/>
      <w:bookmarkStart w:id="67" w:name="_Toc13336"/>
      <w:bookmarkStart w:id="68" w:name="_Toc32504"/>
      <w:r>
        <w:rPr>
          <w:rFonts w:hint="eastAsia" w:ascii="宋体" w:hAnsi="宋体" w:cs="宋体"/>
          <w:b/>
          <w:sz w:val="24"/>
          <w:szCs w:val="24"/>
        </w:rPr>
        <w:t>2.2 技术规范</w:t>
      </w:r>
      <w:bookmarkEnd w:id="63"/>
      <w:bookmarkEnd w:id="64"/>
      <w:bookmarkEnd w:id="65"/>
      <w:bookmarkEnd w:id="66"/>
      <w:bookmarkEnd w:id="67"/>
      <w:bookmarkEnd w:id="68"/>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69" w:name="_Toc487900351"/>
      <w:bookmarkStart w:id="70" w:name="_Toc27853"/>
      <w:bookmarkStart w:id="71" w:name="_Toc9829"/>
      <w:bookmarkStart w:id="72" w:name="_Toc279701242"/>
      <w:bookmarkStart w:id="73" w:name="_Toc259093671"/>
      <w:bookmarkStart w:id="74" w:name="_Toc31634"/>
      <w:r>
        <w:rPr>
          <w:rFonts w:hint="eastAsia" w:ascii="宋体" w:hAnsi="宋体" w:cs="宋体"/>
          <w:b/>
          <w:sz w:val="24"/>
          <w:szCs w:val="24"/>
        </w:rPr>
        <w:t>2.3 知识产权</w:t>
      </w:r>
      <w:bookmarkEnd w:id="69"/>
      <w:bookmarkEnd w:id="70"/>
      <w:bookmarkEnd w:id="71"/>
      <w:bookmarkEnd w:id="72"/>
      <w:bookmarkEnd w:id="73"/>
      <w:bookmarkEnd w:id="74"/>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5" w:name="_Toc29149"/>
      <w:bookmarkStart w:id="76" w:name="_Toc4194"/>
      <w:bookmarkStart w:id="77" w:name="_Toc11932"/>
      <w:r>
        <w:rPr>
          <w:rFonts w:hint="eastAsia" w:ascii="宋体" w:hAnsi="宋体" w:cs="宋体"/>
          <w:b/>
          <w:sz w:val="24"/>
          <w:szCs w:val="24"/>
        </w:rPr>
        <w:t>2.4 包装和装运</w:t>
      </w:r>
      <w:bookmarkEnd w:id="75"/>
      <w:bookmarkEnd w:id="76"/>
      <w:bookmarkEnd w:id="77"/>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8" w:name="_Ref467378541"/>
      <w:bookmarkStart w:id="79" w:name="_Toc279701245"/>
      <w:bookmarkStart w:id="80" w:name="_Toc487900354"/>
      <w:bookmarkStart w:id="81" w:name="_Ref467379536"/>
      <w:bookmarkStart w:id="82" w:name="_Ref467378591"/>
      <w:bookmarkStart w:id="83" w:name="_Ref467379527"/>
      <w:bookmarkStart w:id="84" w:name="_Toc259093674"/>
      <w:bookmarkStart w:id="85" w:name="_Ref467379542"/>
      <w:bookmarkStart w:id="86" w:name="_Toc19074"/>
      <w:bookmarkStart w:id="87" w:name="_Toc30272"/>
      <w:bookmarkStart w:id="88" w:name="_Toc26182"/>
      <w:r>
        <w:rPr>
          <w:rFonts w:hint="eastAsia" w:ascii="宋体" w:hAnsi="宋体" w:cs="宋体"/>
          <w:b/>
          <w:sz w:val="24"/>
          <w:szCs w:val="24"/>
        </w:rPr>
        <w:t>2.</w:t>
      </w:r>
      <w:bookmarkEnd w:id="78"/>
      <w:bookmarkEnd w:id="79"/>
      <w:bookmarkEnd w:id="80"/>
      <w:bookmarkEnd w:id="81"/>
      <w:bookmarkEnd w:id="82"/>
      <w:bookmarkEnd w:id="83"/>
      <w:bookmarkEnd w:id="84"/>
      <w:bookmarkEnd w:id="85"/>
      <w:r>
        <w:rPr>
          <w:rFonts w:hint="eastAsia" w:ascii="宋体" w:hAnsi="宋体" w:cs="宋体"/>
          <w:b/>
          <w:sz w:val="24"/>
          <w:szCs w:val="24"/>
        </w:rPr>
        <w:t>5 履约检查和问题反馈</w:t>
      </w:r>
      <w:bookmarkEnd w:id="86"/>
      <w:bookmarkEnd w:id="87"/>
      <w:bookmarkEnd w:id="88"/>
    </w:p>
    <w:p>
      <w:pPr>
        <w:spacing w:line="560" w:lineRule="exact"/>
        <w:ind w:firstLine="480" w:firstLineChars="200"/>
        <w:rPr>
          <w:rFonts w:ascii="宋体" w:hAnsi="宋体" w:cs="宋体"/>
          <w:sz w:val="24"/>
          <w:szCs w:val="24"/>
        </w:rPr>
      </w:pPr>
      <w:bookmarkStart w:id="89" w:name="_Ref467379657"/>
      <w:r>
        <w:rPr>
          <w:rFonts w:hint="eastAsia" w:ascii="宋体" w:hAnsi="宋体" w:cs="宋体"/>
          <w:sz w:val="24"/>
          <w:szCs w:val="24"/>
        </w:rPr>
        <w:t>2.5.1</w:t>
      </w:r>
      <w:bookmarkEnd w:id="89"/>
      <w:bookmarkStart w:id="90" w:name="_Toc186431854"/>
      <w:bookmarkStart w:id="91" w:name="_Toc259093676"/>
      <w:bookmarkStart w:id="92" w:name="_Toc487900357"/>
      <w:bookmarkStart w:id="93" w:name="_Ref467379807"/>
      <w:bookmarkStart w:id="94" w:name="_Ref467379793"/>
      <w:bookmarkStart w:id="95" w:name="_Toc279701247"/>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0"/>
      <w:bookmarkStart w:id="96" w:name="_Toc186431855"/>
      <w:r>
        <w:rPr>
          <w:rFonts w:hint="eastAsia" w:ascii="宋体" w:hAnsi="宋体" w:cs="宋体"/>
          <w:sz w:val="24"/>
          <w:szCs w:val="24"/>
        </w:rPr>
        <w:t>。</w:t>
      </w:r>
    </w:p>
    <w:bookmarkEnd w:id="96"/>
    <w:p>
      <w:pPr>
        <w:spacing w:line="560" w:lineRule="exact"/>
        <w:ind w:firstLine="482" w:firstLineChars="200"/>
        <w:outlineLvl w:val="1"/>
        <w:rPr>
          <w:rFonts w:ascii="宋体" w:hAnsi="宋体" w:cs="宋体"/>
          <w:b/>
          <w:sz w:val="24"/>
          <w:szCs w:val="24"/>
        </w:rPr>
      </w:pPr>
      <w:bookmarkStart w:id="97" w:name="_Toc7836"/>
      <w:bookmarkStart w:id="98" w:name="_Toc19219"/>
      <w:bookmarkStart w:id="99" w:name="_Toc28451"/>
      <w:r>
        <w:rPr>
          <w:rFonts w:hint="eastAsia" w:ascii="宋体" w:hAnsi="宋体" w:cs="宋体"/>
          <w:b/>
          <w:sz w:val="24"/>
          <w:szCs w:val="24"/>
        </w:rPr>
        <w:t>2.6 结算方式和付款条件</w:t>
      </w:r>
      <w:bookmarkEnd w:id="91"/>
      <w:bookmarkEnd w:id="92"/>
      <w:bookmarkEnd w:id="93"/>
      <w:bookmarkEnd w:id="94"/>
      <w:bookmarkEnd w:id="95"/>
      <w:bookmarkEnd w:id="97"/>
      <w:bookmarkEnd w:id="98"/>
      <w:bookmarkEnd w:id="99"/>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0" w:name="_Ref467379863"/>
      <w:bookmarkStart w:id="101" w:name="_Toc487900358"/>
      <w:bookmarkStart w:id="102" w:name="_Toc279701248"/>
      <w:bookmarkStart w:id="103" w:name="_Ref467379852"/>
      <w:bookmarkStart w:id="104" w:name="_Ref467379923"/>
      <w:bookmarkStart w:id="105" w:name="_Toc259093677"/>
      <w:bookmarkStart w:id="106" w:name="_Toc16110"/>
      <w:bookmarkStart w:id="107" w:name="_Toc3225"/>
      <w:bookmarkStart w:id="108" w:name="_Toc774"/>
      <w:r>
        <w:rPr>
          <w:rFonts w:hint="eastAsia" w:ascii="宋体" w:hAnsi="宋体" w:cs="宋体"/>
          <w:b/>
          <w:sz w:val="24"/>
          <w:szCs w:val="24"/>
        </w:rPr>
        <w:t>2.7 技术资料</w:t>
      </w:r>
      <w:bookmarkEnd w:id="100"/>
      <w:bookmarkEnd w:id="101"/>
      <w:bookmarkEnd w:id="102"/>
      <w:bookmarkEnd w:id="103"/>
      <w:bookmarkEnd w:id="104"/>
      <w:bookmarkEnd w:id="105"/>
      <w:r>
        <w:rPr>
          <w:rFonts w:hint="eastAsia" w:ascii="宋体" w:hAnsi="宋体" w:cs="宋体"/>
          <w:b/>
          <w:sz w:val="24"/>
          <w:szCs w:val="24"/>
        </w:rPr>
        <w:t>和保密义务</w:t>
      </w:r>
      <w:bookmarkEnd w:id="106"/>
      <w:bookmarkEnd w:id="107"/>
      <w:bookmarkEnd w:id="108"/>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09" w:name="_Toc7860"/>
      <w:r>
        <w:rPr>
          <w:rFonts w:hint="eastAsia" w:ascii="宋体" w:hAnsi="宋体" w:cs="宋体"/>
          <w:b/>
          <w:sz w:val="24"/>
          <w:szCs w:val="24"/>
        </w:rPr>
        <w:t>2.8 质量保证</w:t>
      </w:r>
      <w:bookmarkEnd w:id="109"/>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0" w:name="_Toc17244"/>
      <w:bookmarkStart w:id="111" w:name="_Toc487900362"/>
      <w:bookmarkStart w:id="112" w:name="_Toc259093681"/>
      <w:bookmarkStart w:id="113" w:name="_Toc279701252"/>
      <w:r>
        <w:rPr>
          <w:rFonts w:hint="eastAsia" w:ascii="宋体" w:hAnsi="宋体" w:cs="宋体"/>
          <w:b/>
          <w:sz w:val="24"/>
          <w:szCs w:val="24"/>
        </w:rPr>
        <w:t>2.9 货物的风险负担</w:t>
      </w:r>
      <w:bookmarkEnd w:id="110"/>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14" w:name="_Toc14055"/>
      <w:r>
        <w:rPr>
          <w:rFonts w:hint="eastAsia" w:ascii="宋体" w:hAnsi="宋体" w:cs="宋体"/>
          <w:b/>
          <w:sz w:val="24"/>
          <w:szCs w:val="24"/>
        </w:rPr>
        <w:t>2.10 延迟交货</w:t>
      </w:r>
      <w:bookmarkEnd w:id="111"/>
      <w:bookmarkEnd w:id="112"/>
      <w:bookmarkEnd w:id="113"/>
      <w:bookmarkEnd w:id="114"/>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15" w:name="_Toc7502"/>
      <w:bookmarkStart w:id="116" w:name="_Toc487900364"/>
      <w:bookmarkStart w:id="117" w:name="_Ref467378121"/>
      <w:bookmarkStart w:id="118" w:name="_Toc279701254"/>
      <w:bookmarkStart w:id="119" w:name="_Toc259093683"/>
      <w:r>
        <w:rPr>
          <w:rFonts w:hint="eastAsia" w:ascii="宋体" w:hAnsi="宋体" w:cs="宋体"/>
          <w:b/>
          <w:sz w:val="24"/>
          <w:szCs w:val="24"/>
        </w:rPr>
        <w:t>2.11 合同变更</w:t>
      </w:r>
      <w:bookmarkEnd w:id="115"/>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0" w:name="_Toc487900369"/>
      <w:bookmarkStart w:id="121" w:name="_Toc259093688"/>
      <w:bookmarkStart w:id="122" w:name="_Toc279701259"/>
    </w:p>
    <w:p>
      <w:pPr>
        <w:spacing w:line="560" w:lineRule="exact"/>
        <w:ind w:firstLine="482" w:firstLineChars="200"/>
        <w:outlineLvl w:val="1"/>
        <w:rPr>
          <w:rFonts w:ascii="宋体" w:hAnsi="宋体" w:cs="宋体"/>
          <w:b/>
          <w:sz w:val="24"/>
          <w:szCs w:val="24"/>
        </w:rPr>
      </w:pPr>
      <w:bookmarkStart w:id="123" w:name="_Toc10366"/>
      <w:bookmarkStart w:id="124" w:name="_Toc15237"/>
      <w:bookmarkStart w:id="125" w:name="_Toc22955"/>
      <w:r>
        <w:rPr>
          <w:rFonts w:hint="eastAsia" w:ascii="宋体" w:hAnsi="宋体" w:cs="宋体"/>
          <w:b/>
          <w:sz w:val="24"/>
          <w:szCs w:val="24"/>
        </w:rPr>
        <w:t>2.12 合同转让</w:t>
      </w:r>
      <w:bookmarkEnd w:id="120"/>
      <w:bookmarkEnd w:id="121"/>
      <w:bookmarkEnd w:id="122"/>
      <w:r>
        <w:rPr>
          <w:rFonts w:hint="eastAsia" w:ascii="宋体" w:hAnsi="宋体" w:cs="宋体"/>
          <w:b/>
          <w:sz w:val="24"/>
          <w:szCs w:val="24"/>
        </w:rPr>
        <w:t>和分包</w:t>
      </w:r>
      <w:bookmarkEnd w:id="123"/>
      <w:bookmarkEnd w:id="124"/>
      <w:bookmarkEnd w:id="125"/>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26" w:name="_Toc16508"/>
      <w:bookmarkStart w:id="127" w:name="_Toc13566"/>
      <w:bookmarkStart w:id="128" w:name="_Toc14066"/>
      <w:r>
        <w:rPr>
          <w:rFonts w:hint="eastAsia" w:ascii="宋体" w:hAnsi="宋体" w:cs="宋体"/>
          <w:b/>
          <w:sz w:val="24"/>
          <w:szCs w:val="24"/>
        </w:rPr>
        <w:t>2.13 不可抗力</w:t>
      </w:r>
      <w:bookmarkEnd w:id="126"/>
      <w:bookmarkEnd w:id="127"/>
      <w:bookmarkEnd w:id="128"/>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29" w:name="_Toc487900365"/>
      <w:bookmarkStart w:id="130" w:name="_Toc279701255"/>
      <w:bookmarkStart w:id="131" w:name="_Toc30676"/>
      <w:bookmarkStart w:id="132" w:name="_Toc6969"/>
      <w:bookmarkStart w:id="133" w:name="_Toc259093684"/>
      <w:bookmarkStart w:id="134" w:name="_Toc689"/>
      <w:r>
        <w:rPr>
          <w:rFonts w:hint="eastAsia" w:ascii="宋体" w:hAnsi="宋体" w:cs="宋体"/>
          <w:b/>
          <w:sz w:val="24"/>
          <w:szCs w:val="24"/>
        </w:rPr>
        <w:t>2.14 税费</w:t>
      </w:r>
      <w:bookmarkEnd w:id="129"/>
      <w:bookmarkEnd w:id="130"/>
      <w:bookmarkEnd w:id="131"/>
      <w:bookmarkEnd w:id="132"/>
      <w:bookmarkEnd w:id="133"/>
      <w:bookmarkEnd w:id="134"/>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35" w:name="_Toc7102"/>
      <w:bookmarkStart w:id="136" w:name="_Toc8298"/>
      <w:bookmarkStart w:id="137" w:name="_Toc16959"/>
      <w:bookmarkStart w:id="138" w:name="_Toc279701258"/>
      <w:bookmarkStart w:id="139" w:name="_Toc487900368"/>
      <w:bookmarkStart w:id="140" w:name="_Toc259093687"/>
      <w:r>
        <w:rPr>
          <w:rFonts w:hint="eastAsia" w:ascii="宋体" w:hAnsi="宋体" w:cs="宋体"/>
          <w:b/>
          <w:sz w:val="24"/>
          <w:szCs w:val="24"/>
        </w:rPr>
        <w:t>2.15 乙方破产</w:t>
      </w:r>
      <w:bookmarkEnd w:id="135"/>
      <w:bookmarkEnd w:id="136"/>
      <w:bookmarkEnd w:id="137"/>
      <w:bookmarkEnd w:id="138"/>
      <w:bookmarkEnd w:id="139"/>
      <w:bookmarkEnd w:id="140"/>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1" w:name="_Toc6134"/>
      <w:bookmarkStart w:id="142" w:name="_Toc29333"/>
      <w:bookmarkStart w:id="143" w:name="_Toc15387"/>
      <w:r>
        <w:rPr>
          <w:rFonts w:hint="eastAsia" w:ascii="宋体" w:hAnsi="宋体" w:cs="宋体"/>
          <w:b/>
          <w:sz w:val="24"/>
          <w:szCs w:val="24"/>
        </w:rPr>
        <w:t>2.16 合同中止、终止</w:t>
      </w:r>
      <w:bookmarkEnd w:id="141"/>
      <w:bookmarkEnd w:id="142"/>
      <w:bookmarkEnd w:id="143"/>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44" w:name="_Toc6596"/>
      <w:bookmarkStart w:id="145" w:name="_Toc1125"/>
      <w:bookmarkStart w:id="146" w:name="_Toc14563"/>
      <w:r>
        <w:rPr>
          <w:rFonts w:hint="eastAsia" w:ascii="宋体" w:hAnsi="宋体" w:cs="宋体"/>
          <w:b/>
          <w:sz w:val="24"/>
          <w:szCs w:val="24"/>
        </w:rPr>
        <w:t>2.17 检验和验收</w:t>
      </w:r>
      <w:bookmarkEnd w:id="144"/>
      <w:bookmarkEnd w:id="145"/>
      <w:bookmarkEnd w:id="146"/>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16"/>
    <w:bookmarkEnd w:id="117"/>
    <w:bookmarkEnd w:id="118"/>
    <w:bookmarkEnd w:id="119"/>
    <w:p>
      <w:pPr>
        <w:spacing w:line="560" w:lineRule="exact"/>
        <w:ind w:firstLine="482" w:firstLineChars="200"/>
        <w:outlineLvl w:val="1"/>
        <w:rPr>
          <w:rFonts w:ascii="宋体" w:hAnsi="宋体" w:cs="宋体"/>
          <w:b/>
          <w:sz w:val="24"/>
          <w:szCs w:val="24"/>
        </w:rPr>
      </w:pPr>
      <w:bookmarkStart w:id="147" w:name="_Toc259093690"/>
      <w:bookmarkStart w:id="148" w:name="_Toc279701261"/>
      <w:bookmarkStart w:id="149" w:name="_Toc487900371"/>
      <w:bookmarkStart w:id="150" w:name="_Toc19604"/>
      <w:bookmarkStart w:id="151" w:name="_Toc25182"/>
      <w:bookmarkStart w:id="152" w:name="_Toc11284"/>
      <w:r>
        <w:rPr>
          <w:rFonts w:hint="eastAsia" w:ascii="宋体" w:hAnsi="宋体" w:cs="宋体"/>
          <w:b/>
          <w:sz w:val="24"/>
          <w:szCs w:val="24"/>
        </w:rPr>
        <w:t>2.18 通知</w:t>
      </w:r>
      <w:bookmarkEnd w:id="147"/>
      <w:bookmarkEnd w:id="148"/>
      <w:bookmarkEnd w:id="149"/>
      <w:r>
        <w:rPr>
          <w:rFonts w:hint="eastAsia" w:ascii="宋体" w:hAnsi="宋体" w:cs="宋体"/>
          <w:b/>
          <w:sz w:val="24"/>
          <w:szCs w:val="24"/>
        </w:rPr>
        <w:t>和送达</w:t>
      </w:r>
      <w:bookmarkEnd w:id="150"/>
      <w:bookmarkEnd w:id="151"/>
      <w:bookmarkEnd w:id="152"/>
    </w:p>
    <w:p>
      <w:pPr>
        <w:spacing w:line="560" w:lineRule="exact"/>
        <w:ind w:firstLine="480" w:firstLineChars="200"/>
        <w:rPr>
          <w:rFonts w:ascii="宋体" w:hAnsi="宋体" w:cs="宋体"/>
          <w:sz w:val="24"/>
          <w:szCs w:val="24"/>
        </w:rPr>
      </w:pPr>
      <w:bookmarkStart w:id="153" w:name="_Toc6698"/>
      <w:bookmarkStart w:id="154" w:name="_Toc3135"/>
      <w:bookmarkStart w:id="155" w:name="_Toc259093691"/>
      <w:bookmarkStart w:id="156" w:name="_Toc487900372"/>
      <w:bookmarkStart w:id="157" w:name="_Toc279701262"/>
      <w:r>
        <w:rPr>
          <w:rFonts w:hint="eastAsia" w:ascii="宋体" w:hAnsi="宋体" w:cs="宋体"/>
          <w:sz w:val="24"/>
          <w:szCs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3"/>
      <w:bookmarkEnd w:id="154"/>
    </w:p>
    <w:p>
      <w:pPr>
        <w:spacing w:line="560" w:lineRule="exact"/>
        <w:ind w:firstLine="480" w:firstLineChars="200"/>
        <w:rPr>
          <w:rFonts w:ascii="宋体" w:hAnsi="宋体" w:cs="宋体"/>
          <w:sz w:val="24"/>
          <w:szCs w:val="24"/>
        </w:rPr>
      </w:pPr>
      <w:bookmarkStart w:id="158" w:name="_Toc23294"/>
      <w:bookmarkStart w:id="159" w:name="_Toc23128"/>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8"/>
      <w:bookmarkEnd w:id="159"/>
    </w:p>
    <w:p>
      <w:pPr>
        <w:spacing w:line="560" w:lineRule="exact"/>
        <w:ind w:firstLine="482" w:firstLineChars="200"/>
        <w:outlineLvl w:val="1"/>
        <w:rPr>
          <w:rFonts w:ascii="宋体" w:hAnsi="宋体" w:cs="宋体"/>
          <w:b/>
          <w:sz w:val="24"/>
          <w:szCs w:val="24"/>
        </w:rPr>
      </w:pPr>
      <w:bookmarkStart w:id="160" w:name="_Toc30599"/>
      <w:bookmarkStart w:id="161" w:name="_Toc4355"/>
      <w:bookmarkStart w:id="162" w:name="_Toc18540"/>
      <w:r>
        <w:rPr>
          <w:rFonts w:hint="eastAsia" w:ascii="宋体" w:hAnsi="宋体" w:cs="宋体"/>
          <w:b/>
          <w:sz w:val="24"/>
          <w:szCs w:val="24"/>
        </w:rPr>
        <w:t>2.19 计量单位</w:t>
      </w:r>
      <w:bookmarkEnd w:id="155"/>
      <w:bookmarkEnd w:id="156"/>
      <w:bookmarkEnd w:id="157"/>
      <w:bookmarkEnd w:id="160"/>
      <w:bookmarkEnd w:id="161"/>
      <w:bookmarkEnd w:id="162"/>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63" w:name="_Toc18567"/>
      <w:bookmarkStart w:id="164" w:name="_Toc12773"/>
      <w:bookmarkStart w:id="165" w:name="_Toc279701263"/>
      <w:bookmarkStart w:id="166" w:name="_Toc259093692"/>
      <w:bookmarkStart w:id="167" w:name="_Toc487900373"/>
      <w:bookmarkStart w:id="168" w:name="_Toc10330"/>
      <w:r>
        <w:rPr>
          <w:rFonts w:hint="eastAsia" w:ascii="宋体" w:hAnsi="宋体" w:cs="宋体"/>
          <w:b/>
          <w:sz w:val="24"/>
          <w:szCs w:val="24"/>
        </w:rPr>
        <w:t>2.20 合同使用的文字和适用的法律</w:t>
      </w:r>
      <w:bookmarkEnd w:id="163"/>
      <w:bookmarkEnd w:id="164"/>
      <w:bookmarkEnd w:id="165"/>
      <w:bookmarkEnd w:id="166"/>
      <w:bookmarkEnd w:id="167"/>
      <w:bookmarkEnd w:id="168"/>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69" w:name="_Toc279701264"/>
      <w:bookmarkStart w:id="170" w:name="_Toc12004"/>
      <w:bookmarkStart w:id="171" w:name="_Toc259093693"/>
      <w:bookmarkStart w:id="172" w:name="_Toc16673"/>
      <w:bookmarkStart w:id="173" w:name="_Toc3148"/>
      <w:bookmarkStart w:id="174" w:name="_Toc487900374"/>
      <w:r>
        <w:rPr>
          <w:rFonts w:hint="eastAsia" w:ascii="宋体" w:hAnsi="宋体" w:cs="宋体"/>
          <w:b/>
          <w:sz w:val="24"/>
          <w:szCs w:val="24"/>
        </w:rPr>
        <w:t>2.21 履约保证金</w:t>
      </w:r>
      <w:bookmarkEnd w:id="169"/>
      <w:bookmarkEnd w:id="170"/>
      <w:bookmarkEnd w:id="171"/>
      <w:bookmarkEnd w:id="172"/>
      <w:bookmarkEnd w:id="173"/>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pPr>
        <w:spacing w:line="560" w:lineRule="exact"/>
        <w:ind w:firstLine="482" w:firstLineChars="200"/>
        <w:outlineLvl w:val="1"/>
        <w:rPr>
          <w:rFonts w:ascii="宋体" w:hAnsi="宋体" w:cs="宋体"/>
          <w:b/>
          <w:sz w:val="24"/>
          <w:szCs w:val="24"/>
        </w:rPr>
      </w:pPr>
      <w:bookmarkStart w:id="175" w:name="_Toc19890"/>
      <w:bookmarkStart w:id="176" w:name="_Toc14001"/>
      <w:bookmarkStart w:id="177" w:name="_Toc6885"/>
      <w:r>
        <w:rPr>
          <w:rFonts w:hint="eastAsia" w:ascii="宋体" w:hAnsi="宋体" w:cs="宋体"/>
          <w:b/>
          <w:sz w:val="24"/>
          <w:szCs w:val="24"/>
        </w:rPr>
        <w:t>2.22 合同份数</w:t>
      </w:r>
      <w:bookmarkEnd w:id="175"/>
      <w:bookmarkEnd w:id="176"/>
      <w:bookmarkEnd w:id="177"/>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3"/>
        <w:spacing w:line="560" w:lineRule="exact"/>
        <w:ind w:firstLine="0"/>
        <w:jc w:val="center"/>
        <w:outlineLvl w:val="0"/>
        <w:rPr>
          <w:rFonts w:hAnsi="宋体" w:cs="宋体"/>
          <w:b/>
          <w:szCs w:val="24"/>
        </w:rPr>
      </w:pPr>
      <w:r>
        <w:rPr>
          <w:rFonts w:hint="eastAsia" w:hAnsi="宋体" w:cs="宋体"/>
          <w:szCs w:val="24"/>
        </w:rPr>
        <w:br w:type="page"/>
      </w:r>
      <w:bookmarkStart w:id="178" w:name="_Toc331685784"/>
      <w:r>
        <w:rPr>
          <w:rFonts w:hint="eastAsia" w:hAnsi="宋体" w:cs="宋体"/>
          <w:b/>
          <w:szCs w:val="24"/>
        </w:rPr>
        <w:t>第三部分  合同专用条款</w:t>
      </w:r>
      <w:bookmarkEnd w:id="178"/>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tabs>
          <w:tab w:val="left" w:pos="3777"/>
          <w:tab w:val="center" w:pos="4819"/>
        </w:tabs>
        <w:spacing w:line="360" w:lineRule="auto"/>
        <w:jc w:val="center"/>
        <w:outlineLvl w:val="1"/>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质疑函   格式</w:t>
      </w:r>
    </w:p>
    <w:p>
      <w:pPr>
        <w:snapToGrid w:val="0"/>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依据政府采购相关法规，我公司对</w:t>
      </w:r>
      <w:r>
        <w:rPr>
          <w:rFonts w:hint="eastAsia" w:cs="宋体" w:asciiTheme="minorEastAsia" w:hAnsiTheme="minorEastAsia" w:eastAsiaTheme="minorEastAsia"/>
          <w:sz w:val="24"/>
          <w:szCs w:val="24"/>
          <w:u w:val="single"/>
        </w:rPr>
        <w:t xml:space="preserve">           项目的（项目编号：         </w:t>
      </w:r>
      <w:r>
        <w:rPr>
          <w:rFonts w:hint="eastAsia" w:cs="宋体" w:asciiTheme="minorEastAsia" w:hAnsiTheme="minorEastAsia" w:eastAsiaTheme="minorEastAsia"/>
          <w:sz w:val="24"/>
          <w:szCs w:val="24"/>
        </w:rPr>
        <w:t>）招标活动存在疑问，特提出质疑（详见下表）。</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我公司和本人对此质疑函内容的真实性负责，并愿意承担由此引起的相应处理和法律责任。</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本项目授权委托人（签字并盖名章）：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公司地址：              邮编：</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（如法人为质疑人则不需要填此项）</w:t>
      </w:r>
    </w:p>
    <w:p>
      <w:pPr>
        <w:spacing w:line="400" w:lineRule="exact"/>
        <w:ind w:firstLine="3000" w:firstLineChars="125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质疑人（公章）：            </w:t>
      </w:r>
    </w:p>
    <w:p>
      <w:pPr>
        <w:snapToGrid w:val="0"/>
        <w:spacing w:line="400" w:lineRule="exact"/>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年   月   日 </w:t>
      </w:r>
    </w:p>
    <w:p>
      <w:pPr>
        <w:spacing w:line="400" w:lineRule="exact"/>
        <w:rPr>
          <w:rFonts w:cs="宋体" w:asciiTheme="minorEastAsia" w:hAnsiTheme="minorEastAsia" w:eastAsiaTheme="minorEastAsia"/>
          <w:sz w:val="24"/>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spacing w:line="400" w:lineRule="exact"/>
        <w:jc w:val="center"/>
        <w:rPr>
          <w:rFonts w:cs="宋体" w:asciiTheme="minorEastAsia" w:hAnsiTheme="minorEastAsia" w:eastAsiaTheme="minorEastAsia"/>
          <w:bCs/>
          <w:sz w:val="24"/>
          <w:szCs w:val="24"/>
        </w:rPr>
      </w:pPr>
    </w:p>
    <w:p>
      <w:pPr>
        <w:spacing w:line="400" w:lineRule="exact"/>
        <w:jc w:val="center"/>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   疑  内  容</w:t>
      </w:r>
    </w:p>
    <w:p>
      <w:pPr>
        <w:spacing w:line="400" w:lineRule="exact"/>
        <w:rPr>
          <w:rFonts w:cs="宋体" w:asciiTheme="minorEastAsia" w:hAnsiTheme="minorEastAsia" w:eastAsiaTheme="minorEastAsia"/>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三、同上</w:t>
            </w:r>
          </w:p>
        </w:tc>
      </w:tr>
    </w:tbl>
    <w:p>
      <w:pPr>
        <w:spacing w:line="400" w:lineRule="exact"/>
        <w:ind w:left="1058" w:hanging="1058" w:hangingChars="44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3、“具体的质疑事项及事实依据”一栏填写不下时，质疑人可另附页（A4），但附纸要求加盖质疑人公章。</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4、与质疑事项有关的材料应与质疑函合并装订。</w:t>
      </w:r>
    </w:p>
    <w:p>
      <w:pPr>
        <w:pStyle w:val="66"/>
        <w:spacing w:line="440" w:lineRule="exact"/>
        <w:ind w:firstLine="480" w:firstLineChars="200"/>
        <w:jc w:val="both"/>
        <w:outlineLvl w:val="0"/>
        <w:rPr>
          <w:rFonts w:asciiTheme="minorEastAsia" w:hAnsiTheme="minorEastAsia" w:eastAsiaTheme="minorEastAsia"/>
          <w:b/>
          <w:color w:val="auto"/>
          <w:kern w:val="2"/>
        </w:rPr>
      </w:pPr>
      <w:r>
        <w:rPr>
          <w:rFonts w:hint="eastAsia" w:cs="宋体" w:asciiTheme="minorEastAsia" w:hAnsiTheme="minorEastAsia" w:eastAsiaTheme="minorEastAsia"/>
        </w:rPr>
        <w:t>5、 质疑函一式三份</w:t>
      </w:r>
    </w:p>
    <w:p>
      <w:pPr>
        <w:spacing w:line="440" w:lineRule="exact"/>
        <w:jc w:val="center"/>
        <w:rPr>
          <w:rFonts w:asciiTheme="minorEastAsia" w:hAnsiTheme="minorEastAsia" w:eastAsiaTheme="minorEastAsia"/>
          <w:b/>
          <w:sz w:val="24"/>
          <w:szCs w:val="24"/>
        </w:rPr>
      </w:pPr>
      <w:bookmarkStart w:id="179" w:name="_Toc533162524"/>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18"/>
      <w:bookmarkEnd w:id="179"/>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0" w:name="_Toc502675053"/>
      <w:bookmarkStart w:id="181" w:name="_Toc515621178"/>
      <w:r>
        <w:rPr>
          <w:rFonts w:hint="eastAsia" w:cs="宋体" w:asciiTheme="minorEastAsia" w:hAnsiTheme="minorEastAsia" w:eastAsiaTheme="minorEastAsia"/>
          <w:b/>
          <w:kern w:val="0"/>
          <w:sz w:val="24"/>
          <w:szCs w:val="24"/>
        </w:rPr>
        <w:t>（附件一）投 标 函</w:t>
      </w:r>
      <w:bookmarkEnd w:id="180"/>
      <w:bookmarkEnd w:id="181"/>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7"/>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4、提供投标须知规定的全部投标文件，包括投标文件正本一份，副本五份。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见证人签字或盖章：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spacing w:line="440" w:lineRule="exact"/>
        <w:ind w:firstLine="5880" w:firstLineChars="2450"/>
        <w:rPr>
          <w:rFonts w:asciiTheme="minorEastAsia" w:hAnsiTheme="minorEastAsia" w:eastAsiaTheme="minorEastAsia"/>
          <w:sz w:val="24"/>
          <w:szCs w:val="24"/>
        </w:rPr>
      </w:pPr>
    </w:p>
    <w:p>
      <w:pPr>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rCM1BMCAAA6BAAADgAAAGRycy9lMm9Eb2MueG1srVNL&#10;jhMxEN0jcQfLe9KdDBkyrXRGghA2CJAGDuDY7m5L/snlpDsXgBuwYsOec+UcU3YymQ+zyGJ64S67&#10;yq/qvSrPrwejyVYGUM7WdDwqKZGWO6FsW9Mf31dvZpRAZFYw7ays6U4CvV68fjXvfSUnrnNayEAQ&#10;xELV+5p2MfqqKIB30jAYOS8tOhsXDIu4DW0hAusR3ehiUpaXRe+C8MFxCYCny4OTHhHDOYCuaRSX&#10;S8c3Rtp4QA1Ss4iUoFMe6CJX2zSSx69NAzISXVNkGvOKSdBep7VYzFnVBuY7xY8lsHNKeMLJMGUx&#10;6QlqySIjm6D+gzKKBweuiSPuTHEgkhVBFuPyiTY3HfMyc0GpwZ9Eh5eD5V+23wJRoqZTSiwz2PD9&#10;71/7P//2f3+Si9lFEqj3UGHcjcfIOLx3A47N3TngYeI9NMGkPzIi6Ed5dyd55RAJx8PJbPpuWqKL&#10;o288nb29uswNKO6v+wDxk3SGJKOmAfuXZWXbzxCxFAy9C0nZwGklVkrrvAnt+oMOZMuw16v8pSrx&#10;yqMwbUlf06vpBAlzhgPc4OCgaTyKALbN+R7dgIfAZf6eA06FLRl0hwJgB0sXUxyrjIoyZKuTTHy0&#10;gsSdR6UtPjCaqjFSUKIlvsdk5cjIlD4nEulpiyxTkw7NSFYc1gPCJHPtxA4bt/FBtR1qmluXw3Gk&#10;sjzH8U8z+3CfQe+f/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6wjNQ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cNbiQRAgAAOgQAAA4AAABkcnMvZTJvRG9jLnhtbK1T&#10;Ta7TMBDeI3EHy3uatNBHX9T0SVDKBgHSgwO4tpNY8p88bpNeAG7Aig17ztVzvLFT+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wEmgxDKDDT/+&#10;+H78+fv46xt5uZglgXoPFcbdeoyMwxs3pODTOeBh4j00waQ/MiLoR3kPZ3nlEAnHw9li/npeoouj&#10;bzpfvLq+yg0o7q/7APG9dIYko6YB+5dlZfsPEDElhv4JSdnAaSU2Suu8Ce32rQ5kz7DXm/ylKvHK&#10;ozBtSV/T6/lsjoUwHOAGBwdN41EEsG3O9+gGPAQu8/cv4FTYmkE3FgAHWLuY4lhlVJQhW51k4p0V&#10;JB48Km3xgdFUjZGCEi3xPSYrR0am9CWRSE9bZJmaNDYjWXHYDgiTzK0TB2zczgfVdqhpbl0Ox5HK&#10;8pzGP83sw30GvX/y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TYUF2QAAAAoBAAAPAAAAAAAA&#10;AAEAIAAAACIAAABkcnMvZG93bnJldi54bWxQSwECFAAUAAAACACHTuJAFw1uJBECAAA6BAAADgAA&#10;AAAAAAABACAAAAAoAQAAZHJzL2Uyb0RvYy54bWxQSwUGAAAAAAYABgBZAQAAqwU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（附件四）开标一览表（单独提交）</w:t>
      </w:r>
    </w:p>
    <w:p>
      <w:pPr>
        <w:tabs>
          <w:tab w:val="left" w:pos="9135"/>
        </w:tabs>
        <w:spacing w:line="440" w:lineRule="exact"/>
        <w:jc w:val="center"/>
        <w:rPr>
          <w:rFonts w:asciiTheme="minorEastAsia" w:hAnsiTheme="minorEastAsia" w:eastAsiaTheme="minorEastAsia"/>
          <w:b/>
          <w:sz w:val="24"/>
          <w:szCs w:val="24"/>
        </w:rPr>
      </w:pPr>
    </w:p>
    <w:p>
      <w:pPr>
        <w:pStyle w:val="66"/>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6"/>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6"/>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6"/>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注： 1、此表需密封后单独提交。</w:t>
      </w:r>
    </w:p>
    <w:p>
      <w:pPr>
        <w:pStyle w:val="66"/>
        <w:spacing w:line="440" w:lineRule="exact"/>
        <w:ind w:firstLine="1132" w:firstLineChars="47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2、本表格式不得更改，投标人只能按要求填报，否则将被视为无效投标。</w:t>
      </w:r>
    </w:p>
    <w:p>
      <w:pPr>
        <w:spacing w:line="440" w:lineRule="exact"/>
        <w:ind w:firstLine="1132" w:firstLineChars="470"/>
        <w:outlineLvl w:val="1"/>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3、上述报价包含一切由供方承担的费用。</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sz w:val="24"/>
          <w:szCs w:val="24"/>
        </w:rPr>
      </w:pPr>
    </w:p>
    <w:p>
      <w:pPr>
        <w:spacing w:line="440" w:lineRule="exact"/>
        <w:rPr>
          <w:rFonts w:hint="eastAsia" w:asciiTheme="minorEastAsia" w:hAnsiTheme="minorEastAsia" w:eastAsiaTheme="minorEastAsia"/>
          <w:b/>
          <w:sz w:val="24"/>
          <w:szCs w:val="24"/>
          <w:highlight w:val="red"/>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sz w:val="24"/>
          <w:szCs w:val="24"/>
          <w:highlight w:val="red"/>
          <w:lang w:val="en-US" w:eastAsia="zh-CN"/>
        </w:rPr>
        <w:t>1、各分项明细报价均不得超过单项预算单价及单项预算总价</w:t>
      </w:r>
    </w:p>
    <w:p>
      <w:pPr>
        <w:spacing w:line="440" w:lineRule="exact"/>
        <w:ind w:firstLine="482" w:firstLineChars="200"/>
        <w:rPr>
          <w:rFonts w:asciiTheme="minorEastAsia" w:hAnsiTheme="minorEastAsia" w:eastAsiaTheme="minorEastAsia"/>
          <w:b/>
          <w:bCs/>
          <w:sz w:val="24"/>
          <w:szCs w:val="24"/>
          <w:highlight w:val="red"/>
        </w:rPr>
      </w:pPr>
      <w:r>
        <w:rPr>
          <w:rFonts w:hint="eastAsia" w:asciiTheme="minorEastAsia" w:hAnsiTheme="minorEastAsia" w:eastAsiaTheme="minorEastAsia"/>
          <w:b/>
          <w:bCs/>
          <w:sz w:val="24"/>
          <w:szCs w:val="24"/>
          <w:highlight w:val="red"/>
          <w:lang w:val="en-US" w:eastAsia="zh-CN"/>
        </w:rPr>
        <w:t>2</w:t>
      </w:r>
      <w:r>
        <w:rPr>
          <w:rFonts w:hint="eastAsia" w:asciiTheme="minorEastAsia" w:hAnsiTheme="minorEastAsia" w:eastAsiaTheme="minorEastAsia"/>
          <w:b/>
          <w:bCs/>
          <w:sz w:val="24"/>
          <w:szCs w:val="24"/>
          <w:highlight w:val="red"/>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spacing w:line="440" w:lineRule="exact"/>
        <w:ind w:firstLine="470" w:firstLineChars="196"/>
        <w:rPr>
          <w:rFonts w:asciiTheme="minorEastAsia" w:hAnsiTheme="minorEastAsia" w:eastAsiaTheme="minorEastAsia"/>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78"/>
        <w:gridCol w:w="2194"/>
        <w:gridCol w:w="1501"/>
        <w:gridCol w:w="1681"/>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line="460" w:lineRule="atLeast"/>
        <w:jc w:val="center"/>
        <w:rPr>
          <w:rFonts w:asciiTheme="minorEastAsia" w:hAnsiTheme="minorEastAsia" w:eastAsiaTheme="minorEastAsia"/>
          <w:sz w:val="24"/>
          <w:szCs w:val="24"/>
        </w:rPr>
      </w:pPr>
    </w:p>
    <w:p>
      <w:pPr>
        <w:pStyle w:val="25"/>
        <w:ind w:firstLine="480"/>
        <w:rPr>
          <w:rFonts w:asciiTheme="minorEastAsia" w:hAnsiTheme="minorEastAsia" w:eastAsiaTheme="minorEastAsia"/>
          <w:szCs w:val="24"/>
        </w:rPr>
      </w:pPr>
    </w:p>
    <w:p>
      <w:pPr>
        <w:pStyle w:val="25"/>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2478"/>
        <w:gridCol w:w="2194"/>
        <w:gridCol w:w="1501"/>
        <w:gridCol w:w="1681"/>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项目名称：投标内容：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投标内容：</w:t>
      </w:r>
      <w:r>
        <w:rPr>
          <w:rFonts w:hint="eastAsia" w:asciiTheme="minorEastAsia" w:hAnsiTheme="minorEastAsia" w:eastAsiaTheme="minorEastAsia"/>
          <w:sz w:val="24"/>
          <w:szCs w:val="24"/>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3"/>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6"/>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58"/>
        <w:gridCol w:w="2083"/>
        <w:gridCol w:w="1980"/>
        <w:gridCol w:w="1837"/>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5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04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项目名称：所投内容：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附成交通知书或合同复印件。</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1"/>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1"/>
        <w:spacing w:line="440" w:lineRule="exact"/>
        <w:ind w:firstLine="480" w:firstLineChars="200"/>
        <w:rPr>
          <w:rFonts w:asciiTheme="minorEastAsia" w:hAnsiTheme="minorEastAsia" w:eastAsiaTheme="minorEastAsia"/>
          <w:sz w:val="24"/>
          <w:szCs w:val="24"/>
        </w:rPr>
      </w:pPr>
    </w:p>
    <w:p>
      <w:pPr>
        <w:pStyle w:val="6"/>
        <w:numPr>
          <w:ilvl w:val="0"/>
          <w:numId w:val="0"/>
        </w:numPr>
        <w:ind w:left="1680"/>
      </w:pPr>
    </w:p>
    <w:p>
      <w:pPr>
        <w:rPr>
          <w:rFonts w:asciiTheme="minorEastAsia" w:hAnsiTheme="minorEastAsia" w:eastAsiaTheme="minorEastAsia"/>
          <w:sz w:val="24"/>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553"/>
        <w:gridCol w:w="1736"/>
        <w:gridCol w:w="1145"/>
        <w:gridCol w:w="1794"/>
        <w:gridCol w:w="2137"/>
        <w:gridCol w:w="763"/>
        <w:gridCol w:w="660"/>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12"/>
        <w:gridCol w:w="1236"/>
        <w:gridCol w:w="1595"/>
        <w:gridCol w:w="1597"/>
        <w:gridCol w:w="2013"/>
        <w:gridCol w:w="645"/>
        <w:gridCol w:w="723"/>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2" w:name="_Toc439149569"/>
      <w:r>
        <w:rPr>
          <w:rFonts w:hint="eastAsia" w:asciiTheme="minorEastAsia" w:hAnsiTheme="minorEastAsia" w:eastAsiaTheme="minorEastAsia"/>
          <w:bCs/>
          <w:sz w:val="24"/>
          <w:szCs w:val="24"/>
        </w:rPr>
        <w:t>（若有，请如实填写）</w:t>
      </w:r>
      <w:bookmarkEnd w:id="182"/>
    </w:p>
    <w:p>
      <w:pPr>
        <w:pStyle w:val="51"/>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2145"/>
        <w:gridCol w:w="1198"/>
        <w:gridCol w:w="1120"/>
        <w:gridCol w:w="1437"/>
        <w:gridCol w:w="1437"/>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1"/>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5"/>
        <w:ind w:firstLine="480"/>
      </w:pPr>
    </w:p>
    <w:p>
      <w:pPr>
        <w:pStyle w:val="25"/>
        <w:ind w:firstLine="482"/>
        <w:rPr>
          <w:b/>
          <w:bCs/>
        </w:rPr>
      </w:pPr>
      <w:r>
        <w:rPr>
          <w:rFonts w:hint="eastAsia"/>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tabs>
          <w:tab w:val="left" w:pos="2880"/>
        </w:tabs>
        <w:spacing w:line="460" w:lineRule="atLeast"/>
        <w:jc w:val="center"/>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信用中国查询模板:（www.creditchina.gov.cn）</w:t>
      </w:r>
    </w:p>
    <w:p>
      <w:pPr>
        <w:tabs>
          <w:tab w:val="left" w:pos="2880"/>
        </w:tabs>
        <w:spacing w:line="460" w:lineRule="atLeas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3"/>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4"/>
                    <a:srcRect/>
                    <a:stretch>
                      <a:fillRect/>
                    </a:stretch>
                  </pic:blipFill>
                  <pic:spPr>
                    <a:xfrm>
                      <a:off x="0" y="0"/>
                      <a:ext cx="6252210" cy="3625850"/>
                    </a:xfrm>
                    <a:prstGeom prst="rect">
                      <a:avLst/>
                    </a:prstGeom>
                    <a:noFill/>
                    <a:ln w="9525">
                      <a:noFill/>
                      <a:miter lim="800000"/>
                      <a:headEnd/>
                      <a:tailEnd/>
                    </a:ln>
                  </pic:spPr>
                </pic:pic>
              </a:graphicData>
            </a:graphic>
          </wp:inline>
        </w:drawing>
      </w:r>
    </w:p>
    <w:p>
      <w:pPr>
        <w:pStyle w:val="25"/>
        <w:ind w:firstLine="480"/>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5"/>
        <w:ind w:left="0" w:leftChars="0" w:firstLine="0" w:firstLineChars="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34</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6"/>
        <w:tblW w:w="10130"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797"/>
        <w:gridCol w:w="904"/>
        <w:gridCol w:w="5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04"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797" w:type="dxa"/>
          </w:tcPr>
          <w:p>
            <w:pPr>
              <w:keepNext w:val="0"/>
              <w:keepLines w:val="0"/>
              <w:widowControl/>
              <w:suppressLineNumbers w:val="0"/>
              <w:adjustRightInd w:val="0"/>
              <w:snapToGrid w:val="0"/>
              <w:spacing w:before="0" w:beforeAutospacing="0" w:after="0" w:afterAutospacing="0" w:line="440" w:lineRule="exact"/>
              <w:ind w:left="0" w:right="0" w:firstLine="756" w:firstLineChars="300"/>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904"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25"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4" w:type="dxa"/>
            <w:vMerge w:val="restart"/>
          </w:tcPr>
          <w:p>
            <w:pPr>
              <w:keepNext w:val="0"/>
              <w:keepLines w:val="0"/>
              <w:widowControl/>
              <w:suppressLineNumbers w:val="0"/>
              <w:adjustRightInd w:val="0"/>
              <w:snapToGrid w:val="0"/>
              <w:spacing w:before="0" w:beforeAutospacing="0" w:after="0" w:afterAutospacing="0" w:line="440" w:lineRule="exact"/>
              <w:ind w:left="0" w:right="0"/>
              <w:jc w:val="both"/>
              <w:rPr>
                <w:rFonts w:cs="宋体" w:asciiTheme="minorEastAsia" w:hAnsiTheme="minorEastAsia" w:eastAsiaTheme="minorEastAsia"/>
                <w:spacing w:val="6"/>
                <w:kern w:val="0"/>
                <w:sz w:val="24"/>
                <w:szCs w:val="24"/>
              </w:rPr>
            </w:pPr>
          </w:p>
          <w:p>
            <w:pPr>
              <w:pStyle w:val="25"/>
              <w:keepNext w:val="0"/>
              <w:keepLines w:val="0"/>
              <w:suppressLineNumbers w:val="0"/>
              <w:spacing w:before="0" w:beforeAutospacing="0" w:afterAutospacing="0"/>
              <w:ind w:right="0"/>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技术部分</w:t>
            </w:r>
          </w:p>
        </w:tc>
        <w:tc>
          <w:tcPr>
            <w:tcW w:w="2797"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904"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5725"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797"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both"/>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904"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25"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797" w:type="dxa"/>
            <w:vMerge w:val="continue"/>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904"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25"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2、投标方在应标过程中应充分替采购方考虑，在产品选型过程保证提供的设备满足用户对设备档次（新、老款）的需求。提供产品的档次情况进行综合对比打分，1-2分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w:t>
      </w:r>
      <w:r>
        <w:rPr>
          <w:rFonts w:hint="eastAsia" w:cs="宋体" w:asciiTheme="minorEastAsia" w:hAnsiTheme="minorEastAsia" w:eastAsiaTheme="minorEastAsia"/>
          <w:spacing w:val="6"/>
          <w:kern w:val="0"/>
          <w:sz w:val="24"/>
          <w:szCs w:val="24"/>
          <w:lang w:val="en-US" w:eastAsia="zh-CN"/>
        </w:rPr>
        <w:t>36</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6"/>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0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812"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restart"/>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商务部分</w:t>
            </w:r>
          </w:p>
        </w:tc>
        <w:tc>
          <w:tcPr>
            <w:tcW w:w="206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0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培训方案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812" w:type="dxa"/>
            <w:vAlign w:val="bottom"/>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验收方案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0-5分</w:t>
            </w:r>
          </w:p>
        </w:tc>
        <w:tc>
          <w:tcPr>
            <w:tcW w:w="5812" w:type="dxa"/>
            <w:vAlign w:val="bottom"/>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近三年类似业绩</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根据投标文件所提供的投标截止日前三年内同类项目销售业绩进行比较：（附合同或成交通知书复印件，每一份采购合同或成交通知书加</w:t>
            </w: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分，直至满</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w:t>
            </w:r>
            <w:r>
              <w:rPr>
                <w:rFonts w:cs="宋体" w:asciiTheme="minorEastAsia" w:hAnsiTheme="minorEastAsia" w:eastAsiaTheme="minorEastAsia"/>
                <w:spacing w:val="6"/>
                <w:kern w:val="0"/>
                <w:sz w:val="24"/>
                <w:szCs w:val="24"/>
              </w:rPr>
              <w:t>未按要求提供相应证明资料的不得分</w:t>
            </w:r>
            <w:r>
              <w:rPr>
                <w:rFonts w:hint="eastAsia" w:cs="宋体" w:asciiTheme="minorEastAsia" w:hAnsiTheme="minorEastAsia" w:eastAsiaTheme="minorEastAsia"/>
                <w:spacing w:val="6"/>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质量保证措施</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具体措施完善得3-4分，措施可行得1-2分，措施一般得0-1分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零配件保障</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根据投标人提供需要更换设备的零配件情况、备件情况及生产年限（如提供的备品备件生产时间早于设备生产时间，视为无效零配件）等进行综合对比，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3</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12" w:type="dxa"/>
            <w:vAlign w:val="center"/>
          </w:tcPr>
          <w:p>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w:t>
            </w:r>
            <w:r>
              <w:rPr>
                <w:rFonts w:hint="eastAsia" w:cs="宋体" w:asciiTheme="minorEastAsia" w:hAnsiTheme="minorEastAsia"/>
                <w:spacing w:val="6"/>
                <w:kern w:val="0"/>
                <w:sz w:val="24"/>
                <w:szCs w:val="24"/>
                <w:lang w:val="en-US" w:eastAsia="zh-CN"/>
              </w:rPr>
              <w:t>（如设备出现故障时，为采购单位提供全新配件，保证设备持续运行等）</w:t>
            </w:r>
            <w:r>
              <w:rPr>
                <w:rFonts w:hint="eastAsia" w:cs="宋体" w:asciiTheme="minorEastAsia" w:hAnsiTheme="minorEastAsia" w:eastAsiaTheme="minorEastAsia"/>
                <w:spacing w:val="6"/>
                <w:kern w:val="0"/>
                <w:sz w:val="24"/>
                <w:szCs w:val="24"/>
                <w:lang w:val="en-US" w:eastAsia="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投标书规范性</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3</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w:t>
            </w:r>
            <w:r>
              <w:rPr>
                <w:rFonts w:hint="eastAsia" w:cs="宋体" w:asciiTheme="minorEastAsia" w:hAnsiTheme="minorEastAsia" w:eastAsiaTheme="minorEastAsia"/>
                <w:spacing w:val="6"/>
                <w:kern w:val="0"/>
                <w:sz w:val="24"/>
                <w:szCs w:val="24"/>
                <w:lang w:eastAsia="zh-CN"/>
              </w:rPr>
              <w:t>各供应商所上传的电子</w:t>
            </w:r>
            <w:r>
              <w:rPr>
                <w:rFonts w:hint="eastAsia" w:cs="宋体" w:asciiTheme="minorEastAsia" w:hAnsiTheme="minorEastAsia" w:eastAsiaTheme="minorEastAsia"/>
                <w:spacing w:val="6"/>
                <w:kern w:val="0"/>
                <w:sz w:val="24"/>
                <w:szCs w:val="24"/>
              </w:rPr>
              <w:t>投标文件目录、页码指向准确，内容</w:t>
            </w:r>
            <w:r>
              <w:rPr>
                <w:rFonts w:hint="eastAsia" w:cs="宋体" w:asciiTheme="minorEastAsia" w:hAnsiTheme="minorEastAsia" w:eastAsiaTheme="minorEastAsia"/>
                <w:spacing w:val="6"/>
                <w:kern w:val="0"/>
                <w:sz w:val="24"/>
                <w:szCs w:val="24"/>
                <w:lang w:eastAsia="zh-CN"/>
              </w:rPr>
              <w:t>清晰完整</w:t>
            </w:r>
            <w:r>
              <w:rPr>
                <w:rFonts w:hint="eastAsia" w:cs="宋体" w:asciiTheme="minorEastAsia" w:hAnsiTheme="minorEastAsia" w:eastAsiaTheme="minorEastAsia"/>
                <w:spacing w:val="6"/>
                <w:kern w:val="0"/>
                <w:sz w:val="24"/>
                <w:szCs w:val="24"/>
              </w:rPr>
              <w:t>、错页、漏页</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rPr>
              <w:t>现象等情况进行综合评定，优秀的得3分，较好的得2分，一般的得1分；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059"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优惠政策</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sectPr>
          <w:pgSz w:w="11910" w:h="16850"/>
          <w:pgMar w:top="1440" w:right="800" w:bottom="460" w:left="820" w:header="0" w:footer="191" w:gutter="0"/>
          <w:pgNumType w:fmt="decimal"/>
          <w:cols w:space="720" w:num="1"/>
        </w:sectPr>
      </w:pPr>
    </w:p>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10" w:type="default"/>
      <w:pgSz w:w="11906" w:h="16838"/>
      <w:pgMar w:top="1134" w:right="926"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Eh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m+&#10;z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LT8SH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aanYMkBAACa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pqdg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CgA8g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igoAP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6"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30"/>
      </w:rPr>
      <w:instrText xml:space="preserve">PAGE  </w:instrText>
    </w:r>
    <w:r>
      <w:fldChar w:fldCharType="separate"/>
    </w:r>
    <w:r>
      <w:rPr>
        <w:rStyle w:val="30"/>
      </w:rPr>
      <w:t>1</w:t>
    </w:r>
    <w:r>
      <w:fldChar w:fldCharType="end"/>
    </w:r>
  </w:p>
  <w:p>
    <w:pPr>
      <w:pStyle w:val="18"/>
      <w:jc w:val="right"/>
      <w:rPr>
        <w:rFonts w:ascii="宋体" w:hAnsi="宋体"/>
        <w:b/>
        <w:sz w:val="21"/>
        <w:szCs w:val="21"/>
      </w:rPr>
    </w:pPr>
    <w:r>
      <w:rPr>
        <w:rFonts w:hint="eastAsia" w:ascii="宋体" w:hAnsi="宋体"/>
        <w:b/>
        <w:sz w:val="21"/>
        <w:szCs w:val="21"/>
        <w:lang w:eastAsia="zh-CN"/>
      </w:rPr>
      <w:t>新疆宏裕鼎峰工程项目管理有限公司</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wordWrap w:val="0"/>
    </w:pPr>
  </w:p>
  <w:p>
    <w:pPr>
      <w:pStyle w:val="18"/>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F88757FA"/>
    <w:multiLevelType w:val="singleLevel"/>
    <w:tmpl w:val="F88757FA"/>
    <w:lvl w:ilvl="0" w:tentative="0">
      <w:start w:val="11"/>
      <w:numFmt w:val="decimal"/>
      <w:lvlText w:val="%1."/>
      <w:lvlJc w:val="left"/>
      <w:pPr>
        <w:tabs>
          <w:tab w:val="left" w:pos="312"/>
        </w:tabs>
      </w:pPr>
    </w:lvl>
  </w:abstractNum>
  <w:abstractNum w:abstractNumId="4">
    <w:nsid w:val="00000002"/>
    <w:multiLevelType w:val="multilevel"/>
    <w:tmpl w:val="00000002"/>
    <w:lvl w:ilvl="0" w:tentative="0">
      <w:start w:val="1"/>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4411A8"/>
    <w:multiLevelType w:val="singleLevel"/>
    <w:tmpl w:val="0C4411A8"/>
    <w:lvl w:ilvl="0" w:tentative="0">
      <w:start w:val="4"/>
      <w:numFmt w:val="chineseCounting"/>
      <w:suff w:val="space"/>
      <w:lvlText w:val="第%1部分"/>
      <w:lvlJc w:val="left"/>
      <w:rPr>
        <w:rFonts w:hint="eastAsia"/>
      </w:rPr>
    </w:lvl>
  </w:abstractNum>
  <w:abstractNum w:abstractNumId="6">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7">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8">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9">
    <w:nsid w:val="506CA53B"/>
    <w:multiLevelType w:val="singleLevel"/>
    <w:tmpl w:val="506CA53B"/>
    <w:lvl w:ilvl="0" w:tentative="0">
      <w:start w:val="1"/>
      <w:numFmt w:val="decimal"/>
      <w:lvlText w:val="%1."/>
      <w:lvlJc w:val="left"/>
      <w:pPr>
        <w:tabs>
          <w:tab w:val="left" w:pos="312"/>
        </w:tabs>
      </w:pPr>
    </w:lvl>
  </w:abstractNum>
  <w:abstractNum w:abstractNumId="10">
    <w:nsid w:val="51C127B6"/>
    <w:multiLevelType w:val="singleLevel"/>
    <w:tmpl w:val="51C127B6"/>
    <w:lvl w:ilvl="0" w:tentative="0">
      <w:start w:val="2"/>
      <w:numFmt w:val="decimal"/>
      <w:suff w:val="nothing"/>
      <w:lvlText w:val="%1、"/>
      <w:lvlJc w:val="left"/>
    </w:lvl>
  </w:abstractNum>
  <w:abstractNum w:abstractNumId="11">
    <w:nsid w:val="5EA24397"/>
    <w:multiLevelType w:val="multilevel"/>
    <w:tmpl w:val="5EA243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1"/>
  </w:num>
  <w:num w:numId="3">
    <w:abstractNumId w:val="2"/>
  </w:num>
  <w:num w:numId="4">
    <w:abstractNumId w:val="0"/>
  </w:num>
  <w:num w:numId="5">
    <w:abstractNumId w:val="10"/>
  </w:num>
  <w:num w:numId="6">
    <w:abstractNumId w:val="9"/>
  </w:num>
  <w:num w:numId="7">
    <w:abstractNumId w:val="6"/>
  </w:num>
  <w:num w:numId="8">
    <w:abstractNumId w:val="5"/>
  </w:num>
  <w:num w:numId="9">
    <w:abstractNumId w:val="4"/>
  </w:num>
  <w:num w:numId="10">
    <w:abstractNumId w:val="3"/>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 w:name="KSO_WPS_MARK_KEY" w:val="eacc53be-6a73-49ef-8f1a-246a9823309b"/>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07DA"/>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145609"/>
    <w:rsid w:val="014E38E8"/>
    <w:rsid w:val="01AC477C"/>
    <w:rsid w:val="01C35B6B"/>
    <w:rsid w:val="01F87969"/>
    <w:rsid w:val="02B57FCD"/>
    <w:rsid w:val="02DA5B53"/>
    <w:rsid w:val="03685798"/>
    <w:rsid w:val="036C5462"/>
    <w:rsid w:val="03811AFD"/>
    <w:rsid w:val="03C81F7B"/>
    <w:rsid w:val="049A39D3"/>
    <w:rsid w:val="0592394A"/>
    <w:rsid w:val="06B721AA"/>
    <w:rsid w:val="06F82BDA"/>
    <w:rsid w:val="07190F4F"/>
    <w:rsid w:val="084724FC"/>
    <w:rsid w:val="08554CE7"/>
    <w:rsid w:val="087C495A"/>
    <w:rsid w:val="08E12228"/>
    <w:rsid w:val="0B5F6E0C"/>
    <w:rsid w:val="0BD02809"/>
    <w:rsid w:val="0C5A57BE"/>
    <w:rsid w:val="0CB46568"/>
    <w:rsid w:val="0D7943CD"/>
    <w:rsid w:val="0DC84AFB"/>
    <w:rsid w:val="0E5F13D8"/>
    <w:rsid w:val="0EEA0383"/>
    <w:rsid w:val="0F174239"/>
    <w:rsid w:val="0F4F2D3A"/>
    <w:rsid w:val="0F680C40"/>
    <w:rsid w:val="0F717D18"/>
    <w:rsid w:val="0F9B2265"/>
    <w:rsid w:val="0FBF425D"/>
    <w:rsid w:val="10E93B31"/>
    <w:rsid w:val="115338C0"/>
    <w:rsid w:val="11772EF0"/>
    <w:rsid w:val="117772E6"/>
    <w:rsid w:val="125951F7"/>
    <w:rsid w:val="12D27F58"/>
    <w:rsid w:val="138C5E31"/>
    <w:rsid w:val="13F55A93"/>
    <w:rsid w:val="140B2239"/>
    <w:rsid w:val="140F5104"/>
    <w:rsid w:val="153F1B6F"/>
    <w:rsid w:val="15EF4743"/>
    <w:rsid w:val="16687C2E"/>
    <w:rsid w:val="170F4451"/>
    <w:rsid w:val="17190FE3"/>
    <w:rsid w:val="174354B8"/>
    <w:rsid w:val="17935D19"/>
    <w:rsid w:val="17AA3F3C"/>
    <w:rsid w:val="18BA7D40"/>
    <w:rsid w:val="194C056C"/>
    <w:rsid w:val="19E4461C"/>
    <w:rsid w:val="1A0560D4"/>
    <w:rsid w:val="1A0F5A77"/>
    <w:rsid w:val="1A3138D4"/>
    <w:rsid w:val="1A9D22CF"/>
    <w:rsid w:val="1AC52CCA"/>
    <w:rsid w:val="1B145E8F"/>
    <w:rsid w:val="1B3575BA"/>
    <w:rsid w:val="1B3E53E5"/>
    <w:rsid w:val="1C174000"/>
    <w:rsid w:val="1C756488"/>
    <w:rsid w:val="1D854C54"/>
    <w:rsid w:val="1DC6182A"/>
    <w:rsid w:val="1DF24A8F"/>
    <w:rsid w:val="1E5771EF"/>
    <w:rsid w:val="1E9D57EF"/>
    <w:rsid w:val="1ECE2E43"/>
    <w:rsid w:val="1EE442F0"/>
    <w:rsid w:val="1EF21BE0"/>
    <w:rsid w:val="1F3E30A2"/>
    <w:rsid w:val="1F9268C2"/>
    <w:rsid w:val="1FA602DC"/>
    <w:rsid w:val="20E72727"/>
    <w:rsid w:val="20FC04C5"/>
    <w:rsid w:val="212925B3"/>
    <w:rsid w:val="225F7737"/>
    <w:rsid w:val="23903A09"/>
    <w:rsid w:val="240A5F6A"/>
    <w:rsid w:val="244C7D49"/>
    <w:rsid w:val="2489593A"/>
    <w:rsid w:val="248F225D"/>
    <w:rsid w:val="24BA6158"/>
    <w:rsid w:val="24D452DC"/>
    <w:rsid w:val="25A06BD3"/>
    <w:rsid w:val="25AB434F"/>
    <w:rsid w:val="25D1584C"/>
    <w:rsid w:val="264B362C"/>
    <w:rsid w:val="2714428F"/>
    <w:rsid w:val="27C04F06"/>
    <w:rsid w:val="28745057"/>
    <w:rsid w:val="28D54775"/>
    <w:rsid w:val="290C79B3"/>
    <w:rsid w:val="29246CA6"/>
    <w:rsid w:val="29FD638B"/>
    <w:rsid w:val="2A6D500B"/>
    <w:rsid w:val="2B0413D6"/>
    <w:rsid w:val="2B157A87"/>
    <w:rsid w:val="2B55081F"/>
    <w:rsid w:val="2BAA031E"/>
    <w:rsid w:val="2BAD36C6"/>
    <w:rsid w:val="2C195CDA"/>
    <w:rsid w:val="2C685584"/>
    <w:rsid w:val="2CCF36F5"/>
    <w:rsid w:val="2D1C0F18"/>
    <w:rsid w:val="2D3619B4"/>
    <w:rsid w:val="2D876222"/>
    <w:rsid w:val="2D9D4EE3"/>
    <w:rsid w:val="2DC310E8"/>
    <w:rsid w:val="2DE16629"/>
    <w:rsid w:val="2E632AEA"/>
    <w:rsid w:val="2E801C0A"/>
    <w:rsid w:val="2F855C8B"/>
    <w:rsid w:val="3088656F"/>
    <w:rsid w:val="30EE7F08"/>
    <w:rsid w:val="311A0CC2"/>
    <w:rsid w:val="3136260B"/>
    <w:rsid w:val="319D2B7A"/>
    <w:rsid w:val="31B547C0"/>
    <w:rsid w:val="31B84350"/>
    <w:rsid w:val="31F7041F"/>
    <w:rsid w:val="326D6BB1"/>
    <w:rsid w:val="32803FFD"/>
    <w:rsid w:val="32965815"/>
    <w:rsid w:val="32BA2223"/>
    <w:rsid w:val="33832420"/>
    <w:rsid w:val="33B51AAD"/>
    <w:rsid w:val="345C0152"/>
    <w:rsid w:val="34861299"/>
    <w:rsid w:val="354B4D9F"/>
    <w:rsid w:val="3570386A"/>
    <w:rsid w:val="3574075A"/>
    <w:rsid w:val="373C3640"/>
    <w:rsid w:val="379A187C"/>
    <w:rsid w:val="37B556B8"/>
    <w:rsid w:val="37CD3C79"/>
    <w:rsid w:val="39BB6F16"/>
    <w:rsid w:val="39FC4FB5"/>
    <w:rsid w:val="3A0363FF"/>
    <w:rsid w:val="3B0A0958"/>
    <w:rsid w:val="3B25779C"/>
    <w:rsid w:val="3B81166F"/>
    <w:rsid w:val="3BB72E08"/>
    <w:rsid w:val="3BBB46F8"/>
    <w:rsid w:val="3BD02488"/>
    <w:rsid w:val="3C3F0068"/>
    <w:rsid w:val="3C5A4529"/>
    <w:rsid w:val="3CB300A2"/>
    <w:rsid w:val="3D4337D7"/>
    <w:rsid w:val="3E6E33B7"/>
    <w:rsid w:val="3EB84021"/>
    <w:rsid w:val="3EF15F04"/>
    <w:rsid w:val="3F935E3B"/>
    <w:rsid w:val="3FB81477"/>
    <w:rsid w:val="4067322A"/>
    <w:rsid w:val="408C5E88"/>
    <w:rsid w:val="40982189"/>
    <w:rsid w:val="40EF4858"/>
    <w:rsid w:val="41076C30"/>
    <w:rsid w:val="41CF272A"/>
    <w:rsid w:val="42521C86"/>
    <w:rsid w:val="428547F2"/>
    <w:rsid w:val="42A42514"/>
    <w:rsid w:val="42AA505C"/>
    <w:rsid w:val="42E66036"/>
    <w:rsid w:val="430272CA"/>
    <w:rsid w:val="43441A06"/>
    <w:rsid w:val="435F7299"/>
    <w:rsid w:val="43C27DB7"/>
    <w:rsid w:val="43D43EFC"/>
    <w:rsid w:val="4404693A"/>
    <w:rsid w:val="442B597D"/>
    <w:rsid w:val="45003C19"/>
    <w:rsid w:val="45E87F44"/>
    <w:rsid w:val="45F30F3F"/>
    <w:rsid w:val="46227013"/>
    <w:rsid w:val="46CB1893"/>
    <w:rsid w:val="46F1643C"/>
    <w:rsid w:val="47AE0FFF"/>
    <w:rsid w:val="47AF4D11"/>
    <w:rsid w:val="47D91B84"/>
    <w:rsid w:val="47DE73A4"/>
    <w:rsid w:val="480B0DC9"/>
    <w:rsid w:val="48224216"/>
    <w:rsid w:val="48304064"/>
    <w:rsid w:val="49253624"/>
    <w:rsid w:val="494C7620"/>
    <w:rsid w:val="49E72F56"/>
    <w:rsid w:val="4A1F3CF5"/>
    <w:rsid w:val="4A4F66A2"/>
    <w:rsid w:val="4A9F7E17"/>
    <w:rsid w:val="4AE10703"/>
    <w:rsid w:val="4B054421"/>
    <w:rsid w:val="4B0F4BF3"/>
    <w:rsid w:val="4BAB430C"/>
    <w:rsid w:val="4BE65A41"/>
    <w:rsid w:val="4C157F2E"/>
    <w:rsid w:val="4CC924F8"/>
    <w:rsid w:val="4D2D6E31"/>
    <w:rsid w:val="4D310677"/>
    <w:rsid w:val="4D5D08F4"/>
    <w:rsid w:val="4F6F30C5"/>
    <w:rsid w:val="4FE67ADD"/>
    <w:rsid w:val="4FE90FDC"/>
    <w:rsid w:val="50260C22"/>
    <w:rsid w:val="510E7699"/>
    <w:rsid w:val="51E95CC7"/>
    <w:rsid w:val="528D230C"/>
    <w:rsid w:val="52CB72E8"/>
    <w:rsid w:val="52D36591"/>
    <w:rsid w:val="52F10C72"/>
    <w:rsid w:val="533110C1"/>
    <w:rsid w:val="547066D1"/>
    <w:rsid w:val="548533B7"/>
    <w:rsid w:val="5493133E"/>
    <w:rsid w:val="54A83A29"/>
    <w:rsid w:val="54FA0805"/>
    <w:rsid w:val="550B7B1E"/>
    <w:rsid w:val="55F5567A"/>
    <w:rsid w:val="563F7E42"/>
    <w:rsid w:val="566A6A10"/>
    <w:rsid w:val="571E0DA9"/>
    <w:rsid w:val="57B275C6"/>
    <w:rsid w:val="591D69E4"/>
    <w:rsid w:val="59A651FF"/>
    <w:rsid w:val="5AEC4812"/>
    <w:rsid w:val="5B146546"/>
    <w:rsid w:val="5BD40368"/>
    <w:rsid w:val="5BF71F8B"/>
    <w:rsid w:val="5C487D5A"/>
    <w:rsid w:val="5CB64F5A"/>
    <w:rsid w:val="5CDE07FE"/>
    <w:rsid w:val="5D2D4145"/>
    <w:rsid w:val="5D9E5F11"/>
    <w:rsid w:val="5DA5587B"/>
    <w:rsid w:val="5DAC1118"/>
    <w:rsid w:val="5DFA2927"/>
    <w:rsid w:val="5E64403D"/>
    <w:rsid w:val="5EBA426F"/>
    <w:rsid w:val="5EED693A"/>
    <w:rsid w:val="5F6F71A8"/>
    <w:rsid w:val="5FF626CC"/>
    <w:rsid w:val="606E5522"/>
    <w:rsid w:val="60DB7792"/>
    <w:rsid w:val="6175399A"/>
    <w:rsid w:val="61C95F92"/>
    <w:rsid w:val="629961B7"/>
    <w:rsid w:val="62A91226"/>
    <w:rsid w:val="62F95910"/>
    <w:rsid w:val="634F635B"/>
    <w:rsid w:val="637222FB"/>
    <w:rsid w:val="6396203F"/>
    <w:rsid w:val="63CD35D2"/>
    <w:rsid w:val="63D14FF2"/>
    <w:rsid w:val="64D02DE9"/>
    <w:rsid w:val="64DF1977"/>
    <w:rsid w:val="66210685"/>
    <w:rsid w:val="66515ED2"/>
    <w:rsid w:val="673A178C"/>
    <w:rsid w:val="6740344B"/>
    <w:rsid w:val="67421FC9"/>
    <w:rsid w:val="674468C4"/>
    <w:rsid w:val="69765BAB"/>
    <w:rsid w:val="6A631E47"/>
    <w:rsid w:val="6AE90161"/>
    <w:rsid w:val="6C500E76"/>
    <w:rsid w:val="6CE7242B"/>
    <w:rsid w:val="6D0639A0"/>
    <w:rsid w:val="6DD53C0F"/>
    <w:rsid w:val="6DFA2A01"/>
    <w:rsid w:val="6EF63216"/>
    <w:rsid w:val="6F186FF0"/>
    <w:rsid w:val="6FC244DA"/>
    <w:rsid w:val="6FF944CB"/>
    <w:rsid w:val="701A76D3"/>
    <w:rsid w:val="7080621F"/>
    <w:rsid w:val="71054ED1"/>
    <w:rsid w:val="710C022E"/>
    <w:rsid w:val="716232D3"/>
    <w:rsid w:val="71FB6F59"/>
    <w:rsid w:val="727B33FD"/>
    <w:rsid w:val="737E72E3"/>
    <w:rsid w:val="7439423C"/>
    <w:rsid w:val="749E1E2F"/>
    <w:rsid w:val="752822AC"/>
    <w:rsid w:val="753C7164"/>
    <w:rsid w:val="755F3023"/>
    <w:rsid w:val="763F5DF2"/>
    <w:rsid w:val="76EB342D"/>
    <w:rsid w:val="76F41FA4"/>
    <w:rsid w:val="773761A7"/>
    <w:rsid w:val="77C2394D"/>
    <w:rsid w:val="78445471"/>
    <w:rsid w:val="784F65E4"/>
    <w:rsid w:val="78722BD6"/>
    <w:rsid w:val="789F5646"/>
    <w:rsid w:val="78F32535"/>
    <w:rsid w:val="79A12EB4"/>
    <w:rsid w:val="79F503F9"/>
    <w:rsid w:val="7A9A513D"/>
    <w:rsid w:val="7B6941E7"/>
    <w:rsid w:val="7B6D7207"/>
    <w:rsid w:val="7BB6449C"/>
    <w:rsid w:val="7BE755CD"/>
    <w:rsid w:val="7BFD0C0E"/>
    <w:rsid w:val="7C103BE0"/>
    <w:rsid w:val="7CDE5AE0"/>
    <w:rsid w:val="7CF37718"/>
    <w:rsid w:val="7D350C23"/>
    <w:rsid w:val="7E396E18"/>
    <w:rsid w:val="7E3E286F"/>
    <w:rsid w:val="7EDF70E3"/>
    <w:rsid w:val="7F7909E5"/>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1"/>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7">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8">
    <w:name w:val="Document Map"/>
    <w:basedOn w:val="1"/>
    <w:semiHidden/>
    <w:qFormat/>
    <w:uiPriority w:val="0"/>
    <w:pPr>
      <w:shd w:val="clear" w:color="auto" w:fill="000080"/>
    </w:pPr>
  </w:style>
  <w:style w:type="paragraph" w:styleId="9">
    <w:name w:val="annotation text"/>
    <w:basedOn w:val="1"/>
    <w:link w:val="41"/>
    <w:qFormat/>
    <w:uiPriority w:val="99"/>
    <w:pPr>
      <w:jc w:val="left"/>
    </w:pPr>
  </w:style>
  <w:style w:type="paragraph" w:styleId="10">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1">
    <w:name w:val="Body Text Indent"/>
    <w:basedOn w:val="1"/>
    <w:next w:val="6"/>
    <w:link w:val="79"/>
    <w:qFormat/>
    <w:uiPriority w:val="0"/>
    <w:pPr>
      <w:spacing w:after="120"/>
      <w:ind w:left="420" w:leftChars="200"/>
    </w:pPr>
  </w:style>
  <w:style w:type="paragraph" w:styleId="12">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3">
    <w:name w:val="Plain Text"/>
    <w:basedOn w:val="1"/>
    <w:link w:val="37"/>
    <w:qFormat/>
    <w:uiPriority w:val="0"/>
    <w:rPr>
      <w:rFonts w:ascii="宋体" w:hAnsi="Courier New"/>
    </w:rPr>
  </w:style>
  <w:style w:type="paragraph" w:styleId="14">
    <w:name w:val="Date"/>
    <w:basedOn w:val="1"/>
    <w:next w:val="1"/>
    <w:link w:val="39"/>
    <w:qFormat/>
    <w:uiPriority w:val="0"/>
    <w:pPr>
      <w:adjustRightInd w:val="0"/>
      <w:spacing w:line="360" w:lineRule="atLeast"/>
      <w:ind w:firstLine="454"/>
      <w:textAlignment w:val="baseline"/>
    </w:pPr>
    <w:rPr>
      <w:kern w:val="0"/>
    </w:rPr>
  </w:style>
  <w:style w:type="paragraph" w:styleId="15">
    <w:name w:val="Body Text Indent 2"/>
    <w:basedOn w:val="1"/>
    <w:qFormat/>
    <w:uiPriority w:val="0"/>
    <w:pPr>
      <w:ind w:firstLine="480"/>
    </w:pPr>
    <w:rPr>
      <w:rFonts w:ascii="宋体" w:hAnsi="宋体"/>
      <w:sz w:val="30"/>
      <w:szCs w:val="24"/>
    </w:rPr>
  </w:style>
  <w:style w:type="paragraph" w:styleId="16">
    <w:name w:val="Balloon Text"/>
    <w:basedOn w:val="1"/>
    <w:semiHidden/>
    <w:qFormat/>
    <w:uiPriority w:val="0"/>
    <w:rPr>
      <w:sz w:val="18"/>
      <w:szCs w:val="18"/>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uiPriority w:val="0"/>
    <w:pPr>
      <w:snapToGrid w:val="0"/>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annotation subject"/>
    <w:basedOn w:val="9"/>
    <w:next w:val="9"/>
    <w:semiHidden/>
    <w:qFormat/>
    <w:uiPriority w:val="0"/>
    <w:rPr>
      <w:b/>
      <w:bCs/>
    </w:rPr>
  </w:style>
  <w:style w:type="paragraph" w:styleId="24">
    <w:name w:val="Body Text First Indent"/>
    <w:basedOn w:val="10"/>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5">
    <w:name w:val="Body Text First Indent 2"/>
    <w:basedOn w:val="11"/>
    <w:link w:val="78"/>
    <w:qFormat/>
    <w:uiPriority w:val="0"/>
    <w:pPr>
      <w:widowControl/>
      <w:spacing w:line="300" w:lineRule="auto"/>
      <w:ind w:firstLine="200" w:firstLineChars="200"/>
    </w:pPr>
    <w:rPr>
      <w:rFonts w:ascii="Times New Roman" w:hAnsi="Times New Roman"/>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basedOn w:val="28"/>
    <w:qFormat/>
    <w:uiPriority w:val="99"/>
    <w:rPr>
      <w:color w:val="0000FF"/>
      <w:u w:val="single"/>
    </w:rPr>
  </w:style>
  <w:style w:type="character" w:styleId="33">
    <w:name w:val="annotation reference"/>
    <w:semiHidden/>
    <w:qFormat/>
    <w:uiPriority w:val="99"/>
    <w:rPr>
      <w:sz w:val="21"/>
      <w:szCs w:val="21"/>
    </w:rPr>
  </w:style>
  <w:style w:type="paragraph" w:customStyle="1" w:styleId="34">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5">
    <w:name w:val="15"/>
    <w:qFormat/>
    <w:uiPriority w:val="0"/>
    <w:rPr>
      <w:rFonts w:hint="default" w:ascii="Calibri" w:hAnsi="Calibri"/>
    </w:rPr>
  </w:style>
  <w:style w:type="character" w:customStyle="1" w:styleId="36">
    <w:name w:val="apple-converted-space"/>
    <w:basedOn w:val="28"/>
    <w:qFormat/>
    <w:uiPriority w:val="0"/>
  </w:style>
  <w:style w:type="character" w:customStyle="1" w:styleId="37">
    <w:name w:val="纯文本 Char"/>
    <w:link w:val="13"/>
    <w:qFormat/>
    <w:uiPriority w:val="0"/>
    <w:rPr>
      <w:rFonts w:ascii="宋体" w:hAnsi="Courier New" w:eastAsia="宋体"/>
      <w:kern w:val="2"/>
      <w:sz w:val="21"/>
      <w:lang w:val="en-US" w:eastAsia="zh-CN" w:bidi="ar-SA"/>
    </w:rPr>
  </w:style>
  <w:style w:type="character" w:customStyle="1" w:styleId="38">
    <w:name w:val="页眉 Char"/>
    <w:link w:val="18"/>
    <w:qFormat/>
    <w:uiPriority w:val="0"/>
    <w:rPr>
      <w:rFonts w:eastAsia="宋体"/>
      <w:kern w:val="2"/>
      <w:sz w:val="18"/>
      <w:lang w:val="en-US" w:eastAsia="zh-CN" w:bidi="ar-SA"/>
    </w:rPr>
  </w:style>
  <w:style w:type="character" w:customStyle="1" w:styleId="39">
    <w:name w:val="日期 Char"/>
    <w:basedOn w:val="28"/>
    <w:link w:val="14"/>
    <w:semiHidden/>
    <w:qFormat/>
    <w:locked/>
    <w:uiPriority w:val="0"/>
    <w:rPr>
      <w:rFonts w:ascii="Calibri" w:hAnsi="Calibri" w:eastAsia="宋体"/>
      <w:sz w:val="21"/>
      <w:lang w:val="en-US" w:eastAsia="zh-CN" w:bidi="ar-SA"/>
    </w:rPr>
  </w:style>
  <w:style w:type="character" w:customStyle="1" w:styleId="40">
    <w:name w:val="页脚 Char"/>
    <w:link w:val="17"/>
    <w:qFormat/>
    <w:uiPriority w:val="0"/>
    <w:rPr>
      <w:rFonts w:eastAsia="宋体"/>
      <w:kern w:val="2"/>
      <w:sz w:val="18"/>
      <w:lang w:val="en-US" w:eastAsia="zh-CN" w:bidi="ar-SA"/>
    </w:rPr>
  </w:style>
  <w:style w:type="character" w:customStyle="1" w:styleId="41">
    <w:name w:val="批注文字 Char"/>
    <w:link w:val="9"/>
    <w:semiHidden/>
    <w:qFormat/>
    <w:locked/>
    <w:uiPriority w:val="99"/>
    <w:rPr>
      <w:kern w:val="2"/>
      <w:sz w:val="21"/>
    </w:rPr>
  </w:style>
  <w:style w:type="character" w:customStyle="1" w:styleId="42">
    <w:name w:val="tpc_content1"/>
    <w:qFormat/>
    <w:uiPriority w:val="0"/>
    <w:rPr>
      <w:sz w:val="20"/>
      <w:szCs w:val="20"/>
    </w:rPr>
  </w:style>
  <w:style w:type="character" w:customStyle="1" w:styleId="43">
    <w:name w:val="wj"/>
    <w:basedOn w:val="28"/>
    <w:qFormat/>
    <w:uiPriority w:val="0"/>
  </w:style>
  <w:style w:type="character" w:customStyle="1" w:styleId="44">
    <w:name w:val="font81"/>
    <w:basedOn w:val="28"/>
    <w:qFormat/>
    <w:uiPriority w:val="0"/>
    <w:rPr>
      <w:rFonts w:hint="eastAsia" w:ascii="宋体" w:hAnsi="宋体" w:eastAsia="宋体" w:cs="宋体"/>
      <w:color w:val="000000"/>
      <w:sz w:val="20"/>
      <w:szCs w:val="20"/>
      <w:u w:val="none"/>
    </w:rPr>
  </w:style>
  <w:style w:type="character" w:customStyle="1" w:styleId="45">
    <w:name w:val="font41"/>
    <w:basedOn w:val="28"/>
    <w:qFormat/>
    <w:uiPriority w:val="0"/>
    <w:rPr>
      <w:rFonts w:hint="eastAsia" w:ascii="宋体" w:hAnsi="宋体" w:eastAsia="宋体" w:cs="宋体"/>
      <w:color w:val="000000"/>
      <w:sz w:val="20"/>
      <w:szCs w:val="20"/>
      <w:u w:val="none"/>
    </w:rPr>
  </w:style>
  <w:style w:type="paragraph" w:customStyle="1" w:styleId="46">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7">
    <w:name w:val="正文1"/>
    <w:qFormat/>
    <w:uiPriority w:val="0"/>
    <w:pPr>
      <w:jc w:val="both"/>
    </w:pPr>
    <w:rPr>
      <w:rFonts w:ascii="Calibri" w:hAnsi="Calibri" w:eastAsia="宋体" w:cs="宋体"/>
      <w:kern w:val="2"/>
      <w:sz w:val="21"/>
      <w:szCs w:val="21"/>
      <w:lang w:val="en-US" w:eastAsia="zh-CN" w:bidi="ar-SA"/>
    </w:rPr>
  </w:style>
  <w:style w:type="paragraph" w:customStyle="1" w:styleId="48">
    <w:name w:val="Definition Term"/>
    <w:basedOn w:val="1"/>
    <w:next w:val="1"/>
    <w:qFormat/>
    <w:uiPriority w:val="0"/>
    <w:pPr>
      <w:autoSpaceDE w:val="0"/>
      <w:autoSpaceDN w:val="0"/>
      <w:adjustRightInd w:val="0"/>
      <w:jc w:val="left"/>
    </w:pPr>
    <w:rPr>
      <w:kern w:val="0"/>
      <w:sz w:val="24"/>
    </w:rPr>
  </w:style>
  <w:style w:type="paragraph" w:customStyle="1" w:styleId="49">
    <w:name w:val="Char Char Char Char Char Char Char"/>
    <w:basedOn w:val="1"/>
    <w:qFormat/>
    <w:uiPriority w:val="0"/>
    <w:pPr>
      <w:tabs>
        <w:tab w:val="left" w:pos="432"/>
      </w:tabs>
      <w:ind w:left="432" w:hanging="432"/>
    </w:pPr>
    <w:rPr>
      <w:rFonts w:ascii="Tahoma" w:hAnsi="Tahoma"/>
      <w:sz w:val="24"/>
    </w:rPr>
  </w:style>
  <w:style w:type="paragraph" w:customStyle="1" w:styleId="5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2">
    <w:name w:val="p0"/>
    <w:basedOn w:val="1"/>
    <w:qFormat/>
    <w:uiPriority w:val="0"/>
    <w:pPr>
      <w:widowControl/>
    </w:pPr>
    <w:rPr>
      <w:rFonts w:ascii="Arial" w:hAnsi="Arial" w:cs="Arial"/>
      <w:kern w:val="0"/>
      <w:sz w:val="24"/>
      <w:szCs w:val="24"/>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4">
    <w:name w:val="修订1"/>
    <w:unhideWhenUsed/>
    <w:qFormat/>
    <w:uiPriority w:val="99"/>
    <w:rPr>
      <w:rFonts w:ascii="Calibri" w:hAnsi="Calibri" w:eastAsia="宋体" w:cs="Times New Roman"/>
      <w:kern w:val="2"/>
      <w:sz w:val="21"/>
      <w:lang w:val="en-US" w:eastAsia="zh-CN" w:bidi="ar-SA"/>
    </w:rPr>
  </w:style>
  <w:style w:type="paragraph" w:customStyle="1" w:styleId="55">
    <w:name w:val="Char1"/>
    <w:basedOn w:val="1"/>
    <w:qFormat/>
    <w:uiPriority w:val="0"/>
    <w:rPr>
      <w:rFonts w:ascii="Tahoma" w:hAnsi="Tahoma"/>
      <w:sz w:val="24"/>
    </w:rPr>
  </w:style>
  <w:style w:type="paragraph" w:customStyle="1" w:styleId="56">
    <w:name w:val="样式3"/>
    <w:basedOn w:val="13"/>
    <w:qFormat/>
    <w:uiPriority w:val="0"/>
    <w:pPr>
      <w:spacing w:line="0" w:lineRule="atLeast"/>
      <w:outlineLvl w:val="0"/>
    </w:pPr>
    <w:rPr>
      <w:sz w:val="28"/>
      <w:szCs w:val="24"/>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Char Char Char"/>
    <w:basedOn w:val="1"/>
    <w:qFormat/>
    <w:uiPriority w:val="0"/>
    <w:rPr>
      <w:kern w:val="0"/>
      <w:sz w:val="24"/>
      <w:szCs w:val="24"/>
    </w:rPr>
  </w:style>
  <w:style w:type="paragraph" w:customStyle="1" w:styleId="59">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1">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2">
    <w:name w:val="Char"/>
    <w:basedOn w:val="8"/>
    <w:semiHidden/>
    <w:qFormat/>
    <w:uiPriority w:val="0"/>
    <w:rPr>
      <w:rFonts w:ascii="Tahoma" w:hAnsi="Tahoma"/>
      <w:sz w:val="24"/>
      <w:szCs w:val="24"/>
    </w:rPr>
  </w:style>
  <w:style w:type="paragraph" w:customStyle="1" w:styleId="63">
    <w:name w:val="样式 宋体 五号 两端对齐 行距: 单倍行距"/>
    <w:basedOn w:val="1"/>
    <w:qFormat/>
    <w:uiPriority w:val="0"/>
    <w:pPr>
      <w:adjustRightInd w:val="0"/>
      <w:textAlignment w:val="baseline"/>
    </w:pPr>
    <w:rPr>
      <w:rFonts w:ascii="宋体" w:hAnsi="宋体"/>
      <w:kern w:val="0"/>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p15"/>
    <w:basedOn w:val="1"/>
    <w:qFormat/>
    <w:uiPriority w:val="0"/>
    <w:pPr>
      <w:widowControl/>
    </w:pPr>
    <w:rPr>
      <w:kern w:val="0"/>
      <w:szCs w:val="21"/>
    </w:rPr>
  </w:style>
  <w:style w:type="paragraph" w:customStyle="1" w:styleId="6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7">
    <w:name w:val="List Paragraph1"/>
    <w:basedOn w:val="1"/>
    <w:qFormat/>
    <w:uiPriority w:val="0"/>
    <w:pPr>
      <w:ind w:firstLine="420" w:firstLineChars="200"/>
    </w:pPr>
  </w:style>
  <w:style w:type="paragraph" w:styleId="68">
    <w:name w:val="List Paragraph"/>
    <w:basedOn w:val="1"/>
    <w:qFormat/>
    <w:uiPriority w:val="34"/>
    <w:pPr>
      <w:ind w:firstLine="420" w:firstLineChars="200"/>
    </w:pPr>
    <w:rPr>
      <w:szCs w:val="22"/>
    </w:rPr>
  </w:style>
  <w:style w:type="paragraph" w:customStyle="1" w:styleId="6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0">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1">
    <w:name w:val="NormalCharacter"/>
    <w:link w:val="1"/>
    <w:semiHidden/>
    <w:qFormat/>
    <w:uiPriority w:val="0"/>
    <w:rPr>
      <w:rFonts w:ascii="Calibri" w:hAnsi="Calibri" w:eastAsia="宋体" w:cs="Times New Roman"/>
      <w:kern w:val="2"/>
      <w:sz w:val="21"/>
      <w:lang w:val="en-US" w:eastAsia="zh-CN" w:bidi="ar-SA"/>
    </w:rPr>
  </w:style>
  <w:style w:type="paragraph" w:customStyle="1" w:styleId="72">
    <w:name w:val="彩色列表 - 强调文字颜色 11"/>
    <w:basedOn w:val="1"/>
    <w:qFormat/>
    <w:uiPriority w:val="34"/>
    <w:pPr>
      <w:ind w:firstLine="420" w:firstLineChars="200"/>
    </w:pPr>
    <w:rPr>
      <w:szCs w:val="22"/>
    </w:rPr>
  </w:style>
  <w:style w:type="paragraph" w:customStyle="1" w:styleId="73">
    <w:name w:val="正文缩进1"/>
    <w:basedOn w:val="1"/>
    <w:qFormat/>
    <w:uiPriority w:val="0"/>
    <w:pPr>
      <w:autoSpaceDE w:val="0"/>
      <w:autoSpaceDN w:val="0"/>
      <w:adjustRightInd w:val="0"/>
      <w:ind w:firstLine="420"/>
      <w:jc w:val="left"/>
    </w:pPr>
    <w:rPr>
      <w:rFonts w:ascii="宋体"/>
      <w:sz w:val="24"/>
      <w:szCs w:val="22"/>
    </w:rPr>
  </w:style>
  <w:style w:type="paragraph" w:customStyle="1" w:styleId="74">
    <w:name w:val="索引 11"/>
    <w:basedOn w:val="1"/>
    <w:next w:val="1"/>
    <w:qFormat/>
    <w:uiPriority w:val="0"/>
    <w:pPr>
      <w:spacing w:line="360" w:lineRule="auto"/>
    </w:pPr>
    <w:rPr>
      <w:rFonts w:ascii="仿宋_GB2312" w:eastAsia="仿宋_GB2312"/>
      <w:sz w:val="24"/>
    </w:rPr>
  </w:style>
  <w:style w:type="paragraph" w:customStyle="1" w:styleId="75">
    <w:name w:val="纯文本1"/>
    <w:basedOn w:val="1"/>
    <w:qFormat/>
    <w:uiPriority w:val="0"/>
    <w:rPr>
      <w:rFonts w:ascii="宋体" w:hAnsi="Courier New"/>
      <w:szCs w:val="22"/>
    </w:rPr>
  </w:style>
  <w:style w:type="paragraph" w:customStyle="1" w:styleId="76">
    <w:name w:val="Table Paragraph"/>
    <w:basedOn w:val="1"/>
    <w:qFormat/>
    <w:uiPriority w:val="1"/>
    <w:rPr>
      <w:rFonts w:ascii="宋体" w:hAnsi="宋体" w:cs="宋体"/>
      <w:lang w:val="zh-CN" w:bidi="zh-CN"/>
    </w:rPr>
  </w:style>
  <w:style w:type="paragraph" w:customStyle="1" w:styleId="77">
    <w:name w:val="List Paragraph_5ac2670b-336d-4e21-832f-f0d58d7dc020"/>
    <w:basedOn w:val="1"/>
    <w:qFormat/>
    <w:uiPriority w:val="34"/>
    <w:pPr>
      <w:ind w:firstLine="420" w:firstLineChars="200"/>
    </w:pPr>
  </w:style>
  <w:style w:type="character" w:customStyle="1" w:styleId="78">
    <w:name w:val="正文首行缩进 2 Char"/>
    <w:basedOn w:val="79"/>
    <w:link w:val="25"/>
    <w:qFormat/>
    <w:uiPriority w:val="0"/>
    <w:rPr>
      <w:kern w:val="2"/>
      <w:sz w:val="21"/>
    </w:rPr>
  </w:style>
  <w:style w:type="character" w:customStyle="1" w:styleId="79">
    <w:name w:val="正文文本缩进 Char"/>
    <w:basedOn w:val="28"/>
    <w:link w:val="11"/>
    <w:qFormat/>
    <w:uiPriority w:val="0"/>
    <w:rPr>
      <w:kern w:val="2"/>
      <w:sz w:val="21"/>
    </w:rPr>
  </w:style>
  <w:style w:type="paragraph" w:customStyle="1" w:styleId="80">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character" w:customStyle="1" w:styleId="81">
    <w:name w:val="font51"/>
    <w:basedOn w:val="28"/>
    <w:qFormat/>
    <w:uiPriority w:val="0"/>
    <w:rPr>
      <w:rFonts w:hint="default" w:ascii="Times New Roman" w:hAnsi="Times New Roman" w:cs="Times New Roman"/>
      <w:color w:val="000000"/>
      <w:sz w:val="21"/>
      <w:szCs w:val="21"/>
      <w:u w:val="none"/>
    </w:rPr>
  </w:style>
  <w:style w:type="character" w:customStyle="1" w:styleId="82">
    <w:name w:val="font21"/>
    <w:basedOn w:val="28"/>
    <w:qFormat/>
    <w:uiPriority w:val="0"/>
    <w:rPr>
      <w:rFonts w:hint="eastAsia" w:ascii="宋体" w:hAnsi="宋体" w:eastAsia="宋体" w:cs="宋体"/>
      <w:color w:val="000000"/>
      <w:sz w:val="21"/>
      <w:szCs w:val="21"/>
      <w:u w:val="none"/>
    </w:rPr>
  </w:style>
  <w:style w:type="character" w:customStyle="1" w:styleId="83">
    <w:name w:val="font31"/>
    <w:basedOn w:val="2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82</Pages>
  <Words>38143</Words>
  <Characters>41034</Characters>
  <Lines>299</Lines>
  <Paragraphs>84</Paragraphs>
  <TotalTime>3</TotalTime>
  <ScaleCrop>false</ScaleCrop>
  <LinksUpToDate>false</LinksUpToDate>
  <CharactersWithSpaces>43004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WPS_1671682078</cp:lastModifiedBy>
  <cp:lastPrinted>2020-11-07T04:23:00Z</cp:lastPrinted>
  <dcterms:modified xsi:type="dcterms:W3CDTF">2023-01-29T03:46:37Z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068D620D6F6F4E23B42796721C9C674D</vt:lpwstr>
  </property>
</Properties>
</file>