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4"/>
        <w:shd w:val="clear" w:color="auto" w:fill="FFFFFF"/>
        <w:spacing w:line="360" w:lineRule="exact"/>
        <w:jc w:val="right"/>
        <w:rPr>
          <w:rFonts w:ascii="仿宋" w:hAnsi="仿宋" w:eastAsia="仿宋" w:cs="仿宋"/>
          <w:color w:val="auto"/>
          <w:sz w:val="18"/>
          <w:szCs w:val="18"/>
          <w:highlight w:val="none"/>
          <w:lang w:val="zh-CN"/>
        </w:rPr>
      </w:pPr>
    </w:p>
    <w:p>
      <w:pPr>
        <w:rPr>
          <w:rFonts w:ascii="仿宋" w:hAnsi="仿宋" w:eastAsia="仿宋" w:cs="仿宋"/>
          <w:color w:val="auto"/>
          <w:highlight w:val="none"/>
        </w:rPr>
      </w:pPr>
    </w:p>
    <w:p>
      <w:pPr>
        <w:jc w:val="center"/>
        <w:rPr>
          <w:rFonts w:ascii="仿宋" w:hAnsi="仿宋" w:eastAsia="仿宋" w:cs="仿宋"/>
          <w:b/>
          <w:color w:val="auto"/>
          <w:sz w:val="52"/>
          <w:highlight w:val="none"/>
        </w:rPr>
      </w:pPr>
      <w:r>
        <w:rPr>
          <w:rFonts w:hint="eastAsia" w:ascii="仿宋" w:hAnsi="仿宋" w:eastAsia="仿宋" w:cs="仿宋"/>
          <w:b/>
          <w:color w:val="auto"/>
          <w:sz w:val="48"/>
          <w:szCs w:val="48"/>
          <w:highlight w:val="none"/>
        </w:rPr>
        <w:drawing>
          <wp:inline distT="0" distB="0" distL="0" distR="0">
            <wp:extent cx="4913630" cy="1693545"/>
            <wp:effectExtent l="19050" t="0" r="1270" b="0"/>
            <wp:docPr id="1" name="图片 2" descr="c9688e5358dca40639ca776d1bce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9688e5358dca40639ca776d1bce122"/>
                    <pic:cNvPicPr>
                      <a:picLocks noChangeAspect="1" noChangeArrowheads="1"/>
                    </pic:cNvPicPr>
                  </pic:nvPicPr>
                  <pic:blipFill>
                    <a:blip r:embed="rId8" cstate="print"/>
                    <a:srcRect/>
                    <a:stretch>
                      <a:fillRect/>
                    </a:stretch>
                  </pic:blipFill>
                  <pic:spPr>
                    <a:xfrm>
                      <a:off x="0" y="0"/>
                      <a:ext cx="4913630" cy="1693545"/>
                    </a:xfrm>
                    <a:prstGeom prst="rect">
                      <a:avLst/>
                    </a:prstGeom>
                    <a:noFill/>
                    <a:ln w="9525">
                      <a:noFill/>
                      <a:miter lim="800000"/>
                      <a:headEnd/>
                      <a:tailEnd/>
                    </a:ln>
                  </pic:spPr>
                </pic:pic>
              </a:graphicData>
            </a:graphic>
          </wp:inline>
        </w:drawing>
      </w:r>
    </w:p>
    <w:p>
      <w:pPr>
        <w:jc w:val="center"/>
        <w:rPr>
          <w:rFonts w:ascii="仿宋" w:hAnsi="仿宋" w:eastAsia="仿宋" w:cs="仿宋"/>
          <w:b/>
          <w:color w:val="auto"/>
          <w:sz w:val="52"/>
          <w:highlight w:val="none"/>
        </w:rPr>
      </w:pPr>
    </w:p>
    <w:p>
      <w:pPr>
        <w:jc w:val="center"/>
        <w:rPr>
          <w:rFonts w:ascii="仿宋" w:hAnsi="仿宋" w:eastAsia="仿宋" w:cs="仿宋"/>
          <w:b/>
          <w:color w:val="auto"/>
          <w:sz w:val="52"/>
          <w:highlight w:val="none"/>
        </w:rPr>
      </w:pPr>
    </w:p>
    <w:p>
      <w:pPr>
        <w:rPr>
          <w:rFonts w:ascii="仿宋" w:hAnsi="仿宋" w:eastAsia="仿宋" w:cs="仿宋"/>
          <w:b/>
          <w:color w:val="auto"/>
          <w:sz w:val="52"/>
          <w:highlight w:val="none"/>
        </w:rPr>
      </w:pPr>
    </w:p>
    <w:p>
      <w:pPr>
        <w:jc w:val="center"/>
        <w:rPr>
          <w:rFonts w:ascii="仿宋" w:hAnsi="仿宋" w:eastAsia="仿宋" w:cs="仿宋"/>
          <w:color w:val="auto"/>
          <w:sz w:val="120"/>
          <w:szCs w:val="120"/>
          <w:highlight w:val="none"/>
        </w:rPr>
      </w:pPr>
      <w:r>
        <w:rPr>
          <w:rFonts w:hint="eastAsia" w:ascii="仿宋" w:hAnsi="仿宋" w:eastAsia="仿宋" w:cs="仿宋"/>
          <w:color w:val="auto"/>
          <w:sz w:val="120"/>
          <w:szCs w:val="120"/>
          <w:highlight w:val="none"/>
        </w:rPr>
        <w:t>磋 商 文 件</w:t>
      </w:r>
    </w:p>
    <w:p>
      <w:pPr>
        <w:jc w:val="center"/>
        <w:rPr>
          <w:rFonts w:ascii="仿宋" w:hAnsi="仿宋" w:eastAsia="仿宋" w:cs="仿宋"/>
          <w:color w:val="auto"/>
          <w:sz w:val="48"/>
          <w:highlight w:val="none"/>
        </w:rPr>
      </w:pPr>
    </w:p>
    <w:p>
      <w:pPr>
        <w:spacing w:line="700" w:lineRule="exact"/>
        <w:jc w:val="left"/>
        <w:rPr>
          <w:rFonts w:ascii="仿宋" w:hAnsi="仿宋" w:eastAsia="仿宋" w:cs="仿宋"/>
          <w:color w:val="auto"/>
          <w:sz w:val="36"/>
          <w:szCs w:val="36"/>
          <w:highlight w:val="none"/>
        </w:rPr>
      </w:pPr>
    </w:p>
    <w:p>
      <w:pPr>
        <w:spacing w:line="700" w:lineRule="exact"/>
        <w:jc w:val="left"/>
        <w:rPr>
          <w:rFonts w:ascii="仿宋" w:hAnsi="仿宋" w:eastAsia="仿宋" w:cs="仿宋"/>
          <w:color w:val="auto"/>
          <w:sz w:val="36"/>
          <w:szCs w:val="36"/>
          <w:highlight w:val="none"/>
        </w:rPr>
      </w:pPr>
    </w:p>
    <w:p>
      <w:pPr>
        <w:spacing w:line="680" w:lineRule="exact"/>
        <w:ind w:left="1800" w:hanging="1800" w:hangingChars="500"/>
        <w:jc w:val="left"/>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项目名称：库尔勒市第二人民医院洗衣房设备采购项目</w:t>
      </w:r>
    </w:p>
    <w:p>
      <w:pPr>
        <w:spacing w:line="680" w:lineRule="exact"/>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项目编号：2023PCCS004</w:t>
      </w:r>
    </w:p>
    <w:p>
      <w:pPr>
        <w:spacing w:line="680" w:lineRule="exact"/>
        <w:ind w:left="1800" w:hanging="1800" w:hangingChars="500"/>
        <w:jc w:val="left"/>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采 购 人：库尔勒市第二人民医院</w:t>
      </w:r>
    </w:p>
    <w:p>
      <w:pPr>
        <w:spacing w:line="680" w:lineRule="exact"/>
        <w:ind w:left="1800" w:hanging="1800" w:hangingChars="500"/>
        <w:jc w:val="left"/>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招标代理机构：新疆品创项目管理咨询有限公司</w:t>
      </w:r>
    </w:p>
    <w:p>
      <w:pPr>
        <w:spacing w:line="680" w:lineRule="exact"/>
        <w:ind w:left="1800" w:hanging="1800" w:hangingChars="500"/>
        <w:jc w:val="left"/>
        <w:rPr>
          <w:rFonts w:ascii="仿宋" w:hAnsi="仿宋" w:eastAsia="仿宋" w:cs="仿宋"/>
          <w:color w:val="auto"/>
          <w:sz w:val="36"/>
          <w:szCs w:val="36"/>
          <w:highlight w:val="none"/>
        </w:rPr>
        <w:sectPr>
          <w:footerReference r:id="rId4" w:type="first"/>
          <w:headerReference r:id="rId3" w:type="default"/>
          <w:pgSz w:w="11906" w:h="16838"/>
          <w:pgMar w:top="1134" w:right="1134" w:bottom="1134" w:left="1134" w:header="703" w:footer="851" w:gutter="0"/>
          <w:pgNumType w:fmt="numberInDash" w:start="1"/>
          <w:cols w:space="720" w:num="1"/>
          <w:docGrid w:type="lines" w:linePitch="314" w:charSpace="0"/>
        </w:sectPr>
      </w:pPr>
      <w:r>
        <w:rPr>
          <w:rFonts w:hint="eastAsia" w:ascii="仿宋" w:hAnsi="仿宋" w:eastAsia="仿宋" w:cs="仿宋"/>
          <w:color w:val="auto"/>
          <w:sz w:val="36"/>
          <w:szCs w:val="36"/>
          <w:highlight w:val="none"/>
        </w:rPr>
        <w:t>日    期：2022年2月</w:t>
      </w:r>
    </w:p>
    <w:p>
      <w:pPr>
        <w:spacing w:line="680" w:lineRule="exact"/>
        <w:ind w:left="1405" w:hanging="1405" w:hangingChars="500"/>
        <w:jc w:val="left"/>
        <w:rPr>
          <w:rFonts w:ascii="仿宋" w:hAnsi="仿宋" w:eastAsia="仿宋" w:cs="仿宋"/>
          <w:b/>
          <w:bCs/>
          <w:color w:val="auto"/>
          <w:kern w:val="0"/>
          <w:sz w:val="28"/>
          <w:szCs w:val="28"/>
          <w:highlight w:val="none"/>
        </w:rPr>
      </w:pPr>
    </w:p>
    <w:p>
      <w:pPr>
        <w:shd w:val="clear" w:color="auto" w:fill="FFFFFF"/>
        <w:autoSpaceDE w:val="0"/>
        <w:autoSpaceDN w:val="0"/>
        <w:adjustRightInd w:val="0"/>
        <w:spacing w:line="360" w:lineRule="exact"/>
        <w:jc w:val="center"/>
        <w:rPr>
          <w:rFonts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目    录</w:t>
      </w:r>
    </w:p>
    <w:p>
      <w:pPr>
        <w:shd w:val="clear" w:color="auto" w:fill="FFFFFF"/>
        <w:autoSpaceDE w:val="0"/>
        <w:autoSpaceDN w:val="0"/>
        <w:adjustRightInd w:val="0"/>
        <w:spacing w:line="360" w:lineRule="exact"/>
        <w:rPr>
          <w:rFonts w:ascii="仿宋" w:hAnsi="仿宋" w:eastAsia="仿宋" w:cs="仿宋"/>
          <w:color w:val="auto"/>
          <w:kern w:val="0"/>
          <w:sz w:val="28"/>
          <w:szCs w:val="28"/>
          <w:highlight w:val="none"/>
        </w:rPr>
      </w:pPr>
    </w:p>
    <w:p>
      <w:pPr>
        <w:pStyle w:val="41"/>
        <w:tabs>
          <w:tab w:val="right" w:leader="dot" w:pos="9628"/>
        </w:tabs>
        <w:rPr>
          <w:rFonts w:ascii="仿宋" w:hAnsi="仿宋" w:eastAsia="仿宋" w:cs="仿宋"/>
          <w:b w:val="0"/>
          <w:bCs w:val="0"/>
          <w:caps w:val="0"/>
          <w:color w:val="auto"/>
          <w:sz w:val="30"/>
          <w:szCs w:val="30"/>
          <w:highlight w:val="none"/>
        </w:rPr>
      </w:pPr>
      <w:r>
        <w:rPr>
          <w:rFonts w:hint="eastAsia" w:ascii="仿宋" w:hAnsi="仿宋" w:eastAsia="仿宋" w:cs="仿宋"/>
          <w:bCs w:val="0"/>
          <w:color w:val="auto"/>
          <w:kern w:val="0"/>
          <w:sz w:val="30"/>
          <w:szCs w:val="30"/>
          <w:highlight w:val="none"/>
        </w:rPr>
        <w:fldChar w:fldCharType="begin"/>
      </w:r>
      <w:r>
        <w:rPr>
          <w:rFonts w:hint="eastAsia" w:ascii="仿宋" w:hAnsi="仿宋" w:eastAsia="仿宋" w:cs="仿宋"/>
          <w:bCs w:val="0"/>
          <w:color w:val="auto"/>
          <w:kern w:val="0"/>
          <w:sz w:val="30"/>
          <w:szCs w:val="30"/>
          <w:highlight w:val="none"/>
        </w:rPr>
        <w:instrText xml:space="preserve"> TOC \o "1-1" \h \z \u </w:instrText>
      </w:r>
      <w:r>
        <w:rPr>
          <w:rFonts w:hint="eastAsia" w:ascii="仿宋" w:hAnsi="仿宋" w:eastAsia="仿宋" w:cs="仿宋"/>
          <w:bCs w:val="0"/>
          <w:color w:val="auto"/>
          <w:kern w:val="0"/>
          <w:sz w:val="30"/>
          <w:szCs w:val="30"/>
          <w:highlight w:val="none"/>
        </w:rPr>
        <w:fldChar w:fldCharType="separate"/>
      </w:r>
      <w:r>
        <w:rPr>
          <w:color w:val="auto"/>
          <w:highlight w:val="none"/>
        </w:rPr>
        <w:fldChar w:fldCharType="begin"/>
      </w:r>
      <w:r>
        <w:rPr>
          <w:color w:val="auto"/>
          <w:highlight w:val="none"/>
        </w:rPr>
        <w:instrText xml:space="preserve"> HYPERLINK \l "_Toc111571533" </w:instrText>
      </w:r>
      <w:r>
        <w:rPr>
          <w:color w:val="auto"/>
          <w:highlight w:val="none"/>
        </w:rPr>
        <w:fldChar w:fldCharType="separate"/>
      </w:r>
      <w:r>
        <w:rPr>
          <w:rStyle w:val="68"/>
          <w:rFonts w:hint="eastAsia" w:ascii="仿宋" w:hAnsi="仿宋" w:eastAsia="仿宋" w:cs="仿宋"/>
          <w:b w:val="0"/>
          <w:color w:val="auto"/>
          <w:sz w:val="30"/>
          <w:szCs w:val="30"/>
          <w:highlight w:val="none"/>
        </w:rPr>
        <w:t>第一部分  磋商公告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_Toc111571533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- 2 -</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pPr>
        <w:pStyle w:val="41"/>
        <w:tabs>
          <w:tab w:val="right" w:leader="dot" w:pos="9628"/>
        </w:tabs>
        <w:rPr>
          <w:rFonts w:ascii="仿宋" w:hAnsi="仿宋" w:eastAsia="仿宋" w:cs="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"_Toc111571534" </w:instrText>
      </w:r>
      <w:r>
        <w:rPr>
          <w:color w:val="auto"/>
          <w:highlight w:val="none"/>
        </w:rPr>
        <w:fldChar w:fldCharType="separate"/>
      </w:r>
      <w:r>
        <w:rPr>
          <w:rStyle w:val="68"/>
          <w:rFonts w:hint="eastAsia" w:ascii="仿宋" w:hAnsi="仿宋" w:eastAsia="仿宋" w:cs="仿宋"/>
          <w:b w:val="0"/>
          <w:color w:val="auto"/>
          <w:sz w:val="30"/>
          <w:szCs w:val="30"/>
          <w:highlight w:val="none"/>
        </w:rPr>
        <w:t>第二部分  供应商须知前附表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_Toc111571534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- 5 -</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pPr>
        <w:pStyle w:val="41"/>
        <w:tabs>
          <w:tab w:val="right" w:leader="dot" w:pos="9628"/>
        </w:tabs>
        <w:rPr>
          <w:rFonts w:ascii="仿宋" w:hAnsi="仿宋" w:eastAsia="仿宋" w:cs="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"_Toc111571535" </w:instrText>
      </w:r>
      <w:r>
        <w:rPr>
          <w:color w:val="auto"/>
          <w:highlight w:val="none"/>
        </w:rPr>
        <w:fldChar w:fldCharType="separate"/>
      </w:r>
      <w:r>
        <w:rPr>
          <w:rStyle w:val="68"/>
          <w:rFonts w:hint="eastAsia" w:ascii="仿宋" w:hAnsi="仿宋" w:eastAsia="仿宋" w:cs="仿宋"/>
          <w:b w:val="0"/>
          <w:color w:val="auto"/>
          <w:sz w:val="30"/>
          <w:szCs w:val="30"/>
          <w:highlight w:val="none"/>
        </w:rPr>
        <w:t>第三部分  供应商须知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_Toc111571535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- 11 -</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pPr>
        <w:pStyle w:val="41"/>
        <w:tabs>
          <w:tab w:val="right" w:leader="dot" w:pos="9628"/>
        </w:tabs>
        <w:rPr>
          <w:rFonts w:ascii="仿宋" w:hAnsi="仿宋" w:eastAsia="仿宋" w:cs="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"_Toc111571536" </w:instrText>
      </w:r>
      <w:r>
        <w:rPr>
          <w:color w:val="auto"/>
          <w:highlight w:val="none"/>
        </w:rPr>
        <w:fldChar w:fldCharType="separate"/>
      </w:r>
      <w:r>
        <w:rPr>
          <w:rStyle w:val="68"/>
          <w:rFonts w:hint="eastAsia" w:ascii="仿宋" w:hAnsi="仿宋" w:eastAsia="仿宋" w:cs="仿宋"/>
          <w:b w:val="0"/>
          <w:color w:val="auto"/>
          <w:sz w:val="30"/>
          <w:szCs w:val="30"/>
          <w:highlight w:val="none"/>
        </w:rPr>
        <w:t>第四部分  评审办法和评审标准</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_Toc111571536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- 23 -</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pPr>
        <w:pStyle w:val="41"/>
        <w:tabs>
          <w:tab w:val="right" w:leader="dot" w:pos="9628"/>
        </w:tabs>
        <w:rPr>
          <w:rFonts w:ascii="仿宋" w:hAnsi="仿宋" w:eastAsia="仿宋" w:cs="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"_Toc111571537" </w:instrText>
      </w:r>
      <w:r>
        <w:rPr>
          <w:color w:val="auto"/>
          <w:highlight w:val="none"/>
        </w:rPr>
        <w:fldChar w:fldCharType="separate"/>
      </w:r>
      <w:r>
        <w:rPr>
          <w:rStyle w:val="68"/>
          <w:rFonts w:hint="eastAsia" w:ascii="仿宋" w:hAnsi="仿宋" w:eastAsia="仿宋" w:cs="仿宋"/>
          <w:b w:val="0"/>
          <w:color w:val="auto"/>
          <w:sz w:val="30"/>
          <w:szCs w:val="30"/>
          <w:highlight w:val="none"/>
        </w:rPr>
        <w:t>第五部分  采购需求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_Toc111571537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- 29 -</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pPr>
        <w:pStyle w:val="41"/>
        <w:tabs>
          <w:tab w:val="right" w:leader="dot" w:pos="9628"/>
        </w:tabs>
        <w:rPr>
          <w:rFonts w:ascii="仿宋" w:hAnsi="仿宋" w:eastAsia="仿宋" w:cs="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"_Toc111571538" </w:instrText>
      </w:r>
      <w:r>
        <w:rPr>
          <w:color w:val="auto"/>
          <w:highlight w:val="none"/>
        </w:rPr>
        <w:fldChar w:fldCharType="separate"/>
      </w:r>
      <w:r>
        <w:rPr>
          <w:rStyle w:val="68"/>
          <w:rFonts w:hint="eastAsia" w:ascii="仿宋" w:hAnsi="仿宋" w:eastAsia="仿宋" w:cs="仿宋"/>
          <w:b w:val="0"/>
          <w:color w:val="auto"/>
          <w:sz w:val="30"/>
          <w:szCs w:val="30"/>
          <w:highlight w:val="none"/>
        </w:rPr>
        <w:t>第六部分  合同条款</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_Toc111571538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- 36 -</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pPr>
        <w:pStyle w:val="41"/>
        <w:tabs>
          <w:tab w:val="right" w:leader="dot" w:pos="9628"/>
        </w:tabs>
        <w:rPr>
          <w:rFonts w:ascii="仿宋" w:hAnsi="仿宋" w:eastAsia="仿宋" w:cs="仿宋"/>
          <w:b w:val="0"/>
          <w:bCs w:val="0"/>
          <w:caps w:val="0"/>
          <w:color w:val="auto"/>
          <w:sz w:val="21"/>
          <w:szCs w:val="22"/>
          <w:highlight w:val="none"/>
        </w:rPr>
      </w:pPr>
      <w:r>
        <w:rPr>
          <w:color w:val="auto"/>
          <w:highlight w:val="none"/>
        </w:rPr>
        <w:fldChar w:fldCharType="begin"/>
      </w:r>
      <w:r>
        <w:rPr>
          <w:color w:val="auto"/>
          <w:highlight w:val="none"/>
        </w:rPr>
        <w:instrText xml:space="preserve"> HYPERLINK \l "_Toc111571539" </w:instrText>
      </w:r>
      <w:r>
        <w:rPr>
          <w:color w:val="auto"/>
          <w:highlight w:val="none"/>
        </w:rPr>
        <w:fldChar w:fldCharType="separate"/>
      </w:r>
      <w:r>
        <w:rPr>
          <w:rStyle w:val="68"/>
          <w:rFonts w:hint="eastAsia" w:ascii="仿宋" w:hAnsi="仿宋" w:eastAsia="仿宋" w:cs="仿宋"/>
          <w:b w:val="0"/>
          <w:color w:val="auto"/>
          <w:sz w:val="30"/>
          <w:szCs w:val="30"/>
          <w:highlight w:val="none"/>
        </w:rPr>
        <w:t>第七部分  响应文件格式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_Toc111571539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- 41 -</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pPr>
        <w:widowControl/>
        <w:shd w:val="clear" w:color="auto" w:fill="FFFFFF"/>
        <w:spacing w:line="360" w:lineRule="exact"/>
        <w:rPr>
          <w:rFonts w:ascii="仿宋" w:hAnsi="仿宋" w:eastAsia="仿宋" w:cs="仿宋"/>
          <w:bCs/>
          <w:color w:val="auto"/>
          <w:kern w:val="0"/>
          <w:sz w:val="30"/>
          <w:szCs w:val="30"/>
          <w:highlight w:val="none"/>
        </w:rPr>
      </w:pPr>
      <w:r>
        <w:rPr>
          <w:rFonts w:hint="eastAsia" w:ascii="仿宋" w:hAnsi="仿宋" w:eastAsia="仿宋" w:cs="仿宋"/>
          <w:bCs/>
          <w:color w:val="auto"/>
          <w:kern w:val="0"/>
          <w:sz w:val="30"/>
          <w:szCs w:val="30"/>
          <w:highlight w:val="none"/>
        </w:rPr>
        <w:fldChar w:fldCharType="end"/>
      </w:r>
    </w:p>
    <w:p>
      <w:pPr>
        <w:pStyle w:val="57"/>
        <w:ind w:firstLine="210"/>
        <w:rPr>
          <w:rFonts w:ascii="仿宋" w:hAnsi="仿宋" w:eastAsia="仿宋" w:cs="仿宋"/>
          <w:color w:val="auto"/>
          <w:kern w:val="0"/>
          <w:highlight w:val="none"/>
        </w:rPr>
      </w:pPr>
      <w:r>
        <w:rPr>
          <w:rFonts w:hint="eastAsia" w:ascii="仿宋" w:hAnsi="仿宋" w:eastAsia="仿宋" w:cs="仿宋"/>
          <w:color w:val="auto"/>
          <w:kern w:val="0"/>
          <w:highlight w:val="none"/>
        </w:rPr>
        <w:br w:type="page"/>
      </w:r>
    </w:p>
    <w:p>
      <w:pPr>
        <w:widowControl/>
        <w:shd w:val="clear" w:color="auto" w:fill="FFFFFF"/>
        <w:spacing w:line="360" w:lineRule="exact"/>
        <w:rPr>
          <w:rFonts w:ascii="仿宋" w:hAnsi="仿宋" w:eastAsia="仿宋" w:cs="仿宋"/>
          <w:color w:val="auto"/>
          <w:kern w:val="0"/>
          <w:sz w:val="18"/>
          <w:szCs w:val="18"/>
          <w:highlight w:val="none"/>
        </w:rPr>
      </w:pPr>
    </w:p>
    <w:p>
      <w:pPr>
        <w:pStyle w:val="327"/>
        <w:spacing w:beforeLines="50" w:afterLines="50" w:line="360" w:lineRule="auto"/>
        <w:jc w:val="center"/>
        <w:outlineLvl w:val="0"/>
        <w:rPr>
          <w:rFonts w:ascii="仿宋" w:hAnsi="仿宋" w:eastAsia="仿宋" w:cs="仿宋"/>
          <w:b/>
          <w:color w:val="auto"/>
          <w:sz w:val="32"/>
          <w:szCs w:val="32"/>
          <w:highlight w:val="none"/>
        </w:rPr>
      </w:pPr>
      <w:bookmarkStart w:id="0" w:name="_Toc111571533"/>
      <w:r>
        <w:rPr>
          <w:rFonts w:hint="eastAsia" w:ascii="仿宋" w:hAnsi="仿宋" w:eastAsia="仿宋" w:cs="仿宋"/>
          <w:b/>
          <w:color w:val="auto"/>
          <w:sz w:val="32"/>
          <w:szCs w:val="32"/>
          <w:highlight w:val="none"/>
        </w:rPr>
        <w:t>第一部分  磋商公告</w:t>
      </w:r>
      <w:bookmarkEnd w:id="0"/>
    </w:p>
    <w:p>
      <w:pPr>
        <w:spacing w:line="40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shd w:val="clear" w:color="auto" w:fill="FFFFFF"/>
        </w:rPr>
        <w:t>2023PCCS004</w:t>
      </w:r>
    </w:p>
    <w:p>
      <w:pPr>
        <w:spacing w:line="400" w:lineRule="exact"/>
        <w:ind w:firstLine="480" w:firstLineChars="200"/>
        <w:rPr>
          <w:rFonts w:ascii="仿宋" w:hAnsi="仿宋" w:eastAsia="仿宋" w:cs="仿宋"/>
          <w:color w:val="auto"/>
          <w:spacing w:val="-11"/>
          <w:sz w:val="24"/>
          <w:highlight w:val="none"/>
        </w:rPr>
      </w:pPr>
      <w:r>
        <w:rPr>
          <w:rFonts w:hint="eastAsia" w:ascii="仿宋" w:hAnsi="仿宋" w:eastAsia="仿宋" w:cs="仿宋"/>
          <w:color w:val="auto"/>
          <w:sz w:val="24"/>
          <w:highlight w:val="none"/>
        </w:rPr>
        <w:t>项目名称：库尔勒市第二人民医院洗衣房设备采购项目</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预算金额（元）：990000.00</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最高限价（元）：750000.00</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采购需求：</w:t>
      </w:r>
    </w:p>
    <w:p>
      <w:pPr>
        <w:spacing w:line="400" w:lineRule="exact"/>
        <w:ind w:left="479" w:leftChars="228"/>
        <w:rPr>
          <w:rFonts w:ascii="仿宋" w:hAnsi="仿宋" w:eastAsia="仿宋" w:cs="仿宋"/>
          <w:color w:val="auto"/>
          <w:sz w:val="24"/>
          <w:highlight w:val="none"/>
        </w:rPr>
      </w:pPr>
      <w:r>
        <w:rPr>
          <w:rFonts w:hint="eastAsia" w:ascii="仿宋" w:hAnsi="仿宋" w:eastAsia="仿宋" w:cs="仿宋"/>
          <w:color w:val="auto"/>
          <w:sz w:val="24"/>
          <w:highlight w:val="none"/>
        </w:rPr>
        <w:t>标项名称：库尔勒市第二人民医院洗衣房设备采购项目</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数量：1</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单位：批</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简要规格描述：60kg隔离式医纺清洁处理机 1台，</w:t>
      </w:r>
      <w:r>
        <w:rPr>
          <w:rFonts w:hint="eastAsia" w:ascii="仿宋" w:hAnsi="仿宋" w:eastAsia="仿宋" w:cs="仿宋"/>
          <w:color w:val="auto"/>
          <w:sz w:val="24"/>
          <w:highlight w:val="none"/>
        </w:rPr>
        <w:t>110kg隔离式医纺清洁处理机 2台</w:t>
      </w:r>
      <w:r>
        <w:rPr>
          <w:rFonts w:hint="eastAsia" w:ascii="仿宋" w:hAnsi="仿宋" w:eastAsia="仿宋" w:cs="仿宋"/>
          <w:color w:val="auto"/>
          <w:sz w:val="24"/>
          <w:highlight w:val="none"/>
        </w:rPr>
        <w:t>，100kg电加热干燥机 1台，3米2辊电加热辊烫机 1台，吸风烫台（含熨斗） 2台，144kw蒸汽发生器 1台，水处理机 1台，电动缝纫机 1台，6000W油浸式空压机 1台，定制铁皮制品1批，具体要求详见磋商文件《采购需求》。</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备注：无</w:t>
      </w:r>
    </w:p>
    <w:p>
      <w:pPr>
        <w:widowControl/>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合同履行期限：自合同签订之日起至质保期结束。</w:t>
      </w:r>
    </w:p>
    <w:p>
      <w:pPr>
        <w:widowControl/>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 否 ）接受联合体投标。</w:t>
      </w:r>
    </w:p>
    <w:p>
      <w:pPr>
        <w:widowControl/>
        <w:shd w:val="clear" w:color="auto" w:fill="FFFFFF"/>
        <w:spacing w:line="40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2.落实政府采购政策需满足的资格要求：本项目专门面向中小企业采购</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3.本项目的特定资格要求：无</w:t>
      </w:r>
    </w:p>
    <w:p>
      <w:pPr>
        <w:widowControl/>
        <w:shd w:val="clear" w:color="auto" w:fill="FFFFFF"/>
        <w:spacing w:line="44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三、获取采购文件</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rPr>
        <w:t>2023年2月</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日 至 2023年2月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rPr>
        <w:t>，每天上午 10:00至12:00 ，下午 12:00至19:00 （北京时间，法定节假日除外）</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地点：政采云平台（https://www.zcygov.cn/）</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方式：供应商登陆政采云平台https://www.zcygov.cn/进入“项目采购”栏目，在获取磋商文件菜单中选择所要投标的项目，申请获取磋商文件。线下获取无效。</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售价（元）：0</w:t>
      </w:r>
    </w:p>
    <w:p>
      <w:pPr>
        <w:widowControl/>
        <w:shd w:val="clear" w:color="auto" w:fill="FFFFFF"/>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四、响应文件提交</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截止时间：2023年2月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 11:00（北京时间）</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地点：政采云平台（https://www.zcygov.cn/），本项目采用不见面开标，加密的电子投标文件在投标截止时间前通过CA在政采云平台上传。</w:t>
      </w:r>
    </w:p>
    <w:p>
      <w:pPr>
        <w:widowControl/>
        <w:shd w:val="clear" w:color="auto" w:fill="FFFFFF"/>
        <w:spacing w:line="440" w:lineRule="exact"/>
        <w:ind w:firstLine="482" w:firstLineChars="200"/>
        <w:rPr>
          <w:rFonts w:ascii="仿宋" w:hAnsi="仿宋" w:eastAsia="仿宋" w:cs="仿宋"/>
          <w:color w:val="auto"/>
          <w:sz w:val="24"/>
          <w:highlight w:val="none"/>
        </w:rPr>
      </w:pPr>
      <w:r>
        <w:rPr>
          <w:rFonts w:hint="eastAsia" w:ascii="仿宋" w:hAnsi="仿宋" w:eastAsia="仿宋" w:cs="仿宋"/>
          <w:b/>
          <w:bCs/>
          <w:color w:val="auto"/>
          <w:sz w:val="24"/>
          <w:highlight w:val="none"/>
        </w:rPr>
        <w:t>五、响应文件开启</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开启时间：2023年2月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 11:00（北京时间）</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地点：政采云平台（https://www.zcygov.cn/）</w:t>
      </w:r>
    </w:p>
    <w:p>
      <w:pPr>
        <w:widowControl/>
        <w:shd w:val="clear" w:color="auto" w:fill="FFFFFF"/>
        <w:spacing w:line="44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六、公告期限</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pPr>
        <w:widowControl/>
        <w:shd w:val="clear" w:color="auto" w:fill="FFFFFF"/>
        <w:spacing w:line="44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七、其他补充事宜</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1、本项目实行电子招投标，供应商须登录政采云平台申请获取招标文件，并通过政采云电子投标客户端制作投标文件，同时自行承担与投标有关的一切费用。</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2、各供应商应在开标前确保成为政采云平台供应商，并完成CA数字证书（符合国密标准）申领。因未注册入库、未办理CA数字证书等原因造成无法投标或投标失败等后果由供应商自行承担。</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4、本项目采用不见面开标，供应商须在投标截止时间前通过CA在政采云平台上传加密的电子响应文件。</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widowControl/>
        <w:shd w:val="clear" w:color="auto" w:fill="FFFFFF"/>
        <w:spacing w:line="440" w:lineRule="exact"/>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八、凡对本次招标提出询问，请按以下方式联系</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1.采购人信息</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名 称：库尔勒市第二人民医院</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 址：库尔勒市新城区平安路28号</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联系方式：18160276192</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名 称：新疆品创项目管理咨询有限公司</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 址：新疆乌鲁木齐市沙依巴克区长江路76号兴乐世贸广场29楼 业务二部</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联系方式：0991-5221699</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3.项目联系方式</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项目联系人：向磊、齐娟、张轩、周娟、郭克栋、甘甜</w:t>
      </w:r>
    </w:p>
    <w:p>
      <w:pPr>
        <w:widowControl/>
        <w:shd w:val="clear" w:color="auto" w:fill="FFFFFF"/>
        <w:spacing w:line="440" w:lineRule="exact"/>
        <w:ind w:firstLine="480" w:firstLineChars="200"/>
        <w:rPr>
          <w:rFonts w:ascii="仿宋" w:hAnsi="仿宋" w:eastAsia="仿宋" w:cs="仿宋"/>
          <w:color w:val="auto"/>
          <w:sz w:val="28"/>
          <w:highlight w:val="none"/>
        </w:rPr>
      </w:pPr>
      <w:r>
        <w:rPr>
          <w:rFonts w:hint="eastAsia" w:ascii="仿宋" w:hAnsi="仿宋" w:eastAsia="仿宋" w:cs="仿宋"/>
          <w:color w:val="auto"/>
          <w:sz w:val="24"/>
          <w:highlight w:val="none"/>
        </w:rPr>
        <w:t>电话：0991-5221699、15352628861</w:t>
      </w:r>
    </w:p>
    <w:p>
      <w:pPr>
        <w:widowControl/>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邮箱：599251130@qq.com</w:t>
      </w:r>
    </w:p>
    <w:p>
      <w:pPr>
        <w:pStyle w:val="327"/>
        <w:spacing w:beforeLines="50" w:afterLines="50" w:line="360" w:lineRule="auto"/>
        <w:jc w:val="center"/>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1" w:name="_Toc111571534"/>
      <w:r>
        <w:rPr>
          <w:rFonts w:hint="eastAsia" w:ascii="仿宋" w:hAnsi="仿宋" w:eastAsia="仿宋" w:cs="仿宋"/>
          <w:b/>
          <w:color w:val="auto"/>
          <w:sz w:val="32"/>
          <w:szCs w:val="32"/>
          <w:highlight w:val="none"/>
        </w:rPr>
        <w:t>第二部分  供应商须知前附表</w:t>
      </w:r>
      <w:bookmarkEnd w:id="1"/>
    </w:p>
    <w:tbl>
      <w:tblPr>
        <w:tblStyle w:val="59"/>
        <w:tblW w:w="9923"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93"/>
        <w:gridCol w:w="983"/>
        <w:gridCol w:w="4143"/>
        <w:gridCol w:w="20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项号</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内  容</w:t>
            </w:r>
          </w:p>
        </w:tc>
        <w:tc>
          <w:tcPr>
            <w:tcW w:w="7218" w:type="dxa"/>
            <w:gridSpan w:val="3"/>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restart"/>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１</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项目名称</w:t>
            </w:r>
          </w:p>
        </w:tc>
        <w:tc>
          <w:tcPr>
            <w:tcW w:w="7218" w:type="dxa"/>
            <w:gridSpan w:val="3"/>
            <w:vAlign w:val="center"/>
          </w:tcPr>
          <w:p>
            <w:pPr>
              <w:shd w:val="clear" w:color="auto" w:fill="FFFFFF"/>
              <w:autoSpaceDE w:val="0"/>
              <w:autoSpaceDN w:val="0"/>
              <w:spacing w:line="380" w:lineRule="exact"/>
              <w:rPr>
                <w:rFonts w:ascii="仿宋" w:hAnsi="仿宋" w:eastAsia="仿宋" w:cs="仿宋"/>
                <w:bCs/>
                <w:color w:val="auto"/>
                <w:spacing w:val="-4"/>
                <w:kern w:val="0"/>
                <w:sz w:val="24"/>
                <w:highlight w:val="none"/>
              </w:rPr>
            </w:pPr>
            <w:r>
              <w:rPr>
                <w:rFonts w:hint="eastAsia" w:ascii="仿宋" w:hAnsi="仿宋" w:eastAsia="仿宋" w:cs="仿宋"/>
                <w:color w:val="auto"/>
                <w:sz w:val="24"/>
                <w:highlight w:val="none"/>
              </w:rPr>
              <w:t>库尔勒市第二人民医院洗衣房设备采购项目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color w:val="auto"/>
                <w:sz w:val="24"/>
                <w:highlight w:val="none"/>
              </w:rPr>
              <w:t>项目编号</w:t>
            </w:r>
          </w:p>
        </w:tc>
        <w:tc>
          <w:tcPr>
            <w:tcW w:w="7218" w:type="dxa"/>
            <w:gridSpan w:val="3"/>
            <w:vAlign w:val="center"/>
          </w:tcPr>
          <w:p>
            <w:pPr>
              <w:shd w:val="clear" w:color="auto" w:fill="FFFFFF"/>
              <w:autoSpaceDE w:val="0"/>
              <w:autoSpaceDN w:val="0"/>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2023PCCS004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p>
        </w:tc>
        <w:tc>
          <w:tcPr>
            <w:tcW w:w="1993" w:type="dxa"/>
            <w:vAlign w:val="center"/>
          </w:tcPr>
          <w:p>
            <w:pPr>
              <w:shd w:val="clear" w:color="auto" w:fill="FFFFFF"/>
              <w:autoSpaceDE w:val="0"/>
              <w:autoSpaceDN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7218" w:type="dxa"/>
            <w:gridSpan w:val="3"/>
            <w:vAlign w:val="center"/>
          </w:tcPr>
          <w:p>
            <w:pPr>
              <w:shd w:val="clear" w:color="auto" w:fill="FFFFFF"/>
              <w:autoSpaceDE w:val="0"/>
              <w:autoSpaceDN w:val="0"/>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库尔勒市第二人民医院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采购方式</w:t>
            </w:r>
          </w:p>
        </w:tc>
        <w:tc>
          <w:tcPr>
            <w:tcW w:w="7218" w:type="dxa"/>
            <w:gridSpan w:val="3"/>
            <w:vAlign w:val="center"/>
          </w:tcPr>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资金来源</w:t>
            </w:r>
          </w:p>
        </w:tc>
        <w:tc>
          <w:tcPr>
            <w:tcW w:w="7218" w:type="dxa"/>
            <w:gridSpan w:val="3"/>
            <w:vAlign w:val="center"/>
          </w:tcPr>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color w:val="auto"/>
                <w:sz w:val="24"/>
                <w:highlight w:val="none"/>
              </w:rPr>
              <w:t>自筹资金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资格审查方式</w:t>
            </w:r>
          </w:p>
        </w:tc>
        <w:tc>
          <w:tcPr>
            <w:tcW w:w="7218" w:type="dxa"/>
            <w:gridSpan w:val="3"/>
            <w:vAlign w:val="center"/>
          </w:tcPr>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p>
        </w:tc>
        <w:tc>
          <w:tcPr>
            <w:tcW w:w="1993" w:type="dxa"/>
            <w:vMerge w:val="restart"/>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磋商内容</w:t>
            </w:r>
          </w:p>
        </w:tc>
        <w:tc>
          <w:tcPr>
            <w:tcW w:w="983" w:type="dxa"/>
            <w:vAlign w:val="center"/>
          </w:tcPr>
          <w:p>
            <w:pPr>
              <w:widowControl/>
              <w:shd w:val="clear" w:color="auto" w:fill="FFFFFF"/>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143" w:type="dxa"/>
            <w:vAlign w:val="center"/>
          </w:tcPr>
          <w:p>
            <w:pPr>
              <w:widowControl/>
              <w:shd w:val="clear" w:color="auto" w:fill="FFFFFF"/>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设备名称</w:t>
            </w:r>
          </w:p>
        </w:tc>
        <w:tc>
          <w:tcPr>
            <w:tcW w:w="2092" w:type="dxa"/>
            <w:vAlign w:val="center"/>
          </w:tcPr>
          <w:p>
            <w:pPr>
              <w:widowControl/>
              <w:shd w:val="clear" w:color="auto" w:fill="FFFFFF"/>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1993"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98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w:t>
            </w:r>
          </w:p>
        </w:tc>
        <w:tc>
          <w:tcPr>
            <w:tcW w:w="414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60kg隔离式医纺清洁处理机</w:t>
            </w:r>
          </w:p>
        </w:tc>
        <w:tc>
          <w:tcPr>
            <w:tcW w:w="2092"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712"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1993"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98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2</w:t>
            </w:r>
          </w:p>
        </w:tc>
        <w:tc>
          <w:tcPr>
            <w:tcW w:w="414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110kg隔离式医纺清洁处理机</w:t>
            </w:r>
          </w:p>
        </w:tc>
        <w:tc>
          <w:tcPr>
            <w:tcW w:w="2092"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2台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712"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1993"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98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3</w:t>
            </w:r>
          </w:p>
        </w:tc>
        <w:tc>
          <w:tcPr>
            <w:tcW w:w="414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100kg电加热干燥机</w:t>
            </w:r>
          </w:p>
        </w:tc>
        <w:tc>
          <w:tcPr>
            <w:tcW w:w="2092"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712"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1993"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98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4</w:t>
            </w:r>
          </w:p>
        </w:tc>
        <w:tc>
          <w:tcPr>
            <w:tcW w:w="414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3米2辊电加热辊烫机</w:t>
            </w:r>
          </w:p>
        </w:tc>
        <w:tc>
          <w:tcPr>
            <w:tcW w:w="2092"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712"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1993"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98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5</w:t>
            </w:r>
          </w:p>
        </w:tc>
        <w:tc>
          <w:tcPr>
            <w:tcW w:w="414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吸风烫台（含熨斗）</w:t>
            </w:r>
          </w:p>
        </w:tc>
        <w:tc>
          <w:tcPr>
            <w:tcW w:w="2092"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2台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712"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1993"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98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6</w:t>
            </w:r>
          </w:p>
        </w:tc>
        <w:tc>
          <w:tcPr>
            <w:tcW w:w="414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144kw蒸汽发生器</w:t>
            </w:r>
          </w:p>
        </w:tc>
        <w:tc>
          <w:tcPr>
            <w:tcW w:w="2092"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712"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1993"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98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7</w:t>
            </w:r>
          </w:p>
        </w:tc>
        <w:tc>
          <w:tcPr>
            <w:tcW w:w="414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水处理机</w:t>
            </w:r>
          </w:p>
        </w:tc>
        <w:tc>
          <w:tcPr>
            <w:tcW w:w="2092"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712"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1993"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98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8</w:t>
            </w:r>
          </w:p>
        </w:tc>
        <w:tc>
          <w:tcPr>
            <w:tcW w:w="414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电动缝纫机</w:t>
            </w:r>
          </w:p>
        </w:tc>
        <w:tc>
          <w:tcPr>
            <w:tcW w:w="2092"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712"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1993"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98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9</w:t>
            </w:r>
          </w:p>
        </w:tc>
        <w:tc>
          <w:tcPr>
            <w:tcW w:w="414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6000W油浸式空压机</w:t>
            </w:r>
          </w:p>
        </w:tc>
        <w:tc>
          <w:tcPr>
            <w:tcW w:w="2092"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712"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1993" w:type="dxa"/>
            <w:vMerge w:val="continue"/>
            <w:vAlign w:val="center"/>
          </w:tcPr>
          <w:p>
            <w:pPr>
              <w:widowControl/>
              <w:shd w:val="clear" w:color="auto" w:fill="FFFFFF"/>
              <w:spacing w:line="400" w:lineRule="exact"/>
              <w:rPr>
                <w:rFonts w:ascii="仿宋" w:hAnsi="仿宋" w:eastAsia="仿宋" w:cs="仿宋"/>
                <w:color w:val="auto"/>
                <w:highlight w:val="none"/>
              </w:rPr>
            </w:pPr>
          </w:p>
        </w:tc>
        <w:tc>
          <w:tcPr>
            <w:tcW w:w="98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10</w:t>
            </w:r>
          </w:p>
        </w:tc>
        <w:tc>
          <w:tcPr>
            <w:tcW w:w="4143"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铁皮制品（定制）</w:t>
            </w:r>
          </w:p>
        </w:tc>
        <w:tc>
          <w:tcPr>
            <w:tcW w:w="2092" w:type="dxa"/>
          </w:tcPr>
          <w:p>
            <w:pPr>
              <w:spacing w:line="380" w:lineRule="exact"/>
              <w:jc w:val="center"/>
              <w:rPr>
                <w:rFonts w:ascii="仿宋" w:hAnsi="仿宋" w:eastAsia="仿宋" w:cs="仿宋"/>
                <w:color w:val="auto"/>
                <w:highlight w:val="none"/>
              </w:rPr>
            </w:pPr>
            <w:r>
              <w:rPr>
                <w:rFonts w:hint="eastAsia" w:ascii="仿宋" w:hAnsi="仿宋" w:eastAsia="仿宋" w:cs="仿宋"/>
                <w:color w:val="auto"/>
                <w:kern w:val="0"/>
                <w:sz w:val="24"/>
                <w:highlight w:val="none"/>
              </w:rPr>
              <w:t>1批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预算</w:t>
            </w:r>
            <w:r>
              <w:rPr>
                <w:rFonts w:hint="eastAsia" w:ascii="仿宋" w:hAnsi="仿宋" w:eastAsia="仿宋" w:cs="仿宋"/>
                <w:color w:val="auto"/>
                <w:sz w:val="24"/>
                <w:highlight w:val="none"/>
              </w:rPr>
              <w:t>及最高限价</w:t>
            </w:r>
            <w:r>
              <w:rPr>
                <w:rFonts w:hint="eastAsia" w:ascii="仿宋" w:hAnsi="仿宋" w:eastAsia="仿宋" w:cs="仿宋"/>
                <w:b/>
                <w:bCs/>
                <w:color w:val="auto"/>
                <w:sz w:val="24"/>
                <w:highlight w:val="none"/>
              </w:rPr>
              <w:t>（实质性条款）</w:t>
            </w:r>
          </w:p>
        </w:tc>
        <w:tc>
          <w:tcPr>
            <w:tcW w:w="7218" w:type="dxa"/>
            <w:gridSpan w:val="3"/>
            <w:vAlign w:val="center"/>
          </w:tcPr>
          <w:p>
            <w:pPr>
              <w:shd w:val="clear" w:color="auto" w:fill="FFFFFF"/>
              <w:autoSpaceDE w:val="0"/>
              <w:autoSpaceDN w:val="0"/>
              <w:spacing w:line="380" w:lineRule="exact"/>
              <w:rPr>
                <w:rFonts w:ascii="仿宋" w:hAnsi="仿宋" w:eastAsia="仿宋" w:cs="仿宋"/>
                <w:b/>
                <w:color w:val="auto"/>
                <w:sz w:val="24"/>
                <w:highlight w:val="none"/>
              </w:rPr>
            </w:pPr>
            <w:r>
              <w:rPr>
                <w:rFonts w:hint="eastAsia" w:ascii="仿宋" w:hAnsi="仿宋" w:eastAsia="仿宋" w:cs="仿宋"/>
                <w:color w:val="auto"/>
                <w:sz w:val="24"/>
                <w:highlight w:val="none"/>
              </w:rPr>
              <w:t>预算990000.00元，</w:t>
            </w:r>
            <w:r>
              <w:rPr>
                <w:rFonts w:hint="eastAsia" w:ascii="仿宋" w:hAnsi="仿宋" w:eastAsia="仿宋" w:cs="仿宋"/>
                <w:color w:val="auto"/>
                <w:sz w:val="24"/>
                <w:highlight w:val="none"/>
              </w:rPr>
              <w:t>最高限价750000.00元</w:t>
            </w:r>
            <w:r>
              <w:rPr>
                <w:rFonts w:hint="eastAsia" w:ascii="仿宋" w:hAnsi="仿宋" w:eastAsia="仿宋" w:cs="仿宋"/>
                <w:color w:val="auto"/>
                <w:sz w:val="24"/>
                <w:highlight w:val="none"/>
              </w:rPr>
              <w:t>。包括全套设备系统的供应、运输、保险、安装调试、验收、税金、培训及售后服务等全部费用。</w:t>
            </w:r>
            <w:r>
              <w:rPr>
                <w:rFonts w:hint="eastAsia" w:ascii="仿宋" w:hAnsi="仿宋" w:eastAsia="仿宋" w:cs="仿宋"/>
                <w:b/>
                <w:color w:val="auto"/>
                <w:sz w:val="24"/>
                <w:highlight w:val="none"/>
              </w:rPr>
              <w:t>供应商磋商报价超过最高限价的按无效投标处理。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质量标准</w:t>
            </w:r>
          </w:p>
        </w:tc>
        <w:tc>
          <w:tcPr>
            <w:tcW w:w="7218" w:type="dxa"/>
            <w:gridSpan w:val="3"/>
            <w:vAlign w:val="center"/>
          </w:tcPr>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合格（通过采购人及有关部门组织的项目验收）。采购人验收时，将根据磋商文件“第五部分 采购需求”所列技术要求及供应商磋商时的技术参数响应情况，逐条进行核对，如设备的技术要求或功能与供应商响应情况不符的，采购人有权终止合同并根据合同条款追究供货商的相关责任。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供应商资格</w:t>
            </w:r>
          </w:p>
        </w:tc>
        <w:tc>
          <w:tcPr>
            <w:tcW w:w="7218" w:type="dxa"/>
            <w:gridSpan w:val="3"/>
            <w:vAlign w:val="center"/>
          </w:tcPr>
          <w:p>
            <w:pPr>
              <w:widowControl/>
              <w:shd w:val="clear" w:color="auto" w:fill="FFFFFF"/>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4.1.供应商须满足《中华人民共和国政府采购法》第二十二条款规定。</w:t>
            </w:r>
          </w:p>
          <w:p>
            <w:pPr>
              <w:widowControl/>
              <w:spacing w:line="380" w:lineRule="exact"/>
              <w:rPr>
                <w:rFonts w:ascii="仿宋" w:hAnsi="仿宋" w:eastAsia="仿宋" w:cs="仿宋"/>
                <w:b/>
                <w:color w:val="auto"/>
                <w:sz w:val="24"/>
                <w:highlight w:val="none"/>
              </w:rPr>
            </w:pPr>
            <w:r>
              <w:rPr>
                <w:rFonts w:hint="eastAsia" w:ascii="仿宋" w:hAnsi="仿宋" w:eastAsia="仿宋" w:cs="仿宋"/>
                <w:color w:val="auto"/>
                <w:kern w:val="0"/>
                <w:sz w:val="24"/>
                <w:highlight w:val="none"/>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Pr>
                <w:rFonts w:hint="eastAsia" w:ascii="仿宋" w:hAnsi="仿宋" w:eastAsia="仿宋" w:cs="仿宋"/>
                <w:b/>
                <w:color w:val="auto"/>
                <w:sz w:val="24"/>
                <w:highlight w:val="none"/>
              </w:rPr>
              <w:t>（注：招标代理机构在开标时间后至资格审查结束前通过上述查询渠道进行网上查询，对存在“失信被执行人”、“重大税收违法案件当事人名单”、“政府采购严重违法失信行为记录名单”情形的供应商，资格审查不合格，投标无效，同时其信用信息查询记录作为证据存档。）</w:t>
            </w:r>
          </w:p>
          <w:p>
            <w:pPr>
              <w:widowControl/>
              <w:shd w:val="clear" w:color="auto" w:fill="FFFFFF"/>
              <w:spacing w:line="38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4.3本项目专门面向中小企业采购。</w:t>
            </w:r>
          </w:p>
          <w:p>
            <w:pPr>
              <w:widowControl/>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4.4供应商不得存在下列情形之一：</w:t>
            </w:r>
          </w:p>
          <w:p>
            <w:pPr>
              <w:widowControl/>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（l）与采购人、采购代理机构存在隶属关系或者其他利害关系。</w:t>
            </w:r>
          </w:p>
          <w:p>
            <w:pPr>
              <w:widowControl/>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（2）与其他供应商的法定代表人（或者负责人）为同一人；或者与其他供应商存在直接控股、管理关系的；</w:t>
            </w:r>
          </w:p>
          <w:p>
            <w:pPr>
              <w:widowControl/>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（3）为采购项目提供整体设计、规范编制或者项目管理、监理、检测等服务的供应商,不得再参加该采购项目的其他采购活动。</w:t>
            </w:r>
          </w:p>
          <w:p>
            <w:pPr>
              <w:widowControl/>
              <w:shd w:val="clear" w:color="auto" w:fill="FFFFFF"/>
              <w:spacing w:line="380" w:lineRule="exact"/>
              <w:rPr>
                <w:rFonts w:ascii="仿宋" w:hAnsi="仿宋" w:eastAsia="仿宋" w:cs="仿宋"/>
                <w:color w:val="auto"/>
                <w:sz w:val="24"/>
                <w:highlight w:val="none"/>
              </w:rPr>
            </w:pPr>
            <w:r>
              <w:rPr>
                <w:rFonts w:hint="eastAsia" w:ascii="仿宋" w:hAnsi="仿宋" w:eastAsia="仿宋" w:cs="仿宋"/>
                <w:color w:val="auto"/>
                <w:kern w:val="0"/>
                <w:sz w:val="24"/>
                <w:highlight w:val="none"/>
              </w:rPr>
              <w:t>4.5</w:t>
            </w:r>
            <w:r>
              <w:rPr>
                <w:rFonts w:hint="eastAsia" w:ascii="仿宋" w:hAnsi="仿宋" w:eastAsia="仿宋" w:cs="仿宋"/>
                <w:color w:val="auto"/>
                <w:sz w:val="24"/>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响应文件份数及组成</w:t>
            </w:r>
          </w:p>
        </w:tc>
        <w:tc>
          <w:tcPr>
            <w:tcW w:w="7218" w:type="dxa"/>
            <w:gridSpan w:val="3"/>
            <w:vAlign w:val="center"/>
          </w:tcPr>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5.1响应文件份数</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5.1.1加密的电子响应文件在投标截止时间前通过CA在政采云平台上传，加密的电子响应文件为使用政采云电子投标客户端制作生成的加密版响应文件。供应商未按上述要求提供加密的电子响应文件的，将导致投标无效。</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5.1.2成交供应商在领取成交通知书时须向采购代理机构递交纸质版响应文件肆份（正本一份，副本叁份，内容应与加密的电子版响应文件内容一致）。纸质版响应文件邮寄或递交至：库尔勒市梨乡路豪景大厦1102室，邢安泽19999172826。供应商应按上述要求提供纸质版响应文件，以便磋商保证金及时退还。</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5.2响应文件组成及要求</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5.2.1资格审查文件</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*（1）供应商营业执照或其他组织资格证书，扫描件；</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*（2）供应商法定代表人资格证明书和法定代表人身份证或者法定代表人授权委托书及被授权人身份证明，扫描件（按磋商文件给定格式提供）；</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*（3）供应商2022年内任意三个月依法缴纳税收和缴纳社会保障资金证明资料：</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①缴纳税收资料：提供税务机构出具的2022年内任意三个月的依法缴纳税收等证明材料（成立不满三个月的企业，应提供依法缴纳税收承诺书；依法免税的企业，应提供相关证明文件）。</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②缴纳社会保障资金资料：提供2022年内任意三个月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*（4）供应商经审计的2021年度的财务审计报告。供应商自成立到投标截止时间，未跨一个自然年度的须提供近一个季度的财务报表或开标前三个月内基本开户银行出具的资信证明，复印件加盖公章；</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*（5）供应商参加本次政府采购活动前3年内在经营活动中没有重大违法记录的书面声明，原件的扫描件；</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*（6）磋商保证金缴纳凭证（打印件或复印件）；</w:t>
            </w:r>
          </w:p>
          <w:p>
            <w:pPr>
              <w:shd w:val="clear" w:color="auto" w:fill="FFFFFF"/>
              <w:autoSpaceDE w:val="0"/>
              <w:autoSpaceDN w:val="0"/>
              <w:spacing w:line="380" w:lineRule="exact"/>
              <w:rPr>
                <w:rFonts w:eastAsia="仿宋"/>
                <w:color w:val="auto"/>
                <w:highlight w:val="none"/>
              </w:rPr>
            </w:pPr>
            <w:r>
              <w:rPr>
                <w:rFonts w:hint="eastAsia" w:ascii="仿宋" w:hAnsi="仿宋" w:eastAsia="仿宋" w:cs="仿宋"/>
                <w:b/>
                <w:bCs/>
                <w:color w:val="auto"/>
                <w:kern w:val="0"/>
                <w:sz w:val="24"/>
                <w:highlight w:val="none"/>
              </w:rPr>
              <w:t>*（7）中小企业声明函（按磋商文件给定格式提供且内容</w:t>
            </w:r>
            <w:r>
              <w:rPr>
                <w:rFonts w:hint="eastAsia" w:ascii="仿宋" w:hAnsi="仿宋" w:eastAsia="仿宋" w:cs="仿宋"/>
                <w:b/>
                <w:bCs/>
                <w:color w:val="auto"/>
                <w:kern w:val="0"/>
                <w:sz w:val="24"/>
                <w:highlight w:val="none"/>
                <w:lang w:val="en-US" w:eastAsia="zh-CN"/>
              </w:rPr>
              <w:t>须</w:t>
            </w:r>
            <w:r>
              <w:rPr>
                <w:rFonts w:hint="eastAsia" w:ascii="仿宋" w:hAnsi="仿宋" w:eastAsia="仿宋" w:cs="仿宋"/>
                <w:b/>
                <w:bCs/>
                <w:color w:val="auto"/>
                <w:kern w:val="0"/>
                <w:sz w:val="24"/>
                <w:highlight w:val="none"/>
              </w:rPr>
              <w:t>填写完整）。</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5.2.2商务技术响应文件主要包括但不限于以下内容：</w:t>
            </w:r>
            <w:bookmarkStart w:id="12" w:name="_GoBack"/>
            <w:bookmarkEnd w:id="12"/>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*（1）磋商承诺书；</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*（2）磋商一览表；</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报价明细表；（供应商提供的《报价明细表》应按磋商文件所提供格式报价，不接受供货范围不符、不接受缺漏项、不接受顺序更改、不接受数量负偏离，否则，投标无效。如有增项，须在《报价明细表》最末说明及增加）</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*（4）商务及合同条款偏离表（须包括对本文件《投标须知前附表》提出的“投标有效期”、“交货期”、“交货地点”、“质保期”、“付款方式”五项内容逐条响应，不接受负偏离）；</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*（5）技术条款偏离表（供应商须对照第五部分《采购需求》全部内容逐条列明响应内容及是否偏离等情况）；</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*（6）产品详细配置清单；</w:t>
            </w:r>
          </w:p>
          <w:p>
            <w:pPr>
              <w:shd w:val="clear" w:color="auto" w:fill="FFFFFF"/>
              <w:autoSpaceDE w:val="0"/>
              <w:autoSpaceDN w:val="0"/>
              <w:spacing w:line="380" w:lineRule="exact"/>
              <w:rPr>
                <w:rFonts w:ascii="仿宋" w:hAnsi="仿宋" w:eastAsia="仿宋" w:cs="仿宋"/>
                <w:b/>
                <w:color w:val="auto"/>
                <w:kern w:val="0"/>
                <w:sz w:val="24"/>
                <w:highlight w:val="none"/>
              </w:rPr>
            </w:pPr>
            <w:r>
              <w:rPr>
                <w:rFonts w:hint="eastAsia" w:ascii="仿宋" w:hAnsi="仿宋" w:eastAsia="仿宋" w:cs="仿宋"/>
                <w:b/>
                <w:bCs/>
                <w:color w:val="auto"/>
                <w:kern w:val="0"/>
                <w:sz w:val="24"/>
                <w:highlight w:val="none"/>
              </w:rPr>
              <w:t>*</w:t>
            </w:r>
            <w:r>
              <w:rPr>
                <w:rFonts w:hint="eastAsia" w:ascii="仿宋" w:hAnsi="仿宋" w:eastAsia="仿宋" w:cs="仿宋"/>
                <w:bCs/>
                <w:color w:val="auto"/>
                <w:kern w:val="0"/>
                <w:sz w:val="24"/>
                <w:highlight w:val="none"/>
              </w:rPr>
              <w:t>（</w:t>
            </w:r>
            <w:r>
              <w:rPr>
                <w:rFonts w:hint="eastAsia" w:ascii="仿宋" w:hAnsi="仿宋" w:eastAsia="仿宋" w:cs="仿宋"/>
                <w:b/>
                <w:color w:val="auto"/>
                <w:kern w:val="0"/>
                <w:sz w:val="24"/>
                <w:highlight w:val="none"/>
              </w:rPr>
              <w:t>7）项目实施方案（包括但不限于项目详细的实施计划、设备到货进度计划、安装调试计划、项目重点难点分析及应对措施等）；</w:t>
            </w:r>
          </w:p>
          <w:p>
            <w:pPr>
              <w:pStyle w:val="2"/>
              <w:spacing w:line="380" w:lineRule="exact"/>
              <w:rPr>
                <w:rFonts w:ascii="仿宋" w:hAnsi="仿宋" w:eastAsia="仿宋" w:cs="仿宋"/>
                <w:color w:val="auto"/>
                <w:highlight w:val="none"/>
              </w:rPr>
            </w:pPr>
            <w:r>
              <w:rPr>
                <w:rFonts w:hint="eastAsia" w:ascii="仿宋" w:hAnsi="仿宋" w:eastAsia="仿宋" w:cs="仿宋"/>
                <w:b/>
                <w:bCs/>
                <w:color w:val="auto"/>
                <w:kern w:val="0"/>
                <w:sz w:val="24"/>
                <w:highlight w:val="none"/>
              </w:rPr>
              <w:t>*</w:t>
            </w:r>
            <w:r>
              <w:rPr>
                <w:rFonts w:hint="eastAsia" w:ascii="仿宋" w:hAnsi="仿宋" w:eastAsia="仿宋" w:cs="仿宋"/>
                <w:b/>
                <w:color w:val="auto"/>
                <w:kern w:val="0"/>
                <w:sz w:val="24"/>
                <w:highlight w:val="none"/>
              </w:rPr>
              <w:t>（8）</w:t>
            </w:r>
            <w:r>
              <w:rPr>
                <w:rFonts w:hint="eastAsia" w:ascii="仿宋" w:hAnsi="仿宋" w:eastAsia="仿宋" w:cs="仿宋"/>
                <w:b/>
                <w:bCs/>
                <w:color w:val="auto"/>
                <w:kern w:val="0"/>
                <w:sz w:val="24"/>
                <w:highlight w:val="none"/>
              </w:rPr>
              <w:t>售后服务方案（包括但不限于售后服务响应时间、服务保障措施、培训计划方案、服务网点、易损件及备件价格等）；</w:t>
            </w:r>
          </w:p>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bCs/>
                <w:color w:val="auto"/>
                <w:kern w:val="0"/>
                <w:sz w:val="24"/>
                <w:highlight w:val="none"/>
              </w:rPr>
              <w:t>9）所投产品且为所投型号（110kg隔离式医纺清洁处理机、100kg电加热干燥机、</w:t>
            </w:r>
            <w:r>
              <w:rPr>
                <w:rFonts w:hint="eastAsia" w:ascii="仿宋" w:hAnsi="仿宋" w:eastAsia="仿宋" w:cs="仿宋"/>
                <w:color w:val="auto"/>
                <w:kern w:val="0"/>
                <w:sz w:val="24"/>
                <w:highlight w:val="none"/>
              </w:rPr>
              <w:t>3米2辊电加热辊烫机</w:t>
            </w:r>
            <w:r>
              <w:rPr>
                <w:rFonts w:hint="eastAsia" w:ascii="仿宋" w:hAnsi="仿宋" w:eastAsia="仿宋" w:cs="仿宋"/>
                <w:bCs/>
                <w:color w:val="auto"/>
                <w:kern w:val="0"/>
                <w:sz w:val="24"/>
                <w:highlight w:val="none"/>
              </w:rPr>
              <w:t>）的近3年（自2020年1月1日至本项目磋商截止时间）业绩，须提供合同清晰扫描件作为业绩证明材料。证明材料应能清楚反应产品名称、型号、金额、合同签订日期、盖章信息。</w:t>
            </w:r>
          </w:p>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（10）供应商认为有必要提供的声明及其他文件资料。</w:t>
            </w:r>
          </w:p>
          <w:p>
            <w:pPr>
              <w:shd w:val="clear" w:color="auto" w:fill="FFFFFF"/>
              <w:autoSpaceDE w:val="0"/>
              <w:autoSpaceDN w:val="0"/>
              <w:spacing w:line="38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上述5.2.1、5.2.2项中加注*号的条款为必备项，供应商在响应文件中必须提供有关材料，如果缺项或不符合要求，磋商无效。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响应文件递交截止时间</w:t>
            </w:r>
          </w:p>
        </w:tc>
        <w:tc>
          <w:tcPr>
            <w:tcW w:w="7218" w:type="dxa"/>
            <w:gridSpan w:val="3"/>
            <w:vAlign w:val="center"/>
          </w:tcPr>
          <w:p>
            <w:pPr>
              <w:shd w:val="clear" w:color="auto" w:fill="FFFFFF"/>
              <w:autoSpaceDE w:val="0"/>
              <w:autoSpaceDN w:val="0"/>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2023年2月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 11:00时（北京时间）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磋商有效期限</w:t>
            </w:r>
            <w:r>
              <w:rPr>
                <w:rFonts w:hint="eastAsia" w:ascii="仿宋" w:hAnsi="仿宋" w:eastAsia="仿宋" w:cs="仿宋"/>
                <w:b/>
                <w:bCs/>
                <w:color w:val="auto"/>
                <w:sz w:val="24"/>
                <w:highlight w:val="none"/>
              </w:rPr>
              <w:t>（实质性条款）</w:t>
            </w:r>
          </w:p>
        </w:tc>
        <w:tc>
          <w:tcPr>
            <w:tcW w:w="7218" w:type="dxa"/>
            <w:gridSpan w:val="3"/>
            <w:vAlign w:val="center"/>
          </w:tcPr>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磋商时间截止后</w:t>
            </w:r>
            <w:r>
              <w:rPr>
                <w:rFonts w:hint="eastAsia" w:ascii="仿宋" w:hAnsi="仿宋" w:eastAsia="仿宋" w:cs="仿宋"/>
                <w:bCs/>
                <w:color w:val="auto"/>
                <w:kern w:val="0"/>
                <w:sz w:val="24"/>
                <w:highlight w:val="none"/>
                <w:u w:val="single"/>
              </w:rPr>
              <w:t>90</w:t>
            </w:r>
            <w:r>
              <w:rPr>
                <w:rFonts w:hint="eastAsia" w:ascii="仿宋" w:hAnsi="仿宋" w:eastAsia="仿宋" w:cs="仿宋"/>
                <w:bCs/>
                <w:color w:val="auto"/>
                <w:kern w:val="0"/>
                <w:sz w:val="24"/>
                <w:highlight w:val="none"/>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响应文件递交地点</w:t>
            </w:r>
          </w:p>
        </w:tc>
        <w:tc>
          <w:tcPr>
            <w:tcW w:w="7218" w:type="dxa"/>
            <w:gridSpan w:val="3"/>
            <w:vAlign w:val="center"/>
          </w:tcPr>
          <w:p>
            <w:pPr>
              <w:widowControl/>
              <w:shd w:val="clear" w:color="auto" w:fill="FFFFFF"/>
              <w:spacing w:line="380" w:lineRule="exact"/>
              <w:jc w:val="left"/>
              <w:rPr>
                <w:rFonts w:ascii="仿宋" w:hAnsi="仿宋" w:eastAsia="仿宋" w:cs="仿宋"/>
                <w:bCs/>
                <w:color w:val="auto"/>
                <w:spacing w:val="-10"/>
                <w:kern w:val="0"/>
                <w:sz w:val="24"/>
                <w:highlight w:val="none"/>
              </w:rPr>
            </w:pPr>
            <w:r>
              <w:rPr>
                <w:rFonts w:hint="eastAsia" w:ascii="仿宋" w:hAnsi="仿宋" w:eastAsia="仿宋" w:cs="仿宋"/>
                <w:b/>
                <w:bCs/>
                <w:color w:val="auto"/>
                <w:spacing w:val="-10"/>
                <w:kern w:val="0"/>
                <w:sz w:val="24"/>
                <w:highlight w:val="none"/>
              </w:rPr>
              <w:t>本项目采用不见面磋商</w:t>
            </w:r>
            <w:r>
              <w:rPr>
                <w:rFonts w:hint="eastAsia" w:ascii="仿宋" w:hAnsi="仿宋" w:eastAsia="仿宋" w:cs="仿宋"/>
                <w:bCs/>
                <w:color w:val="auto"/>
                <w:spacing w:val="-10"/>
                <w:kern w:val="0"/>
                <w:sz w:val="24"/>
                <w:highlight w:val="none"/>
              </w:rPr>
              <w:t>，加密的电子响应文件在响应文件递交截止时间前通过CA在政采云平台上传。</w:t>
            </w:r>
          </w:p>
          <w:p>
            <w:pPr>
              <w:widowControl/>
              <w:shd w:val="clear" w:color="auto" w:fill="FFFFFF"/>
              <w:spacing w:line="380" w:lineRule="exact"/>
              <w:jc w:val="left"/>
              <w:rPr>
                <w:rFonts w:ascii="仿宋" w:hAnsi="仿宋" w:eastAsia="仿宋" w:cs="仿宋"/>
                <w:bCs/>
                <w:color w:val="auto"/>
                <w:spacing w:val="-10"/>
                <w:kern w:val="0"/>
                <w:sz w:val="24"/>
                <w:highlight w:val="none"/>
              </w:rPr>
            </w:pPr>
            <w:r>
              <w:rPr>
                <w:rFonts w:hint="eastAsia" w:ascii="仿宋" w:hAnsi="仿宋" w:eastAsia="仿宋" w:cs="仿宋"/>
                <w:bCs/>
                <w:color w:val="auto"/>
                <w:spacing w:val="-10"/>
                <w:kern w:val="0"/>
                <w:sz w:val="24"/>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磋商时间、磋商地点</w:t>
            </w:r>
          </w:p>
        </w:tc>
        <w:tc>
          <w:tcPr>
            <w:tcW w:w="7218" w:type="dxa"/>
            <w:gridSpan w:val="3"/>
            <w:vAlign w:val="center"/>
          </w:tcPr>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color w:val="auto"/>
                <w:sz w:val="24"/>
                <w:highlight w:val="none"/>
              </w:rPr>
              <w:t>磋商时间：</w:t>
            </w:r>
            <w:r>
              <w:rPr>
                <w:rFonts w:hint="eastAsia" w:ascii="仿宋" w:hAnsi="仿宋" w:eastAsia="仿宋" w:cs="仿宋"/>
                <w:color w:val="auto"/>
                <w:sz w:val="24"/>
                <w:highlight w:val="none"/>
              </w:rPr>
              <w:t>2023年2月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 11:00时（北京时间）</w:t>
            </w:r>
          </w:p>
          <w:p>
            <w:pPr>
              <w:shd w:val="clear" w:color="auto" w:fill="FFFFFF"/>
              <w:autoSpaceDE w:val="0"/>
              <w:autoSpaceDN w:val="0"/>
              <w:spacing w:line="380" w:lineRule="exact"/>
              <w:rPr>
                <w:rFonts w:ascii="仿宋" w:hAnsi="仿宋" w:eastAsia="仿宋" w:cs="仿宋"/>
                <w:color w:val="auto"/>
                <w:sz w:val="24"/>
                <w:highlight w:val="none"/>
              </w:rPr>
            </w:pPr>
            <w:r>
              <w:rPr>
                <w:rFonts w:hint="eastAsia" w:ascii="仿宋" w:hAnsi="仿宋" w:eastAsia="仿宋" w:cs="仿宋"/>
                <w:bCs/>
                <w:color w:val="auto"/>
                <w:kern w:val="0"/>
                <w:sz w:val="24"/>
                <w:highlight w:val="none"/>
              </w:rPr>
              <w:t>磋商地点：</w:t>
            </w:r>
            <w:r>
              <w:rPr>
                <w:rFonts w:hint="eastAsia" w:ascii="仿宋" w:hAnsi="仿宋" w:eastAsia="仿宋" w:cs="仿宋"/>
                <w:color w:val="auto"/>
                <w:sz w:val="24"/>
                <w:highlight w:val="none"/>
              </w:rPr>
              <w:t>政采云开标大厅（</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ascii="仿宋" w:hAnsi="仿宋" w:eastAsia="仿宋" w:cs="仿宋"/>
                <w:color w:val="auto"/>
                <w:sz w:val="24"/>
                <w:highlight w:val="none"/>
              </w:rPr>
              <w:t>https://www.zcygov.cn</w:t>
            </w:r>
            <w:r>
              <w:rPr>
                <w:rStyle w:val="68"/>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pPr>
              <w:shd w:val="clear" w:color="auto" w:fill="FFFFFF"/>
              <w:autoSpaceDE w:val="0"/>
              <w:autoSpaceDN w:val="0"/>
              <w:spacing w:line="380" w:lineRule="exact"/>
              <w:rPr>
                <w:rFonts w:ascii="仿宋" w:hAnsi="仿宋" w:eastAsia="仿宋" w:cs="仿宋"/>
                <w:b/>
                <w:bCs/>
                <w:color w:val="auto"/>
                <w:kern w:val="0"/>
                <w:sz w:val="24"/>
                <w:highlight w:val="none"/>
                <w:u w:val="single"/>
              </w:rPr>
            </w:pPr>
            <w:r>
              <w:rPr>
                <w:rFonts w:hint="eastAsia" w:ascii="仿宋" w:hAnsi="仿宋" w:eastAsia="仿宋" w:cs="仿宋"/>
                <w:b/>
                <w:bCs/>
                <w:color w:val="auto"/>
                <w:kern w:val="0"/>
                <w:sz w:val="24"/>
                <w:highlight w:val="none"/>
              </w:rPr>
              <w:t>本项目采用</w:t>
            </w:r>
            <w:r>
              <w:rPr>
                <w:rFonts w:hint="eastAsia" w:ascii="仿宋" w:hAnsi="仿宋" w:eastAsia="仿宋" w:cs="仿宋"/>
                <w:b/>
                <w:bCs/>
                <w:color w:val="auto"/>
                <w:kern w:val="0"/>
                <w:sz w:val="24"/>
                <w:highlight w:val="none"/>
                <w:u w:val="single"/>
              </w:rPr>
              <w:t xml:space="preserve">  不见面开标  </w:t>
            </w:r>
            <w:r>
              <w:rPr>
                <w:rFonts w:hint="eastAsia" w:ascii="仿宋" w:hAnsi="仿宋" w:eastAsia="仿宋" w:cs="仿宋"/>
                <w:b/>
                <w:bCs/>
                <w:color w:val="auto"/>
                <w:kern w:val="0"/>
                <w:sz w:val="24"/>
                <w:highlight w:val="none"/>
              </w:rPr>
              <w:t>，供应商解密时长：</w:t>
            </w:r>
            <w:r>
              <w:rPr>
                <w:rFonts w:hint="eastAsia" w:ascii="仿宋" w:hAnsi="仿宋" w:eastAsia="仿宋" w:cs="仿宋"/>
                <w:b/>
                <w:bCs/>
                <w:color w:val="auto"/>
                <w:kern w:val="0"/>
                <w:sz w:val="24"/>
                <w:highlight w:val="none"/>
                <w:u w:val="single"/>
              </w:rPr>
              <w:t>30分钟</w:t>
            </w:r>
          </w:p>
          <w:p>
            <w:pPr>
              <w:widowControl/>
              <w:shd w:val="clear" w:color="auto" w:fill="FFFFFF"/>
              <w:spacing w:line="380" w:lineRule="exact"/>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备注：</w:t>
            </w:r>
          </w:p>
          <w:p>
            <w:pPr>
              <w:widowControl/>
              <w:shd w:val="clear" w:color="auto" w:fill="FFFFFF"/>
              <w:spacing w:line="380" w:lineRule="exact"/>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①供应商开标时须使用制作加密电子响应文件所用的CA锁并在规定的时间内完成远程解密，因供应商自身原因未能解密、解密失败或解密超时，将导致其投标被拒绝且响应文件被退回；</w:t>
            </w:r>
          </w:p>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②因网上招标系统故障导致所有供应商均解密失败，由采购人或采购代理机构现场请示项目主管部门处理。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评标办法</w:t>
            </w:r>
          </w:p>
        </w:tc>
        <w:tc>
          <w:tcPr>
            <w:tcW w:w="7218" w:type="dxa"/>
            <w:gridSpan w:val="3"/>
            <w:vAlign w:val="center"/>
          </w:tcPr>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磋商保证金</w:t>
            </w:r>
          </w:p>
        </w:tc>
        <w:tc>
          <w:tcPr>
            <w:tcW w:w="7218" w:type="dxa"/>
            <w:gridSpan w:val="3"/>
            <w:vAlign w:val="center"/>
          </w:tcPr>
          <w:p>
            <w:pPr>
              <w:pStyle w:val="83"/>
              <w:shd w:val="clear" w:color="auto" w:fill="FFFFFF"/>
              <w:spacing w:line="380" w:lineRule="exact"/>
              <w:ind w:firstLine="0" w:firstLineChars="0"/>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金额：1</w:t>
            </w:r>
            <w:r>
              <w:rPr>
                <w:rFonts w:hint="eastAsia" w:ascii="仿宋" w:hAnsi="仿宋" w:eastAsia="仿宋" w:cs="仿宋"/>
                <w:bCs/>
                <w:color w:val="auto"/>
                <w:sz w:val="24"/>
                <w:szCs w:val="24"/>
                <w:highlight w:val="none"/>
              </w:rPr>
              <w:t>5000.00元（壹万伍仟元整）</w:t>
            </w:r>
          </w:p>
          <w:p>
            <w:pPr>
              <w:shd w:val="clear" w:color="auto" w:fill="FFFFFF"/>
              <w:spacing w:line="380" w:lineRule="exact"/>
              <w:rPr>
                <w:rFonts w:ascii="仿宋" w:hAnsi="仿宋" w:eastAsia="仿宋" w:cs="仿宋"/>
                <w:bCs/>
                <w:color w:val="auto"/>
                <w:kern w:val="0"/>
                <w:sz w:val="24"/>
                <w:highlight w:val="none"/>
              </w:rPr>
            </w:pPr>
            <w:r>
              <w:rPr>
                <w:rFonts w:hint="eastAsia" w:ascii="仿宋" w:hAnsi="仿宋" w:eastAsia="仿宋" w:cs="仿宋"/>
                <w:bCs/>
                <w:color w:val="auto"/>
                <w:sz w:val="24"/>
                <w:highlight w:val="none"/>
              </w:rPr>
              <w:t>供应商应于</w:t>
            </w:r>
            <w:r>
              <w:rPr>
                <w:rFonts w:hint="eastAsia" w:ascii="仿宋" w:hAnsi="仿宋" w:eastAsia="仿宋" w:cs="仿宋"/>
                <w:color w:val="auto"/>
                <w:sz w:val="24"/>
                <w:highlight w:val="none"/>
              </w:rPr>
              <w:t>2023年2月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rPr>
              <w:t xml:space="preserve"> 11:00时（北京时间）</w:t>
            </w:r>
            <w:r>
              <w:rPr>
                <w:rFonts w:hint="eastAsia" w:ascii="仿宋" w:hAnsi="仿宋" w:eastAsia="仿宋" w:cs="仿宋"/>
                <w:bCs/>
                <w:color w:val="auto"/>
                <w:sz w:val="24"/>
                <w:highlight w:val="none"/>
              </w:rPr>
              <w:t>前</w:t>
            </w:r>
            <w:r>
              <w:rPr>
                <w:rFonts w:hint="eastAsia" w:ascii="仿宋" w:hAnsi="仿宋" w:eastAsia="仿宋" w:cs="仿宋"/>
                <w:bCs/>
                <w:color w:val="auto"/>
                <w:kern w:val="0"/>
                <w:sz w:val="24"/>
                <w:highlight w:val="none"/>
              </w:rPr>
              <w:t>，将投标保证金由供应商账户缴纳至采购代理机构指定账户。投标保证金应采用人民币，以非现金形式的电汇、网银支付等方式提交。</w:t>
            </w:r>
          </w:p>
          <w:p>
            <w:pPr>
              <w:shd w:val="clear" w:color="auto" w:fill="FFFFFF"/>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账户名称：新疆品创项目管理咨询有限公司</w:t>
            </w:r>
          </w:p>
          <w:p>
            <w:pPr>
              <w:shd w:val="clear" w:color="auto" w:fill="FFFFFF"/>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开户银行：中国银行股份有限公司乌鲁木齐市安居南路支行</w:t>
            </w:r>
          </w:p>
          <w:p>
            <w:pPr>
              <w:shd w:val="clear" w:color="auto" w:fill="FFFFFF"/>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账号：107685372797</w:t>
            </w:r>
          </w:p>
          <w:p>
            <w:pPr>
              <w:shd w:val="clear" w:color="auto" w:fill="FFFFFF"/>
              <w:spacing w:line="38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行号：104881005046</w:t>
            </w:r>
          </w:p>
          <w:p>
            <w:pPr>
              <w:pStyle w:val="83"/>
              <w:shd w:val="clear" w:color="auto" w:fill="FFFFFF"/>
              <w:spacing w:line="380" w:lineRule="exact"/>
              <w:ind w:firstLine="0" w:firstLineChar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注：1、如果发现供应商有围标、串标行为，其投标无效，且投标保证金将被没收，不予退还；</w:t>
            </w:r>
          </w:p>
          <w:p>
            <w:pPr>
              <w:pStyle w:val="83"/>
              <w:shd w:val="clear" w:color="auto" w:fill="FFFFFF"/>
              <w:spacing w:line="380" w:lineRule="exact"/>
              <w:ind w:firstLine="0" w:firstLineChar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2、投标保证金未按规定时间缴纳或提交金额不足的，其投标将被否决，供应商应充分考虑资金在途时间；</w:t>
            </w:r>
          </w:p>
          <w:p>
            <w:pPr>
              <w:pStyle w:val="83"/>
              <w:shd w:val="clear" w:color="auto" w:fill="FFFFFF"/>
              <w:spacing w:line="380" w:lineRule="exact"/>
              <w:ind w:firstLine="0" w:firstLineChars="0"/>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3、供应商缴纳投标保证金时，须备注“二部</w:t>
            </w:r>
            <w:r>
              <w:rPr>
                <w:rFonts w:hint="eastAsia" w:ascii="仿宋" w:hAnsi="仿宋" w:eastAsia="仿宋" w:cs="仿宋"/>
                <w:b/>
                <w:color w:val="auto"/>
                <w:sz w:val="24"/>
                <w:szCs w:val="24"/>
                <w:highlight w:val="none"/>
              </w:rPr>
              <w:t>PCCS004</w:t>
            </w:r>
            <w:r>
              <w:rPr>
                <w:rFonts w:hint="eastAsia" w:ascii="仿宋" w:hAnsi="仿宋" w:eastAsia="仿宋" w:cs="仿宋"/>
                <w:b/>
                <w:bCs/>
                <w:color w:val="auto"/>
                <w:sz w:val="24"/>
                <w:szCs w:val="24"/>
                <w:highlight w:val="none"/>
              </w:rPr>
              <w:t>”</w:t>
            </w:r>
            <w:r>
              <w:rPr>
                <w:rFonts w:hint="eastAsia" w:ascii="仿宋" w:hAnsi="仿宋" w:eastAsia="仿宋" w:cs="仿宋"/>
                <w:bCs/>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磋商文件售价</w:t>
            </w:r>
          </w:p>
        </w:tc>
        <w:tc>
          <w:tcPr>
            <w:tcW w:w="7218" w:type="dxa"/>
            <w:gridSpan w:val="3"/>
            <w:vAlign w:val="center"/>
          </w:tcPr>
          <w:p>
            <w:pPr>
              <w:shd w:val="clear" w:color="auto" w:fill="FFFFFF"/>
              <w:autoSpaceDE w:val="0"/>
              <w:autoSpaceDN w:val="0"/>
              <w:spacing w:line="380" w:lineRule="exact"/>
              <w:rPr>
                <w:rFonts w:ascii="仿宋" w:hAnsi="仿宋" w:eastAsia="仿宋" w:cs="仿宋"/>
                <w:bCs/>
                <w:color w:val="auto"/>
                <w:kern w:val="0"/>
                <w:sz w:val="24"/>
                <w:highlight w:val="none"/>
              </w:rPr>
            </w:pPr>
            <w:r>
              <w:rPr>
                <w:rFonts w:hint="eastAsia" w:ascii="仿宋" w:hAnsi="仿宋" w:eastAsia="仿宋" w:cs="仿宋"/>
                <w:color w:val="auto"/>
                <w:sz w:val="24"/>
                <w:highlight w:val="none"/>
              </w:rPr>
              <w:t>政采云平台免费下载。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13</w:t>
            </w:r>
          </w:p>
        </w:tc>
        <w:tc>
          <w:tcPr>
            <w:tcW w:w="1993" w:type="dxa"/>
            <w:vAlign w:val="center"/>
          </w:tcPr>
          <w:p>
            <w:pPr>
              <w:pStyle w:val="83"/>
              <w:shd w:val="clear" w:color="auto" w:fill="FFFFFF"/>
              <w:spacing w:line="360" w:lineRule="exact"/>
              <w:ind w:firstLine="0" w:firstLineChars="0"/>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对磋商文件的质疑</w:t>
            </w:r>
          </w:p>
        </w:tc>
        <w:tc>
          <w:tcPr>
            <w:tcW w:w="7218" w:type="dxa"/>
            <w:gridSpan w:val="3"/>
            <w:vAlign w:val="center"/>
          </w:tcPr>
          <w:p>
            <w:pPr>
              <w:pStyle w:val="83"/>
              <w:shd w:val="clear" w:color="auto" w:fill="FFFFFF"/>
              <w:spacing w:line="380" w:lineRule="exact"/>
              <w:ind w:firstLine="0" w:firstLineChar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供应商如需对磋商文件内容质疑，须按以下要求提出：</w:t>
            </w:r>
          </w:p>
          <w:p>
            <w:pPr>
              <w:pStyle w:val="83"/>
              <w:shd w:val="clear" w:color="auto" w:fill="FFFFFF"/>
              <w:spacing w:line="380" w:lineRule="exact"/>
              <w:ind w:firstLine="0" w:firstLineChar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①供应商应在法定质疑期内一次性提出所有质疑内容。</w:t>
            </w:r>
          </w:p>
          <w:p>
            <w:pPr>
              <w:pStyle w:val="83"/>
              <w:shd w:val="clear" w:color="auto" w:fill="FFFFFF"/>
              <w:spacing w:line="380" w:lineRule="exact"/>
              <w:ind w:firstLine="0" w:firstLineChar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②质疑函应以书面形式（按照财政部94号令要求）通知采购代理机构。采购代理机构将在收到质疑函后7个工作日内作出答复，并以书面形式通知质疑供应商和其他有关供应商。</w:t>
            </w:r>
          </w:p>
          <w:p>
            <w:pPr>
              <w:pStyle w:val="83"/>
              <w:shd w:val="clear" w:color="auto" w:fill="FFFFFF"/>
              <w:spacing w:line="380" w:lineRule="exact"/>
              <w:ind w:firstLine="0" w:firstLineChar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③联系部门：新疆品创项目管理咨询有限公司 业务二部</w:t>
            </w:r>
          </w:p>
          <w:p>
            <w:pPr>
              <w:pStyle w:val="83"/>
              <w:shd w:val="clear" w:color="auto" w:fill="FFFFFF"/>
              <w:spacing w:line="380" w:lineRule="exact"/>
              <w:ind w:firstLine="0" w:firstLineChar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④联系电话：</w:t>
            </w:r>
            <w:r>
              <w:rPr>
                <w:rFonts w:hint="eastAsia" w:ascii="仿宋" w:hAnsi="仿宋" w:eastAsia="仿宋" w:cs="仿宋"/>
                <w:color w:val="auto"/>
                <w:sz w:val="24"/>
                <w:szCs w:val="24"/>
                <w:highlight w:val="none"/>
              </w:rPr>
              <w:t>0991-5221699</w:t>
            </w:r>
          </w:p>
          <w:p>
            <w:pPr>
              <w:pStyle w:val="83"/>
              <w:shd w:val="clear" w:color="auto" w:fill="FFFFFF"/>
              <w:spacing w:line="380" w:lineRule="exact"/>
              <w:ind w:firstLine="0" w:firstLineChars="0"/>
              <w:rPr>
                <w:rFonts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rPr>
              <w:t xml:space="preserve">⑤通讯地址：新疆乌鲁木齐市沙依巴克区长江路76号兴乐世贸广场29楼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履约保证金</w:t>
            </w:r>
          </w:p>
        </w:tc>
        <w:tc>
          <w:tcPr>
            <w:tcW w:w="7218" w:type="dxa"/>
            <w:gridSpan w:val="3"/>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2" w:type="dxa"/>
            <w:vMerge w:val="restart"/>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交货期</w:t>
            </w:r>
          </w:p>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
                <w:bCs/>
                <w:color w:val="auto"/>
                <w:sz w:val="24"/>
                <w:highlight w:val="none"/>
              </w:rPr>
              <w:t>（实质性条款）</w:t>
            </w:r>
          </w:p>
        </w:tc>
        <w:tc>
          <w:tcPr>
            <w:tcW w:w="7218" w:type="dxa"/>
            <w:gridSpan w:val="3"/>
            <w:vAlign w:val="center"/>
          </w:tcPr>
          <w:p>
            <w:pPr>
              <w:spacing w:line="380" w:lineRule="exact"/>
              <w:rPr>
                <w:rFonts w:ascii="仿宋" w:hAnsi="仿宋" w:eastAsia="仿宋" w:cs="仿宋"/>
                <w:b/>
                <w:bCs/>
                <w:color w:val="auto"/>
                <w:sz w:val="24"/>
                <w:highlight w:val="none"/>
              </w:rPr>
            </w:pPr>
            <w:r>
              <w:rPr>
                <w:rFonts w:hint="eastAsia" w:ascii="仿宋" w:hAnsi="仿宋" w:eastAsia="仿宋" w:cs="仿宋"/>
                <w:color w:val="auto"/>
                <w:sz w:val="24"/>
                <w:highlight w:val="none"/>
              </w:rPr>
              <w:t>合同签订生效后15个日历日内全部货物到达买方指定地点并安装调试完毕。</w:t>
            </w:r>
            <w:r>
              <w:rPr>
                <w:rFonts w:hint="eastAsia" w:ascii="仿宋" w:hAnsi="仿宋" w:eastAsia="仿宋" w:cs="仿宋"/>
                <w:b/>
                <w:color w:val="auto"/>
                <w:sz w:val="24"/>
                <w:highlight w:val="none"/>
              </w:rPr>
              <w:t>本项为实质性条款，不接受负偏离。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p>
        </w:tc>
        <w:tc>
          <w:tcPr>
            <w:tcW w:w="1993" w:type="dxa"/>
            <w:vAlign w:val="center"/>
          </w:tcPr>
          <w:p>
            <w:pPr>
              <w:pStyle w:val="83"/>
              <w:shd w:val="clear" w:color="auto" w:fill="FFFFFF"/>
              <w:spacing w:line="360" w:lineRule="exact"/>
              <w:ind w:firstLine="0" w:firstLineChars="0"/>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交货地点</w:t>
            </w:r>
          </w:p>
          <w:p>
            <w:pPr>
              <w:pStyle w:val="83"/>
              <w:shd w:val="clear" w:color="auto" w:fill="FFFFFF"/>
              <w:spacing w:line="360" w:lineRule="exact"/>
              <w:ind w:firstLine="0" w:firstLineChars="0"/>
              <w:jc w:val="center"/>
              <w:rPr>
                <w:rFonts w:ascii="仿宋" w:hAnsi="仿宋" w:eastAsia="仿宋" w:cs="仿宋"/>
                <w:bCs/>
                <w:color w:val="auto"/>
                <w:kern w:val="0"/>
                <w:sz w:val="24"/>
                <w:szCs w:val="24"/>
                <w:highlight w:val="none"/>
              </w:rPr>
            </w:pPr>
            <w:r>
              <w:rPr>
                <w:rFonts w:hint="eastAsia" w:ascii="仿宋" w:hAnsi="仿宋" w:eastAsia="仿宋" w:cs="仿宋"/>
                <w:b/>
                <w:bCs/>
                <w:color w:val="auto"/>
                <w:sz w:val="24"/>
                <w:szCs w:val="24"/>
                <w:highlight w:val="none"/>
              </w:rPr>
              <w:t>（实质性条款）</w:t>
            </w:r>
          </w:p>
        </w:tc>
        <w:tc>
          <w:tcPr>
            <w:tcW w:w="7218" w:type="dxa"/>
            <w:gridSpan w:val="3"/>
            <w:vAlign w:val="center"/>
          </w:tcPr>
          <w:p>
            <w:pPr>
              <w:pStyle w:val="83"/>
              <w:shd w:val="clear" w:color="auto" w:fill="FFFFFF"/>
              <w:spacing w:line="380" w:lineRule="exact"/>
              <w:ind w:firstLine="0" w:firstLineChars="0"/>
              <w:rPr>
                <w:rFonts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库尔勒市第二人民医院（具体为买方指定院内地点）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p>
        </w:tc>
        <w:tc>
          <w:tcPr>
            <w:tcW w:w="1993" w:type="dxa"/>
            <w:vAlign w:val="center"/>
          </w:tcPr>
          <w:p>
            <w:pPr>
              <w:shd w:val="clear" w:color="auto" w:fill="FFFFFF"/>
              <w:autoSpaceDE w:val="0"/>
              <w:autoSpaceDN w:val="0"/>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质保期</w:t>
            </w:r>
          </w:p>
          <w:p>
            <w:pPr>
              <w:shd w:val="clear" w:color="auto" w:fill="FFFFFF"/>
              <w:autoSpaceDE w:val="0"/>
              <w:autoSpaceDN w:val="0"/>
              <w:spacing w:line="36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（实质性条款）</w:t>
            </w:r>
          </w:p>
        </w:tc>
        <w:tc>
          <w:tcPr>
            <w:tcW w:w="7218" w:type="dxa"/>
            <w:gridSpan w:val="3"/>
            <w:vAlign w:val="center"/>
          </w:tcPr>
          <w:p>
            <w:pPr>
              <w:pStyle w:val="83"/>
              <w:shd w:val="clear" w:color="auto" w:fill="FFFFFF"/>
              <w:spacing w:line="38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3年，质保期自全部设备到货且经甲方最终验收合格之日起计算。</w:t>
            </w:r>
            <w:r>
              <w:rPr>
                <w:rFonts w:hint="eastAsia" w:ascii="仿宋" w:hAnsi="仿宋" w:eastAsia="仿宋" w:cs="仿宋"/>
                <w:b/>
                <w:color w:val="auto"/>
                <w:sz w:val="24"/>
                <w:highlight w:val="none"/>
              </w:rPr>
              <w:t>本项为实质性条款，不接受负偏离。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16</w:t>
            </w:r>
          </w:p>
        </w:tc>
        <w:tc>
          <w:tcPr>
            <w:tcW w:w="1993" w:type="dxa"/>
            <w:vAlign w:val="center"/>
          </w:tcPr>
          <w:p>
            <w:pPr>
              <w:pStyle w:val="83"/>
              <w:shd w:val="clear" w:color="auto" w:fill="FFFFFF"/>
              <w:spacing w:line="360" w:lineRule="exact"/>
              <w:ind w:firstLine="0" w:firstLineChars="0"/>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付款方式</w:t>
            </w:r>
          </w:p>
          <w:p>
            <w:pPr>
              <w:pStyle w:val="83"/>
              <w:shd w:val="clear" w:color="auto" w:fill="FFFFFF"/>
              <w:spacing w:line="360" w:lineRule="exact"/>
              <w:ind w:firstLine="0" w:firstLineChars="0"/>
              <w:jc w:val="center"/>
              <w:rPr>
                <w:rFonts w:ascii="仿宋" w:hAnsi="仿宋" w:eastAsia="仿宋" w:cs="仿宋"/>
                <w:bCs/>
                <w:color w:val="auto"/>
                <w:kern w:val="0"/>
                <w:sz w:val="24"/>
                <w:szCs w:val="24"/>
                <w:highlight w:val="none"/>
              </w:rPr>
            </w:pPr>
            <w:r>
              <w:rPr>
                <w:rFonts w:hint="eastAsia" w:ascii="仿宋" w:hAnsi="仿宋" w:eastAsia="仿宋" w:cs="仿宋"/>
                <w:b/>
                <w:bCs/>
                <w:color w:val="auto"/>
                <w:sz w:val="24"/>
                <w:szCs w:val="24"/>
                <w:highlight w:val="none"/>
              </w:rPr>
              <w:t>（实质性条款）</w:t>
            </w:r>
          </w:p>
        </w:tc>
        <w:tc>
          <w:tcPr>
            <w:tcW w:w="7218" w:type="dxa"/>
            <w:gridSpan w:val="3"/>
            <w:vAlign w:val="center"/>
          </w:tcPr>
          <w:p>
            <w:pPr>
              <w:pStyle w:val="304"/>
              <w:snapToGrid w:val="0"/>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全部设备安装调试完毕并经甲方验收合格正常运行30个工作日，固资建立，乙方向甲方出具有效的发票，甲方向乙方支付合同金额的70%；设备正常运行6个月后，甲方向乙方支付合同金额的20%；设备正常运行满3年，甲方向乙方支付合同金额的10%。</w:t>
            </w:r>
            <w:r>
              <w:rPr>
                <w:rFonts w:hint="eastAsia" w:ascii="仿宋" w:hAnsi="仿宋" w:eastAsia="仿宋" w:cs="仿宋"/>
                <w:color w:val="auto"/>
                <w:sz w:val="24"/>
                <w:highlight w:val="none"/>
              </w:rPr>
              <w:t>质保期内，如设备出现质量问题（主要部件损坏或其他部件维修三次以上）或乙方未按合同约定全面履行质保义务，甲方不予支付最后一笔款项。</w:t>
            </w:r>
            <w:r>
              <w:rPr>
                <w:rFonts w:hint="eastAsia" w:ascii="仿宋" w:hAnsi="仿宋" w:eastAsia="仿宋" w:cs="仿宋"/>
                <w:b/>
                <w:color w:val="auto"/>
                <w:sz w:val="24"/>
                <w:highlight w:val="none"/>
              </w:rPr>
              <w:t>本项为实质性条款，不接受负偏离。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17</w:t>
            </w:r>
          </w:p>
        </w:tc>
        <w:tc>
          <w:tcPr>
            <w:tcW w:w="1993" w:type="dxa"/>
            <w:vAlign w:val="center"/>
          </w:tcPr>
          <w:p>
            <w:pPr>
              <w:shd w:val="clear" w:color="auto" w:fill="FFFFFF"/>
              <w:autoSpaceDE w:val="0"/>
              <w:autoSpaceDN w:val="0"/>
              <w:spacing w:line="360" w:lineRule="exact"/>
              <w:ind w:firstLine="240" w:firstLineChars="100"/>
              <w:rPr>
                <w:rFonts w:ascii="仿宋" w:hAnsi="仿宋" w:eastAsia="仿宋" w:cs="仿宋"/>
                <w:bCs/>
                <w:color w:val="auto"/>
                <w:kern w:val="0"/>
                <w:sz w:val="24"/>
                <w:highlight w:val="none"/>
              </w:rPr>
            </w:pPr>
            <w:r>
              <w:rPr>
                <w:rFonts w:hint="eastAsia" w:ascii="仿宋" w:hAnsi="仿宋" w:eastAsia="仿宋" w:cs="仿宋"/>
                <w:color w:val="auto"/>
                <w:kern w:val="1"/>
                <w:sz w:val="24"/>
                <w:highlight w:val="none"/>
              </w:rPr>
              <w:t>政府采购政策</w:t>
            </w:r>
          </w:p>
        </w:tc>
        <w:tc>
          <w:tcPr>
            <w:tcW w:w="7218" w:type="dxa"/>
            <w:gridSpan w:val="3"/>
            <w:vAlign w:val="center"/>
          </w:tcPr>
          <w:p>
            <w:pPr>
              <w:shd w:val="clear" w:color="auto" w:fill="FFFFFF"/>
              <w:spacing w:line="380" w:lineRule="exac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17.1本项目专门面向中小企业采购。</w:t>
            </w:r>
          </w:p>
          <w:p>
            <w:pPr>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17.2根据工信部等部委发布的《关于印发中小企业划型标准规定的通知》（工信部联企业〔2011〕300号）、财政部、工业和信息化部《政府采购促进中小企业发展管理办法 》（财库[2020]46号文）规定，</w:t>
            </w:r>
            <w:r>
              <w:rPr>
                <w:rFonts w:hint="eastAsia" w:ascii="仿宋" w:hAnsi="仿宋" w:eastAsia="仿宋" w:cs="仿宋"/>
                <w:b/>
                <w:color w:val="auto"/>
                <w:kern w:val="0"/>
                <w:sz w:val="24"/>
                <w:highlight w:val="none"/>
              </w:rPr>
              <w:t>本次采购标的所属行业为</w:t>
            </w:r>
            <w:r>
              <w:rPr>
                <w:rFonts w:hint="eastAsia" w:ascii="仿宋" w:hAnsi="仿宋" w:eastAsia="仿宋" w:cs="仿宋"/>
                <w:b/>
                <w:color w:val="auto"/>
                <w:kern w:val="0"/>
                <w:sz w:val="24"/>
                <w:highlight w:val="none"/>
                <w:u w:val="single"/>
              </w:rPr>
              <w:t>工业制造业</w:t>
            </w:r>
            <w:r>
              <w:rPr>
                <w:rFonts w:hint="eastAsia" w:ascii="仿宋" w:hAnsi="仿宋" w:eastAsia="仿宋" w:cs="仿宋"/>
                <w:b/>
                <w:color w:val="auto"/>
                <w:kern w:val="0"/>
                <w:sz w:val="24"/>
                <w:highlight w:val="none"/>
              </w:rPr>
              <w:t>。</w:t>
            </w:r>
          </w:p>
          <w:p>
            <w:pPr>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b/>
                <w:color w:val="auto"/>
                <w:kern w:val="0"/>
                <w:sz w:val="24"/>
                <w:highlight w:val="none"/>
              </w:rPr>
              <w:t>满足以上（1）（2）两项条件的，须按照本文件第七部分规定的格式提供《中小企业声明函》（内容须填写完整），否则投标无效。</w:t>
            </w:r>
          </w:p>
          <w:p>
            <w:pPr>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（4）依据本办法规定享受扶持政策获得政府采购合同的，小微企业不得将合同分包给大中型企业，中型企业不得将合同分包给大型企业。</w:t>
            </w:r>
          </w:p>
          <w:p>
            <w:pPr>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（5）提供由省级以上监狱管理局、戒毒管理局（含新疆生产建设兵团）出具的属于监狱企业证明文件（扫描件）的，视同为小型和微型企业。</w:t>
            </w:r>
          </w:p>
          <w:p>
            <w:pPr>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（6）符合享受政府采购支持政策的残疾人福利性单位条件且提供《残疾人福利性单位声明函》的，视同为小型和微型企业。</w:t>
            </w:r>
          </w:p>
          <w:p>
            <w:pPr>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17.3节能、环境标志产品评审优惠内容及加分幅度：</w:t>
            </w:r>
          </w:p>
          <w:p>
            <w:pPr>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严格执行《财政部 发展改革委 生态环境部 市场监管总局关于调整优化节能产品、环境标志产品政府采购执行机制的通知》（财库〔2019〕9 号）。</w:t>
            </w:r>
          </w:p>
          <w:p>
            <w:pPr>
              <w:shd w:val="clear" w:color="auto" w:fill="FFFFFF"/>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（1）本次采购产品如属于政府强制采购产品类别的，须按照要求提供依据国家确定的认证机构出具的、处于有效期之内的节能产品或环境标志产品认证证书，</w:t>
            </w:r>
            <w:r>
              <w:rPr>
                <w:rFonts w:hint="eastAsia" w:ascii="仿宋" w:hAnsi="仿宋" w:eastAsia="仿宋" w:cs="仿宋"/>
                <w:b/>
                <w:color w:val="auto"/>
                <w:kern w:val="0"/>
                <w:sz w:val="24"/>
                <w:highlight w:val="none"/>
              </w:rPr>
              <w:t>否则投标无效</w:t>
            </w:r>
            <w:r>
              <w:rPr>
                <w:rFonts w:hint="eastAsia" w:ascii="仿宋" w:hAnsi="仿宋" w:eastAsia="仿宋" w:cs="仿宋"/>
                <w:color w:val="auto"/>
                <w:kern w:val="0"/>
                <w:sz w:val="24"/>
                <w:highlight w:val="none"/>
              </w:rPr>
              <w:t>。</w:t>
            </w:r>
          </w:p>
          <w:p>
            <w:pPr>
              <w:pStyle w:val="83"/>
              <w:shd w:val="clear" w:color="auto" w:fill="FFFFFF"/>
              <w:spacing w:line="380" w:lineRule="exact"/>
              <w:ind w:firstLine="0" w:firstLineChars="0"/>
              <w:rPr>
                <w:rFonts w:ascii="仿宋" w:hAnsi="仿宋" w:eastAsia="仿宋" w:cs="仿宋"/>
                <w:color w:val="auto"/>
                <w:kern w:val="1"/>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highlight w:val="none"/>
              </w:rPr>
              <w:t>本次采购产品</w:t>
            </w:r>
            <w:r>
              <w:rPr>
                <w:rFonts w:hint="eastAsia" w:ascii="仿宋" w:hAnsi="仿宋" w:eastAsia="仿宋" w:cs="仿宋"/>
                <w:color w:val="auto"/>
                <w:kern w:val="0"/>
                <w:sz w:val="24"/>
                <w:szCs w:val="24"/>
                <w:highlight w:val="none"/>
              </w:rPr>
              <w:t>如属于政府优先采购产品类别的，须按照要求提供依据国家确定的认证机构出具的、处于有效期之内的节能产品或环境标志产品认证证书，否则不予认定。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w:t>
            </w:r>
          </w:p>
        </w:tc>
        <w:tc>
          <w:tcPr>
            <w:tcW w:w="1993" w:type="dxa"/>
            <w:vAlign w:val="center"/>
          </w:tcPr>
          <w:p>
            <w:pPr>
              <w:pStyle w:val="650"/>
              <w:spacing w:line="420" w:lineRule="exact"/>
              <w:jc w:val="center"/>
              <w:rPr>
                <w:rFonts w:ascii="仿宋" w:hAnsi="仿宋" w:eastAsia="仿宋" w:cs="仿宋"/>
                <w:color w:val="auto"/>
                <w:kern w:val="2"/>
                <w:highlight w:val="none"/>
              </w:rPr>
            </w:pPr>
            <w:r>
              <w:rPr>
                <w:rFonts w:hint="eastAsia" w:ascii="仿宋" w:hAnsi="仿宋" w:eastAsia="仿宋" w:cs="仿宋"/>
                <w:color w:val="auto"/>
                <w:spacing w:val="-16"/>
                <w:kern w:val="24"/>
                <w:highlight w:val="none"/>
              </w:rPr>
              <w:t>代理服务费</w:t>
            </w:r>
          </w:p>
        </w:tc>
        <w:tc>
          <w:tcPr>
            <w:tcW w:w="7218" w:type="dxa"/>
            <w:gridSpan w:val="3"/>
            <w:vAlign w:val="center"/>
          </w:tcPr>
          <w:p>
            <w:pPr>
              <w:pStyle w:val="728"/>
              <w:spacing w:line="380" w:lineRule="exac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交纳时间：</w:t>
            </w:r>
            <w:bookmarkStart w:id="2" w:name="EB38aee35c8bb7443381a66f9cccb3a2a3"/>
            <w:bookmarkEnd w:id="2"/>
            <w:r>
              <w:rPr>
                <w:rFonts w:hint="eastAsia" w:ascii="仿宋" w:hAnsi="仿宋" w:eastAsia="仿宋" w:cs="仿宋"/>
                <w:color w:val="auto"/>
                <w:kern w:val="0"/>
                <w:sz w:val="24"/>
                <w:szCs w:val="24"/>
                <w:highlight w:val="none"/>
              </w:rPr>
              <w:t>成交供应商在《成交通知书》核发前一次性交纳。</w:t>
            </w:r>
          </w:p>
          <w:p>
            <w:pPr>
              <w:pStyle w:val="728"/>
              <w:spacing w:line="38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交纳金额：</w:t>
            </w:r>
            <w:bookmarkStart w:id="3" w:name="EB2141701fe45e43ecb43361d4713eb39b"/>
            <w:bookmarkEnd w:id="3"/>
            <w:r>
              <w:rPr>
                <w:rFonts w:hint="eastAsia" w:ascii="仿宋" w:hAnsi="仿宋" w:eastAsia="仿宋" w:cs="仿宋"/>
                <w:color w:val="auto"/>
                <w:kern w:val="0"/>
                <w:sz w:val="24"/>
                <w:szCs w:val="24"/>
                <w:highlight w:val="none"/>
              </w:rPr>
              <w:t>参照【2002】1980号文件下浮20%执行。</w:t>
            </w:r>
          </w:p>
          <w:p>
            <w:pPr>
              <w:pStyle w:val="728"/>
              <w:spacing w:line="380" w:lineRule="exact"/>
              <w:rPr>
                <w:rFonts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账户名称：新疆品创项目管理咨询有限公司</w:t>
            </w:r>
          </w:p>
          <w:p>
            <w:pPr>
              <w:pStyle w:val="83"/>
              <w:shd w:val="clear" w:color="auto" w:fill="FFFFFF"/>
              <w:spacing w:line="380" w:lineRule="exact"/>
              <w:ind w:firstLine="0" w:firstLineChar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开户银行：中国银行股份有限公司乌鲁木齐市安居南路支行</w:t>
            </w:r>
          </w:p>
          <w:p>
            <w:pPr>
              <w:pStyle w:val="83"/>
              <w:shd w:val="clear" w:color="auto" w:fill="FFFFFF"/>
              <w:spacing w:line="380" w:lineRule="exact"/>
              <w:ind w:firstLine="0" w:firstLineChar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账号：107685372797</w:t>
            </w:r>
          </w:p>
          <w:p>
            <w:pPr>
              <w:pStyle w:val="650"/>
              <w:spacing w:line="380" w:lineRule="exact"/>
              <w:jc w:val="both"/>
              <w:rPr>
                <w:rFonts w:ascii="仿宋" w:hAnsi="仿宋" w:eastAsia="仿宋" w:cs="仿宋"/>
                <w:color w:val="auto"/>
                <w:kern w:val="2"/>
                <w:highlight w:val="none"/>
              </w:rPr>
            </w:pPr>
            <w:r>
              <w:rPr>
                <w:rFonts w:hint="eastAsia" w:ascii="仿宋" w:hAnsi="仿宋" w:eastAsia="仿宋" w:cs="仿宋"/>
                <w:bCs/>
                <w:color w:val="auto"/>
                <w:highlight w:val="none"/>
              </w:rPr>
              <w:t>行号：104881005046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w:t>
            </w:r>
          </w:p>
        </w:tc>
        <w:tc>
          <w:tcPr>
            <w:tcW w:w="1993" w:type="dxa"/>
            <w:vAlign w:val="center"/>
          </w:tcPr>
          <w:p>
            <w:pPr>
              <w:pStyle w:val="650"/>
              <w:spacing w:line="420" w:lineRule="exact"/>
              <w:jc w:val="center"/>
              <w:rPr>
                <w:rFonts w:ascii="仿宋" w:hAnsi="仿宋" w:eastAsia="仿宋" w:cs="仿宋"/>
                <w:color w:val="auto"/>
                <w:kern w:val="2"/>
                <w:highlight w:val="none"/>
              </w:rPr>
            </w:pPr>
            <w:r>
              <w:rPr>
                <w:rFonts w:hint="eastAsia" w:ascii="仿宋" w:hAnsi="仿宋" w:eastAsia="仿宋" w:cs="仿宋"/>
                <w:color w:val="auto"/>
                <w:kern w:val="2"/>
                <w:highlight w:val="none"/>
              </w:rPr>
              <w:t>其他说明</w:t>
            </w:r>
          </w:p>
        </w:tc>
        <w:tc>
          <w:tcPr>
            <w:tcW w:w="7218" w:type="dxa"/>
            <w:gridSpan w:val="3"/>
            <w:vAlign w:val="center"/>
          </w:tcPr>
          <w:p>
            <w:pPr>
              <w:pStyle w:val="650"/>
              <w:spacing w:line="380" w:lineRule="exact"/>
              <w:jc w:val="both"/>
              <w:rPr>
                <w:rFonts w:ascii="仿宋" w:hAnsi="仿宋" w:eastAsia="仿宋" w:cs="仿宋"/>
                <w:color w:val="auto"/>
                <w:kern w:val="2"/>
                <w:highlight w:val="none"/>
              </w:rPr>
            </w:pPr>
            <w:r>
              <w:rPr>
                <w:rFonts w:hint="eastAsia" w:ascii="仿宋" w:hAnsi="仿宋" w:eastAsia="仿宋" w:cs="仿宋"/>
                <w:color w:val="auto"/>
                <w:kern w:val="1"/>
                <w:highlight w:val="none"/>
              </w:rPr>
              <w:t>在评标过程直至签订合同前的任何时间，如经证实发现供应商提供虚假投标资料(包括技术支持资料)或信息骗取中标的，或者未按本磋商文件要求提交履约保证金的（如有要求），将取消其中标资格，没收其投标保证金，并报主管部门备案。</w:t>
            </w:r>
          </w:p>
        </w:tc>
      </w:tr>
    </w:tbl>
    <w:p>
      <w:pPr>
        <w:widowControl/>
        <w:jc w:val="left"/>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pPr>
        <w:pStyle w:val="327"/>
        <w:spacing w:beforeLines="50" w:afterLines="50" w:line="360" w:lineRule="auto"/>
        <w:jc w:val="center"/>
        <w:outlineLvl w:val="0"/>
        <w:rPr>
          <w:rFonts w:ascii="仿宋" w:hAnsi="仿宋" w:eastAsia="仿宋" w:cs="仿宋"/>
          <w:b/>
          <w:bCs/>
          <w:color w:val="auto"/>
          <w:kern w:val="0"/>
          <w:sz w:val="28"/>
          <w:szCs w:val="28"/>
          <w:highlight w:val="none"/>
        </w:rPr>
      </w:pPr>
      <w:bookmarkStart w:id="4" w:name="_Toc111571535"/>
      <w:r>
        <w:rPr>
          <w:rFonts w:hint="eastAsia" w:ascii="仿宋" w:hAnsi="仿宋" w:eastAsia="仿宋" w:cs="仿宋"/>
          <w:b/>
          <w:color w:val="auto"/>
          <w:sz w:val="32"/>
          <w:szCs w:val="32"/>
          <w:highlight w:val="none"/>
        </w:rPr>
        <w:t>第三部分  供应商须知</w:t>
      </w:r>
      <w:bookmarkEnd w:id="4"/>
    </w:p>
    <w:p>
      <w:pPr>
        <w:shd w:val="clear" w:color="auto" w:fill="FFFFFF"/>
        <w:spacing w:line="44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一、总则</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1.本磋商文件适用于本文件中所述相关货物及服务的磋商响应。</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2.定义：</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2.1“采购人”名称详见供应商须知前附表</w:t>
      </w:r>
      <w:r>
        <w:rPr>
          <w:rFonts w:hint="eastAsia" w:ascii="仿宋" w:hAnsi="仿宋" w:eastAsia="仿宋" w:cs="仿宋"/>
          <w:color w:val="auto"/>
          <w:kern w:val="0"/>
          <w:sz w:val="24"/>
          <w:highlight w:val="none"/>
          <w:u w:val="single"/>
        </w:rPr>
        <w:t>第1条</w:t>
      </w:r>
      <w:r>
        <w:rPr>
          <w:rFonts w:hint="eastAsia" w:ascii="仿宋" w:hAnsi="仿宋" w:eastAsia="仿宋" w:cs="仿宋"/>
          <w:color w:val="auto"/>
          <w:kern w:val="0"/>
          <w:sz w:val="24"/>
          <w:highlight w:val="none"/>
        </w:rPr>
        <w:t>。</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2.2“货物及服务”指本磋商文件所述供应商应该为本项目提供的货物、服务以及应当履行的承诺和义务。</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2.3“供应商”指向采购人提供服务的法人（或负责人）、其他组织或者自然人。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3.合格供应商的条件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3.1具有本项目生产、制造、供应及/或实施能力，符合、承认并承诺履行本磋商文件各项规定的国内供应商均可参加磋商。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供应商必须是已在中国境内依法登记注册并仍有效存续的供应商，并且其所持有的由工商行政管理局所核发的有效的营业执照上所载明的营业期限余额应当不少于本次采购的相关合同基本义务履行所需期限。否则，磋商小组有权视情况决定是否拒绝其本次响应。</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3.3供应商应遵守有关的国家法律、法规和条例，具备《中华人民共和国政府采购法》和本磋商文件中规定的条件：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（1）具有独立承担民事责任的能力；</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（2）具有良好的商业信誉和健全的财务会计制度；</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（3）具有履行合同所必需的设备和专业技术能力；</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（4）具有依法缴纳税收和社会保障资金的良好记录；</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（5）参加此项采购活动前三年内，在经营活动中没有重大违法记录；</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（6）具有供应商须知前附表</w:t>
      </w:r>
      <w:r>
        <w:rPr>
          <w:rFonts w:hint="eastAsia" w:ascii="仿宋" w:hAnsi="仿宋" w:eastAsia="仿宋" w:cs="仿宋"/>
          <w:color w:val="auto"/>
          <w:kern w:val="0"/>
          <w:sz w:val="24"/>
          <w:highlight w:val="none"/>
          <w:u w:val="single"/>
        </w:rPr>
        <w:t>第4条</w:t>
      </w:r>
      <w:r>
        <w:rPr>
          <w:rFonts w:hint="eastAsia" w:ascii="仿宋" w:hAnsi="仿宋" w:eastAsia="仿宋" w:cs="仿宋"/>
          <w:color w:val="auto"/>
          <w:kern w:val="0"/>
          <w:sz w:val="24"/>
          <w:highlight w:val="none"/>
        </w:rPr>
        <w:t>规定的资质条件。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3.4本次磋商不允许联合体响应。</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3.5如供应商代表不是法定代表人（或负责人），须持有《法定代表人授权委托书》(按磋商文件格式填写)。</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4.费用</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4.1供应商应承担所有与准备和参加响应有关的费用，采购代理机构和采购人在任何情况下均无义务和责任承担这些费用。</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5.通知</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5.1对与本项目有关的通知，采购代理机构将以书面（包括书面材料、信函、传真等，下同）、短信或在本次磋商公告的媒体上以发布公告的形式，向潜在供应商发出，供应商联系人、联系电话、邮箱和地址以潜在供应商在政采云平台登记的信息为准。因登记有误、通信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否则，采购代理机构不因此承担任何责任，有关的磋商活动可以继续有效地进行。</w:t>
      </w:r>
    </w:p>
    <w:p>
      <w:pPr>
        <w:shd w:val="clear" w:color="auto" w:fill="FFFFFF"/>
        <w:spacing w:line="44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二、磋商文件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6.磋商文件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6.1磋商文件由下列七部分内容组成：</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第一部分 磋商公告</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第二部分 供应商须知前附表</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第三部分 供应商须知</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第四部分 评审办法和评审标准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第五部分 采购需求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第六部分 成交合同</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第七部分 响应文件格式</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7.磋商文件的澄清和修改</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7.1供应商的澄清、修改等要求的提交：任何下载或领取磋商文件的潜在供应商，均可要求对磋商文件进行澄清及或修改，并可以要求就服务环境的现场进行踏勘，该要求应在响应截止期5日前，按磋商公告中的联系地址以书面形式送达采购代理机构或采购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7.2磋商文件在公告之前已经在相关媒体/网站发布公告公开征求过意见的或进行过论证的，采购代理机构或采购人可以不再接受已经征求过意见或论证的商务或技术部分供应商提出的相关澄清、修改要求。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7.3采购代理机构或采购人将视情况确定是否有必要安排所有已下载磋商文件的供应商踏勘现场，而无论采购代理机构或采购人是否安排踏勘现场，供应商均应当将相关的因素作为响应所应当考虑或依据的因素，若采购代理机构或采购人并未统一安排踏勘现场，供应商在遵守所有相关法律的情况下可以自行踏勘现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7.4按照责权利相一致原则，若磋商文件的主要商务、技术指标由采购人提出，则供应商提出的相关澄清、修改要求应送达采购人，由采购人负责解释，并应当由采购人视情况作出澄清或修改的决定；若磋商文件的主要商务、技术指标由采购代理机构提出，则供应商提出的相关澄清、修改要求则应送达采购代理机构，由采购代理机构负责解释，并应当由采购代理机构视情况作出澄清或修改的决定。与此相应，相关质疑处理工作也按照此原则由采购人或采购代理机构进行处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7.5采购代理机构对澄清、修改要求的处理：采购代理机构对给予澄清、修改及/或进行其它答复的，应当用补充文件的方式进行，且应当以当面交接、邮寄、传真或电子邮件、网站披露等其中至少一种方式，统一向全体，或分别向每一位(但不可以只向其中一部分)潜在供应商发出澄清、修改及/或进行其它答复的补充文件，补充文件中可以包括原提出的问题，但不包括问题的来源。</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7.6采购代理机构主动进行的澄清、修改：采购代理机构无论出于何种原因，均可主动对磋商文件中的相关事项，用补充文件的方式进行澄清和修改。</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7.7补充文件的发出时间、响应截止日的变更：在磋商采购的情形下，自澄清、修改及/或进行其它答复的补充文件发出之日起至所规定的供应商提交响应文件截止之日止，不得少于五日，需要为此调整响应文件提交截止日的，应当重新确定，并就变更后的响应截止日重新发出通知。</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7.8采购代理机构澄清、修改、其它答复的效力：无论是否根据潜在供应商的澄清、修改及/或进行其它答复的要求，采购代理机构一旦对磋商文件作出了澄清、修改及/或进行其它答复，即刻发生效力，采购代理机构有关的补充文件，应当作为磋商文件的组成部分，对所有现实的或潜在的供应商均具有约束力，而无论是否已经实际收到该澄清和修改文件。同时，采购代理机构和供应商的权利及义务将受到新的截止期的约束。</w:t>
      </w:r>
    </w:p>
    <w:p>
      <w:pPr>
        <w:shd w:val="clear" w:color="auto" w:fill="FFFFFF"/>
        <w:spacing w:line="44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三、响应文件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8.响应文件的语言和计量单位</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8.1供应商提交的响应文件以及供应商与采购代理机构就有关响应的所有来往函电应使用中文简体字。</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8.2供应商提交的证书类和相关授权等外文文件，以及外国公司的名称与签章等可以是外文。其中，相关授权文件是外文的，必要时磋商小组可以要求供应商提供附有公证书的中文翻译文件或者与原版文件签章相一致的中文翻译文件及其他相关证明文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8.3响应文件所使用的计量单位，应使用国家法定计量单位。</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8.4对违反上述规定情形的，磋商小组有权要求供应商限期提供相应文件或决定对其响应予以拒绝。</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9.响应文件的组成及相关要求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9.1响应文件分为资格审查文件、商务技术响应文件。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本次磋商，供应商应按供应商须知前附表第5条规定提交资格审查文件、商务技术响应文件和需要供应商自行编写的其他文件，其中加*项目若有实质性修改或非实质性响应，将导致磋商无效。</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9.2响应文件递交截止时间（见供应商须知前附表第6条）</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9.3磋商保证金（见供应商须知前附表第11条）</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9.4履约保证金（见供应商须知前附表相关要求）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9.5响应报价</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所有响应报价均以人民币元为计算单位。只要响应了一个确定数额的总价，无论分项价格是否全部填报了相应的金额或免费字样，报价应被视为已经包含了但并不限于各项相关服务等的费用和所需缴纳的所有价格、税、费。在其它情况下，由于分项报价填报不完整、不清楚或存在其它任何失误，所导致的任何不利后果均应当由供应商自行承担。</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（2）本次磋商不接受可选择或可调整的响应方案和报价，任何选择性方案或报价将被视为非实质性响应而被拒绝。</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（3）供应商应按照磋商文件要求填报《磋商一览表》及《报价明细表》，不接受任何超出磋商文件要求而额外赠送的货物或者服务等内容。</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9.6本项目不允许供应商将项目的非主体、非关键性工作交由他人完成。</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10.响应内容填写说明</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10.1供应商应详细阅读磋商文件的全部内容。响应文件须对磋商文件中的内容做出实质性和完整的响应，如果响应文件填报的内容资料不详，或没有提供磋商文件中所要求的全部资料及数据，将可能导致响应被拒绝。</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10.2响应文件应严格按照磋商文件规定的顺序装订成册并编制目录，由于编排混乱导致响应文件被误读或查找不到，供应商自行承担责任。</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10.3响应文件应严格按照磋商文件的要求提交，并按规定的统一格式逐项填写，不准有空项；无相应内容可填的项应填写“无”、 “没有相应指标”等明确的回答文字。响应文件未按规定提交或留有空项，可能被视为不完整响应的响应文件，其响应有可能被拒绝。</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10.4磋商一览表要求按格式统一填写，不得自行删减内容。</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10.5供应商必须保证响应文件所提供的全部资料真实可靠，并接受采购代理机构或磋商小组对其中任何资料进一步审查的要求。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11.响应文件的有效期</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11.1本项目响应文件的有效期详见供应商须知前附表第7条。</w:t>
      </w:r>
      <w:r>
        <w:rPr>
          <w:rFonts w:hint="eastAsia" w:ascii="仿宋" w:hAnsi="仿宋" w:eastAsia="仿宋" w:cs="仿宋"/>
          <w:b/>
          <w:color w:val="auto"/>
          <w:kern w:val="0"/>
          <w:sz w:val="24"/>
          <w:highlight w:val="none"/>
        </w:rPr>
        <w:t>有效期短于该规定期限的磋商将被拒绝。</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11.2在特殊情况下，采购代理机构可与供应商协商延长响应文件的有效期。这种要求和答复都应以书面形式进行。此时，按本须知规定的磋商保证金的有效期也相应延长。供应商可以拒绝接受延期要求而不会被没收保证金。同意延长有效期的供应商除按照采购代理机构要求修改响应文件有效期外，不能修改响应文件的其他内容。</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12.响应文件的签署及其他规定</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12.1组成响应文件的各项文件均应遵守本项规定。</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12.2响应文件及相关文件的签订、履行、通知等事项的书面文件中的单位盖章、印章、公章等处均仅指与当事人名称全称相一致的标准公章，不得使用其它形式（如带有“专用章”等字样的印章）。</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12.3响应文件应按照磋商文件要求，格式文件需在签章和签字的位置填写供应商全称并加盖公章，同时在该处签署法定代表人或供应商代表的全名或加盖本人签名章。响应文件中授权书等非格式文件需签章的加盖与当事人名称相一致的标准公章，注明签署人姓名的须签署人签署全名或加盖本人签名章。</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12.4供应商须注意：为合理节约政府采购评审成本，提倡诚实信用的响应行为，特别要求供应商应本着诚信精神，在本次响应文件的偏离表和其它偏离文件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按评审办法予以处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12.5供应商应按供应商须知前附表第5条规定的份数提交响应文件。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12.6响应文件的正本和副本必须打印并与加密的电子响应文件内容一致。响应文件封面注明“正本”和“副本”字样。</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12.7响应文件应字迹清楚、内容齐全、不得涂改或增删。如有修改和增删，必须有供应商公章及法定代表人或其授权的供应商代表签字或签章。</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12.8因响应文件字迹潦草或表达不清所引起的不利后果由供应商承担。</w:t>
      </w:r>
    </w:p>
    <w:p>
      <w:pPr>
        <w:shd w:val="clear" w:color="auto" w:fill="FFFFFF"/>
        <w:spacing w:line="44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四、响应文件的递交</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13.响应文件的递交时间、地点</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13.1响应文件须按照磋商文件规定的磋商时间、磋商地点送达。在磋商时间以后送达的响应文件，采购代理机构拒绝接收。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14.磋商截止时间</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14.1同磋商时间。</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15.响应文件的补充、修改和撤回</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15.1供应商可以在磋商截止时间前，对所递交的响应文件进行补充、修改或者撤回。有效的补充、修改的内容作为响应文件的组成部分。补充、修改的内容与响应文件不一致的，以补充、修改的内容为准。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15.2在磋商截止时间之后，供应商不得撤回响应文件。</w:t>
      </w:r>
    </w:p>
    <w:p>
      <w:pPr>
        <w:shd w:val="clear" w:color="auto" w:fill="FFFFFF"/>
        <w:spacing w:line="44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五、评审步骤和要求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16.组建磋商小组</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16.1采购人或采购代理机构根据有关法律法规和本磋商文件的规定，结合本磋商项目的特点组建磋商小组，对具备实质性响应的响应文件进行评估和比较。磋商小组由采购人代表和评审专家共3人及以上单数组成。其中评审专家人数不得少于磋商小组成员总数的三分之二。</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16.2本项目评审专家按照政府采购云平台相关管理要求，在政府采购云平台专家库随机抽取。符合财政部关于《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17.资格审查、符合性审查</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17.1磋商时间后，采购方代表将按照磋商文件规定对供应商进行资格审查，资格审查不合格的，磋商无效。</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17.2磋商小组将对通过资格审查的供应商提交的响应文件进行符合性审查，符合性审查不合格的，磋商无效。</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17.3在详细评审之前，磋商小组要审查每份响应文件是否实质上响应了磋商文件的要求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（1）实质上响应的响应是指与磋商文件的主要条款、条件和规格相符，没有重大偏离或保留。</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重大偏离或保留系指响应的需求质量、数量和服务期限等明显不能满足磋商文件的要求，或者实质上与磋商文件不一致，而且限制了采购人的权利或供应商的义务，纠正这些偏离或保留将对其他实质上响应要求的供应商的竞争地位产生不公正的影响。</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（3）重大偏离不允许在响应截止时间后修正，但磋商小组将允许修正响应中不构成重大偏离的地方，这些修正不会对其他实质上响应磋商文件要求的供应商的竞争地位产生不公正的影响。</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（4）如果响应文件实质上没有响应磋商文件的要求，磋商小组将予以拒绝，供应商不得再对响应文件进行任何修正从而使其响应成为实质上响应的响应。</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17.4响应文件的细微偏差是指在实质上响应磋商文件要求，但在个别地方存在漏项或者提供了不完整的技术信息和数据等情况，并且补正这些遗漏或者不完整不会对其他供应商造成不公平的结果。细微偏差不影响响应文件的有效性。</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17.5初审中，对明显的文字和计算错误按下述原则处理，若出现相互矛盾之处，应以排列在先的原则为准优先处理：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1)如果磋商一览表响应价格与响应文件中磋商一览表不一致的，以磋商一览表响应价格为准；磋商一览表内容与响应文件中明细表内容不一致的,以磋商一览表为准。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2)如果以文字表示的数据与数字表示的有差别，以文字为准修正数字。如果大小写金额不一致的，以大写金额为准。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3)如果金额乘以数量不等于总价，以单价为准修正总价，但单价金额小数点有明显错误的，应以总价为准，并修改单价。如果明细价格相加不等于汇总价格，以明细价格为准。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4)调整后的数据应对供应商具有约束力，供应商不同意以上修正，其响应将被拒绝。</w:t>
      </w:r>
    </w:p>
    <w:p>
      <w:pPr>
        <w:shd w:val="clear" w:color="auto" w:fill="FFFFFF"/>
        <w:spacing w:line="440" w:lineRule="exact"/>
        <w:ind w:firstLine="480" w:firstLineChars="200"/>
        <w:rPr>
          <w:rFonts w:ascii="仿宋" w:hAnsi="仿宋" w:eastAsia="仿宋" w:cs="仿宋"/>
          <w:color w:val="auto"/>
          <w:highlight w:val="none"/>
        </w:rPr>
      </w:pPr>
      <w:r>
        <w:rPr>
          <w:rFonts w:hint="eastAsia" w:ascii="仿宋" w:hAnsi="仿宋" w:eastAsia="仿宋" w:cs="仿宋"/>
          <w:color w:val="auto"/>
          <w:kern w:val="0"/>
          <w:sz w:val="24"/>
          <w:highlight w:val="none"/>
        </w:rPr>
        <w:t>17.6磋商小组所有成员应当集中与单一供应商分别进行磋商，并给予所有通过资格及符合性审查的供应商平等的磋商机会。</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18.响应的澄清</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将以询标函的形式通过政采云平台向供应商发出。供应商的澄清、说明或者更正应当由法定代表人或其授权代表签字或者加盖公章。由授权代表签字的，应当附法定代表人授权书。供应商为自然人的，应当由本人签字并附身份证明。</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18.2供应商必须按照磋商小组询标函通知的内容，在规定时间内做出答复，该答复须由其法定代表人或授权代表签字或者加盖公章，并作为响应文件内容的一部分。澄清、说明或者补正不得超出响应文件的范围或者改变响应文件的实质性内容。供应商拒不按照要求对响应文件进行澄清、说明或者补正的，磋商小组可拒绝该响应。</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18.3如磋商小组一致认为某个供应商的报价与各供应商磋商报价的平均报价价差较大，存在明显不合理，有低于成本价或降低质量、不能诚信履行的可能，影响公平竞争时，磋商小组有权决定是否通知供应商限期进行书面解释或提供相关证明材料。若已要求，而该供应商在规定期限内未做出解释、作出的解释不合理或不能提供证明材料的，磋商小组可拒绝该响应。</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19.对响应文件的详细评审</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询标函的形式通过政采云平台同时通知所有参加磋商的供应商。供应商应当按照磋商文件的变动情况和磋商小组的要求重新提交磋商报价，并由其法定代表人或授权代表签字或者加盖公章。由授权代表签字的，应当附法定代表人授权书。供应商为自然人的，应当由本人签字并附身份证明。</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19.2符合《政府采购竞争性磋商采购方式管理暂行办法》的通知(财库〔2014〕214号)第三条第四项情形的，提交最后报价的供应商可以为2家。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19.3已提交响应文件的供应商，在提交最后报价之前，可以根据磋商情况退出磋商。采购人、采购代理机构应当退还退出磋商的供应商的磋商保证金。</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19.4经磋商确定最终采购需求和提交最后报价的供应商后，由磋商小组采用综合评分法对提交最终报价的供应商的响应文件和最终报价进行综合评分。</w:t>
      </w:r>
      <w:r>
        <w:rPr>
          <w:rFonts w:hint="eastAsia" w:ascii="仿宋" w:hAnsi="仿宋" w:eastAsia="仿宋" w:cs="仿宋"/>
          <w:b/>
          <w:bCs/>
          <w:color w:val="auto"/>
          <w:kern w:val="0"/>
          <w:sz w:val="24"/>
          <w:highlight w:val="none"/>
        </w:rPr>
        <w:t>本项目的磋商报价实行两轮或多轮报价：第一轮报价，即供应商在政采云平台上递交的响应文件中开标一览表上载明的磋商报价；第二轮（或第N轮）是在供应商完成磋商小组的澄清答疑（如有）后，供应商在政采云平台上提交的磋商报价（如磋商小组规定是最终轮，则该轮报价即为供应商的最终报价）。最终报价应在规定的时间内在政采云平台上提交，待所有供应商提交完成后，由磋商小组组长进行报价评审。供应商在进行磋商每一轮次报价时，须随磋商报价附件上传报价明细表。</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19.5综合评分法，是指响应文件满足磋商文件全部实质性要求且按评审因素的量化指标评审得分最高的供应商为成交候选供应商的评审方法。综合评分法评审标准中的分值设置应当与评审因素的量化指标相对应。磋商文件中没有规定的评审标准不得作为评审依据。</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19.6评审时，磋商小组各成员应当独立对每个有效响应的文件进行评价、打分，然后汇总每个供应商每项评分因素的得分。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19.7综合评分法中的价格分统一采用低价优先法计算，即满足磋商文件要求且最后报价最低的供应商的价格为磋商基准价，其价格分为满分。其他供应商的价格分统一按照下列公式计算：磋商报价得分=（磋商基准价/最终磋商报价）×价格权值×100。</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19.8项目评审过程中，不得去掉最后报价中的最高报价和最低报价。</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19.9磋商小组只对实质上响应磋商文件的响应进行评价和比较；评审应严格按照磋商文件的要求和条件进行；具体评审原则、方法和成交条件详见磋商文件第四部分“评审办法和评审标准”。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20.确定成交供应商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20.1磋商小组应当根据综合评分情况，按照评审得分由高到低顺序推荐3名成交候选供应商，并编写评审报告。符合财政部关于《政府采购竞争性磋商采购方式管理暂行办法》的通知(财库〔2014〕214号)第二十一条第三款情形的，可以推荐2家成交候选供应商。评审得分相同的，按照最后报价由低到高的顺序推荐。评审得分且最后报价相同的，按照技术指标优劣顺序推荐。</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20.3采购人将确定排名第一的成交候选人为成交供应商并向其授予合同。排名第一的成交候选人因不可抗力或者自身原因不能履行合同，或者本文件规定应当提交履约保证金而在规定期限未能提交的，采购人可以按照《政府采购竞争性磋商采购方式管理暂行办法》的通知(财库〔2014〕214号)第二十八条第二款规定的原则确定其他供应商作为成交供应商并签订政府采购合同。</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20.4采购人也可以授权磋商小组按本条规定直接确定成交供应商。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20.5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20.6采购人或者采购代理机构不得通过对样品进行检测、对供应商进行考察等方式改变评审结果。</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21.评审过程保密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21.1响应截止时间之后，直到授予供应商合同止，凡是属于审查、澄清、评价和比较响应的有关资料以及授标意向等，均不向供应商或其他与评审无关的人员透露。</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21.2在评审期间，供应商企图影响采购代理机构或磋商小组的任何活动，将导致响应被拒绝，并由其承担相应的法律责任。</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22.关于供应商瑕疵滞后发现的处理规则：</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22.1无论基于何种原因，各项本应作拒绝处理的情形即便未被及时发现而使该供应商进入初审、详细评审或其它后续程序，包括已经签约的情形，一旦在任何时间被发现存在上述情形，则向财政部门反映。</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23.采购项目终止</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23.1在磋商过程中，磋商小组发现有下列情形之一的，应当终止竞争性磋商采购活动：</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1)因情况变化，不再符合规定的竞争性磋商采购方式适用情形的；</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2)出现影响采购公正的违法、违规行为的；</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竞争性磋商采购活动终止后，磋商小组应作出书面报告。</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23.2在采购活动中因重大变故，采购任务取消的，采购人或者采购代理机构应当终止采购活动，通知所有参加采购活动的供应商，并将项目实施情况和采购任务取消原因报送本级财政部门。</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23.3终止后，采购代理机构应当将终止原因通知所有供应商。</w:t>
      </w:r>
    </w:p>
    <w:p>
      <w:pPr>
        <w:shd w:val="clear" w:color="auto" w:fill="FFFFFF"/>
        <w:spacing w:line="44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六、签订合同</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24.成交通知</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24.1采购人或者采购代理机构应当在成交供应商确定后2个工作日内，在新疆政府采购云平台发布成交结果公告，同时向成交供应商发出成交通知书。但该成交结果的有效性不依赖于未成交的供应商是否已经收到该通知。成交通知书对采购人和成交供应商具有同等法律效力。成交通知书发出以后，采购人改变成交结果或者成交供应商放弃成交，应当承担相应的法律责任。</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24.2成交通知书是合同的组成部分。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25.签订合同</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25.1采购人与成交供应商应当在成交通知书发出之日起30日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25.2采购人如需追加与合同标的相同的货物或服务，在不改变合同其他条款的前提下，成交供应商可与采购人协商签订补充合同，但所有补充合同的采购金额不得超过原合同金额的10%。</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25.3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25.4成交供应商一旦成交及签订合同后，不得转包、分包，亦不得将合同全部及任何权利、义务向第三方转让，否则将被视为严重违约，采购代理机构有权决定按照成交合同终止或解除合同等约定处理。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25.5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pPr>
        <w:shd w:val="clear" w:color="auto" w:fill="FFFFFF"/>
        <w:spacing w:line="44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七、磋商代理服务费</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26. 磋商代理服务费：见前附表第18项要求。</w:t>
      </w:r>
    </w:p>
    <w:p>
      <w:pPr>
        <w:shd w:val="clear" w:color="auto" w:fill="FFFFFF"/>
        <w:spacing w:line="44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八、处罚、询问和质疑</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27.发生下列情况之一，供应商的磋商保证金将被没收，并被列入不良记录名单，供应商今后参与同类政府采购项目的机会可能会受到影响：</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27.1供应商在提交响应文件截止时间后撤回响应文件的；</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27.2供应商在响应文件中提供虚假材料的；</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27.3除因不可抗力或磋商文件认可的情形以外，成交供应商不与采购人签订合同的；</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27.4供应商与采购人、其他供应商或者采购代理机构恶意串通的；</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27.5磋商文件规定的其他情形。</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28.供应商有权就磋商事宜提出质疑</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28.1供应商对采购事项有疑问的，可以按照《政府采购质疑和投诉办法》（财政部令第94号）向采购人或采购代理机构提出询问。</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28.2磋商程序受《中华人民共和国政府采购法》和相关法律法规的约束，并受到严格的内部监察，以确保授予合同过程的公平公正。</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28.3供应商对磋商文件条款或技术参数有异议的，应当在磋商截止时间前按照《供应商须知前附表》规定的时间内一次性提出。供应商已经参与磋商，并于磋商截止时间后对磋商文件提出质疑的，质疑无效。</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28.4若供应商认为其响应未获公平评审或采购过程和成交结果使自己的合法权益受到损害的，可以在知道或者应知其权益受到损害之日起7个工作日内提出质疑。 </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28.5质疑应当按照《政府采购质疑和投诉办法》（财政部令第94号）规定，以书面形式向采购人或采购代理机构提出。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28.6供应商提出质疑应当提交质疑函和必要的证明材料。质疑函应当包括下列内容：</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28.6.1供应商的姓名或者名称、地址、邮编、联系人及联系电话；</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28.6.2质疑项目的名称、编号；</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28.6.3具体、明确的质疑事项和与质疑事项相关的请求；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28.6.4事实依据；</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28.6.5必要的法律依据；</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28.6.6提出质疑的日期。</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28.6.7供应商为自然人的，应当由本人签字；供应商为法人或者其他组织的，应当由法定代表人、主要负责人，或者其授权代表签字或者盖章，并加盖公章。</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28.7采购人或采购代理机构将在收到书面质疑后7个工作日内复核质疑事项，作出答复或相关处理决定，并以书面形式通知质疑人和其他有关供应商，但答复的内容不涉及商业秘密。若质疑涉及政府采购制度或程序，将可能被转交政府采购监督管理部门审查。</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28.8供应商进行虚假和恶意质疑的，采购代理机构可以提请有关部门将其列入不良记录名单，在一至三年内禁止参加政府采购活动，并将处理决定在相关政府采购媒体上公布。</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28.9质疑供应商对采购人或采购代理机构的答复不满意以及采购人或采购代理机构未在规定的时间内做出答复的，可以在答复期满后15个工作日内向财政部投诉。</w:t>
      </w:r>
    </w:p>
    <w:p>
      <w:pPr>
        <w:shd w:val="clear" w:color="auto" w:fill="FFFFFF"/>
        <w:spacing w:line="44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九、保密和披露</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29.保密和披露</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29.1供应商自领取磋商文件之日起，须承诺承担本磋商项目下保密义务，不得将因本次磋商获得的信息向第三人外传。</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29.2采购代理机构有权将供应商提供的所有资料向有关政府部门或评审响应文件的有关人员披露。</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29.3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pPr>
        <w:shd w:val="clear" w:color="auto" w:fill="FFFFFF"/>
        <w:spacing w:line="440" w:lineRule="exact"/>
        <w:ind w:firstLine="482" w:firstLineChars="200"/>
        <w:rPr>
          <w:rFonts w:ascii="仿宋" w:hAnsi="仿宋" w:eastAsia="仿宋" w:cs="仿宋"/>
          <w:bCs/>
          <w:color w:val="auto"/>
          <w:kern w:val="0"/>
          <w:sz w:val="24"/>
          <w:highlight w:val="none"/>
        </w:rPr>
      </w:pPr>
      <w:r>
        <w:rPr>
          <w:rFonts w:hint="eastAsia" w:ascii="仿宋" w:hAnsi="仿宋" w:eastAsia="仿宋" w:cs="仿宋"/>
          <w:b/>
          <w:color w:val="auto"/>
          <w:kern w:val="0"/>
          <w:sz w:val="24"/>
          <w:highlight w:val="none"/>
        </w:rPr>
        <w:t>十、其他</w:t>
      </w:r>
    </w:p>
    <w:p>
      <w:pPr>
        <w:shd w:val="clear" w:color="auto" w:fill="FFFFFF"/>
        <w:spacing w:line="420" w:lineRule="exact"/>
        <w:ind w:firstLine="480" w:firstLineChars="200"/>
        <w:rPr>
          <w:rFonts w:ascii="仿宋" w:hAnsi="仿宋" w:eastAsia="仿宋" w:cs="仿宋"/>
          <w:color w:val="auto"/>
          <w:kern w:val="0"/>
          <w:szCs w:val="21"/>
          <w:highlight w:val="none"/>
        </w:rPr>
      </w:pPr>
      <w:r>
        <w:rPr>
          <w:rFonts w:hint="eastAsia" w:ascii="仿宋" w:hAnsi="仿宋" w:eastAsia="仿宋" w:cs="仿宋"/>
          <w:bCs/>
          <w:color w:val="auto"/>
          <w:kern w:val="0"/>
          <w:sz w:val="24"/>
          <w:highlight w:val="none"/>
        </w:rPr>
        <w:t>30.本磋商文件是根据《中华人民共和国政府采购法》及其实施条例（658号令）及</w:t>
      </w:r>
      <w:r>
        <w:rPr>
          <w:rFonts w:hint="eastAsia" w:ascii="仿宋" w:hAnsi="仿宋" w:eastAsia="仿宋" w:cs="仿宋"/>
          <w:color w:val="auto"/>
          <w:kern w:val="0"/>
          <w:sz w:val="24"/>
          <w:highlight w:val="none"/>
        </w:rPr>
        <w:t>《政府采购竞争性磋商采购方式管理暂行办法》</w:t>
      </w:r>
      <w:r>
        <w:rPr>
          <w:rFonts w:hint="eastAsia" w:ascii="仿宋" w:hAnsi="仿宋" w:eastAsia="仿宋" w:cs="仿宋"/>
          <w:bCs/>
          <w:color w:val="auto"/>
          <w:kern w:val="0"/>
          <w:sz w:val="24"/>
          <w:highlight w:val="none"/>
        </w:rPr>
        <w:t>（财库【2014】214号）规定编制的，解释权属新疆品创项目管理咨询有限公司。</w:t>
      </w:r>
    </w:p>
    <w:p>
      <w:pPr>
        <w:shd w:val="clear" w:color="auto" w:fill="FFFFFF"/>
        <w:tabs>
          <w:tab w:val="left" w:pos="3045"/>
        </w:tabs>
        <w:autoSpaceDE w:val="0"/>
        <w:autoSpaceDN w:val="0"/>
        <w:adjustRightInd w:val="0"/>
        <w:snapToGrid w:val="0"/>
        <w:spacing w:line="360" w:lineRule="exact"/>
        <w:rPr>
          <w:rFonts w:ascii="仿宋" w:hAnsi="仿宋" w:eastAsia="仿宋" w:cs="仿宋"/>
          <w:b/>
          <w:color w:val="auto"/>
          <w:sz w:val="24"/>
          <w:highlight w:val="none"/>
        </w:rPr>
      </w:pPr>
    </w:p>
    <w:p>
      <w:pPr>
        <w:shd w:val="clear" w:color="auto" w:fill="FFFFFF"/>
        <w:tabs>
          <w:tab w:val="left" w:pos="3045"/>
        </w:tabs>
        <w:autoSpaceDE w:val="0"/>
        <w:autoSpaceDN w:val="0"/>
        <w:adjustRightInd w:val="0"/>
        <w:snapToGrid w:val="0"/>
        <w:spacing w:line="360" w:lineRule="exact"/>
        <w:rPr>
          <w:rFonts w:ascii="仿宋" w:hAnsi="仿宋" w:eastAsia="仿宋" w:cs="仿宋"/>
          <w:b/>
          <w:color w:val="auto"/>
          <w:sz w:val="24"/>
          <w:highlight w:val="none"/>
        </w:rPr>
      </w:pPr>
    </w:p>
    <w:p>
      <w:pPr>
        <w:widowControl/>
        <w:jc w:val="left"/>
        <w:rPr>
          <w:rFonts w:ascii="仿宋" w:hAnsi="仿宋" w:eastAsia="仿宋" w:cs="仿宋"/>
          <w:b/>
          <w:color w:val="auto"/>
          <w:sz w:val="28"/>
          <w:szCs w:val="28"/>
          <w:highlight w:val="none"/>
        </w:rPr>
      </w:pPr>
      <w:bookmarkStart w:id="5" w:name="_Toc90425106"/>
      <w:r>
        <w:rPr>
          <w:rFonts w:hint="eastAsia" w:ascii="仿宋" w:hAnsi="仿宋" w:eastAsia="仿宋" w:cs="仿宋"/>
          <w:b/>
          <w:color w:val="auto"/>
          <w:sz w:val="28"/>
          <w:szCs w:val="28"/>
          <w:highlight w:val="none"/>
        </w:rPr>
        <w:br w:type="page"/>
      </w:r>
    </w:p>
    <w:p>
      <w:pPr>
        <w:pStyle w:val="327"/>
        <w:spacing w:beforeLines="50" w:afterLines="50" w:line="360" w:lineRule="auto"/>
        <w:jc w:val="center"/>
        <w:outlineLvl w:val="0"/>
        <w:rPr>
          <w:rFonts w:ascii="仿宋" w:hAnsi="仿宋" w:eastAsia="仿宋" w:cs="仿宋"/>
          <w:b/>
          <w:color w:val="auto"/>
          <w:highlight w:val="none"/>
        </w:rPr>
      </w:pPr>
      <w:bookmarkStart w:id="6" w:name="_Toc111571536"/>
      <w:r>
        <w:rPr>
          <w:rFonts w:hint="eastAsia" w:ascii="仿宋" w:hAnsi="仿宋" w:eastAsia="仿宋" w:cs="仿宋"/>
          <w:b/>
          <w:color w:val="auto"/>
          <w:sz w:val="32"/>
          <w:szCs w:val="32"/>
          <w:highlight w:val="none"/>
        </w:rPr>
        <w:t>第四部分  评审办法和评审标准</w:t>
      </w:r>
      <w:bookmarkEnd w:id="5"/>
      <w:bookmarkEnd w:id="6"/>
    </w:p>
    <w:p>
      <w:pPr>
        <w:shd w:val="clear" w:color="auto" w:fill="FFFFFF"/>
        <w:tabs>
          <w:tab w:val="left" w:pos="3045"/>
        </w:tabs>
        <w:autoSpaceDE w:val="0"/>
        <w:autoSpaceDN w:val="0"/>
        <w:adjustRightInd w:val="0"/>
        <w:snapToGrid w:val="0"/>
        <w:spacing w:line="3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1.资格审查</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252"/>
        <w:gridCol w:w="1134"/>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项目</w:t>
            </w:r>
          </w:p>
        </w:tc>
        <w:tc>
          <w:tcPr>
            <w:tcW w:w="4819" w:type="dxa"/>
            <w:gridSpan w:val="2"/>
            <w:tcBorders>
              <w:bottom w:val="single" w:color="auto" w:sz="4" w:space="0"/>
            </w:tcBorders>
            <w:vAlign w:val="center"/>
          </w:tcPr>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  审  内  容</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供应商1</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供应商2</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供应商3</w:t>
            </w:r>
          </w:p>
        </w:tc>
        <w:tc>
          <w:tcPr>
            <w:tcW w:w="709"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851" w:type="dxa"/>
            <w:vMerge w:val="restart"/>
            <w:vAlign w:val="center"/>
          </w:tcPr>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资</w:t>
            </w:r>
          </w:p>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格</w:t>
            </w:r>
          </w:p>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w:t>
            </w:r>
          </w:p>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查</w:t>
            </w:r>
          </w:p>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表</w:t>
            </w:r>
          </w:p>
        </w:tc>
        <w:tc>
          <w:tcPr>
            <w:tcW w:w="567" w:type="dxa"/>
            <w:vAlign w:val="center"/>
          </w:tcPr>
          <w:p>
            <w:pPr>
              <w:shd w:val="clear" w:color="auto" w:fill="FFFFFF"/>
              <w:spacing w:line="3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252" w:type="dxa"/>
            <w:vAlign w:val="center"/>
          </w:tcPr>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供应商营业执照或其他组织资格证书，扫描件。</w:t>
            </w: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709"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4252" w:type="dxa"/>
            <w:vAlign w:val="center"/>
          </w:tcPr>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供应商法定代表人资格证明书和法定代表人身份证或者法定代表人授权委托书及被授权人身份证明，扫描件（按磋商文件给定格式提供）。</w:t>
            </w: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709"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4252" w:type="dxa"/>
            <w:vAlign w:val="center"/>
          </w:tcPr>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供应商2022年内任意三个月依法缴纳税收和缴纳社会保障资金证明资料：</w:t>
            </w:r>
          </w:p>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①缴纳税收资料：提供税务机构出具的2022年内任意三个月的依法缴纳税收等证明材料（成立不满三个月的企业，应提供依法缴纳税收承诺书；依法免税的企业，应提供相关证明文件）。</w:t>
            </w:r>
          </w:p>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②缴纳社会保障资金资料：提供2022年内任意三个月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709"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4252" w:type="dxa"/>
            <w:vAlign w:val="center"/>
          </w:tcPr>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供应商经审计的2021年度的财务审计报告。供应商自成立到投标截止时间，未跨一个自然年度的须提供近一个季度的财务报表或开标前三个月内基本开户银行出具的资信证明，复印件加盖公章。</w:t>
            </w: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709"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4252" w:type="dxa"/>
            <w:vAlign w:val="center"/>
          </w:tcPr>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bCs/>
                <w:color w:val="auto"/>
                <w:kern w:val="0"/>
                <w:sz w:val="24"/>
                <w:highlight w:val="none"/>
              </w:rPr>
              <w:t>供应商参加本次政府采购活动前3年内在经营活动中没有重大违法记录的书面声明（原件的扫描件）。</w:t>
            </w: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709"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4252" w:type="dxa"/>
            <w:vAlign w:val="center"/>
          </w:tcPr>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磋商保证金缴纳凭证（打印件或复印件）。</w:t>
            </w: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709"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4252" w:type="dxa"/>
            <w:vAlign w:val="center"/>
          </w:tcPr>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信用查询记录未出现《供应商须知前附表》第4.2项所述违法或失信情形。</w:t>
            </w: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709"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4252" w:type="dxa"/>
            <w:vAlign w:val="center"/>
          </w:tcPr>
          <w:p>
            <w:pPr>
              <w:shd w:val="clear" w:color="auto" w:fill="FFFFFF"/>
              <w:spacing w:line="340" w:lineRule="exact"/>
              <w:rPr>
                <w:rFonts w:ascii="仿宋" w:hAnsi="仿宋" w:eastAsia="仿宋" w:cs="仿宋"/>
                <w:bCs/>
                <w:color w:val="auto"/>
                <w:kern w:val="0"/>
                <w:sz w:val="24"/>
                <w:highlight w:val="none"/>
              </w:rPr>
            </w:pPr>
            <w:r>
              <w:rPr>
                <w:rFonts w:hint="eastAsia" w:ascii="仿宋" w:hAnsi="仿宋" w:eastAsia="仿宋" w:cs="仿宋"/>
                <w:color w:val="auto"/>
                <w:sz w:val="24"/>
                <w:highlight w:val="none"/>
              </w:rPr>
              <w:t>是否按照磋商文件规定格式提供《中小企业声明函》，且内容填写完整。</w:t>
            </w: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709"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5670" w:type="dxa"/>
            <w:gridSpan w:val="3"/>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结  论</w:t>
            </w: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1134" w:type="dxa"/>
            <w:vAlign w:val="center"/>
          </w:tcPr>
          <w:p>
            <w:pPr>
              <w:shd w:val="clear" w:color="auto" w:fill="FFFFFF"/>
              <w:spacing w:line="360" w:lineRule="exact"/>
              <w:rPr>
                <w:rFonts w:ascii="仿宋" w:hAnsi="仿宋" w:eastAsia="仿宋" w:cs="仿宋"/>
                <w:color w:val="auto"/>
                <w:sz w:val="24"/>
                <w:highlight w:val="none"/>
              </w:rPr>
            </w:pPr>
          </w:p>
        </w:tc>
        <w:tc>
          <w:tcPr>
            <w:tcW w:w="709"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9781" w:type="dxa"/>
            <w:gridSpan w:val="7"/>
            <w:vAlign w:val="center"/>
          </w:tcPr>
          <w:p>
            <w:pPr>
              <w:shd w:val="clear" w:color="auto" w:fill="FFFFFF"/>
              <w:spacing w:line="440" w:lineRule="exact"/>
              <w:rPr>
                <w:rFonts w:ascii="仿宋" w:hAnsi="仿宋" w:eastAsia="仿宋" w:cs="仿宋"/>
                <w:bCs/>
                <w:color w:val="auto"/>
                <w:kern w:val="0"/>
                <w:sz w:val="24"/>
                <w:highlight w:val="none"/>
              </w:rPr>
            </w:pPr>
            <w:r>
              <w:rPr>
                <w:rFonts w:hint="eastAsia" w:ascii="仿宋" w:hAnsi="仿宋" w:eastAsia="仿宋" w:cs="仿宋"/>
                <w:b/>
                <w:color w:val="auto"/>
                <w:sz w:val="24"/>
                <w:highlight w:val="none"/>
              </w:rPr>
              <w:t>采购人代表签名：</w:t>
            </w:r>
            <w:r>
              <w:rPr>
                <w:rFonts w:hint="eastAsia" w:ascii="仿宋" w:hAnsi="仿宋" w:eastAsia="仿宋" w:cs="仿宋"/>
                <w:bCs/>
                <w:color w:val="auto"/>
                <w:kern w:val="0"/>
                <w:sz w:val="24"/>
                <w:highlight w:val="none"/>
              </w:rPr>
              <w:t xml:space="preserve"> </w:t>
            </w:r>
          </w:p>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b/>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781" w:type="dxa"/>
            <w:gridSpan w:val="7"/>
            <w:vAlign w:val="center"/>
          </w:tcPr>
          <w:p>
            <w:pPr>
              <w:shd w:val="clear" w:color="auto" w:fill="FFFFFF"/>
              <w:spacing w:line="360" w:lineRule="exact"/>
              <w:rPr>
                <w:rFonts w:ascii="仿宋" w:hAnsi="仿宋" w:eastAsia="仿宋" w:cs="仿宋"/>
                <w:b/>
                <w:color w:val="auto"/>
                <w:sz w:val="24"/>
                <w:highlight w:val="none"/>
              </w:rPr>
            </w:pPr>
            <w:r>
              <w:rPr>
                <w:rFonts w:hint="eastAsia" w:ascii="仿宋" w:hAnsi="仿宋" w:eastAsia="仿宋" w:cs="仿宋"/>
                <w:color w:val="auto"/>
                <w:sz w:val="24"/>
                <w:highlight w:val="none"/>
              </w:rPr>
              <w:t>备注：上述每一项审查，供应商通过的，以“√”标记；否则，以“×”标记。如果供应商有一项未通过上述审查，其结论请注明“不合格”，全部通过的，其结论请注明“合格”。资格审查不合格的供应商，投标无效。</w:t>
            </w:r>
          </w:p>
        </w:tc>
      </w:tr>
    </w:tbl>
    <w:p>
      <w:pPr>
        <w:shd w:val="clear" w:color="auto" w:fill="FFFFFF"/>
        <w:tabs>
          <w:tab w:val="left" w:pos="3045"/>
        </w:tabs>
        <w:autoSpaceDE w:val="0"/>
        <w:autoSpaceDN w:val="0"/>
        <w:adjustRightInd w:val="0"/>
        <w:snapToGrid w:val="0"/>
        <w:spacing w:line="360" w:lineRule="exact"/>
        <w:rPr>
          <w:rFonts w:ascii="仿宋" w:hAnsi="仿宋" w:eastAsia="仿宋" w:cs="仿宋"/>
          <w:b/>
          <w:color w:val="auto"/>
          <w:sz w:val="24"/>
          <w:highlight w:val="none"/>
        </w:rPr>
      </w:pPr>
    </w:p>
    <w:p>
      <w:pPr>
        <w:shd w:val="clear" w:color="auto" w:fill="FFFFFF"/>
        <w:tabs>
          <w:tab w:val="left" w:pos="3045"/>
        </w:tabs>
        <w:autoSpaceDE w:val="0"/>
        <w:autoSpaceDN w:val="0"/>
        <w:adjustRightInd w:val="0"/>
        <w:snapToGrid w:val="0"/>
        <w:spacing w:line="360" w:lineRule="exact"/>
        <w:rPr>
          <w:rFonts w:ascii="仿宋" w:hAnsi="仿宋" w:eastAsia="仿宋" w:cs="仿宋"/>
          <w:b/>
          <w:color w:val="auto"/>
          <w:sz w:val="24"/>
          <w:highlight w:val="none"/>
        </w:rPr>
      </w:pPr>
    </w:p>
    <w:p>
      <w:pPr>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p>
    <w:p>
      <w:pPr>
        <w:shd w:val="clear" w:color="auto" w:fill="FFFFFF"/>
        <w:tabs>
          <w:tab w:val="left" w:pos="3045"/>
        </w:tabs>
        <w:autoSpaceDE w:val="0"/>
        <w:autoSpaceDN w:val="0"/>
        <w:adjustRightInd w:val="0"/>
        <w:snapToGrid w:val="0"/>
        <w:spacing w:line="36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sz w:val="24"/>
          <w:highlight w:val="none"/>
        </w:rPr>
        <w:t>2.符合性审查</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561"/>
        <w:gridCol w:w="1035"/>
        <w:gridCol w:w="1012"/>
        <w:gridCol w:w="1023"/>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项目</w:t>
            </w:r>
          </w:p>
        </w:tc>
        <w:tc>
          <w:tcPr>
            <w:tcW w:w="5128" w:type="dxa"/>
            <w:gridSpan w:val="2"/>
            <w:tcBorders>
              <w:bottom w:val="single" w:color="auto" w:sz="4" w:space="0"/>
            </w:tcBorders>
            <w:vAlign w:val="center"/>
          </w:tcPr>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  审  内  容</w:t>
            </w:r>
          </w:p>
        </w:tc>
        <w:tc>
          <w:tcPr>
            <w:tcW w:w="1035"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供应商1</w:t>
            </w:r>
          </w:p>
        </w:tc>
        <w:tc>
          <w:tcPr>
            <w:tcW w:w="1012"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供应商2</w:t>
            </w:r>
          </w:p>
        </w:tc>
        <w:tc>
          <w:tcPr>
            <w:tcW w:w="1023"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供应商3</w:t>
            </w:r>
          </w:p>
        </w:tc>
        <w:tc>
          <w:tcPr>
            <w:tcW w:w="732"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vAlign w:val="center"/>
          </w:tcPr>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符</w:t>
            </w:r>
          </w:p>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合</w:t>
            </w:r>
          </w:p>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性</w:t>
            </w:r>
          </w:p>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w:t>
            </w:r>
          </w:p>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查</w:t>
            </w:r>
          </w:p>
          <w:p>
            <w:pPr>
              <w:shd w:val="clear" w:color="auto" w:fill="FFFFFF"/>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表</w:t>
            </w:r>
          </w:p>
        </w:tc>
        <w:tc>
          <w:tcPr>
            <w:tcW w:w="567" w:type="dxa"/>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561" w:type="dxa"/>
            <w:vAlign w:val="center"/>
          </w:tcPr>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磋商报价未超过本项目的最高限价；</w:t>
            </w:r>
          </w:p>
        </w:tc>
        <w:tc>
          <w:tcPr>
            <w:tcW w:w="1035" w:type="dxa"/>
            <w:vAlign w:val="center"/>
          </w:tcPr>
          <w:p>
            <w:pPr>
              <w:shd w:val="clear" w:color="auto" w:fill="FFFFFF"/>
              <w:spacing w:line="360" w:lineRule="exact"/>
              <w:rPr>
                <w:rFonts w:ascii="仿宋" w:hAnsi="仿宋" w:eastAsia="仿宋" w:cs="仿宋"/>
                <w:color w:val="auto"/>
                <w:sz w:val="24"/>
                <w:highlight w:val="none"/>
              </w:rPr>
            </w:pPr>
          </w:p>
        </w:tc>
        <w:tc>
          <w:tcPr>
            <w:tcW w:w="1012" w:type="dxa"/>
            <w:vAlign w:val="center"/>
          </w:tcPr>
          <w:p>
            <w:pPr>
              <w:shd w:val="clear" w:color="auto" w:fill="FFFFFF"/>
              <w:spacing w:line="360" w:lineRule="exact"/>
              <w:rPr>
                <w:rFonts w:ascii="仿宋" w:hAnsi="仿宋" w:eastAsia="仿宋" w:cs="仿宋"/>
                <w:color w:val="auto"/>
                <w:sz w:val="24"/>
                <w:highlight w:val="none"/>
              </w:rPr>
            </w:pPr>
          </w:p>
        </w:tc>
        <w:tc>
          <w:tcPr>
            <w:tcW w:w="1023" w:type="dxa"/>
            <w:vAlign w:val="center"/>
          </w:tcPr>
          <w:p>
            <w:pPr>
              <w:shd w:val="clear" w:color="auto" w:fill="FFFFFF"/>
              <w:spacing w:line="360" w:lineRule="exact"/>
              <w:rPr>
                <w:rFonts w:ascii="仿宋" w:hAnsi="仿宋" w:eastAsia="仿宋" w:cs="仿宋"/>
                <w:color w:val="auto"/>
                <w:sz w:val="24"/>
                <w:highlight w:val="none"/>
              </w:rPr>
            </w:pPr>
          </w:p>
        </w:tc>
        <w:tc>
          <w:tcPr>
            <w:tcW w:w="732"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4561" w:type="dxa"/>
            <w:vAlign w:val="center"/>
          </w:tcPr>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供应商未出现对同一货物做出两个以上报价且未明确效力的；</w:t>
            </w:r>
          </w:p>
        </w:tc>
        <w:tc>
          <w:tcPr>
            <w:tcW w:w="1035" w:type="dxa"/>
            <w:vAlign w:val="center"/>
          </w:tcPr>
          <w:p>
            <w:pPr>
              <w:shd w:val="clear" w:color="auto" w:fill="FFFFFF"/>
              <w:spacing w:line="360" w:lineRule="exact"/>
              <w:rPr>
                <w:rFonts w:ascii="仿宋" w:hAnsi="仿宋" w:eastAsia="仿宋" w:cs="仿宋"/>
                <w:color w:val="auto"/>
                <w:sz w:val="24"/>
                <w:highlight w:val="none"/>
              </w:rPr>
            </w:pPr>
          </w:p>
        </w:tc>
        <w:tc>
          <w:tcPr>
            <w:tcW w:w="1012" w:type="dxa"/>
            <w:vAlign w:val="center"/>
          </w:tcPr>
          <w:p>
            <w:pPr>
              <w:shd w:val="clear" w:color="auto" w:fill="FFFFFF"/>
              <w:spacing w:line="360" w:lineRule="exact"/>
              <w:rPr>
                <w:rFonts w:ascii="仿宋" w:hAnsi="仿宋" w:eastAsia="仿宋" w:cs="仿宋"/>
                <w:color w:val="auto"/>
                <w:sz w:val="24"/>
                <w:highlight w:val="none"/>
              </w:rPr>
            </w:pPr>
          </w:p>
        </w:tc>
        <w:tc>
          <w:tcPr>
            <w:tcW w:w="1023" w:type="dxa"/>
            <w:vAlign w:val="center"/>
          </w:tcPr>
          <w:p>
            <w:pPr>
              <w:shd w:val="clear" w:color="auto" w:fill="FFFFFF"/>
              <w:spacing w:line="360" w:lineRule="exact"/>
              <w:rPr>
                <w:rFonts w:ascii="仿宋" w:hAnsi="仿宋" w:eastAsia="仿宋" w:cs="仿宋"/>
                <w:color w:val="auto"/>
                <w:sz w:val="24"/>
                <w:highlight w:val="none"/>
              </w:rPr>
            </w:pPr>
          </w:p>
        </w:tc>
        <w:tc>
          <w:tcPr>
            <w:tcW w:w="732"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4561" w:type="dxa"/>
            <w:vAlign w:val="center"/>
          </w:tcPr>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磋商文件载明的</w:t>
            </w:r>
            <w:r>
              <w:rPr>
                <w:rFonts w:hint="eastAsia" w:ascii="仿宋" w:hAnsi="仿宋" w:eastAsia="仿宋" w:cs="仿宋"/>
                <w:bCs/>
                <w:color w:val="auto"/>
                <w:kern w:val="0"/>
                <w:sz w:val="24"/>
                <w:highlight w:val="none"/>
              </w:rPr>
              <w:t>“磋商有效期”、“交货期”、“交货地点”、“质保期”、“付款方式”</w:t>
            </w:r>
            <w:r>
              <w:rPr>
                <w:rFonts w:hint="eastAsia" w:ascii="仿宋" w:hAnsi="仿宋" w:eastAsia="仿宋" w:cs="仿宋"/>
                <w:color w:val="auto"/>
                <w:sz w:val="24"/>
                <w:highlight w:val="none"/>
              </w:rPr>
              <w:t>符合磋商文件要求，未出现负偏离；</w:t>
            </w:r>
          </w:p>
        </w:tc>
        <w:tc>
          <w:tcPr>
            <w:tcW w:w="1035" w:type="dxa"/>
            <w:vAlign w:val="center"/>
          </w:tcPr>
          <w:p>
            <w:pPr>
              <w:shd w:val="clear" w:color="auto" w:fill="FFFFFF"/>
              <w:spacing w:line="360" w:lineRule="exact"/>
              <w:rPr>
                <w:rFonts w:ascii="仿宋" w:hAnsi="仿宋" w:eastAsia="仿宋" w:cs="仿宋"/>
                <w:color w:val="auto"/>
                <w:sz w:val="24"/>
                <w:highlight w:val="none"/>
              </w:rPr>
            </w:pPr>
          </w:p>
        </w:tc>
        <w:tc>
          <w:tcPr>
            <w:tcW w:w="1012" w:type="dxa"/>
            <w:vAlign w:val="center"/>
          </w:tcPr>
          <w:p>
            <w:pPr>
              <w:shd w:val="clear" w:color="auto" w:fill="FFFFFF"/>
              <w:spacing w:line="360" w:lineRule="exact"/>
              <w:rPr>
                <w:rFonts w:ascii="仿宋" w:hAnsi="仿宋" w:eastAsia="仿宋" w:cs="仿宋"/>
                <w:color w:val="auto"/>
                <w:sz w:val="24"/>
                <w:highlight w:val="none"/>
              </w:rPr>
            </w:pPr>
          </w:p>
        </w:tc>
        <w:tc>
          <w:tcPr>
            <w:tcW w:w="1023" w:type="dxa"/>
            <w:vAlign w:val="center"/>
          </w:tcPr>
          <w:p>
            <w:pPr>
              <w:shd w:val="clear" w:color="auto" w:fill="FFFFFF"/>
              <w:spacing w:line="360" w:lineRule="exact"/>
              <w:rPr>
                <w:rFonts w:ascii="仿宋" w:hAnsi="仿宋" w:eastAsia="仿宋" w:cs="仿宋"/>
                <w:color w:val="auto"/>
                <w:sz w:val="24"/>
                <w:highlight w:val="none"/>
              </w:rPr>
            </w:pPr>
          </w:p>
        </w:tc>
        <w:tc>
          <w:tcPr>
            <w:tcW w:w="732"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4561" w:type="dxa"/>
            <w:vAlign w:val="center"/>
          </w:tcPr>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bCs/>
                <w:color w:val="auto"/>
                <w:kern w:val="0"/>
                <w:sz w:val="24"/>
                <w:highlight w:val="none"/>
              </w:rPr>
              <w:t>磋商保证金的缴纳主体与供应商一致；且按照磋商文件要求的金额、方式提供；</w:t>
            </w:r>
          </w:p>
        </w:tc>
        <w:tc>
          <w:tcPr>
            <w:tcW w:w="1035" w:type="dxa"/>
            <w:vAlign w:val="center"/>
          </w:tcPr>
          <w:p>
            <w:pPr>
              <w:shd w:val="clear" w:color="auto" w:fill="FFFFFF"/>
              <w:spacing w:line="360" w:lineRule="exact"/>
              <w:rPr>
                <w:rFonts w:ascii="仿宋" w:hAnsi="仿宋" w:eastAsia="仿宋" w:cs="仿宋"/>
                <w:color w:val="auto"/>
                <w:sz w:val="24"/>
                <w:highlight w:val="none"/>
              </w:rPr>
            </w:pPr>
          </w:p>
        </w:tc>
        <w:tc>
          <w:tcPr>
            <w:tcW w:w="1012" w:type="dxa"/>
            <w:vAlign w:val="center"/>
          </w:tcPr>
          <w:p>
            <w:pPr>
              <w:shd w:val="clear" w:color="auto" w:fill="FFFFFF"/>
              <w:spacing w:line="360" w:lineRule="exact"/>
              <w:rPr>
                <w:rFonts w:ascii="仿宋" w:hAnsi="仿宋" w:eastAsia="仿宋" w:cs="仿宋"/>
                <w:color w:val="auto"/>
                <w:sz w:val="24"/>
                <w:highlight w:val="none"/>
              </w:rPr>
            </w:pPr>
          </w:p>
        </w:tc>
        <w:tc>
          <w:tcPr>
            <w:tcW w:w="1023" w:type="dxa"/>
            <w:vAlign w:val="center"/>
          </w:tcPr>
          <w:p>
            <w:pPr>
              <w:shd w:val="clear" w:color="auto" w:fill="FFFFFF"/>
              <w:spacing w:line="360" w:lineRule="exact"/>
              <w:rPr>
                <w:rFonts w:ascii="仿宋" w:hAnsi="仿宋" w:eastAsia="仿宋" w:cs="仿宋"/>
                <w:color w:val="auto"/>
                <w:sz w:val="24"/>
                <w:highlight w:val="none"/>
              </w:rPr>
            </w:pPr>
          </w:p>
        </w:tc>
        <w:tc>
          <w:tcPr>
            <w:tcW w:w="732"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4561" w:type="dxa"/>
            <w:vAlign w:val="center"/>
          </w:tcPr>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满足本磋商文件“供应商须知前附表”第5条“响应文件的组成”中标注*号要求的；</w:t>
            </w:r>
          </w:p>
        </w:tc>
        <w:tc>
          <w:tcPr>
            <w:tcW w:w="1035" w:type="dxa"/>
            <w:vAlign w:val="center"/>
          </w:tcPr>
          <w:p>
            <w:pPr>
              <w:shd w:val="clear" w:color="auto" w:fill="FFFFFF"/>
              <w:spacing w:line="360" w:lineRule="exact"/>
              <w:rPr>
                <w:rFonts w:ascii="仿宋" w:hAnsi="仿宋" w:eastAsia="仿宋" w:cs="仿宋"/>
                <w:color w:val="auto"/>
                <w:sz w:val="24"/>
                <w:highlight w:val="none"/>
              </w:rPr>
            </w:pPr>
          </w:p>
        </w:tc>
        <w:tc>
          <w:tcPr>
            <w:tcW w:w="1012" w:type="dxa"/>
            <w:vAlign w:val="center"/>
          </w:tcPr>
          <w:p>
            <w:pPr>
              <w:shd w:val="clear" w:color="auto" w:fill="FFFFFF"/>
              <w:spacing w:line="360" w:lineRule="exact"/>
              <w:rPr>
                <w:rFonts w:ascii="仿宋" w:hAnsi="仿宋" w:eastAsia="仿宋" w:cs="仿宋"/>
                <w:color w:val="auto"/>
                <w:sz w:val="24"/>
                <w:highlight w:val="none"/>
              </w:rPr>
            </w:pPr>
          </w:p>
        </w:tc>
        <w:tc>
          <w:tcPr>
            <w:tcW w:w="1023" w:type="dxa"/>
            <w:vAlign w:val="center"/>
          </w:tcPr>
          <w:p>
            <w:pPr>
              <w:shd w:val="clear" w:color="auto" w:fill="FFFFFF"/>
              <w:spacing w:line="360" w:lineRule="exact"/>
              <w:rPr>
                <w:rFonts w:ascii="仿宋" w:hAnsi="仿宋" w:eastAsia="仿宋" w:cs="仿宋"/>
                <w:color w:val="auto"/>
                <w:sz w:val="24"/>
                <w:highlight w:val="none"/>
              </w:rPr>
            </w:pPr>
          </w:p>
        </w:tc>
        <w:tc>
          <w:tcPr>
            <w:tcW w:w="732"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4561" w:type="dxa"/>
            <w:vAlign w:val="center"/>
          </w:tcPr>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资格证明书、法定代表人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授权委托书按磋商文件规定格式完整提供，并按磋商文件要求签字、盖章；</w:t>
            </w:r>
          </w:p>
        </w:tc>
        <w:tc>
          <w:tcPr>
            <w:tcW w:w="1035" w:type="dxa"/>
            <w:vAlign w:val="center"/>
          </w:tcPr>
          <w:p>
            <w:pPr>
              <w:shd w:val="clear" w:color="auto" w:fill="FFFFFF"/>
              <w:spacing w:line="360" w:lineRule="exact"/>
              <w:rPr>
                <w:rFonts w:ascii="仿宋" w:hAnsi="仿宋" w:eastAsia="仿宋" w:cs="仿宋"/>
                <w:color w:val="auto"/>
                <w:sz w:val="24"/>
                <w:highlight w:val="none"/>
              </w:rPr>
            </w:pPr>
          </w:p>
        </w:tc>
        <w:tc>
          <w:tcPr>
            <w:tcW w:w="1012" w:type="dxa"/>
            <w:vAlign w:val="center"/>
          </w:tcPr>
          <w:p>
            <w:pPr>
              <w:shd w:val="clear" w:color="auto" w:fill="FFFFFF"/>
              <w:spacing w:line="360" w:lineRule="exact"/>
              <w:rPr>
                <w:rFonts w:ascii="仿宋" w:hAnsi="仿宋" w:eastAsia="仿宋" w:cs="仿宋"/>
                <w:color w:val="auto"/>
                <w:sz w:val="24"/>
                <w:highlight w:val="none"/>
              </w:rPr>
            </w:pPr>
          </w:p>
        </w:tc>
        <w:tc>
          <w:tcPr>
            <w:tcW w:w="1023" w:type="dxa"/>
            <w:vAlign w:val="center"/>
          </w:tcPr>
          <w:p>
            <w:pPr>
              <w:shd w:val="clear" w:color="auto" w:fill="FFFFFF"/>
              <w:spacing w:line="360" w:lineRule="exact"/>
              <w:rPr>
                <w:rFonts w:ascii="仿宋" w:hAnsi="仿宋" w:eastAsia="仿宋" w:cs="仿宋"/>
                <w:color w:val="auto"/>
                <w:sz w:val="24"/>
                <w:highlight w:val="none"/>
              </w:rPr>
            </w:pPr>
          </w:p>
        </w:tc>
        <w:tc>
          <w:tcPr>
            <w:tcW w:w="732"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4561" w:type="dxa"/>
            <w:vAlign w:val="center"/>
          </w:tcPr>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磋商文件中要求盖公章、签字（或签章）处，供应商响应文件中均按要求盖章、签字（或签章）；</w:t>
            </w:r>
          </w:p>
        </w:tc>
        <w:tc>
          <w:tcPr>
            <w:tcW w:w="1035" w:type="dxa"/>
            <w:vAlign w:val="center"/>
          </w:tcPr>
          <w:p>
            <w:pPr>
              <w:shd w:val="clear" w:color="auto" w:fill="FFFFFF"/>
              <w:spacing w:line="360" w:lineRule="exact"/>
              <w:rPr>
                <w:rFonts w:ascii="仿宋" w:hAnsi="仿宋" w:eastAsia="仿宋" w:cs="仿宋"/>
                <w:color w:val="auto"/>
                <w:sz w:val="24"/>
                <w:highlight w:val="none"/>
              </w:rPr>
            </w:pPr>
          </w:p>
        </w:tc>
        <w:tc>
          <w:tcPr>
            <w:tcW w:w="1012" w:type="dxa"/>
            <w:vAlign w:val="center"/>
          </w:tcPr>
          <w:p>
            <w:pPr>
              <w:shd w:val="clear" w:color="auto" w:fill="FFFFFF"/>
              <w:spacing w:line="360" w:lineRule="exact"/>
              <w:rPr>
                <w:rFonts w:ascii="仿宋" w:hAnsi="仿宋" w:eastAsia="仿宋" w:cs="仿宋"/>
                <w:color w:val="auto"/>
                <w:sz w:val="24"/>
                <w:highlight w:val="none"/>
              </w:rPr>
            </w:pPr>
          </w:p>
        </w:tc>
        <w:tc>
          <w:tcPr>
            <w:tcW w:w="1023" w:type="dxa"/>
            <w:vAlign w:val="center"/>
          </w:tcPr>
          <w:p>
            <w:pPr>
              <w:shd w:val="clear" w:color="auto" w:fill="FFFFFF"/>
              <w:spacing w:line="360" w:lineRule="exact"/>
              <w:rPr>
                <w:rFonts w:ascii="仿宋" w:hAnsi="仿宋" w:eastAsia="仿宋" w:cs="仿宋"/>
                <w:color w:val="auto"/>
                <w:sz w:val="24"/>
                <w:highlight w:val="none"/>
              </w:rPr>
            </w:pPr>
          </w:p>
        </w:tc>
        <w:tc>
          <w:tcPr>
            <w:tcW w:w="732"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4561" w:type="dxa"/>
            <w:vAlign w:val="center"/>
          </w:tcPr>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响应文件未附有采购人不能接受的条件；</w:t>
            </w:r>
          </w:p>
        </w:tc>
        <w:tc>
          <w:tcPr>
            <w:tcW w:w="1035" w:type="dxa"/>
            <w:vAlign w:val="center"/>
          </w:tcPr>
          <w:p>
            <w:pPr>
              <w:shd w:val="clear" w:color="auto" w:fill="FFFFFF"/>
              <w:spacing w:line="360" w:lineRule="exact"/>
              <w:rPr>
                <w:rFonts w:ascii="仿宋" w:hAnsi="仿宋" w:eastAsia="仿宋" w:cs="仿宋"/>
                <w:color w:val="auto"/>
                <w:sz w:val="24"/>
                <w:highlight w:val="none"/>
              </w:rPr>
            </w:pPr>
          </w:p>
        </w:tc>
        <w:tc>
          <w:tcPr>
            <w:tcW w:w="1012" w:type="dxa"/>
            <w:vAlign w:val="center"/>
          </w:tcPr>
          <w:p>
            <w:pPr>
              <w:shd w:val="clear" w:color="auto" w:fill="FFFFFF"/>
              <w:spacing w:line="360" w:lineRule="exact"/>
              <w:rPr>
                <w:rFonts w:ascii="仿宋" w:hAnsi="仿宋" w:eastAsia="仿宋" w:cs="仿宋"/>
                <w:color w:val="auto"/>
                <w:sz w:val="24"/>
                <w:highlight w:val="none"/>
              </w:rPr>
            </w:pPr>
          </w:p>
        </w:tc>
        <w:tc>
          <w:tcPr>
            <w:tcW w:w="1023" w:type="dxa"/>
            <w:vAlign w:val="center"/>
          </w:tcPr>
          <w:p>
            <w:pPr>
              <w:shd w:val="clear" w:color="auto" w:fill="FFFFFF"/>
              <w:spacing w:line="360" w:lineRule="exact"/>
              <w:rPr>
                <w:rFonts w:ascii="仿宋" w:hAnsi="仿宋" w:eastAsia="仿宋" w:cs="仿宋"/>
                <w:color w:val="auto"/>
                <w:sz w:val="24"/>
                <w:highlight w:val="none"/>
              </w:rPr>
            </w:pPr>
          </w:p>
        </w:tc>
        <w:tc>
          <w:tcPr>
            <w:tcW w:w="732"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highlight w:val="none"/>
              </w:rPr>
            </w:pPr>
          </w:p>
        </w:tc>
        <w:tc>
          <w:tcPr>
            <w:tcW w:w="567" w:type="dxa"/>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4561" w:type="dxa"/>
            <w:vAlign w:val="center"/>
          </w:tcPr>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color w:val="auto"/>
                <w:kern w:val="0"/>
                <w:sz w:val="24"/>
                <w:highlight w:val="none"/>
              </w:rPr>
              <w:t>响应文件未出现不符合法律、法规和磋商文件中规定的实质性要求。</w:t>
            </w:r>
          </w:p>
        </w:tc>
        <w:tc>
          <w:tcPr>
            <w:tcW w:w="1035" w:type="dxa"/>
            <w:vAlign w:val="center"/>
          </w:tcPr>
          <w:p>
            <w:pPr>
              <w:shd w:val="clear" w:color="auto" w:fill="FFFFFF"/>
              <w:spacing w:line="360" w:lineRule="exact"/>
              <w:rPr>
                <w:rFonts w:ascii="仿宋" w:hAnsi="仿宋" w:eastAsia="仿宋" w:cs="仿宋"/>
                <w:color w:val="auto"/>
                <w:sz w:val="24"/>
                <w:highlight w:val="none"/>
              </w:rPr>
            </w:pPr>
          </w:p>
        </w:tc>
        <w:tc>
          <w:tcPr>
            <w:tcW w:w="1012" w:type="dxa"/>
            <w:vAlign w:val="center"/>
          </w:tcPr>
          <w:p>
            <w:pPr>
              <w:shd w:val="clear" w:color="auto" w:fill="FFFFFF"/>
              <w:spacing w:line="360" w:lineRule="exact"/>
              <w:rPr>
                <w:rFonts w:ascii="仿宋" w:hAnsi="仿宋" w:eastAsia="仿宋" w:cs="仿宋"/>
                <w:color w:val="auto"/>
                <w:sz w:val="24"/>
                <w:highlight w:val="none"/>
              </w:rPr>
            </w:pPr>
          </w:p>
        </w:tc>
        <w:tc>
          <w:tcPr>
            <w:tcW w:w="1023" w:type="dxa"/>
            <w:vAlign w:val="center"/>
          </w:tcPr>
          <w:p>
            <w:pPr>
              <w:shd w:val="clear" w:color="auto" w:fill="FFFFFF"/>
              <w:spacing w:line="360" w:lineRule="exact"/>
              <w:rPr>
                <w:rFonts w:ascii="仿宋" w:hAnsi="仿宋" w:eastAsia="仿宋" w:cs="仿宋"/>
                <w:color w:val="auto"/>
                <w:sz w:val="24"/>
                <w:highlight w:val="none"/>
              </w:rPr>
            </w:pPr>
          </w:p>
        </w:tc>
        <w:tc>
          <w:tcPr>
            <w:tcW w:w="732"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79" w:type="dxa"/>
            <w:gridSpan w:val="3"/>
            <w:vAlign w:val="center"/>
          </w:tcPr>
          <w:p>
            <w:pPr>
              <w:shd w:val="clear" w:color="auto" w:fill="FFFFFF"/>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结  论</w:t>
            </w:r>
          </w:p>
        </w:tc>
        <w:tc>
          <w:tcPr>
            <w:tcW w:w="1035" w:type="dxa"/>
            <w:vAlign w:val="center"/>
          </w:tcPr>
          <w:p>
            <w:pPr>
              <w:shd w:val="clear" w:color="auto" w:fill="FFFFFF"/>
              <w:spacing w:line="360" w:lineRule="exact"/>
              <w:rPr>
                <w:rFonts w:ascii="仿宋" w:hAnsi="仿宋" w:eastAsia="仿宋" w:cs="仿宋"/>
                <w:color w:val="auto"/>
                <w:sz w:val="24"/>
                <w:highlight w:val="none"/>
              </w:rPr>
            </w:pPr>
          </w:p>
        </w:tc>
        <w:tc>
          <w:tcPr>
            <w:tcW w:w="1012" w:type="dxa"/>
            <w:vAlign w:val="center"/>
          </w:tcPr>
          <w:p>
            <w:pPr>
              <w:shd w:val="clear" w:color="auto" w:fill="FFFFFF"/>
              <w:spacing w:line="360" w:lineRule="exact"/>
              <w:rPr>
                <w:rFonts w:ascii="仿宋" w:hAnsi="仿宋" w:eastAsia="仿宋" w:cs="仿宋"/>
                <w:color w:val="auto"/>
                <w:sz w:val="24"/>
                <w:highlight w:val="none"/>
              </w:rPr>
            </w:pPr>
          </w:p>
        </w:tc>
        <w:tc>
          <w:tcPr>
            <w:tcW w:w="1023" w:type="dxa"/>
            <w:vAlign w:val="center"/>
          </w:tcPr>
          <w:p>
            <w:pPr>
              <w:shd w:val="clear" w:color="auto" w:fill="FFFFFF"/>
              <w:spacing w:line="360" w:lineRule="exact"/>
              <w:rPr>
                <w:rFonts w:ascii="仿宋" w:hAnsi="仿宋" w:eastAsia="仿宋" w:cs="仿宋"/>
                <w:color w:val="auto"/>
                <w:sz w:val="24"/>
                <w:highlight w:val="none"/>
              </w:rPr>
            </w:pPr>
          </w:p>
        </w:tc>
        <w:tc>
          <w:tcPr>
            <w:tcW w:w="732" w:type="dxa"/>
            <w:vAlign w:val="center"/>
          </w:tcPr>
          <w:p>
            <w:pPr>
              <w:shd w:val="clear" w:color="auto" w:fill="FFFFFF"/>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9781" w:type="dxa"/>
            <w:gridSpan w:val="7"/>
            <w:vAlign w:val="center"/>
          </w:tcPr>
          <w:p>
            <w:pPr>
              <w:shd w:val="clear" w:color="auto" w:fill="FFFFFF"/>
              <w:spacing w:line="36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磋商小组成员签名：</w:t>
            </w:r>
          </w:p>
          <w:p>
            <w:pPr>
              <w:shd w:val="clear" w:color="auto" w:fill="FFFFFF"/>
              <w:spacing w:line="360" w:lineRule="exact"/>
              <w:rPr>
                <w:rFonts w:ascii="仿宋" w:hAnsi="仿宋" w:eastAsia="仿宋" w:cs="仿宋"/>
                <w:color w:val="auto"/>
                <w:sz w:val="24"/>
                <w:highlight w:val="none"/>
              </w:rPr>
            </w:pPr>
            <w:r>
              <w:rPr>
                <w:rFonts w:hint="eastAsia" w:ascii="仿宋" w:hAnsi="仿宋" w:eastAsia="仿宋" w:cs="仿宋"/>
                <w:b/>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781" w:type="dxa"/>
            <w:gridSpan w:val="7"/>
            <w:vAlign w:val="center"/>
          </w:tcPr>
          <w:p>
            <w:pPr>
              <w:shd w:val="clear" w:color="auto" w:fill="FFFFFF"/>
              <w:spacing w:line="360" w:lineRule="exact"/>
              <w:rPr>
                <w:rFonts w:ascii="仿宋" w:hAnsi="仿宋" w:eastAsia="仿宋" w:cs="仿宋"/>
                <w:b/>
                <w:color w:val="auto"/>
                <w:sz w:val="24"/>
                <w:highlight w:val="none"/>
              </w:rPr>
            </w:pPr>
            <w:r>
              <w:rPr>
                <w:rFonts w:hint="eastAsia" w:ascii="仿宋" w:hAnsi="仿宋" w:eastAsia="仿宋" w:cs="仿宋"/>
                <w:color w:val="auto"/>
                <w:sz w:val="24"/>
                <w:highlight w:val="none"/>
              </w:rPr>
              <w:t>备注：上述每一项审查，供应商通过的，以“√”标记；否则，以“×”标记。如果供应商有一项未通过上述审查，其结论请注明“不合格”，全部通过的，其结论请注明“合格”。符合性审查合格的供应商方可进入详细评审阶段。</w:t>
            </w:r>
          </w:p>
        </w:tc>
      </w:tr>
    </w:tbl>
    <w:p>
      <w:pPr>
        <w:shd w:val="clear" w:color="auto" w:fill="FFFFFF"/>
        <w:spacing w:line="440" w:lineRule="exact"/>
        <w:ind w:firstLine="361" w:firstLineChars="200"/>
        <w:rPr>
          <w:rFonts w:ascii="仿宋" w:hAnsi="仿宋" w:eastAsia="仿宋" w:cs="仿宋"/>
          <w:b/>
          <w:color w:val="auto"/>
          <w:sz w:val="24"/>
          <w:highlight w:val="none"/>
        </w:rPr>
      </w:pPr>
      <w:r>
        <w:rPr>
          <w:rFonts w:hint="eastAsia" w:ascii="仿宋" w:hAnsi="仿宋" w:eastAsia="仿宋" w:cs="仿宋"/>
          <w:b/>
          <w:color w:val="auto"/>
          <w:sz w:val="18"/>
          <w:szCs w:val="18"/>
          <w:highlight w:val="none"/>
        </w:rPr>
        <w:br w:type="page"/>
      </w:r>
      <w:r>
        <w:rPr>
          <w:rFonts w:hint="eastAsia" w:ascii="仿宋" w:hAnsi="仿宋" w:eastAsia="仿宋" w:cs="仿宋"/>
          <w:b/>
          <w:color w:val="auto"/>
          <w:sz w:val="24"/>
          <w:highlight w:val="none"/>
        </w:rPr>
        <w:t>3.详细评审</w:t>
      </w:r>
    </w:p>
    <w:p>
      <w:pPr>
        <w:pStyle w:val="523"/>
        <w:shd w:val="clear" w:color="auto" w:fill="FFFFFF"/>
        <w:spacing w:line="440" w:lineRule="exact"/>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符合性评审合格的供应商方可进入详细评审阶段。详细评审分为响应文件商务、技术部分评审和投标报价评审。其中，报价部分30分，商务部分25分，技术部分45分，合计满分100分。</w:t>
      </w:r>
    </w:p>
    <w:p>
      <w:pPr>
        <w:shd w:val="clear" w:color="auto" w:fill="FFFFFF"/>
        <w:spacing w:line="44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3.1报价评审 </w:t>
      </w:r>
    </w:p>
    <w:tbl>
      <w:tblPr>
        <w:tblStyle w:val="5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评审因素</w:t>
            </w:r>
          </w:p>
        </w:tc>
        <w:tc>
          <w:tcPr>
            <w:tcW w:w="1157" w:type="dxa"/>
            <w:vAlign w:val="center"/>
          </w:tcPr>
          <w:p>
            <w:pPr>
              <w:shd w:val="clear" w:color="auto" w:fill="FFFFFF"/>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6365" w:type="dxa"/>
            <w:vAlign w:val="center"/>
          </w:tcPr>
          <w:p>
            <w:pPr>
              <w:shd w:val="clear" w:color="auto" w:fill="FFFFFF"/>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2175" w:type="dxa"/>
            <w:vAlign w:val="center"/>
          </w:tcPr>
          <w:p>
            <w:pPr>
              <w:shd w:val="clear" w:color="auto" w:fill="FFFFFF"/>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价格部分（30分）</w:t>
            </w:r>
          </w:p>
        </w:tc>
        <w:tc>
          <w:tcPr>
            <w:tcW w:w="1157" w:type="dxa"/>
            <w:vAlign w:val="center"/>
          </w:tcPr>
          <w:p>
            <w:pPr>
              <w:shd w:val="clear" w:color="auto" w:fill="FFFFFF"/>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30分</w:t>
            </w:r>
          </w:p>
        </w:tc>
        <w:tc>
          <w:tcPr>
            <w:tcW w:w="6365" w:type="dxa"/>
            <w:vAlign w:val="center"/>
          </w:tcPr>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采用低价优先法计算，即满足磋商文件要求且最终磋商报价最低的报价为磋商基准价，其价格分为满分。</w:t>
            </w:r>
          </w:p>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其他供应商的价格分统一按照下列公式计算:</w:t>
            </w:r>
          </w:p>
          <w:p>
            <w:pPr>
              <w:shd w:val="clear" w:color="auto" w:fill="FFFFFF"/>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磋商报价得分=(磋商基准价/最终磋商报价)×30%×100（小数点保留两位）</w:t>
            </w:r>
          </w:p>
        </w:tc>
      </w:tr>
    </w:tbl>
    <w:p>
      <w:pPr>
        <w:pStyle w:val="523"/>
        <w:shd w:val="clear" w:color="auto" w:fill="FFFFFF"/>
        <w:spacing w:line="440" w:lineRule="exact"/>
        <w:jc w:val="center"/>
        <w:rPr>
          <w:rFonts w:ascii="仿宋" w:hAnsi="仿宋" w:eastAsia="仿宋" w:cs="仿宋"/>
          <w:b/>
          <w:color w:val="auto"/>
          <w:sz w:val="24"/>
          <w:szCs w:val="24"/>
          <w:highlight w:val="none"/>
        </w:rPr>
      </w:pPr>
    </w:p>
    <w:p>
      <w:pPr>
        <w:shd w:val="clear" w:color="auto" w:fill="FFFFFF"/>
        <w:spacing w:line="44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3.2商务技术评审</w:t>
      </w:r>
    </w:p>
    <w:tbl>
      <w:tblPr>
        <w:tblStyle w:val="60"/>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159"/>
        <w:gridCol w:w="876"/>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10" w:type="dxa"/>
            <w:vAlign w:val="center"/>
          </w:tcPr>
          <w:p>
            <w:pPr>
              <w:widowControl/>
              <w:spacing w:line="360" w:lineRule="exact"/>
              <w:jc w:val="center"/>
              <w:textAlignment w:val="top"/>
              <w:rPr>
                <w:rFonts w:ascii="仿宋" w:hAnsi="仿宋" w:eastAsia="仿宋" w:cs="仿宋"/>
                <w:bCs/>
                <w:color w:val="auto"/>
                <w:sz w:val="24"/>
                <w:highlight w:val="none"/>
              </w:rPr>
            </w:pPr>
            <w:r>
              <w:rPr>
                <w:rFonts w:hint="eastAsia" w:ascii="仿宋" w:hAnsi="仿宋" w:eastAsia="仿宋" w:cs="仿宋"/>
                <w:b/>
                <w:color w:val="auto"/>
                <w:kern w:val="0"/>
                <w:sz w:val="24"/>
                <w:highlight w:val="none"/>
              </w:rPr>
              <w:t>评审因素</w:t>
            </w:r>
          </w:p>
        </w:tc>
        <w:tc>
          <w:tcPr>
            <w:tcW w:w="1159" w:type="dxa"/>
            <w:vAlign w:val="center"/>
          </w:tcPr>
          <w:p>
            <w:pPr>
              <w:widowControl/>
              <w:spacing w:line="360" w:lineRule="exact"/>
              <w:jc w:val="center"/>
              <w:textAlignment w:val="top"/>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评审内容</w:t>
            </w:r>
          </w:p>
        </w:tc>
        <w:tc>
          <w:tcPr>
            <w:tcW w:w="876" w:type="dxa"/>
            <w:vAlign w:val="center"/>
          </w:tcPr>
          <w:p>
            <w:pPr>
              <w:widowControl/>
              <w:spacing w:line="360" w:lineRule="exact"/>
              <w:jc w:val="center"/>
              <w:textAlignment w:val="top"/>
              <w:rPr>
                <w:rFonts w:ascii="仿宋" w:hAnsi="仿宋" w:eastAsia="仿宋" w:cs="仿宋"/>
                <w:bCs/>
                <w:color w:val="auto"/>
                <w:sz w:val="24"/>
                <w:highlight w:val="none"/>
              </w:rPr>
            </w:pPr>
            <w:r>
              <w:rPr>
                <w:rFonts w:hint="eastAsia" w:ascii="仿宋" w:hAnsi="仿宋" w:eastAsia="仿宋" w:cs="仿宋"/>
                <w:b/>
                <w:color w:val="auto"/>
                <w:kern w:val="0"/>
                <w:sz w:val="24"/>
                <w:highlight w:val="none"/>
              </w:rPr>
              <w:t>分值</w:t>
            </w:r>
          </w:p>
        </w:tc>
        <w:tc>
          <w:tcPr>
            <w:tcW w:w="6796" w:type="dxa"/>
            <w:vAlign w:val="center"/>
          </w:tcPr>
          <w:p>
            <w:pPr>
              <w:widowControl/>
              <w:spacing w:line="360" w:lineRule="exact"/>
              <w:jc w:val="center"/>
              <w:textAlignment w:val="top"/>
              <w:rPr>
                <w:rFonts w:ascii="仿宋" w:hAnsi="仿宋" w:eastAsia="仿宋" w:cs="仿宋"/>
                <w:bCs/>
                <w:color w:val="auto"/>
                <w:sz w:val="24"/>
                <w:highlight w:val="none"/>
              </w:rPr>
            </w:pPr>
            <w:r>
              <w:rPr>
                <w:rFonts w:hint="eastAsia" w:ascii="仿宋" w:hAnsi="仿宋" w:eastAsia="仿宋" w:cs="仿宋"/>
                <w:b/>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atLeast"/>
          <w:jc w:val="center"/>
        </w:trPr>
        <w:tc>
          <w:tcPr>
            <w:tcW w:w="1210" w:type="dxa"/>
            <w:vMerge w:val="restart"/>
            <w:vAlign w:val="center"/>
          </w:tcPr>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商务部分</w:t>
            </w:r>
          </w:p>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（25分）</w:t>
            </w:r>
          </w:p>
        </w:tc>
        <w:tc>
          <w:tcPr>
            <w:tcW w:w="1159"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业绩</w:t>
            </w:r>
          </w:p>
        </w:tc>
        <w:tc>
          <w:tcPr>
            <w:tcW w:w="876"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10</w:t>
            </w:r>
          </w:p>
        </w:tc>
        <w:tc>
          <w:tcPr>
            <w:tcW w:w="6796" w:type="dxa"/>
            <w:vAlign w:val="center"/>
          </w:tcPr>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kern w:val="0"/>
                <w:sz w:val="24"/>
                <w:highlight w:val="none"/>
              </w:rPr>
              <w:t>所投产品且为所投型号（110kg隔离式医纺清洁处理机、100kg电加热干燥机、</w:t>
            </w:r>
            <w:r>
              <w:rPr>
                <w:rFonts w:hint="eastAsia" w:ascii="仿宋" w:hAnsi="仿宋" w:eastAsia="仿宋" w:cs="仿宋"/>
                <w:color w:val="auto"/>
                <w:kern w:val="0"/>
                <w:sz w:val="24"/>
                <w:highlight w:val="none"/>
              </w:rPr>
              <w:t>3米2辊电加热辊烫机</w:t>
            </w:r>
            <w:r>
              <w:rPr>
                <w:rFonts w:hint="eastAsia" w:ascii="仿宋" w:hAnsi="仿宋" w:eastAsia="仿宋" w:cs="仿宋"/>
                <w:bCs/>
                <w:color w:val="auto"/>
                <w:kern w:val="0"/>
                <w:sz w:val="24"/>
                <w:highlight w:val="none"/>
              </w:rPr>
              <w:t>）的近3年（自2020年1月1日至本项目磋商截止时间）业绩，须提供合同清晰扫描件作为业绩证明材料。证明材料应能清楚反应产品名称、型号、金额、合同签订日期、盖章信息。</w:t>
            </w:r>
            <w:r>
              <w:rPr>
                <w:rFonts w:hint="eastAsia" w:ascii="仿宋" w:hAnsi="仿宋" w:eastAsia="仿宋" w:cs="仿宋"/>
                <w:bCs/>
                <w:color w:val="auto"/>
                <w:sz w:val="24"/>
                <w:highlight w:val="none"/>
              </w:rPr>
              <w:t xml:space="preserve">本项评审要求110kg隔离式医纺清洁处理机、100kg电加热干燥机、3米2辊电加热辊烫机共计三个设备的业绩，三个设备各提供一项业绩方能记作一项有效业绩（一份合同中可体现三个设备的也可记作一项有效业绩），每提供一项有效业绩得2分，满分10分。证明材料未按要求提供的或未提供的，均不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10" w:type="dxa"/>
            <w:vMerge w:val="continue"/>
            <w:vAlign w:val="center"/>
          </w:tcPr>
          <w:p>
            <w:pPr>
              <w:pStyle w:val="2"/>
              <w:spacing w:line="360" w:lineRule="exact"/>
              <w:jc w:val="both"/>
              <w:rPr>
                <w:rFonts w:ascii="仿宋" w:hAnsi="仿宋" w:eastAsia="仿宋" w:cs="仿宋"/>
                <w:bCs/>
                <w:color w:val="auto"/>
                <w:sz w:val="24"/>
                <w:highlight w:val="none"/>
              </w:rPr>
            </w:pPr>
          </w:p>
        </w:tc>
        <w:tc>
          <w:tcPr>
            <w:tcW w:w="1159"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原厂授权</w:t>
            </w:r>
          </w:p>
        </w:tc>
        <w:tc>
          <w:tcPr>
            <w:tcW w:w="876" w:type="dxa"/>
            <w:vAlign w:val="center"/>
          </w:tcPr>
          <w:p>
            <w:pPr>
              <w:pStyle w:val="2"/>
              <w:spacing w:line="36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6796" w:type="dxa"/>
            <w:vAlign w:val="center"/>
          </w:tcPr>
          <w:p>
            <w:pPr>
              <w:pStyle w:val="2"/>
              <w:spacing w:line="360" w:lineRule="exact"/>
              <w:jc w:val="both"/>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①具有所投产品（</w:t>
            </w:r>
            <w:r>
              <w:rPr>
                <w:rFonts w:hint="eastAsia" w:ascii="仿宋" w:hAnsi="仿宋" w:eastAsia="仿宋" w:cs="仿宋"/>
                <w:bCs/>
                <w:color w:val="auto"/>
                <w:sz w:val="24"/>
                <w:highlight w:val="none"/>
              </w:rPr>
              <w:t>隔离式医纺清洁处理机、电加热干燥机、辊电加热辊烫机</w:t>
            </w:r>
            <w:r>
              <w:rPr>
                <w:rFonts w:hint="eastAsia" w:ascii="仿宋" w:hAnsi="仿宋" w:eastAsia="仿宋" w:cs="仿宋"/>
                <w:bCs/>
                <w:color w:val="auto"/>
                <w:kern w:val="0"/>
                <w:sz w:val="24"/>
                <w:highlight w:val="none"/>
              </w:rPr>
              <w:t>）生产厂家针对本项目的授权书的，授权书内容须包含本项目名称及项目编号，三个设备均提供的得2分，缺项或未提供或未按要求提供的均不得分。</w:t>
            </w:r>
          </w:p>
          <w:p>
            <w:pPr>
              <w:pStyle w:val="2"/>
              <w:spacing w:line="360" w:lineRule="exact"/>
              <w:jc w:val="both"/>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②具有所投产品（</w:t>
            </w:r>
            <w:r>
              <w:rPr>
                <w:rFonts w:hint="eastAsia" w:ascii="仿宋" w:hAnsi="仿宋" w:eastAsia="仿宋" w:cs="仿宋"/>
                <w:bCs/>
                <w:color w:val="auto"/>
                <w:sz w:val="24"/>
                <w:highlight w:val="none"/>
              </w:rPr>
              <w:t>隔离式医纺清洁处理机、电加热干燥机、辊电加热辊烫机</w:t>
            </w:r>
            <w:r>
              <w:rPr>
                <w:rFonts w:hint="eastAsia" w:ascii="仿宋" w:hAnsi="仿宋" w:eastAsia="仿宋" w:cs="仿宋"/>
                <w:bCs/>
                <w:color w:val="auto"/>
                <w:kern w:val="0"/>
                <w:sz w:val="24"/>
                <w:highlight w:val="none"/>
              </w:rPr>
              <w:t>）生产厂家针对本项目的原厂售后服承诺书的，授权书内容须包含本项目名称及项目编号、投标产品的质保、售后服务等，三个设备均提供的得2分，缺项或未提供或未按要求提供的均不得分。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10" w:type="dxa"/>
            <w:vMerge w:val="continue"/>
            <w:vAlign w:val="center"/>
          </w:tcPr>
          <w:p>
            <w:pPr>
              <w:pStyle w:val="2"/>
              <w:spacing w:line="360" w:lineRule="exact"/>
              <w:jc w:val="both"/>
              <w:rPr>
                <w:rFonts w:ascii="仿宋" w:hAnsi="仿宋" w:eastAsia="仿宋" w:cs="仿宋"/>
                <w:bCs/>
                <w:color w:val="auto"/>
                <w:sz w:val="24"/>
                <w:highlight w:val="none"/>
              </w:rPr>
            </w:pPr>
          </w:p>
        </w:tc>
        <w:tc>
          <w:tcPr>
            <w:tcW w:w="1159"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售后服务</w:t>
            </w:r>
          </w:p>
        </w:tc>
        <w:tc>
          <w:tcPr>
            <w:tcW w:w="876"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7</w:t>
            </w:r>
          </w:p>
        </w:tc>
        <w:tc>
          <w:tcPr>
            <w:tcW w:w="6796" w:type="dxa"/>
            <w:vAlign w:val="center"/>
          </w:tcPr>
          <w:p>
            <w:pPr>
              <w:shd w:val="clear" w:color="auto" w:fill="FFFFFF"/>
              <w:spacing w:line="36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（1）供应商须提供详细的售后服务方案（包括但不限于售后服务响应时间、服务保障措施（含故障处理措施和未排除故障时的处置方案）、培训计划方案等）</w:t>
            </w:r>
          </w:p>
          <w:p>
            <w:pPr>
              <w:shd w:val="clear" w:color="auto" w:fill="FFFFFF"/>
              <w:spacing w:line="36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①上述内容均提供的，得2分，缺少任何一项内容的本项不得分。</w:t>
            </w:r>
          </w:p>
          <w:p>
            <w:pPr>
              <w:pStyle w:val="2"/>
              <w:spacing w:line="360" w:lineRule="exact"/>
              <w:jc w:val="both"/>
              <w:rPr>
                <w:rFonts w:ascii="仿宋" w:hAnsi="仿宋" w:eastAsia="仿宋" w:cs="仿宋"/>
                <w:color w:val="auto"/>
                <w:kern w:val="0"/>
                <w:sz w:val="24"/>
                <w:highlight w:val="none"/>
              </w:rPr>
            </w:pPr>
            <w:r>
              <w:rPr>
                <w:rFonts w:hint="eastAsia" w:ascii="仿宋" w:hAnsi="仿宋" w:eastAsia="仿宋" w:cs="仿宋"/>
                <w:bCs/>
                <w:color w:val="auto"/>
                <w:sz w:val="24"/>
                <w:highlight w:val="none"/>
              </w:rPr>
              <w:t>②</w:t>
            </w:r>
            <w:r>
              <w:rPr>
                <w:rFonts w:hint="eastAsia" w:ascii="仿宋" w:hAnsi="仿宋" w:eastAsia="仿宋" w:cs="仿宋"/>
                <w:color w:val="auto"/>
                <w:kern w:val="0"/>
                <w:sz w:val="24"/>
                <w:highlight w:val="none"/>
              </w:rPr>
              <w:t>方案表述条理清晰，内容全面完整，可操作性强，得3分；</w:t>
            </w:r>
          </w:p>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方案可行基本满足项目实际需求，部分内容不够完善或针对性不强的，具有一定的可操作性，得2分；</w:t>
            </w:r>
          </w:p>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方案基本可行，内容描述不具体，思路不明确，得1分；</w:t>
            </w:r>
          </w:p>
          <w:p>
            <w:pPr>
              <w:shd w:val="clear" w:color="auto" w:fill="FFFFFF"/>
              <w:spacing w:line="36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方案明显脱离项目实际的，得0分。</w:t>
            </w:r>
          </w:p>
          <w:p>
            <w:pPr>
              <w:pStyle w:val="2"/>
              <w:spacing w:line="360" w:lineRule="exact"/>
              <w:jc w:val="both"/>
              <w:rPr>
                <w:color w:val="auto"/>
                <w:highlight w:val="none"/>
              </w:rPr>
            </w:pPr>
            <w:r>
              <w:rPr>
                <w:rFonts w:hint="eastAsia" w:ascii="仿宋" w:hAnsi="仿宋" w:eastAsia="仿宋" w:cs="仿宋"/>
                <w:color w:val="auto"/>
                <w:kern w:val="0"/>
                <w:sz w:val="24"/>
                <w:highlight w:val="none"/>
              </w:rPr>
              <w:t>（2）供应商具有本地化服务能力，在疆内有服务网点、售后服务人员、常用备品备件库的得2分。供应商须提供有效证明文件（服务网点营业执照、服务人员简介、备品备件库的房屋证明材料及照片等，复印件加盖公章），未提供证明材料的或证明材料不全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
              <w:spacing w:line="360" w:lineRule="exact"/>
              <w:jc w:val="both"/>
              <w:rPr>
                <w:rFonts w:ascii="仿宋" w:hAnsi="仿宋" w:eastAsia="仿宋" w:cs="仿宋"/>
                <w:bCs/>
                <w:color w:val="auto"/>
                <w:sz w:val="24"/>
                <w:highlight w:val="none"/>
              </w:rPr>
            </w:pPr>
          </w:p>
        </w:tc>
        <w:tc>
          <w:tcPr>
            <w:tcW w:w="1159" w:type="dxa"/>
            <w:vAlign w:val="center"/>
          </w:tcPr>
          <w:p>
            <w:pPr>
              <w:widowControl/>
              <w:spacing w:line="360" w:lineRule="exact"/>
              <w:jc w:val="center"/>
              <w:textAlignment w:val="center"/>
              <w:rPr>
                <w:rFonts w:ascii="仿宋" w:hAnsi="仿宋" w:eastAsia="仿宋" w:cs="仿宋"/>
                <w:bCs/>
                <w:color w:val="auto"/>
                <w:sz w:val="24"/>
                <w:highlight w:val="none"/>
              </w:rPr>
            </w:pPr>
            <w:r>
              <w:rPr>
                <w:rFonts w:hint="eastAsia" w:ascii="仿宋" w:hAnsi="仿宋" w:eastAsia="仿宋" w:cs="仿宋"/>
                <w:bCs/>
                <w:color w:val="auto"/>
                <w:kern w:val="0"/>
                <w:sz w:val="24"/>
                <w:highlight w:val="none"/>
              </w:rPr>
              <w:t>非强制节能环保产品政策功能评分</w:t>
            </w:r>
          </w:p>
        </w:tc>
        <w:tc>
          <w:tcPr>
            <w:tcW w:w="876" w:type="dxa"/>
            <w:vAlign w:val="center"/>
          </w:tcPr>
          <w:p>
            <w:pPr>
              <w:pStyle w:val="676"/>
              <w:spacing w:line="360" w:lineRule="exact"/>
              <w:ind w:firstLine="0" w:firstLineChars="0"/>
              <w:jc w:val="center"/>
              <w:rPr>
                <w:rFonts w:ascii="仿宋" w:hAnsi="仿宋" w:eastAsia="仿宋" w:cs="仿宋"/>
                <w:bCs/>
                <w:color w:val="auto"/>
                <w:szCs w:val="24"/>
                <w:highlight w:val="none"/>
              </w:rPr>
            </w:pPr>
            <w:r>
              <w:rPr>
                <w:rFonts w:hint="eastAsia" w:ascii="仿宋" w:hAnsi="仿宋" w:eastAsia="仿宋" w:cs="仿宋"/>
                <w:bCs/>
                <w:color w:val="auto"/>
                <w:kern w:val="0"/>
                <w:szCs w:val="24"/>
                <w:highlight w:val="none"/>
              </w:rPr>
              <w:t>2</w:t>
            </w:r>
          </w:p>
        </w:tc>
        <w:tc>
          <w:tcPr>
            <w:tcW w:w="6796" w:type="dxa"/>
            <w:vAlign w:val="center"/>
          </w:tcPr>
          <w:p>
            <w:pPr>
              <w:widowControl/>
              <w:spacing w:line="360" w:lineRule="exact"/>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供应商所投磋商一览表（含明细报价）所列货物如属于政府优先采购产品类别，须按照《财政部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处于有效期之内的节能产品或环境标志产品认证证书，提供证书原件清晰版扫描件，每项加0.5分，最高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
              <w:spacing w:line="360" w:lineRule="exact"/>
              <w:jc w:val="both"/>
              <w:rPr>
                <w:rFonts w:ascii="仿宋" w:hAnsi="仿宋" w:eastAsia="仿宋" w:cs="仿宋"/>
                <w:bCs/>
                <w:color w:val="auto"/>
                <w:sz w:val="24"/>
                <w:highlight w:val="none"/>
              </w:rPr>
            </w:pPr>
          </w:p>
        </w:tc>
        <w:tc>
          <w:tcPr>
            <w:tcW w:w="1159"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标书编制质量</w:t>
            </w:r>
          </w:p>
        </w:tc>
        <w:tc>
          <w:tcPr>
            <w:tcW w:w="876"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w:t>
            </w:r>
          </w:p>
        </w:tc>
        <w:tc>
          <w:tcPr>
            <w:tcW w:w="6796" w:type="dxa"/>
            <w:vAlign w:val="center"/>
          </w:tcPr>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有目录索引、页码无错乱、标题、编号、正文、表格等排版规范得1分，电子响应文件相关内容关联清晰准确得1分，满分2分。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restart"/>
            <w:vAlign w:val="center"/>
          </w:tcPr>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技术部分（45分）</w:t>
            </w:r>
          </w:p>
        </w:tc>
        <w:tc>
          <w:tcPr>
            <w:tcW w:w="1159"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技术参数响应</w:t>
            </w:r>
          </w:p>
        </w:tc>
        <w:tc>
          <w:tcPr>
            <w:tcW w:w="876"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40</w:t>
            </w:r>
          </w:p>
        </w:tc>
        <w:tc>
          <w:tcPr>
            <w:tcW w:w="6796" w:type="dxa"/>
            <w:vAlign w:val="center"/>
          </w:tcPr>
          <w:p>
            <w:pPr>
              <w:pStyle w:val="676"/>
              <w:spacing w:line="360" w:lineRule="exac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供应商提供的《技术条款偏离表》须对照第五部分《采购需求》所有条款按照序号逐条列出是否响应及响应内容。</w:t>
            </w:r>
          </w:p>
          <w:p>
            <w:pPr>
              <w:pStyle w:val="676"/>
              <w:spacing w:line="360" w:lineRule="exac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①第五部分《采购需求》中标注★号的条款为重要技术参数条款，供应商须提供相关有效证明材料，并在技术条款偏离表备注栏中注明证明材料在响应文件的具体页码，未提供有效证明材料的或未注明证明材料所在页码的，均视为负偏离。重要技术参数条款每出现一条负偏离扣3分，扣完为止；</w:t>
            </w:r>
          </w:p>
          <w:p>
            <w:pPr>
              <w:pStyle w:val="676"/>
              <w:spacing w:line="360" w:lineRule="exac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②其他参数为一般技术参数条款，一般技术参数中要求提供</w:t>
            </w:r>
            <w:r>
              <w:rPr>
                <w:rFonts w:hint="eastAsia" w:ascii="仿宋" w:hAnsi="仿宋" w:eastAsia="仿宋" w:cs="仿宋"/>
                <w:bCs/>
                <w:color w:val="auto"/>
                <w:highlight w:val="none"/>
              </w:rPr>
              <w:t>截图、外观证明、证书或其他证明资料的，</w:t>
            </w:r>
            <w:r>
              <w:rPr>
                <w:rFonts w:hint="eastAsia" w:ascii="仿宋" w:hAnsi="仿宋" w:eastAsia="仿宋" w:cs="仿宋"/>
                <w:color w:val="auto"/>
                <w:szCs w:val="24"/>
                <w:highlight w:val="none"/>
              </w:rPr>
              <w:t>应当在技术条款偏离表备注栏中注明证明材料在响应文件的具体页码，否则视为负偏离。一般技术参数条款每出现一条负偏离扣2分，扣完为止。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
              <w:spacing w:line="360" w:lineRule="exact"/>
              <w:jc w:val="both"/>
              <w:rPr>
                <w:rFonts w:ascii="仿宋" w:hAnsi="仿宋" w:eastAsia="仿宋" w:cs="仿宋"/>
                <w:bCs/>
                <w:color w:val="auto"/>
                <w:sz w:val="24"/>
                <w:highlight w:val="none"/>
              </w:rPr>
            </w:pPr>
          </w:p>
        </w:tc>
        <w:tc>
          <w:tcPr>
            <w:tcW w:w="1159"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项目实施方案</w:t>
            </w:r>
          </w:p>
        </w:tc>
        <w:tc>
          <w:tcPr>
            <w:tcW w:w="876" w:type="dxa"/>
            <w:vAlign w:val="center"/>
          </w:tcPr>
          <w:p>
            <w:pPr>
              <w:pStyle w:val="2"/>
              <w:spacing w:line="36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5</w:t>
            </w:r>
          </w:p>
        </w:tc>
        <w:tc>
          <w:tcPr>
            <w:tcW w:w="6796" w:type="dxa"/>
            <w:vAlign w:val="center"/>
          </w:tcPr>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根据采购人的实际需求及现场环境，制定完善可行的实施方案，方案内容包括但不限于项目详细的实施计划、设备到货进度计划、安装调试计划、项目重点难点分析及应对措施等。根据供应商提供的实施方案内容的全面性、合理性、实用性、可操作性进行综合评议：</w:t>
            </w:r>
          </w:p>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方案内容全面完整，符合项目的实际需求，内容描述清晰完整，科学合理，逻辑清晰，具有很强的针对性和可操作性的，得5分；</w:t>
            </w:r>
          </w:p>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方案符合项目实际需求，但部分内容有缺失或部分内容不够完善或针对性不强的，但逻辑清晰，具有一定的可操作性，得3分；</w:t>
            </w:r>
          </w:p>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方案基本可行，内容不够全面，部分内容描述不具体、思路不明确的，得1分；</w:t>
            </w:r>
          </w:p>
          <w:p>
            <w:pPr>
              <w:pStyle w:val="2"/>
              <w:spacing w:line="360" w:lineRule="exact"/>
              <w:jc w:val="both"/>
              <w:rPr>
                <w:rFonts w:ascii="仿宋" w:hAnsi="仿宋" w:eastAsia="仿宋" w:cs="仿宋"/>
                <w:bCs/>
                <w:color w:val="auto"/>
                <w:sz w:val="24"/>
                <w:highlight w:val="none"/>
              </w:rPr>
            </w:pPr>
            <w:r>
              <w:rPr>
                <w:rFonts w:hint="eastAsia" w:ascii="仿宋" w:hAnsi="仿宋" w:eastAsia="仿宋" w:cs="仿宋"/>
                <w:bCs/>
                <w:color w:val="auto"/>
                <w:sz w:val="24"/>
                <w:highlight w:val="none"/>
              </w:rPr>
              <w:t>方案明显脱离项目实际的，得0分。</w:t>
            </w:r>
          </w:p>
        </w:tc>
      </w:tr>
    </w:tbl>
    <w:p>
      <w:pPr>
        <w:shd w:val="clear" w:color="auto" w:fill="FFFFFF"/>
        <w:spacing w:line="440" w:lineRule="exact"/>
        <w:rPr>
          <w:rFonts w:ascii="仿宋" w:hAnsi="仿宋" w:eastAsia="仿宋" w:cs="仿宋"/>
          <w:bCs/>
          <w:color w:val="auto"/>
          <w:kern w:val="0"/>
          <w:sz w:val="24"/>
          <w:highlight w:val="none"/>
        </w:rPr>
      </w:pPr>
    </w:p>
    <w:p>
      <w:pPr>
        <w:widowControl/>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pStyle w:val="327"/>
        <w:spacing w:beforeLines="50" w:afterLines="50" w:line="360" w:lineRule="auto"/>
        <w:jc w:val="center"/>
        <w:outlineLvl w:val="0"/>
        <w:rPr>
          <w:rFonts w:ascii="仿宋" w:hAnsi="仿宋" w:eastAsia="仿宋" w:cs="仿宋"/>
          <w:b/>
          <w:color w:val="auto"/>
          <w:sz w:val="32"/>
          <w:szCs w:val="32"/>
          <w:highlight w:val="none"/>
        </w:rPr>
      </w:pPr>
      <w:bookmarkStart w:id="7" w:name="_Toc111571537"/>
      <w:r>
        <w:rPr>
          <w:rFonts w:hint="eastAsia" w:ascii="仿宋" w:hAnsi="仿宋" w:eastAsia="仿宋" w:cs="仿宋"/>
          <w:b/>
          <w:color w:val="auto"/>
          <w:sz w:val="32"/>
          <w:szCs w:val="32"/>
          <w:highlight w:val="none"/>
        </w:rPr>
        <w:t>第五部分  采购需求</w:t>
      </w:r>
      <w:bookmarkEnd w:id="7"/>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一、设备采购清单</w:t>
      </w:r>
    </w:p>
    <w:tbl>
      <w:tblPr>
        <w:tblStyle w:val="6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5809"/>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设备名称</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60kg隔离式医纺清洁处理机</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110kg隔离式医纺清洁处理机</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100kg电加热干燥机</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3米2辊电加热辊烫机</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吸风烫台（含熨斗）</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144kw蒸汽发生器</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水处理机</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电动缝纫机</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6000W油浸式空压机</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2948"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铁皮制品（定制）</w:t>
            </w:r>
          </w:p>
        </w:tc>
        <w:tc>
          <w:tcPr>
            <w:tcW w:w="1253" w:type="pct"/>
          </w:tcPr>
          <w:p>
            <w:pPr>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1批</w:t>
            </w:r>
          </w:p>
        </w:tc>
      </w:tr>
    </w:tbl>
    <w:p>
      <w:pPr>
        <w:shd w:val="clear" w:color="auto" w:fill="FFFFFF"/>
        <w:spacing w:line="440" w:lineRule="exact"/>
        <w:rPr>
          <w:rFonts w:ascii="仿宋" w:hAnsi="仿宋" w:eastAsia="仿宋" w:cs="仿宋"/>
          <w:color w:val="auto"/>
          <w:kern w:val="0"/>
          <w:sz w:val="24"/>
          <w:highlight w:val="none"/>
        </w:rPr>
      </w:pPr>
    </w:p>
    <w:p>
      <w:pPr>
        <w:widowControl/>
        <w:jc w:val="left"/>
        <w:rPr>
          <w:rFonts w:ascii="仿宋" w:hAnsi="仿宋" w:eastAsia="仿宋" w:cs="仿宋"/>
          <w:color w:val="auto"/>
          <w:kern w:val="0"/>
          <w:sz w:val="24"/>
          <w:highlight w:val="none"/>
        </w:rPr>
      </w:pPr>
      <w:r>
        <w:rPr>
          <w:rFonts w:ascii="仿宋" w:hAnsi="仿宋" w:eastAsia="仿宋" w:cs="仿宋"/>
          <w:color w:val="auto"/>
          <w:kern w:val="0"/>
          <w:sz w:val="24"/>
          <w:highlight w:val="none"/>
        </w:rPr>
        <w:br w:type="page"/>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二、设备技术要求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1.设备名称：60kg隔离式医纺清洁处理机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1.1数量：1台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1.2主要技术参数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 设计有前污门和后污门，做到净,污操作完全分开，严格密封设计，有效隔断脏污区和洁净区，完全满足最新的卫生行业规范《医院医用织物洗涤消毒技术规范》 WS/T508-2016；</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★1.2.2双面成型超柔软打孔，面板内胆内均不挂丝，不损伤高纤维布草；</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1.2.3可根据织物类型，重量和水位机动调整洗涤流程，实现全智能自动化洗涤；</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1.2.4.全变频无级调速控制，可满足织物的快速线性攀升和转换要求；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1.2.5传动系统结构，噪音低，振动小，工作寿命长；</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★1.2.6气囊减震全悬浮结构，运行平稳，低噪音，光电精准定位，自动蝶式快速刹车；</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1.2.7与介质或织物接触的材料为全不锈钢结构，面板，内表面，门板和门口平整，光滑，不留积污渍，隔离式蒸汽盘管，减少二次污染；</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1.2.8单仓及单活页门结构，操作方便，大洗涤空间，提高洗净度；</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1.2.9浴比自动控制，可根据洗涤装载量可自动控制洗涤水量和洗涤水位，自动控制化料供应量；</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★1.2.10 PLC可编程控制器，对运行数据可进行本地实时动态运行曲线显示，本地运行数据USB导出，运行数据有效长期保存。配置前后双屏同步显示，主副屏幕可自动切换并互锁控制，可分级设备登录管理。洗涤过程A0值自动检测；</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★1.2.11配置网络接口并可联网上传及控制运行状态，可在PC端和移动端远程查看和诊断，可在云平台对运行数据进行统计和分析，实现运行数据追溯管理；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★1.2.12配置物联系统，可在PC或手机远程监控，对洗涤参数进行系统统计，汇总，存储和上传；</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★1.2.13配置数据追溯系统，对数据系统进行实时上传，配备打印机。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1.2.14洗涤容量≥60公斤</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1.2.15转龙直径≥1065mm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1.2.16转龙深度≥760mm；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1.2.17设备容积≥677L</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1.2.18设备宽度≥1592mm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1.2.19设备深度≥1448mm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1.2.20设备高度≥2035mm；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1.2.21驱动电机≥5.5kw；</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1.2.22方门外形宽度≥791mm；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1.2.23进蒸汽口径≥25DN</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1.2.24冷热水口径≥40 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1.2.25加剂盒管口径≥20 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1.2.26排水口径≥76 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1.2.27重量≥2560kg；</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★1.2.28提供设备CMA检测报告。</w:t>
      </w:r>
    </w:p>
    <w:p>
      <w:pPr>
        <w:shd w:val="clear" w:color="auto" w:fill="FFFFFF"/>
        <w:spacing w:line="440" w:lineRule="exact"/>
        <w:ind w:firstLine="480" w:firstLineChars="200"/>
        <w:rPr>
          <w:rFonts w:ascii="仿宋" w:hAnsi="仿宋" w:eastAsia="仿宋" w:cs="仿宋"/>
          <w:color w:val="auto"/>
          <w:kern w:val="0"/>
          <w:sz w:val="24"/>
          <w:highlight w:val="none"/>
        </w:rPr>
      </w:pP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2.设备名称：110kg隔离式医纺清洁处理机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2.1数量：2台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2.2主要技术参数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2.2.1设计有前污门和后污门，做到净,污操作完全分开，严格密封设计，有效隔断脏污区和洁净区，完全满足最新的卫生行业规范《医院医用织物洗涤消毒技术规范》WS/T508-2016；</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★2.2.2双面成型超柔软打孔，面板内胆内均不挂丝，不损伤高纤维布草；</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2.2.3可根据织物类型，重量和水位机动调整洗涤流程，实现全智能自动化洗涤；</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2.2.4全变频无级调速控制，可满足织物的快速线性攀升和转换要求；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2.2.5传动系统结构，噪音低，振动小，工作寿命长；</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★2.2.6气囊减震全悬浮结构，运行平稳，低噪音，光电精准定位，自动蝶式快速刹车；</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2.2.7与介质或织物接触的材料为全不锈钢结构，面板，内表面，门板和门口平整，光滑，不留积污渍，隔离式蒸汽盘管，减少二次污染；</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2.2.8单仓及单活页门结构，操作方便，大洗涤空间，提高洗净度；</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2.2.9浴比自动控制，可根据洗涤装载量可自动控制洗涤水量和洗涤水位，自动控制化料供应量；</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2.2.10PLC可编程控制器，对运行数据可进行本地实时动态运行曲线显示，本地运行数据USB导出，运行数据有效长期保存。配置前后双屏同步显示，主副屏幕可自动切换并互锁控制，可分级设备登录管理。洗涤过程A0值自动检测；</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★2.2.11配置网络接口并可联网上传及控制运行状态，可在PC端和移动端远程查看和诊断，可在云平台对运行数据进行统计和分析，实现运行数据追溯管理；</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★2.2.12配置物联系统，可在PC或手机远程监控，对洗涤参数进行系统统计，汇总，存储和上传；</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★2.2.13配置数据追溯系统，对数据系统进行实时上传，配备打印机。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★2.2.14洗涤容量≥110公斤</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2.2.15转龙直径≥1065mm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2.2.16转龙深度≥1268mm；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2.2.17设备容积≥1130L</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2.2.18设备宽度≥2100mm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2.2.19设备深度≥1448mm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2.2.20设备高度≥2035mm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2.2.21驱动电机≥11kw</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2.2.22方门外形宽度≥791mm；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2.2.23进蒸汽口径：≥25DN</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2.2.24冷热水口径≥40mm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2.2.25加剂盒管口径≥20mm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2.2.26排水口径≥125mm；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2.2.27重量≥2860kg；</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★2.2.28提供设备CMA检测报告。</w:t>
      </w:r>
    </w:p>
    <w:p>
      <w:pPr>
        <w:shd w:val="clear" w:color="auto" w:fill="FFFFFF"/>
        <w:spacing w:line="440" w:lineRule="exact"/>
        <w:ind w:firstLine="480" w:firstLineChars="200"/>
        <w:rPr>
          <w:rFonts w:ascii="仿宋" w:hAnsi="仿宋" w:eastAsia="仿宋" w:cs="仿宋"/>
          <w:color w:val="auto"/>
          <w:kern w:val="0"/>
          <w:sz w:val="24"/>
          <w:highlight w:val="none"/>
        </w:rPr>
      </w:pP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3.设备名称：100kg电加热干燥机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3.1数量：1台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3.2主要技术参数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3.2.1电脑自动控制，精确设置运行时间和温度，可提供多套自动程序选择，确保布草按照所设定温度恒温烘干，并带有报警功能，使机器运行更可靠、安全；</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3.2.2大口径装载门，门开口角度最大可达180度，装卸织物更方便、快捷烘干加热器位不锈钢立式结构，提高进风面积，降低电能耗15%以上，烘干时间短，效率高；</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3.2.3皮带传动系统结构，噪音低，震动小，运行稳定，工作寿命长。大叶片风机和抽屉式大面积毛绒收集网，抽风能力强，方便清理，确保排风系统通畅；</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3.2.4容量≥100kg</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3.2.5直径≥1448mm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3.2.6深度≥1180mm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3.2.7主电机功率≥2.2kW</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3.2.8加热功率≥72kW</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3.2.9长≥1630mm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3.2.10宽（深）≥1880mm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3.2.11高≥2620mm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3.2.12机器净重≥1000kg</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★3.2.13提供设备CMA检测报告。</w:t>
      </w:r>
    </w:p>
    <w:p>
      <w:pPr>
        <w:shd w:val="clear" w:color="auto" w:fill="FFFFFF"/>
        <w:spacing w:line="440" w:lineRule="exact"/>
        <w:ind w:firstLine="480" w:firstLineChars="200"/>
        <w:rPr>
          <w:rFonts w:ascii="仿宋" w:hAnsi="仿宋" w:eastAsia="仿宋" w:cs="仿宋"/>
          <w:color w:val="auto"/>
          <w:kern w:val="0"/>
          <w:sz w:val="24"/>
          <w:highlight w:val="none"/>
        </w:rPr>
      </w:pP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4.设备名称：3米2辊电加热辊烫机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4.1数量：1台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4.2主要技术参数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4.2.1滚筒数量1-6辊，滚筒直径800mm，工作速度：0–40米/分钟；</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4.2.2内外不锈钢滚筒，外筒使用SUS304不锈钢制作，内筒使用整体无缝管焊接；</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4.2.3无级调速，差速联动，噪音低，运行平稳，缜密的安全保护系统，对滚筒、传送带、工作安全等提供完全保证；</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★4.2.4PLC控制，可实时检测加热温度和速度显示，液晶显示，可实时实现数据参数查阅，可与折叠机相连接，实现更快速的自动化；</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4.2.5滚筒数量：2 辊</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4.2.6最大熨平宽度：3000mm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4.2.7熨平速度≥6-18 m/min</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4.2.8加热功率≥72KW/H</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4.2.9最高熨平温度：135℃-190℃；</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4.2.10电机功率≥1.5Kw</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4.2.11变频器功率≥1.5Kw</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4.2.12外形尺寸(长×宽×高)mm≥4200×2385×1420</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★4.2.13提供设备CMA检测报告。</w:t>
      </w:r>
    </w:p>
    <w:p>
      <w:pPr>
        <w:autoSpaceDE w:val="0"/>
        <w:autoSpaceDN w:val="0"/>
        <w:adjustRightInd w:val="0"/>
        <w:spacing w:line="440" w:lineRule="exact"/>
        <w:jc w:val="left"/>
        <w:rPr>
          <w:rFonts w:ascii="仿宋" w:hAnsi="仿宋" w:eastAsia="仿宋" w:cs="仿宋"/>
          <w:color w:val="auto"/>
          <w:sz w:val="28"/>
          <w:szCs w:val="32"/>
          <w:highlight w:val="none"/>
        </w:rPr>
      </w:pP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5.设备名称：吸风烫台（含熨斗）</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5.1数量：2台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5.2主要技术参数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5.2.1方形烫台,结构设计合理,吸风量大，噪音低，220V电源；</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5.2.2台面尺寸≥1400×700mm；</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5.2.3电机转速≥1400r/min，工作台吸力＞150Pa；</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5.2.4整机噪音＜72dB；</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5.2.5风机功率≥0.55kW，电源电压220/380V；</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5.2.6外形尺寸(长×宽×高)≥1542×890×1020mm，净重≥95kg</w:t>
      </w:r>
    </w:p>
    <w:p>
      <w:pPr>
        <w:autoSpaceDE w:val="0"/>
        <w:autoSpaceDN w:val="0"/>
        <w:adjustRightInd w:val="0"/>
        <w:spacing w:line="440" w:lineRule="exact"/>
        <w:jc w:val="left"/>
        <w:rPr>
          <w:rFonts w:ascii="仿宋" w:hAnsi="仿宋" w:eastAsia="仿宋" w:cs="仿宋"/>
          <w:color w:val="auto"/>
          <w:sz w:val="28"/>
          <w:szCs w:val="32"/>
          <w:highlight w:val="none"/>
        </w:rPr>
      </w:pP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6.设备名称：144kw蒸汽发生器</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6.1数量：1台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6.2主要技术参数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6.2.1自动化控制界面全面升级，显示运行状态，内置多重运行保护，安全可靠；</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6.2.2加热管材质采用316L不锈钢无缝管，可高端定制镍基合金钢（Incoloy800），抗腐蚀性更强；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6.2.3控制器可分组自动投切加热管，提高压力输出稳定，节能高效；</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6.2.4产品可适用于介质为去离子水（RO）的工况要求；</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6.2.5产品可升级为PID压力控制调节，满足压差正负0.01Mpa，实现压力的恒定输出；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★6.2.6免检要求：设备应不在《锅炉压力容器制造监督管理办法》规定的产品安全性能强制监督检验的范畴内，无须特种设备强制监督检验</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6.2.7额定蒸发量≥0.2t/h，额定工作压力≥0.7Mpa，饱和蒸气温度≥170℃；</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6.2.8输入功率≥144KW，输入电流≥216A，额定电压≥380V，功率×组数≥36KW×4 KW×P； </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6.2.9主汽阀口径≥25DN，安全阀口径≥25DN，进水口径≥15DN，排污阀口径≥25DN；</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6.2.10外形尺寸：长≥1500mm，宽≥700，高≥1900mm，重量≥250KG</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6.2.11供应商须提供设备生产厂家的中华人民共和国特种设备生产许可证（锅炉制造）或中华人民共和国特种设备制造许可证（锅炉）</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6.2.12产品彩页、技术规格书</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★6.2.13能效测试检测报告</w:t>
      </w:r>
    </w:p>
    <w:p>
      <w:pPr>
        <w:autoSpaceDE w:val="0"/>
        <w:autoSpaceDN w:val="0"/>
        <w:adjustRightInd w:val="0"/>
        <w:spacing w:line="440" w:lineRule="exact"/>
        <w:jc w:val="left"/>
        <w:rPr>
          <w:rFonts w:ascii="仿宋" w:hAnsi="仿宋" w:eastAsia="仿宋" w:cs="仿宋"/>
          <w:color w:val="auto"/>
          <w:sz w:val="28"/>
          <w:szCs w:val="32"/>
          <w:highlight w:val="none"/>
        </w:rPr>
      </w:pP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7.设备名称：水处理机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7.1数量：1台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7.2主要技术参数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7.2.1控制模式A-01 (02，03, 04)，出厂默认值：A-01，单位模式HU01(02，03)，出厂默认值：HUO1；</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7.2.1周期制水量≥10m</w:t>
      </w:r>
      <w:r>
        <w:rPr>
          <w:rFonts w:hint="eastAsia" w:ascii="宋体" w:hAnsi="宋体" w:cs="宋体"/>
          <w:color w:val="auto"/>
          <w:kern w:val="0"/>
          <w:sz w:val="24"/>
          <w:highlight w:val="none"/>
        </w:rPr>
        <w:t>³</w:t>
      </w:r>
      <w:r>
        <w:rPr>
          <w:rFonts w:hint="eastAsia" w:ascii="仿宋" w:hAnsi="仿宋" w:eastAsia="仿宋" w:cs="仿宋"/>
          <w:color w:val="auto"/>
          <w:kern w:val="0"/>
          <w:sz w:val="24"/>
          <w:highlight w:val="none"/>
        </w:rPr>
        <w:t>；</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7.2.2运行天数(时间型按天计)D，出厂默认值：03 ，运行小时数(时间型小时计)H，出厂默认值：20；</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7.2.3再生引发时间，出厂默认值：02 :00，反洗时间：min ，出厂默认值：10，吸盐慢洗时间min，出厂默认值：60；</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7.2.4补水时间：min，出厂默认值：05，正洗时间min，出厂默认值：10；</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7.2.5最大间隔再生天数D，出厂默认值：30；</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7.2.6输出控制模式b-01 (02)，出厂默认值：b-01。</w:t>
      </w:r>
    </w:p>
    <w:p>
      <w:pPr>
        <w:spacing w:line="440" w:lineRule="exact"/>
        <w:rPr>
          <w:rFonts w:ascii="仿宋" w:hAnsi="仿宋" w:eastAsia="仿宋" w:cs="仿宋"/>
          <w:color w:val="auto"/>
          <w:highlight w:val="none"/>
        </w:rPr>
      </w:pP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8.设备名称：电动缝纫机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8.1数量：1台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8.2主要技术参数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8.2.1净重≥33kg，毛重≥38kg；</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8.2.2外观尺寸≥62.5*25*56cm。</w:t>
      </w:r>
    </w:p>
    <w:p>
      <w:pPr>
        <w:autoSpaceDE w:val="0"/>
        <w:autoSpaceDN w:val="0"/>
        <w:adjustRightInd w:val="0"/>
        <w:spacing w:line="440" w:lineRule="exact"/>
        <w:jc w:val="left"/>
        <w:rPr>
          <w:rFonts w:ascii="仿宋" w:hAnsi="仿宋" w:eastAsia="仿宋" w:cs="仿宋"/>
          <w:color w:val="auto"/>
          <w:sz w:val="28"/>
          <w:szCs w:val="32"/>
          <w:highlight w:val="none"/>
        </w:rPr>
      </w:pP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9.设备名称：6000W油浸式空压机</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9.1数量：1台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9.2主要技术参数</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9.2.1功率≥6000W，净重≥132KG；</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9.2.2转速≥1380r.p.m.，压力≥7.0Bar，排气量≥560Lmin，储气罐≥160L；</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9.2.3气缸尺寸:长×宽×高≥69.7×22×8mm，外形尺寸:长×宽×高≥144×55×99cm</w:t>
      </w:r>
    </w:p>
    <w:p>
      <w:pPr>
        <w:autoSpaceDE w:val="0"/>
        <w:autoSpaceDN w:val="0"/>
        <w:adjustRightInd w:val="0"/>
        <w:spacing w:line="440" w:lineRule="exact"/>
        <w:jc w:val="left"/>
        <w:rPr>
          <w:rFonts w:ascii="仿宋" w:hAnsi="仿宋" w:eastAsia="仿宋" w:cs="仿宋"/>
          <w:color w:val="auto"/>
          <w:sz w:val="28"/>
          <w:szCs w:val="32"/>
          <w:highlight w:val="none"/>
        </w:rPr>
      </w:pP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10.设备名称：铁皮制品</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10.1数量：1批</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10.2根据现场情况定制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10.2.1烫平机排风罩：长4.2米、宽2.8米、高0.65米，不锈钢排风罩，不锈钢厚度1.5mm，低噪音轴流风机，380V</w:t>
      </w:r>
      <w:r>
        <w:rPr>
          <w:rFonts w:hint="eastAsia" w:ascii="宋体" w:hAnsi="宋体" w:cs="宋体"/>
          <w:color w:val="auto"/>
          <w:kern w:val="0"/>
          <w:sz w:val="24"/>
          <w:highlight w:val="none"/>
        </w:rPr>
        <w:t> </w:t>
      </w:r>
      <w:r>
        <w:rPr>
          <w:rFonts w:hint="eastAsia" w:ascii="仿宋" w:hAnsi="仿宋" w:eastAsia="仿宋" w:cs="仿宋"/>
          <w:color w:val="auto"/>
          <w:kern w:val="0"/>
          <w:sz w:val="24"/>
          <w:highlight w:val="none"/>
        </w:rPr>
        <w:t>2.2KW，开孔、安装、线材、接插件及相关配件。</w:t>
      </w:r>
    </w:p>
    <w:p>
      <w:pPr>
        <w:shd w:val="clear" w:color="auto" w:fill="FFFFFF"/>
        <w:spacing w:line="44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10.2.2烘干机排风管：材质：不锈钢，尺寸：长：5m，直径300mm，厚度1.5mm，开孔、安装、线材、接插件及相关配件。</w:t>
      </w:r>
    </w:p>
    <w:p>
      <w:pPr>
        <w:rPr>
          <w:color w:val="auto"/>
          <w:highlight w:val="none"/>
        </w:rPr>
      </w:pPr>
    </w:p>
    <w:p>
      <w:pPr>
        <w:shd w:val="clear" w:color="auto" w:fill="FFFFFF"/>
        <w:spacing w:beforeLines="50" w:afterLines="50" w:line="360" w:lineRule="auto"/>
        <w:jc w:val="center"/>
        <w:rPr>
          <w:rFonts w:ascii="仿宋" w:hAnsi="仿宋" w:eastAsia="仿宋" w:cs="仿宋"/>
          <w:b/>
          <w:color w:val="auto"/>
          <w:sz w:val="32"/>
          <w:szCs w:val="32"/>
          <w:highlight w:val="none"/>
        </w:rPr>
      </w:pPr>
      <w:r>
        <w:rPr>
          <w:rFonts w:hint="eastAsia" w:ascii="仿宋" w:hAnsi="仿宋" w:eastAsia="仿宋" w:cs="仿宋"/>
          <w:color w:val="auto"/>
          <w:kern w:val="0"/>
          <w:sz w:val="24"/>
          <w:highlight w:val="none"/>
        </w:rPr>
        <w:br w:type="page"/>
      </w:r>
      <w:bookmarkStart w:id="8" w:name="_Hlk519787567"/>
      <w:bookmarkStart w:id="9" w:name="_Toc111571538"/>
      <w:r>
        <w:rPr>
          <w:rFonts w:hint="eastAsia" w:ascii="仿宋" w:hAnsi="仿宋" w:eastAsia="仿宋" w:cs="仿宋"/>
          <w:b/>
          <w:color w:val="auto"/>
          <w:sz w:val="32"/>
          <w:szCs w:val="32"/>
          <w:highlight w:val="none"/>
        </w:rPr>
        <w:t>第六部分  合同</w:t>
      </w:r>
      <w:bookmarkEnd w:id="8"/>
      <w:r>
        <w:rPr>
          <w:rFonts w:hint="eastAsia" w:ascii="仿宋" w:hAnsi="仿宋" w:eastAsia="仿宋" w:cs="仿宋"/>
          <w:b/>
          <w:color w:val="auto"/>
          <w:sz w:val="32"/>
          <w:szCs w:val="32"/>
          <w:highlight w:val="none"/>
        </w:rPr>
        <w:t>条款</w:t>
      </w:r>
      <w:bookmarkEnd w:id="9"/>
    </w:p>
    <w:p>
      <w:pPr>
        <w:spacing w:line="400" w:lineRule="exact"/>
        <w:ind w:firstLine="480" w:firstLineChars="200"/>
        <w:rPr>
          <w:rFonts w:ascii="仿宋" w:hAnsi="仿宋" w:eastAsia="仿宋" w:cs="仿宋"/>
          <w:color w:val="auto"/>
          <w:sz w:val="24"/>
          <w:highlight w:val="none"/>
        </w:rPr>
      </w:pPr>
      <w:bookmarkStart w:id="10" w:name="_Hlk519793124"/>
      <w:r>
        <w:rPr>
          <w:rFonts w:hint="eastAsia" w:ascii="仿宋" w:hAnsi="仿宋" w:eastAsia="仿宋" w:cs="仿宋"/>
          <w:color w:val="auto"/>
          <w:sz w:val="24"/>
          <w:highlight w:val="none"/>
        </w:rPr>
        <w:t>委托人</w:t>
      </w:r>
      <w:r>
        <w:rPr>
          <w:rFonts w:hint="eastAsia" w:ascii="仿宋" w:hAnsi="仿宋" w:eastAsia="仿宋" w:cs="仿宋"/>
          <w:color w:val="auto"/>
          <w:sz w:val="24"/>
          <w:highlight w:val="none"/>
          <w:u w:val="single"/>
        </w:rPr>
        <w:t>库尔勒市第二人民医院</w:t>
      </w:r>
      <w:r>
        <w:rPr>
          <w:rFonts w:hint="eastAsia" w:ascii="仿宋" w:hAnsi="仿宋" w:eastAsia="仿宋" w:cs="仿宋"/>
          <w:color w:val="auto"/>
          <w:sz w:val="24"/>
          <w:highlight w:val="none"/>
        </w:rPr>
        <w:t>（以下简称甲方）与受托人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（以下简称乙方），根据《中华人民共和国政府采购法》、《中华人民共和国民法典》等相关法律法规的规定，经平等、自愿协商，就乙方受托为甲方提供</w:t>
      </w:r>
      <w:r>
        <w:rPr>
          <w:rFonts w:hint="eastAsia" w:ascii="仿宋" w:hAnsi="仿宋" w:eastAsia="仿宋" w:cs="仿宋"/>
          <w:color w:val="auto"/>
          <w:sz w:val="24"/>
          <w:highlight w:val="none"/>
          <w:u w:val="single"/>
        </w:rPr>
        <w:t xml:space="preserve">  库尔勒市第二人民医院洗衣房设备采购项目 </w:t>
      </w:r>
      <w:r>
        <w:rPr>
          <w:rFonts w:hint="eastAsia" w:ascii="仿宋" w:hAnsi="仿宋" w:eastAsia="仿宋" w:cs="仿宋"/>
          <w:color w:val="auto"/>
          <w:sz w:val="24"/>
          <w:highlight w:val="none"/>
        </w:rPr>
        <w:t>（项目名称）货物及技术服务事宜达成一致，签订如下采购合同（以下简称本合同），以资共同信守。</w:t>
      </w:r>
    </w:p>
    <w:p>
      <w:pPr>
        <w:pStyle w:val="734"/>
        <w:spacing w:line="40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一、采购人名称：</w:t>
      </w:r>
      <w:r>
        <w:rPr>
          <w:rFonts w:hint="eastAsia" w:ascii="仿宋" w:hAnsi="仿宋" w:eastAsia="仿宋" w:cs="仿宋"/>
          <w:b/>
          <w:bCs/>
          <w:color w:val="auto"/>
          <w:sz w:val="24"/>
          <w:highlight w:val="none"/>
          <w:u w:val="single"/>
        </w:rPr>
        <w:t>库尔勒市第二人民医院</w:t>
      </w:r>
    </w:p>
    <w:p>
      <w:pPr>
        <w:pStyle w:val="734"/>
        <w:spacing w:line="40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二、项目编号：</w:t>
      </w:r>
      <w:r>
        <w:rPr>
          <w:rFonts w:hint="eastAsia" w:ascii="仿宋" w:hAnsi="仿宋" w:eastAsia="仿宋" w:cs="仿宋"/>
          <w:b/>
          <w:bCs/>
          <w:color w:val="auto"/>
          <w:sz w:val="24"/>
          <w:szCs w:val="24"/>
          <w:highlight w:val="none"/>
          <w:u w:val="single"/>
        </w:rPr>
        <w:t>2023PCCS004</w:t>
      </w:r>
    </w:p>
    <w:p>
      <w:pPr>
        <w:spacing w:line="40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三、项目名称：</w:t>
      </w:r>
      <w:r>
        <w:rPr>
          <w:rFonts w:hint="eastAsia" w:ascii="仿宋" w:hAnsi="仿宋" w:eastAsia="仿宋" w:cs="仿宋"/>
          <w:b/>
          <w:bCs/>
          <w:color w:val="auto"/>
          <w:sz w:val="24"/>
          <w:highlight w:val="none"/>
          <w:u w:val="single"/>
        </w:rPr>
        <w:t>库尔勒市第二人民医院洗衣房设备采购项目</w:t>
      </w:r>
    </w:p>
    <w:p>
      <w:pPr>
        <w:pStyle w:val="734"/>
        <w:spacing w:line="40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四、合同标的</w:t>
      </w:r>
    </w:p>
    <w:p>
      <w:pPr>
        <w:pStyle w:val="734"/>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甲方同意从乙方购买，乙方同意向甲方出售下列设备及服务：</w:t>
      </w:r>
    </w:p>
    <w:tbl>
      <w:tblPr>
        <w:tblStyle w:val="59"/>
        <w:tblW w:w="10211" w:type="dxa"/>
        <w:tblInd w:w="0" w:type="dxa"/>
        <w:tblLayout w:type="fixed"/>
        <w:tblCellMar>
          <w:top w:w="0" w:type="dxa"/>
          <w:left w:w="108" w:type="dxa"/>
          <w:bottom w:w="0" w:type="dxa"/>
          <w:right w:w="108" w:type="dxa"/>
        </w:tblCellMar>
      </w:tblPr>
      <w:tblGrid>
        <w:gridCol w:w="798"/>
        <w:gridCol w:w="2183"/>
        <w:gridCol w:w="810"/>
        <w:gridCol w:w="765"/>
        <w:gridCol w:w="840"/>
        <w:gridCol w:w="1275"/>
        <w:gridCol w:w="1380"/>
        <w:gridCol w:w="1252"/>
        <w:gridCol w:w="908"/>
      </w:tblGrid>
      <w:tr>
        <w:tc>
          <w:tcPr>
            <w:tcW w:w="798" w:type="dxa"/>
            <w:tcBorders>
              <w:top w:val="single" w:color="000000" w:sz="4" w:space="0"/>
              <w:left w:val="single" w:color="000000" w:sz="4" w:space="0"/>
              <w:bottom w:val="single" w:color="000000" w:sz="4" w:space="0"/>
              <w:right w:val="single" w:color="000000" w:sz="4" w:space="0"/>
            </w:tcBorders>
            <w:vAlign w:val="center"/>
          </w:tcPr>
          <w:p>
            <w:pPr>
              <w:pStyle w:val="734"/>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83" w:type="dxa"/>
            <w:tcBorders>
              <w:top w:val="single" w:color="000000" w:sz="4" w:space="0"/>
              <w:left w:val="nil"/>
              <w:bottom w:val="single" w:color="000000" w:sz="4" w:space="0"/>
              <w:right w:val="single" w:color="auto" w:sz="4" w:space="0"/>
            </w:tcBorders>
            <w:vAlign w:val="center"/>
          </w:tcPr>
          <w:p>
            <w:pPr>
              <w:pStyle w:val="734"/>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810" w:type="dxa"/>
            <w:tcBorders>
              <w:top w:val="single" w:color="000000" w:sz="4" w:space="0"/>
              <w:left w:val="single" w:color="auto" w:sz="4" w:space="0"/>
              <w:bottom w:val="single" w:color="000000" w:sz="4" w:space="0"/>
              <w:right w:val="single" w:color="000000" w:sz="4" w:space="0"/>
            </w:tcBorders>
            <w:vAlign w:val="center"/>
          </w:tcPr>
          <w:p>
            <w:pPr>
              <w:pStyle w:val="734"/>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65" w:type="dxa"/>
            <w:tcBorders>
              <w:top w:val="single" w:color="000000" w:sz="4" w:space="0"/>
              <w:left w:val="nil"/>
              <w:bottom w:val="single" w:color="000000" w:sz="4" w:space="0"/>
              <w:right w:val="single" w:color="auto" w:sz="4" w:space="0"/>
            </w:tcBorders>
            <w:vAlign w:val="center"/>
          </w:tcPr>
          <w:p>
            <w:pPr>
              <w:pStyle w:val="734"/>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840" w:type="dxa"/>
            <w:tcBorders>
              <w:top w:val="single" w:color="000000" w:sz="4" w:space="0"/>
              <w:left w:val="single" w:color="auto" w:sz="4" w:space="0"/>
              <w:bottom w:val="single" w:color="000000" w:sz="4" w:space="0"/>
              <w:right w:val="single" w:color="000000" w:sz="4" w:space="0"/>
            </w:tcBorders>
            <w:vAlign w:val="center"/>
          </w:tcPr>
          <w:p>
            <w:pPr>
              <w:pStyle w:val="734"/>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275" w:type="dxa"/>
            <w:tcBorders>
              <w:top w:val="single" w:color="000000" w:sz="4" w:space="0"/>
              <w:left w:val="nil"/>
              <w:bottom w:val="single" w:color="000000" w:sz="4" w:space="0"/>
              <w:right w:val="single" w:color="000000" w:sz="4" w:space="0"/>
            </w:tcBorders>
            <w:vAlign w:val="center"/>
          </w:tcPr>
          <w:p>
            <w:pPr>
              <w:pStyle w:val="734"/>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380" w:type="dxa"/>
            <w:tcBorders>
              <w:top w:val="single" w:color="000000" w:sz="4" w:space="0"/>
              <w:left w:val="nil"/>
              <w:bottom w:val="single" w:color="000000" w:sz="4" w:space="0"/>
              <w:right w:val="single" w:color="000000" w:sz="4" w:space="0"/>
            </w:tcBorders>
            <w:vAlign w:val="center"/>
          </w:tcPr>
          <w:p>
            <w:pPr>
              <w:pStyle w:val="734"/>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252" w:type="dxa"/>
            <w:tcBorders>
              <w:top w:val="single" w:color="000000" w:sz="4" w:space="0"/>
              <w:left w:val="nil"/>
              <w:bottom w:val="single" w:color="000000" w:sz="4" w:space="0"/>
              <w:right w:val="single" w:color="auto" w:sz="4" w:space="0"/>
            </w:tcBorders>
            <w:vAlign w:val="center"/>
          </w:tcPr>
          <w:p>
            <w:pPr>
              <w:pStyle w:val="734"/>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总价（元）</w:t>
            </w:r>
          </w:p>
        </w:tc>
        <w:tc>
          <w:tcPr>
            <w:tcW w:w="908" w:type="dxa"/>
            <w:tcBorders>
              <w:top w:val="single" w:color="000000" w:sz="4" w:space="0"/>
              <w:left w:val="single" w:color="auto" w:sz="4" w:space="0"/>
              <w:bottom w:val="single" w:color="000000" w:sz="4" w:space="0"/>
              <w:right w:val="single" w:color="000000" w:sz="4" w:space="0"/>
            </w:tcBorders>
            <w:vAlign w:val="center"/>
          </w:tcPr>
          <w:p>
            <w:pPr>
              <w:pStyle w:val="734"/>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183" w:type="dxa"/>
            <w:tcBorders>
              <w:top w:val="single" w:color="000000" w:sz="4" w:space="0"/>
              <w:left w:val="nil"/>
              <w:bottom w:val="single" w:color="000000" w:sz="4" w:space="0"/>
              <w:right w:val="single" w:color="auto" w:sz="4" w:space="0"/>
            </w:tcBorders>
          </w:tcPr>
          <w:p>
            <w:pPr>
              <w:spacing w:line="3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60kg隔离式医纺清洁处理机</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183" w:type="dxa"/>
            <w:tcBorders>
              <w:top w:val="single" w:color="000000" w:sz="4" w:space="0"/>
              <w:left w:val="nil"/>
              <w:bottom w:val="single" w:color="000000" w:sz="4" w:space="0"/>
              <w:right w:val="single" w:color="auto" w:sz="4" w:space="0"/>
            </w:tcBorders>
          </w:tcPr>
          <w:p>
            <w:pPr>
              <w:spacing w:line="3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110kg隔离式医纺清洁处理机</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183" w:type="dxa"/>
            <w:tcBorders>
              <w:top w:val="single" w:color="000000" w:sz="4" w:space="0"/>
              <w:left w:val="nil"/>
              <w:bottom w:val="single" w:color="000000"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pacing w:val="-17"/>
                <w:kern w:val="0"/>
                <w:sz w:val="24"/>
                <w:highlight w:val="none"/>
              </w:rPr>
              <w:t>100kg电加热干燥机</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2183" w:type="dxa"/>
            <w:tcBorders>
              <w:top w:val="single" w:color="000000" w:sz="4" w:space="0"/>
              <w:left w:val="nil"/>
              <w:bottom w:val="single" w:color="000000"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pacing w:val="-17"/>
                <w:kern w:val="0"/>
                <w:sz w:val="24"/>
                <w:highlight w:val="none"/>
              </w:rPr>
              <w:t>3米2辊电加热辊烫机</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2183" w:type="dxa"/>
            <w:tcBorders>
              <w:top w:val="single" w:color="000000" w:sz="4" w:space="0"/>
              <w:left w:val="nil"/>
              <w:bottom w:val="single" w:color="000000"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吸风烫台（含熨斗）</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2183" w:type="dxa"/>
            <w:tcBorders>
              <w:top w:val="single" w:color="000000" w:sz="4" w:space="0"/>
              <w:left w:val="nil"/>
              <w:bottom w:val="single" w:color="000000"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144kw蒸汽发生器</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2183" w:type="dxa"/>
            <w:tcBorders>
              <w:top w:val="single" w:color="000000" w:sz="4" w:space="0"/>
              <w:left w:val="nil"/>
              <w:bottom w:val="single" w:color="000000"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水处理机</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2183" w:type="dxa"/>
            <w:tcBorders>
              <w:top w:val="single" w:color="000000" w:sz="4" w:space="0"/>
              <w:left w:val="nil"/>
              <w:bottom w:val="single" w:color="000000"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电动缝纫机</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2183" w:type="dxa"/>
            <w:tcBorders>
              <w:top w:val="single" w:color="000000" w:sz="4" w:space="0"/>
              <w:left w:val="nil"/>
              <w:bottom w:val="single" w:color="000000"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pacing w:val="-17"/>
                <w:kern w:val="0"/>
                <w:sz w:val="24"/>
                <w:highlight w:val="none"/>
              </w:rPr>
              <w:t>6000W油浸式空压机</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2183" w:type="dxa"/>
            <w:tcBorders>
              <w:top w:val="single" w:color="000000" w:sz="4" w:space="0"/>
              <w:left w:val="nil"/>
              <w:bottom w:val="single" w:color="000000"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铁皮制品（定制）</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rPr>
            </w:pPr>
          </w:p>
        </w:tc>
        <w:tc>
          <w:tcPr>
            <w:tcW w:w="2183" w:type="dxa"/>
            <w:tcBorders>
              <w:top w:val="single" w:color="000000" w:sz="4" w:space="0"/>
              <w:left w:val="nil"/>
              <w:bottom w:val="single" w:color="000000" w:sz="4" w:space="0"/>
              <w:right w:val="single" w:color="auto" w:sz="4" w:space="0"/>
            </w:tcBorders>
            <w:vAlign w:val="bottom"/>
          </w:tcPr>
          <w:p>
            <w:pPr>
              <w:pStyle w:val="734"/>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安装调试费</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 w:hAnsi="仿宋" w:eastAsia="仿宋" w:cs="仿宋"/>
                <w:color w:val="auto"/>
                <w:sz w:val="24"/>
                <w:highlight w:val="none"/>
                <w:shd w:val="clear" w:color="auto" w:fill="FFFF00"/>
              </w:rPr>
            </w:pPr>
          </w:p>
        </w:tc>
        <w:tc>
          <w:tcPr>
            <w:tcW w:w="2183"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其他费用</w:t>
            </w:r>
          </w:p>
        </w:tc>
        <w:tc>
          <w:tcPr>
            <w:tcW w:w="81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765"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840"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75"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380"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1252"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c>
          <w:tcPr>
            <w:tcW w:w="908"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r>
        <w:tblPrEx>
          <w:tblCellMar>
            <w:top w:w="0" w:type="dxa"/>
            <w:left w:w="108" w:type="dxa"/>
            <w:bottom w:w="0" w:type="dxa"/>
            <w:right w:w="108" w:type="dxa"/>
          </w:tblCellMar>
        </w:tblPrEx>
        <w:tc>
          <w:tcPr>
            <w:tcW w:w="6671" w:type="dxa"/>
            <w:gridSpan w:val="6"/>
            <w:tcBorders>
              <w:top w:val="single" w:color="000000" w:sz="4" w:space="0"/>
              <w:left w:val="single" w:color="000000" w:sz="4" w:space="0"/>
              <w:bottom w:val="single" w:color="000000" w:sz="4" w:space="0"/>
              <w:right w:val="single" w:color="000000" w:sz="4" w:space="0"/>
            </w:tcBorders>
            <w:vAlign w:val="center"/>
          </w:tcPr>
          <w:p>
            <w:pPr>
              <w:pStyle w:val="734"/>
              <w:spacing w:line="400" w:lineRule="exact"/>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合计（元）</w:t>
            </w:r>
          </w:p>
        </w:tc>
        <w:tc>
          <w:tcPr>
            <w:tcW w:w="3540" w:type="dxa"/>
            <w:gridSpan w:val="3"/>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s="仿宋"/>
                <w:color w:val="auto"/>
                <w:sz w:val="24"/>
                <w:szCs w:val="24"/>
                <w:highlight w:val="none"/>
              </w:rPr>
            </w:pPr>
          </w:p>
        </w:tc>
      </w:tr>
    </w:tbl>
    <w:p>
      <w:pPr>
        <w:pStyle w:val="734"/>
        <w:spacing w:line="40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五、合同总价款</w:t>
      </w:r>
    </w:p>
    <w:p>
      <w:pPr>
        <w:spacing w:line="40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本合同项下总价款为(人民币大写)：</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元整，分项价款在本合同第一条中明确列出。</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本合同总价款包括货物价款、包装、仓储、运输、培训、安装调试及验收合格之前及保修期内保修服务、备品备件发生的所有含税费用，此合同价款在合同实施期间固定不变。</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本合同总价款还包含乙方应当提供的伴随服务/售后服务费用。</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 xml:space="preserve">六、组成本合同的有关文件    </w:t>
      </w:r>
    </w:p>
    <w:p>
      <w:pPr>
        <w:spacing w:line="40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下列关于</w:t>
      </w:r>
      <w:r>
        <w:rPr>
          <w:rFonts w:hint="eastAsia" w:ascii="仿宋" w:hAnsi="仿宋" w:eastAsia="仿宋" w:cs="仿宋"/>
          <w:b/>
          <w:bCs/>
          <w:color w:val="auto"/>
          <w:sz w:val="24"/>
          <w:highlight w:val="none"/>
          <w:u w:val="single"/>
        </w:rPr>
        <w:t>库尔勒市第二人民医院洗衣房设备采购项目（项目编号2023PCCS004）</w:t>
      </w:r>
      <w:r>
        <w:rPr>
          <w:rFonts w:hint="eastAsia" w:ascii="仿宋" w:hAnsi="仿宋" w:eastAsia="仿宋" w:cs="仿宋"/>
          <w:color w:val="auto"/>
          <w:kern w:val="1"/>
          <w:sz w:val="24"/>
          <w:highlight w:val="none"/>
        </w:rPr>
        <w:t>的招投标文件或与本次采购活动相适应的文件及有关附件是本合同不可分割的组成部分，与本合同具有同等法律效力，这些文件包括但不限于：（1）招标文件；（2）乙方提供的投标文件（3）服务承诺；（4）甲乙双方商定的其他文件。以上附件顺序在前的具有优先解释权。双方必须严格按照招标文件、投标文件及有关承诺签订采购合同，不得擅自变更。</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七、权利保证</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乙方应保证甲方在使用该货物或其任何一部分时不受第三方提出侵犯其专利权、版权、商标权或其他权利的起诉。一旦出现侵权，乙方应承担全部责任。</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八、质量保证</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1、乙方所提供的货物的技术规格应与招标文件规定的技术规格及投标承诺相一致；若技术性能无特殊说明，则按国家有关部门最新颁布的标准及规范为准。</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九、包装要求</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2、每一包装单元内应附详细的装箱单和质量合格凭证。</w:t>
      </w:r>
    </w:p>
    <w:p>
      <w:pPr>
        <w:pStyle w:val="734"/>
        <w:spacing w:line="400" w:lineRule="exact"/>
        <w:ind w:firstLine="482" w:firstLineChars="200"/>
        <w:rPr>
          <w:rFonts w:ascii="仿宋" w:hAnsi="仿宋" w:eastAsia="仿宋" w:cs="仿宋"/>
          <w:color w:val="auto"/>
          <w:kern w:val="1"/>
          <w:sz w:val="24"/>
          <w:highlight w:val="none"/>
        </w:rPr>
      </w:pPr>
      <w:r>
        <w:rPr>
          <w:rFonts w:hint="eastAsia" w:ascii="仿宋" w:hAnsi="仿宋" w:eastAsia="仿宋" w:cs="仿宋"/>
          <w:b/>
          <w:bCs/>
          <w:color w:val="auto"/>
          <w:kern w:val="1"/>
          <w:sz w:val="24"/>
          <w:highlight w:val="none"/>
        </w:rPr>
        <w:t>十、交货和验收</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1、乙方应当在</w:t>
      </w:r>
      <w:r>
        <w:rPr>
          <w:rFonts w:hint="eastAsia" w:ascii="仿宋" w:hAnsi="仿宋" w:eastAsia="仿宋" w:cs="仿宋"/>
          <w:color w:val="auto"/>
          <w:kern w:val="1"/>
          <w:sz w:val="24"/>
          <w:highlight w:val="none"/>
          <w:u w:val="single"/>
        </w:rPr>
        <w:t>合同签订生效后（   ）个日历日内</w:t>
      </w:r>
      <w:r>
        <w:rPr>
          <w:rFonts w:hint="eastAsia" w:ascii="仿宋" w:hAnsi="仿宋" w:eastAsia="仿宋" w:cs="仿宋"/>
          <w:color w:val="auto"/>
          <w:kern w:val="1"/>
          <w:sz w:val="24"/>
          <w:highlight w:val="none"/>
        </w:rPr>
        <w:t>将全部货物送达至买方指定地点并安装调试完毕。交货地点：</w:t>
      </w:r>
      <w:r>
        <w:rPr>
          <w:rFonts w:hint="eastAsia" w:ascii="仿宋" w:hAnsi="仿宋" w:eastAsia="仿宋" w:cs="仿宋"/>
          <w:color w:val="auto"/>
          <w:kern w:val="1"/>
          <w:sz w:val="24"/>
          <w:highlight w:val="none"/>
          <w:u w:val="single"/>
        </w:rPr>
        <w:t>采购人指定地点</w:t>
      </w:r>
      <w:r>
        <w:rPr>
          <w:rFonts w:hint="eastAsia" w:ascii="仿宋" w:hAnsi="仿宋" w:eastAsia="仿宋" w:cs="仿宋"/>
          <w:color w:val="auto"/>
          <w:kern w:val="1"/>
          <w:sz w:val="24"/>
          <w:highlight w:val="none"/>
        </w:rPr>
        <w:t xml:space="preserve"> 。</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2、乙方交付的货物应当完全符合本合同所规定的货物、数量和技术规格要求。乙方不得少交或多交货物。乙方提供的货物不符合招投标文件和合同规定的，甲方有权拒收货物，由此引起的风险，由乙方承担。</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3、货物的到货验收包括：型号、规格、数量、外观质量、运行情况及货物包装是否完好。</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5、甲方应当在到货后的</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个工作日内对货物进行验收；需要乙方对货物或系统进行安装调试的，甲方应在货物安装调试完毕后的</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个工作日内进行质量验收。验收合格的，由双方签署验收单并加盖单位公章。招标文件对检验期限另有规定的，从其规定。</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6、货物和系统调试验收的标准：</w:t>
      </w:r>
      <w:r>
        <w:rPr>
          <w:rFonts w:hint="eastAsia" w:ascii="仿宋" w:hAnsi="仿宋" w:eastAsia="仿宋" w:cs="仿宋"/>
          <w:color w:val="auto"/>
          <w:kern w:val="1"/>
          <w:sz w:val="24"/>
          <w:highlight w:val="none"/>
        </w:rPr>
        <w:t>按行业通行标准、厂方出厂标准、招标文件的技术要求和乙方投标文件的承诺（按上述标准中的严格标准执行，并不低于国家相关标准）。</w:t>
      </w:r>
    </w:p>
    <w:p>
      <w:pPr>
        <w:pStyle w:val="734"/>
        <w:spacing w:line="400" w:lineRule="exact"/>
        <w:ind w:firstLine="482" w:firstLineChars="200"/>
        <w:rPr>
          <w:rFonts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十一、伴随服务／售后服务</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1、乙方应按照国家有关法律法规规章和“三包”规定以及合同所附的“服务承诺”提供服务。</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2、除前款规定外，乙方还应提供下列服务：</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（1）货物的现场安装、调试和/或启动监督；</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（2）就货物的安装、启动、运行及维护等对甲方人员进行免费培训。</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3、若招标文件中不包含有关伴随服务或售后服务的承诺，双方作如下约定：</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3.2货物的质保期：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年，质保期自全部设备到货且经甲方最终验收合格之日起计算。</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3.3质保期内，乙方负责对其提供的货物整机进行维修和系统维护，不再收取任何费用，但不可抗力（如火灾、雷击等）造成的故障除外。</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3.4货物故障报修的响应时间为：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小时。</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3.5若货物故障在检修 24 工作小时后仍无法排除，乙方应在</w:t>
      </w:r>
      <w:r>
        <w:rPr>
          <w:rFonts w:hint="eastAsia" w:ascii="仿宋" w:hAnsi="仿宋" w:eastAsia="仿宋" w:cs="仿宋"/>
          <w:color w:val="auto"/>
          <w:kern w:val="1"/>
          <w:sz w:val="24"/>
          <w:highlight w:val="none"/>
          <w:u w:val="single"/>
        </w:rPr>
        <w:t xml:space="preserve"> 48 </w:t>
      </w:r>
      <w:r>
        <w:rPr>
          <w:rFonts w:hint="eastAsia" w:ascii="仿宋" w:hAnsi="仿宋" w:eastAsia="仿宋" w:cs="仿宋"/>
          <w:color w:val="auto"/>
          <w:kern w:val="1"/>
          <w:sz w:val="24"/>
          <w:highlight w:val="none"/>
        </w:rPr>
        <w:t>小时内免费提供不低于故障货物规格型号档次的备用货物供甲方使用，直至故障货物修复。</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3.6 所有货物保修服务方式均为乙方上门保修，即由乙方派员到货物使用现场维修，由此产生的一切费用均由乙方承担。</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3.7</w:t>
      </w:r>
      <w:r>
        <w:rPr>
          <w:rFonts w:hint="eastAsia" w:ascii="仿宋" w:hAnsi="仿宋" w:eastAsia="仿宋" w:cs="仿宋"/>
          <w:bCs/>
          <w:color w:val="auto"/>
          <w:sz w:val="24"/>
          <w:highlight w:val="none"/>
        </w:rPr>
        <w:t>质保期满后，如设备出现问题须更换零部件时，甲方向乙方购买</w:t>
      </w:r>
      <w:r>
        <w:rPr>
          <w:rFonts w:hint="eastAsia" w:ascii="仿宋" w:hAnsi="仿宋" w:eastAsia="仿宋" w:cs="仿宋"/>
          <w:color w:val="auto"/>
          <w:kern w:val="1"/>
          <w:sz w:val="24"/>
          <w:highlight w:val="none"/>
        </w:rPr>
        <w:t>零部件的价格不得高于乙方投标时做出的承诺价格。</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十二、履约保证金（本项目不提供）</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1、乙方在签订本合同之日，向甲方提交本次采购的履约保证金</w:t>
      </w:r>
      <w:r>
        <w:rPr>
          <w:rFonts w:hint="eastAsia" w:ascii="仿宋" w:hAnsi="仿宋" w:eastAsia="仿宋" w:cs="仿宋"/>
          <w:color w:val="auto"/>
          <w:kern w:val="1"/>
          <w:sz w:val="24"/>
          <w:highlight w:val="none"/>
          <w:u w:val="single"/>
        </w:rPr>
        <w:t xml:space="preserve">_ /  </w:t>
      </w:r>
      <w:r>
        <w:rPr>
          <w:rFonts w:hint="eastAsia" w:ascii="仿宋" w:hAnsi="仿宋" w:eastAsia="仿宋" w:cs="仿宋"/>
          <w:color w:val="auto"/>
          <w:kern w:val="1"/>
          <w:sz w:val="24"/>
          <w:highlight w:val="none"/>
        </w:rPr>
        <w:t>元。</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2、如乙方未能履行合同规定的义务，甲方有权从履约保证金中取得补偿。</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3、履约保证金扣除甲方应得的补偿后的余额在履约期满后退还乙方。</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十三、货款支付</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1、本合同项下所有款项均以人民币支付。</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付款方式：全部设备安装调试完毕并经甲方验收合格正常运行30个工作日，固资建立，乙方向甲方出具有效的发票，甲方向乙方支付合同金额的70%；设备正常运行6个月后，甲方向乙方支付合同金额的20%；设备正常运行满1年，甲方向乙方支付合同金额的10%。质保期内，如设备出现质量问题或乙方未按合同约定全面履行质保义务，甲方有权不予支付最后一笔款项。</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十四、违约责任</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１、甲方无正当理由拒收货物、拒付货物款的，由甲方向乙方偿付合同总价的</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%违约金。</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２、甲方未按合同规定的期限向乙方支付货款的，每逾期1天甲方向乙方偿付欠款总额的</w:t>
      </w:r>
      <w:r>
        <w:rPr>
          <w:rFonts w:hint="eastAsia" w:ascii="仿宋" w:hAnsi="仿宋" w:eastAsia="仿宋" w:cs="仿宋"/>
          <w:color w:val="auto"/>
          <w:kern w:val="1"/>
          <w:sz w:val="24"/>
          <w:highlight w:val="none"/>
          <w:u w:val="single"/>
        </w:rPr>
        <w:t xml:space="preserve"> 1 </w:t>
      </w:r>
      <w:r>
        <w:rPr>
          <w:rFonts w:hint="eastAsia" w:ascii="仿宋" w:hAnsi="仿宋" w:eastAsia="仿宋" w:cs="仿宋"/>
          <w:color w:val="auto"/>
          <w:kern w:val="1"/>
          <w:sz w:val="24"/>
          <w:highlight w:val="none"/>
        </w:rPr>
        <w:t>‰滞纳金。</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rPr>
        <w:t>乙方所交付的货物品种、型号、规格、技术要求、功能不符合合同规定的，甲方有权拒收。</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w:t>
      </w:r>
      <w:r>
        <w:rPr>
          <w:rFonts w:hint="eastAsia" w:ascii="仿宋" w:hAnsi="仿宋" w:eastAsia="仿宋" w:cs="仿宋"/>
          <w:color w:val="auto"/>
          <w:kern w:val="1"/>
          <w:sz w:val="24"/>
          <w:highlight w:val="none"/>
        </w:rPr>
        <w:t>乙方逾期交付货物的，每逾期</w:t>
      </w:r>
      <w:r>
        <w:rPr>
          <w:rFonts w:hint="eastAsia" w:ascii="仿宋" w:hAnsi="仿宋" w:eastAsia="仿宋" w:cs="仿宋"/>
          <w:color w:val="auto"/>
          <w:kern w:val="1"/>
          <w:sz w:val="24"/>
          <w:highlight w:val="none"/>
          <w:u w:val="single"/>
        </w:rPr>
        <w:t>1</w:t>
      </w:r>
      <w:r>
        <w:rPr>
          <w:rFonts w:hint="eastAsia" w:ascii="仿宋" w:hAnsi="仿宋" w:eastAsia="仿宋" w:cs="仿宋"/>
          <w:color w:val="auto"/>
          <w:kern w:val="1"/>
          <w:sz w:val="24"/>
          <w:highlight w:val="none"/>
        </w:rPr>
        <w:t>天，乙方向甲方偿付逾期交货部分货款总额的</w:t>
      </w:r>
      <w:r>
        <w:rPr>
          <w:rFonts w:hint="eastAsia" w:ascii="仿宋" w:hAnsi="仿宋" w:eastAsia="仿宋" w:cs="仿宋"/>
          <w:color w:val="auto"/>
          <w:kern w:val="1"/>
          <w:sz w:val="24"/>
          <w:highlight w:val="none"/>
          <w:u w:val="single"/>
        </w:rPr>
        <w:t xml:space="preserve"> 0.5% </w:t>
      </w:r>
      <w:r>
        <w:rPr>
          <w:rFonts w:hint="eastAsia" w:ascii="仿宋" w:hAnsi="仿宋" w:eastAsia="仿宋" w:cs="仿宋"/>
          <w:color w:val="auto"/>
          <w:kern w:val="1"/>
          <w:sz w:val="24"/>
          <w:highlight w:val="none"/>
        </w:rPr>
        <w:t>的滞纳金。如乙方逾期交货达</w:t>
      </w:r>
      <w:r>
        <w:rPr>
          <w:rFonts w:hint="eastAsia" w:ascii="仿宋" w:hAnsi="仿宋" w:eastAsia="仿宋" w:cs="仿宋"/>
          <w:color w:val="auto"/>
          <w:kern w:val="1"/>
          <w:sz w:val="24"/>
          <w:highlight w:val="none"/>
          <w:u w:val="single"/>
        </w:rPr>
        <w:t xml:space="preserve"> 15 </w:t>
      </w:r>
      <w:r>
        <w:rPr>
          <w:rFonts w:hint="eastAsia" w:ascii="仿宋" w:hAnsi="仿宋" w:eastAsia="仿宋" w:cs="仿宋"/>
          <w:color w:val="auto"/>
          <w:kern w:val="1"/>
          <w:sz w:val="24"/>
          <w:highlight w:val="none"/>
        </w:rPr>
        <w:t>天，甲方有权解除合同，解除合同的通知自到达乙方时生效，同时乙方须按合同总价款的</w:t>
      </w:r>
      <w:r>
        <w:rPr>
          <w:rFonts w:hint="eastAsia" w:ascii="仿宋" w:hAnsi="仿宋" w:eastAsia="仿宋" w:cs="仿宋"/>
          <w:color w:val="auto"/>
          <w:kern w:val="1"/>
          <w:sz w:val="24"/>
          <w:highlight w:val="none"/>
          <w:u w:val="single"/>
        </w:rPr>
        <w:t xml:space="preserve"> 10% </w:t>
      </w:r>
      <w:r>
        <w:rPr>
          <w:rFonts w:hint="eastAsia" w:ascii="仿宋" w:hAnsi="仿宋" w:eastAsia="仿宋" w:cs="仿宋"/>
          <w:color w:val="auto"/>
          <w:kern w:val="1"/>
          <w:sz w:val="24"/>
          <w:highlight w:val="none"/>
        </w:rPr>
        <w:t>向甲方承担赔偿责任。</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在乙方承诺的或国家规定的质量保证期内（取两者中最长的期限），如经乙方两次维修或更换，货物仍不能达到合同约定的质量标准，甲方有权退货，乙方应退回全部货款，同时，乙方还须赔偿甲方因此遭受的损失。</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6、乙方未按本合同的规定和“服务承诺”提供伴随服务/售后服务的，应按合同总价款的</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%向甲方承担违约责任。</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7、乙方在承担上述3-6款一项或多项违约责任后，仍应继续履行合同规定的义务（甲方解除合同的除外）。甲方未能及时追究乙方的任何一项违约责任并不表明甲方放弃追究乙方该项或其他违约责任。</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bCs/>
          <w:color w:val="auto"/>
          <w:kern w:val="1"/>
          <w:sz w:val="24"/>
          <w:highlight w:val="none"/>
        </w:rPr>
        <w:t>十五、</w:t>
      </w:r>
      <w:r>
        <w:rPr>
          <w:rFonts w:hint="eastAsia" w:ascii="仿宋" w:hAnsi="仿宋" w:eastAsia="仿宋" w:cs="仿宋"/>
          <w:b/>
          <w:color w:val="auto"/>
          <w:kern w:val="1"/>
          <w:sz w:val="24"/>
          <w:highlight w:val="none"/>
        </w:rPr>
        <w:t>不可抗力</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如果双方任何一方由于受诸如战争、严重火灾、洪水、台风、地震、疫情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40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十六、合同的变更和终止</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除《政府采购法》第４９条、第５０条第二款规定的情形外，本合同一经签订，甲乙双方不得擅自变更、中止或终止合同。</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十七、合同的转让</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乙方不得擅自部分或全部转让其应履行的合同义务。如有转让和未经甲方同意的分包行为，甲方有权解除合同，并追究乙方的违约责任。</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十八、争议的解决</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1、因货物的质量问题发生争议的，应当邀请国家认可的质量检测机构对货物质量进行鉴定。货物符合标准的，鉴定费由甲方承担；货物不符合质量标准的，鉴定费由乙方承担。</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2、因履行本合同引起的或与本合同有关的争议，甲、乙双方应首先通过友好协商解决，如果协商不能解决争议，则采取以下第（ 1 ）种方式解决争议：</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（1）向甲方所在地有管辖权的人民法院提起诉讼；</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（2）向（       ）仲裁委员会按其仲裁规则申请仲裁。</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3、在仲裁期间，本合同应继续履行。</w:t>
      </w:r>
    </w:p>
    <w:p>
      <w:pPr>
        <w:spacing w:line="400" w:lineRule="exact"/>
        <w:ind w:firstLine="482" w:firstLineChars="200"/>
        <w:rPr>
          <w:rFonts w:ascii="仿宋" w:hAnsi="仿宋" w:eastAsia="仿宋" w:cs="仿宋"/>
          <w:b/>
          <w:color w:val="auto"/>
          <w:kern w:val="1"/>
          <w:sz w:val="24"/>
          <w:highlight w:val="none"/>
        </w:rPr>
      </w:pPr>
      <w:r>
        <w:rPr>
          <w:rFonts w:hint="eastAsia" w:ascii="仿宋" w:hAnsi="仿宋" w:eastAsia="仿宋" w:cs="仿宋"/>
          <w:b/>
          <w:color w:val="auto"/>
          <w:kern w:val="1"/>
          <w:sz w:val="24"/>
          <w:highlight w:val="none"/>
        </w:rPr>
        <w:t>十九、合同生效及其他</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1、本合同自签订之日起生效。</w:t>
      </w:r>
    </w:p>
    <w:p>
      <w:pPr>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2、本合同一式陆份，甲乙双方各执叁份。</w:t>
      </w:r>
    </w:p>
    <w:p>
      <w:pPr>
        <w:pStyle w:val="734"/>
        <w:spacing w:line="40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3、本合同应按照中华人民共和国的现行法律进行解释</w:t>
      </w:r>
    </w:p>
    <w:p>
      <w:pPr>
        <w:pStyle w:val="734"/>
        <w:spacing w:line="400" w:lineRule="exact"/>
        <w:ind w:firstLine="480" w:firstLineChars="200"/>
        <w:rPr>
          <w:rFonts w:ascii="仿宋" w:hAnsi="仿宋" w:eastAsia="仿宋" w:cs="仿宋"/>
          <w:color w:val="auto"/>
          <w:kern w:val="1"/>
          <w:sz w:val="24"/>
          <w:highlight w:val="none"/>
        </w:rPr>
      </w:pPr>
    </w:p>
    <w:p>
      <w:pPr>
        <w:spacing w:line="420" w:lineRule="exact"/>
        <w:rPr>
          <w:rFonts w:ascii="仿宋" w:hAnsi="仿宋" w:eastAsia="仿宋" w:cs="仿宋"/>
          <w:color w:val="auto"/>
          <w:sz w:val="24"/>
          <w:highlight w:val="none"/>
        </w:rPr>
      </w:pPr>
    </w:p>
    <w:p>
      <w:pPr>
        <w:pStyle w:val="734"/>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甲方名称（盖章）                          乙方名称（盖章）</w:t>
      </w:r>
    </w:p>
    <w:p>
      <w:pPr>
        <w:pStyle w:val="734"/>
        <w:spacing w:line="400" w:lineRule="exact"/>
        <w:ind w:firstLine="480" w:firstLineChars="200"/>
        <w:rPr>
          <w:rFonts w:ascii="仿宋" w:hAnsi="仿宋" w:eastAsia="仿宋" w:cs="仿宋"/>
          <w:color w:val="auto"/>
          <w:sz w:val="24"/>
          <w:szCs w:val="24"/>
          <w:highlight w:val="none"/>
        </w:rPr>
      </w:pPr>
    </w:p>
    <w:p>
      <w:pPr>
        <w:pStyle w:val="734"/>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签字：              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签字：          </w:t>
      </w:r>
    </w:p>
    <w:p>
      <w:pPr>
        <w:pStyle w:val="734"/>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地址：                    </w:t>
      </w:r>
    </w:p>
    <w:p>
      <w:pPr>
        <w:pStyle w:val="734"/>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电话：                   </w:t>
      </w:r>
    </w:p>
    <w:p>
      <w:pPr>
        <w:pStyle w:val="734"/>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传真：                                    传真：                    </w:t>
      </w:r>
    </w:p>
    <w:p>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4"/>
          <w:highlight w:val="none"/>
        </w:rPr>
        <w:t>合同签订日期：     年    月    日         合同签订日期：    年   月  日</w:t>
      </w:r>
    </w:p>
    <w:p>
      <w:pPr>
        <w:widowControl/>
        <w:spacing w:beforeLines="50" w:afterLines="50" w:line="560" w:lineRule="atLeast"/>
        <w:rPr>
          <w:rFonts w:ascii="仿宋" w:hAnsi="仿宋" w:eastAsia="仿宋" w:cs="仿宋"/>
          <w:b/>
          <w:color w:val="auto"/>
          <w:sz w:val="32"/>
          <w:szCs w:val="32"/>
          <w:highlight w:val="none"/>
        </w:rPr>
      </w:pPr>
    </w:p>
    <w:bookmarkEnd w:id="10"/>
    <w:p>
      <w:pPr>
        <w:pStyle w:val="734"/>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pPr>
        <w:pStyle w:val="327"/>
        <w:spacing w:beforeLines="50" w:afterLines="50" w:line="360" w:lineRule="auto"/>
        <w:jc w:val="center"/>
        <w:outlineLvl w:val="0"/>
        <w:rPr>
          <w:rFonts w:ascii="仿宋" w:hAnsi="仿宋" w:eastAsia="仿宋" w:cs="仿宋"/>
          <w:b/>
          <w:color w:val="auto"/>
          <w:sz w:val="32"/>
          <w:szCs w:val="32"/>
          <w:highlight w:val="none"/>
        </w:rPr>
      </w:pPr>
      <w:bookmarkStart w:id="11" w:name="_Toc111571539"/>
      <w:r>
        <w:rPr>
          <w:rFonts w:hint="eastAsia" w:ascii="仿宋" w:hAnsi="仿宋" w:eastAsia="仿宋" w:cs="仿宋"/>
          <w:b/>
          <w:color w:val="auto"/>
          <w:sz w:val="32"/>
          <w:szCs w:val="32"/>
          <w:highlight w:val="none"/>
        </w:rPr>
        <w:t>第七部分  响应文件格式</w:t>
      </w:r>
      <w:bookmarkEnd w:id="11"/>
    </w:p>
    <w:p>
      <w:pPr>
        <w:pStyle w:val="327"/>
        <w:spacing w:line="360" w:lineRule="auto"/>
        <w:jc w:val="center"/>
        <w:rPr>
          <w:rFonts w:ascii="仿宋" w:hAnsi="仿宋" w:eastAsia="仿宋" w:cs="仿宋"/>
          <w:b/>
          <w:color w:val="auto"/>
          <w:szCs w:val="24"/>
          <w:highlight w:val="none"/>
        </w:rPr>
      </w:pPr>
    </w:p>
    <w:p>
      <w:pPr>
        <w:keepNext/>
        <w:keepLines/>
        <w:adjustRightInd w:val="0"/>
        <w:spacing w:before="200" w:after="200"/>
        <w:jc w:val="center"/>
        <w:textAlignment w:val="baseline"/>
        <w:outlineLvl w:val="1"/>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供应商提交文件须知</w:t>
      </w:r>
    </w:p>
    <w:p>
      <w:pPr>
        <w:tabs>
          <w:tab w:val="left" w:pos="709"/>
          <w:tab w:val="left" w:pos="1200"/>
        </w:tabs>
        <w:adjustRightInd w:val="0"/>
        <w:spacing w:line="52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1.本部分仅提供了《供应商须知前附表》第5项要求供应商提供资料的部分文件格式，供应商须严格按照提供的格式制作响应文件，其他资料严格按照《供应商须知前附表》第5项要求的内容提供。</w:t>
      </w:r>
    </w:p>
    <w:p>
      <w:pPr>
        <w:tabs>
          <w:tab w:val="left" w:pos="709"/>
          <w:tab w:val="left" w:pos="1200"/>
        </w:tabs>
        <w:adjustRightInd w:val="0"/>
        <w:spacing w:line="52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2.供应商应严格按照以下顺序填写和提交下述规定的全部格式文件以及其他有关资料，混乱的编排导致响应文件被误读或查找不到，后果由供应商承担。</w:t>
      </w:r>
    </w:p>
    <w:p>
      <w:pPr>
        <w:tabs>
          <w:tab w:val="left" w:pos="709"/>
          <w:tab w:val="left" w:pos="1200"/>
        </w:tabs>
        <w:adjustRightInd w:val="0"/>
        <w:spacing w:line="52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3.所附表格中要求回答的全部问题和信息都必须正面回答。</w:t>
      </w:r>
    </w:p>
    <w:p>
      <w:pPr>
        <w:tabs>
          <w:tab w:val="left" w:pos="709"/>
          <w:tab w:val="left" w:pos="1200"/>
        </w:tabs>
        <w:adjustRightInd w:val="0"/>
        <w:spacing w:line="52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4.本资格声明的签字人应保证全部声明和问题的回答是真实的和准确的。</w:t>
      </w:r>
    </w:p>
    <w:p>
      <w:pPr>
        <w:tabs>
          <w:tab w:val="left" w:pos="709"/>
          <w:tab w:val="left" w:pos="1200"/>
        </w:tabs>
        <w:adjustRightInd w:val="0"/>
        <w:spacing w:line="52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5.供应商提交的材料将被保密保存，但不退还。</w:t>
      </w:r>
    </w:p>
    <w:p>
      <w:pPr>
        <w:tabs>
          <w:tab w:val="left" w:pos="709"/>
          <w:tab w:val="left" w:pos="1200"/>
        </w:tabs>
        <w:adjustRightInd w:val="0"/>
        <w:spacing w:line="52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6.全部文件应按供应商须知中规定的语言和份数提交。</w:t>
      </w:r>
    </w:p>
    <w:p>
      <w:pPr>
        <w:pStyle w:val="327"/>
        <w:spacing w:line="360" w:lineRule="auto"/>
        <w:jc w:val="center"/>
        <w:rPr>
          <w:rFonts w:ascii="仿宋" w:hAnsi="仿宋" w:eastAsia="仿宋" w:cs="仿宋"/>
          <w:b/>
          <w:color w:val="auto"/>
          <w:sz w:val="72"/>
          <w:highlight w:val="none"/>
        </w:rPr>
      </w:pPr>
    </w:p>
    <w:p>
      <w:pPr>
        <w:ind w:firstLine="560"/>
        <w:rPr>
          <w:rFonts w:ascii="仿宋" w:hAnsi="仿宋" w:eastAsia="仿宋" w:cs="仿宋"/>
          <w:color w:val="auto"/>
          <w:sz w:val="28"/>
          <w:highlight w:val="none"/>
        </w:rPr>
      </w:pPr>
    </w:p>
    <w:p>
      <w:pPr>
        <w:widowControl/>
        <w:jc w:val="left"/>
        <w:rPr>
          <w:rFonts w:ascii="仿宋" w:hAnsi="仿宋" w:eastAsia="仿宋" w:cs="仿宋"/>
          <w:color w:val="auto"/>
          <w:sz w:val="24"/>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bCs/>
          <w:color w:val="auto"/>
          <w:kern w:val="0"/>
          <w:sz w:val="24"/>
          <w:highlight w:val="none"/>
        </w:rPr>
        <w:t>附件一  供应商营业执照或其他组织资格证书，扫描件</w:t>
      </w:r>
    </w:p>
    <w:p>
      <w:pPr>
        <w:widowControl/>
        <w:spacing w:line="440" w:lineRule="exact"/>
        <w:jc w:val="left"/>
        <w:rPr>
          <w:rFonts w:ascii="仿宋" w:hAnsi="仿宋" w:eastAsia="仿宋" w:cs="仿宋"/>
          <w:bCs/>
          <w:color w:val="auto"/>
          <w:sz w:val="24"/>
          <w:highlight w:val="none"/>
        </w:rPr>
      </w:pPr>
    </w:p>
    <w:p>
      <w:pPr>
        <w:widowControl/>
        <w:spacing w:line="440" w:lineRule="exact"/>
        <w:jc w:val="left"/>
        <w:rPr>
          <w:rFonts w:ascii="仿宋" w:hAnsi="仿宋" w:eastAsia="仿宋" w:cs="仿宋"/>
          <w:bCs/>
          <w:color w:val="auto"/>
          <w:sz w:val="24"/>
          <w:highlight w:val="none"/>
        </w:rPr>
      </w:pPr>
    </w:p>
    <w:p>
      <w:pPr>
        <w:widowControl/>
        <w:spacing w:line="440" w:lineRule="exact"/>
        <w:jc w:val="left"/>
        <w:rPr>
          <w:rFonts w:ascii="仿宋" w:hAnsi="仿宋" w:eastAsia="仿宋" w:cs="仿宋"/>
          <w:bCs/>
          <w:color w:val="auto"/>
          <w:sz w:val="24"/>
          <w:highlight w:val="none"/>
        </w:rPr>
      </w:pPr>
    </w:p>
    <w:p>
      <w:pPr>
        <w:widowControl/>
        <w:spacing w:line="440" w:lineRule="exact"/>
        <w:jc w:val="left"/>
        <w:rPr>
          <w:rFonts w:ascii="仿宋" w:hAnsi="仿宋" w:eastAsia="仿宋" w:cs="仿宋"/>
          <w:bCs/>
          <w:color w:val="auto"/>
          <w:sz w:val="24"/>
          <w:highlight w:val="none"/>
        </w:rPr>
      </w:pPr>
    </w:p>
    <w:p>
      <w:pPr>
        <w:shd w:val="clear" w:color="auto" w:fill="FFFFFF"/>
        <w:spacing w:line="440" w:lineRule="exact"/>
        <w:rPr>
          <w:rFonts w:ascii="仿宋" w:hAnsi="仿宋" w:eastAsia="仿宋" w:cs="仿宋"/>
          <w:bCs/>
          <w:color w:val="auto"/>
          <w:kern w:val="0"/>
          <w:sz w:val="24"/>
          <w:highlight w:val="none"/>
        </w:rPr>
      </w:pP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附件二  法定代表人（或负责人）资格证明书及法定代表人（或负责人）授权委托书</w:t>
      </w:r>
    </w:p>
    <w:p>
      <w:pPr>
        <w:shd w:val="clear" w:color="auto" w:fill="FFFFFF"/>
        <w:spacing w:beforeLines="100" w:afterLines="100" w:line="44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法定代表人（或负责人）资格证明书</w:t>
      </w:r>
    </w:p>
    <w:p>
      <w:pPr>
        <w:shd w:val="clear" w:color="auto" w:fill="FFFFFF"/>
        <w:spacing w:line="440" w:lineRule="exact"/>
        <w:rPr>
          <w:rFonts w:ascii="仿宋" w:hAnsi="仿宋" w:eastAsia="仿宋" w:cs="仿宋"/>
          <w:color w:val="auto"/>
          <w:sz w:val="24"/>
          <w:highlight w:val="none"/>
        </w:rPr>
      </w:pPr>
    </w:p>
    <w:p>
      <w:pPr>
        <w:pStyle w:val="729"/>
        <w:adjustRightInd w:val="0"/>
        <w:snapToGrid w:val="0"/>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pPr>
        <w:pStyle w:val="729"/>
        <w:adjustRightInd w:val="0"/>
        <w:snapToGrid w:val="0"/>
        <w:spacing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公司法定代表人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，代表我公司办理一切社会公务事宜，具有法律效力。 </w:t>
      </w:r>
    </w:p>
    <w:p>
      <w:pPr>
        <w:pStyle w:val="729"/>
        <w:adjustRightInd w:val="0"/>
        <w:snapToGrid w:val="0"/>
        <w:spacing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基本情况： </w:t>
      </w:r>
    </w:p>
    <w:p>
      <w:pPr>
        <w:pStyle w:val="729"/>
        <w:adjustRightInd w:val="0"/>
        <w:snapToGrid w:val="0"/>
        <w:spacing w:line="50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pStyle w:val="729"/>
        <w:adjustRightInd w:val="0"/>
        <w:snapToGrid w:val="0"/>
        <w:spacing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pStyle w:val="729"/>
        <w:adjustRightInd w:val="0"/>
        <w:snapToGrid w:val="0"/>
        <w:spacing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p>
    <w:p>
      <w:pPr>
        <w:shd w:val="clear" w:color="auto" w:fill="FFFFFF"/>
        <w:spacing w:line="44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电话号码：</w:t>
      </w:r>
      <w:r>
        <w:rPr>
          <w:rFonts w:hint="eastAsia" w:ascii="仿宋" w:hAnsi="仿宋" w:eastAsia="仿宋" w:cs="仿宋"/>
          <w:color w:val="auto"/>
          <w:sz w:val="24"/>
          <w:highlight w:val="none"/>
          <w:u w:val="single"/>
        </w:rPr>
        <w:t xml:space="preserve">                   </w:t>
      </w:r>
    </w:p>
    <w:p>
      <w:pPr>
        <w:shd w:val="clear" w:color="auto" w:fill="FFFFFF"/>
        <w:spacing w:line="440" w:lineRule="exact"/>
        <w:rPr>
          <w:rFonts w:ascii="仿宋" w:hAnsi="仿宋" w:eastAsia="仿宋" w:cs="仿宋"/>
          <w:color w:val="auto"/>
          <w:szCs w:val="21"/>
          <w:highlight w:val="none"/>
        </w:rPr>
      </w:pPr>
      <w:r>
        <w:rPr>
          <w:rFonts w:ascii="仿宋" w:hAnsi="仿宋" w:eastAsia="仿宋" w:cs="仿宋"/>
          <w:color w:val="auto"/>
          <w:szCs w:val="21"/>
          <w:highlight w:val="none"/>
        </w:rPr>
        <w:pict>
          <v:shape id="文本框 4" o:spid="_x0000_s1030" o:spt="202" type="#_x0000_t202" style="position:absolute;left:0pt;margin-left:-19.6pt;margin-top:12.8pt;height:151.1pt;width:252.1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p/>
                <w:p>
                  <w:pPr>
                    <w:jc w:val="center"/>
                    <w:rPr>
                      <w:rFonts w:ascii="仿宋" w:hAnsi="仿宋" w:eastAsia="仿宋"/>
                      <w:sz w:val="36"/>
                      <w:szCs w:val="36"/>
                    </w:rPr>
                  </w:pPr>
                  <w:r>
                    <w:rPr>
                      <w:rFonts w:hint="eastAsia" w:ascii="仿宋" w:hAnsi="仿宋" w:eastAsia="仿宋"/>
                      <w:sz w:val="36"/>
                      <w:szCs w:val="36"/>
                    </w:rPr>
                    <w:t>法定代表人（或负责人）</w:t>
                  </w:r>
                </w:p>
                <w:p>
                  <w:pPr>
                    <w:jc w:val="center"/>
                    <w:rPr>
                      <w:rFonts w:ascii="仿宋" w:hAnsi="仿宋" w:eastAsia="仿宋"/>
                      <w:sz w:val="36"/>
                      <w:szCs w:val="36"/>
                    </w:rPr>
                  </w:pPr>
                  <w:r>
                    <w:rPr>
                      <w:rFonts w:hint="eastAsia" w:ascii="仿宋" w:hAnsi="仿宋" w:eastAsia="仿宋"/>
                      <w:sz w:val="36"/>
                      <w:szCs w:val="36"/>
                    </w:rPr>
                    <w:t>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cs="仿宋"/>
          <w:color w:val="auto"/>
          <w:szCs w:val="21"/>
          <w:highlight w:val="none"/>
        </w:rPr>
        <w:pict>
          <v:shape id="文本框 3" o:spid="_x0000_s1031" o:spt="202" type="#_x0000_t202" style="position:absolute;left:0pt;margin-left:249pt;margin-top:12.8pt;height:151.1pt;width:254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p/>
                <w:p>
                  <w:pPr>
                    <w:jc w:val="center"/>
                    <w:rPr>
                      <w:rFonts w:ascii="仿宋" w:hAnsi="仿宋" w:eastAsia="仿宋"/>
                      <w:sz w:val="36"/>
                      <w:szCs w:val="36"/>
                    </w:rPr>
                  </w:pPr>
                  <w:r>
                    <w:rPr>
                      <w:rFonts w:hint="eastAsia" w:ascii="仿宋" w:hAnsi="仿宋" w:eastAsia="仿宋"/>
                      <w:sz w:val="36"/>
                      <w:szCs w:val="36"/>
                    </w:rPr>
                    <w:t>法定代表人（或负责人）</w:t>
                  </w:r>
                </w:p>
                <w:p>
                  <w:pPr>
                    <w:jc w:val="center"/>
                    <w:rPr>
                      <w:rFonts w:ascii="仿宋" w:hAnsi="仿宋" w:eastAsia="仿宋"/>
                      <w:sz w:val="36"/>
                      <w:szCs w:val="36"/>
                    </w:rPr>
                  </w:pPr>
                  <w:r>
                    <w:rPr>
                      <w:rFonts w:hint="eastAsia" w:ascii="仿宋" w:hAnsi="仿宋" w:eastAsia="仿宋"/>
                      <w:sz w:val="36"/>
                      <w:szCs w:val="36"/>
                    </w:rPr>
                    <w:t>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cs="仿宋"/>
          <w:color w:val="auto"/>
          <w:szCs w:val="21"/>
          <w:highlight w:val="none"/>
        </w:rPr>
      </w:pPr>
    </w:p>
    <w:p>
      <w:pPr>
        <w:shd w:val="clear" w:color="auto" w:fill="FFFFFF"/>
        <w:spacing w:line="440" w:lineRule="exact"/>
        <w:rPr>
          <w:rFonts w:ascii="仿宋" w:hAnsi="仿宋" w:eastAsia="仿宋" w:cs="仿宋"/>
          <w:color w:val="auto"/>
          <w:szCs w:val="21"/>
          <w:highlight w:val="none"/>
        </w:rPr>
      </w:pPr>
    </w:p>
    <w:p>
      <w:pPr>
        <w:shd w:val="clear" w:color="auto" w:fill="FFFFFF"/>
        <w:spacing w:line="440" w:lineRule="exact"/>
        <w:rPr>
          <w:rFonts w:ascii="仿宋" w:hAnsi="仿宋" w:eastAsia="仿宋" w:cs="仿宋"/>
          <w:color w:val="auto"/>
          <w:szCs w:val="21"/>
          <w:highlight w:val="none"/>
        </w:rPr>
      </w:pPr>
    </w:p>
    <w:p>
      <w:pPr>
        <w:shd w:val="clear" w:color="auto" w:fill="FFFFFF"/>
        <w:spacing w:line="440" w:lineRule="exact"/>
        <w:rPr>
          <w:rFonts w:ascii="仿宋" w:hAnsi="仿宋" w:eastAsia="仿宋" w:cs="仿宋"/>
          <w:color w:val="auto"/>
          <w:szCs w:val="21"/>
          <w:highlight w:val="none"/>
        </w:rPr>
      </w:pPr>
    </w:p>
    <w:p>
      <w:pPr>
        <w:shd w:val="clear" w:color="auto" w:fill="FFFFFF"/>
        <w:spacing w:line="440" w:lineRule="exact"/>
        <w:rPr>
          <w:rFonts w:ascii="仿宋" w:hAnsi="仿宋" w:eastAsia="仿宋" w:cs="仿宋"/>
          <w:color w:val="auto"/>
          <w:szCs w:val="21"/>
          <w:highlight w:val="none"/>
        </w:rPr>
      </w:pPr>
    </w:p>
    <w:p>
      <w:pPr>
        <w:shd w:val="clear" w:color="auto" w:fill="FFFFFF"/>
        <w:spacing w:line="440" w:lineRule="exact"/>
        <w:rPr>
          <w:rFonts w:ascii="仿宋" w:hAnsi="仿宋" w:eastAsia="仿宋" w:cs="仿宋"/>
          <w:color w:val="auto"/>
          <w:szCs w:val="21"/>
          <w:highlight w:val="none"/>
        </w:rPr>
      </w:pPr>
    </w:p>
    <w:p>
      <w:pPr>
        <w:shd w:val="clear" w:color="auto" w:fill="FFFFFF"/>
        <w:spacing w:line="440" w:lineRule="exact"/>
        <w:rPr>
          <w:rFonts w:ascii="仿宋" w:hAnsi="仿宋" w:eastAsia="仿宋" w:cs="仿宋"/>
          <w:color w:val="auto"/>
          <w:szCs w:val="21"/>
          <w:highlight w:val="none"/>
        </w:rPr>
      </w:pP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p>
    <w:p>
      <w:pPr>
        <w:pStyle w:val="304"/>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（签字或签章）：</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hd w:val="clear" w:color="auto" w:fill="FFFFFF"/>
        <w:spacing w:line="500" w:lineRule="exact"/>
        <w:rPr>
          <w:rFonts w:ascii="仿宋" w:hAnsi="仿宋" w:eastAsia="仿宋" w:cs="仿宋"/>
          <w:b/>
          <w:bCs/>
          <w:color w:val="auto"/>
          <w:szCs w:val="21"/>
          <w:highlight w:val="none"/>
        </w:rPr>
      </w:pPr>
    </w:p>
    <w:p>
      <w:pPr>
        <w:shd w:val="clear" w:color="auto" w:fill="FFFFFF"/>
        <w:spacing w:line="440" w:lineRule="exact"/>
        <w:rPr>
          <w:rFonts w:ascii="仿宋" w:hAnsi="仿宋" w:eastAsia="仿宋" w:cs="仿宋"/>
          <w:bCs/>
          <w:color w:val="auto"/>
          <w:sz w:val="24"/>
          <w:highlight w:val="none"/>
        </w:rPr>
      </w:pPr>
      <w:r>
        <w:rPr>
          <w:rFonts w:hint="eastAsia" w:ascii="仿宋" w:hAnsi="仿宋" w:eastAsia="仿宋" w:cs="仿宋"/>
          <w:b/>
          <w:bCs/>
          <w:color w:val="auto"/>
          <w:sz w:val="18"/>
          <w:szCs w:val="18"/>
          <w:highlight w:val="none"/>
        </w:rPr>
        <w:br w:type="page"/>
      </w:r>
    </w:p>
    <w:p>
      <w:pPr>
        <w:shd w:val="clear" w:color="auto" w:fill="FFFFFF"/>
        <w:spacing w:line="44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法定代表人（或负责人）授权委托书</w:t>
      </w:r>
    </w:p>
    <w:p>
      <w:pPr>
        <w:shd w:val="clear" w:color="auto" w:fill="FFFFFF"/>
        <w:spacing w:line="440" w:lineRule="exact"/>
        <w:jc w:val="center"/>
        <w:rPr>
          <w:rFonts w:ascii="仿宋" w:hAnsi="仿宋" w:eastAsia="仿宋" w:cs="仿宋"/>
          <w:b/>
          <w:bCs/>
          <w:color w:val="auto"/>
          <w:sz w:val="24"/>
          <w:highlight w:val="none"/>
        </w:rPr>
      </w:pPr>
    </w:p>
    <w:p>
      <w:pPr>
        <w:shd w:val="clear" w:color="auto" w:fill="FFFFFF"/>
        <w:spacing w:line="440" w:lineRule="exact"/>
        <w:ind w:firstLine="453" w:firstLineChars="189"/>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本授权委托书声明：我系</w:t>
      </w:r>
      <w:r>
        <w:rPr>
          <w:rFonts w:hint="eastAsia" w:ascii="仿宋" w:hAnsi="仿宋" w:eastAsia="仿宋" w:cs="仿宋"/>
          <w:bCs/>
          <w:color w:val="auto"/>
          <w:sz w:val="24"/>
          <w:highlight w:val="none"/>
          <w:u w:val="single"/>
        </w:rPr>
        <w:t xml:space="preserve">  （供应商名称）  </w:t>
      </w:r>
      <w:r>
        <w:rPr>
          <w:rFonts w:hint="eastAsia" w:ascii="仿宋" w:hAnsi="仿宋" w:eastAsia="仿宋" w:cs="仿宋"/>
          <w:bCs/>
          <w:color w:val="auto"/>
          <w:sz w:val="24"/>
          <w:highlight w:val="none"/>
        </w:rPr>
        <w:t>的</w:t>
      </w: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bCs/>
          <w:color w:val="auto"/>
          <w:sz w:val="24"/>
          <w:highlight w:val="none"/>
        </w:rPr>
        <w:t>，现授权委托</w:t>
      </w:r>
      <w:r>
        <w:rPr>
          <w:rFonts w:hint="eastAsia" w:ascii="仿宋" w:hAnsi="仿宋" w:eastAsia="仿宋" w:cs="仿宋"/>
          <w:bCs/>
          <w:color w:val="auto"/>
          <w:sz w:val="24"/>
          <w:highlight w:val="none"/>
          <w:u w:val="single"/>
        </w:rPr>
        <w:t xml:space="preserve">   （供应商名称） </w:t>
      </w:r>
      <w:r>
        <w:rPr>
          <w:rFonts w:hint="eastAsia" w:ascii="仿宋" w:hAnsi="仿宋" w:eastAsia="仿宋" w:cs="仿宋"/>
          <w:bCs/>
          <w:color w:val="auto"/>
          <w:sz w:val="24"/>
          <w:highlight w:val="none"/>
        </w:rPr>
        <w:t>的</w:t>
      </w:r>
      <w:r>
        <w:rPr>
          <w:rFonts w:hint="eastAsia" w:ascii="仿宋" w:hAnsi="仿宋" w:eastAsia="仿宋" w:cs="仿宋"/>
          <w:bCs/>
          <w:color w:val="auto"/>
          <w:sz w:val="24"/>
          <w:highlight w:val="none"/>
          <w:u w:val="single"/>
        </w:rPr>
        <w:t xml:space="preserve"> （授权代表姓名） </w:t>
      </w:r>
      <w:r>
        <w:rPr>
          <w:rFonts w:hint="eastAsia" w:ascii="仿宋" w:hAnsi="仿宋" w:eastAsia="仿宋" w:cs="仿宋"/>
          <w:bCs/>
          <w:color w:val="auto"/>
          <w:sz w:val="24"/>
          <w:highlight w:val="none"/>
        </w:rPr>
        <w:t xml:space="preserve"> 为我的代理人，以</w:t>
      </w:r>
      <w:r>
        <w:rPr>
          <w:rFonts w:hint="eastAsia" w:ascii="仿宋" w:hAnsi="仿宋" w:eastAsia="仿宋" w:cs="仿宋"/>
          <w:bCs/>
          <w:color w:val="auto"/>
          <w:sz w:val="24"/>
          <w:highlight w:val="none"/>
          <w:u w:val="single"/>
        </w:rPr>
        <w:t>（供应商名称）</w:t>
      </w:r>
      <w:r>
        <w:rPr>
          <w:rFonts w:hint="eastAsia" w:ascii="仿宋" w:hAnsi="仿宋" w:eastAsia="仿宋" w:cs="仿宋"/>
          <w:bCs/>
          <w:color w:val="auto"/>
          <w:sz w:val="24"/>
          <w:highlight w:val="none"/>
        </w:rPr>
        <w:t>的名义参加</w:t>
      </w:r>
      <w:r>
        <w:rPr>
          <w:rFonts w:hint="eastAsia" w:ascii="仿宋" w:hAnsi="仿宋" w:eastAsia="仿宋" w:cs="仿宋"/>
          <w:bCs/>
          <w:color w:val="auto"/>
          <w:sz w:val="24"/>
          <w:highlight w:val="none"/>
          <w:u w:val="single"/>
        </w:rPr>
        <w:t>（项目名称和项目编号）</w:t>
      </w:r>
      <w:r>
        <w:rPr>
          <w:rFonts w:hint="eastAsia" w:ascii="仿宋" w:hAnsi="仿宋" w:eastAsia="仿宋" w:cs="仿宋"/>
          <w:bCs/>
          <w:color w:val="auto"/>
          <w:sz w:val="24"/>
          <w:highlight w:val="none"/>
        </w:rPr>
        <w:t>招标项目的投标活动。代理人在参加整个招标投标活动所签署的一切文件和处理与之相关的一切事物，我均予承认。</w:t>
      </w:r>
    </w:p>
    <w:p>
      <w:pPr>
        <w:shd w:val="clear" w:color="auto" w:fill="FFFFFF"/>
        <w:spacing w:line="440" w:lineRule="exact"/>
        <w:ind w:firstLine="480" w:firstLineChars="200"/>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代理人：   性别：  年龄：</w:t>
      </w:r>
    </w:p>
    <w:p>
      <w:pPr>
        <w:shd w:val="clear" w:color="auto" w:fill="FFFFFF"/>
        <w:spacing w:line="44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部  门：   职务：  </w:t>
      </w:r>
      <w:r>
        <w:rPr>
          <w:rFonts w:hint="eastAsia" w:ascii="仿宋" w:hAnsi="仿宋" w:eastAsia="仿宋" w:cs="仿宋"/>
          <w:color w:val="auto"/>
          <w:sz w:val="24"/>
          <w:highlight w:val="none"/>
        </w:rPr>
        <w:t>电话号码：</w:t>
      </w:r>
    </w:p>
    <w:p>
      <w:pPr>
        <w:shd w:val="clear" w:color="auto" w:fill="FFFFFF"/>
        <w:spacing w:line="440" w:lineRule="exact"/>
        <w:ind w:firstLine="480" w:firstLineChars="200"/>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代理期限：</w:t>
      </w:r>
    </w:p>
    <w:p>
      <w:pPr>
        <w:shd w:val="clear" w:color="auto" w:fill="FFFFFF"/>
        <w:spacing w:line="440" w:lineRule="exact"/>
        <w:rPr>
          <w:rFonts w:ascii="仿宋" w:hAnsi="仿宋" w:eastAsia="仿宋" w:cs="仿宋"/>
          <w:bCs/>
          <w:color w:val="auto"/>
          <w:szCs w:val="21"/>
          <w:highlight w:val="none"/>
        </w:rPr>
      </w:pPr>
      <w:r>
        <w:rPr>
          <w:rFonts w:ascii="仿宋" w:hAnsi="仿宋" w:eastAsia="仿宋" w:cs="仿宋"/>
          <w:bCs/>
          <w:color w:val="auto"/>
          <w:szCs w:val="21"/>
          <w:highlight w:val="none"/>
        </w:rPr>
        <w:pict>
          <v:shape id="文本框 2" o:spid="_x0000_s1032" o:spt="202" type="#_x0000_t202" style="position:absolute;left:0pt;margin-left:-7.3pt;margin-top:9.65pt;height:149.25pt;width:23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cs="仿宋"/>
          <w:bCs/>
          <w:color w:val="auto"/>
          <w:szCs w:val="21"/>
          <w:highlight w:val="none"/>
        </w:rPr>
        <w:pict>
          <v:shape id="文本框 1" o:spid="_x0000_s1033" o:spt="202" type="#_x0000_t202" style="position:absolute;left:0pt;margin-left:244.7pt;margin-top:9.65pt;height:149.25pt;width:23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cs="仿宋"/>
          <w:bCs/>
          <w:color w:val="auto"/>
          <w:szCs w:val="21"/>
          <w:highlight w:val="none"/>
        </w:rPr>
      </w:pPr>
    </w:p>
    <w:p>
      <w:pPr>
        <w:shd w:val="clear" w:color="auto" w:fill="FFFFFF"/>
        <w:spacing w:line="440" w:lineRule="exact"/>
        <w:rPr>
          <w:rFonts w:ascii="仿宋" w:hAnsi="仿宋" w:eastAsia="仿宋" w:cs="仿宋"/>
          <w:bCs/>
          <w:color w:val="auto"/>
          <w:szCs w:val="21"/>
          <w:highlight w:val="none"/>
        </w:rPr>
      </w:pPr>
    </w:p>
    <w:p>
      <w:pPr>
        <w:shd w:val="clear" w:color="auto" w:fill="FFFFFF"/>
        <w:spacing w:line="440" w:lineRule="exact"/>
        <w:rPr>
          <w:rFonts w:ascii="仿宋" w:hAnsi="仿宋" w:eastAsia="仿宋" w:cs="仿宋"/>
          <w:bCs/>
          <w:color w:val="auto"/>
          <w:szCs w:val="21"/>
          <w:highlight w:val="none"/>
        </w:rPr>
      </w:pPr>
    </w:p>
    <w:p>
      <w:pPr>
        <w:shd w:val="clear" w:color="auto" w:fill="FFFFFF"/>
        <w:spacing w:line="440" w:lineRule="exact"/>
        <w:rPr>
          <w:rFonts w:ascii="仿宋" w:hAnsi="仿宋" w:eastAsia="仿宋" w:cs="仿宋"/>
          <w:bCs/>
          <w:color w:val="auto"/>
          <w:szCs w:val="21"/>
          <w:highlight w:val="none"/>
        </w:rPr>
      </w:pPr>
    </w:p>
    <w:p>
      <w:pPr>
        <w:shd w:val="clear" w:color="auto" w:fill="FFFFFF"/>
        <w:spacing w:line="440" w:lineRule="exact"/>
        <w:rPr>
          <w:rFonts w:ascii="仿宋" w:hAnsi="仿宋" w:eastAsia="仿宋" w:cs="仿宋"/>
          <w:bCs/>
          <w:color w:val="auto"/>
          <w:szCs w:val="21"/>
          <w:highlight w:val="none"/>
        </w:rPr>
      </w:pPr>
    </w:p>
    <w:p>
      <w:pPr>
        <w:shd w:val="clear" w:color="auto" w:fill="FFFFFF"/>
        <w:spacing w:line="440" w:lineRule="exact"/>
        <w:rPr>
          <w:rFonts w:ascii="仿宋" w:hAnsi="仿宋" w:eastAsia="仿宋" w:cs="仿宋"/>
          <w:bCs/>
          <w:color w:val="auto"/>
          <w:szCs w:val="21"/>
          <w:highlight w:val="none"/>
        </w:rPr>
      </w:pPr>
    </w:p>
    <w:p>
      <w:pPr>
        <w:pStyle w:val="304"/>
        <w:shd w:val="clear" w:color="auto" w:fill="FFFFFF"/>
        <w:snapToGrid w:val="0"/>
        <w:spacing w:line="440" w:lineRule="exact"/>
        <w:ind w:firstLine="210"/>
        <w:rPr>
          <w:rFonts w:ascii="仿宋" w:hAnsi="仿宋" w:eastAsia="仿宋" w:cs="仿宋"/>
          <w:color w:val="auto"/>
          <w:sz w:val="21"/>
          <w:szCs w:val="21"/>
          <w:highlight w:val="none"/>
        </w:rPr>
      </w:pPr>
    </w:p>
    <w:p>
      <w:pPr>
        <w:pStyle w:val="304"/>
        <w:shd w:val="clear" w:color="auto" w:fill="FFFFFF"/>
        <w:snapToGrid w:val="0"/>
        <w:spacing w:line="440" w:lineRule="exact"/>
        <w:ind w:firstLine="210"/>
        <w:rPr>
          <w:rFonts w:ascii="仿宋" w:hAnsi="仿宋" w:eastAsia="仿宋" w:cs="仿宋"/>
          <w:color w:val="auto"/>
          <w:sz w:val="21"/>
          <w:szCs w:val="21"/>
          <w:highlight w:val="none"/>
        </w:rPr>
      </w:pPr>
    </w:p>
    <w:p>
      <w:pPr>
        <w:pStyle w:val="304"/>
        <w:shd w:val="clear" w:color="auto" w:fill="FFFFFF"/>
        <w:snapToGrid w:val="0"/>
        <w:spacing w:line="440" w:lineRule="exact"/>
        <w:ind w:firstLine="210"/>
        <w:rPr>
          <w:rFonts w:ascii="仿宋" w:hAnsi="仿宋" w:eastAsia="仿宋" w:cs="仿宋"/>
          <w:color w:val="auto"/>
          <w:sz w:val="21"/>
          <w:szCs w:val="21"/>
          <w:highlight w:val="none"/>
        </w:rPr>
      </w:pPr>
    </w:p>
    <w:p>
      <w:pPr>
        <w:pStyle w:val="304"/>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（签字或签章）：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pPr>
        <w:widowControl/>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widowControl/>
        <w:spacing w:line="440" w:lineRule="exact"/>
        <w:jc w:val="left"/>
        <w:rPr>
          <w:rFonts w:ascii="仿宋" w:hAnsi="仿宋" w:eastAsia="仿宋" w:cs="仿宋"/>
          <w:color w:val="auto"/>
          <w:sz w:val="24"/>
          <w:highlight w:val="none"/>
        </w:rPr>
      </w:pPr>
    </w:p>
    <w:p>
      <w:pPr>
        <w:widowControl/>
        <w:spacing w:line="440" w:lineRule="exact"/>
        <w:jc w:val="left"/>
        <w:rPr>
          <w:rFonts w:ascii="仿宋" w:hAnsi="仿宋" w:eastAsia="仿宋" w:cs="仿宋"/>
          <w:color w:val="auto"/>
          <w:sz w:val="24"/>
          <w:highlight w:val="none"/>
        </w:rPr>
      </w:pPr>
    </w:p>
    <w:p>
      <w:pPr>
        <w:shd w:val="clear" w:color="auto" w:fill="FFFFFF"/>
        <w:spacing w:line="44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附件三  供应商2022年内任意三个月依法缴纳税收和缴纳社会保障资金证明资料</w:t>
      </w:r>
    </w:p>
    <w:p>
      <w:pPr>
        <w:widowControl/>
        <w:spacing w:line="440" w:lineRule="exact"/>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此处请附：①缴纳税收资料：提供税务机构出具的2022年内任意三个月的依法缴纳税收等证明材料（成立不满三个月的企业，应提供依法缴纳税收承诺书；依法免税的企业，应提供相关证明文件）。</w:t>
      </w:r>
    </w:p>
    <w:p>
      <w:pPr>
        <w:widowControl/>
        <w:spacing w:line="44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②缴纳社会保障资金资料：提供2022年内任意三个月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pPr>
        <w:widowControl/>
        <w:spacing w:line="440" w:lineRule="exact"/>
        <w:ind w:firstLine="1320" w:firstLineChars="550"/>
        <w:jc w:val="left"/>
        <w:rPr>
          <w:rFonts w:ascii="仿宋" w:hAnsi="仿宋" w:eastAsia="仿宋" w:cs="仿宋"/>
          <w:bCs/>
          <w:color w:val="auto"/>
          <w:sz w:val="24"/>
          <w:highlight w:val="none"/>
        </w:rPr>
      </w:pPr>
    </w:p>
    <w:p>
      <w:pPr>
        <w:widowControl/>
        <w:spacing w:line="440" w:lineRule="exact"/>
        <w:jc w:val="left"/>
        <w:rPr>
          <w:rFonts w:ascii="仿宋" w:hAnsi="仿宋" w:eastAsia="仿宋" w:cs="仿宋"/>
          <w:b/>
          <w:color w:val="auto"/>
          <w:kern w:val="0"/>
          <w:sz w:val="24"/>
          <w:szCs w:val="22"/>
          <w:highlight w:val="none"/>
        </w:rPr>
      </w:pP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附件四  供应商</w:t>
      </w:r>
      <w:r>
        <w:rPr>
          <w:rFonts w:hint="eastAsia" w:ascii="仿宋" w:hAnsi="仿宋" w:eastAsia="仿宋" w:cs="仿宋"/>
          <w:b/>
          <w:color w:val="auto"/>
          <w:kern w:val="0"/>
          <w:sz w:val="24"/>
          <w:szCs w:val="22"/>
          <w:highlight w:val="none"/>
        </w:rPr>
        <w:t>经审计的2021年度的财务报告复印件（供应商成立不满一年的不需提供）</w:t>
      </w:r>
    </w:p>
    <w:p>
      <w:pPr>
        <w:widowControl/>
        <w:spacing w:line="440" w:lineRule="exact"/>
        <w:jc w:val="left"/>
        <w:rPr>
          <w:rFonts w:ascii="仿宋" w:hAnsi="仿宋" w:eastAsia="仿宋" w:cs="仿宋"/>
          <w:b/>
          <w:color w:val="auto"/>
          <w:kern w:val="0"/>
          <w:sz w:val="24"/>
          <w:szCs w:val="22"/>
          <w:highlight w:val="none"/>
        </w:rPr>
      </w:pPr>
    </w:p>
    <w:p>
      <w:pPr>
        <w:shd w:val="clear" w:color="auto" w:fill="FFFFFF"/>
        <w:spacing w:line="44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附件五  供应商参加本次政府采购活动前3年内在经营活动中没有重大违法记录的书面声明</w:t>
      </w:r>
    </w:p>
    <w:p>
      <w:pPr>
        <w:shd w:val="clear" w:color="auto" w:fill="FFFFFF"/>
        <w:spacing w:beforeLines="100" w:afterLines="100" w:line="44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无重大违法记录声明书</w:t>
      </w:r>
    </w:p>
    <w:p>
      <w:pPr>
        <w:shd w:val="clear" w:color="auto" w:fill="FFFFFF"/>
        <w:tabs>
          <w:tab w:val="left" w:pos="996"/>
        </w:tabs>
        <w:spacing w:line="440" w:lineRule="exact"/>
        <w:rPr>
          <w:rFonts w:ascii="仿宋" w:hAnsi="仿宋" w:eastAsia="仿宋" w:cs="仿宋"/>
          <w:color w:val="auto"/>
          <w:sz w:val="24"/>
          <w:highlight w:val="none"/>
        </w:rPr>
      </w:pPr>
    </w:p>
    <w:p>
      <w:pPr>
        <w:shd w:val="clear" w:color="auto" w:fill="FFFFFF"/>
        <w:tabs>
          <w:tab w:val="left" w:pos="996"/>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致：（采购人）</w:t>
      </w:r>
    </w:p>
    <w:p>
      <w:pPr>
        <w:shd w:val="clear" w:color="auto" w:fill="FFFFFF"/>
        <w:tabs>
          <w:tab w:val="left" w:pos="996"/>
        </w:tabs>
        <w:spacing w:line="440" w:lineRule="exact"/>
        <w:rPr>
          <w:rFonts w:ascii="仿宋" w:hAnsi="仿宋" w:eastAsia="仿宋" w:cs="仿宋"/>
          <w:color w:val="auto"/>
          <w:sz w:val="24"/>
          <w:highlight w:val="none"/>
        </w:rPr>
      </w:pPr>
    </w:p>
    <w:p>
      <w:pPr>
        <w:shd w:val="clear" w:color="auto" w:fill="FFFFFF"/>
        <w:tabs>
          <w:tab w:val="left" w:pos="996"/>
        </w:tabs>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（项目名称、项目编号）</w:t>
      </w:r>
      <w:r>
        <w:rPr>
          <w:rFonts w:hint="eastAsia" w:ascii="仿宋" w:hAnsi="仿宋" w:eastAsia="仿宋" w:cs="仿宋"/>
          <w:color w:val="auto"/>
          <w:sz w:val="24"/>
          <w:highlight w:val="none"/>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特此声明  </w:t>
      </w:r>
    </w:p>
    <w:p>
      <w:pPr>
        <w:shd w:val="clear" w:color="auto" w:fill="FFFFFF"/>
        <w:tabs>
          <w:tab w:val="left" w:pos="996"/>
        </w:tabs>
        <w:spacing w:line="440" w:lineRule="exact"/>
        <w:rPr>
          <w:rFonts w:ascii="仿宋" w:hAnsi="仿宋" w:eastAsia="仿宋" w:cs="仿宋"/>
          <w:color w:val="auto"/>
          <w:sz w:val="24"/>
          <w:highlight w:val="none"/>
        </w:rPr>
      </w:pPr>
    </w:p>
    <w:p>
      <w:pPr>
        <w:shd w:val="clear" w:color="auto" w:fill="FFFFFF"/>
        <w:tabs>
          <w:tab w:val="left" w:pos="996"/>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p>
    <w:p>
      <w:pPr>
        <w:shd w:val="clear" w:color="auto" w:fill="FFFFFF"/>
        <w:tabs>
          <w:tab w:val="left" w:pos="996"/>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pPr>
        <w:shd w:val="clear" w:color="auto" w:fill="FFFFFF"/>
        <w:tabs>
          <w:tab w:val="left" w:pos="996"/>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pPr>
        <w:shd w:val="clear" w:color="auto" w:fill="FFFFFF"/>
        <w:tabs>
          <w:tab w:val="left" w:pos="996"/>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日期：年月日</w:t>
      </w:r>
    </w:p>
    <w:p>
      <w:pPr>
        <w:shd w:val="clear" w:color="auto" w:fill="FFFFFF"/>
        <w:tabs>
          <w:tab w:val="left" w:pos="996"/>
        </w:tabs>
        <w:spacing w:line="440" w:lineRule="exact"/>
        <w:rPr>
          <w:rFonts w:ascii="仿宋" w:hAnsi="仿宋" w:eastAsia="仿宋" w:cs="仿宋"/>
          <w:color w:val="auto"/>
          <w:sz w:val="24"/>
          <w:highlight w:val="none"/>
        </w:rPr>
      </w:pPr>
    </w:p>
    <w:p>
      <w:pPr>
        <w:widowControl/>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注：[近三年：指成立三年以上的，为提交首次响应文件截止时间前三年内；成立不足三年的，为实际时间。]</w:t>
      </w:r>
    </w:p>
    <w:p>
      <w:pPr>
        <w:widowControl/>
        <w:spacing w:line="440" w:lineRule="exact"/>
        <w:jc w:val="left"/>
        <w:rPr>
          <w:rFonts w:ascii="仿宋" w:hAnsi="仿宋" w:eastAsia="仿宋" w:cs="仿宋"/>
          <w:color w:val="auto"/>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jc w:val="left"/>
        <w:rPr>
          <w:rFonts w:ascii="仿宋" w:hAnsi="仿宋" w:eastAsia="仿宋" w:cs="仿宋"/>
          <w:b/>
          <w:bCs/>
          <w:color w:val="auto"/>
          <w:kern w:val="0"/>
          <w:sz w:val="24"/>
          <w:highlight w:val="none"/>
        </w:rPr>
      </w:pPr>
    </w:p>
    <w:p>
      <w:pPr>
        <w:shd w:val="clear" w:color="auto" w:fill="FFFFFF"/>
        <w:spacing w:line="44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附件六  磋商保证金缴纳凭证</w:t>
      </w:r>
    </w:p>
    <w:p>
      <w:pPr>
        <w:spacing w:line="46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此处请附： ①磋商保证金打款凭证</w:t>
      </w:r>
    </w:p>
    <w:p>
      <w:pPr>
        <w:spacing w:line="460" w:lineRule="exact"/>
        <w:ind w:firstLine="1320" w:firstLineChars="550"/>
        <w:rPr>
          <w:rFonts w:ascii="仿宋" w:hAnsi="仿宋" w:eastAsia="仿宋" w:cs="仿宋"/>
          <w:color w:val="auto"/>
          <w:kern w:val="0"/>
          <w:sz w:val="24"/>
          <w:highlight w:val="none"/>
        </w:rPr>
      </w:pPr>
    </w:p>
    <w:p>
      <w:pPr>
        <w:spacing w:line="460" w:lineRule="exact"/>
        <w:ind w:firstLine="1320" w:firstLineChars="550"/>
        <w:rPr>
          <w:rFonts w:ascii="仿宋" w:hAnsi="仿宋" w:eastAsia="仿宋" w:cs="仿宋"/>
          <w:color w:val="auto"/>
          <w:kern w:val="0"/>
          <w:sz w:val="24"/>
          <w:highlight w:val="none"/>
        </w:rPr>
      </w:pPr>
    </w:p>
    <w:p>
      <w:pPr>
        <w:spacing w:line="460" w:lineRule="exact"/>
        <w:ind w:firstLine="1320" w:firstLineChars="550"/>
        <w:rPr>
          <w:rFonts w:ascii="仿宋" w:hAnsi="仿宋" w:eastAsia="仿宋" w:cs="仿宋"/>
          <w:color w:val="auto"/>
          <w:kern w:val="0"/>
          <w:sz w:val="24"/>
          <w:highlight w:val="none"/>
        </w:rPr>
      </w:pPr>
    </w:p>
    <w:p>
      <w:pPr>
        <w:spacing w:line="460" w:lineRule="exact"/>
        <w:ind w:firstLine="1320" w:firstLineChars="550"/>
        <w:rPr>
          <w:rFonts w:ascii="仿宋" w:hAnsi="仿宋" w:eastAsia="仿宋" w:cs="仿宋"/>
          <w:color w:val="auto"/>
          <w:kern w:val="0"/>
          <w:sz w:val="24"/>
          <w:highlight w:val="none"/>
        </w:rPr>
      </w:pPr>
    </w:p>
    <w:p>
      <w:pPr>
        <w:spacing w:line="460" w:lineRule="exact"/>
        <w:ind w:firstLine="1320" w:firstLineChars="550"/>
        <w:rPr>
          <w:rFonts w:ascii="仿宋" w:hAnsi="仿宋" w:eastAsia="仿宋" w:cs="仿宋"/>
          <w:color w:val="auto"/>
          <w:kern w:val="0"/>
          <w:sz w:val="24"/>
          <w:highlight w:val="none"/>
        </w:rPr>
      </w:pPr>
    </w:p>
    <w:p>
      <w:pPr>
        <w:pStyle w:val="57"/>
        <w:ind w:firstLine="210"/>
        <w:rPr>
          <w:rFonts w:ascii="仿宋" w:hAnsi="仿宋" w:eastAsia="仿宋" w:cs="仿宋"/>
          <w:color w:val="auto"/>
          <w:highlight w:val="none"/>
        </w:rPr>
      </w:pPr>
    </w:p>
    <w:p>
      <w:pPr>
        <w:pStyle w:val="57"/>
        <w:ind w:firstLine="0" w:firstLineChars="0"/>
        <w:rPr>
          <w:rFonts w:ascii="仿宋" w:hAnsi="仿宋" w:eastAsia="仿宋" w:cs="仿宋"/>
          <w:color w:val="auto"/>
          <w:highlight w:val="none"/>
        </w:rPr>
      </w:pPr>
    </w:p>
    <w:p>
      <w:pPr>
        <w:spacing w:line="460" w:lineRule="exact"/>
        <w:ind w:firstLine="1320" w:firstLineChars="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②供应商缴纳保证金的账户信息（作退保证金使用，</w:t>
      </w:r>
      <w:r>
        <w:rPr>
          <w:rFonts w:hint="eastAsia" w:ascii="仿宋" w:hAnsi="仿宋" w:eastAsia="仿宋" w:cs="仿宋"/>
          <w:color w:val="auto"/>
          <w:sz w:val="24"/>
          <w:highlight w:val="none"/>
        </w:rPr>
        <w:t>请供应商务必按以下信息提供并对其真实准确性负责，以便代理机构及时退还保证金，</w:t>
      </w:r>
      <w:r>
        <w:rPr>
          <w:rFonts w:hint="eastAsia" w:ascii="仿宋" w:hAnsi="仿宋" w:eastAsia="仿宋" w:cs="仿宋"/>
          <w:color w:val="auto"/>
          <w:kern w:val="0"/>
          <w:sz w:val="24"/>
          <w:highlight w:val="none"/>
        </w:rPr>
        <w:t>）</w:t>
      </w:r>
    </w:p>
    <w:p>
      <w:pPr>
        <w:spacing w:line="460" w:lineRule="exact"/>
        <w:ind w:firstLine="1320" w:firstLineChars="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账户名称：</w:t>
      </w:r>
    </w:p>
    <w:p>
      <w:pPr>
        <w:spacing w:line="460" w:lineRule="exact"/>
        <w:ind w:firstLine="1320" w:firstLineChars="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开户行名称：</w:t>
      </w:r>
    </w:p>
    <w:p>
      <w:pPr>
        <w:spacing w:line="460" w:lineRule="exact"/>
        <w:ind w:firstLine="1320" w:firstLineChars="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银行账号：</w:t>
      </w:r>
    </w:p>
    <w:p>
      <w:pPr>
        <w:widowControl/>
        <w:spacing w:line="440" w:lineRule="exact"/>
        <w:ind w:firstLine="1320" w:firstLineChars="550"/>
        <w:jc w:val="left"/>
        <w:rPr>
          <w:rFonts w:ascii="仿宋" w:hAnsi="仿宋" w:eastAsia="仿宋" w:cs="仿宋"/>
          <w:bCs/>
          <w:color w:val="auto"/>
          <w:sz w:val="24"/>
          <w:highlight w:val="none"/>
        </w:rPr>
      </w:pPr>
      <w:r>
        <w:rPr>
          <w:rFonts w:hint="eastAsia" w:ascii="仿宋" w:hAnsi="仿宋" w:eastAsia="仿宋" w:cs="仿宋"/>
          <w:color w:val="auto"/>
          <w:kern w:val="0"/>
          <w:sz w:val="24"/>
          <w:highlight w:val="none"/>
        </w:rPr>
        <w:t>银行行号：</w:t>
      </w:r>
    </w:p>
    <w:p>
      <w:pPr>
        <w:shd w:val="clear" w:color="auto" w:fill="FFFFFF"/>
        <w:spacing w:line="440" w:lineRule="exact"/>
        <w:jc w:val="left"/>
        <w:rPr>
          <w:rFonts w:ascii="仿宋" w:hAnsi="仿宋" w:eastAsia="仿宋" w:cs="仿宋"/>
          <w:b/>
          <w:bCs/>
          <w:color w:val="auto"/>
          <w:kern w:val="0"/>
          <w:sz w:val="24"/>
          <w:highlight w:val="none"/>
        </w:rPr>
      </w:pPr>
    </w:p>
    <w:p>
      <w:pP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pPr>
        <w:pStyle w:val="57"/>
        <w:ind w:firstLine="0" w:firstLineChars="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附件七  中小企业声明函</w:t>
      </w:r>
    </w:p>
    <w:p>
      <w:pPr>
        <w:pStyle w:val="57"/>
        <w:ind w:firstLine="0" w:firstLineChars="0"/>
        <w:rPr>
          <w:rFonts w:ascii="仿宋" w:hAnsi="仿宋" w:eastAsia="仿宋" w:cs="仿宋"/>
          <w:b/>
          <w:bCs/>
          <w:color w:val="auto"/>
          <w:kern w:val="0"/>
          <w:sz w:val="24"/>
          <w:highlight w:val="none"/>
        </w:rPr>
      </w:pPr>
    </w:p>
    <w:p>
      <w:pPr>
        <w:shd w:val="clear" w:color="auto" w:fill="FFFFFF"/>
        <w:spacing w:line="44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中小企业声明函</w:t>
      </w:r>
    </w:p>
    <w:p>
      <w:pPr>
        <w:widowControl/>
        <w:jc w:val="left"/>
        <w:rPr>
          <w:rFonts w:ascii="仿宋" w:hAnsi="仿宋" w:eastAsia="仿宋" w:cs="仿宋"/>
          <w:color w:val="auto"/>
          <w:sz w:val="24"/>
          <w:highlight w:val="none"/>
        </w:rPr>
      </w:pPr>
    </w:p>
    <w:p>
      <w:pPr>
        <w:widowControl/>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采购活动，提供的货物全部由符合政策要求的中小企业制造。相关企业（含联合体中的中小企业、签订分包意向协议的中小企业） 的具体情况如下：</w:t>
      </w:r>
    </w:p>
    <w:p>
      <w:pPr>
        <w:widowControl/>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u w:val="single"/>
        </w:rPr>
        <w:t xml:space="preserve">（ 标 的 名 称 ） </w:t>
      </w:r>
      <w:r>
        <w:rPr>
          <w:rFonts w:hint="eastAsia" w:ascii="仿宋" w:hAnsi="仿宋" w:eastAsia="仿宋" w:cs="仿宋"/>
          <w:color w:val="auto"/>
          <w:sz w:val="24"/>
          <w:highlight w:val="none"/>
        </w:rPr>
        <w:t xml:space="preserve">， 属 于 </w:t>
      </w:r>
      <w:r>
        <w:rPr>
          <w:rFonts w:hint="eastAsia" w:ascii="仿宋" w:hAnsi="仿宋" w:eastAsia="仿宋" w:cs="仿宋"/>
          <w:color w:val="auto"/>
          <w:sz w:val="24"/>
          <w:highlight w:val="none"/>
          <w:u w:val="single"/>
        </w:rPr>
        <w:t>（ 采 购 文 件 中 明 确 的 所 属 行 业 ）</w:t>
      </w:r>
      <w:r>
        <w:rPr>
          <w:rFonts w:hint="eastAsia" w:ascii="仿宋" w:hAnsi="仿宋" w:eastAsia="仿宋" w:cs="仿宋"/>
          <w:color w:val="auto"/>
          <w:sz w:val="24"/>
          <w:highlight w:val="none"/>
        </w:rPr>
        <w:t xml:space="preserve"> 行业；制造商为</w:t>
      </w:r>
      <w:r>
        <w:rPr>
          <w:rFonts w:hint="eastAsia" w:ascii="仿宋" w:hAnsi="仿宋" w:eastAsia="仿宋" w:cs="仿宋"/>
          <w:color w:val="auto"/>
          <w:sz w:val="24"/>
          <w:highlight w:val="none"/>
          <w:u w:val="single"/>
        </w:rPr>
        <w:t xml:space="preserve">（企业名称）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pPr>
        <w:widowControl/>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color w:val="auto"/>
          <w:sz w:val="24"/>
          <w:highlight w:val="none"/>
          <w:u w:val="single"/>
        </w:rPr>
        <w:t xml:space="preserve">（ 标 的 名 称 ） </w:t>
      </w:r>
      <w:r>
        <w:rPr>
          <w:rFonts w:hint="eastAsia" w:ascii="仿宋" w:hAnsi="仿宋" w:eastAsia="仿宋" w:cs="仿宋"/>
          <w:color w:val="auto"/>
          <w:sz w:val="24"/>
          <w:highlight w:val="none"/>
        </w:rPr>
        <w:t xml:space="preserve">， 属 于 </w:t>
      </w:r>
      <w:r>
        <w:rPr>
          <w:rFonts w:hint="eastAsia" w:ascii="仿宋" w:hAnsi="仿宋" w:eastAsia="仿宋" w:cs="仿宋"/>
          <w:color w:val="auto"/>
          <w:sz w:val="24"/>
          <w:highlight w:val="none"/>
          <w:u w:val="single"/>
        </w:rPr>
        <w:t>（ 采 购 文 件 中 明 确 的 所 属 行 业 ）</w:t>
      </w:r>
      <w:r>
        <w:rPr>
          <w:rFonts w:hint="eastAsia" w:ascii="仿宋" w:hAnsi="仿宋" w:eastAsia="仿宋" w:cs="仿宋"/>
          <w:color w:val="auto"/>
          <w:sz w:val="24"/>
          <w:highlight w:val="none"/>
        </w:rPr>
        <w:t xml:space="preserve"> 行业；制造商为</w:t>
      </w:r>
      <w:r>
        <w:rPr>
          <w:rFonts w:hint="eastAsia" w:ascii="仿宋" w:hAnsi="仿宋" w:eastAsia="仿宋" w:cs="仿宋"/>
          <w:color w:val="auto"/>
          <w:sz w:val="24"/>
          <w:highlight w:val="none"/>
          <w:u w:val="single"/>
        </w:rPr>
        <w:t xml:space="preserve">（企业名称）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pPr>
        <w:pStyle w:val="2"/>
        <w:rPr>
          <w:color w:val="auto"/>
          <w:highlight w:val="none"/>
        </w:rPr>
      </w:pPr>
    </w:p>
    <w:p>
      <w:pPr>
        <w:widowControl/>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w:t>
      </w:r>
    </w:p>
    <w:p>
      <w:pPr>
        <w:widowControl/>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widowControl/>
        <w:spacing w:line="3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widowControl/>
        <w:spacing w:line="360" w:lineRule="exact"/>
        <w:jc w:val="left"/>
        <w:rPr>
          <w:rFonts w:ascii="仿宋" w:hAnsi="仿宋" w:eastAsia="仿宋" w:cs="仿宋"/>
          <w:color w:val="auto"/>
          <w:sz w:val="24"/>
          <w:highlight w:val="none"/>
        </w:rPr>
      </w:pPr>
    </w:p>
    <w:p>
      <w:pPr>
        <w:widowControl/>
        <w:spacing w:line="360" w:lineRule="exact"/>
        <w:jc w:val="left"/>
        <w:rPr>
          <w:rFonts w:ascii="仿宋" w:hAnsi="仿宋" w:eastAsia="仿宋" w:cs="仿宋"/>
          <w:color w:val="auto"/>
          <w:sz w:val="24"/>
          <w:highlight w:val="none"/>
        </w:rPr>
      </w:pPr>
    </w:p>
    <w:p>
      <w:pPr>
        <w:widowControl/>
        <w:spacing w:line="360" w:lineRule="exact"/>
        <w:jc w:val="left"/>
        <w:rPr>
          <w:rFonts w:ascii="仿宋" w:hAnsi="仿宋" w:eastAsia="仿宋" w:cs="仿宋"/>
          <w:color w:val="auto"/>
          <w:sz w:val="24"/>
          <w:highlight w:val="none"/>
        </w:rPr>
      </w:pPr>
    </w:p>
    <w:p>
      <w:pPr>
        <w:widowControl/>
        <w:spacing w:line="440" w:lineRule="exact"/>
        <w:ind w:right="48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1"/>
          <w:sz w:val="24"/>
          <w:highlight w:val="none"/>
        </w:rPr>
        <w:t>投标供应商</w:t>
      </w:r>
      <w:r>
        <w:rPr>
          <w:rFonts w:hint="eastAsia" w:ascii="仿宋" w:hAnsi="仿宋" w:eastAsia="仿宋" w:cs="仿宋"/>
          <w:color w:val="auto"/>
          <w:sz w:val="24"/>
          <w:highlight w:val="none"/>
        </w:rPr>
        <w:t xml:space="preserve">（盖公章）：  </w:t>
      </w:r>
    </w:p>
    <w:p>
      <w:pPr>
        <w:widowControl/>
        <w:spacing w:line="440" w:lineRule="exact"/>
        <w:ind w:right="36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pPr>
        <w:widowControl/>
        <w:spacing w:line="3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widowControl/>
        <w:spacing w:line="360" w:lineRule="exact"/>
        <w:jc w:val="left"/>
        <w:rPr>
          <w:rFonts w:ascii="仿宋" w:hAnsi="仿宋" w:eastAsia="仿宋" w:cs="仿宋"/>
          <w:color w:val="auto"/>
          <w:sz w:val="24"/>
          <w:highlight w:val="none"/>
        </w:rPr>
      </w:pPr>
    </w:p>
    <w:p>
      <w:pPr>
        <w:widowControl/>
        <w:spacing w:line="36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注：1.从业人员、营业收入、资产总额填报上一年度数据，无上一年度数据的新成立企业可不填报。</w:t>
      </w:r>
    </w:p>
    <w:p>
      <w:pPr>
        <w:pStyle w:val="57"/>
        <w:ind w:firstLine="482" w:firstLineChars="200"/>
        <w:rPr>
          <w:rFonts w:ascii="仿宋" w:hAnsi="仿宋" w:eastAsia="仿宋" w:cs="仿宋"/>
          <w:b/>
          <w:bCs/>
          <w:color w:val="auto"/>
          <w:kern w:val="0"/>
          <w:sz w:val="24"/>
          <w:highlight w:val="none"/>
        </w:rPr>
      </w:pPr>
      <w:r>
        <w:rPr>
          <w:rFonts w:hint="eastAsia" w:ascii="仿宋" w:hAnsi="仿宋" w:eastAsia="仿宋" w:cs="仿宋"/>
          <w:b/>
          <w:color w:val="auto"/>
          <w:sz w:val="24"/>
          <w:highlight w:val="none"/>
        </w:rPr>
        <w:t>2.供应商提供由省级以上监狱管理局、戒毒管理局（含新疆生产建设兵团）出具的属于监狱企业证明文件的，视同为小型和微型企业。</w:t>
      </w:r>
    </w:p>
    <w:p>
      <w:pPr>
        <w:widowControl/>
        <w:jc w:val="left"/>
        <w:rPr>
          <w:rFonts w:ascii="仿宋" w:hAnsi="仿宋" w:eastAsia="仿宋" w:cs="仿宋"/>
          <w:b/>
          <w:bCs/>
          <w:color w:val="auto"/>
          <w:kern w:val="0"/>
          <w:sz w:val="24"/>
          <w:szCs w:val="32"/>
          <w:highlight w:val="none"/>
        </w:rPr>
      </w:pPr>
      <w:r>
        <w:rPr>
          <w:rFonts w:hint="eastAsia" w:ascii="仿宋" w:hAnsi="仿宋" w:eastAsia="仿宋" w:cs="仿宋"/>
          <w:b/>
          <w:bCs/>
          <w:color w:val="auto"/>
          <w:kern w:val="0"/>
          <w:sz w:val="24"/>
          <w:szCs w:val="32"/>
          <w:highlight w:val="none"/>
        </w:rPr>
        <w:br w:type="page"/>
      </w:r>
    </w:p>
    <w:p>
      <w:pPr>
        <w:shd w:val="clear" w:color="auto" w:fill="FFFFFF"/>
        <w:spacing w:line="440" w:lineRule="exact"/>
        <w:jc w:val="left"/>
        <w:rPr>
          <w:rFonts w:ascii="仿宋" w:hAnsi="仿宋" w:eastAsia="仿宋" w:cs="仿宋"/>
          <w:b/>
          <w:bCs/>
          <w:color w:val="auto"/>
          <w:sz w:val="28"/>
          <w:szCs w:val="28"/>
          <w:highlight w:val="none"/>
        </w:rPr>
      </w:pPr>
      <w:r>
        <w:rPr>
          <w:rFonts w:hint="eastAsia" w:ascii="仿宋" w:hAnsi="仿宋" w:eastAsia="仿宋" w:cs="仿宋"/>
          <w:b/>
          <w:bCs/>
          <w:color w:val="auto"/>
          <w:kern w:val="0"/>
          <w:sz w:val="24"/>
          <w:highlight w:val="none"/>
        </w:rPr>
        <w:t>附件八</w:t>
      </w:r>
    </w:p>
    <w:p>
      <w:pPr>
        <w:shd w:val="clear" w:color="auto" w:fill="FFFFFF"/>
        <w:spacing w:line="44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磋商承诺书</w:t>
      </w:r>
    </w:p>
    <w:p>
      <w:pPr>
        <w:shd w:val="clear" w:color="auto" w:fill="FFFFFF"/>
        <w:spacing w:line="440" w:lineRule="exact"/>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w:t>
      </w:r>
    </w:p>
    <w:p>
      <w:pPr>
        <w:shd w:val="clear" w:color="auto" w:fill="FFFFFF"/>
        <w:spacing w:line="440" w:lineRule="exact"/>
        <w:ind w:firstLine="489" w:firstLineChars="204"/>
        <w:rPr>
          <w:rFonts w:ascii="仿宋" w:hAnsi="仿宋" w:eastAsia="仿宋" w:cs="仿宋"/>
          <w:color w:val="auto"/>
          <w:sz w:val="24"/>
          <w:highlight w:val="none"/>
        </w:rPr>
      </w:pPr>
      <w:r>
        <w:rPr>
          <w:rFonts w:hint="eastAsia" w:ascii="仿宋" w:hAnsi="仿宋" w:eastAsia="仿宋" w:cs="仿宋"/>
          <w:color w:val="auto"/>
          <w:sz w:val="24"/>
          <w:highlight w:val="none"/>
        </w:rPr>
        <w:t>我方收到并研究了贵方</w:t>
      </w:r>
      <w:r>
        <w:rPr>
          <w:rFonts w:hint="eastAsia" w:ascii="仿宋" w:hAnsi="仿宋" w:eastAsia="仿宋" w:cs="仿宋"/>
          <w:color w:val="auto"/>
          <w:sz w:val="24"/>
          <w:highlight w:val="none"/>
          <w:u w:val="single"/>
        </w:rPr>
        <w:t>（项目名称、项目编号）</w:t>
      </w:r>
      <w:r>
        <w:rPr>
          <w:rFonts w:hint="eastAsia" w:ascii="仿宋" w:hAnsi="仿宋" w:eastAsia="仿宋" w:cs="仿宋"/>
          <w:color w:val="auto"/>
          <w:sz w:val="24"/>
          <w:highlight w:val="none"/>
        </w:rPr>
        <w:t>项目的磋商文件，愿意按照磋商文件规定的内容承担该项目的投标任务，严格执行我方所承诺的责任和义务。为此，我方郑重声明以下诸点，并负法律责任。</w:t>
      </w:r>
    </w:p>
    <w:p>
      <w:pPr>
        <w:shd w:val="clear" w:color="auto" w:fill="FFFFFF"/>
        <w:spacing w:line="440" w:lineRule="exact"/>
        <w:ind w:firstLine="489" w:firstLineChars="204"/>
        <w:rPr>
          <w:rFonts w:ascii="仿宋" w:hAnsi="仿宋" w:eastAsia="仿宋" w:cs="仿宋"/>
          <w:color w:val="auto"/>
          <w:sz w:val="24"/>
          <w:highlight w:val="none"/>
        </w:rPr>
      </w:pPr>
      <w:r>
        <w:rPr>
          <w:rFonts w:hint="eastAsia" w:ascii="仿宋" w:hAnsi="仿宋" w:eastAsia="仿宋" w:cs="仿宋"/>
          <w:color w:val="auto"/>
          <w:sz w:val="24"/>
          <w:highlight w:val="none"/>
        </w:rPr>
        <w:t>1、我方提交响应文件：加密的电子响应文件1份，并在磋商时间前上传至磋商文件规定的指定地点。如我方中标，在领取成交通知书时向招标代理机构提供纸质版响应文件正本1份、副本3份</w:t>
      </w:r>
      <w:r>
        <w:rPr>
          <w:rFonts w:hint="eastAsia" w:ascii="仿宋" w:hAnsi="仿宋" w:eastAsia="仿宋" w:cs="仿宋"/>
          <w:bCs/>
          <w:color w:val="auto"/>
          <w:kern w:val="0"/>
          <w:sz w:val="24"/>
          <w:highlight w:val="none"/>
        </w:rPr>
        <w:t>。</w:t>
      </w:r>
      <w:r>
        <w:rPr>
          <w:rFonts w:hint="eastAsia" w:ascii="仿宋" w:hAnsi="仿宋" w:eastAsia="仿宋" w:cs="仿宋"/>
          <w:color w:val="auto"/>
          <w:sz w:val="24"/>
          <w:highlight w:val="none"/>
        </w:rPr>
        <w:t>我方愿按《中华人民共和国政府采购法》及其他有关法律、法规的规定及磋商文件的规定，自觉履行自己的全部责任。</w:t>
      </w:r>
    </w:p>
    <w:p>
      <w:pPr>
        <w:shd w:val="clear" w:color="auto" w:fill="FFFFFF"/>
        <w:adjustRightInd w:val="0"/>
        <w:spacing w:line="44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2、我方同意在磋商有效期内遵守本响应文件，在此期限期满前的任何时间，本响应文件一直对我们具有约束力；</w:t>
      </w:r>
    </w:p>
    <w:p>
      <w:pPr>
        <w:shd w:val="clear" w:color="auto" w:fill="FFFFFF"/>
        <w:adjustRightInd w:val="0"/>
        <w:spacing w:line="44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3、如果我方响应文件被接受，我方将按照磋商文件及响应文件（被采纳或接受的部分）中的承诺，按期、按质、按量交付使用方；如不满足任一项，贵方有权终止我方中标并选择其它成交人。</w:t>
      </w:r>
    </w:p>
    <w:p>
      <w:pPr>
        <w:shd w:val="clear" w:color="auto" w:fill="FFFFFF"/>
        <w:adjustRightInd w:val="0"/>
        <w:spacing w:line="44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4、如果我方中标，我方将在磋商文件规定的时间内签订委托合同并按磋商文件要求提供履约保证金。如果我方违约，除磋商保证金不予退还外，贵方有权终止我方中标并选择其它成交人。</w:t>
      </w:r>
    </w:p>
    <w:p>
      <w:pPr>
        <w:shd w:val="clear" w:color="auto" w:fill="FFFFFF"/>
        <w:adjustRightInd w:val="0"/>
        <w:spacing w:line="44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6、一旦我方中标，我方愿意按磋商文件要求承担成交服务费。</w:t>
      </w:r>
    </w:p>
    <w:p>
      <w:pPr>
        <w:shd w:val="clear" w:color="auto" w:fill="FFFFFF"/>
        <w:adjustRightInd w:val="0"/>
        <w:spacing w:line="44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7、贵方的成交通知书和本磋商文件将构成约束双方的合同。</w:t>
      </w:r>
    </w:p>
    <w:p>
      <w:pPr>
        <w:shd w:val="clear" w:color="auto" w:fill="FFFFFF"/>
        <w:adjustRightInd w:val="0"/>
        <w:spacing w:line="44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8、如果我方未中标，贵方无义务对我方做出任何解释和说明，我方将充分尊重和理解贵方的选择。</w:t>
      </w:r>
    </w:p>
    <w:p>
      <w:pPr>
        <w:shd w:val="clear" w:color="auto" w:fill="FFFFFF"/>
        <w:adjustRightInd w:val="0"/>
        <w:spacing w:line="440" w:lineRule="exact"/>
        <w:ind w:firstLine="480" w:firstLineChars="200"/>
        <w:jc w:val="left"/>
        <w:textAlignment w:val="baseline"/>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9、我方的响应文件自提交响应文件截止之日起有效期为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天。</w:t>
      </w:r>
    </w:p>
    <w:p>
      <w:pPr>
        <w:pStyle w:val="304"/>
        <w:shd w:val="clear" w:color="auto" w:fill="FFFFFF"/>
        <w:snapToGrid w:val="0"/>
        <w:spacing w:line="440" w:lineRule="exact"/>
        <w:rPr>
          <w:rFonts w:ascii="仿宋" w:hAnsi="仿宋" w:eastAsia="仿宋" w:cs="仿宋"/>
          <w:color w:val="auto"/>
          <w:sz w:val="24"/>
          <w:highlight w:val="none"/>
        </w:rPr>
      </w:pPr>
    </w:p>
    <w:p>
      <w:pPr>
        <w:pStyle w:val="304"/>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供应商（盖公章）：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pPr>
        <w:widowControl/>
        <w:spacing w:line="400" w:lineRule="exact"/>
        <w:jc w:val="left"/>
        <w:rPr>
          <w:rFonts w:ascii="仿宋" w:hAnsi="仿宋" w:eastAsia="仿宋" w:cs="仿宋"/>
          <w:b/>
          <w:bCs/>
          <w:color w:val="auto"/>
          <w:kern w:val="0"/>
          <w:sz w:val="24"/>
          <w:highlight w:val="none"/>
        </w:rPr>
      </w:pPr>
      <w:r>
        <w:rPr>
          <w:rFonts w:hint="eastAsia" w:ascii="仿宋" w:hAnsi="仿宋" w:eastAsia="仿宋" w:cs="仿宋"/>
          <w:color w:val="auto"/>
          <w:sz w:val="24"/>
          <w:highlight w:val="none"/>
        </w:rPr>
        <w:t>日期：  年  月  日</w:t>
      </w:r>
      <w:r>
        <w:rPr>
          <w:rFonts w:hint="eastAsia" w:ascii="仿宋" w:hAnsi="仿宋" w:eastAsia="仿宋" w:cs="仿宋"/>
          <w:color w:val="auto"/>
          <w:sz w:val="18"/>
          <w:szCs w:val="18"/>
          <w:highlight w:val="none"/>
        </w:rPr>
        <w:br w:type="page"/>
      </w:r>
    </w:p>
    <w:p>
      <w:pPr>
        <w:tabs>
          <w:tab w:val="center" w:pos="7115"/>
          <w:tab w:val="right" w:pos="14230"/>
        </w:tabs>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附件九 </w:t>
      </w:r>
    </w:p>
    <w:p>
      <w:pPr>
        <w:shd w:val="clear" w:color="auto" w:fill="FFFFFF"/>
        <w:spacing w:line="44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磋商一览表</w:t>
      </w:r>
    </w:p>
    <w:p>
      <w:pPr>
        <w:tabs>
          <w:tab w:val="center" w:pos="7115"/>
          <w:tab w:val="right" w:pos="14230"/>
        </w:tabs>
        <w:ind w:firstLine="723"/>
        <w:jc w:val="center"/>
        <w:rPr>
          <w:rFonts w:ascii="仿宋" w:hAnsi="仿宋" w:eastAsia="仿宋" w:cs="仿宋"/>
          <w:color w:val="auto"/>
          <w:sz w:val="24"/>
          <w:highlight w:val="none"/>
        </w:rPr>
      </w:pPr>
    </w:p>
    <w:p>
      <w:pPr>
        <w:tabs>
          <w:tab w:val="center" w:pos="7115"/>
          <w:tab w:val="right" w:pos="14230"/>
        </w:tabs>
        <w:ind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供应商名称：                                                       单位：元</w:t>
      </w:r>
    </w:p>
    <w:p>
      <w:pPr>
        <w:spacing w:line="360" w:lineRule="exact"/>
        <w:ind w:firstLine="120" w:firstLineChars="50"/>
        <w:rPr>
          <w:rFonts w:ascii="仿宋" w:hAnsi="仿宋" w:eastAsia="仿宋" w:cs="仿宋"/>
          <w:color w:val="auto"/>
          <w:spacing w:val="-10"/>
          <w:kern w:val="0"/>
          <w:sz w:val="24"/>
          <w:highlight w:val="none"/>
        </w:rPr>
      </w:pPr>
      <w:r>
        <w:rPr>
          <w:rFonts w:hint="eastAsia" w:ascii="仿宋" w:hAnsi="仿宋" w:eastAsia="仿宋" w:cs="仿宋"/>
          <w:color w:val="auto"/>
          <w:sz w:val="24"/>
          <w:highlight w:val="none"/>
        </w:rPr>
        <w:t>项目名称：</w:t>
      </w:r>
    </w:p>
    <w:p>
      <w:pPr>
        <w:spacing w:line="360" w:lineRule="exact"/>
        <w:ind w:firstLine="110" w:firstLineChars="50"/>
        <w:rPr>
          <w:rFonts w:ascii="仿宋" w:hAnsi="仿宋" w:eastAsia="仿宋" w:cs="仿宋"/>
          <w:color w:val="auto"/>
          <w:spacing w:val="-10"/>
          <w:kern w:val="0"/>
          <w:sz w:val="24"/>
          <w:highlight w:val="none"/>
        </w:rPr>
      </w:pPr>
      <w:r>
        <w:rPr>
          <w:rFonts w:hint="eastAsia" w:ascii="仿宋" w:hAnsi="仿宋" w:eastAsia="仿宋" w:cs="仿宋"/>
          <w:color w:val="auto"/>
          <w:spacing w:val="-10"/>
          <w:kern w:val="0"/>
          <w:sz w:val="24"/>
          <w:highlight w:val="none"/>
        </w:rPr>
        <w:t>项目</w:t>
      </w:r>
      <w:r>
        <w:rPr>
          <w:rFonts w:hint="eastAsia" w:ascii="仿宋" w:hAnsi="仿宋" w:eastAsia="仿宋" w:cs="仿宋"/>
          <w:color w:val="auto"/>
          <w:sz w:val="24"/>
          <w:highlight w:val="none"/>
        </w:rPr>
        <w:t>编号：2023PCCS004</w:t>
      </w:r>
    </w:p>
    <w:tbl>
      <w:tblPr>
        <w:tblStyle w:val="59"/>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94"/>
        <w:gridCol w:w="1561"/>
        <w:gridCol w:w="3429"/>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2" w:hRule="exact"/>
          <w:jc w:val="center"/>
        </w:trPr>
        <w:tc>
          <w:tcPr>
            <w:tcW w:w="1913" w:type="pct"/>
            <w:tcBorders>
              <w:bottom w:val="single" w:color="auto" w:sz="4" w:space="0"/>
            </w:tcBorders>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标项名称</w:t>
            </w:r>
          </w:p>
        </w:tc>
        <w:tc>
          <w:tcPr>
            <w:tcW w:w="808" w:type="pct"/>
            <w:tcBorders>
              <w:bottom w:val="single" w:color="auto" w:sz="4" w:space="0"/>
            </w:tcBorders>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775" w:type="pct"/>
            <w:tcBorders>
              <w:bottom w:val="single" w:color="auto" w:sz="4" w:space="0"/>
            </w:tcBorders>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交货期</w:t>
            </w:r>
          </w:p>
        </w:tc>
        <w:tc>
          <w:tcPr>
            <w:tcW w:w="504" w:type="pct"/>
            <w:tcBorders>
              <w:bottom w:val="single" w:color="auto" w:sz="4" w:space="0"/>
            </w:tcBorders>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9" w:hRule="exact"/>
          <w:jc w:val="center"/>
        </w:trPr>
        <w:tc>
          <w:tcPr>
            <w:tcW w:w="1913" w:type="pct"/>
            <w:tcBorders>
              <w:bottom w:val="single" w:color="auto" w:sz="4" w:space="0"/>
            </w:tcBorders>
            <w:vAlign w:val="center"/>
          </w:tcPr>
          <w:p>
            <w:pPr>
              <w:pStyle w:val="702"/>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库尔勒市第二人民医院洗衣房设备采购项目</w:t>
            </w:r>
          </w:p>
        </w:tc>
        <w:tc>
          <w:tcPr>
            <w:tcW w:w="808" w:type="pct"/>
            <w:tcBorders>
              <w:bottom w:val="single" w:color="auto" w:sz="4" w:space="0"/>
            </w:tcBorders>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775" w:type="pct"/>
            <w:tcBorders>
              <w:bottom w:val="single" w:color="auto" w:sz="4" w:space="0"/>
            </w:tcBorders>
            <w:vAlign w:val="center"/>
          </w:tcPr>
          <w:p>
            <w:pPr>
              <w:jc w:val="center"/>
              <w:rPr>
                <w:rFonts w:ascii="仿宋" w:hAnsi="仿宋" w:eastAsia="仿宋" w:cs="仿宋"/>
                <w:color w:val="auto"/>
                <w:sz w:val="24"/>
                <w:highlight w:val="none"/>
              </w:rPr>
            </w:pPr>
          </w:p>
        </w:tc>
        <w:tc>
          <w:tcPr>
            <w:tcW w:w="504" w:type="pct"/>
            <w:tcBorders>
              <w:bottom w:val="single" w:color="auto" w:sz="4" w:space="0"/>
            </w:tcBorders>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8" w:hRule="exact"/>
          <w:jc w:val="center"/>
        </w:trPr>
        <w:tc>
          <w:tcPr>
            <w:tcW w:w="1913" w:type="pct"/>
            <w:tcBorders>
              <w:bottom w:val="single" w:color="auto" w:sz="4" w:space="0"/>
            </w:tcBorders>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磋商报价(元)：</w:t>
            </w:r>
          </w:p>
        </w:tc>
        <w:tc>
          <w:tcPr>
            <w:tcW w:w="3087" w:type="pct"/>
            <w:gridSpan w:val="3"/>
            <w:tcBorders>
              <w:bottom w:val="single" w:color="auto" w:sz="4" w:space="0"/>
            </w:tcBorders>
            <w:vAlign w:val="center"/>
          </w:tcPr>
          <w:p>
            <w:pPr>
              <w:jc w:val="center"/>
              <w:rPr>
                <w:rFonts w:ascii="仿宋" w:hAnsi="仿宋" w:eastAsia="仿宋" w:cs="仿宋"/>
                <w:color w:val="auto"/>
                <w:sz w:val="24"/>
                <w:highlight w:val="none"/>
              </w:rPr>
            </w:pPr>
          </w:p>
        </w:tc>
      </w:tr>
    </w:tbl>
    <w:p>
      <w:pPr>
        <w:rPr>
          <w:rFonts w:ascii="仿宋" w:hAnsi="仿宋" w:eastAsia="仿宋" w:cs="仿宋"/>
          <w:color w:val="auto"/>
          <w:sz w:val="24"/>
          <w:highlight w:val="none"/>
        </w:rPr>
      </w:pPr>
    </w:p>
    <w:p>
      <w:pPr>
        <w:pStyle w:val="304"/>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pPr>
        <w:shd w:val="clear" w:color="auto" w:fill="FFFFFF"/>
        <w:spacing w:line="440" w:lineRule="exact"/>
        <w:rPr>
          <w:rFonts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pPr>
        <w:widowControl/>
        <w:jc w:val="left"/>
        <w:rPr>
          <w:rFonts w:ascii="仿宋" w:hAnsi="仿宋" w:eastAsia="仿宋" w:cs="仿宋"/>
          <w:b/>
          <w:bCs/>
          <w:color w:val="auto"/>
          <w:sz w:val="24"/>
          <w:highlight w:val="none"/>
        </w:rPr>
      </w:pPr>
    </w:p>
    <w:p>
      <w:pPr>
        <w:widowControl/>
        <w:ind w:firstLine="482" w:firstLineChars="200"/>
        <w:jc w:val="left"/>
        <w:rPr>
          <w:rFonts w:ascii="仿宋" w:hAnsi="仿宋" w:eastAsia="仿宋" w:cs="仿宋"/>
          <w:b/>
          <w:bCs/>
          <w:color w:val="auto"/>
          <w:sz w:val="18"/>
          <w:szCs w:val="18"/>
          <w:highlight w:val="none"/>
        </w:rPr>
      </w:pPr>
      <w:r>
        <w:rPr>
          <w:rFonts w:hint="eastAsia" w:ascii="仿宋" w:hAnsi="仿宋" w:eastAsia="仿宋" w:cs="仿宋"/>
          <w:b/>
          <w:bCs/>
          <w:color w:val="auto"/>
          <w:sz w:val="24"/>
          <w:highlight w:val="none"/>
        </w:rPr>
        <w:br w:type="page"/>
      </w:r>
    </w:p>
    <w:p>
      <w:pPr>
        <w:widowControl/>
        <w:jc w:val="left"/>
        <w:rPr>
          <w:rFonts w:ascii="仿宋" w:hAnsi="仿宋" w:eastAsia="仿宋" w:cs="仿宋"/>
          <w:b/>
          <w:color w:val="auto"/>
          <w:sz w:val="24"/>
          <w:highlight w:val="none"/>
        </w:rPr>
      </w:pPr>
      <w:r>
        <w:rPr>
          <w:rFonts w:hint="eastAsia" w:ascii="仿宋" w:hAnsi="仿宋" w:eastAsia="仿宋" w:cs="仿宋"/>
          <w:b/>
          <w:bCs/>
          <w:color w:val="auto"/>
          <w:sz w:val="24"/>
          <w:highlight w:val="none"/>
        </w:rPr>
        <w:t xml:space="preserve">附件十  </w:t>
      </w:r>
      <w:r>
        <w:rPr>
          <w:rFonts w:hint="eastAsia" w:ascii="仿宋" w:hAnsi="仿宋" w:eastAsia="仿宋" w:cs="仿宋"/>
          <w:b/>
          <w:bCs/>
          <w:color w:val="auto"/>
          <w:kern w:val="0"/>
          <w:sz w:val="24"/>
          <w:highlight w:val="none"/>
        </w:rPr>
        <w:t xml:space="preserve">报价明细表 </w:t>
      </w:r>
    </w:p>
    <w:tbl>
      <w:tblPr>
        <w:tblStyle w:val="5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120"/>
        <w:gridCol w:w="1334"/>
        <w:gridCol w:w="140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tcBorders>
              <w:top w:val="single" w:color="auto" w:sz="12" w:space="0"/>
              <w:left w:val="single" w:color="auto" w:sz="12"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s="仿宋"/>
                <w:color w:val="auto"/>
                <w:sz w:val="24"/>
                <w:highlight w:val="none"/>
              </w:rPr>
            </w:pPr>
            <w:r>
              <w:rPr>
                <w:rFonts w:hint="eastAsia" w:ascii="仿宋" w:hAnsi="仿宋" w:eastAsia="仿宋" w:cs="仿宋"/>
                <w:color w:val="auto"/>
                <w:sz w:val="24"/>
                <w:highlight w:val="none"/>
              </w:rPr>
              <w:t>项</w:t>
            </w:r>
          </w:p>
        </w:tc>
        <w:tc>
          <w:tcPr>
            <w:tcW w:w="3120"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334"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right="-42"/>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408"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right="-42"/>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3056" w:type="dxa"/>
            <w:gridSpan w:val="3"/>
            <w:tcBorders>
              <w:top w:val="single" w:color="auto" w:sz="12" w:space="0"/>
              <w:left w:val="single" w:color="auto" w:sz="4" w:space="0"/>
              <w:bottom w:val="single" w:color="auto" w:sz="4" w:space="0"/>
              <w:right w:val="single" w:color="auto" w:sz="12" w:space="0"/>
            </w:tcBorders>
            <w:vAlign w:val="center"/>
          </w:tcPr>
          <w:p>
            <w:pPr>
              <w:pStyle w:val="730"/>
              <w:tabs>
                <w:tab w:val="left" w:pos="1337"/>
              </w:tabs>
              <w:spacing w:line="360" w:lineRule="auto"/>
              <w:ind w:left="-42" w:right="-42"/>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restart"/>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120"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产品名称</w:t>
            </w:r>
          </w:p>
        </w:tc>
        <w:tc>
          <w:tcPr>
            <w:tcW w:w="1334"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408"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ind w:left="-40" w:right="-40"/>
              <w:jc w:val="center"/>
              <w:rPr>
                <w:rFonts w:ascii="仿宋" w:hAnsi="仿宋" w:eastAsia="仿宋" w:cs="仿宋"/>
                <w:color w:val="auto"/>
                <w:sz w:val="24"/>
                <w:highlight w:val="none"/>
              </w:rPr>
            </w:pPr>
            <w:r>
              <w:rPr>
                <w:rFonts w:hint="eastAsia" w:ascii="仿宋" w:hAnsi="仿宋" w:eastAsia="仿宋" w:cs="仿宋"/>
                <w:color w:val="auto"/>
                <w:sz w:val="24"/>
                <w:highlight w:val="none"/>
              </w:rPr>
              <w:t>原产地和制造商名称</w:t>
            </w:r>
          </w:p>
        </w:tc>
        <w:tc>
          <w:tcPr>
            <w:tcW w:w="3056" w:type="dxa"/>
            <w:gridSpan w:val="3"/>
            <w:tcBorders>
              <w:top w:val="single" w:color="auto" w:sz="4" w:space="0"/>
              <w:left w:val="single" w:color="auto" w:sz="4" w:space="0"/>
              <w:bottom w:val="single" w:color="auto" w:sz="4" w:space="0"/>
              <w:right w:val="single" w:color="auto" w:sz="12" w:space="0"/>
            </w:tcBorders>
            <w:vAlign w:val="center"/>
          </w:tcPr>
          <w:p>
            <w:pPr>
              <w:pStyle w:val="73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20" w:type="dxa"/>
            <w:vMerge w:val="continue"/>
            <w:tcBorders>
              <w:top w:val="single" w:color="auto" w:sz="4" w:space="0"/>
              <w:left w:val="single" w:color="auto" w:sz="12" w:space="0"/>
              <w:bottom w:val="single" w:color="auto" w:sz="4" w:space="0"/>
              <w:right w:val="single" w:color="auto" w:sz="4" w:space="0"/>
            </w:tcBorders>
            <w:vAlign w:val="center"/>
          </w:tcPr>
          <w:p>
            <w:pPr>
              <w:pStyle w:val="731"/>
              <w:widowControl/>
              <w:jc w:val="left"/>
              <w:rPr>
                <w:rFonts w:ascii="仿宋" w:hAnsi="仿宋" w:eastAsia="仿宋" w:cs="仿宋"/>
                <w:color w:val="auto"/>
                <w:sz w:val="24"/>
                <w:highlight w:val="none"/>
              </w:rPr>
            </w:pPr>
          </w:p>
        </w:tc>
        <w:tc>
          <w:tcPr>
            <w:tcW w:w="3120"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cs="仿宋"/>
                <w:color w:val="auto"/>
                <w:sz w:val="24"/>
                <w:highlight w:val="none"/>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cs="仿宋"/>
                <w:color w:val="auto"/>
                <w:sz w:val="24"/>
                <w:highlight w:val="none"/>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55" w:type="dxa"/>
            <w:tcBorders>
              <w:top w:val="single" w:color="auto" w:sz="4" w:space="0"/>
              <w:left w:val="single" w:color="auto" w:sz="4" w:space="0"/>
              <w:bottom w:val="single" w:color="auto" w:sz="4" w:space="0"/>
              <w:right w:val="single" w:color="auto" w:sz="4" w:space="0"/>
            </w:tcBorders>
            <w:vAlign w:val="center"/>
          </w:tcPr>
          <w:p>
            <w:pPr>
              <w:pStyle w:val="730"/>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146" w:type="dxa"/>
            <w:tcBorders>
              <w:top w:val="single" w:color="auto" w:sz="4" w:space="0"/>
              <w:left w:val="single" w:color="auto" w:sz="4" w:space="0"/>
              <w:bottom w:val="single" w:color="auto" w:sz="4" w:space="0"/>
              <w:right w:val="single" w:color="auto" w:sz="12" w:space="0"/>
            </w:tcBorders>
            <w:vAlign w:val="center"/>
          </w:tcPr>
          <w:p>
            <w:pPr>
              <w:pStyle w:val="730"/>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1</w:t>
            </w: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pacing w:val="-17"/>
                <w:kern w:val="0"/>
                <w:sz w:val="24"/>
                <w:highlight w:val="none"/>
              </w:rPr>
              <w:t>60kg隔离式医纺清洁处理机</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2</w:t>
            </w: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pacing w:val="-17"/>
                <w:kern w:val="0"/>
                <w:sz w:val="24"/>
                <w:highlight w:val="none"/>
              </w:rPr>
              <w:t>110kg隔离式医纺清洁处理机</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3</w:t>
            </w: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100kg电加热干燥机</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4</w:t>
            </w: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3米2辊电加热辊烫机</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5</w:t>
            </w: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吸风烫台（含熨斗）</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6</w:t>
            </w: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144kw蒸汽发生器</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7</w:t>
            </w: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水处理机</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8</w:t>
            </w: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电动缝纫机</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9</w:t>
            </w: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6000W油浸式空压机</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10</w:t>
            </w: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铁皮制品（定制）</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tcBorders>
              <w:top w:val="single" w:color="auto" w:sz="4" w:space="0"/>
              <w:left w:val="single" w:color="auto" w:sz="12" w:space="0"/>
              <w:bottom w:val="single" w:color="auto" w:sz="4" w:space="0"/>
              <w:right w:val="single" w:color="auto" w:sz="4" w:space="0"/>
            </w:tcBorders>
          </w:tcPr>
          <w:p>
            <w:pPr>
              <w:spacing w:line="440" w:lineRule="exact"/>
              <w:jc w:val="center"/>
              <w:rPr>
                <w:rFonts w:ascii="仿宋" w:hAnsi="仿宋" w:eastAsia="仿宋" w:cs="仿宋"/>
                <w:color w:val="auto"/>
                <w:kern w:val="0"/>
                <w:sz w:val="24"/>
                <w:highlight w:val="none"/>
              </w:rPr>
            </w:pPr>
          </w:p>
        </w:tc>
        <w:tc>
          <w:tcPr>
            <w:tcW w:w="312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color w:val="auto"/>
                <w:spacing w:val="-17"/>
                <w:kern w:val="0"/>
                <w:sz w:val="24"/>
                <w:highlight w:val="none"/>
              </w:rPr>
            </w:pPr>
            <w:r>
              <w:rPr>
                <w:rFonts w:hint="eastAsia" w:ascii="仿宋" w:hAnsi="仿宋" w:eastAsia="仿宋" w:cs="仿宋"/>
                <w:color w:val="auto"/>
                <w:spacing w:val="-17"/>
                <w:kern w:val="0"/>
                <w:sz w:val="24"/>
                <w:highlight w:val="none"/>
              </w:rPr>
              <w:t>...</w:t>
            </w:r>
          </w:p>
        </w:tc>
        <w:tc>
          <w:tcPr>
            <w:tcW w:w="1334"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3120"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货物费用小计</w:t>
            </w:r>
          </w:p>
        </w:tc>
        <w:tc>
          <w:tcPr>
            <w:tcW w:w="2742"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3120"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安装调试费</w:t>
            </w:r>
          </w:p>
        </w:tc>
        <w:tc>
          <w:tcPr>
            <w:tcW w:w="2742"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3120"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技术支持费</w:t>
            </w:r>
          </w:p>
        </w:tc>
        <w:tc>
          <w:tcPr>
            <w:tcW w:w="2742"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3120"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培训费</w:t>
            </w:r>
          </w:p>
        </w:tc>
        <w:tc>
          <w:tcPr>
            <w:tcW w:w="2742"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3120"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运输与保险费</w:t>
            </w:r>
          </w:p>
        </w:tc>
        <w:tc>
          <w:tcPr>
            <w:tcW w:w="2742"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3120"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2742"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3120"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2742"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s="仿宋"/>
                <w:color w:val="auto"/>
                <w:sz w:val="24"/>
                <w:highlight w:val="none"/>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s="仿宋"/>
                <w:color w:val="auto"/>
                <w:sz w:val="24"/>
                <w:highlight w:val="none"/>
              </w:rPr>
            </w:pPr>
          </w:p>
        </w:tc>
      </w:tr>
    </w:tbl>
    <w:p>
      <w:pPr>
        <w:shd w:val="clear" w:color="auto" w:fill="FFFFFF"/>
        <w:spacing w:line="36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注：供应商须根据磋商文件第五部分“采购需求”的载明的内容逐条进行明细报价，不接受供货范围不符、不接受缺漏项、不接受顺序更改、不接受数量负偏离，否则，投标无效。如有增项，须在《报价明细表》最末说明及增加。</w:t>
      </w:r>
      <w:r>
        <w:rPr>
          <w:rFonts w:hint="eastAsia" w:ascii="仿宋" w:hAnsi="仿宋" w:eastAsia="仿宋" w:cs="仿宋"/>
          <w:b/>
          <w:color w:val="auto"/>
          <w:sz w:val="24"/>
          <w:highlight w:val="none"/>
          <w:u w:val="single"/>
        </w:rPr>
        <w:t>供应商开标时在进行磋商第二轮（或多轮报价）时，须随磋商报价附件上传报价明细表。</w:t>
      </w:r>
    </w:p>
    <w:p>
      <w:pPr>
        <w:pStyle w:val="732"/>
        <w:tabs>
          <w:tab w:val="left" w:pos="420"/>
          <w:tab w:val="clear" w:pos="360"/>
        </w:tabs>
        <w:spacing w:line="340" w:lineRule="exact"/>
        <w:ind w:left="566" w:hanging="566" w:hangingChars="235"/>
        <w:outlineLvl w:val="2"/>
        <w:rPr>
          <w:rFonts w:ascii="仿宋" w:hAnsi="仿宋" w:eastAsia="仿宋" w:cs="仿宋"/>
          <w:color w:val="auto"/>
          <w:highlight w:val="none"/>
        </w:rPr>
      </w:pPr>
    </w:p>
    <w:p>
      <w:pPr>
        <w:pStyle w:val="304"/>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pPr>
        <w:widowControl/>
        <w:jc w:val="left"/>
        <w:rPr>
          <w:rFonts w:ascii="仿宋" w:hAnsi="仿宋" w:eastAsia="仿宋" w:cs="仿宋"/>
          <w:color w:val="auto"/>
          <w:kern w:val="0"/>
          <w:sz w:val="24"/>
          <w:highlight w:val="none"/>
        </w:rPr>
      </w:pPr>
      <w:r>
        <w:rPr>
          <w:rFonts w:hint="eastAsia" w:ascii="仿宋" w:hAnsi="仿宋" w:eastAsia="仿宋" w:cs="仿宋"/>
          <w:b/>
          <w:bCs/>
          <w:color w:val="auto"/>
          <w:kern w:val="0"/>
          <w:sz w:val="24"/>
          <w:highlight w:val="none"/>
        </w:rPr>
        <w:t>附件十一</w:t>
      </w:r>
    </w:p>
    <w:p>
      <w:pPr>
        <w:shd w:val="clear" w:color="auto" w:fill="FFFFFF"/>
        <w:spacing w:line="44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商务及合同条款偏离表</w:t>
      </w:r>
    </w:p>
    <w:p>
      <w:pPr>
        <w:shd w:val="clear" w:color="auto" w:fill="FFFFFF"/>
        <w:spacing w:beforeLines="50"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项目名称：                                                  项目编号:</w:t>
      </w:r>
    </w:p>
    <w:tbl>
      <w:tblPr>
        <w:tblStyle w:val="59"/>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s="仿宋"/>
                <w:color w:val="auto"/>
                <w:szCs w:val="21"/>
                <w:highlight w:val="none"/>
              </w:rPr>
            </w:pPr>
          </w:p>
        </w:tc>
      </w:tr>
    </w:tbl>
    <w:p>
      <w:pPr>
        <w:pStyle w:val="304"/>
        <w:shd w:val="clear" w:color="auto" w:fill="FFFFFF"/>
        <w:snapToGrid w:val="0"/>
        <w:spacing w:line="440" w:lineRule="exact"/>
        <w:rPr>
          <w:rFonts w:ascii="仿宋" w:hAnsi="仿宋" w:eastAsia="仿宋" w:cs="仿宋"/>
          <w:color w:val="auto"/>
          <w:sz w:val="24"/>
          <w:highlight w:val="none"/>
        </w:rPr>
      </w:pPr>
    </w:p>
    <w:p>
      <w:pPr>
        <w:shd w:val="clear" w:color="auto" w:fill="FFFFFF"/>
        <w:spacing w:line="42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重要说明：供应商在上表中说明的内容，至少须包括对本文件《供应商须知前附表》提出的“磋商有效期”、“交货期”、“交货地点”、“质保期”、“付款方式”五项内容逐条响应，不接受负偏离，如出现负偏离则投标无效。供应商须自行对照磋商文件第六部分 合同条款内容，并将偏离内容在此表中列出，如未列明的，均视为供应商完全响应磋商文件的合同条款内容。</w:t>
      </w:r>
    </w:p>
    <w:p>
      <w:pPr>
        <w:pStyle w:val="304"/>
        <w:shd w:val="clear" w:color="auto" w:fill="FFFFFF"/>
        <w:snapToGrid w:val="0"/>
        <w:spacing w:line="440" w:lineRule="exact"/>
        <w:rPr>
          <w:rFonts w:ascii="仿宋" w:hAnsi="仿宋" w:eastAsia="仿宋" w:cs="仿宋"/>
          <w:color w:val="auto"/>
          <w:sz w:val="24"/>
          <w:highlight w:val="none"/>
        </w:rPr>
      </w:pPr>
    </w:p>
    <w:p>
      <w:pPr>
        <w:pStyle w:val="304"/>
        <w:shd w:val="clear" w:color="auto" w:fill="FFFFFF"/>
        <w:snapToGrid w:val="0"/>
        <w:spacing w:line="440" w:lineRule="exact"/>
        <w:rPr>
          <w:rFonts w:ascii="仿宋" w:hAnsi="仿宋" w:eastAsia="仿宋" w:cs="仿宋"/>
          <w:color w:val="auto"/>
          <w:sz w:val="24"/>
          <w:highlight w:val="none"/>
        </w:rPr>
      </w:pPr>
    </w:p>
    <w:p>
      <w:pPr>
        <w:pStyle w:val="304"/>
        <w:shd w:val="clear" w:color="auto" w:fill="FFFFFF"/>
        <w:snapToGrid w:val="0"/>
        <w:spacing w:line="440" w:lineRule="exact"/>
        <w:rPr>
          <w:rFonts w:ascii="仿宋" w:hAnsi="仿宋" w:eastAsia="仿宋" w:cs="仿宋"/>
          <w:color w:val="auto"/>
          <w:sz w:val="24"/>
          <w:highlight w:val="none"/>
        </w:rPr>
      </w:pPr>
    </w:p>
    <w:p>
      <w:pPr>
        <w:pStyle w:val="304"/>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pPr>
        <w:shd w:val="clear" w:color="auto" w:fill="FFFFFF"/>
        <w:spacing w:line="440" w:lineRule="exact"/>
        <w:rPr>
          <w:rFonts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pPr>
        <w:widowControl/>
        <w:spacing w:line="440" w:lineRule="exact"/>
        <w:jc w:val="left"/>
        <w:rPr>
          <w:rFonts w:ascii="仿宋" w:hAnsi="仿宋" w:eastAsia="仿宋" w:cs="仿宋"/>
          <w:color w:val="auto"/>
          <w:kern w:val="0"/>
          <w:sz w:val="24"/>
          <w:highlight w:val="none"/>
        </w:rPr>
      </w:pPr>
    </w:p>
    <w:p>
      <w:pPr>
        <w:widowControl/>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pPr>
        <w:widowControl/>
        <w:jc w:val="left"/>
        <w:rPr>
          <w:rFonts w:ascii="仿宋" w:hAnsi="仿宋" w:eastAsia="仿宋" w:cs="仿宋"/>
          <w:b/>
          <w:bCs/>
          <w:color w:val="auto"/>
          <w:szCs w:val="21"/>
          <w:highlight w:val="none"/>
        </w:rPr>
      </w:pPr>
      <w:r>
        <w:rPr>
          <w:rFonts w:hint="eastAsia" w:ascii="仿宋" w:hAnsi="仿宋" w:eastAsia="仿宋" w:cs="仿宋"/>
          <w:b/>
          <w:bCs/>
          <w:color w:val="auto"/>
          <w:sz w:val="24"/>
          <w:highlight w:val="none"/>
        </w:rPr>
        <w:t xml:space="preserve">附件十二  技术条款偏离表 </w:t>
      </w:r>
    </w:p>
    <w:p>
      <w:pPr>
        <w:shd w:val="clear" w:color="auto" w:fill="FFFFFF"/>
        <w:spacing w:line="440" w:lineRule="exact"/>
        <w:jc w:val="center"/>
        <w:rPr>
          <w:rFonts w:ascii="仿宋" w:hAnsi="仿宋" w:eastAsia="仿宋" w:cs="仿宋"/>
          <w:b/>
          <w:bCs/>
          <w:color w:val="auto"/>
          <w:sz w:val="28"/>
          <w:szCs w:val="28"/>
          <w:highlight w:val="none"/>
        </w:rPr>
      </w:pPr>
    </w:p>
    <w:p>
      <w:pPr>
        <w:shd w:val="clear" w:color="auto" w:fill="FFFFFF"/>
        <w:spacing w:line="44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技术条款偏离表</w:t>
      </w:r>
    </w:p>
    <w:p>
      <w:pPr>
        <w:shd w:val="clear" w:color="auto" w:fill="FFFFFF"/>
        <w:spacing w:line="500" w:lineRule="exact"/>
        <w:ind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项目名称：                                 项目编号：</w:t>
      </w:r>
    </w:p>
    <w:p>
      <w:pPr>
        <w:shd w:val="clear" w:color="auto" w:fill="FFFFFF"/>
        <w:spacing w:line="500" w:lineRule="exact"/>
        <w:ind w:firstLine="105" w:firstLineChars="50"/>
        <w:rPr>
          <w:rFonts w:ascii="仿宋" w:hAnsi="仿宋" w:eastAsia="仿宋" w:cs="仿宋"/>
          <w:color w:val="auto"/>
          <w:szCs w:val="21"/>
          <w:highlight w:val="none"/>
        </w:rPr>
      </w:pPr>
    </w:p>
    <w:tbl>
      <w:tblPr>
        <w:tblStyle w:val="59"/>
        <w:tblW w:w="9711" w:type="dxa"/>
        <w:jc w:val="center"/>
        <w:tblLayout w:type="fixed"/>
        <w:tblCellMar>
          <w:top w:w="0" w:type="dxa"/>
          <w:left w:w="108" w:type="dxa"/>
          <w:bottom w:w="0" w:type="dxa"/>
          <w:right w:w="108" w:type="dxa"/>
        </w:tblCellMar>
      </w:tblPr>
      <w:tblGrid>
        <w:gridCol w:w="1180"/>
        <w:gridCol w:w="1655"/>
        <w:gridCol w:w="2127"/>
        <w:gridCol w:w="1914"/>
        <w:gridCol w:w="1808"/>
        <w:gridCol w:w="1027"/>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r>
              <w:rPr>
                <w:rFonts w:hint="eastAsia" w:ascii="仿宋" w:hAnsi="仿宋" w:eastAsia="仿宋" w:cs="仿宋"/>
                <w:color w:val="auto"/>
                <w:szCs w:val="21"/>
                <w:highlight w:val="none"/>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条款</w:t>
            </w: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招标规格</w:t>
            </w: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投标规格</w:t>
            </w: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jc w:val="center"/>
              <w:rPr>
                <w:rFonts w:ascii="仿宋" w:hAnsi="仿宋" w:eastAsia="仿宋" w:cs="仿宋"/>
                <w:color w:val="auto"/>
                <w:szCs w:val="21"/>
                <w:highlight w:val="none"/>
              </w:rPr>
            </w:pPr>
            <w:r>
              <w:rPr>
                <w:rFonts w:hint="eastAsia" w:ascii="仿宋" w:hAnsi="仿宋" w:eastAsia="仿宋" w:cs="仿宋"/>
                <w:color w:val="auto"/>
                <w:szCs w:val="21"/>
                <w:highlight w:val="none"/>
              </w:rPr>
              <w:t>是否偏离</w:t>
            </w: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s="仿宋"/>
                <w:color w:val="auto"/>
                <w:szCs w:val="21"/>
                <w:highlight w:val="none"/>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s="仿宋"/>
                <w:color w:val="auto"/>
                <w:szCs w:val="21"/>
                <w:highlight w:val="none"/>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s="仿宋"/>
                <w:color w:val="auto"/>
                <w:szCs w:val="21"/>
                <w:highlight w:val="none"/>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s="仿宋"/>
                <w:color w:val="auto"/>
                <w:szCs w:val="21"/>
                <w:highlight w:val="none"/>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s="仿宋"/>
                <w:color w:val="auto"/>
                <w:szCs w:val="21"/>
                <w:highlight w:val="none"/>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s="仿宋"/>
                <w:color w:val="auto"/>
                <w:szCs w:val="21"/>
                <w:highlight w:val="none"/>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s="仿宋"/>
                <w:color w:val="auto"/>
                <w:szCs w:val="21"/>
                <w:highlight w:val="none"/>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s="仿宋"/>
                <w:color w:val="auto"/>
                <w:szCs w:val="21"/>
                <w:highlight w:val="none"/>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s="仿宋"/>
                <w:color w:val="auto"/>
                <w:szCs w:val="21"/>
                <w:highlight w:val="none"/>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s="仿宋"/>
                <w:color w:val="auto"/>
                <w:szCs w:val="21"/>
                <w:highlight w:val="none"/>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r>
              <w:rPr>
                <w:rFonts w:hint="eastAsia" w:ascii="仿宋" w:hAnsi="仿宋" w:eastAsia="仿宋" w:cs="仿宋"/>
                <w:color w:val="auto"/>
                <w:szCs w:val="21"/>
                <w:highlight w:val="none"/>
              </w:rPr>
              <w:t>…</w:t>
            </w:r>
          </w:p>
          <w:p>
            <w:pPr>
              <w:shd w:val="clear" w:color="auto" w:fill="FFFFFF"/>
              <w:spacing w:line="500" w:lineRule="exact"/>
              <w:ind w:firstLine="99"/>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s="仿宋"/>
                <w:color w:val="auto"/>
                <w:szCs w:val="21"/>
                <w:highlight w:val="none"/>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s="仿宋"/>
                <w:color w:val="auto"/>
                <w:szCs w:val="21"/>
                <w:highlight w:val="none"/>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s="仿宋"/>
                <w:color w:val="auto"/>
                <w:szCs w:val="21"/>
                <w:highlight w:val="none"/>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s="仿宋"/>
                <w:color w:val="auto"/>
                <w:szCs w:val="21"/>
                <w:highlight w:val="none"/>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s="仿宋"/>
                <w:color w:val="auto"/>
                <w:szCs w:val="21"/>
                <w:highlight w:val="none"/>
              </w:rPr>
            </w:pPr>
          </w:p>
        </w:tc>
      </w:tr>
    </w:tbl>
    <w:p>
      <w:pPr>
        <w:shd w:val="clear" w:color="auto" w:fill="FFFFFF"/>
        <w:spacing w:line="44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供应商须对照第五部分《采购需求》全部内容逐条列明响应内容及是否偏离等情况，对需求中标注★号的重要技术参数条款以及一般技术参数条款中要求提供截图、外观证明、证书、附图等各类证明资料的，应提供相关有效证明材料，并在“备注”栏说明证明资料在《响应文件》的具体页码，否则，视为负偏离。</w:t>
      </w:r>
    </w:p>
    <w:p>
      <w:pPr>
        <w:shd w:val="clear" w:color="auto" w:fill="FFFFFF"/>
        <w:spacing w:line="500" w:lineRule="exact"/>
        <w:rPr>
          <w:rFonts w:ascii="仿宋" w:hAnsi="仿宋" w:eastAsia="仿宋" w:cs="仿宋"/>
          <w:b/>
          <w:color w:val="auto"/>
          <w:szCs w:val="21"/>
          <w:highlight w:val="none"/>
        </w:rPr>
      </w:pPr>
    </w:p>
    <w:p>
      <w:pPr>
        <w:shd w:val="clear" w:color="auto" w:fill="FFFFFF"/>
        <w:spacing w:line="440" w:lineRule="exact"/>
        <w:rPr>
          <w:rFonts w:ascii="仿宋" w:hAnsi="仿宋" w:eastAsia="仿宋" w:cs="仿宋"/>
          <w:color w:val="auto"/>
          <w:szCs w:val="21"/>
          <w:highlight w:val="none"/>
        </w:rPr>
      </w:pPr>
    </w:p>
    <w:p>
      <w:pPr>
        <w:shd w:val="clear" w:color="auto" w:fill="FFFFFF"/>
        <w:spacing w:line="500" w:lineRule="exact"/>
        <w:rPr>
          <w:rFonts w:ascii="仿宋" w:hAnsi="仿宋" w:eastAsia="仿宋" w:cs="仿宋"/>
          <w:color w:val="auto"/>
          <w:sz w:val="24"/>
          <w:highlight w:val="none"/>
        </w:rPr>
      </w:pPr>
    </w:p>
    <w:p>
      <w:pPr>
        <w:shd w:val="clear" w:color="auto" w:fill="FFFFFF"/>
        <w:spacing w:line="500" w:lineRule="exact"/>
        <w:rPr>
          <w:rFonts w:ascii="仿宋" w:hAnsi="仿宋" w:eastAsia="仿宋" w:cs="仿宋"/>
          <w:color w:val="auto"/>
          <w:sz w:val="24"/>
          <w:highlight w:val="none"/>
        </w:rPr>
      </w:pPr>
    </w:p>
    <w:p>
      <w:pPr>
        <w:pStyle w:val="304"/>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pPr>
        <w:shd w:val="clear" w:color="auto" w:fill="FFFFFF"/>
        <w:spacing w:line="440" w:lineRule="exact"/>
        <w:rPr>
          <w:rFonts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pPr>
        <w:widowControl/>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pPr>
        <w:shd w:val="clear" w:color="auto" w:fill="FFFFFF"/>
        <w:spacing w:line="500" w:lineRule="exact"/>
        <w:rPr>
          <w:rFonts w:ascii="仿宋" w:hAnsi="仿宋" w:eastAsia="仿宋" w:cs="仿宋"/>
          <w:color w:val="auto"/>
          <w:sz w:val="24"/>
          <w:highlight w:val="none"/>
        </w:rPr>
      </w:pPr>
      <w:r>
        <w:rPr>
          <w:rFonts w:hint="eastAsia" w:ascii="仿宋" w:hAnsi="仿宋" w:eastAsia="仿宋" w:cs="仿宋"/>
          <w:b/>
          <w:bCs/>
          <w:color w:val="auto"/>
          <w:sz w:val="24"/>
          <w:highlight w:val="none"/>
        </w:rPr>
        <w:t>附件十三  产品详细配置清单</w:t>
      </w:r>
    </w:p>
    <w:p>
      <w:pPr>
        <w:widowControl/>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pPr>
        <w:shd w:val="clear" w:color="auto" w:fill="FFFFFF"/>
        <w:spacing w:line="50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附件十四  项目实施方案（包括但不限于项目详细的实施计划、设备到货进度计划、安装调试计划、项目重点难点分析及应对措施等）</w:t>
      </w:r>
    </w:p>
    <w:p>
      <w:pPr>
        <w:pStyle w:val="57"/>
        <w:ind w:firstLine="0" w:firstLineChars="0"/>
        <w:rPr>
          <w:rFonts w:ascii="仿宋" w:hAnsi="仿宋" w:eastAsia="仿宋" w:cs="仿宋"/>
          <w:b/>
          <w:bCs/>
          <w:color w:val="auto"/>
          <w:sz w:val="28"/>
          <w:szCs w:val="28"/>
          <w:highlight w:val="none"/>
        </w:rPr>
      </w:pPr>
    </w:p>
    <w:p>
      <w:pPr>
        <w:widowControl/>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pPr>
        <w:widowControl/>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附件十五  售后服务方案（包括但不限于售后服务响应时间、服务保障措施、培训计划方案、服务网点、易损件及备件价格等）</w:t>
      </w:r>
    </w:p>
    <w:p>
      <w:pPr>
        <w:pStyle w:val="2"/>
        <w:rPr>
          <w:rFonts w:ascii="仿宋" w:hAnsi="仿宋" w:eastAsia="仿宋" w:cs="仿宋"/>
          <w:b/>
          <w:bCs/>
          <w:color w:val="auto"/>
          <w:kern w:val="0"/>
          <w:sz w:val="24"/>
          <w:highlight w:val="none"/>
        </w:rPr>
      </w:pPr>
    </w:p>
    <w:p>
      <w:pP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br w:type="page"/>
      </w:r>
    </w:p>
    <w:p>
      <w:pPr>
        <w:rPr>
          <w:rFonts w:ascii="仿宋" w:hAnsi="仿宋" w:eastAsia="仿宋" w:cs="仿宋"/>
          <w:b/>
          <w:bCs/>
          <w:color w:val="auto"/>
          <w:kern w:val="0"/>
          <w:sz w:val="24"/>
          <w:highlight w:val="none"/>
        </w:rPr>
      </w:pPr>
      <w:r>
        <w:rPr>
          <w:rFonts w:hint="eastAsia" w:ascii="仿宋" w:hAnsi="仿宋" w:eastAsia="仿宋" w:cs="仿宋"/>
          <w:b/>
          <w:bCs/>
          <w:color w:val="auto"/>
          <w:kern w:val="0"/>
          <w:szCs w:val="21"/>
          <w:highlight w:val="none"/>
        </w:rPr>
        <w:t>附设备常用易损件及备件清单</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92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97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197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97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854" w:type="dxa"/>
            <w:gridSpan w:val="5"/>
          </w:tcPr>
          <w:p>
            <w:pPr>
              <w:pStyle w:val="2"/>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一、隔离式医纺清洁处理机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(触摸屏)电脑版</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变频电机</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角座阀</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变频器</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轴承</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油封</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水阀</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蒸汽阀</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水封</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三角带</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压力控制阀</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两联件</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防爆磁性开关</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减震阻尼器</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减震气囊</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16</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三色灯</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17</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电池阀</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18</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骨架油封</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19</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进水波纹管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排水波纹管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空气平衡波纹管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22</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加料斗波纹管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23</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蒸汽软管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24</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门密封条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25</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玻璃密封条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26</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接近开关</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27</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微动开关</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28</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空气弹簧</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29</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气缸</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30</w:t>
            </w:r>
          </w:p>
        </w:tc>
        <w:tc>
          <w:tcPr>
            <w:tcW w:w="2921" w:type="dxa"/>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支撑杆</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854" w:type="dxa"/>
            <w:gridSpan w:val="5"/>
          </w:tcPr>
          <w:p>
            <w:pPr>
              <w:pStyle w:val="2"/>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二、电加热干燥机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轴承</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三角带</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电脑控制器</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接触器</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921" w:type="dxa"/>
            <w:vAlign w:val="center"/>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电动机</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921" w:type="dxa"/>
            <w:vAlign w:val="center"/>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主轴带轮</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921" w:type="dxa"/>
            <w:vAlign w:val="center"/>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中间皮带轮</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921" w:type="dxa"/>
            <w:vAlign w:val="center"/>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主轴 (锻打件)</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2921" w:type="dxa"/>
            <w:vAlign w:val="center"/>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门锁</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2921" w:type="dxa"/>
            <w:vAlign w:val="center"/>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行程开关</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921" w:type="dxa"/>
            <w:vAlign w:val="center"/>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带立式座轴承</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921" w:type="dxa"/>
            <w:vAlign w:val="center"/>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电机</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854" w:type="dxa"/>
            <w:gridSpan w:val="5"/>
          </w:tcPr>
          <w:p>
            <w:pPr>
              <w:pStyle w:val="2"/>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三、辊电加热辊烫机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烫平带</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指引带</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链条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电机链条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接触器</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继电器</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开关电源</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急停开关</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电加热管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涡轮蜗杆减速器</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烫辊</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921" w:type="dxa"/>
            <w:vAlign w:val="center"/>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轴承</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921" w:type="dxa"/>
            <w:vAlign w:val="center"/>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旋转接头</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854" w:type="dxa"/>
            <w:gridSpan w:val="5"/>
          </w:tcPr>
          <w:p>
            <w:pPr>
              <w:pStyle w:val="2"/>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四、蒸汽发生器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电热管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接触器</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854" w:type="dxa"/>
            <w:gridSpan w:val="5"/>
          </w:tcPr>
          <w:p>
            <w:pPr>
              <w:pStyle w:val="2"/>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五、油浸式空压机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皮带</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接触器</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0"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921" w:type="dxa"/>
          </w:tcPr>
          <w:p>
            <w:pPr>
              <w:pStyle w:val="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气管</w:t>
            </w: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c>
          <w:tcPr>
            <w:tcW w:w="1971" w:type="dxa"/>
          </w:tcPr>
          <w:p>
            <w:pPr>
              <w:pStyle w:val="2"/>
              <w:jc w:val="center"/>
              <w:rPr>
                <w:rFonts w:ascii="仿宋" w:hAnsi="仿宋" w:eastAsia="仿宋" w:cs="仿宋"/>
                <w:color w:val="auto"/>
                <w:sz w:val="21"/>
                <w:szCs w:val="21"/>
                <w:highlight w:val="none"/>
              </w:rPr>
            </w:pPr>
          </w:p>
        </w:tc>
      </w:tr>
    </w:tbl>
    <w:p>
      <w:pPr>
        <w:pStyle w:val="2"/>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注：供应商须按此表填报易损件及备件价格，单价应包含材料费及人工费等各项费用，表格可扩展。同一备件如有不同型号，供应商应尽可能的将该设备可能需要用到的型号填报完整。未提供此表的磋商无效。</w:t>
      </w:r>
    </w:p>
    <w:p>
      <w:pP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pPr>
        <w:pStyle w:val="2"/>
        <w:rPr>
          <w:color w:val="auto"/>
          <w:highlight w:val="none"/>
        </w:rPr>
      </w:pPr>
      <w:r>
        <w:rPr>
          <w:rFonts w:hint="eastAsia" w:ascii="仿宋" w:hAnsi="仿宋" w:eastAsia="仿宋" w:cs="仿宋"/>
          <w:b/>
          <w:bCs/>
          <w:color w:val="auto"/>
          <w:kern w:val="0"/>
          <w:sz w:val="24"/>
          <w:highlight w:val="none"/>
        </w:rPr>
        <w:t>附件十六  所投产品且为所投型号近3年内（自2020年1月1日至本项目磋商截止时间）类似项目业绩</w:t>
      </w:r>
    </w:p>
    <w:p>
      <w:pPr>
        <w:widowControl/>
        <w:spacing w:beforeLines="50" w:afterLines="50" w:line="440" w:lineRule="exact"/>
        <w:jc w:val="center"/>
        <w:rPr>
          <w:rFonts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类似项目业绩表</w:t>
      </w:r>
    </w:p>
    <w:tbl>
      <w:tblPr>
        <w:tblStyle w:val="5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196"/>
        <w:gridCol w:w="1550"/>
        <w:gridCol w:w="1282"/>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pPr>
              <w:widowControl/>
              <w:spacing w:line="440" w:lineRule="exact"/>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1196" w:type="dxa"/>
            <w:shd w:val="clear" w:color="auto" w:fill="F3F3F3"/>
            <w:vAlign w:val="center"/>
          </w:tcPr>
          <w:p>
            <w:pPr>
              <w:widowControl/>
              <w:spacing w:line="440" w:lineRule="exact"/>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项目名称</w:t>
            </w:r>
          </w:p>
        </w:tc>
        <w:tc>
          <w:tcPr>
            <w:tcW w:w="1550" w:type="dxa"/>
            <w:shd w:val="clear" w:color="auto" w:fill="F3F3F3"/>
            <w:vAlign w:val="center"/>
          </w:tcPr>
          <w:p>
            <w:pPr>
              <w:widowControl/>
              <w:spacing w:line="440" w:lineRule="exact"/>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合同主要内容</w:t>
            </w:r>
          </w:p>
        </w:tc>
        <w:tc>
          <w:tcPr>
            <w:tcW w:w="1282" w:type="dxa"/>
            <w:shd w:val="clear" w:color="auto" w:fill="F3F3F3"/>
            <w:vAlign w:val="center"/>
          </w:tcPr>
          <w:p>
            <w:pPr>
              <w:widowControl/>
              <w:spacing w:line="440" w:lineRule="exact"/>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数量规模</w:t>
            </w:r>
          </w:p>
        </w:tc>
        <w:tc>
          <w:tcPr>
            <w:tcW w:w="1393" w:type="dxa"/>
            <w:shd w:val="clear" w:color="auto" w:fill="F3F3F3"/>
            <w:vAlign w:val="center"/>
          </w:tcPr>
          <w:p>
            <w:pPr>
              <w:widowControl/>
              <w:spacing w:line="440" w:lineRule="exact"/>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合同价格</w:t>
            </w:r>
          </w:p>
        </w:tc>
        <w:tc>
          <w:tcPr>
            <w:tcW w:w="3120" w:type="dxa"/>
            <w:shd w:val="clear" w:color="auto" w:fill="F3F3F3"/>
            <w:vAlign w:val="center"/>
          </w:tcPr>
          <w:p>
            <w:pPr>
              <w:widowControl/>
              <w:spacing w:line="440" w:lineRule="exact"/>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s="仿宋"/>
                <w:color w:val="auto"/>
                <w:szCs w:val="21"/>
                <w:highlight w:val="none"/>
              </w:rPr>
            </w:pPr>
          </w:p>
        </w:tc>
        <w:tc>
          <w:tcPr>
            <w:tcW w:w="1196" w:type="dxa"/>
            <w:vAlign w:val="center"/>
          </w:tcPr>
          <w:p>
            <w:pPr>
              <w:widowControl/>
              <w:spacing w:line="440" w:lineRule="exact"/>
              <w:jc w:val="left"/>
              <w:rPr>
                <w:rFonts w:ascii="仿宋" w:hAnsi="仿宋" w:eastAsia="仿宋" w:cs="仿宋"/>
                <w:color w:val="auto"/>
                <w:szCs w:val="21"/>
                <w:highlight w:val="none"/>
              </w:rPr>
            </w:pPr>
          </w:p>
        </w:tc>
        <w:tc>
          <w:tcPr>
            <w:tcW w:w="1550" w:type="dxa"/>
            <w:vAlign w:val="center"/>
          </w:tcPr>
          <w:p>
            <w:pPr>
              <w:widowControl/>
              <w:spacing w:line="440" w:lineRule="exact"/>
              <w:jc w:val="left"/>
              <w:rPr>
                <w:rFonts w:ascii="仿宋" w:hAnsi="仿宋" w:eastAsia="仿宋" w:cs="仿宋"/>
                <w:color w:val="auto"/>
                <w:szCs w:val="21"/>
                <w:highlight w:val="none"/>
              </w:rPr>
            </w:pPr>
          </w:p>
        </w:tc>
        <w:tc>
          <w:tcPr>
            <w:tcW w:w="1282" w:type="dxa"/>
          </w:tcPr>
          <w:p>
            <w:pPr>
              <w:widowControl/>
              <w:spacing w:line="440" w:lineRule="exact"/>
              <w:jc w:val="left"/>
              <w:rPr>
                <w:rFonts w:ascii="仿宋" w:hAnsi="仿宋" w:eastAsia="仿宋" w:cs="仿宋"/>
                <w:color w:val="auto"/>
                <w:szCs w:val="21"/>
                <w:highlight w:val="none"/>
              </w:rPr>
            </w:pPr>
          </w:p>
        </w:tc>
        <w:tc>
          <w:tcPr>
            <w:tcW w:w="1393" w:type="dxa"/>
            <w:vAlign w:val="center"/>
          </w:tcPr>
          <w:p>
            <w:pPr>
              <w:widowControl/>
              <w:spacing w:line="440" w:lineRule="exact"/>
              <w:jc w:val="left"/>
              <w:rPr>
                <w:rFonts w:ascii="仿宋" w:hAnsi="仿宋" w:eastAsia="仿宋" w:cs="仿宋"/>
                <w:color w:val="auto"/>
                <w:szCs w:val="21"/>
                <w:highlight w:val="none"/>
              </w:rPr>
            </w:pPr>
          </w:p>
        </w:tc>
        <w:tc>
          <w:tcPr>
            <w:tcW w:w="3120" w:type="dxa"/>
            <w:vAlign w:val="center"/>
          </w:tcPr>
          <w:p>
            <w:pPr>
              <w:widowControl/>
              <w:spacing w:line="44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s="仿宋"/>
                <w:color w:val="auto"/>
                <w:szCs w:val="21"/>
                <w:highlight w:val="none"/>
              </w:rPr>
            </w:pPr>
          </w:p>
        </w:tc>
        <w:tc>
          <w:tcPr>
            <w:tcW w:w="1196" w:type="dxa"/>
            <w:vAlign w:val="center"/>
          </w:tcPr>
          <w:p>
            <w:pPr>
              <w:widowControl/>
              <w:spacing w:line="440" w:lineRule="exact"/>
              <w:jc w:val="left"/>
              <w:rPr>
                <w:rFonts w:ascii="仿宋" w:hAnsi="仿宋" w:eastAsia="仿宋" w:cs="仿宋"/>
                <w:color w:val="auto"/>
                <w:szCs w:val="21"/>
                <w:highlight w:val="none"/>
              </w:rPr>
            </w:pPr>
          </w:p>
        </w:tc>
        <w:tc>
          <w:tcPr>
            <w:tcW w:w="1550" w:type="dxa"/>
            <w:vAlign w:val="center"/>
          </w:tcPr>
          <w:p>
            <w:pPr>
              <w:widowControl/>
              <w:spacing w:line="440" w:lineRule="exact"/>
              <w:jc w:val="left"/>
              <w:rPr>
                <w:rFonts w:ascii="仿宋" w:hAnsi="仿宋" w:eastAsia="仿宋" w:cs="仿宋"/>
                <w:color w:val="auto"/>
                <w:szCs w:val="21"/>
                <w:highlight w:val="none"/>
              </w:rPr>
            </w:pPr>
          </w:p>
        </w:tc>
        <w:tc>
          <w:tcPr>
            <w:tcW w:w="1282" w:type="dxa"/>
          </w:tcPr>
          <w:p>
            <w:pPr>
              <w:widowControl/>
              <w:spacing w:line="440" w:lineRule="exact"/>
              <w:jc w:val="left"/>
              <w:rPr>
                <w:rFonts w:ascii="仿宋" w:hAnsi="仿宋" w:eastAsia="仿宋" w:cs="仿宋"/>
                <w:color w:val="auto"/>
                <w:szCs w:val="21"/>
                <w:highlight w:val="none"/>
              </w:rPr>
            </w:pPr>
          </w:p>
        </w:tc>
        <w:tc>
          <w:tcPr>
            <w:tcW w:w="1393" w:type="dxa"/>
            <w:vAlign w:val="center"/>
          </w:tcPr>
          <w:p>
            <w:pPr>
              <w:widowControl/>
              <w:spacing w:line="440" w:lineRule="exact"/>
              <w:jc w:val="left"/>
              <w:rPr>
                <w:rFonts w:ascii="仿宋" w:hAnsi="仿宋" w:eastAsia="仿宋" w:cs="仿宋"/>
                <w:color w:val="auto"/>
                <w:szCs w:val="21"/>
                <w:highlight w:val="none"/>
              </w:rPr>
            </w:pPr>
          </w:p>
        </w:tc>
        <w:tc>
          <w:tcPr>
            <w:tcW w:w="3120" w:type="dxa"/>
            <w:vAlign w:val="center"/>
          </w:tcPr>
          <w:p>
            <w:pPr>
              <w:widowControl/>
              <w:spacing w:line="44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s="仿宋"/>
                <w:color w:val="auto"/>
                <w:szCs w:val="21"/>
                <w:highlight w:val="none"/>
              </w:rPr>
            </w:pPr>
          </w:p>
        </w:tc>
        <w:tc>
          <w:tcPr>
            <w:tcW w:w="1196" w:type="dxa"/>
            <w:vAlign w:val="center"/>
          </w:tcPr>
          <w:p>
            <w:pPr>
              <w:widowControl/>
              <w:spacing w:line="440" w:lineRule="exact"/>
              <w:jc w:val="left"/>
              <w:rPr>
                <w:rFonts w:ascii="仿宋" w:hAnsi="仿宋" w:eastAsia="仿宋" w:cs="仿宋"/>
                <w:color w:val="auto"/>
                <w:szCs w:val="21"/>
                <w:highlight w:val="none"/>
              </w:rPr>
            </w:pPr>
          </w:p>
        </w:tc>
        <w:tc>
          <w:tcPr>
            <w:tcW w:w="1550" w:type="dxa"/>
            <w:vAlign w:val="center"/>
          </w:tcPr>
          <w:p>
            <w:pPr>
              <w:widowControl/>
              <w:spacing w:line="440" w:lineRule="exact"/>
              <w:jc w:val="left"/>
              <w:rPr>
                <w:rFonts w:ascii="仿宋" w:hAnsi="仿宋" w:eastAsia="仿宋" w:cs="仿宋"/>
                <w:color w:val="auto"/>
                <w:szCs w:val="21"/>
                <w:highlight w:val="none"/>
              </w:rPr>
            </w:pPr>
          </w:p>
        </w:tc>
        <w:tc>
          <w:tcPr>
            <w:tcW w:w="1282" w:type="dxa"/>
          </w:tcPr>
          <w:p>
            <w:pPr>
              <w:widowControl/>
              <w:spacing w:line="440" w:lineRule="exact"/>
              <w:jc w:val="left"/>
              <w:rPr>
                <w:rFonts w:ascii="仿宋" w:hAnsi="仿宋" w:eastAsia="仿宋" w:cs="仿宋"/>
                <w:color w:val="auto"/>
                <w:szCs w:val="21"/>
                <w:highlight w:val="none"/>
              </w:rPr>
            </w:pPr>
          </w:p>
        </w:tc>
        <w:tc>
          <w:tcPr>
            <w:tcW w:w="1393" w:type="dxa"/>
            <w:vAlign w:val="center"/>
          </w:tcPr>
          <w:p>
            <w:pPr>
              <w:widowControl/>
              <w:spacing w:line="440" w:lineRule="exact"/>
              <w:jc w:val="left"/>
              <w:rPr>
                <w:rFonts w:ascii="仿宋" w:hAnsi="仿宋" w:eastAsia="仿宋" w:cs="仿宋"/>
                <w:color w:val="auto"/>
                <w:szCs w:val="21"/>
                <w:highlight w:val="none"/>
              </w:rPr>
            </w:pPr>
          </w:p>
        </w:tc>
        <w:tc>
          <w:tcPr>
            <w:tcW w:w="3120" w:type="dxa"/>
            <w:vAlign w:val="center"/>
          </w:tcPr>
          <w:p>
            <w:pPr>
              <w:widowControl/>
              <w:spacing w:line="44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s="仿宋"/>
                <w:color w:val="auto"/>
                <w:szCs w:val="21"/>
                <w:highlight w:val="none"/>
              </w:rPr>
            </w:pPr>
          </w:p>
        </w:tc>
        <w:tc>
          <w:tcPr>
            <w:tcW w:w="1196" w:type="dxa"/>
            <w:vAlign w:val="center"/>
          </w:tcPr>
          <w:p>
            <w:pPr>
              <w:widowControl/>
              <w:spacing w:line="440" w:lineRule="exact"/>
              <w:jc w:val="left"/>
              <w:rPr>
                <w:rFonts w:ascii="仿宋" w:hAnsi="仿宋" w:eastAsia="仿宋" w:cs="仿宋"/>
                <w:color w:val="auto"/>
                <w:szCs w:val="21"/>
                <w:highlight w:val="none"/>
              </w:rPr>
            </w:pPr>
          </w:p>
        </w:tc>
        <w:tc>
          <w:tcPr>
            <w:tcW w:w="1550" w:type="dxa"/>
            <w:vAlign w:val="center"/>
          </w:tcPr>
          <w:p>
            <w:pPr>
              <w:widowControl/>
              <w:spacing w:line="440" w:lineRule="exact"/>
              <w:jc w:val="left"/>
              <w:rPr>
                <w:rFonts w:ascii="仿宋" w:hAnsi="仿宋" w:eastAsia="仿宋" w:cs="仿宋"/>
                <w:color w:val="auto"/>
                <w:szCs w:val="21"/>
                <w:highlight w:val="none"/>
              </w:rPr>
            </w:pPr>
          </w:p>
        </w:tc>
        <w:tc>
          <w:tcPr>
            <w:tcW w:w="1282" w:type="dxa"/>
          </w:tcPr>
          <w:p>
            <w:pPr>
              <w:widowControl/>
              <w:spacing w:line="440" w:lineRule="exact"/>
              <w:jc w:val="left"/>
              <w:rPr>
                <w:rFonts w:ascii="仿宋" w:hAnsi="仿宋" w:eastAsia="仿宋" w:cs="仿宋"/>
                <w:color w:val="auto"/>
                <w:szCs w:val="21"/>
                <w:highlight w:val="none"/>
              </w:rPr>
            </w:pPr>
          </w:p>
        </w:tc>
        <w:tc>
          <w:tcPr>
            <w:tcW w:w="1393" w:type="dxa"/>
            <w:vAlign w:val="center"/>
          </w:tcPr>
          <w:p>
            <w:pPr>
              <w:widowControl/>
              <w:spacing w:line="440" w:lineRule="exact"/>
              <w:jc w:val="left"/>
              <w:rPr>
                <w:rFonts w:ascii="仿宋" w:hAnsi="仿宋" w:eastAsia="仿宋" w:cs="仿宋"/>
                <w:color w:val="auto"/>
                <w:szCs w:val="21"/>
                <w:highlight w:val="none"/>
              </w:rPr>
            </w:pPr>
          </w:p>
        </w:tc>
        <w:tc>
          <w:tcPr>
            <w:tcW w:w="3120" w:type="dxa"/>
            <w:vAlign w:val="center"/>
          </w:tcPr>
          <w:p>
            <w:pPr>
              <w:widowControl/>
              <w:spacing w:line="44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s="仿宋"/>
                <w:color w:val="auto"/>
                <w:szCs w:val="21"/>
                <w:highlight w:val="none"/>
              </w:rPr>
            </w:pPr>
          </w:p>
        </w:tc>
        <w:tc>
          <w:tcPr>
            <w:tcW w:w="1196" w:type="dxa"/>
            <w:vAlign w:val="center"/>
          </w:tcPr>
          <w:p>
            <w:pPr>
              <w:widowControl/>
              <w:spacing w:line="440" w:lineRule="exact"/>
              <w:jc w:val="left"/>
              <w:rPr>
                <w:rFonts w:ascii="仿宋" w:hAnsi="仿宋" w:eastAsia="仿宋" w:cs="仿宋"/>
                <w:color w:val="auto"/>
                <w:szCs w:val="21"/>
                <w:highlight w:val="none"/>
              </w:rPr>
            </w:pPr>
          </w:p>
        </w:tc>
        <w:tc>
          <w:tcPr>
            <w:tcW w:w="1550" w:type="dxa"/>
            <w:vAlign w:val="center"/>
          </w:tcPr>
          <w:p>
            <w:pPr>
              <w:widowControl/>
              <w:spacing w:line="440" w:lineRule="exact"/>
              <w:jc w:val="left"/>
              <w:rPr>
                <w:rFonts w:ascii="仿宋" w:hAnsi="仿宋" w:eastAsia="仿宋" w:cs="仿宋"/>
                <w:color w:val="auto"/>
                <w:szCs w:val="21"/>
                <w:highlight w:val="none"/>
              </w:rPr>
            </w:pPr>
          </w:p>
        </w:tc>
        <w:tc>
          <w:tcPr>
            <w:tcW w:w="1282" w:type="dxa"/>
          </w:tcPr>
          <w:p>
            <w:pPr>
              <w:widowControl/>
              <w:spacing w:line="440" w:lineRule="exact"/>
              <w:jc w:val="left"/>
              <w:rPr>
                <w:rFonts w:ascii="仿宋" w:hAnsi="仿宋" w:eastAsia="仿宋" w:cs="仿宋"/>
                <w:color w:val="auto"/>
                <w:szCs w:val="21"/>
                <w:highlight w:val="none"/>
              </w:rPr>
            </w:pPr>
          </w:p>
        </w:tc>
        <w:tc>
          <w:tcPr>
            <w:tcW w:w="1393" w:type="dxa"/>
            <w:vAlign w:val="center"/>
          </w:tcPr>
          <w:p>
            <w:pPr>
              <w:widowControl/>
              <w:spacing w:line="440" w:lineRule="exact"/>
              <w:jc w:val="left"/>
              <w:rPr>
                <w:rFonts w:ascii="仿宋" w:hAnsi="仿宋" w:eastAsia="仿宋" w:cs="仿宋"/>
                <w:color w:val="auto"/>
                <w:szCs w:val="21"/>
                <w:highlight w:val="none"/>
              </w:rPr>
            </w:pPr>
          </w:p>
        </w:tc>
        <w:tc>
          <w:tcPr>
            <w:tcW w:w="3120" w:type="dxa"/>
            <w:vAlign w:val="center"/>
          </w:tcPr>
          <w:p>
            <w:pPr>
              <w:widowControl/>
              <w:spacing w:line="44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s="仿宋"/>
                <w:color w:val="auto"/>
                <w:szCs w:val="21"/>
                <w:highlight w:val="none"/>
              </w:rPr>
            </w:pPr>
          </w:p>
        </w:tc>
        <w:tc>
          <w:tcPr>
            <w:tcW w:w="1196" w:type="dxa"/>
            <w:vAlign w:val="center"/>
          </w:tcPr>
          <w:p>
            <w:pPr>
              <w:widowControl/>
              <w:spacing w:line="440" w:lineRule="exact"/>
              <w:jc w:val="left"/>
              <w:rPr>
                <w:rFonts w:ascii="仿宋" w:hAnsi="仿宋" w:eastAsia="仿宋" w:cs="仿宋"/>
                <w:color w:val="auto"/>
                <w:szCs w:val="21"/>
                <w:highlight w:val="none"/>
              </w:rPr>
            </w:pPr>
          </w:p>
        </w:tc>
        <w:tc>
          <w:tcPr>
            <w:tcW w:w="1550" w:type="dxa"/>
            <w:vAlign w:val="center"/>
          </w:tcPr>
          <w:p>
            <w:pPr>
              <w:widowControl/>
              <w:spacing w:line="440" w:lineRule="exact"/>
              <w:jc w:val="left"/>
              <w:rPr>
                <w:rFonts w:ascii="仿宋" w:hAnsi="仿宋" w:eastAsia="仿宋" w:cs="仿宋"/>
                <w:color w:val="auto"/>
                <w:szCs w:val="21"/>
                <w:highlight w:val="none"/>
              </w:rPr>
            </w:pPr>
          </w:p>
        </w:tc>
        <w:tc>
          <w:tcPr>
            <w:tcW w:w="1282" w:type="dxa"/>
          </w:tcPr>
          <w:p>
            <w:pPr>
              <w:widowControl/>
              <w:spacing w:line="440" w:lineRule="exact"/>
              <w:jc w:val="left"/>
              <w:rPr>
                <w:rFonts w:ascii="仿宋" w:hAnsi="仿宋" w:eastAsia="仿宋" w:cs="仿宋"/>
                <w:color w:val="auto"/>
                <w:szCs w:val="21"/>
                <w:highlight w:val="none"/>
              </w:rPr>
            </w:pPr>
          </w:p>
        </w:tc>
        <w:tc>
          <w:tcPr>
            <w:tcW w:w="1393" w:type="dxa"/>
            <w:vAlign w:val="center"/>
          </w:tcPr>
          <w:p>
            <w:pPr>
              <w:widowControl/>
              <w:spacing w:line="440" w:lineRule="exact"/>
              <w:jc w:val="left"/>
              <w:rPr>
                <w:rFonts w:ascii="仿宋" w:hAnsi="仿宋" w:eastAsia="仿宋" w:cs="仿宋"/>
                <w:color w:val="auto"/>
                <w:szCs w:val="21"/>
                <w:highlight w:val="none"/>
              </w:rPr>
            </w:pPr>
          </w:p>
        </w:tc>
        <w:tc>
          <w:tcPr>
            <w:tcW w:w="3120" w:type="dxa"/>
            <w:vAlign w:val="center"/>
          </w:tcPr>
          <w:p>
            <w:pPr>
              <w:widowControl/>
              <w:spacing w:line="44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96" w:type="dxa"/>
            <w:vAlign w:val="center"/>
          </w:tcPr>
          <w:p>
            <w:pPr>
              <w:widowControl/>
              <w:spacing w:line="44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550" w:type="dxa"/>
            <w:vAlign w:val="center"/>
          </w:tcPr>
          <w:p>
            <w:pPr>
              <w:widowControl/>
              <w:spacing w:line="440" w:lineRule="exact"/>
              <w:jc w:val="left"/>
              <w:rPr>
                <w:rFonts w:ascii="仿宋" w:hAnsi="仿宋" w:eastAsia="仿宋" w:cs="仿宋"/>
                <w:color w:val="auto"/>
                <w:szCs w:val="21"/>
                <w:highlight w:val="none"/>
              </w:rPr>
            </w:pPr>
          </w:p>
        </w:tc>
        <w:tc>
          <w:tcPr>
            <w:tcW w:w="1282" w:type="dxa"/>
          </w:tcPr>
          <w:p>
            <w:pPr>
              <w:widowControl/>
              <w:spacing w:line="440" w:lineRule="exact"/>
              <w:jc w:val="left"/>
              <w:rPr>
                <w:rFonts w:ascii="仿宋" w:hAnsi="仿宋" w:eastAsia="仿宋" w:cs="仿宋"/>
                <w:color w:val="auto"/>
                <w:szCs w:val="21"/>
                <w:highlight w:val="none"/>
              </w:rPr>
            </w:pPr>
          </w:p>
        </w:tc>
        <w:tc>
          <w:tcPr>
            <w:tcW w:w="1393" w:type="dxa"/>
            <w:vAlign w:val="center"/>
          </w:tcPr>
          <w:p>
            <w:pPr>
              <w:widowControl/>
              <w:spacing w:line="440" w:lineRule="exact"/>
              <w:jc w:val="left"/>
              <w:rPr>
                <w:rFonts w:ascii="仿宋" w:hAnsi="仿宋" w:eastAsia="仿宋" w:cs="仿宋"/>
                <w:color w:val="auto"/>
                <w:szCs w:val="21"/>
                <w:highlight w:val="none"/>
              </w:rPr>
            </w:pPr>
          </w:p>
        </w:tc>
        <w:tc>
          <w:tcPr>
            <w:tcW w:w="3120" w:type="dxa"/>
            <w:vAlign w:val="center"/>
          </w:tcPr>
          <w:p>
            <w:pPr>
              <w:widowControl/>
              <w:spacing w:line="44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s="仿宋"/>
                <w:color w:val="auto"/>
                <w:szCs w:val="21"/>
                <w:highlight w:val="none"/>
              </w:rPr>
            </w:pPr>
          </w:p>
        </w:tc>
        <w:tc>
          <w:tcPr>
            <w:tcW w:w="1196" w:type="dxa"/>
            <w:vAlign w:val="center"/>
          </w:tcPr>
          <w:p>
            <w:pPr>
              <w:widowControl/>
              <w:spacing w:line="440" w:lineRule="exact"/>
              <w:jc w:val="left"/>
              <w:rPr>
                <w:rFonts w:ascii="仿宋" w:hAnsi="仿宋" w:eastAsia="仿宋" w:cs="仿宋"/>
                <w:color w:val="auto"/>
                <w:szCs w:val="21"/>
                <w:highlight w:val="none"/>
              </w:rPr>
            </w:pPr>
          </w:p>
        </w:tc>
        <w:tc>
          <w:tcPr>
            <w:tcW w:w="1550" w:type="dxa"/>
            <w:vAlign w:val="center"/>
          </w:tcPr>
          <w:p>
            <w:pPr>
              <w:widowControl/>
              <w:spacing w:line="440" w:lineRule="exact"/>
              <w:jc w:val="left"/>
              <w:rPr>
                <w:rFonts w:ascii="仿宋" w:hAnsi="仿宋" w:eastAsia="仿宋" w:cs="仿宋"/>
                <w:color w:val="auto"/>
                <w:szCs w:val="21"/>
                <w:highlight w:val="none"/>
              </w:rPr>
            </w:pPr>
          </w:p>
        </w:tc>
        <w:tc>
          <w:tcPr>
            <w:tcW w:w="1282" w:type="dxa"/>
          </w:tcPr>
          <w:p>
            <w:pPr>
              <w:widowControl/>
              <w:spacing w:line="440" w:lineRule="exact"/>
              <w:jc w:val="left"/>
              <w:rPr>
                <w:rFonts w:ascii="仿宋" w:hAnsi="仿宋" w:eastAsia="仿宋" w:cs="仿宋"/>
                <w:color w:val="auto"/>
                <w:szCs w:val="21"/>
                <w:highlight w:val="none"/>
              </w:rPr>
            </w:pPr>
          </w:p>
        </w:tc>
        <w:tc>
          <w:tcPr>
            <w:tcW w:w="1393" w:type="dxa"/>
            <w:vAlign w:val="center"/>
          </w:tcPr>
          <w:p>
            <w:pPr>
              <w:widowControl/>
              <w:spacing w:line="440" w:lineRule="exact"/>
              <w:jc w:val="left"/>
              <w:rPr>
                <w:rFonts w:ascii="仿宋" w:hAnsi="仿宋" w:eastAsia="仿宋" w:cs="仿宋"/>
                <w:color w:val="auto"/>
                <w:szCs w:val="21"/>
                <w:highlight w:val="none"/>
              </w:rPr>
            </w:pPr>
          </w:p>
        </w:tc>
        <w:tc>
          <w:tcPr>
            <w:tcW w:w="3120" w:type="dxa"/>
            <w:vAlign w:val="center"/>
          </w:tcPr>
          <w:p>
            <w:pPr>
              <w:widowControl/>
              <w:spacing w:line="44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s="仿宋"/>
                <w:color w:val="auto"/>
                <w:szCs w:val="21"/>
                <w:highlight w:val="none"/>
              </w:rPr>
            </w:pPr>
          </w:p>
        </w:tc>
        <w:tc>
          <w:tcPr>
            <w:tcW w:w="1196" w:type="dxa"/>
            <w:vAlign w:val="center"/>
          </w:tcPr>
          <w:p>
            <w:pPr>
              <w:widowControl/>
              <w:spacing w:line="440" w:lineRule="exact"/>
              <w:jc w:val="left"/>
              <w:rPr>
                <w:rFonts w:ascii="仿宋" w:hAnsi="仿宋" w:eastAsia="仿宋" w:cs="仿宋"/>
                <w:color w:val="auto"/>
                <w:szCs w:val="21"/>
                <w:highlight w:val="none"/>
              </w:rPr>
            </w:pPr>
          </w:p>
        </w:tc>
        <w:tc>
          <w:tcPr>
            <w:tcW w:w="1550" w:type="dxa"/>
            <w:vAlign w:val="center"/>
          </w:tcPr>
          <w:p>
            <w:pPr>
              <w:widowControl/>
              <w:spacing w:line="440" w:lineRule="exact"/>
              <w:jc w:val="left"/>
              <w:rPr>
                <w:rFonts w:ascii="仿宋" w:hAnsi="仿宋" w:eastAsia="仿宋" w:cs="仿宋"/>
                <w:color w:val="auto"/>
                <w:szCs w:val="21"/>
                <w:highlight w:val="none"/>
              </w:rPr>
            </w:pPr>
          </w:p>
        </w:tc>
        <w:tc>
          <w:tcPr>
            <w:tcW w:w="1282" w:type="dxa"/>
          </w:tcPr>
          <w:p>
            <w:pPr>
              <w:widowControl/>
              <w:spacing w:line="440" w:lineRule="exact"/>
              <w:jc w:val="left"/>
              <w:rPr>
                <w:rFonts w:ascii="仿宋" w:hAnsi="仿宋" w:eastAsia="仿宋" w:cs="仿宋"/>
                <w:color w:val="auto"/>
                <w:szCs w:val="21"/>
                <w:highlight w:val="none"/>
              </w:rPr>
            </w:pPr>
          </w:p>
        </w:tc>
        <w:tc>
          <w:tcPr>
            <w:tcW w:w="1393" w:type="dxa"/>
            <w:vAlign w:val="center"/>
          </w:tcPr>
          <w:p>
            <w:pPr>
              <w:widowControl/>
              <w:spacing w:line="440" w:lineRule="exact"/>
              <w:jc w:val="left"/>
              <w:rPr>
                <w:rFonts w:ascii="仿宋" w:hAnsi="仿宋" w:eastAsia="仿宋" w:cs="仿宋"/>
                <w:color w:val="auto"/>
                <w:szCs w:val="21"/>
                <w:highlight w:val="none"/>
              </w:rPr>
            </w:pPr>
          </w:p>
        </w:tc>
        <w:tc>
          <w:tcPr>
            <w:tcW w:w="3120" w:type="dxa"/>
            <w:vAlign w:val="center"/>
          </w:tcPr>
          <w:p>
            <w:pPr>
              <w:widowControl/>
              <w:spacing w:line="44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s="仿宋"/>
                <w:b/>
                <w:color w:val="auto"/>
                <w:szCs w:val="21"/>
                <w:highlight w:val="none"/>
              </w:rPr>
            </w:pPr>
          </w:p>
        </w:tc>
        <w:tc>
          <w:tcPr>
            <w:tcW w:w="1196" w:type="dxa"/>
            <w:vAlign w:val="center"/>
          </w:tcPr>
          <w:p>
            <w:pPr>
              <w:widowControl/>
              <w:spacing w:line="440" w:lineRule="exact"/>
              <w:jc w:val="left"/>
              <w:rPr>
                <w:rFonts w:ascii="仿宋" w:hAnsi="仿宋" w:eastAsia="仿宋" w:cs="仿宋"/>
                <w:b/>
                <w:color w:val="auto"/>
                <w:szCs w:val="21"/>
                <w:highlight w:val="none"/>
              </w:rPr>
            </w:pPr>
          </w:p>
        </w:tc>
        <w:tc>
          <w:tcPr>
            <w:tcW w:w="1550" w:type="dxa"/>
            <w:vAlign w:val="center"/>
          </w:tcPr>
          <w:p>
            <w:pPr>
              <w:widowControl/>
              <w:spacing w:line="440" w:lineRule="exact"/>
              <w:jc w:val="left"/>
              <w:rPr>
                <w:rFonts w:ascii="仿宋" w:hAnsi="仿宋" w:eastAsia="仿宋" w:cs="仿宋"/>
                <w:b/>
                <w:color w:val="auto"/>
                <w:szCs w:val="21"/>
                <w:highlight w:val="none"/>
              </w:rPr>
            </w:pPr>
          </w:p>
        </w:tc>
        <w:tc>
          <w:tcPr>
            <w:tcW w:w="1282" w:type="dxa"/>
          </w:tcPr>
          <w:p>
            <w:pPr>
              <w:widowControl/>
              <w:spacing w:line="440" w:lineRule="exact"/>
              <w:jc w:val="left"/>
              <w:rPr>
                <w:rFonts w:ascii="仿宋" w:hAnsi="仿宋" w:eastAsia="仿宋" w:cs="仿宋"/>
                <w:b/>
                <w:color w:val="auto"/>
                <w:szCs w:val="21"/>
                <w:highlight w:val="none"/>
              </w:rPr>
            </w:pPr>
          </w:p>
        </w:tc>
        <w:tc>
          <w:tcPr>
            <w:tcW w:w="1393" w:type="dxa"/>
            <w:vAlign w:val="center"/>
          </w:tcPr>
          <w:p>
            <w:pPr>
              <w:widowControl/>
              <w:spacing w:line="440" w:lineRule="exact"/>
              <w:jc w:val="left"/>
              <w:rPr>
                <w:rFonts w:ascii="仿宋" w:hAnsi="仿宋" w:eastAsia="仿宋" w:cs="仿宋"/>
                <w:b/>
                <w:color w:val="auto"/>
                <w:szCs w:val="21"/>
                <w:highlight w:val="none"/>
              </w:rPr>
            </w:pPr>
          </w:p>
        </w:tc>
        <w:tc>
          <w:tcPr>
            <w:tcW w:w="3120" w:type="dxa"/>
            <w:vAlign w:val="center"/>
          </w:tcPr>
          <w:p>
            <w:pPr>
              <w:widowControl/>
              <w:spacing w:line="440" w:lineRule="exact"/>
              <w:jc w:val="left"/>
              <w:rPr>
                <w:rFonts w:ascii="仿宋" w:hAnsi="仿宋" w:eastAsia="仿宋" w:cs="仿宋"/>
                <w:b/>
                <w:color w:val="auto"/>
                <w:szCs w:val="21"/>
                <w:highlight w:val="none"/>
              </w:rPr>
            </w:pPr>
          </w:p>
        </w:tc>
      </w:tr>
    </w:tbl>
    <w:p>
      <w:pPr>
        <w:shd w:val="clear" w:color="auto" w:fill="FFFFFF"/>
        <w:spacing w:line="420" w:lineRule="exact"/>
        <w:ind w:firstLine="482" w:firstLineChars="200"/>
        <w:rPr>
          <w:rFonts w:ascii="仿宋" w:hAnsi="仿宋" w:eastAsia="仿宋" w:cs="仿宋"/>
          <w:color w:val="auto"/>
          <w:kern w:val="0"/>
          <w:sz w:val="24"/>
          <w:highlight w:val="none"/>
        </w:rPr>
      </w:pPr>
      <w:r>
        <w:rPr>
          <w:rFonts w:hint="eastAsia" w:ascii="仿宋" w:hAnsi="仿宋" w:eastAsia="仿宋" w:cs="仿宋"/>
          <w:b/>
          <w:color w:val="auto"/>
          <w:sz w:val="24"/>
          <w:highlight w:val="none"/>
        </w:rPr>
        <w:t>注：所投产品且为所投型号（110kg隔离式医纺清洁处理机、100kg电加热干燥机、3米2辊电加热辊烫机）的近3年（自2020年1月1日至本项目磋商截止时间）业绩，须提供合同清晰扫描件作为业绩证明材料。证明材料应能清楚反应产品名称、型号、金额、合同签订日期、盖章信息。证明材料未按要求提供的或未提供的，评审时不予采纳。</w:t>
      </w:r>
    </w:p>
    <w:p>
      <w:pPr>
        <w:shd w:val="clear" w:color="auto" w:fill="FFFFFF"/>
        <w:spacing w:line="440" w:lineRule="exact"/>
        <w:rPr>
          <w:rFonts w:ascii="仿宋" w:hAnsi="仿宋" w:eastAsia="仿宋" w:cs="仿宋"/>
          <w:b/>
          <w:color w:val="auto"/>
          <w:szCs w:val="21"/>
          <w:highlight w:val="none"/>
        </w:rPr>
      </w:pPr>
    </w:p>
    <w:p>
      <w:pPr>
        <w:pStyle w:val="304"/>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pPr>
        <w:shd w:val="clear" w:color="auto" w:fill="FFFFFF"/>
        <w:spacing w:line="440" w:lineRule="exact"/>
        <w:rPr>
          <w:rFonts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pPr>
        <w:widowControl/>
        <w:jc w:val="left"/>
        <w:rPr>
          <w:rFonts w:ascii="仿宋" w:hAnsi="仿宋" w:eastAsia="仿宋" w:cs="仿宋"/>
          <w:color w:val="auto"/>
          <w:szCs w:val="21"/>
          <w:highlight w:val="none"/>
        </w:rPr>
      </w:pPr>
    </w:p>
    <w:p>
      <w:pPr>
        <w:widowControl/>
        <w:jc w:val="left"/>
        <w:rPr>
          <w:rFonts w:ascii="仿宋" w:hAnsi="仿宋" w:eastAsia="仿宋" w:cs="仿宋"/>
          <w:color w:val="auto"/>
          <w:szCs w:val="21"/>
          <w:highlight w:val="none"/>
        </w:rPr>
      </w:pPr>
    </w:p>
    <w:p>
      <w:pPr>
        <w:widowControl/>
        <w:jc w:val="left"/>
        <w:rPr>
          <w:rFonts w:ascii="仿宋" w:hAnsi="仿宋" w:eastAsia="仿宋" w:cs="仿宋"/>
          <w:b/>
          <w:bCs/>
          <w:color w:val="auto"/>
          <w:kern w:val="0"/>
          <w:sz w:val="24"/>
          <w:highlight w:val="none"/>
        </w:rPr>
      </w:pPr>
    </w:p>
    <w:p>
      <w:pPr>
        <w:widowControl/>
        <w:jc w:val="left"/>
        <w:rPr>
          <w:rFonts w:ascii="仿宋" w:hAnsi="仿宋" w:eastAsia="仿宋" w:cs="仿宋"/>
          <w:b/>
          <w:bCs/>
          <w:color w:val="auto"/>
          <w:kern w:val="0"/>
          <w:sz w:val="24"/>
          <w:highlight w:val="none"/>
        </w:rPr>
      </w:pPr>
    </w:p>
    <w:p>
      <w:pPr>
        <w:widowControl/>
        <w:jc w:val="left"/>
        <w:rPr>
          <w:rFonts w:ascii="仿宋" w:hAnsi="仿宋" w:eastAsia="仿宋" w:cs="仿宋"/>
          <w:b/>
          <w:bCs/>
          <w:color w:val="auto"/>
          <w:kern w:val="0"/>
          <w:sz w:val="24"/>
          <w:highlight w:val="none"/>
        </w:rPr>
      </w:pPr>
    </w:p>
    <w:p>
      <w:pPr>
        <w:widowControl/>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pPr>
        <w:widowControl/>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附件十七  供应商认为有必要提供的其他资料</w:t>
      </w:r>
    </w:p>
    <w:p>
      <w:pPr>
        <w:widowControl/>
        <w:rPr>
          <w:rFonts w:ascii="仿宋" w:hAnsi="仿宋" w:eastAsia="仿宋" w:cs="仿宋"/>
          <w:color w:val="auto"/>
          <w:sz w:val="24"/>
          <w:highlight w:val="none"/>
        </w:rPr>
      </w:pPr>
    </w:p>
    <w:p>
      <w:pPr>
        <w:pStyle w:val="57"/>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此处可附企业简介、证书、原厂授权书或其他供应商认为有必要提供的资料</w:t>
      </w:r>
    </w:p>
    <w:p>
      <w:pPr>
        <w:pStyle w:val="57"/>
        <w:ind w:firstLine="0" w:firstLineChars="0"/>
        <w:rPr>
          <w:rFonts w:ascii="仿宋" w:hAnsi="仿宋" w:eastAsia="仿宋" w:cs="仿宋"/>
          <w:color w:val="auto"/>
          <w:sz w:val="24"/>
          <w:highlight w:val="none"/>
        </w:rPr>
      </w:pPr>
    </w:p>
    <w:p>
      <w:pPr>
        <w:rPr>
          <w:rFonts w:ascii="仿宋" w:hAnsi="仿宋" w:eastAsia="仿宋" w:cs="仿宋"/>
          <w:b/>
          <w:bCs/>
          <w:color w:val="auto"/>
          <w:kern w:val="0"/>
          <w:sz w:val="24"/>
          <w:highlight w:val="none"/>
        </w:rPr>
      </w:pPr>
    </w:p>
    <w:sectPr>
      <w:headerReference r:id="rId5" w:type="default"/>
      <w:footerReference r:id="rId6" w:type="default"/>
      <w:pgSz w:w="11906" w:h="16838"/>
      <w:pgMar w:top="1134" w:right="1134" w:bottom="1134" w:left="1134" w:header="703" w:footer="851" w:gutter="0"/>
      <w:pgNumType w:fmt="numberInDash" w:start="1"/>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魏碑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eneva">
    <w:altName w:val="Arial"/>
    <w:panose1 w:val="00000000000000000000"/>
    <w:charset w:val="00"/>
    <w:family w:val="auto"/>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0"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7"/>
    </w:sdtPr>
    <w:sdtContent>
      <w:p>
        <w:pPr>
          <w:pStyle w:val="39"/>
          <w:jc w:val="center"/>
        </w:pPr>
        <w:r>
          <w:fldChar w:fldCharType="begin"/>
        </w:r>
        <w:r>
          <w:instrText xml:space="preserve">PAGE   \* MERGEFORMAT</w:instrText>
        </w:r>
        <w:r>
          <w:fldChar w:fldCharType="separate"/>
        </w:r>
        <w:r>
          <w:rPr>
            <w:lang w:val="zh-CN"/>
          </w:rPr>
          <w:t>2</w:t>
        </w:r>
        <w:r>
          <w:rPr>
            <w:lang w:val="zh-CN"/>
          </w:rPr>
          <w:fldChar w:fldCharType="end"/>
        </w:r>
      </w:p>
    </w:sdtContent>
  </w:sdt>
  <w:p>
    <w:pPr>
      <w:ind w:right="359" w:rightChars="171" w:firstLine="525" w:firstLineChars="25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top w:val="dashDotStroked" w:color="auto" w:sz="24" w:space="1"/>
      </w:pBdr>
      <w:jc w:val="center"/>
      <w:rPr>
        <w:rFonts w:ascii="宋体"/>
        <w:kern w:val="0"/>
        <w:sz w:val="20"/>
      </w:rPr>
    </w:pPr>
    <w:r>
      <w:rPr>
        <w:rFonts w:ascii="宋体"/>
        <w:kern w:val="0"/>
        <w:sz w:val="20"/>
      </w:rPr>
      <w:fldChar w:fldCharType="begin"/>
    </w:r>
    <w:r>
      <w:rPr>
        <w:rFonts w:ascii="宋体"/>
        <w:kern w:val="0"/>
        <w:sz w:val="20"/>
      </w:rPr>
      <w:instrText xml:space="preserve"> PAGE   \* MERGEFORMAT </w:instrText>
    </w:r>
    <w:r>
      <w:rPr>
        <w:rFonts w:ascii="宋体"/>
        <w:kern w:val="0"/>
        <w:sz w:val="20"/>
      </w:rPr>
      <w:fldChar w:fldCharType="separate"/>
    </w:r>
    <w:r>
      <w:rPr>
        <w:rFonts w:ascii="宋体"/>
        <w:kern w:val="0"/>
        <w:sz w:val="20"/>
        <w:lang w:val="zh-CN"/>
      </w:rPr>
      <w:t>-</w:t>
    </w:r>
    <w:r>
      <w:rPr>
        <w:rFonts w:ascii="宋体"/>
        <w:kern w:val="0"/>
        <w:sz w:val="20"/>
      </w:rPr>
      <w:t xml:space="preserve"> 39 -</w:t>
    </w:r>
    <w:r>
      <w:rPr>
        <w:rFonts w:ascii="宋体"/>
        <w:kern w:val="0"/>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jc w:val="left"/>
      <w:rPr>
        <w:rFonts w:ascii="仿宋" w:hAnsi="仿宋" w:eastAsia="仿宋"/>
        <w:b/>
        <w:i/>
        <w:spacing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dashDotStroked" w:color="auto" w:sz="24" w:space="0"/>
      </w:pBdr>
      <w:jc w:val="left"/>
      <w:rPr>
        <w:rFonts w:ascii="仿宋" w:hAnsi="仿宋" w:eastAsia="仿宋"/>
        <w:b/>
        <w:i/>
        <w:spacing w:val="-10"/>
      </w:rPr>
    </w:pPr>
    <w:r>
      <w:rPr>
        <w:rFonts w:hint="eastAsia" w:ascii="仿宋" w:hAnsi="仿宋" w:eastAsia="仿宋"/>
        <w:b/>
        <w:i/>
        <w:spacing w:val="-10"/>
      </w:rPr>
      <w:t>库尔勒市第二人民医院洗衣房设备采购项目磋商文件                                                           项目编号：</w:t>
    </w:r>
    <w:r>
      <w:rPr>
        <w:rFonts w:ascii="仿宋" w:hAnsi="仿宋" w:eastAsia="仿宋"/>
        <w:b/>
        <w:i/>
        <w:spacing w:val="-10"/>
      </w:rPr>
      <w:t>2023PCCS004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B2900"/>
    <w:multiLevelType w:val="multilevel"/>
    <w:tmpl w:val="0EDB2900"/>
    <w:lvl w:ilvl="0" w:tentative="0">
      <w:start w:val="1"/>
      <w:numFmt w:val="bullet"/>
      <w:pStyle w:val="512"/>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11BF6E1B"/>
    <w:multiLevelType w:val="multilevel"/>
    <w:tmpl w:val="11BF6E1B"/>
    <w:lvl w:ilvl="0" w:tentative="0">
      <w:start w:val="1"/>
      <w:numFmt w:val="decimal"/>
      <w:pStyle w:val="151"/>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2">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8"/>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3">
    <w:nsid w:val="18232DD3"/>
    <w:multiLevelType w:val="singleLevel"/>
    <w:tmpl w:val="18232DD3"/>
    <w:lvl w:ilvl="0" w:tentative="0">
      <w:start w:val="1"/>
      <w:numFmt w:val="decimal"/>
      <w:pStyle w:val="509"/>
      <w:lvlText w:val="（%1）"/>
      <w:lvlJc w:val="left"/>
      <w:pPr>
        <w:tabs>
          <w:tab w:val="left" w:pos="1800"/>
        </w:tabs>
        <w:ind w:left="1800" w:hanging="900"/>
      </w:pPr>
      <w:rPr>
        <w:rFonts w:hint="eastAsia"/>
      </w:rPr>
    </w:lvl>
  </w:abstractNum>
  <w:abstractNum w:abstractNumId="4">
    <w:nsid w:val="20A10221"/>
    <w:multiLevelType w:val="multilevel"/>
    <w:tmpl w:val="20A10221"/>
    <w:lvl w:ilvl="0" w:tentative="0">
      <w:start w:val="1"/>
      <w:numFmt w:val="decimal"/>
      <w:pStyle w:val="216"/>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7727B63"/>
    <w:multiLevelType w:val="multilevel"/>
    <w:tmpl w:val="27727B63"/>
    <w:lvl w:ilvl="0" w:tentative="0">
      <w:start w:val="1"/>
      <w:numFmt w:val="bullet"/>
      <w:pStyle w:val="43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4F430D32"/>
    <w:multiLevelType w:val="multilevel"/>
    <w:tmpl w:val="4F430D32"/>
    <w:lvl w:ilvl="0" w:tentative="0">
      <w:start w:val="1"/>
      <w:numFmt w:val="decimal"/>
      <w:pStyle w:val="18"/>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7">
    <w:nsid w:val="5B6D3AF1"/>
    <w:multiLevelType w:val="multilevel"/>
    <w:tmpl w:val="5B6D3AF1"/>
    <w:lvl w:ilvl="0" w:tentative="0">
      <w:start w:val="1"/>
      <w:numFmt w:val="decimal"/>
      <w:pStyle w:val="587"/>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8">
    <w:nsid w:val="6E230785"/>
    <w:multiLevelType w:val="multilevel"/>
    <w:tmpl w:val="6E230785"/>
    <w:lvl w:ilvl="0" w:tentative="0">
      <w:start w:val="1"/>
      <w:numFmt w:val="bullet"/>
      <w:pStyle w:val="6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7E3B679F"/>
    <w:multiLevelType w:val="multilevel"/>
    <w:tmpl w:val="7E3B679F"/>
    <w:lvl w:ilvl="0" w:tentative="0">
      <w:start w:val="1"/>
      <w:numFmt w:val="chineseCountingThousand"/>
      <w:pStyle w:val="369"/>
      <w:lvlText w:val="%1."/>
      <w:lvlJc w:val="left"/>
      <w:pPr>
        <w:ind w:left="0" w:firstLine="0"/>
      </w:pPr>
      <w:rPr>
        <w:rFonts w:hint="default"/>
        <w:color w:val="auto"/>
        <w:sz w:val="44"/>
      </w:rPr>
    </w:lvl>
    <w:lvl w:ilvl="1" w:tentative="0">
      <w:start w:val="1"/>
      <w:numFmt w:val="decimal"/>
      <w:pStyle w:val="444"/>
      <w:lvlText w:val="%2"/>
      <w:lvlJc w:val="left"/>
      <w:pPr>
        <w:ind w:left="0" w:firstLine="0"/>
      </w:pPr>
      <w:rPr>
        <w:rFonts w:hint="eastAsia"/>
      </w:rPr>
    </w:lvl>
    <w:lvl w:ilvl="2" w:tentative="0">
      <w:start w:val="1"/>
      <w:numFmt w:val="decimal"/>
      <w:pStyle w:val="552"/>
      <w:lvlText w:val="%2.%3"/>
      <w:lvlJc w:val="left"/>
      <w:pPr>
        <w:ind w:left="0" w:firstLine="0"/>
      </w:pPr>
      <w:rPr>
        <w:rFonts w:hint="eastAsia"/>
      </w:rPr>
    </w:lvl>
    <w:lvl w:ilvl="3" w:tentative="0">
      <w:start w:val="1"/>
      <w:numFmt w:val="decimal"/>
      <w:pStyle w:val="181"/>
      <w:lvlText w:val="%2.%3.%4"/>
      <w:lvlJc w:val="left"/>
      <w:pPr>
        <w:ind w:left="0" w:firstLine="0"/>
      </w:pPr>
      <w:rPr>
        <w:rFonts w:hint="eastAsia"/>
      </w:rPr>
    </w:lvl>
    <w:lvl w:ilvl="4" w:tentative="0">
      <w:start w:val="1"/>
      <w:numFmt w:val="decimal"/>
      <w:pStyle w:val="619"/>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6"/>
  </w:num>
  <w:num w:numId="2">
    <w:abstractNumId w:val="1"/>
  </w:num>
  <w:num w:numId="3">
    <w:abstractNumId w:val="9"/>
  </w:num>
  <w:num w:numId="4">
    <w:abstractNumId w:val="4"/>
  </w:num>
  <w:num w:numId="5">
    <w:abstractNumId w:val="5"/>
  </w:num>
  <w:num w:numId="6">
    <w:abstractNumId w:val="2"/>
  </w:num>
  <w:num w:numId="7">
    <w:abstractNumId w:val="3"/>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FiMGYwZTBhYzM0ZThjNGIxYzQ3OWNjYTM3NzFjZWYifQ=="/>
  </w:docVars>
  <w:rsids>
    <w:rsidRoot w:val="00FD0709"/>
    <w:rsid w:val="00000648"/>
    <w:rsid w:val="0000080C"/>
    <w:rsid w:val="000009E4"/>
    <w:rsid w:val="0000164C"/>
    <w:rsid w:val="0000219E"/>
    <w:rsid w:val="000026E1"/>
    <w:rsid w:val="00002992"/>
    <w:rsid w:val="00002A72"/>
    <w:rsid w:val="00002D0A"/>
    <w:rsid w:val="00003069"/>
    <w:rsid w:val="0000431D"/>
    <w:rsid w:val="00004BCF"/>
    <w:rsid w:val="00005500"/>
    <w:rsid w:val="00005717"/>
    <w:rsid w:val="00006D5F"/>
    <w:rsid w:val="00006FF4"/>
    <w:rsid w:val="0000711B"/>
    <w:rsid w:val="0000744F"/>
    <w:rsid w:val="00007E6D"/>
    <w:rsid w:val="000100D7"/>
    <w:rsid w:val="00010470"/>
    <w:rsid w:val="00010830"/>
    <w:rsid w:val="00010A5F"/>
    <w:rsid w:val="00010BE4"/>
    <w:rsid w:val="00010CE3"/>
    <w:rsid w:val="00010DF2"/>
    <w:rsid w:val="0001156F"/>
    <w:rsid w:val="00011946"/>
    <w:rsid w:val="00012264"/>
    <w:rsid w:val="0001236A"/>
    <w:rsid w:val="00012804"/>
    <w:rsid w:val="00012EF1"/>
    <w:rsid w:val="00013694"/>
    <w:rsid w:val="00013833"/>
    <w:rsid w:val="000138DF"/>
    <w:rsid w:val="00013ECD"/>
    <w:rsid w:val="000140FD"/>
    <w:rsid w:val="00014180"/>
    <w:rsid w:val="0001462F"/>
    <w:rsid w:val="0001535B"/>
    <w:rsid w:val="00015E47"/>
    <w:rsid w:val="0001650D"/>
    <w:rsid w:val="00016860"/>
    <w:rsid w:val="00016944"/>
    <w:rsid w:val="00016F70"/>
    <w:rsid w:val="0001711C"/>
    <w:rsid w:val="0001769A"/>
    <w:rsid w:val="00017BA0"/>
    <w:rsid w:val="00017BA7"/>
    <w:rsid w:val="00017D72"/>
    <w:rsid w:val="00020677"/>
    <w:rsid w:val="00020F51"/>
    <w:rsid w:val="00022976"/>
    <w:rsid w:val="000235A5"/>
    <w:rsid w:val="000235E9"/>
    <w:rsid w:val="000238B7"/>
    <w:rsid w:val="00023E07"/>
    <w:rsid w:val="00024242"/>
    <w:rsid w:val="0002451A"/>
    <w:rsid w:val="00024E5C"/>
    <w:rsid w:val="0002579A"/>
    <w:rsid w:val="00025802"/>
    <w:rsid w:val="00026643"/>
    <w:rsid w:val="00026B98"/>
    <w:rsid w:val="00026FFE"/>
    <w:rsid w:val="00027213"/>
    <w:rsid w:val="000275F5"/>
    <w:rsid w:val="0003038B"/>
    <w:rsid w:val="00030458"/>
    <w:rsid w:val="00030940"/>
    <w:rsid w:val="00030AD3"/>
    <w:rsid w:val="00032460"/>
    <w:rsid w:val="00032774"/>
    <w:rsid w:val="00032EF4"/>
    <w:rsid w:val="00033651"/>
    <w:rsid w:val="000338C2"/>
    <w:rsid w:val="00033A7C"/>
    <w:rsid w:val="0003443B"/>
    <w:rsid w:val="000344A4"/>
    <w:rsid w:val="00034C64"/>
    <w:rsid w:val="00034C80"/>
    <w:rsid w:val="00034DB4"/>
    <w:rsid w:val="00034EED"/>
    <w:rsid w:val="00034F95"/>
    <w:rsid w:val="00035989"/>
    <w:rsid w:val="000360D5"/>
    <w:rsid w:val="000361E1"/>
    <w:rsid w:val="0003684E"/>
    <w:rsid w:val="000368E0"/>
    <w:rsid w:val="00036F43"/>
    <w:rsid w:val="00037038"/>
    <w:rsid w:val="000375B1"/>
    <w:rsid w:val="000377AC"/>
    <w:rsid w:val="000379CC"/>
    <w:rsid w:val="00037CDB"/>
    <w:rsid w:val="000403B6"/>
    <w:rsid w:val="00040A62"/>
    <w:rsid w:val="000417C3"/>
    <w:rsid w:val="00043FB9"/>
    <w:rsid w:val="00044931"/>
    <w:rsid w:val="00044D3A"/>
    <w:rsid w:val="00047062"/>
    <w:rsid w:val="00047090"/>
    <w:rsid w:val="000508A4"/>
    <w:rsid w:val="0005094C"/>
    <w:rsid w:val="00050D70"/>
    <w:rsid w:val="000514DA"/>
    <w:rsid w:val="00051540"/>
    <w:rsid w:val="000517A5"/>
    <w:rsid w:val="00051B60"/>
    <w:rsid w:val="0005275C"/>
    <w:rsid w:val="00052D90"/>
    <w:rsid w:val="000530F3"/>
    <w:rsid w:val="00053BB2"/>
    <w:rsid w:val="000541EF"/>
    <w:rsid w:val="00054260"/>
    <w:rsid w:val="00054B82"/>
    <w:rsid w:val="00054B97"/>
    <w:rsid w:val="000564DE"/>
    <w:rsid w:val="000575AD"/>
    <w:rsid w:val="000578E2"/>
    <w:rsid w:val="00057BEC"/>
    <w:rsid w:val="00057CEE"/>
    <w:rsid w:val="000601CC"/>
    <w:rsid w:val="00060599"/>
    <w:rsid w:val="000614E4"/>
    <w:rsid w:val="000615F7"/>
    <w:rsid w:val="00061754"/>
    <w:rsid w:val="00061E49"/>
    <w:rsid w:val="00063463"/>
    <w:rsid w:val="000636E6"/>
    <w:rsid w:val="00063BE0"/>
    <w:rsid w:val="00063EE6"/>
    <w:rsid w:val="00064A35"/>
    <w:rsid w:val="0006630D"/>
    <w:rsid w:val="000668C3"/>
    <w:rsid w:val="00066E3F"/>
    <w:rsid w:val="000676B4"/>
    <w:rsid w:val="00067A73"/>
    <w:rsid w:val="00067EDF"/>
    <w:rsid w:val="00070238"/>
    <w:rsid w:val="000706EA"/>
    <w:rsid w:val="00070945"/>
    <w:rsid w:val="0007120E"/>
    <w:rsid w:val="0007149E"/>
    <w:rsid w:val="00071AF4"/>
    <w:rsid w:val="00071CDF"/>
    <w:rsid w:val="000720DB"/>
    <w:rsid w:val="000725C8"/>
    <w:rsid w:val="00072985"/>
    <w:rsid w:val="00072BD7"/>
    <w:rsid w:val="00073D89"/>
    <w:rsid w:val="00073E8E"/>
    <w:rsid w:val="000749E7"/>
    <w:rsid w:val="00074E58"/>
    <w:rsid w:val="00075669"/>
    <w:rsid w:val="00076071"/>
    <w:rsid w:val="00080194"/>
    <w:rsid w:val="00080E6A"/>
    <w:rsid w:val="00082016"/>
    <w:rsid w:val="000827AD"/>
    <w:rsid w:val="00082E4F"/>
    <w:rsid w:val="000830A7"/>
    <w:rsid w:val="0008320D"/>
    <w:rsid w:val="000832A1"/>
    <w:rsid w:val="0008382F"/>
    <w:rsid w:val="00083B2D"/>
    <w:rsid w:val="00085DC8"/>
    <w:rsid w:val="00085E32"/>
    <w:rsid w:val="00085FAD"/>
    <w:rsid w:val="00085FF6"/>
    <w:rsid w:val="000864B0"/>
    <w:rsid w:val="000867C7"/>
    <w:rsid w:val="00086BF1"/>
    <w:rsid w:val="00086C8A"/>
    <w:rsid w:val="00087B69"/>
    <w:rsid w:val="00087F9F"/>
    <w:rsid w:val="00090C73"/>
    <w:rsid w:val="00091207"/>
    <w:rsid w:val="0009387E"/>
    <w:rsid w:val="00093C35"/>
    <w:rsid w:val="00093D4C"/>
    <w:rsid w:val="00094064"/>
    <w:rsid w:val="000947F1"/>
    <w:rsid w:val="000949E6"/>
    <w:rsid w:val="00094C95"/>
    <w:rsid w:val="000957C7"/>
    <w:rsid w:val="0009593D"/>
    <w:rsid w:val="00095994"/>
    <w:rsid w:val="00095EAE"/>
    <w:rsid w:val="000966DF"/>
    <w:rsid w:val="000973D4"/>
    <w:rsid w:val="000A08F8"/>
    <w:rsid w:val="000A09BA"/>
    <w:rsid w:val="000A11E5"/>
    <w:rsid w:val="000A1504"/>
    <w:rsid w:val="000A223C"/>
    <w:rsid w:val="000A24A2"/>
    <w:rsid w:val="000A2717"/>
    <w:rsid w:val="000A31AA"/>
    <w:rsid w:val="000A3D7A"/>
    <w:rsid w:val="000A4BCB"/>
    <w:rsid w:val="000A5816"/>
    <w:rsid w:val="000A5AE9"/>
    <w:rsid w:val="000A6391"/>
    <w:rsid w:val="000B0216"/>
    <w:rsid w:val="000B0279"/>
    <w:rsid w:val="000B02B9"/>
    <w:rsid w:val="000B0851"/>
    <w:rsid w:val="000B0960"/>
    <w:rsid w:val="000B0DAB"/>
    <w:rsid w:val="000B1963"/>
    <w:rsid w:val="000B1B5F"/>
    <w:rsid w:val="000B1BB8"/>
    <w:rsid w:val="000B1CC4"/>
    <w:rsid w:val="000B35E1"/>
    <w:rsid w:val="000B389A"/>
    <w:rsid w:val="000B3B40"/>
    <w:rsid w:val="000B4FE9"/>
    <w:rsid w:val="000B60AE"/>
    <w:rsid w:val="000B6137"/>
    <w:rsid w:val="000B65B8"/>
    <w:rsid w:val="000B6AF4"/>
    <w:rsid w:val="000C0AA0"/>
    <w:rsid w:val="000C0AB9"/>
    <w:rsid w:val="000C1377"/>
    <w:rsid w:val="000C17B0"/>
    <w:rsid w:val="000C1C4F"/>
    <w:rsid w:val="000C2CB4"/>
    <w:rsid w:val="000C4110"/>
    <w:rsid w:val="000C41EA"/>
    <w:rsid w:val="000C4B6C"/>
    <w:rsid w:val="000C4D44"/>
    <w:rsid w:val="000C4DD8"/>
    <w:rsid w:val="000C686C"/>
    <w:rsid w:val="000C69D4"/>
    <w:rsid w:val="000C7154"/>
    <w:rsid w:val="000C71F2"/>
    <w:rsid w:val="000C74F1"/>
    <w:rsid w:val="000C7574"/>
    <w:rsid w:val="000D00C8"/>
    <w:rsid w:val="000D0BBC"/>
    <w:rsid w:val="000D0F31"/>
    <w:rsid w:val="000D1353"/>
    <w:rsid w:val="000D153C"/>
    <w:rsid w:val="000D17BA"/>
    <w:rsid w:val="000D1DBA"/>
    <w:rsid w:val="000D1DDD"/>
    <w:rsid w:val="000D2A6D"/>
    <w:rsid w:val="000D2FEE"/>
    <w:rsid w:val="000D328F"/>
    <w:rsid w:val="000D33F8"/>
    <w:rsid w:val="000D5028"/>
    <w:rsid w:val="000D58CC"/>
    <w:rsid w:val="000D5FBA"/>
    <w:rsid w:val="000D62DA"/>
    <w:rsid w:val="000D6A10"/>
    <w:rsid w:val="000D7BA9"/>
    <w:rsid w:val="000D7D03"/>
    <w:rsid w:val="000E01A4"/>
    <w:rsid w:val="000E01BB"/>
    <w:rsid w:val="000E0C38"/>
    <w:rsid w:val="000E0FEE"/>
    <w:rsid w:val="000E17A6"/>
    <w:rsid w:val="000E1875"/>
    <w:rsid w:val="000E1A89"/>
    <w:rsid w:val="000E1E08"/>
    <w:rsid w:val="000E2A07"/>
    <w:rsid w:val="000E36DE"/>
    <w:rsid w:val="000E3F9C"/>
    <w:rsid w:val="000E5C89"/>
    <w:rsid w:val="000E6E62"/>
    <w:rsid w:val="000E7B08"/>
    <w:rsid w:val="000E7BEE"/>
    <w:rsid w:val="000E7DEA"/>
    <w:rsid w:val="000E7EAF"/>
    <w:rsid w:val="000E7F1E"/>
    <w:rsid w:val="000F0017"/>
    <w:rsid w:val="000F01D5"/>
    <w:rsid w:val="000F0549"/>
    <w:rsid w:val="000F1A8B"/>
    <w:rsid w:val="000F1ED1"/>
    <w:rsid w:val="000F2021"/>
    <w:rsid w:val="000F21E5"/>
    <w:rsid w:val="000F24BF"/>
    <w:rsid w:val="000F2A62"/>
    <w:rsid w:val="000F39A1"/>
    <w:rsid w:val="000F3F24"/>
    <w:rsid w:val="000F44AE"/>
    <w:rsid w:val="000F4811"/>
    <w:rsid w:val="000F4FDE"/>
    <w:rsid w:val="000F5042"/>
    <w:rsid w:val="000F5230"/>
    <w:rsid w:val="000F55CE"/>
    <w:rsid w:val="000F5A98"/>
    <w:rsid w:val="000F5C69"/>
    <w:rsid w:val="000F6CC6"/>
    <w:rsid w:val="000F6D58"/>
    <w:rsid w:val="000F6F44"/>
    <w:rsid w:val="000F7A0A"/>
    <w:rsid w:val="00100340"/>
    <w:rsid w:val="00100DD0"/>
    <w:rsid w:val="00100EF6"/>
    <w:rsid w:val="00101022"/>
    <w:rsid w:val="00101550"/>
    <w:rsid w:val="00101A88"/>
    <w:rsid w:val="00102B00"/>
    <w:rsid w:val="00103C81"/>
    <w:rsid w:val="00103FBC"/>
    <w:rsid w:val="00104153"/>
    <w:rsid w:val="001041BA"/>
    <w:rsid w:val="0010489E"/>
    <w:rsid w:val="001048DC"/>
    <w:rsid w:val="00104B84"/>
    <w:rsid w:val="001052E7"/>
    <w:rsid w:val="001056FC"/>
    <w:rsid w:val="001069F0"/>
    <w:rsid w:val="00107541"/>
    <w:rsid w:val="0011054A"/>
    <w:rsid w:val="001113CC"/>
    <w:rsid w:val="001116A8"/>
    <w:rsid w:val="001118E4"/>
    <w:rsid w:val="00111DCF"/>
    <w:rsid w:val="00111ED7"/>
    <w:rsid w:val="00113994"/>
    <w:rsid w:val="00113D6F"/>
    <w:rsid w:val="00113FC6"/>
    <w:rsid w:val="00114276"/>
    <w:rsid w:val="00114616"/>
    <w:rsid w:val="00115496"/>
    <w:rsid w:val="00115817"/>
    <w:rsid w:val="00115CAE"/>
    <w:rsid w:val="00116620"/>
    <w:rsid w:val="0011671D"/>
    <w:rsid w:val="00117833"/>
    <w:rsid w:val="001203C4"/>
    <w:rsid w:val="001205DF"/>
    <w:rsid w:val="00120DC2"/>
    <w:rsid w:val="00120EB2"/>
    <w:rsid w:val="00121314"/>
    <w:rsid w:val="00122B8B"/>
    <w:rsid w:val="001236B1"/>
    <w:rsid w:val="0012439E"/>
    <w:rsid w:val="00124AC7"/>
    <w:rsid w:val="00124DF5"/>
    <w:rsid w:val="00125E8C"/>
    <w:rsid w:val="0012633F"/>
    <w:rsid w:val="00126796"/>
    <w:rsid w:val="00127283"/>
    <w:rsid w:val="00127394"/>
    <w:rsid w:val="00127E92"/>
    <w:rsid w:val="00130176"/>
    <w:rsid w:val="00130A54"/>
    <w:rsid w:val="00130C2C"/>
    <w:rsid w:val="00130D97"/>
    <w:rsid w:val="00130EE4"/>
    <w:rsid w:val="00130FD7"/>
    <w:rsid w:val="00131CC8"/>
    <w:rsid w:val="00131F71"/>
    <w:rsid w:val="00132E8E"/>
    <w:rsid w:val="00133161"/>
    <w:rsid w:val="001331DD"/>
    <w:rsid w:val="0013329C"/>
    <w:rsid w:val="001332D6"/>
    <w:rsid w:val="00133537"/>
    <w:rsid w:val="00133738"/>
    <w:rsid w:val="00133BBE"/>
    <w:rsid w:val="00133D43"/>
    <w:rsid w:val="001348A7"/>
    <w:rsid w:val="00135321"/>
    <w:rsid w:val="00136A35"/>
    <w:rsid w:val="00137242"/>
    <w:rsid w:val="00137F7E"/>
    <w:rsid w:val="00141351"/>
    <w:rsid w:val="00141C8F"/>
    <w:rsid w:val="00141D40"/>
    <w:rsid w:val="001423F7"/>
    <w:rsid w:val="00142ED9"/>
    <w:rsid w:val="0014324D"/>
    <w:rsid w:val="001432C0"/>
    <w:rsid w:val="00143BE1"/>
    <w:rsid w:val="00144F52"/>
    <w:rsid w:val="0014543A"/>
    <w:rsid w:val="00145484"/>
    <w:rsid w:val="00145632"/>
    <w:rsid w:val="001456BD"/>
    <w:rsid w:val="00145D2A"/>
    <w:rsid w:val="001468EF"/>
    <w:rsid w:val="00147522"/>
    <w:rsid w:val="00147B3A"/>
    <w:rsid w:val="00150704"/>
    <w:rsid w:val="00150ECD"/>
    <w:rsid w:val="00151373"/>
    <w:rsid w:val="00152233"/>
    <w:rsid w:val="0015237C"/>
    <w:rsid w:val="00152745"/>
    <w:rsid w:val="00153ED1"/>
    <w:rsid w:val="00154367"/>
    <w:rsid w:val="00154416"/>
    <w:rsid w:val="001544B2"/>
    <w:rsid w:val="00154A90"/>
    <w:rsid w:val="001553B5"/>
    <w:rsid w:val="001556E9"/>
    <w:rsid w:val="00155A2F"/>
    <w:rsid w:val="0015642B"/>
    <w:rsid w:val="001568D4"/>
    <w:rsid w:val="00157E9E"/>
    <w:rsid w:val="00160BC8"/>
    <w:rsid w:val="00161870"/>
    <w:rsid w:val="0016302E"/>
    <w:rsid w:val="00163230"/>
    <w:rsid w:val="0016347D"/>
    <w:rsid w:val="00163499"/>
    <w:rsid w:val="00163CF4"/>
    <w:rsid w:val="001642B0"/>
    <w:rsid w:val="001642D0"/>
    <w:rsid w:val="001647B3"/>
    <w:rsid w:val="00164C20"/>
    <w:rsid w:val="00165A93"/>
    <w:rsid w:val="00165B6E"/>
    <w:rsid w:val="00166EAA"/>
    <w:rsid w:val="00166EDE"/>
    <w:rsid w:val="00167210"/>
    <w:rsid w:val="00167886"/>
    <w:rsid w:val="00167E2A"/>
    <w:rsid w:val="00170781"/>
    <w:rsid w:val="00171434"/>
    <w:rsid w:val="00171C3E"/>
    <w:rsid w:val="00172069"/>
    <w:rsid w:val="00173868"/>
    <w:rsid w:val="00173D3B"/>
    <w:rsid w:val="00175964"/>
    <w:rsid w:val="00175DA1"/>
    <w:rsid w:val="00175FB4"/>
    <w:rsid w:val="001762E9"/>
    <w:rsid w:val="00176468"/>
    <w:rsid w:val="00176877"/>
    <w:rsid w:val="00177106"/>
    <w:rsid w:val="00177D68"/>
    <w:rsid w:val="00180752"/>
    <w:rsid w:val="00180985"/>
    <w:rsid w:val="00180C8F"/>
    <w:rsid w:val="00181C16"/>
    <w:rsid w:val="00181DDC"/>
    <w:rsid w:val="00182166"/>
    <w:rsid w:val="00182460"/>
    <w:rsid w:val="001824E7"/>
    <w:rsid w:val="00182627"/>
    <w:rsid w:val="0018262A"/>
    <w:rsid w:val="001830FF"/>
    <w:rsid w:val="00183396"/>
    <w:rsid w:val="00183CD1"/>
    <w:rsid w:val="00183D54"/>
    <w:rsid w:val="00183FEA"/>
    <w:rsid w:val="00184397"/>
    <w:rsid w:val="00184512"/>
    <w:rsid w:val="001846AE"/>
    <w:rsid w:val="00185020"/>
    <w:rsid w:val="00185166"/>
    <w:rsid w:val="00185451"/>
    <w:rsid w:val="00185BA7"/>
    <w:rsid w:val="0018686D"/>
    <w:rsid w:val="00186876"/>
    <w:rsid w:val="00186A07"/>
    <w:rsid w:val="0018784A"/>
    <w:rsid w:val="0019058B"/>
    <w:rsid w:val="00190DC4"/>
    <w:rsid w:val="00191383"/>
    <w:rsid w:val="0019173B"/>
    <w:rsid w:val="00191C0B"/>
    <w:rsid w:val="00192678"/>
    <w:rsid w:val="001928E7"/>
    <w:rsid w:val="001940A1"/>
    <w:rsid w:val="001951C1"/>
    <w:rsid w:val="00195330"/>
    <w:rsid w:val="00195408"/>
    <w:rsid w:val="001954B8"/>
    <w:rsid w:val="0019588D"/>
    <w:rsid w:val="00195BED"/>
    <w:rsid w:val="0019638F"/>
    <w:rsid w:val="00196965"/>
    <w:rsid w:val="00196CB7"/>
    <w:rsid w:val="00196F34"/>
    <w:rsid w:val="0019721D"/>
    <w:rsid w:val="001978EC"/>
    <w:rsid w:val="00197C2E"/>
    <w:rsid w:val="001A0370"/>
    <w:rsid w:val="001A0940"/>
    <w:rsid w:val="001A0C26"/>
    <w:rsid w:val="001A1572"/>
    <w:rsid w:val="001A1F77"/>
    <w:rsid w:val="001A2869"/>
    <w:rsid w:val="001A33ED"/>
    <w:rsid w:val="001A376D"/>
    <w:rsid w:val="001A3AFB"/>
    <w:rsid w:val="001A4876"/>
    <w:rsid w:val="001A4BED"/>
    <w:rsid w:val="001A4F84"/>
    <w:rsid w:val="001A5CF0"/>
    <w:rsid w:val="001A60A6"/>
    <w:rsid w:val="001A60D0"/>
    <w:rsid w:val="001A61D6"/>
    <w:rsid w:val="001A6DED"/>
    <w:rsid w:val="001A75F9"/>
    <w:rsid w:val="001B0101"/>
    <w:rsid w:val="001B0D17"/>
    <w:rsid w:val="001B0E63"/>
    <w:rsid w:val="001B0E64"/>
    <w:rsid w:val="001B1F23"/>
    <w:rsid w:val="001B3938"/>
    <w:rsid w:val="001B3C6F"/>
    <w:rsid w:val="001B426F"/>
    <w:rsid w:val="001B4527"/>
    <w:rsid w:val="001B5117"/>
    <w:rsid w:val="001B55D3"/>
    <w:rsid w:val="001B5DD9"/>
    <w:rsid w:val="001B60B0"/>
    <w:rsid w:val="001B6539"/>
    <w:rsid w:val="001B658F"/>
    <w:rsid w:val="001B6602"/>
    <w:rsid w:val="001B6CA7"/>
    <w:rsid w:val="001B712A"/>
    <w:rsid w:val="001B7360"/>
    <w:rsid w:val="001B7446"/>
    <w:rsid w:val="001B7540"/>
    <w:rsid w:val="001C01C7"/>
    <w:rsid w:val="001C0200"/>
    <w:rsid w:val="001C061F"/>
    <w:rsid w:val="001C0C8A"/>
    <w:rsid w:val="001C117B"/>
    <w:rsid w:val="001C18D9"/>
    <w:rsid w:val="001C19FA"/>
    <w:rsid w:val="001C2501"/>
    <w:rsid w:val="001C2767"/>
    <w:rsid w:val="001C2C9A"/>
    <w:rsid w:val="001C3010"/>
    <w:rsid w:val="001C314A"/>
    <w:rsid w:val="001C34CD"/>
    <w:rsid w:val="001C39B1"/>
    <w:rsid w:val="001C3E0F"/>
    <w:rsid w:val="001C409B"/>
    <w:rsid w:val="001C511F"/>
    <w:rsid w:val="001C56DD"/>
    <w:rsid w:val="001C5BFB"/>
    <w:rsid w:val="001C75A9"/>
    <w:rsid w:val="001C7D63"/>
    <w:rsid w:val="001D016E"/>
    <w:rsid w:val="001D0F23"/>
    <w:rsid w:val="001D1082"/>
    <w:rsid w:val="001D1A2A"/>
    <w:rsid w:val="001D21B6"/>
    <w:rsid w:val="001D350E"/>
    <w:rsid w:val="001D3C2F"/>
    <w:rsid w:val="001D3EB6"/>
    <w:rsid w:val="001D412F"/>
    <w:rsid w:val="001D4161"/>
    <w:rsid w:val="001D4490"/>
    <w:rsid w:val="001D4A4C"/>
    <w:rsid w:val="001D4FB2"/>
    <w:rsid w:val="001D5068"/>
    <w:rsid w:val="001D5360"/>
    <w:rsid w:val="001D62DB"/>
    <w:rsid w:val="001D63C8"/>
    <w:rsid w:val="001D726B"/>
    <w:rsid w:val="001D771F"/>
    <w:rsid w:val="001D7D3E"/>
    <w:rsid w:val="001E0506"/>
    <w:rsid w:val="001E0698"/>
    <w:rsid w:val="001E1789"/>
    <w:rsid w:val="001E2B77"/>
    <w:rsid w:val="001E30E6"/>
    <w:rsid w:val="001E31B9"/>
    <w:rsid w:val="001E3B18"/>
    <w:rsid w:val="001E3C81"/>
    <w:rsid w:val="001E4A13"/>
    <w:rsid w:val="001E528C"/>
    <w:rsid w:val="001E52A9"/>
    <w:rsid w:val="001E65BE"/>
    <w:rsid w:val="001E6CA5"/>
    <w:rsid w:val="001E6EED"/>
    <w:rsid w:val="001E6FAE"/>
    <w:rsid w:val="001E7078"/>
    <w:rsid w:val="001E75C1"/>
    <w:rsid w:val="001E7944"/>
    <w:rsid w:val="001E7D66"/>
    <w:rsid w:val="001F041F"/>
    <w:rsid w:val="001F14E0"/>
    <w:rsid w:val="001F14F5"/>
    <w:rsid w:val="001F1743"/>
    <w:rsid w:val="001F1CAC"/>
    <w:rsid w:val="001F1E17"/>
    <w:rsid w:val="001F1F1D"/>
    <w:rsid w:val="001F2317"/>
    <w:rsid w:val="001F2419"/>
    <w:rsid w:val="001F4381"/>
    <w:rsid w:val="001F479E"/>
    <w:rsid w:val="001F480C"/>
    <w:rsid w:val="001F5134"/>
    <w:rsid w:val="001F5141"/>
    <w:rsid w:val="001F55A0"/>
    <w:rsid w:val="001F691A"/>
    <w:rsid w:val="001F697E"/>
    <w:rsid w:val="001F76F6"/>
    <w:rsid w:val="001F77AF"/>
    <w:rsid w:val="002002FE"/>
    <w:rsid w:val="00200DBA"/>
    <w:rsid w:val="00200E97"/>
    <w:rsid w:val="002018C8"/>
    <w:rsid w:val="00201D71"/>
    <w:rsid w:val="00201F6C"/>
    <w:rsid w:val="00202445"/>
    <w:rsid w:val="00202657"/>
    <w:rsid w:val="002033CE"/>
    <w:rsid w:val="002036BB"/>
    <w:rsid w:val="00203EA1"/>
    <w:rsid w:val="00203ECC"/>
    <w:rsid w:val="002044E0"/>
    <w:rsid w:val="0020489B"/>
    <w:rsid w:val="00204AE6"/>
    <w:rsid w:val="00204D42"/>
    <w:rsid w:val="002053A0"/>
    <w:rsid w:val="00206433"/>
    <w:rsid w:val="00206AD9"/>
    <w:rsid w:val="00206AE0"/>
    <w:rsid w:val="00206B08"/>
    <w:rsid w:val="0020701F"/>
    <w:rsid w:val="002073D9"/>
    <w:rsid w:val="002100AB"/>
    <w:rsid w:val="002101AD"/>
    <w:rsid w:val="00210BDB"/>
    <w:rsid w:val="00211D5D"/>
    <w:rsid w:val="00212407"/>
    <w:rsid w:val="00212A1D"/>
    <w:rsid w:val="00212E4C"/>
    <w:rsid w:val="002136E3"/>
    <w:rsid w:val="00213954"/>
    <w:rsid w:val="0021398C"/>
    <w:rsid w:val="00213A06"/>
    <w:rsid w:val="00213DFD"/>
    <w:rsid w:val="00214102"/>
    <w:rsid w:val="0021460B"/>
    <w:rsid w:val="002146A5"/>
    <w:rsid w:val="00214D02"/>
    <w:rsid w:val="00214D2C"/>
    <w:rsid w:val="00215669"/>
    <w:rsid w:val="00215A2E"/>
    <w:rsid w:val="00215B0C"/>
    <w:rsid w:val="00215CD4"/>
    <w:rsid w:val="00216E97"/>
    <w:rsid w:val="002170E1"/>
    <w:rsid w:val="002171B9"/>
    <w:rsid w:val="00217E4B"/>
    <w:rsid w:val="002200D7"/>
    <w:rsid w:val="00220596"/>
    <w:rsid w:val="002209E1"/>
    <w:rsid w:val="00220E2F"/>
    <w:rsid w:val="00221059"/>
    <w:rsid w:val="00221080"/>
    <w:rsid w:val="00222502"/>
    <w:rsid w:val="00222A25"/>
    <w:rsid w:val="00223158"/>
    <w:rsid w:val="002242AF"/>
    <w:rsid w:val="00224F57"/>
    <w:rsid w:val="00225746"/>
    <w:rsid w:val="00225955"/>
    <w:rsid w:val="002264D5"/>
    <w:rsid w:val="0022690C"/>
    <w:rsid w:val="00227189"/>
    <w:rsid w:val="0022730E"/>
    <w:rsid w:val="00227B79"/>
    <w:rsid w:val="002300C6"/>
    <w:rsid w:val="002300E1"/>
    <w:rsid w:val="002303C1"/>
    <w:rsid w:val="002304B6"/>
    <w:rsid w:val="0023271B"/>
    <w:rsid w:val="0023299B"/>
    <w:rsid w:val="00233196"/>
    <w:rsid w:val="002336F7"/>
    <w:rsid w:val="00234304"/>
    <w:rsid w:val="0023463B"/>
    <w:rsid w:val="002349FE"/>
    <w:rsid w:val="00234EF7"/>
    <w:rsid w:val="002355FD"/>
    <w:rsid w:val="00235A6F"/>
    <w:rsid w:val="00236104"/>
    <w:rsid w:val="00236D55"/>
    <w:rsid w:val="00237199"/>
    <w:rsid w:val="002372F4"/>
    <w:rsid w:val="00237A0B"/>
    <w:rsid w:val="00237D96"/>
    <w:rsid w:val="002400C1"/>
    <w:rsid w:val="00240846"/>
    <w:rsid w:val="002408A3"/>
    <w:rsid w:val="002409E6"/>
    <w:rsid w:val="00240AEE"/>
    <w:rsid w:val="00240E0B"/>
    <w:rsid w:val="00240E9B"/>
    <w:rsid w:val="00240F2E"/>
    <w:rsid w:val="0024226A"/>
    <w:rsid w:val="00243B4E"/>
    <w:rsid w:val="00243E03"/>
    <w:rsid w:val="00244022"/>
    <w:rsid w:val="002443D9"/>
    <w:rsid w:val="00244EE6"/>
    <w:rsid w:val="00245261"/>
    <w:rsid w:val="00245A2D"/>
    <w:rsid w:val="002461BB"/>
    <w:rsid w:val="002462FB"/>
    <w:rsid w:val="002464DD"/>
    <w:rsid w:val="00247398"/>
    <w:rsid w:val="002502A5"/>
    <w:rsid w:val="00250C42"/>
    <w:rsid w:val="002518C1"/>
    <w:rsid w:val="0025226C"/>
    <w:rsid w:val="00252BF2"/>
    <w:rsid w:val="002534DA"/>
    <w:rsid w:val="002535F1"/>
    <w:rsid w:val="00253712"/>
    <w:rsid w:val="002538DB"/>
    <w:rsid w:val="0025393E"/>
    <w:rsid w:val="00253D4C"/>
    <w:rsid w:val="0025421B"/>
    <w:rsid w:val="0025488B"/>
    <w:rsid w:val="00255643"/>
    <w:rsid w:val="00255B81"/>
    <w:rsid w:val="00255F3F"/>
    <w:rsid w:val="00257B49"/>
    <w:rsid w:val="00260254"/>
    <w:rsid w:val="002602F3"/>
    <w:rsid w:val="0026031A"/>
    <w:rsid w:val="00262276"/>
    <w:rsid w:val="002625BB"/>
    <w:rsid w:val="00262BE9"/>
    <w:rsid w:val="00263B7D"/>
    <w:rsid w:val="0026479C"/>
    <w:rsid w:val="00264859"/>
    <w:rsid w:val="00264BB5"/>
    <w:rsid w:val="00264E05"/>
    <w:rsid w:val="00265D0B"/>
    <w:rsid w:val="002661E8"/>
    <w:rsid w:val="00266402"/>
    <w:rsid w:val="00266CCD"/>
    <w:rsid w:val="00266DE5"/>
    <w:rsid w:val="002679BD"/>
    <w:rsid w:val="00267D78"/>
    <w:rsid w:val="0027015E"/>
    <w:rsid w:val="002702FD"/>
    <w:rsid w:val="00270425"/>
    <w:rsid w:val="0027067A"/>
    <w:rsid w:val="00271231"/>
    <w:rsid w:val="002733E2"/>
    <w:rsid w:val="00273D1C"/>
    <w:rsid w:val="00273FC8"/>
    <w:rsid w:val="002740A1"/>
    <w:rsid w:val="00274244"/>
    <w:rsid w:val="00274336"/>
    <w:rsid w:val="00274451"/>
    <w:rsid w:val="00274541"/>
    <w:rsid w:val="002754D8"/>
    <w:rsid w:val="00275756"/>
    <w:rsid w:val="00275893"/>
    <w:rsid w:val="0027599C"/>
    <w:rsid w:val="002759A1"/>
    <w:rsid w:val="00275A59"/>
    <w:rsid w:val="002763D5"/>
    <w:rsid w:val="0027776E"/>
    <w:rsid w:val="002808D0"/>
    <w:rsid w:val="00280A1F"/>
    <w:rsid w:val="00280A2D"/>
    <w:rsid w:val="00281080"/>
    <w:rsid w:val="00281642"/>
    <w:rsid w:val="002816F6"/>
    <w:rsid w:val="00282325"/>
    <w:rsid w:val="0028241A"/>
    <w:rsid w:val="00282DD6"/>
    <w:rsid w:val="00283395"/>
    <w:rsid w:val="00283DED"/>
    <w:rsid w:val="002842CD"/>
    <w:rsid w:val="00284834"/>
    <w:rsid w:val="0028557C"/>
    <w:rsid w:val="002855C9"/>
    <w:rsid w:val="00285C1B"/>
    <w:rsid w:val="00285EC4"/>
    <w:rsid w:val="00286273"/>
    <w:rsid w:val="00286A37"/>
    <w:rsid w:val="00286B65"/>
    <w:rsid w:val="00287035"/>
    <w:rsid w:val="00287BB1"/>
    <w:rsid w:val="002904AC"/>
    <w:rsid w:val="002904CD"/>
    <w:rsid w:val="002905DB"/>
    <w:rsid w:val="002911C5"/>
    <w:rsid w:val="0029159D"/>
    <w:rsid w:val="002921F2"/>
    <w:rsid w:val="00292652"/>
    <w:rsid w:val="00292A77"/>
    <w:rsid w:val="00292D52"/>
    <w:rsid w:val="00293B6A"/>
    <w:rsid w:val="00293B80"/>
    <w:rsid w:val="002945FC"/>
    <w:rsid w:val="002947CC"/>
    <w:rsid w:val="00294893"/>
    <w:rsid w:val="00294E8F"/>
    <w:rsid w:val="00296D3E"/>
    <w:rsid w:val="00296E7A"/>
    <w:rsid w:val="00297364"/>
    <w:rsid w:val="002977FD"/>
    <w:rsid w:val="00297E80"/>
    <w:rsid w:val="00297F03"/>
    <w:rsid w:val="00297FE1"/>
    <w:rsid w:val="002A0012"/>
    <w:rsid w:val="002A00AA"/>
    <w:rsid w:val="002A0B22"/>
    <w:rsid w:val="002A25BE"/>
    <w:rsid w:val="002A2BAB"/>
    <w:rsid w:val="002A3040"/>
    <w:rsid w:val="002A3742"/>
    <w:rsid w:val="002A4BA2"/>
    <w:rsid w:val="002A4C97"/>
    <w:rsid w:val="002A4E2D"/>
    <w:rsid w:val="002A5B04"/>
    <w:rsid w:val="002A6138"/>
    <w:rsid w:val="002A6614"/>
    <w:rsid w:val="002A6CF9"/>
    <w:rsid w:val="002A71EF"/>
    <w:rsid w:val="002A77C3"/>
    <w:rsid w:val="002A7872"/>
    <w:rsid w:val="002B0DEE"/>
    <w:rsid w:val="002B1668"/>
    <w:rsid w:val="002B23DF"/>
    <w:rsid w:val="002B32EF"/>
    <w:rsid w:val="002B402A"/>
    <w:rsid w:val="002B48B5"/>
    <w:rsid w:val="002B599D"/>
    <w:rsid w:val="002B5A9F"/>
    <w:rsid w:val="002B5C5E"/>
    <w:rsid w:val="002B6892"/>
    <w:rsid w:val="002B6902"/>
    <w:rsid w:val="002B6E17"/>
    <w:rsid w:val="002B7089"/>
    <w:rsid w:val="002C036A"/>
    <w:rsid w:val="002C0420"/>
    <w:rsid w:val="002C149B"/>
    <w:rsid w:val="002C1B5E"/>
    <w:rsid w:val="002C1FE3"/>
    <w:rsid w:val="002C2460"/>
    <w:rsid w:val="002C2D41"/>
    <w:rsid w:val="002C2E16"/>
    <w:rsid w:val="002C3CAC"/>
    <w:rsid w:val="002C40EE"/>
    <w:rsid w:val="002C4E05"/>
    <w:rsid w:val="002C5181"/>
    <w:rsid w:val="002C5358"/>
    <w:rsid w:val="002C55A1"/>
    <w:rsid w:val="002C57C0"/>
    <w:rsid w:val="002C6353"/>
    <w:rsid w:val="002C668B"/>
    <w:rsid w:val="002C6C9C"/>
    <w:rsid w:val="002C6E0E"/>
    <w:rsid w:val="002C73F8"/>
    <w:rsid w:val="002C7882"/>
    <w:rsid w:val="002C7925"/>
    <w:rsid w:val="002C7BDD"/>
    <w:rsid w:val="002C7C8A"/>
    <w:rsid w:val="002D04A9"/>
    <w:rsid w:val="002D0838"/>
    <w:rsid w:val="002D10EF"/>
    <w:rsid w:val="002D1E9D"/>
    <w:rsid w:val="002D202F"/>
    <w:rsid w:val="002D2237"/>
    <w:rsid w:val="002D2E8E"/>
    <w:rsid w:val="002D3343"/>
    <w:rsid w:val="002D39DC"/>
    <w:rsid w:val="002D45BD"/>
    <w:rsid w:val="002D4962"/>
    <w:rsid w:val="002D497C"/>
    <w:rsid w:val="002D4DB5"/>
    <w:rsid w:val="002D5E3D"/>
    <w:rsid w:val="002D6698"/>
    <w:rsid w:val="002D677D"/>
    <w:rsid w:val="002D6B8E"/>
    <w:rsid w:val="002D6BAB"/>
    <w:rsid w:val="002D6F03"/>
    <w:rsid w:val="002D771E"/>
    <w:rsid w:val="002D7CD2"/>
    <w:rsid w:val="002D7F2F"/>
    <w:rsid w:val="002E0426"/>
    <w:rsid w:val="002E04EA"/>
    <w:rsid w:val="002E171C"/>
    <w:rsid w:val="002E193E"/>
    <w:rsid w:val="002E39AA"/>
    <w:rsid w:val="002E3AA7"/>
    <w:rsid w:val="002E3E4E"/>
    <w:rsid w:val="002E3F83"/>
    <w:rsid w:val="002E43D6"/>
    <w:rsid w:val="002E44F0"/>
    <w:rsid w:val="002E4561"/>
    <w:rsid w:val="002E4D99"/>
    <w:rsid w:val="002E5050"/>
    <w:rsid w:val="002E59FB"/>
    <w:rsid w:val="002E5BD1"/>
    <w:rsid w:val="002E5E93"/>
    <w:rsid w:val="002E5F17"/>
    <w:rsid w:val="002E6613"/>
    <w:rsid w:val="002E67CA"/>
    <w:rsid w:val="002E6BE7"/>
    <w:rsid w:val="002E7903"/>
    <w:rsid w:val="002F01B3"/>
    <w:rsid w:val="002F12CB"/>
    <w:rsid w:val="002F14EF"/>
    <w:rsid w:val="002F1841"/>
    <w:rsid w:val="002F1ECD"/>
    <w:rsid w:val="002F1F29"/>
    <w:rsid w:val="002F33C5"/>
    <w:rsid w:val="002F3561"/>
    <w:rsid w:val="002F3591"/>
    <w:rsid w:val="002F4BB7"/>
    <w:rsid w:val="002F51E1"/>
    <w:rsid w:val="002F5998"/>
    <w:rsid w:val="002F5B1D"/>
    <w:rsid w:val="002F636D"/>
    <w:rsid w:val="002F7082"/>
    <w:rsid w:val="002F716B"/>
    <w:rsid w:val="002F7181"/>
    <w:rsid w:val="002F71DA"/>
    <w:rsid w:val="002F7AAB"/>
    <w:rsid w:val="003001D4"/>
    <w:rsid w:val="00300597"/>
    <w:rsid w:val="00300818"/>
    <w:rsid w:val="0030090B"/>
    <w:rsid w:val="00300CD2"/>
    <w:rsid w:val="00300D89"/>
    <w:rsid w:val="00300F32"/>
    <w:rsid w:val="0030104F"/>
    <w:rsid w:val="003018A4"/>
    <w:rsid w:val="00301AC9"/>
    <w:rsid w:val="00302A92"/>
    <w:rsid w:val="00302C46"/>
    <w:rsid w:val="00303DED"/>
    <w:rsid w:val="00304499"/>
    <w:rsid w:val="00304743"/>
    <w:rsid w:val="003052D7"/>
    <w:rsid w:val="00305902"/>
    <w:rsid w:val="00305D3D"/>
    <w:rsid w:val="00305F28"/>
    <w:rsid w:val="00305F43"/>
    <w:rsid w:val="00307F1D"/>
    <w:rsid w:val="00310468"/>
    <w:rsid w:val="00310747"/>
    <w:rsid w:val="00310943"/>
    <w:rsid w:val="00310AED"/>
    <w:rsid w:val="00312026"/>
    <w:rsid w:val="00313AC0"/>
    <w:rsid w:val="00313E14"/>
    <w:rsid w:val="00314B05"/>
    <w:rsid w:val="0031502D"/>
    <w:rsid w:val="003152BB"/>
    <w:rsid w:val="00316286"/>
    <w:rsid w:val="00316A7C"/>
    <w:rsid w:val="00316B20"/>
    <w:rsid w:val="00316F90"/>
    <w:rsid w:val="003177F5"/>
    <w:rsid w:val="00317B16"/>
    <w:rsid w:val="0032015D"/>
    <w:rsid w:val="003201F0"/>
    <w:rsid w:val="003202AC"/>
    <w:rsid w:val="00320A3A"/>
    <w:rsid w:val="00320BCD"/>
    <w:rsid w:val="00321082"/>
    <w:rsid w:val="003217E4"/>
    <w:rsid w:val="003219B3"/>
    <w:rsid w:val="003222CC"/>
    <w:rsid w:val="00322655"/>
    <w:rsid w:val="00322C19"/>
    <w:rsid w:val="003231C6"/>
    <w:rsid w:val="00323301"/>
    <w:rsid w:val="0032377B"/>
    <w:rsid w:val="00323AF7"/>
    <w:rsid w:val="00323E35"/>
    <w:rsid w:val="00325545"/>
    <w:rsid w:val="0032560B"/>
    <w:rsid w:val="003258EB"/>
    <w:rsid w:val="00325C94"/>
    <w:rsid w:val="00325F86"/>
    <w:rsid w:val="0032665D"/>
    <w:rsid w:val="003269E3"/>
    <w:rsid w:val="00326D99"/>
    <w:rsid w:val="00327A9E"/>
    <w:rsid w:val="003301D7"/>
    <w:rsid w:val="0033117D"/>
    <w:rsid w:val="0033185A"/>
    <w:rsid w:val="00331D65"/>
    <w:rsid w:val="0033224C"/>
    <w:rsid w:val="00332671"/>
    <w:rsid w:val="0033281A"/>
    <w:rsid w:val="00332B62"/>
    <w:rsid w:val="003330D8"/>
    <w:rsid w:val="003337E7"/>
    <w:rsid w:val="00333F73"/>
    <w:rsid w:val="00334020"/>
    <w:rsid w:val="00334415"/>
    <w:rsid w:val="0033443D"/>
    <w:rsid w:val="00334BDE"/>
    <w:rsid w:val="00335527"/>
    <w:rsid w:val="0033652A"/>
    <w:rsid w:val="0033684E"/>
    <w:rsid w:val="00336C2C"/>
    <w:rsid w:val="00337271"/>
    <w:rsid w:val="00337A2C"/>
    <w:rsid w:val="00337C72"/>
    <w:rsid w:val="00340540"/>
    <w:rsid w:val="0034083D"/>
    <w:rsid w:val="00340E71"/>
    <w:rsid w:val="003419F1"/>
    <w:rsid w:val="00341F06"/>
    <w:rsid w:val="00343B84"/>
    <w:rsid w:val="00343B9D"/>
    <w:rsid w:val="00343C1B"/>
    <w:rsid w:val="00344709"/>
    <w:rsid w:val="0034515D"/>
    <w:rsid w:val="0034522F"/>
    <w:rsid w:val="00345C11"/>
    <w:rsid w:val="00345C36"/>
    <w:rsid w:val="0034640B"/>
    <w:rsid w:val="003466B1"/>
    <w:rsid w:val="00347271"/>
    <w:rsid w:val="00347532"/>
    <w:rsid w:val="0035020A"/>
    <w:rsid w:val="00350D46"/>
    <w:rsid w:val="0035106E"/>
    <w:rsid w:val="00351466"/>
    <w:rsid w:val="0035186B"/>
    <w:rsid w:val="003519D2"/>
    <w:rsid w:val="00352751"/>
    <w:rsid w:val="003529F1"/>
    <w:rsid w:val="00352CE4"/>
    <w:rsid w:val="00352E53"/>
    <w:rsid w:val="0035398F"/>
    <w:rsid w:val="00353BBA"/>
    <w:rsid w:val="00353E82"/>
    <w:rsid w:val="00354000"/>
    <w:rsid w:val="0035427B"/>
    <w:rsid w:val="003542A3"/>
    <w:rsid w:val="00354AE8"/>
    <w:rsid w:val="00354EB6"/>
    <w:rsid w:val="0035531D"/>
    <w:rsid w:val="003553C2"/>
    <w:rsid w:val="00355851"/>
    <w:rsid w:val="00355A6A"/>
    <w:rsid w:val="00355FB8"/>
    <w:rsid w:val="00356419"/>
    <w:rsid w:val="00356492"/>
    <w:rsid w:val="00356678"/>
    <w:rsid w:val="0035733A"/>
    <w:rsid w:val="003577E1"/>
    <w:rsid w:val="00360511"/>
    <w:rsid w:val="00360984"/>
    <w:rsid w:val="003611BD"/>
    <w:rsid w:val="0036184E"/>
    <w:rsid w:val="00361DD3"/>
    <w:rsid w:val="00361E00"/>
    <w:rsid w:val="0036228D"/>
    <w:rsid w:val="0036239E"/>
    <w:rsid w:val="003628D5"/>
    <w:rsid w:val="00362926"/>
    <w:rsid w:val="00362F11"/>
    <w:rsid w:val="00362F44"/>
    <w:rsid w:val="0036358E"/>
    <w:rsid w:val="0036453C"/>
    <w:rsid w:val="00364587"/>
    <w:rsid w:val="00364897"/>
    <w:rsid w:val="003648F9"/>
    <w:rsid w:val="003649B6"/>
    <w:rsid w:val="00364B80"/>
    <w:rsid w:val="00364F1E"/>
    <w:rsid w:val="00364FD2"/>
    <w:rsid w:val="0036598D"/>
    <w:rsid w:val="00366369"/>
    <w:rsid w:val="00366C68"/>
    <w:rsid w:val="00370035"/>
    <w:rsid w:val="0037021C"/>
    <w:rsid w:val="003710E3"/>
    <w:rsid w:val="0037284E"/>
    <w:rsid w:val="003733E7"/>
    <w:rsid w:val="00373D60"/>
    <w:rsid w:val="003747F2"/>
    <w:rsid w:val="003749C0"/>
    <w:rsid w:val="00375220"/>
    <w:rsid w:val="00375641"/>
    <w:rsid w:val="003757F1"/>
    <w:rsid w:val="00376233"/>
    <w:rsid w:val="00377462"/>
    <w:rsid w:val="00377890"/>
    <w:rsid w:val="00377B7A"/>
    <w:rsid w:val="00377E03"/>
    <w:rsid w:val="00377EED"/>
    <w:rsid w:val="00380490"/>
    <w:rsid w:val="00381183"/>
    <w:rsid w:val="003814C9"/>
    <w:rsid w:val="003815EF"/>
    <w:rsid w:val="0038193F"/>
    <w:rsid w:val="00381EE6"/>
    <w:rsid w:val="00381F0E"/>
    <w:rsid w:val="0038237B"/>
    <w:rsid w:val="00382ACB"/>
    <w:rsid w:val="0038312F"/>
    <w:rsid w:val="0038351C"/>
    <w:rsid w:val="00383B15"/>
    <w:rsid w:val="00383C23"/>
    <w:rsid w:val="00383E41"/>
    <w:rsid w:val="00383FBB"/>
    <w:rsid w:val="0038413D"/>
    <w:rsid w:val="0038426A"/>
    <w:rsid w:val="00384BB0"/>
    <w:rsid w:val="0038643E"/>
    <w:rsid w:val="003865AB"/>
    <w:rsid w:val="00386ECF"/>
    <w:rsid w:val="003900A3"/>
    <w:rsid w:val="0039043D"/>
    <w:rsid w:val="00390808"/>
    <w:rsid w:val="00390C84"/>
    <w:rsid w:val="00391116"/>
    <w:rsid w:val="00391223"/>
    <w:rsid w:val="00391287"/>
    <w:rsid w:val="003913C0"/>
    <w:rsid w:val="00391FE4"/>
    <w:rsid w:val="00392004"/>
    <w:rsid w:val="00393346"/>
    <w:rsid w:val="00393519"/>
    <w:rsid w:val="00393710"/>
    <w:rsid w:val="00394135"/>
    <w:rsid w:val="0039461B"/>
    <w:rsid w:val="00395268"/>
    <w:rsid w:val="00395B8D"/>
    <w:rsid w:val="003964B3"/>
    <w:rsid w:val="00396967"/>
    <w:rsid w:val="00396A15"/>
    <w:rsid w:val="003973FB"/>
    <w:rsid w:val="003A079F"/>
    <w:rsid w:val="003A0A12"/>
    <w:rsid w:val="003A12FD"/>
    <w:rsid w:val="003A1AFF"/>
    <w:rsid w:val="003A1D41"/>
    <w:rsid w:val="003A206B"/>
    <w:rsid w:val="003A23B0"/>
    <w:rsid w:val="003A438A"/>
    <w:rsid w:val="003A46F1"/>
    <w:rsid w:val="003A4DC5"/>
    <w:rsid w:val="003A5BF5"/>
    <w:rsid w:val="003A5CC6"/>
    <w:rsid w:val="003A6ABA"/>
    <w:rsid w:val="003A722C"/>
    <w:rsid w:val="003A7520"/>
    <w:rsid w:val="003A7A5A"/>
    <w:rsid w:val="003A7DF2"/>
    <w:rsid w:val="003A7E56"/>
    <w:rsid w:val="003B1798"/>
    <w:rsid w:val="003B1D85"/>
    <w:rsid w:val="003B23B7"/>
    <w:rsid w:val="003B2665"/>
    <w:rsid w:val="003B2FB3"/>
    <w:rsid w:val="003B2FC7"/>
    <w:rsid w:val="003B301A"/>
    <w:rsid w:val="003B331E"/>
    <w:rsid w:val="003B38B2"/>
    <w:rsid w:val="003B44C4"/>
    <w:rsid w:val="003B47E0"/>
    <w:rsid w:val="003B48EB"/>
    <w:rsid w:val="003B558C"/>
    <w:rsid w:val="003B577A"/>
    <w:rsid w:val="003B5D39"/>
    <w:rsid w:val="003B6B07"/>
    <w:rsid w:val="003B7829"/>
    <w:rsid w:val="003C00A6"/>
    <w:rsid w:val="003C099E"/>
    <w:rsid w:val="003C09E9"/>
    <w:rsid w:val="003C0B78"/>
    <w:rsid w:val="003C101A"/>
    <w:rsid w:val="003C1115"/>
    <w:rsid w:val="003C1EAE"/>
    <w:rsid w:val="003C1F92"/>
    <w:rsid w:val="003C2039"/>
    <w:rsid w:val="003C23EB"/>
    <w:rsid w:val="003C2522"/>
    <w:rsid w:val="003C2BA5"/>
    <w:rsid w:val="003C300B"/>
    <w:rsid w:val="003C3953"/>
    <w:rsid w:val="003C3FE6"/>
    <w:rsid w:val="003C47D4"/>
    <w:rsid w:val="003C4C07"/>
    <w:rsid w:val="003C4E03"/>
    <w:rsid w:val="003C6A3C"/>
    <w:rsid w:val="003C6F0F"/>
    <w:rsid w:val="003C772D"/>
    <w:rsid w:val="003C7927"/>
    <w:rsid w:val="003D0AF8"/>
    <w:rsid w:val="003D0B9A"/>
    <w:rsid w:val="003D131B"/>
    <w:rsid w:val="003D168A"/>
    <w:rsid w:val="003D1B7B"/>
    <w:rsid w:val="003D2B14"/>
    <w:rsid w:val="003D2E55"/>
    <w:rsid w:val="003D2EDB"/>
    <w:rsid w:val="003D35DA"/>
    <w:rsid w:val="003D3DB0"/>
    <w:rsid w:val="003D4C38"/>
    <w:rsid w:val="003D51A3"/>
    <w:rsid w:val="003D542A"/>
    <w:rsid w:val="003D5C0A"/>
    <w:rsid w:val="003D69FD"/>
    <w:rsid w:val="003D6B87"/>
    <w:rsid w:val="003D73D7"/>
    <w:rsid w:val="003E01CA"/>
    <w:rsid w:val="003E0BF7"/>
    <w:rsid w:val="003E0C04"/>
    <w:rsid w:val="003E0F8F"/>
    <w:rsid w:val="003E1671"/>
    <w:rsid w:val="003E2A93"/>
    <w:rsid w:val="003E2D2D"/>
    <w:rsid w:val="003E2EC5"/>
    <w:rsid w:val="003E308B"/>
    <w:rsid w:val="003E38D1"/>
    <w:rsid w:val="003E3B70"/>
    <w:rsid w:val="003E49DE"/>
    <w:rsid w:val="003E4B39"/>
    <w:rsid w:val="003E4EE4"/>
    <w:rsid w:val="003E5283"/>
    <w:rsid w:val="003E63CA"/>
    <w:rsid w:val="003E6547"/>
    <w:rsid w:val="003E7C0D"/>
    <w:rsid w:val="003F0019"/>
    <w:rsid w:val="003F03A3"/>
    <w:rsid w:val="003F09F9"/>
    <w:rsid w:val="003F10D6"/>
    <w:rsid w:val="003F126A"/>
    <w:rsid w:val="003F22CE"/>
    <w:rsid w:val="003F23FE"/>
    <w:rsid w:val="003F27FB"/>
    <w:rsid w:val="003F2812"/>
    <w:rsid w:val="003F3BCE"/>
    <w:rsid w:val="003F44FB"/>
    <w:rsid w:val="003F4D9B"/>
    <w:rsid w:val="003F5F76"/>
    <w:rsid w:val="003F6B77"/>
    <w:rsid w:val="003F6F2C"/>
    <w:rsid w:val="004001A1"/>
    <w:rsid w:val="0040081C"/>
    <w:rsid w:val="00400A47"/>
    <w:rsid w:val="00400AE5"/>
    <w:rsid w:val="00401DD7"/>
    <w:rsid w:val="00402527"/>
    <w:rsid w:val="00402950"/>
    <w:rsid w:val="00402B76"/>
    <w:rsid w:val="004036F7"/>
    <w:rsid w:val="00403FCE"/>
    <w:rsid w:val="004045E9"/>
    <w:rsid w:val="00404750"/>
    <w:rsid w:val="004051F2"/>
    <w:rsid w:val="0040629E"/>
    <w:rsid w:val="004065D0"/>
    <w:rsid w:val="00406E46"/>
    <w:rsid w:val="004078E9"/>
    <w:rsid w:val="0040797A"/>
    <w:rsid w:val="00410048"/>
    <w:rsid w:val="00410249"/>
    <w:rsid w:val="004103F1"/>
    <w:rsid w:val="00410E53"/>
    <w:rsid w:val="00411266"/>
    <w:rsid w:val="00411A15"/>
    <w:rsid w:val="00411B23"/>
    <w:rsid w:val="00411DDB"/>
    <w:rsid w:val="0041301B"/>
    <w:rsid w:val="00413318"/>
    <w:rsid w:val="004156A0"/>
    <w:rsid w:val="004157A2"/>
    <w:rsid w:val="00415951"/>
    <w:rsid w:val="00415D5A"/>
    <w:rsid w:val="004160C6"/>
    <w:rsid w:val="00416611"/>
    <w:rsid w:val="004166B0"/>
    <w:rsid w:val="00416C81"/>
    <w:rsid w:val="00417192"/>
    <w:rsid w:val="0041767E"/>
    <w:rsid w:val="004203CE"/>
    <w:rsid w:val="00420BC5"/>
    <w:rsid w:val="004219D0"/>
    <w:rsid w:val="00421A40"/>
    <w:rsid w:val="00422195"/>
    <w:rsid w:val="004222B8"/>
    <w:rsid w:val="004226D0"/>
    <w:rsid w:val="00422838"/>
    <w:rsid w:val="00422994"/>
    <w:rsid w:val="00422CCB"/>
    <w:rsid w:val="00423B7E"/>
    <w:rsid w:val="00423BDD"/>
    <w:rsid w:val="0042440E"/>
    <w:rsid w:val="00424792"/>
    <w:rsid w:val="004249EF"/>
    <w:rsid w:val="00424ED5"/>
    <w:rsid w:val="00425A04"/>
    <w:rsid w:val="00426118"/>
    <w:rsid w:val="004268E8"/>
    <w:rsid w:val="0042696B"/>
    <w:rsid w:val="00426DEC"/>
    <w:rsid w:val="0042731A"/>
    <w:rsid w:val="0042740F"/>
    <w:rsid w:val="004300CC"/>
    <w:rsid w:val="0043076C"/>
    <w:rsid w:val="00430F0A"/>
    <w:rsid w:val="00430F55"/>
    <w:rsid w:val="0043118F"/>
    <w:rsid w:val="00431C62"/>
    <w:rsid w:val="004320D0"/>
    <w:rsid w:val="00432277"/>
    <w:rsid w:val="004325EA"/>
    <w:rsid w:val="00432A96"/>
    <w:rsid w:val="00432EAC"/>
    <w:rsid w:val="00433182"/>
    <w:rsid w:val="00433517"/>
    <w:rsid w:val="00433CB1"/>
    <w:rsid w:val="00433FA9"/>
    <w:rsid w:val="0043401D"/>
    <w:rsid w:val="00434108"/>
    <w:rsid w:val="00434B2B"/>
    <w:rsid w:val="00434D2C"/>
    <w:rsid w:val="00435002"/>
    <w:rsid w:val="00435230"/>
    <w:rsid w:val="004374EC"/>
    <w:rsid w:val="004377CE"/>
    <w:rsid w:val="00437B62"/>
    <w:rsid w:val="00437BB3"/>
    <w:rsid w:val="0044034D"/>
    <w:rsid w:val="00441705"/>
    <w:rsid w:val="00441B92"/>
    <w:rsid w:val="0044204F"/>
    <w:rsid w:val="0044241A"/>
    <w:rsid w:val="00442A7C"/>
    <w:rsid w:val="00442C72"/>
    <w:rsid w:val="0044316A"/>
    <w:rsid w:val="0044337C"/>
    <w:rsid w:val="00444302"/>
    <w:rsid w:val="004445A1"/>
    <w:rsid w:val="00444883"/>
    <w:rsid w:val="00444F07"/>
    <w:rsid w:val="0044533E"/>
    <w:rsid w:val="004453F3"/>
    <w:rsid w:val="00445486"/>
    <w:rsid w:val="0044548E"/>
    <w:rsid w:val="004458A7"/>
    <w:rsid w:val="00446FA1"/>
    <w:rsid w:val="00447EF9"/>
    <w:rsid w:val="004500B3"/>
    <w:rsid w:val="0045092E"/>
    <w:rsid w:val="00450C2E"/>
    <w:rsid w:val="00451077"/>
    <w:rsid w:val="00451487"/>
    <w:rsid w:val="004516B0"/>
    <w:rsid w:val="004523B6"/>
    <w:rsid w:val="00452447"/>
    <w:rsid w:val="00452603"/>
    <w:rsid w:val="00453D86"/>
    <w:rsid w:val="00455075"/>
    <w:rsid w:val="0045580F"/>
    <w:rsid w:val="00456586"/>
    <w:rsid w:val="00456E66"/>
    <w:rsid w:val="00457053"/>
    <w:rsid w:val="00457BB1"/>
    <w:rsid w:val="004606DA"/>
    <w:rsid w:val="004607AA"/>
    <w:rsid w:val="00460D17"/>
    <w:rsid w:val="004612C3"/>
    <w:rsid w:val="004614C1"/>
    <w:rsid w:val="004614FF"/>
    <w:rsid w:val="004617AE"/>
    <w:rsid w:val="00462ADF"/>
    <w:rsid w:val="00463367"/>
    <w:rsid w:val="00463915"/>
    <w:rsid w:val="00463E99"/>
    <w:rsid w:val="00463F08"/>
    <w:rsid w:val="00464063"/>
    <w:rsid w:val="0046451E"/>
    <w:rsid w:val="00464AB6"/>
    <w:rsid w:val="0046590F"/>
    <w:rsid w:val="00465A3C"/>
    <w:rsid w:val="00465B24"/>
    <w:rsid w:val="00465CA8"/>
    <w:rsid w:val="0046649C"/>
    <w:rsid w:val="0046679E"/>
    <w:rsid w:val="00466B93"/>
    <w:rsid w:val="004703C0"/>
    <w:rsid w:val="00470A1F"/>
    <w:rsid w:val="00470D8C"/>
    <w:rsid w:val="00470F8C"/>
    <w:rsid w:val="00471124"/>
    <w:rsid w:val="00471B14"/>
    <w:rsid w:val="0047245F"/>
    <w:rsid w:val="00472A6F"/>
    <w:rsid w:val="00472BB5"/>
    <w:rsid w:val="00472E09"/>
    <w:rsid w:val="00473AB2"/>
    <w:rsid w:val="00473C94"/>
    <w:rsid w:val="004740AE"/>
    <w:rsid w:val="004744DB"/>
    <w:rsid w:val="00474849"/>
    <w:rsid w:val="00474BB0"/>
    <w:rsid w:val="004753F9"/>
    <w:rsid w:val="0047633C"/>
    <w:rsid w:val="004777C7"/>
    <w:rsid w:val="0047795F"/>
    <w:rsid w:val="00477B51"/>
    <w:rsid w:val="004800CD"/>
    <w:rsid w:val="00480923"/>
    <w:rsid w:val="00480C13"/>
    <w:rsid w:val="00481A03"/>
    <w:rsid w:val="00481E4C"/>
    <w:rsid w:val="00482160"/>
    <w:rsid w:val="00482A52"/>
    <w:rsid w:val="00482D5E"/>
    <w:rsid w:val="00482EA9"/>
    <w:rsid w:val="00483137"/>
    <w:rsid w:val="0048315F"/>
    <w:rsid w:val="00483FE0"/>
    <w:rsid w:val="004841E4"/>
    <w:rsid w:val="004851A7"/>
    <w:rsid w:val="00485D02"/>
    <w:rsid w:val="004867CB"/>
    <w:rsid w:val="00486A0D"/>
    <w:rsid w:val="00486B88"/>
    <w:rsid w:val="00486EB8"/>
    <w:rsid w:val="00487892"/>
    <w:rsid w:val="00487AE6"/>
    <w:rsid w:val="00487DBB"/>
    <w:rsid w:val="00490A17"/>
    <w:rsid w:val="0049127E"/>
    <w:rsid w:val="004914DE"/>
    <w:rsid w:val="00491EF6"/>
    <w:rsid w:val="00491F25"/>
    <w:rsid w:val="00492206"/>
    <w:rsid w:val="00492A0C"/>
    <w:rsid w:val="004933EE"/>
    <w:rsid w:val="004936EA"/>
    <w:rsid w:val="00495508"/>
    <w:rsid w:val="004959BA"/>
    <w:rsid w:val="00495B65"/>
    <w:rsid w:val="00495EFF"/>
    <w:rsid w:val="00495F27"/>
    <w:rsid w:val="004964B2"/>
    <w:rsid w:val="004966DC"/>
    <w:rsid w:val="004967A5"/>
    <w:rsid w:val="00496AD9"/>
    <w:rsid w:val="00496FCA"/>
    <w:rsid w:val="0049727B"/>
    <w:rsid w:val="00497415"/>
    <w:rsid w:val="004979BF"/>
    <w:rsid w:val="00497F58"/>
    <w:rsid w:val="004A052B"/>
    <w:rsid w:val="004A1AB6"/>
    <w:rsid w:val="004A20B5"/>
    <w:rsid w:val="004A2132"/>
    <w:rsid w:val="004A349B"/>
    <w:rsid w:val="004A4210"/>
    <w:rsid w:val="004A4536"/>
    <w:rsid w:val="004A523B"/>
    <w:rsid w:val="004A654A"/>
    <w:rsid w:val="004A671E"/>
    <w:rsid w:val="004A6877"/>
    <w:rsid w:val="004A7346"/>
    <w:rsid w:val="004B0470"/>
    <w:rsid w:val="004B07FB"/>
    <w:rsid w:val="004B091B"/>
    <w:rsid w:val="004B0B84"/>
    <w:rsid w:val="004B0ED2"/>
    <w:rsid w:val="004B0FAC"/>
    <w:rsid w:val="004B1157"/>
    <w:rsid w:val="004B119F"/>
    <w:rsid w:val="004B11AD"/>
    <w:rsid w:val="004B1308"/>
    <w:rsid w:val="004B21AB"/>
    <w:rsid w:val="004B24A8"/>
    <w:rsid w:val="004B29B6"/>
    <w:rsid w:val="004B3426"/>
    <w:rsid w:val="004B3B6C"/>
    <w:rsid w:val="004B4996"/>
    <w:rsid w:val="004B49D5"/>
    <w:rsid w:val="004B5490"/>
    <w:rsid w:val="004B5783"/>
    <w:rsid w:val="004B6B0C"/>
    <w:rsid w:val="004B6F9B"/>
    <w:rsid w:val="004B760A"/>
    <w:rsid w:val="004B7989"/>
    <w:rsid w:val="004C03D8"/>
    <w:rsid w:val="004C0BD6"/>
    <w:rsid w:val="004C0C50"/>
    <w:rsid w:val="004C138A"/>
    <w:rsid w:val="004C1C39"/>
    <w:rsid w:val="004C1E2F"/>
    <w:rsid w:val="004C2A5F"/>
    <w:rsid w:val="004C35C2"/>
    <w:rsid w:val="004C3625"/>
    <w:rsid w:val="004C3A6D"/>
    <w:rsid w:val="004C53E2"/>
    <w:rsid w:val="004C5482"/>
    <w:rsid w:val="004C557A"/>
    <w:rsid w:val="004C5DCA"/>
    <w:rsid w:val="004C6049"/>
    <w:rsid w:val="004C6413"/>
    <w:rsid w:val="004C6EFE"/>
    <w:rsid w:val="004C6FE5"/>
    <w:rsid w:val="004C7207"/>
    <w:rsid w:val="004C75F4"/>
    <w:rsid w:val="004C7B8F"/>
    <w:rsid w:val="004C7C0B"/>
    <w:rsid w:val="004D0CD6"/>
    <w:rsid w:val="004D1D07"/>
    <w:rsid w:val="004D1F65"/>
    <w:rsid w:val="004D21B5"/>
    <w:rsid w:val="004D21BE"/>
    <w:rsid w:val="004D2264"/>
    <w:rsid w:val="004D273B"/>
    <w:rsid w:val="004D2A5A"/>
    <w:rsid w:val="004D2B58"/>
    <w:rsid w:val="004D3418"/>
    <w:rsid w:val="004D3C14"/>
    <w:rsid w:val="004D3EA1"/>
    <w:rsid w:val="004D3EE4"/>
    <w:rsid w:val="004D4C57"/>
    <w:rsid w:val="004D5131"/>
    <w:rsid w:val="004D51C0"/>
    <w:rsid w:val="004D6237"/>
    <w:rsid w:val="004D68ED"/>
    <w:rsid w:val="004D6D4D"/>
    <w:rsid w:val="004D6E04"/>
    <w:rsid w:val="004D70E2"/>
    <w:rsid w:val="004E0585"/>
    <w:rsid w:val="004E075A"/>
    <w:rsid w:val="004E18B1"/>
    <w:rsid w:val="004E1EDC"/>
    <w:rsid w:val="004E2018"/>
    <w:rsid w:val="004E210B"/>
    <w:rsid w:val="004E22C8"/>
    <w:rsid w:val="004E22EC"/>
    <w:rsid w:val="004E2505"/>
    <w:rsid w:val="004E259D"/>
    <w:rsid w:val="004E278C"/>
    <w:rsid w:val="004E2C24"/>
    <w:rsid w:val="004E2DA4"/>
    <w:rsid w:val="004E4061"/>
    <w:rsid w:val="004E5731"/>
    <w:rsid w:val="004E6128"/>
    <w:rsid w:val="004E7007"/>
    <w:rsid w:val="004E7B4F"/>
    <w:rsid w:val="004F0327"/>
    <w:rsid w:val="004F03A0"/>
    <w:rsid w:val="004F0439"/>
    <w:rsid w:val="004F0659"/>
    <w:rsid w:val="004F0C74"/>
    <w:rsid w:val="004F1317"/>
    <w:rsid w:val="004F221B"/>
    <w:rsid w:val="004F2725"/>
    <w:rsid w:val="004F2841"/>
    <w:rsid w:val="004F319E"/>
    <w:rsid w:val="004F3423"/>
    <w:rsid w:val="004F3553"/>
    <w:rsid w:val="004F36CA"/>
    <w:rsid w:val="004F4191"/>
    <w:rsid w:val="004F419E"/>
    <w:rsid w:val="004F457F"/>
    <w:rsid w:val="004F45E0"/>
    <w:rsid w:val="004F544A"/>
    <w:rsid w:val="004F55B9"/>
    <w:rsid w:val="004F5DB6"/>
    <w:rsid w:val="004F6899"/>
    <w:rsid w:val="004F6BF6"/>
    <w:rsid w:val="004F6E37"/>
    <w:rsid w:val="004F7254"/>
    <w:rsid w:val="004F7AFE"/>
    <w:rsid w:val="004F7E3B"/>
    <w:rsid w:val="0050032B"/>
    <w:rsid w:val="0050101E"/>
    <w:rsid w:val="0050115B"/>
    <w:rsid w:val="005011D7"/>
    <w:rsid w:val="00501DBA"/>
    <w:rsid w:val="005030C9"/>
    <w:rsid w:val="005039A5"/>
    <w:rsid w:val="00503D6C"/>
    <w:rsid w:val="00504573"/>
    <w:rsid w:val="00504740"/>
    <w:rsid w:val="00504D02"/>
    <w:rsid w:val="00504E35"/>
    <w:rsid w:val="005050D4"/>
    <w:rsid w:val="0050555E"/>
    <w:rsid w:val="005059A9"/>
    <w:rsid w:val="00505BB1"/>
    <w:rsid w:val="005062D6"/>
    <w:rsid w:val="005063A9"/>
    <w:rsid w:val="00506629"/>
    <w:rsid w:val="0050755D"/>
    <w:rsid w:val="0050760B"/>
    <w:rsid w:val="005078FD"/>
    <w:rsid w:val="00507A12"/>
    <w:rsid w:val="00507C25"/>
    <w:rsid w:val="00510977"/>
    <w:rsid w:val="005114E3"/>
    <w:rsid w:val="005116A5"/>
    <w:rsid w:val="00511FEB"/>
    <w:rsid w:val="00512800"/>
    <w:rsid w:val="00512962"/>
    <w:rsid w:val="005129EA"/>
    <w:rsid w:val="00512B83"/>
    <w:rsid w:val="00512F88"/>
    <w:rsid w:val="00513037"/>
    <w:rsid w:val="005134B4"/>
    <w:rsid w:val="005134C6"/>
    <w:rsid w:val="00513F0A"/>
    <w:rsid w:val="00513F8E"/>
    <w:rsid w:val="005142BD"/>
    <w:rsid w:val="0051456E"/>
    <w:rsid w:val="005146BF"/>
    <w:rsid w:val="005158C2"/>
    <w:rsid w:val="00515EDE"/>
    <w:rsid w:val="00516197"/>
    <w:rsid w:val="00516DA3"/>
    <w:rsid w:val="00516E14"/>
    <w:rsid w:val="00517126"/>
    <w:rsid w:val="00517351"/>
    <w:rsid w:val="0051736E"/>
    <w:rsid w:val="0051792D"/>
    <w:rsid w:val="00517DE1"/>
    <w:rsid w:val="00520387"/>
    <w:rsid w:val="00521E28"/>
    <w:rsid w:val="00521EED"/>
    <w:rsid w:val="005220C5"/>
    <w:rsid w:val="00522334"/>
    <w:rsid w:val="00522848"/>
    <w:rsid w:val="00522995"/>
    <w:rsid w:val="00522A08"/>
    <w:rsid w:val="005235D6"/>
    <w:rsid w:val="00523825"/>
    <w:rsid w:val="00523840"/>
    <w:rsid w:val="00523B74"/>
    <w:rsid w:val="00523B97"/>
    <w:rsid w:val="005241BD"/>
    <w:rsid w:val="005254D6"/>
    <w:rsid w:val="005254F7"/>
    <w:rsid w:val="00525D08"/>
    <w:rsid w:val="00525F82"/>
    <w:rsid w:val="00526D07"/>
    <w:rsid w:val="0052722B"/>
    <w:rsid w:val="00527DED"/>
    <w:rsid w:val="00527DFD"/>
    <w:rsid w:val="00527FA1"/>
    <w:rsid w:val="0053018F"/>
    <w:rsid w:val="00530293"/>
    <w:rsid w:val="0053034E"/>
    <w:rsid w:val="00531370"/>
    <w:rsid w:val="00531443"/>
    <w:rsid w:val="00531986"/>
    <w:rsid w:val="00531B35"/>
    <w:rsid w:val="00531DC2"/>
    <w:rsid w:val="005322FB"/>
    <w:rsid w:val="00532BD1"/>
    <w:rsid w:val="00533623"/>
    <w:rsid w:val="00533BCF"/>
    <w:rsid w:val="00533C82"/>
    <w:rsid w:val="005344FC"/>
    <w:rsid w:val="0053463D"/>
    <w:rsid w:val="00534F25"/>
    <w:rsid w:val="00535EFA"/>
    <w:rsid w:val="005362DD"/>
    <w:rsid w:val="005368DE"/>
    <w:rsid w:val="005400A2"/>
    <w:rsid w:val="00540A53"/>
    <w:rsid w:val="0054174A"/>
    <w:rsid w:val="00542C9C"/>
    <w:rsid w:val="0054374C"/>
    <w:rsid w:val="00543A81"/>
    <w:rsid w:val="00544CE1"/>
    <w:rsid w:val="005451A6"/>
    <w:rsid w:val="0054583B"/>
    <w:rsid w:val="00546C51"/>
    <w:rsid w:val="00547395"/>
    <w:rsid w:val="005476FC"/>
    <w:rsid w:val="005479EA"/>
    <w:rsid w:val="00547B2C"/>
    <w:rsid w:val="00550637"/>
    <w:rsid w:val="00550732"/>
    <w:rsid w:val="00551172"/>
    <w:rsid w:val="005515E6"/>
    <w:rsid w:val="00551A4D"/>
    <w:rsid w:val="00551DF1"/>
    <w:rsid w:val="0055290D"/>
    <w:rsid w:val="00552F63"/>
    <w:rsid w:val="005531A6"/>
    <w:rsid w:val="00553567"/>
    <w:rsid w:val="005543FF"/>
    <w:rsid w:val="005546DD"/>
    <w:rsid w:val="00554DE2"/>
    <w:rsid w:val="00555125"/>
    <w:rsid w:val="0055530F"/>
    <w:rsid w:val="00555376"/>
    <w:rsid w:val="0055548F"/>
    <w:rsid w:val="00555BEA"/>
    <w:rsid w:val="00556CE5"/>
    <w:rsid w:val="00557540"/>
    <w:rsid w:val="00560672"/>
    <w:rsid w:val="005613DD"/>
    <w:rsid w:val="00561932"/>
    <w:rsid w:val="00561CE4"/>
    <w:rsid w:val="00562BEB"/>
    <w:rsid w:val="00563091"/>
    <w:rsid w:val="00563935"/>
    <w:rsid w:val="00563A75"/>
    <w:rsid w:val="00563B54"/>
    <w:rsid w:val="0056466C"/>
    <w:rsid w:val="00565D73"/>
    <w:rsid w:val="00565F64"/>
    <w:rsid w:val="00565F7C"/>
    <w:rsid w:val="0056669E"/>
    <w:rsid w:val="0056770B"/>
    <w:rsid w:val="005718F5"/>
    <w:rsid w:val="00572089"/>
    <w:rsid w:val="00574452"/>
    <w:rsid w:val="00574692"/>
    <w:rsid w:val="00574785"/>
    <w:rsid w:val="00574A2E"/>
    <w:rsid w:val="0057503C"/>
    <w:rsid w:val="005753D1"/>
    <w:rsid w:val="0057581C"/>
    <w:rsid w:val="005759F4"/>
    <w:rsid w:val="00576078"/>
    <w:rsid w:val="00576534"/>
    <w:rsid w:val="00576545"/>
    <w:rsid w:val="00576688"/>
    <w:rsid w:val="005768D1"/>
    <w:rsid w:val="00576910"/>
    <w:rsid w:val="00576CE9"/>
    <w:rsid w:val="0057704A"/>
    <w:rsid w:val="00577147"/>
    <w:rsid w:val="0057728A"/>
    <w:rsid w:val="00577491"/>
    <w:rsid w:val="0058125D"/>
    <w:rsid w:val="00581BC1"/>
    <w:rsid w:val="00582D5B"/>
    <w:rsid w:val="00583680"/>
    <w:rsid w:val="005837CE"/>
    <w:rsid w:val="00583B37"/>
    <w:rsid w:val="00583F15"/>
    <w:rsid w:val="005846DA"/>
    <w:rsid w:val="0058526D"/>
    <w:rsid w:val="005852A6"/>
    <w:rsid w:val="00585D7E"/>
    <w:rsid w:val="0058662E"/>
    <w:rsid w:val="00586950"/>
    <w:rsid w:val="00586B29"/>
    <w:rsid w:val="00586CF2"/>
    <w:rsid w:val="00586D7A"/>
    <w:rsid w:val="0058717C"/>
    <w:rsid w:val="005875A5"/>
    <w:rsid w:val="0058798B"/>
    <w:rsid w:val="00587EF8"/>
    <w:rsid w:val="005900AF"/>
    <w:rsid w:val="0059055E"/>
    <w:rsid w:val="0059116B"/>
    <w:rsid w:val="00591A62"/>
    <w:rsid w:val="00591CA1"/>
    <w:rsid w:val="00591EB1"/>
    <w:rsid w:val="00591FE6"/>
    <w:rsid w:val="005925F4"/>
    <w:rsid w:val="005928D5"/>
    <w:rsid w:val="00593479"/>
    <w:rsid w:val="00593F20"/>
    <w:rsid w:val="00595CB8"/>
    <w:rsid w:val="00595D44"/>
    <w:rsid w:val="00596AA7"/>
    <w:rsid w:val="00596C4E"/>
    <w:rsid w:val="005973E2"/>
    <w:rsid w:val="00597D1C"/>
    <w:rsid w:val="00597D7D"/>
    <w:rsid w:val="00597E37"/>
    <w:rsid w:val="00597E85"/>
    <w:rsid w:val="00597EAC"/>
    <w:rsid w:val="005A017A"/>
    <w:rsid w:val="005A0808"/>
    <w:rsid w:val="005A136B"/>
    <w:rsid w:val="005A201D"/>
    <w:rsid w:val="005A2638"/>
    <w:rsid w:val="005A2C2A"/>
    <w:rsid w:val="005A3465"/>
    <w:rsid w:val="005A35E0"/>
    <w:rsid w:val="005A43F2"/>
    <w:rsid w:val="005A458D"/>
    <w:rsid w:val="005A47C2"/>
    <w:rsid w:val="005A4E06"/>
    <w:rsid w:val="005A509E"/>
    <w:rsid w:val="005A664A"/>
    <w:rsid w:val="005A66A1"/>
    <w:rsid w:val="005A7418"/>
    <w:rsid w:val="005A75D9"/>
    <w:rsid w:val="005A7745"/>
    <w:rsid w:val="005B1E07"/>
    <w:rsid w:val="005B1FA4"/>
    <w:rsid w:val="005B2ACB"/>
    <w:rsid w:val="005B3013"/>
    <w:rsid w:val="005B3219"/>
    <w:rsid w:val="005B322F"/>
    <w:rsid w:val="005B34DA"/>
    <w:rsid w:val="005B3922"/>
    <w:rsid w:val="005B4361"/>
    <w:rsid w:val="005B447F"/>
    <w:rsid w:val="005B4CDB"/>
    <w:rsid w:val="005B4DAE"/>
    <w:rsid w:val="005B5332"/>
    <w:rsid w:val="005B5992"/>
    <w:rsid w:val="005B6340"/>
    <w:rsid w:val="005B67F2"/>
    <w:rsid w:val="005B6848"/>
    <w:rsid w:val="005B6EF9"/>
    <w:rsid w:val="005B70C4"/>
    <w:rsid w:val="005B7AB8"/>
    <w:rsid w:val="005C0393"/>
    <w:rsid w:val="005C08D3"/>
    <w:rsid w:val="005C0B62"/>
    <w:rsid w:val="005C0DE9"/>
    <w:rsid w:val="005C19D3"/>
    <w:rsid w:val="005C1DAD"/>
    <w:rsid w:val="005C23E5"/>
    <w:rsid w:val="005C2547"/>
    <w:rsid w:val="005C2DFB"/>
    <w:rsid w:val="005C3531"/>
    <w:rsid w:val="005C374F"/>
    <w:rsid w:val="005C478C"/>
    <w:rsid w:val="005C4C94"/>
    <w:rsid w:val="005C512D"/>
    <w:rsid w:val="005C52D2"/>
    <w:rsid w:val="005C53F4"/>
    <w:rsid w:val="005C5D45"/>
    <w:rsid w:val="005C6753"/>
    <w:rsid w:val="005C68B5"/>
    <w:rsid w:val="005C6A2A"/>
    <w:rsid w:val="005C6BF7"/>
    <w:rsid w:val="005C6F7A"/>
    <w:rsid w:val="005C7AA4"/>
    <w:rsid w:val="005C7BC6"/>
    <w:rsid w:val="005C7F8D"/>
    <w:rsid w:val="005D0689"/>
    <w:rsid w:val="005D11BA"/>
    <w:rsid w:val="005D121B"/>
    <w:rsid w:val="005D196E"/>
    <w:rsid w:val="005D1CE3"/>
    <w:rsid w:val="005D260C"/>
    <w:rsid w:val="005D3073"/>
    <w:rsid w:val="005D3598"/>
    <w:rsid w:val="005D4161"/>
    <w:rsid w:val="005D448D"/>
    <w:rsid w:val="005D47E1"/>
    <w:rsid w:val="005D52B9"/>
    <w:rsid w:val="005D55BC"/>
    <w:rsid w:val="005D5979"/>
    <w:rsid w:val="005D5D42"/>
    <w:rsid w:val="005D5DB7"/>
    <w:rsid w:val="005D668E"/>
    <w:rsid w:val="005D7136"/>
    <w:rsid w:val="005D71E4"/>
    <w:rsid w:val="005D7FEF"/>
    <w:rsid w:val="005E04BC"/>
    <w:rsid w:val="005E0D54"/>
    <w:rsid w:val="005E0F22"/>
    <w:rsid w:val="005E1CB0"/>
    <w:rsid w:val="005E2062"/>
    <w:rsid w:val="005E2B27"/>
    <w:rsid w:val="005E3478"/>
    <w:rsid w:val="005E3805"/>
    <w:rsid w:val="005E391F"/>
    <w:rsid w:val="005E39CD"/>
    <w:rsid w:val="005E3E2C"/>
    <w:rsid w:val="005E4B70"/>
    <w:rsid w:val="005E4B7C"/>
    <w:rsid w:val="005E528A"/>
    <w:rsid w:val="005E53A9"/>
    <w:rsid w:val="005E53DC"/>
    <w:rsid w:val="005E5FE8"/>
    <w:rsid w:val="005E67DB"/>
    <w:rsid w:val="005E6E41"/>
    <w:rsid w:val="005E796C"/>
    <w:rsid w:val="005F04F3"/>
    <w:rsid w:val="005F08D0"/>
    <w:rsid w:val="005F09E0"/>
    <w:rsid w:val="005F0FD5"/>
    <w:rsid w:val="005F10FE"/>
    <w:rsid w:val="005F1786"/>
    <w:rsid w:val="005F1B91"/>
    <w:rsid w:val="005F240F"/>
    <w:rsid w:val="005F2B79"/>
    <w:rsid w:val="005F3523"/>
    <w:rsid w:val="005F3FD8"/>
    <w:rsid w:val="005F4916"/>
    <w:rsid w:val="005F4926"/>
    <w:rsid w:val="005F4D20"/>
    <w:rsid w:val="005F514B"/>
    <w:rsid w:val="005F5535"/>
    <w:rsid w:val="005F5AF0"/>
    <w:rsid w:val="005F6203"/>
    <w:rsid w:val="005F6FC1"/>
    <w:rsid w:val="00600194"/>
    <w:rsid w:val="00600A30"/>
    <w:rsid w:val="00601B2E"/>
    <w:rsid w:val="00601B6C"/>
    <w:rsid w:val="00602004"/>
    <w:rsid w:val="0060207A"/>
    <w:rsid w:val="00602782"/>
    <w:rsid w:val="006027A4"/>
    <w:rsid w:val="00602CC3"/>
    <w:rsid w:val="00602F41"/>
    <w:rsid w:val="00603281"/>
    <w:rsid w:val="00603A7C"/>
    <w:rsid w:val="00603CBA"/>
    <w:rsid w:val="006040FD"/>
    <w:rsid w:val="0060419A"/>
    <w:rsid w:val="0060427E"/>
    <w:rsid w:val="0060468A"/>
    <w:rsid w:val="00604DAB"/>
    <w:rsid w:val="006063D9"/>
    <w:rsid w:val="0060688E"/>
    <w:rsid w:val="00606BDD"/>
    <w:rsid w:val="00606D84"/>
    <w:rsid w:val="00606FF0"/>
    <w:rsid w:val="006070A8"/>
    <w:rsid w:val="00607219"/>
    <w:rsid w:val="0061033D"/>
    <w:rsid w:val="00610671"/>
    <w:rsid w:val="006109ED"/>
    <w:rsid w:val="006110EC"/>
    <w:rsid w:val="006115A3"/>
    <w:rsid w:val="00611CB0"/>
    <w:rsid w:val="00611FD5"/>
    <w:rsid w:val="006120B9"/>
    <w:rsid w:val="006125F2"/>
    <w:rsid w:val="0061284C"/>
    <w:rsid w:val="00612CB2"/>
    <w:rsid w:val="00613674"/>
    <w:rsid w:val="0061564A"/>
    <w:rsid w:val="006156B8"/>
    <w:rsid w:val="006158F4"/>
    <w:rsid w:val="00615D3F"/>
    <w:rsid w:val="00615D72"/>
    <w:rsid w:val="00616052"/>
    <w:rsid w:val="00617785"/>
    <w:rsid w:val="00617CC1"/>
    <w:rsid w:val="00620784"/>
    <w:rsid w:val="006208B6"/>
    <w:rsid w:val="00621254"/>
    <w:rsid w:val="00621379"/>
    <w:rsid w:val="00621532"/>
    <w:rsid w:val="00621679"/>
    <w:rsid w:val="0062390D"/>
    <w:rsid w:val="00623A18"/>
    <w:rsid w:val="006242FE"/>
    <w:rsid w:val="00624458"/>
    <w:rsid w:val="00624FA7"/>
    <w:rsid w:val="00625A4B"/>
    <w:rsid w:val="00626338"/>
    <w:rsid w:val="006263B2"/>
    <w:rsid w:val="006265F4"/>
    <w:rsid w:val="00626C50"/>
    <w:rsid w:val="00626D7E"/>
    <w:rsid w:val="00626E58"/>
    <w:rsid w:val="00627100"/>
    <w:rsid w:val="00627409"/>
    <w:rsid w:val="00627530"/>
    <w:rsid w:val="00627C51"/>
    <w:rsid w:val="006304CC"/>
    <w:rsid w:val="00630A18"/>
    <w:rsid w:val="00631612"/>
    <w:rsid w:val="006328B3"/>
    <w:rsid w:val="00632F53"/>
    <w:rsid w:val="006333FC"/>
    <w:rsid w:val="00633D4D"/>
    <w:rsid w:val="00634222"/>
    <w:rsid w:val="006348E9"/>
    <w:rsid w:val="0063492C"/>
    <w:rsid w:val="00634D8E"/>
    <w:rsid w:val="00634ED9"/>
    <w:rsid w:val="00636704"/>
    <w:rsid w:val="006403F1"/>
    <w:rsid w:val="0064041A"/>
    <w:rsid w:val="006406D4"/>
    <w:rsid w:val="00640A34"/>
    <w:rsid w:val="00640BB7"/>
    <w:rsid w:val="00640DBF"/>
    <w:rsid w:val="00641250"/>
    <w:rsid w:val="006415D1"/>
    <w:rsid w:val="0064169C"/>
    <w:rsid w:val="006416DA"/>
    <w:rsid w:val="006418C3"/>
    <w:rsid w:val="006418D9"/>
    <w:rsid w:val="00642DDB"/>
    <w:rsid w:val="0064317F"/>
    <w:rsid w:val="006435E4"/>
    <w:rsid w:val="00643CA2"/>
    <w:rsid w:val="00645FE2"/>
    <w:rsid w:val="00646048"/>
    <w:rsid w:val="006469B9"/>
    <w:rsid w:val="00646AF2"/>
    <w:rsid w:val="006474AC"/>
    <w:rsid w:val="006474E3"/>
    <w:rsid w:val="0064770C"/>
    <w:rsid w:val="006504EC"/>
    <w:rsid w:val="00650E10"/>
    <w:rsid w:val="006515F1"/>
    <w:rsid w:val="00651B56"/>
    <w:rsid w:val="00651DBA"/>
    <w:rsid w:val="00652BEF"/>
    <w:rsid w:val="00653CE4"/>
    <w:rsid w:val="006544CF"/>
    <w:rsid w:val="00654A5D"/>
    <w:rsid w:val="00654C5E"/>
    <w:rsid w:val="006550B8"/>
    <w:rsid w:val="0065585F"/>
    <w:rsid w:val="006562D5"/>
    <w:rsid w:val="0065668E"/>
    <w:rsid w:val="006566E8"/>
    <w:rsid w:val="006567CA"/>
    <w:rsid w:val="006568C5"/>
    <w:rsid w:val="006570E3"/>
    <w:rsid w:val="006573AD"/>
    <w:rsid w:val="00657899"/>
    <w:rsid w:val="006602D4"/>
    <w:rsid w:val="0066031A"/>
    <w:rsid w:val="00660E34"/>
    <w:rsid w:val="00660ED4"/>
    <w:rsid w:val="00660F19"/>
    <w:rsid w:val="00662327"/>
    <w:rsid w:val="0066277A"/>
    <w:rsid w:val="00662B5C"/>
    <w:rsid w:val="00662E73"/>
    <w:rsid w:val="006639C7"/>
    <w:rsid w:val="00663CD4"/>
    <w:rsid w:val="00663FAA"/>
    <w:rsid w:val="00663FF5"/>
    <w:rsid w:val="00664324"/>
    <w:rsid w:val="0066443F"/>
    <w:rsid w:val="00664DFE"/>
    <w:rsid w:val="00664F1A"/>
    <w:rsid w:val="006650F8"/>
    <w:rsid w:val="0066563D"/>
    <w:rsid w:val="006659AB"/>
    <w:rsid w:val="00665D19"/>
    <w:rsid w:val="00666109"/>
    <w:rsid w:val="006662E9"/>
    <w:rsid w:val="00666912"/>
    <w:rsid w:val="00666B79"/>
    <w:rsid w:val="006673C4"/>
    <w:rsid w:val="00667671"/>
    <w:rsid w:val="00667A25"/>
    <w:rsid w:val="00670631"/>
    <w:rsid w:val="00670805"/>
    <w:rsid w:val="00670DD6"/>
    <w:rsid w:val="00671C67"/>
    <w:rsid w:val="00672059"/>
    <w:rsid w:val="006720D3"/>
    <w:rsid w:val="00672BEB"/>
    <w:rsid w:val="00673A37"/>
    <w:rsid w:val="00673DE0"/>
    <w:rsid w:val="00674957"/>
    <w:rsid w:val="00675263"/>
    <w:rsid w:val="006752F0"/>
    <w:rsid w:val="00675542"/>
    <w:rsid w:val="00675717"/>
    <w:rsid w:val="0067598C"/>
    <w:rsid w:val="00675A96"/>
    <w:rsid w:val="00675C3A"/>
    <w:rsid w:val="00676091"/>
    <w:rsid w:val="00676C5B"/>
    <w:rsid w:val="006773E7"/>
    <w:rsid w:val="006778CB"/>
    <w:rsid w:val="006778F6"/>
    <w:rsid w:val="00677B47"/>
    <w:rsid w:val="00680396"/>
    <w:rsid w:val="00680621"/>
    <w:rsid w:val="006806D1"/>
    <w:rsid w:val="006807AC"/>
    <w:rsid w:val="00680E87"/>
    <w:rsid w:val="006812F2"/>
    <w:rsid w:val="00681351"/>
    <w:rsid w:val="0068149B"/>
    <w:rsid w:val="0068168E"/>
    <w:rsid w:val="00681842"/>
    <w:rsid w:val="006819AF"/>
    <w:rsid w:val="00682BCD"/>
    <w:rsid w:val="00682FA4"/>
    <w:rsid w:val="006834F6"/>
    <w:rsid w:val="00683CAF"/>
    <w:rsid w:val="00684591"/>
    <w:rsid w:val="0068498C"/>
    <w:rsid w:val="00684BFA"/>
    <w:rsid w:val="0068540A"/>
    <w:rsid w:val="00685579"/>
    <w:rsid w:val="006857CE"/>
    <w:rsid w:val="00686457"/>
    <w:rsid w:val="00686815"/>
    <w:rsid w:val="00686A37"/>
    <w:rsid w:val="00686E03"/>
    <w:rsid w:val="00687145"/>
    <w:rsid w:val="00687172"/>
    <w:rsid w:val="006875B3"/>
    <w:rsid w:val="00687BDB"/>
    <w:rsid w:val="00687E38"/>
    <w:rsid w:val="006902AE"/>
    <w:rsid w:val="00690CF0"/>
    <w:rsid w:val="00690EEC"/>
    <w:rsid w:val="00690F9D"/>
    <w:rsid w:val="006912B3"/>
    <w:rsid w:val="0069141B"/>
    <w:rsid w:val="006927CE"/>
    <w:rsid w:val="00692978"/>
    <w:rsid w:val="0069326F"/>
    <w:rsid w:val="0069446F"/>
    <w:rsid w:val="00694640"/>
    <w:rsid w:val="0069491F"/>
    <w:rsid w:val="00694D25"/>
    <w:rsid w:val="00694F80"/>
    <w:rsid w:val="006953ED"/>
    <w:rsid w:val="00695680"/>
    <w:rsid w:val="006965CE"/>
    <w:rsid w:val="00697714"/>
    <w:rsid w:val="006978CA"/>
    <w:rsid w:val="00697A2E"/>
    <w:rsid w:val="006A0C5D"/>
    <w:rsid w:val="006A0F08"/>
    <w:rsid w:val="006A0F7B"/>
    <w:rsid w:val="006A20A5"/>
    <w:rsid w:val="006A2AED"/>
    <w:rsid w:val="006A33E6"/>
    <w:rsid w:val="006A39BF"/>
    <w:rsid w:val="006A3C27"/>
    <w:rsid w:val="006A3E77"/>
    <w:rsid w:val="006A3EB9"/>
    <w:rsid w:val="006A3ECA"/>
    <w:rsid w:val="006A41A8"/>
    <w:rsid w:val="006A4328"/>
    <w:rsid w:val="006A4358"/>
    <w:rsid w:val="006A4605"/>
    <w:rsid w:val="006A52B8"/>
    <w:rsid w:val="006A55A9"/>
    <w:rsid w:val="006A6178"/>
    <w:rsid w:val="006A6188"/>
    <w:rsid w:val="006A61F8"/>
    <w:rsid w:val="006A6C83"/>
    <w:rsid w:val="006A6CBA"/>
    <w:rsid w:val="006A6D8D"/>
    <w:rsid w:val="006A7504"/>
    <w:rsid w:val="006A7615"/>
    <w:rsid w:val="006A7A3D"/>
    <w:rsid w:val="006A7AF5"/>
    <w:rsid w:val="006B13AA"/>
    <w:rsid w:val="006B1E06"/>
    <w:rsid w:val="006B2F9D"/>
    <w:rsid w:val="006B47FC"/>
    <w:rsid w:val="006B5233"/>
    <w:rsid w:val="006B54FD"/>
    <w:rsid w:val="006B5582"/>
    <w:rsid w:val="006B5A93"/>
    <w:rsid w:val="006B5EED"/>
    <w:rsid w:val="006B6D3B"/>
    <w:rsid w:val="006B7449"/>
    <w:rsid w:val="006B786D"/>
    <w:rsid w:val="006B7CAC"/>
    <w:rsid w:val="006B7E1B"/>
    <w:rsid w:val="006B7EEE"/>
    <w:rsid w:val="006C0C66"/>
    <w:rsid w:val="006C0FD4"/>
    <w:rsid w:val="006C106A"/>
    <w:rsid w:val="006C1783"/>
    <w:rsid w:val="006C18BD"/>
    <w:rsid w:val="006C1DFD"/>
    <w:rsid w:val="006C2496"/>
    <w:rsid w:val="006C270D"/>
    <w:rsid w:val="006C3439"/>
    <w:rsid w:val="006C3465"/>
    <w:rsid w:val="006C367B"/>
    <w:rsid w:val="006C38BA"/>
    <w:rsid w:val="006C4196"/>
    <w:rsid w:val="006C4492"/>
    <w:rsid w:val="006C4B9E"/>
    <w:rsid w:val="006C5491"/>
    <w:rsid w:val="006C606A"/>
    <w:rsid w:val="006C6387"/>
    <w:rsid w:val="006C6B28"/>
    <w:rsid w:val="006C71A6"/>
    <w:rsid w:val="006C73DA"/>
    <w:rsid w:val="006C784B"/>
    <w:rsid w:val="006C79E3"/>
    <w:rsid w:val="006C7D99"/>
    <w:rsid w:val="006D06F4"/>
    <w:rsid w:val="006D1171"/>
    <w:rsid w:val="006D1652"/>
    <w:rsid w:val="006D1F55"/>
    <w:rsid w:val="006D3810"/>
    <w:rsid w:val="006D39A7"/>
    <w:rsid w:val="006D4894"/>
    <w:rsid w:val="006D4EEB"/>
    <w:rsid w:val="006D54DE"/>
    <w:rsid w:val="006D55A4"/>
    <w:rsid w:val="006D5F7D"/>
    <w:rsid w:val="006D62D7"/>
    <w:rsid w:val="006D69D4"/>
    <w:rsid w:val="006D6C98"/>
    <w:rsid w:val="006D712B"/>
    <w:rsid w:val="006D7987"/>
    <w:rsid w:val="006E0896"/>
    <w:rsid w:val="006E0B7D"/>
    <w:rsid w:val="006E1624"/>
    <w:rsid w:val="006E1803"/>
    <w:rsid w:val="006E2136"/>
    <w:rsid w:val="006E268A"/>
    <w:rsid w:val="006E36BB"/>
    <w:rsid w:val="006E3F03"/>
    <w:rsid w:val="006E3FCA"/>
    <w:rsid w:val="006E422C"/>
    <w:rsid w:val="006E4F3D"/>
    <w:rsid w:val="006E565C"/>
    <w:rsid w:val="006E5881"/>
    <w:rsid w:val="006E6751"/>
    <w:rsid w:val="006E6ADE"/>
    <w:rsid w:val="006E6B4D"/>
    <w:rsid w:val="006E6DDE"/>
    <w:rsid w:val="006E70B3"/>
    <w:rsid w:val="006E737F"/>
    <w:rsid w:val="006E7A32"/>
    <w:rsid w:val="006E7A3C"/>
    <w:rsid w:val="006F0C17"/>
    <w:rsid w:val="006F0F5A"/>
    <w:rsid w:val="006F2691"/>
    <w:rsid w:val="006F31EC"/>
    <w:rsid w:val="006F36F7"/>
    <w:rsid w:val="006F3CCC"/>
    <w:rsid w:val="006F4221"/>
    <w:rsid w:val="006F42E0"/>
    <w:rsid w:val="006F5038"/>
    <w:rsid w:val="006F555F"/>
    <w:rsid w:val="006F748A"/>
    <w:rsid w:val="006F79A4"/>
    <w:rsid w:val="006F7CF0"/>
    <w:rsid w:val="00700A50"/>
    <w:rsid w:val="007014D9"/>
    <w:rsid w:val="00701B82"/>
    <w:rsid w:val="007021CF"/>
    <w:rsid w:val="00702A0C"/>
    <w:rsid w:val="00702DA2"/>
    <w:rsid w:val="007033F7"/>
    <w:rsid w:val="0070350D"/>
    <w:rsid w:val="00703952"/>
    <w:rsid w:val="00704A81"/>
    <w:rsid w:val="007054DA"/>
    <w:rsid w:val="00705774"/>
    <w:rsid w:val="00707318"/>
    <w:rsid w:val="0070798F"/>
    <w:rsid w:val="00707E86"/>
    <w:rsid w:val="00707EFE"/>
    <w:rsid w:val="00710352"/>
    <w:rsid w:val="007108DF"/>
    <w:rsid w:val="00710A1F"/>
    <w:rsid w:val="00711033"/>
    <w:rsid w:val="00711042"/>
    <w:rsid w:val="007116F1"/>
    <w:rsid w:val="00712055"/>
    <w:rsid w:val="00713004"/>
    <w:rsid w:val="00713CD4"/>
    <w:rsid w:val="00713ED6"/>
    <w:rsid w:val="00714206"/>
    <w:rsid w:val="00714507"/>
    <w:rsid w:val="00714B14"/>
    <w:rsid w:val="00714DA4"/>
    <w:rsid w:val="00715D6A"/>
    <w:rsid w:val="00715E5E"/>
    <w:rsid w:val="007162F1"/>
    <w:rsid w:val="00716680"/>
    <w:rsid w:val="00716877"/>
    <w:rsid w:val="00716D67"/>
    <w:rsid w:val="007170AE"/>
    <w:rsid w:val="00717AE8"/>
    <w:rsid w:val="00717C51"/>
    <w:rsid w:val="00717C59"/>
    <w:rsid w:val="00720055"/>
    <w:rsid w:val="0072023E"/>
    <w:rsid w:val="00720780"/>
    <w:rsid w:val="0072086B"/>
    <w:rsid w:val="00720FA5"/>
    <w:rsid w:val="0072171B"/>
    <w:rsid w:val="00721AAC"/>
    <w:rsid w:val="007221DA"/>
    <w:rsid w:val="00722E29"/>
    <w:rsid w:val="007236F8"/>
    <w:rsid w:val="00723994"/>
    <w:rsid w:val="007241A3"/>
    <w:rsid w:val="0072452D"/>
    <w:rsid w:val="007246BE"/>
    <w:rsid w:val="007261E0"/>
    <w:rsid w:val="007300AC"/>
    <w:rsid w:val="007301CA"/>
    <w:rsid w:val="00730485"/>
    <w:rsid w:val="0073099A"/>
    <w:rsid w:val="00731B29"/>
    <w:rsid w:val="00731E62"/>
    <w:rsid w:val="0073283D"/>
    <w:rsid w:val="00733308"/>
    <w:rsid w:val="0073370F"/>
    <w:rsid w:val="0073390F"/>
    <w:rsid w:val="007356F7"/>
    <w:rsid w:val="00735D0C"/>
    <w:rsid w:val="00735EA8"/>
    <w:rsid w:val="00735FF9"/>
    <w:rsid w:val="007361A8"/>
    <w:rsid w:val="00736894"/>
    <w:rsid w:val="00736944"/>
    <w:rsid w:val="00736D31"/>
    <w:rsid w:val="00736F77"/>
    <w:rsid w:val="0073737F"/>
    <w:rsid w:val="007376B1"/>
    <w:rsid w:val="00740DC1"/>
    <w:rsid w:val="007410B6"/>
    <w:rsid w:val="00741995"/>
    <w:rsid w:val="00741B46"/>
    <w:rsid w:val="00741BD8"/>
    <w:rsid w:val="0074229B"/>
    <w:rsid w:val="00742CC6"/>
    <w:rsid w:val="007430AA"/>
    <w:rsid w:val="00743B24"/>
    <w:rsid w:val="007443B2"/>
    <w:rsid w:val="00744873"/>
    <w:rsid w:val="00744F4C"/>
    <w:rsid w:val="00744FFF"/>
    <w:rsid w:val="007452B4"/>
    <w:rsid w:val="0074594B"/>
    <w:rsid w:val="00745F66"/>
    <w:rsid w:val="0074602E"/>
    <w:rsid w:val="007462F6"/>
    <w:rsid w:val="007466B0"/>
    <w:rsid w:val="00747FB3"/>
    <w:rsid w:val="007510B0"/>
    <w:rsid w:val="007512BE"/>
    <w:rsid w:val="007521AE"/>
    <w:rsid w:val="00753165"/>
    <w:rsid w:val="00753334"/>
    <w:rsid w:val="00753CB7"/>
    <w:rsid w:val="00753D97"/>
    <w:rsid w:val="007542F6"/>
    <w:rsid w:val="007545FA"/>
    <w:rsid w:val="00755D2A"/>
    <w:rsid w:val="0075638D"/>
    <w:rsid w:val="00756E68"/>
    <w:rsid w:val="00757505"/>
    <w:rsid w:val="00757597"/>
    <w:rsid w:val="00760DAB"/>
    <w:rsid w:val="007621A6"/>
    <w:rsid w:val="00762772"/>
    <w:rsid w:val="007669AB"/>
    <w:rsid w:val="00766B9C"/>
    <w:rsid w:val="007670EA"/>
    <w:rsid w:val="00767BF8"/>
    <w:rsid w:val="007700F1"/>
    <w:rsid w:val="00770FFE"/>
    <w:rsid w:val="00771091"/>
    <w:rsid w:val="00771660"/>
    <w:rsid w:val="00771BF1"/>
    <w:rsid w:val="007722A6"/>
    <w:rsid w:val="00772666"/>
    <w:rsid w:val="00773F28"/>
    <w:rsid w:val="007743F6"/>
    <w:rsid w:val="00774631"/>
    <w:rsid w:val="00774CDC"/>
    <w:rsid w:val="00775EB6"/>
    <w:rsid w:val="00776DD8"/>
    <w:rsid w:val="0077719B"/>
    <w:rsid w:val="007777C9"/>
    <w:rsid w:val="00780032"/>
    <w:rsid w:val="007814B7"/>
    <w:rsid w:val="00782159"/>
    <w:rsid w:val="00782B96"/>
    <w:rsid w:val="0078381E"/>
    <w:rsid w:val="007839E8"/>
    <w:rsid w:val="007842CA"/>
    <w:rsid w:val="0078444D"/>
    <w:rsid w:val="00784738"/>
    <w:rsid w:val="00785955"/>
    <w:rsid w:val="007859CB"/>
    <w:rsid w:val="00785D89"/>
    <w:rsid w:val="00785F5F"/>
    <w:rsid w:val="00786134"/>
    <w:rsid w:val="00786B26"/>
    <w:rsid w:val="00786D1A"/>
    <w:rsid w:val="00786F6E"/>
    <w:rsid w:val="00786F9F"/>
    <w:rsid w:val="007901AD"/>
    <w:rsid w:val="007902A4"/>
    <w:rsid w:val="0079085C"/>
    <w:rsid w:val="00791ACD"/>
    <w:rsid w:val="00791EB0"/>
    <w:rsid w:val="00791F39"/>
    <w:rsid w:val="00792A6F"/>
    <w:rsid w:val="007930EE"/>
    <w:rsid w:val="007936F2"/>
    <w:rsid w:val="00793724"/>
    <w:rsid w:val="00793C8E"/>
    <w:rsid w:val="00793EE4"/>
    <w:rsid w:val="00794758"/>
    <w:rsid w:val="00794A7D"/>
    <w:rsid w:val="007955D0"/>
    <w:rsid w:val="007961AA"/>
    <w:rsid w:val="007977CA"/>
    <w:rsid w:val="00797880"/>
    <w:rsid w:val="00797F5A"/>
    <w:rsid w:val="007A0109"/>
    <w:rsid w:val="007A013F"/>
    <w:rsid w:val="007A146C"/>
    <w:rsid w:val="007A147B"/>
    <w:rsid w:val="007A18A8"/>
    <w:rsid w:val="007A1BC7"/>
    <w:rsid w:val="007A2106"/>
    <w:rsid w:val="007A2325"/>
    <w:rsid w:val="007A247F"/>
    <w:rsid w:val="007A2D1B"/>
    <w:rsid w:val="007A2D64"/>
    <w:rsid w:val="007A351E"/>
    <w:rsid w:val="007A3F6E"/>
    <w:rsid w:val="007A464E"/>
    <w:rsid w:val="007A4DA7"/>
    <w:rsid w:val="007A50D0"/>
    <w:rsid w:val="007A535E"/>
    <w:rsid w:val="007A599F"/>
    <w:rsid w:val="007A5F4C"/>
    <w:rsid w:val="007A6F32"/>
    <w:rsid w:val="007A75F5"/>
    <w:rsid w:val="007A79E0"/>
    <w:rsid w:val="007A7E92"/>
    <w:rsid w:val="007B019A"/>
    <w:rsid w:val="007B03F6"/>
    <w:rsid w:val="007B1052"/>
    <w:rsid w:val="007B1417"/>
    <w:rsid w:val="007B16F6"/>
    <w:rsid w:val="007B1955"/>
    <w:rsid w:val="007B1ABB"/>
    <w:rsid w:val="007B25CD"/>
    <w:rsid w:val="007B27FF"/>
    <w:rsid w:val="007B2CAB"/>
    <w:rsid w:val="007B3245"/>
    <w:rsid w:val="007B333A"/>
    <w:rsid w:val="007B3370"/>
    <w:rsid w:val="007B34FE"/>
    <w:rsid w:val="007B3501"/>
    <w:rsid w:val="007B433C"/>
    <w:rsid w:val="007B4670"/>
    <w:rsid w:val="007B7531"/>
    <w:rsid w:val="007B7ED8"/>
    <w:rsid w:val="007C086D"/>
    <w:rsid w:val="007C09A8"/>
    <w:rsid w:val="007C1647"/>
    <w:rsid w:val="007C1671"/>
    <w:rsid w:val="007C1E42"/>
    <w:rsid w:val="007C2385"/>
    <w:rsid w:val="007C23DE"/>
    <w:rsid w:val="007C3112"/>
    <w:rsid w:val="007C31B8"/>
    <w:rsid w:val="007C518E"/>
    <w:rsid w:val="007C61DF"/>
    <w:rsid w:val="007C6296"/>
    <w:rsid w:val="007C639A"/>
    <w:rsid w:val="007C66CE"/>
    <w:rsid w:val="007C6988"/>
    <w:rsid w:val="007C7453"/>
    <w:rsid w:val="007C7548"/>
    <w:rsid w:val="007C7B84"/>
    <w:rsid w:val="007D034D"/>
    <w:rsid w:val="007D08AF"/>
    <w:rsid w:val="007D08C6"/>
    <w:rsid w:val="007D0B5D"/>
    <w:rsid w:val="007D0E28"/>
    <w:rsid w:val="007D17C5"/>
    <w:rsid w:val="007D1A26"/>
    <w:rsid w:val="007D21EE"/>
    <w:rsid w:val="007D22FE"/>
    <w:rsid w:val="007D321F"/>
    <w:rsid w:val="007D34BD"/>
    <w:rsid w:val="007D4559"/>
    <w:rsid w:val="007D4D5A"/>
    <w:rsid w:val="007D5845"/>
    <w:rsid w:val="007D5F2F"/>
    <w:rsid w:val="007D659D"/>
    <w:rsid w:val="007D6624"/>
    <w:rsid w:val="007D67ED"/>
    <w:rsid w:val="007D6863"/>
    <w:rsid w:val="007E0773"/>
    <w:rsid w:val="007E0E9B"/>
    <w:rsid w:val="007E1324"/>
    <w:rsid w:val="007E26A8"/>
    <w:rsid w:val="007E2AF2"/>
    <w:rsid w:val="007E2B57"/>
    <w:rsid w:val="007E300A"/>
    <w:rsid w:val="007E4184"/>
    <w:rsid w:val="007E431E"/>
    <w:rsid w:val="007E46F2"/>
    <w:rsid w:val="007E55E3"/>
    <w:rsid w:val="007E6032"/>
    <w:rsid w:val="007E62A2"/>
    <w:rsid w:val="007E67D9"/>
    <w:rsid w:val="007E7264"/>
    <w:rsid w:val="007E747B"/>
    <w:rsid w:val="007E7754"/>
    <w:rsid w:val="007E7D84"/>
    <w:rsid w:val="007F00AA"/>
    <w:rsid w:val="007F19EC"/>
    <w:rsid w:val="007F1EF2"/>
    <w:rsid w:val="007F23A4"/>
    <w:rsid w:val="007F256B"/>
    <w:rsid w:val="007F2D69"/>
    <w:rsid w:val="007F35DD"/>
    <w:rsid w:val="007F3A12"/>
    <w:rsid w:val="007F3E57"/>
    <w:rsid w:val="007F4895"/>
    <w:rsid w:val="007F4B12"/>
    <w:rsid w:val="007F5030"/>
    <w:rsid w:val="007F601D"/>
    <w:rsid w:val="007F677B"/>
    <w:rsid w:val="007F6B78"/>
    <w:rsid w:val="007F7157"/>
    <w:rsid w:val="007F755F"/>
    <w:rsid w:val="00800194"/>
    <w:rsid w:val="008007F3"/>
    <w:rsid w:val="00800804"/>
    <w:rsid w:val="00801057"/>
    <w:rsid w:val="00801B9B"/>
    <w:rsid w:val="00802405"/>
    <w:rsid w:val="00802C47"/>
    <w:rsid w:val="00802D52"/>
    <w:rsid w:val="00803609"/>
    <w:rsid w:val="0080374E"/>
    <w:rsid w:val="008037A6"/>
    <w:rsid w:val="00803EA8"/>
    <w:rsid w:val="00804836"/>
    <w:rsid w:val="00804986"/>
    <w:rsid w:val="00804BB8"/>
    <w:rsid w:val="00804D50"/>
    <w:rsid w:val="00805537"/>
    <w:rsid w:val="00805583"/>
    <w:rsid w:val="0080632A"/>
    <w:rsid w:val="00806502"/>
    <w:rsid w:val="00806B63"/>
    <w:rsid w:val="00807167"/>
    <w:rsid w:val="008071C3"/>
    <w:rsid w:val="00807483"/>
    <w:rsid w:val="00807C26"/>
    <w:rsid w:val="00811A67"/>
    <w:rsid w:val="00811F52"/>
    <w:rsid w:val="00812108"/>
    <w:rsid w:val="0081237D"/>
    <w:rsid w:val="008123DA"/>
    <w:rsid w:val="0081287C"/>
    <w:rsid w:val="00812B15"/>
    <w:rsid w:val="00813376"/>
    <w:rsid w:val="008134D1"/>
    <w:rsid w:val="00813C68"/>
    <w:rsid w:val="00814DC4"/>
    <w:rsid w:val="0081509B"/>
    <w:rsid w:val="00815175"/>
    <w:rsid w:val="0081543A"/>
    <w:rsid w:val="00815D47"/>
    <w:rsid w:val="00816546"/>
    <w:rsid w:val="00817629"/>
    <w:rsid w:val="00820AD7"/>
    <w:rsid w:val="00820C08"/>
    <w:rsid w:val="008211D0"/>
    <w:rsid w:val="00822103"/>
    <w:rsid w:val="00822BD4"/>
    <w:rsid w:val="00823C9C"/>
    <w:rsid w:val="00824864"/>
    <w:rsid w:val="00824917"/>
    <w:rsid w:val="008250BD"/>
    <w:rsid w:val="008256E3"/>
    <w:rsid w:val="00827039"/>
    <w:rsid w:val="00827A93"/>
    <w:rsid w:val="00827DEA"/>
    <w:rsid w:val="00827F35"/>
    <w:rsid w:val="008303F9"/>
    <w:rsid w:val="008311C6"/>
    <w:rsid w:val="00831434"/>
    <w:rsid w:val="00831B47"/>
    <w:rsid w:val="0083239E"/>
    <w:rsid w:val="00832A58"/>
    <w:rsid w:val="008331AA"/>
    <w:rsid w:val="0083354A"/>
    <w:rsid w:val="00833BE5"/>
    <w:rsid w:val="00833E5B"/>
    <w:rsid w:val="008343D5"/>
    <w:rsid w:val="008347E2"/>
    <w:rsid w:val="00834A95"/>
    <w:rsid w:val="00834B47"/>
    <w:rsid w:val="0083690E"/>
    <w:rsid w:val="008375D7"/>
    <w:rsid w:val="008375E5"/>
    <w:rsid w:val="0084056F"/>
    <w:rsid w:val="0084059A"/>
    <w:rsid w:val="00841775"/>
    <w:rsid w:val="00841AEE"/>
    <w:rsid w:val="00841C59"/>
    <w:rsid w:val="00842222"/>
    <w:rsid w:val="00842AA6"/>
    <w:rsid w:val="00842C7C"/>
    <w:rsid w:val="00843447"/>
    <w:rsid w:val="00843702"/>
    <w:rsid w:val="008442D1"/>
    <w:rsid w:val="00844C47"/>
    <w:rsid w:val="00844C5E"/>
    <w:rsid w:val="008469CA"/>
    <w:rsid w:val="00846A56"/>
    <w:rsid w:val="00847454"/>
    <w:rsid w:val="00847741"/>
    <w:rsid w:val="00850937"/>
    <w:rsid w:val="00850B9A"/>
    <w:rsid w:val="00851116"/>
    <w:rsid w:val="008515E1"/>
    <w:rsid w:val="00851FB5"/>
    <w:rsid w:val="00852895"/>
    <w:rsid w:val="00852F94"/>
    <w:rsid w:val="00853820"/>
    <w:rsid w:val="00853B4C"/>
    <w:rsid w:val="0085458C"/>
    <w:rsid w:val="00854695"/>
    <w:rsid w:val="0085483F"/>
    <w:rsid w:val="00854DCB"/>
    <w:rsid w:val="008554D6"/>
    <w:rsid w:val="00855CE4"/>
    <w:rsid w:val="00855E13"/>
    <w:rsid w:val="008568C2"/>
    <w:rsid w:val="00856B32"/>
    <w:rsid w:val="00856C42"/>
    <w:rsid w:val="00856D29"/>
    <w:rsid w:val="008606CD"/>
    <w:rsid w:val="00861254"/>
    <w:rsid w:val="00862C5E"/>
    <w:rsid w:val="00862DDD"/>
    <w:rsid w:val="00862F9E"/>
    <w:rsid w:val="008634BF"/>
    <w:rsid w:val="008636FF"/>
    <w:rsid w:val="008638BA"/>
    <w:rsid w:val="0086433F"/>
    <w:rsid w:val="008657A7"/>
    <w:rsid w:val="00865CE4"/>
    <w:rsid w:val="0086657A"/>
    <w:rsid w:val="00866E7E"/>
    <w:rsid w:val="0087014B"/>
    <w:rsid w:val="008701C9"/>
    <w:rsid w:val="0087082C"/>
    <w:rsid w:val="00870C71"/>
    <w:rsid w:val="0087146C"/>
    <w:rsid w:val="00871656"/>
    <w:rsid w:val="00871B44"/>
    <w:rsid w:val="00872CCB"/>
    <w:rsid w:val="00872E71"/>
    <w:rsid w:val="00873CA0"/>
    <w:rsid w:val="00873F29"/>
    <w:rsid w:val="00874AC5"/>
    <w:rsid w:val="00874B22"/>
    <w:rsid w:val="00875484"/>
    <w:rsid w:val="0087590F"/>
    <w:rsid w:val="00875B5B"/>
    <w:rsid w:val="00875E0F"/>
    <w:rsid w:val="00877522"/>
    <w:rsid w:val="008778AD"/>
    <w:rsid w:val="0087791C"/>
    <w:rsid w:val="00880ACF"/>
    <w:rsid w:val="00881285"/>
    <w:rsid w:val="00881CE4"/>
    <w:rsid w:val="00882042"/>
    <w:rsid w:val="00882534"/>
    <w:rsid w:val="00882862"/>
    <w:rsid w:val="00882C95"/>
    <w:rsid w:val="00883624"/>
    <w:rsid w:val="00883913"/>
    <w:rsid w:val="00883F59"/>
    <w:rsid w:val="00883FF6"/>
    <w:rsid w:val="008840DF"/>
    <w:rsid w:val="0088548C"/>
    <w:rsid w:val="008858BB"/>
    <w:rsid w:val="008874BF"/>
    <w:rsid w:val="00887DFC"/>
    <w:rsid w:val="0089165F"/>
    <w:rsid w:val="008917BE"/>
    <w:rsid w:val="0089208C"/>
    <w:rsid w:val="008921C3"/>
    <w:rsid w:val="0089292F"/>
    <w:rsid w:val="0089301E"/>
    <w:rsid w:val="008931AA"/>
    <w:rsid w:val="00893401"/>
    <w:rsid w:val="008943F3"/>
    <w:rsid w:val="00895E28"/>
    <w:rsid w:val="00896061"/>
    <w:rsid w:val="00896AAF"/>
    <w:rsid w:val="00897915"/>
    <w:rsid w:val="008A0212"/>
    <w:rsid w:val="008A0937"/>
    <w:rsid w:val="008A157D"/>
    <w:rsid w:val="008A2245"/>
    <w:rsid w:val="008A28E5"/>
    <w:rsid w:val="008A4214"/>
    <w:rsid w:val="008A4787"/>
    <w:rsid w:val="008A4932"/>
    <w:rsid w:val="008A50F7"/>
    <w:rsid w:val="008A5432"/>
    <w:rsid w:val="008A54D0"/>
    <w:rsid w:val="008A6584"/>
    <w:rsid w:val="008A6FD2"/>
    <w:rsid w:val="008A79D2"/>
    <w:rsid w:val="008B0567"/>
    <w:rsid w:val="008B0E4B"/>
    <w:rsid w:val="008B1C51"/>
    <w:rsid w:val="008B2BA2"/>
    <w:rsid w:val="008B488E"/>
    <w:rsid w:val="008B4F3E"/>
    <w:rsid w:val="008B4FDA"/>
    <w:rsid w:val="008B54D4"/>
    <w:rsid w:val="008B55E3"/>
    <w:rsid w:val="008B5DBB"/>
    <w:rsid w:val="008B627B"/>
    <w:rsid w:val="008B6916"/>
    <w:rsid w:val="008B699B"/>
    <w:rsid w:val="008B7119"/>
    <w:rsid w:val="008B7C5A"/>
    <w:rsid w:val="008B7EA7"/>
    <w:rsid w:val="008B7EC8"/>
    <w:rsid w:val="008C0258"/>
    <w:rsid w:val="008C0C7A"/>
    <w:rsid w:val="008C1695"/>
    <w:rsid w:val="008C1816"/>
    <w:rsid w:val="008C2FC1"/>
    <w:rsid w:val="008C3469"/>
    <w:rsid w:val="008C4003"/>
    <w:rsid w:val="008C4424"/>
    <w:rsid w:val="008C4DB4"/>
    <w:rsid w:val="008C558A"/>
    <w:rsid w:val="008C59C5"/>
    <w:rsid w:val="008C5AF2"/>
    <w:rsid w:val="008C5CE4"/>
    <w:rsid w:val="008C63F0"/>
    <w:rsid w:val="008C64F5"/>
    <w:rsid w:val="008C6543"/>
    <w:rsid w:val="008C6E55"/>
    <w:rsid w:val="008C6F63"/>
    <w:rsid w:val="008C7114"/>
    <w:rsid w:val="008C76D1"/>
    <w:rsid w:val="008C7BA9"/>
    <w:rsid w:val="008C7BF5"/>
    <w:rsid w:val="008D019A"/>
    <w:rsid w:val="008D02D1"/>
    <w:rsid w:val="008D1522"/>
    <w:rsid w:val="008D163D"/>
    <w:rsid w:val="008D1989"/>
    <w:rsid w:val="008D2270"/>
    <w:rsid w:val="008D269D"/>
    <w:rsid w:val="008D2A38"/>
    <w:rsid w:val="008D2D4A"/>
    <w:rsid w:val="008D2E4A"/>
    <w:rsid w:val="008D2F22"/>
    <w:rsid w:val="008D3214"/>
    <w:rsid w:val="008D4491"/>
    <w:rsid w:val="008D46A1"/>
    <w:rsid w:val="008D5522"/>
    <w:rsid w:val="008D669B"/>
    <w:rsid w:val="008D6870"/>
    <w:rsid w:val="008D69F5"/>
    <w:rsid w:val="008D6CAE"/>
    <w:rsid w:val="008D6E8B"/>
    <w:rsid w:val="008D7113"/>
    <w:rsid w:val="008D7553"/>
    <w:rsid w:val="008D79FB"/>
    <w:rsid w:val="008D7DB6"/>
    <w:rsid w:val="008E0777"/>
    <w:rsid w:val="008E08C2"/>
    <w:rsid w:val="008E1572"/>
    <w:rsid w:val="008E1813"/>
    <w:rsid w:val="008E2138"/>
    <w:rsid w:val="008E2218"/>
    <w:rsid w:val="008E2CFA"/>
    <w:rsid w:val="008E2DCF"/>
    <w:rsid w:val="008E33A1"/>
    <w:rsid w:val="008E4406"/>
    <w:rsid w:val="008E4445"/>
    <w:rsid w:val="008E4BDE"/>
    <w:rsid w:val="008E5931"/>
    <w:rsid w:val="008E5D47"/>
    <w:rsid w:val="008E637E"/>
    <w:rsid w:val="008E6388"/>
    <w:rsid w:val="008E69F7"/>
    <w:rsid w:val="008E6FFE"/>
    <w:rsid w:val="008E7208"/>
    <w:rsid w:val="008E73AF"/>
    <w:rsid w:val="008E740D"/>
    <w:rsid w:val="008E7C38"/>
    <w:rsid w:val="008F023E"/>
    <w:rsid w:val="008F10AA"/>
    <w:rsid w:val="008F10C2"/>
    <w:rsid w:val="008F12EA"/>
    <w:rsid w:val="008F143E"/>
    <w:rsid w:val="008F153D"/>
    <w:rsid w:val="008F1998"/>
    <w:rsid w:val="008F21DD"/>
    <w:rsid w:val="008F30A0"/>
    <w:rsid w:val="008F3FDE"/>
    <w:rsid w:val="008F41E6"/>
    <w:rsid w:val="008F4617"/>
    <w:rsid w:val="008F517E"/>
    <w:rsid w:val="008F5A40"/>
    <w:rsid w:val="008F60DA"/>
    <w:rsid w:val="008F6397"/>
    <w:rsid w:val="008F6FF1"/>
    <w:rsid w:val="008F75E6"/>
    <w:rsid w:val="0090055F"/>
    <w:rsid w:val="009007B6"/>
    <w:rsid w:val="009007F0"/>
    <w:rsid w:val="00901B4B"/>
    <w:rsid w:val="00901F8E"/>
    <w:rsid w:val="00902009"/>
    <w:rsid w:val="00902319"/>
    <w:rsid w:val="0090329A"/>
    <w:rsid w:val="00903F02"/>
    <w:rsid w:val="0090449A"/>
    <w:rsid w:val="009053B2"/>
    <w:rsid w:val="00905487"/>
    <w:rsid w:val="00905566"/>
    <w:rsid w:val="00905927"/>
    <w:rsid w:val="00905C6F"/>
    <w:rsid w:val="00905C7D"/>
    <w:rsid w:val="00905D88"/>
    <w:rsid w:val="009067FE"/>
    <w:rsid w:val="00906EAA"/>
    <w:rsid w:val="00906F98"/>
    <w:rsid w:val="009070B4"/>
    <w:rsid w:val="009071CB"/>
    <w:rsid w:val="0091125E"/>
    <w:rsid w:val="009115AF"/>
    <w:rsid w:val="00911E70"/>
    <w:rsid w:val="0091268E"/>
    <w:rsid w:val="00912C9F"/>
    <w:rsid w:val="00912DA2"/>
    <w:rsid w:val="00913A30"/>
    <w:rsid w:val="0091419F"/>
    <w:rsid w:val="009146C1"/>
    <w:rsid w:val="009153F3"/>
    <w:rsid w:val="00915AA0"/>
    <w:rsid w:val="009161D0"/>
    <w:rsid w:val="0091684C"/>
    <w:rsid w:val="00916DF8"/>
    <w:rsid w:val="00917428"/>
    <w:rsid w:val="009176FB"/>
    <w:rsid w:val="009177AC"/>
    <w:rsid w:val="00917DC6"/>
    <w:rsid w:val="0092038A"/>
    <w:rsid w:val="009204FA"/>
    <w:rsid w:val="009206C2"/>
    <w:rsid w:val="00920B60"/>
    <w:rsid w:val="00921205"/>
    <w:rsid w:val="009212E8"/>
    <w:rsid w:val="009215E3"/>
    <w:rsid w:val="00921A27"/>
    <w:rsid w:val="00921ADB"/>
    <w:rsid w:val="00922958"/>
    <w:rsid w:val="00922DD1"/>
    <w:rsid w:val="0092301C"/>
    <w:rsid w:val="009230C9"/>
    <w:rsid w:val="009234BB"/>
    <w:rsid w:val="00923D4C"/>
    <w:rsid w:val="00924A51"/>
    <w:rsid w:val="00925B80"/>
    <w:rsid w:val="00925CAA"/>
    <w:rsid w:val="0092689C"/>
    <w:rsid w:val="0092726C"/>
    <w:rsid w:val="0092769A"/>
    <w:rsid w:val="00927A52"/>
    <w:rsid w:val="00927F5C"/>
    <w:rsid w:val="00931B3F"/>
    <w:rsid w:val="00933CB3"/>
    <w:rsid w:val="00934030"/>
    <w:rsid w:val="0093432D"/>
    <w:rsid w:val="009345AC"/>
    <w:rsid w:val="00935039"/>
    <w:rsid w:val="009353D9"/>
    <w:rsid w:val="00935E48"/>
    <w:rsid w:val="00936430"/>
    <w:rsid w:val="00936BC8"/>
    <w:rsid w:val="00937C45"/>
    <w:rsid w:val="009415E5"/>
    <w:rsid w:val="00941806"/>
    <w:rsid w:val="00941875"/>
    <w:rsid w:val="00942037"/>
    <w:rsid w:val="009420B9"/>
    <w:rsid w:val="00942174"/>
    <w:rsid w:val="009421B2"/>
    <w:rsid w:val="0094290F"/>
    <w:rsid w:val="009429F2"/>
    <w:rsid w:val="00942BF6"/>
    <w:rsid w:val="00942F59"/>
    <w:rsid w:val="00943436"/>
    <w:rsid w:val="00943BFA"/>
    <w:rsid w:val="00944A05"/>
    <w:rsid w:val="00945825"/>
    <w:rsid w:val="009462C0"/>
    <w:rsid w:val="0094658E"/>
    <w:rsid w:val="0094671F"/>
    <w:rsid w:val="0094674F"/>
    <w:rsid w:val="00946818"/>
    <w:rsid w:val="00946B57"/>
    <w:rsid w:val="009472A3"/>
    <w:rsid w:val="009477B3"/>
    <w:rsid w:val="009513DA"/>
    <w:rsid w:val="00954626"/>
    <w:rsid w:val="0095487B"/>
    <w:rsid w:val="009548FB"/>
    <w:rsid w:val="00956646"/>
    <w:rsid w:val="009567E8"/>
    <w:rsid w:val="00956810"/>
    <w:rsid w:val="00956D18"/>
    <w:rsid w:val="00957B24"/>
    <w:rsid w:val="00960BF6"/>
    <w:rsid w:val="0096294B"/>
    <w:rsid w:val="0096326C"/>
    <w:rsid w:val="00963414"/>
    <w:rsid w:val="00963BF7"/>
    <w:rsid w:val="00964C97"/>
    <w:rsid w:val="00964E84"/>
    <w:rsid w:val="009657B6"/>
    <w:rsid w:val="00966266"/>
    <w:rsid w:val="00966793"/>
    <w:rsid w:val="00966877"/>
    <w:rsid w:val="00966F16"/>
    <w:rsid w:val="00967AFE"/>
    <w:rsid w:val="00967BF7"/>
    <w:rsid w:val="00970CAF"/>
    <w:rsid w:val="00970E80"/>
    <w:rsid w:val="009712FD"/>
    <w:rsid w:val="00971BE4"/>
    <w:rsid w:val="00971E2D"/>
    <w:rsid w:val="009729AC"/>
    <w:rsid w:val="00973497"/>
    <w:rsid w:val="00973879"/>
    <w:rsid w:val="00973968"/>
    <w:rsid w:val="009739D7"/>
    <w:rsid w:val="00973DE4"/>
    <w:rsid w:val="00973DF2"/>
    <w:rsid w:val="00974D45"/>
    <w:rsid w:val="00975714"/>
    <w:rsid w:val="0097574C"/>
    <w:rsid w:val="00975FED"/>
    <w:rsid w:val="00976770"/>
    <w:rsid w:val="00976ACA"/>
    <w:rsid w:val="00980155"/>
    <w:rsid w:val="0098103A"/>
    <w:rsid w:val="00982A05"/>
    <w:rsid w:val="00983522"/>
    <w:rsid w:val="009839CA"/>
    <w:rsid w:val="00983E38"/>
    <w:rsid w:val="009842DA"/>
    <w:rsid w:val="00985306"/>
    <w:rsid w:val="0098581C"/>
    <w:rsid w:val="00985B8B"/>
    <w:rsid w:val="00986895"/>
    <w:rsid w:val="009868A1"/>
    <w:rsid w:val="00986F86"/>
    <w:rsid w:val="00986F97"/>
    <w:rsid w:val="0098713C"/>
    <w:rsid w:val="009871F4"/>
    <w:rsid w:val="009872BF"/>
    <w:rsid w:val="00987CD7"/>
    <w:rsid w:val="00987DDD"/>
    <w:rsid w:val="00987DE8"/>
    <w:rsid w:val="00987F30"/>
    <w:rsid w:val="009907B4"/>
    <w:rsid w:val="00991351"/>
    <w:rsid w:val="009913A5"/>
    <w:rsid w:val="009914DB"/>
    <w:rsid w:val="0099180A"/>
    <w:rsid w:val="00991D04"/>
    <w:rsid w:val="00992227"/>
    <w:rsid w:val="00993B98"/>
    <w:rsid w:val="00993CA0"/>
    <w:rsid w:val="00993DA3"/>
    <w:rsid w:val="00993F22"/>
    <w:rsid w:val="009946AE"/>
    <w:rsid w:val="00994A50"/>
    <w:rsid w:val="00994BAC"/>
    <w:rsid w:val="00995673"/>
    <w:rsid w:val="0099607C"/>
    <w:rsid w:val="00996684"/>
    <w:rsid w:val="00996D07"/>
    <w:rsid w:val="00996EE9"/>
    <w:rsid w:val="0099714E"/>
    <w:rsid w:val="00997C8E"/>
    <w:rsid w:val="00997F93"/>
    <w:rsid w:val="00997FE7"/>
    <w:rsid w:val="009A1351"/>
    <w:rsid w:val="009A2108"/>
    <w:rsid w:val="009A2FDF"/>
    <w:rsid w:val="009A347A"/>
    <w:rsid w:val="009A3C15"/>
    <w:rsid w:val="009A3D91"/>
    <w:rsid w:val="009A3F0D"/>
    <w:rsid w:val="009A4407"/>
    <w:rsid w:val="009A455C"/>
    <w:rsid w:val="009A457D"/>
    <w:rsid w:val="009A45BA"/>
    <w:rsid w:val="009A4A2F"/>
    <w:rsid w:val="009A541E"/>
    <w:rsid w:val="009A640B"/>
    <w:rsid w:val="009A6537"/>
    <w:rsid w:val="009A6999"/>
    <w:rsid w:val="009A752F"/>
    <w:rsid w:val="009B017C"/>
    <w:rsid w:val="009B1D4F"/>
    <w:rsid w:val="009B2265"/>
    <w:rsid w:val="009B26D0"/>
    <w:rsid w:val="009B286A"/>
    <w:rsid w:val="009B3015"/>
    <w:rsid w:val="009B3372"/>
    <w:rsid w:val="009B34F6"/>
    <w:rsid w:val="009B3AF7"/>
    <w:rsid w:val="009B4238"/>
    <w:rsid w:val="009B6A88"/>
    <w:rsid w:val="009B6D27"/>
    <w:rsid w:val="009B6ECC"/>
    <w:rsid w:val="009B6EE9"/>
    <w:rsid w:val="009B718B"/>
    <w:rsid w:val="009B727D"/>
    <w:rsid w:val="009B7CA7"/>
    <w:rsid w:val="009B7FA8"/>
    <w:rsid w:val="009C0898"/>
    <w:rsid w:val="009C0C2B"/>
    <w:rsid w:val="009C0F04"/>
    <w:rsid w:val="009C16FF"/>
    <w:rsid w:val="009C212D"/>
    <w:rsid w:val="009C2AD4"/>
    <w:rsid w:val="009C2E20"/>
    <w:rsid w:val="009C2F56"/>
    <w:rsid w:val="009C31B6"/>
    <w:rsid w:val="009C321F"/>
    <w:rsid w:val="009C32EB"/>
    <w:rsid w:val="009C46E5"/>
    <w:rsid w:val="009C4C3D"/>
    <w:rsid w:val="009C5CD0"/>
    <w:rsid w:val="009C6768"/>
    <w:rsid w:val="009C6D2C"/>
    <w:rsid w:val="009C6D88"/>
    <w:rsid w:val="009C7139"/>
    <w:rsid w:val="009C7357"/>
    <w:rsid w:val="009C78D7"/>
    <w:rsid w:val="009C7C60"/>
    <w:rsid w:val="009D0224"/>
    <w:rsid w:val="009D08FD"/>
    <w:rsid w:val="009D11B4"/>
    <w:rsid w:val="009D11DD"/>
    <w:rsid w:val="009D252F"/>
    <w:rsid w:val="009D256F"/>
    <w:rsid w:val="009D29F7"/>
    <w:rsid w:val="009D2A94"/>
    <w:rsid w:val="009D2BE3"/>
    <w:rsid w:val="009D2D76"/>
    <w:rsid w:val="009D5727"/>
    <w:rsid w:val="009D5973"/>
    <w:rsid w:val="009D7441"/>
    <w:rsid w:val="009D77DB"/>
    <w:rsid w:val="009D7C26"/>
    <w:rsid w:val="009E0371"/>
    <w:rsid w:val="009E0898"/>
    <w:rsid w:val="009E169C"/>
    <w:rsid w:val="009E177B"/>
    <w:rsid w:val="009E1916"/>
    <w:rsid w:val="009E2A08"/>
    <w:rsid w:val="009E35B3"/>
    <w:rsid w:val="009E3D5F"/>
    <w:rsid w:val="009E4BCD"/>
    <w:rsid w:val="009E4D65"/>
    <w:rsid w:val="009E4ECB"/>
    <w:rsid w:val="009E4FFD"/>
    <w:rsid w:val="009E5657"/>
    <w:rsid w:val="009E5AFE"/>
    <w:rsid w:val="009E61A4"/>
    <w:rsid w:val="009E641E"/>
    <w:rsid w:val="009E6B0A"/>
    <w:rsid w:val="009E6E1B"/>
    <w:rsid w:val="009F0262"/>
    <w:rsid w:val="009F05F2"/>
    <w:rsid w:val="009F0BC9"/>
    <w:rsid w:val="009F10CE"/>
    <w:rsid w:val="009F1214"/>
    <w:rsid w:val="009F12C0"/>
    <w:rsid w:val="009F18B8"/>
    <w:rsid w:val="009F19AE"/>
    <w:rsid w:val="009F20D5"/>
    <w:rsid w:val="009F29EB"/>
    <w:rsid w:val="009F34AD"/>
    <w:rsid w:val="009F354F"/>
    <w:rsid w:val="009F5892"/>
    <w:rsid w:val="009F5ECF"/>
    <w:rsid w:val="009F6589"/>
    <w:rsid w:val="009F69FE"/>
    <w:rsid w:val="009F7503"/>
    <w:rsid w:val="009F7BE6"/>
    <w:rsid w:val="00A000F9"/>
    <w:rsid w:val="00A0050A"/>
    <w:rsid w:val="00A008B0"/>
    <w:rsid w:val="00A01070"/>
    <w:rsid w:val="00A0177C"/>
    <w:rsid w:val="00A02350"/>
    <w:rsid w:val="00A0308F"/>
    <w:rsid w:val="00A03CA2"/>
    <w:rsid w:val="00A0455B"/>
    <w:rsid w:val="00A049DC"/>
    <w:rsid w:val="00A04DC4"/>
    <w:rsid w:val="00A05253"/>
    <w:rsid w:val="00A064DD"/>
    <w:rsid w:val="00A0653F"/>
    <w:rsid w:val="00A065E4"/>
    <w:rsid w:val="00A066A2"/>
    <w:rsid w:val="00A066CC"/>
    <w:rsid w:val="00A0685D"/>
    <w:rsid w:val="00A068D9"/>
    <w:rsid w:val="00A101F3"/>
    <w:rsid w:val="00A11404"/>
    <w:rsid w:val="00A11AC8"/>
    <w:rsid w:val="00A121FA"/>
    <w:rsid w:val="00A12232"/>
    <w:rsid w:val="00A126AD"/>
    <w:rsid w:val="00A12717"/>
    <w:rsid w:val="00A12CC9"/>
    <w:rsid w:val="00A13037"/>
    <w:rsid w:val="00A1310F"/>
    <w:rsid w:val="00A1370E"/>
    <w:rsid w:val="00A145C9"/>
    <w:rsid w:val="00A15B2E"/>
    <w:rsid w:val="00A16461"/>
    <w:rsid w:val="00A16B95"/>
    <w:rsid w:val="00A17D4C"/>
    <w:rsid w:val="00A20871"/>
    <w:rsid w:val="00A20BDF"/>
    <w:rsid w:val="00A20F90"/>
    <w:rsid w:val="00A21513"/>
    <w:rsid w:val="00A22231"/>
    <w:rsid w:val="00A22426"/>
    <w:rsid w:val="00A23388"/>
    <w:rsid w:val="00A2368F"/>
    <w:rsid w:val="00A239D8"/>
    <w:rsid w:val="00A2476D"/>
    <w:rsid w:val="00A25490"/>
    <w:rsid w:val="00A25612"/>
    <w:rsid w:val="00A258FB"/>
    <w:rsid w:val="00A25A48"/>
    <w:rsid w:val="00A269D6"/>
    <w:rsid w:val="00A26DA7"/>
    <w:rsid w:val="00A27685"/>
    <w:rsid w:val="00A30BC0"/>
    <w:rsid w:val="00A30C24"/>
    <w:rsid w:val="00A31300"/>
    <w:rsid w:val="00A315E0"/>
    <w:rsid w:val="00A32FA4"/>
    <w:rsid w:val="00A33B3F"/>
    <w:rsid w:val="00A33F1F"/>
    <w:rsid w:val="00A33F76"/>
    <w:rsid w:val="00A3441E"/>
    <w:rsid w:val="00A3443D"/>
    <w:rsid w:val="00A34B55"/>
    <w:rsid w:val="00A34D78"/>
    <w:rsid w:val="00A351CC"/>
    <w:rsid w:val="00A3521B"/>
    <w:rsid w:val="00A35550"/>
    <w:rsid w:val="00A35D25"/>
    <w:rsid w:val="00A366EC"/>
    <w:rsid w:val="00A367D4"/>
    <w:rsid w:val="00A36828"/>
    <w:rsid w:val="00A375C3"/>
    <w:rsid w:val="00A379B1"/>
    <w:rsid w:val="00A37BDA"/>
    <w:rsid w:val="00A37E13"/>
    <w:rsid w:val="00A37E8C"/>
    <w:rsid w:val="00A4098A"/>
    <w:rsid w:val="00A414C6"/>
    <w:rsid w:val="00A41595"/>
    <w:rsid w:val="00A41AA1"/>
    <w:rsid w:val="00A41ABD"/>
    <w:rsid w:val="00A41B5F"/>
    <w:rsid w:val="00A42180"/>
    <w:rsid w:val="00A42195"/>
    <w:rsid w:val="00A43645"/>
    <w:rsid w:val="00A43869"/>
    <w:rsid w:val="00A43C6D"/>
    <w:rsid w:val="00A44187"/>
    <w:rsid w:val="00A45670"/>
    <w:rsid w:val="00A458EA"/>
    <w:rsid w:val="00A45F4F"/>
    <w:rsid w:val="00A463EF"/>
    <w:rsid w:val="00A50208"/>
    <w:rsid w:val="00A51416"/>
    <w:rsid w:val="00A5170E"/>
    <w:rsid w:val="00A51A21"/>
    <w:rsid w:val="00A51AC9"/>
    <w:rsid w:val="00A51DEE"/>
    <w:rsid w:val="00A52015"/>
    <w:rsid w:val="00A52939"/>
    <w:rsid w:val="00A53746"/>
    <w:rsid w:val="00A53963"/>
    <w:rsid w:val="00A53DD0"/>
    <w:rsid w:val="00A5508C"/>
    <w:rsid w:val="00A55578"/>
    <w:rsid w:val="00A565B1"/>
    <w:rsid w:val="00A5661C"/>
    <w:rsid w:val="00A60636"/>
    <w:rsid w:val="00A60999"/>
    <w:rsid w:val="00A60AB1"/>
    <w:rsid w:val="00A60FFF"/>
    <w:rsid w:val="00A613A9"/>
    <w:rsid w:val="00A61813"/>
    <w:rsid w:val="00A6186F"/>
    <w:rsid w:val="00A62582"/>
    <w:rsid w:val="00A62BAD"/>
    <w:rsid w:val="00A62E70"/>
    <w:rsid w:val="00A637E4"/>
    <w:rsid w:val="00A63922"/>
    <w:rsid w:val="00A6421D"/>
    <w:rsid w:val="00A642B4"/>
    <w:rsid w:val="00A65735"/>
    <w:rsid w:val="00A659D1"/>
    <w:rsid w:val="00A65A75"/>
    <w:rsid w:val="00A65F4B"/>
    <w:rsid w:val="00A67E11"/>
    <w:rsid w:val="00A67E39"/>
    <w:rsid w:val="00A70754"/>
    <w:rsid w:val="00A70D28"/>
    <w:rsid w:val="00A715B2"/>
    <w:rsid w:val="00A717A4"/>
    <w:rsid w:val="00A71836"/>
    <w:rsid w:val="00A71985"/>
    <w:rsid w:val="00A725E5"/>
    <w:rsid w:val="00A735C3"/>
    <w:rsid w:val="00A73A58"/>
    <w:rsid w:val="00A74846"/>
    <w:rsid w:val="00A74F83"/>
    <w:rsid w:val="00A75156"/>
    <w:rsid w:val="00A7583C"/>
    <w:rsid w:val="00A75E5F"/>
    <w:rsid w:val="00A76ABC"/>
    <w:rsid w:val="00A774E7"/>
    <w:rsid w:val="00A7753F"/>
    <w:rsid w:val="00A77EB5"/>
    <w:rsid w:val="00A801A2"/>
    <w:rsid w:val="00A80C19"/>
    <w:rsid w:val="00A818A6"/>
    <w:rsid w:val="00A820E1"/>
    <w:rsid w:val="00A82723"/>
    <w:rsid w:val="00A8275C"/>
    <w:rsid w:val="00A82E00"/>
    <w:rsid w:val="00A83951"/>
    <w:rsid w:val="00A83A00"/>
    <w:rsid w:val="00A844D0"/>
    <w:rsid w:val="00A845EB"/>
    <w:rsid w:val="00A84767"/>
    <w:rsid w:val="00A84E63"/>
    <w:rsid w:val="00A84E68"/>
    <w:rsid w:val="00A85329"/>
    <w:rsid w:val="00A858AF"/>
    <w:rsid w:val="00A861A8"/>
    <w:rsid w:val="00A8689A"/>
    <w:rsid w:val="00A86916"/>
    <w:rsid w:val="00A871AD"/>
    <w:rsid w:val="00A87873"/>
    <w:rsid w:val="00A87DE3"/>
    <w:rsid w:val="00A910F7"/>
    <w:rsid w:val="00A92501"/>
    <w:rsid w:val="00A94C76"/>
    <w:rsid w:val="00A94D43"/>
    <w:rsid w:val="00A94F78"/>
    <w:rsid w:val="00A965AE"/>
    <w:rsid w:val="00A966C3"/>
    <w:rsid w:val="00A96F26"/>
    <w:rsid w:val="00A97465"/>
    <w:rsid w:val="00A974DA"/>
    <w:rsid w:val="00A97D73"/>
    <w:rsid w:val="00AA0B81"/>
    <w:rsid w:val="00AA0D9B"/>
    <w:rsid w:val="00AA1C11"/>
    <w:rsid w:val="00AA3225"/>
    <w:rsid w:val="00AA3365"/>
    <w:rsid w:val="00AA43BB"/>
    <w:rsid w:val="00AA4931"/>
    <w:rsid w:val="00AA4BF2"/>
    <w:rsid w:val="00AA4DEC"/>
    <w:rsid w:val="00AA51C0"/>
    <w:rsid w:val="00AA5B98"/>
    <w:rsid w:val="00AA60CE"/>
    <w:rsid w:val="00AA6A8D"/>
    <w:rsid w:val="00AA6D60"/>
    <w:rsid w:val="00AA6F52"/>
    <w:rsid w:val="00AA7371"/>
    <w:rsid w:val="00AA7FB3"/>
    <w:rsid w:val="00AB0CB5"/>
    <w:rsid w:val="00AB10F0"/>
    <w:rsid w:val="00AB11F1"/>
    <w:rsid w:val="00AB1567"/>
    <w:rsid w:val="00AB1EE6"/>
    <w:rsid w:val="00AB277E"/>
    <w:rsid w:val="00AB2DFB"/>
    <w:rsid w:val="00AB36AF"/>
    <w:rsid w:val="00AB39F9"/>
    <w:rsid w:val="00AB3DF9"/>
    <w:rsid w:val="00AB4455"/>
    <w:rsid w:val="00AB4FA4"/>
    <w:rsid w:val="00AB589F"/>
    <w:rsid w:val="00AB5991"/>
    <w:rsid w:val="00AB5D60"/>
    <w:rsid w:val="00AB6024"/>
    <w:rsid w:val="00AB6A3F"/>
    <w:rsid w:val="00AB7056"/>
    <w:rsid w:val="00AB72B7"/>
    <w:rsid w:val="00AB7AD6"/>
    <w:rsid w:val="00AC062D"/>
    <w:rsid w:val="00AC0FEE"/>
    <w:rsid w:val="00AC18DD"/>
    <w:rsid w:val="00AC2090"/>
    <w:rsid w:val="00AC2D35"/>
    <w:rsid w:val="00AC3B9A"/>
    <w:rsid w:val="00AC3D3C"/>
    <w:rsid w:val="00AC53A8"/>
    <w:rsid w:val="00AC5511"/>
    <w:rsid w:val="00AC5678"/>
    <w:rsid w:val="00AC56EB"/>
    <w:rsid w:val="00AC5790"/>
    <w:rsid w:val="00AC61A3"/>
    <w:rsid w:val="00AC6371"/>
    <w:rsid w:val="00AC66C0"/>
    <w:rsid w:val="00AC6789"/>
    <w:rsid w:val="00AC69CC"/>
    <w:rsid w:val="00AC6C95"/>
    <w:rsid w:val="00AC7059"/>
    <w:rsid w:val="00AC768A"/>
    <w:rsid w:val="00AC7958"/>
    <w:rsid w:val="00AC79EC"/>
    <w:rsid w:val="00AD02AB"/>
    <w:rsid w:val="00AD0877"/>
    <w:rsid w:val="00AD0995"/>
    <w:rsid w:val="00AD0FFD"/>
    <w:rsid w:val="00AD1286"/>
    <w:rsid w:val="00AD13EF"/>
    <w:rsid w:val="00AD1B2C"/>
    <w:rsid w:val="00AD1F5D"/>
    <w:rsid w:val="00AD2302"/>
    <w:rsid w:val="00AD232B"/>
    <w:rsid w:val="00AD2860"/>
    <w:rsid w:val="00AD387A"/>
    <w:rsid w:val="00AD3885"/>
    <w:rsid w:val="00AD3B4B"/>
    <w:rsid w:val="00AD4843"/>
    <w:rsid w:val="00AD4B7D"/>
    <w:rsid w:val="00AD50F8"/>
    <w:rsid w:val="00AD5A38"/>
    <w:rsid w:val="00AD5E51"/>
    <w:rsid w:val="00AD62CB"/>
    <w:rsid w:val="00AD6CBE"/>
    <w:rsid w:val="00AD6ECE"/>
    <w:rsid w:val="00AD799E"/>
    <w:rsid w:val="00AD7E6D"/>
    <w:rsid w:val="00AE0397"/>
    <w:rsid w:val="00AE076A"/>
    <w:rsid w:val="00AE1573"/>
    <w:rsid w:val="00AE1B46"/>
    <w:rsid w:val="00AE1BDA"/>
    <w:rsid w:val="00AE1E4B"/>
    <w:rsid w:val="00AE2411"/>
    <w:rsid w:val="00AE24D7"/>
    <w:rsid w:val="00AE2562"/>
    <w:rsid w:val="00AE2C51"/>
    <w:rsid w:val="00AE2C75"/>
    <w:rsid w:val="00AE3473"/>
    <w:rsid w:val="00AE35BB"/>
    <w:rsid w:val="00AE3715"/>
    <w:rsid w:val="00AE3BE7"/>
    <w:rsid w:val="00AE3E31"/>
    <w:rsid w:val="00AE3E37"/>
    <w:rsid w:val="00AE4A82"/>
    <w:rsid w:val="00AE4EEC"/>
    <w:rsid w:val="00AE5956"/>
    <w:rsid w:val="00AE6255"/>
    <w:rsid w:val="00AE626A"/>
    <w:rsid w:val="00AE6C7F"/>
    <w:rsid w:val="00AE6F8E"/>
    <w:rsid w:val="00AE7281"/>
    <w:rsid w:val="00AF05B7"/>
    <w:rsid w:val="00AF0B45"/>
    <w:rsid w:val="00AF1805"/>
    <w:rsid w:val="00AF216D"/>
    <w:rsid w:val="00AF2570"/>
    <w:rsid w:val="00AF2883"/>
    <w:rsid w:val="00AF2B0F"/>
    <w:rsid w:val="00AF2E9C"/>
    <w:rsid w:val="00AF3696"/>
    <w:rsid w:val="00AF427D"/>
    <w:rsid w:val="00AF432B"/>
    <w:rsid w:val="00AF46FD"/>
    <w:rsid w:val="00AF5252"/>
    <w:rsid w:val="00AF5286"/>
    <w:rsid w:val="00AF547D"/>
    <w:rsid w:val="00AF5565"/>
    <w:rsid w:val="00AF5EB5"/>
    <w:rsid w:val="00AF6796"/>
    <w:rsid w:val="00AF6A15"/>
    <w:rsid w:val="00AF6D5F"/>
    <w:rsid w:val="00AF6EC7"/>
    <w:rsid w:val="00AF71E4"/>
    <w:rsid w:val="00AF7256"/>
    <w:rsid w:val="00B00F3C"/>
    <w:rsid w:val="00B00F61"/>
    <w:rsid w:val="00B013A1"/>
    <w:rsid w:val="00B01729"/>
    <w:rsid w:val="00B0267F"/>
    <w:rsid w:val="00B02A0A"/>
    <w:rsid w:val="00B0456E"/>
    <w:rsid w:val="00B04B31"/>
    <w:rsid w:val="00B05E2A"/>
    <w:rsid w:val="00B07987"/>
    <w:rsid w:val="00B1025C"/>
    <w:rsid w:val="00B104BD"/>
    <w:rsid w:val="00B104ED"/>
    <w:rsid w:val="00B1088B"/>
    <w:rsid w:val="00B10979"/>
    <w:rsid w:val="00B110FC"/>
    <w:rsid w:val="00B1140B"/>
    <w:rsid w:val="00B117F6"/>
    <w:rsid w:val="00B147F5"/>
    <w:rsid w:val="00B1493B"/>
    <w:rsid w:val="00B15079"/>
    <w:rsid w:val="00B154E6"/>
    <w:rsid w:val="00B155F2"/>
    <w:rsid w:val="00B16451"/>
    <w:rsid w:val="00B1732C"/>
    <w:rsid w:val="00B17C6E"/>
    <w:rsid w:val="00B17E53"/>
    <w:rsid w:val="00B20119"/>
    <w:rsid w:val="00B20717"/>
    <w:rsid w:val="00B20A03"/>
    <w:rsid w:val="00B20A18"/>
    <w:rsid w:val="00B20FB6"/>
    <w:rsid w:val="00B21591"/>
    <w:rsid w:val="00B21ABF"/>
    <w:rsid w:val="00B22116"/>
    <w:rsid w:val="00B221C3"/>
    <w:rsid w:val="00B224D7"/>
    <w:rsid w:val="00B22DC9"/>
    <w:rsid w:val="00B230F4"/>
    <w:rsid w:val="00B23A6D"/>
    <w:rsid w:val="00B2427B"/>
    <w:rsid w:val="00B24314"/>
    <w:rsid w:val="00B24B2B"/>
    <w:rsid w:val="00B24E1D"/>
    <w:rsid w:val="00B25D4C"/>
    <w:rsid w:val="00B2680D"/>
    <w:rsid w:val="00B26C85"/>
    <w:rsid w:val="00B26F36"/>
    <w:rsid w:val="00B275A3"/>
    <w:rsid w:val="00B3045D"/>
    <w:rsid w:val="00B304E3"/>
    <w:rsid w:val="00B306BE"/>
    <w:rsid w:val="00B31604"/>
    <w:rsid w:val="00B3238B"/>
    <w:rsid w:val="00B323FB"/>
    <w:rsid w:val="00B32846"/>
    <w:rsid w:val="00B32F42"/>
    <w:rsid w:val="00B3419D"/>
    <w:rsid w:val="00B346ED"/>
    <w:rsid w:val="00B34B4B"/>
    <w:rsid w:val="00B34DED"/>
    <w:rsid w:val="00B3512B"/>
    <w:rsid w:val="00B358E6"/>
    <w:rsid w:val="00B35A1F"/>
    <w:rsid w:val="00B36F62"/>
    <w:rsid w:val="00B37721"/>
    <w:rsid w:val="00B37A3D"/>
    <w:rsid w:val="00B4045F"/>
    <w:rsid w:val="00B415DB"/>
    <w:rsid w:val="00B417A7"/>
    <w:rsid w:val="00B42493"/>
    <w:rsid w:val="00B42F7B"/>
    <w:rsid w:val="00B43394"/>
    <w:rsid w:val="00B433B3"/>
    <w:rsid w:val="00B435DC"/>
    <w:rsid w:val="00B43E24"/>
    <w:rsid w:val="00B449E1"/>
    <w:rsid w:val="00B44AFA"/>
    <w:rsid w:val="00B45090"/>
    <w:rsid w:val="00B455A9"/>
    <w:rsid w:val="00B459AE"/>
    <w:rsid w:val="00B45B2E"/>
    <w:rsid w:val="00B45E1F"/>
    <w:rsid w:val="00B47C9D"/>
    <w:rsid w:val="00B47DB8"/>
    <w:rsid w:val="00B47FE5"/>
    <w:rsid w:val="00B50F26"/>
    <w:rsid w:val="00B518B7"/>
    <w:rsid w:val="00B51B62"/>
    <w:rsid w:val="00B524FC"/>
    <w:rsid w:val="00B52F7C"/>
    <w:rsid w:val="00B54BBC"/>
    <w:rsid w:val="00B55616"/>
    <w:rsid w:val="00B556C4"/>
    <w:rsid w:val="00B56097"/>
    <w:rsid w:val="00B5612E"/>
    <w:rsid w:val="00B56DBD"/>
    <w:rsid w:val="00B56E8A"/>
    <w:rsid w:val="00B56F64"/>
    <w:rsid w:val="00B572F5"/>
    <w:rsid w:val="00B5738F"/>
    <w:rsid w:val="00B5753B"/>
    <w:rsid w:val="00B57818"/>
    <w:rsid w:val="00B60517"/>
    <w:rsid w:val="00B61524"/>
    <w:rsid w:val="00B61611"/>
    <w:rsid w:val="00B61931"/>
    <w:rsid w:val="00B61CA8"/>
    <w:rsid w:val="00B626E3"/>
    <w:rsid w:val="00B62740"/>
    <w:rsid w:val="00B631C8"/>
    <w:rsid w:val="00B636CA"/>
    <w:rsid w:val="00B63B54"/>
    <w:rsid w:val="00B644C2"/>
    <w:rsid w:val="00B64B15"/>
    <w:rsid w:val="00B65B14"/>
    <w:rsid w:val="00B65C88"/>
    <w:rsid w:val="00B66ED0"/>
    <w:rsid w:val="00B66FBA"/>
    <w:rsid w:val="00B6752C"/>
    <w:rsid w:val="00B675BA"/>
    <w:rsid w:val="00B67954"/>
    <w:rsid w:val="00B67A44"/>
    <w:rsid w:val="00B7111F"/>
    <w:rsid w:val="00B7115B"/>
    <w:rsid w:val="00B71F95"/>
    <w:rsid w:val="00B72033"/>
    <w:rsid w:val="00B72885"/>
    <w:rsid w:val="00B73036"/>
    <w:rsid w:val="00B7342E"/>
    <w:rsid w:val="00B7385F"/>
    <w:rsid w:val="00B73C57"/>
    <w:rsid w:val="00B75079"/>
    <w:rsid w:val="00B755B8"/>
    <w:rsid w:val="00B75A16"/>
    <w:rsid w:val="00B75BC0"/>
    <w:rsid w:val="00B7614F"/>
    <w:rsid w:val="00B76193"/>
    <w:rsid w:val="00B76297"/>
    <w:rsid w:val="00B77433"/>
    <w:rsid w:val="00B77708"/>
    <w:rsid w:val="00B77CE4"/>
    <w:rsid w:val="00B77FDF"/>
    <w:rsid w:val="00B8087D"/>
    <w:rsid w:val="00B80B37"/>
    <w:rsid w:val="00B810A5"/>
    <w:rsid w:val="00B81971"/>
    <w:rsid w:val="00B821DA"/>
    <w:rsid w:val="00B828C4"/>
    <w:rsid w:val="00B82D67"/>
    <w:rsid w:val="00B835AA"/>
    <w:rsid w:val="00B83639"/>
    <w:rsid w:val="00B8387F"/>
    <w:rsid w:val="00B83AFB"/>
    <w:rsid w:val="00B84450"/>
    <w:rsid w:val="00B84528"/>
    <w:rsid w:val="00B84E0E"/>
    <w:rsid w:val="00B863BD"/>
    <w:rsid w:val="00B86C59"/>
    <w:rsid w:val="00B87596"/>
    <w:rsid w:val="00B8771B"/>
    <w:rsid w:val="00B87FD5"/>
    <w:rsid w:val="00B9082C"/>
    <w:rsid w:val="00B911FC"/>
    <w:rsid w:val="00B918CB"/>
    <w:rsid w:val="00B918FE"/>
    <w:rsid w:val="00B91940"/>
    <w:rsid w:val="00B92172"/>
    <w:rsid w:val="00B923AB"/>
    <w:rsid w:val="00B94CE5"/>
    <w:rsid w:val="00B95ACE"/>
    <w:rsid w:val="00B964AF"/>
    <w:rsid w:val="00B96733"/>
    <w:rsid w:val="00B96EF0"/>
    <w:rsid w:val="00B97257"/>
    <w:rsid w:val="00B97752"/>
    <w:rsid w:val="00B9778E"/>
    <w:rsid w:val="00BA096D"/>
    <w:rsid w:val="00BA0F40"/>
    <w:rsid w:val="00BA26B3"/>
    <w:rsid w:val="00BA2721"/>
    <w:rsid w:val="00BA2DD7"/>
    <w:rsid w:val="00BA2F85"/>
    <w:rsid w:val="00BA30B5"/>
    <w:rsid w:val="00BA3190"/>
    <w:rsid w:val="00BA3390"/>
    <w:rsid w:val="00BA38A7"/>
    <w:rsid w:val="00BA417D"/>
    <w:rsid w:val="00BA4CFE"/>
    <w:rsid w:val="00BA5425"/>
    <w:rsid w:val="00BA5426"/>
    <w:rsid w:val="00BA576F"/>
    <w:rsid w:val="00BA618C"/>
    <w:rsid w:val="00BA6326"/>
    <w:rsid w:val="00BA68E8"/>
    <w:rsid w:val="00BA6D75"/>
    <w:rsid w:val="00BA7F85"/>
    <w:rsid w:val="00BB0EB6"/>
    <w:rsid w:val="00BB1379"/>
    <w:rsid w:val="00BB16B0"/>
    <w:rsid w:val="00BB2919"/>
    <w:rsid w:val="00BB329A"/>
    <w:rsid w:val="00BB3576"/>
    <w:rsid w:val="00BB3B42"/>
    <w:rsid w:val="00BB3DE3"/>
    <w:rsid w:val="00BB4146"/>
    <w:rsid w:val="00BB428F"/>
    <w:rsid w:val="00BB4787"/>
    <w:rsid w:val="00BB4926"/>
    <w:rsid w:val="00BB499F"/>
    <w:rsid w:val="00BB53A2"/>
    <w:rsid w:val="00BB6AA1"/>
    <w:rsid w:val="00BB7D9B"/>
    <w:rsid w:val="00BB7DD9"/>
    <w:rsid w:val="00BC0CAC"/>
    <w:rsid w:val="00BC0F30"/>
    <w:rsid w:val="00BC1288"/>
    <w:rsid w:val="00BC20B4"/>
    <w:rsid w:val="00BC2170"/>
    <w:rsid w:val="00BC29C0"/>
    <w:rsid w:val="00BC2FEF"/>
    <w:rsid w:val="00BC3106"/>
    <w:rsid w:val="00BC34EB"/>
    <w:rsid w:val="00BC4020"/>
    <w:rsid w:val="00BC44BD"/>
    <w:rsid w:val="00BC5315"/>
    <w:rsid w:val="00BC56CF"/>
    <w:rsid w:val="00BC595B"/>
    <w:rsid w:val="00BC5A44"/>
    <w:rsid w:val="00BC5F0B"/>
    <w:rsid w:val="00BC7DAD"/>
    <w:rsid w:val="00BC7E68"/>
    <w:rsid w:val="00BD021D"/>
    <w:rsid w:val="00BD0553"/>
    <w:rsid w:val="00BD0888"/>
    <w:rsid w:val="00BD147C"/>
    <w:rsid w:val="00BD1946"/>
    <w:rsid w:val="00BD1CC5"/>
    <w:rsid w:val="00BD1DDF"/>
    <w:rsid w:val="00BD21A2"/>
    <w:rsid w:val="00BD263D"/>
    <w:rsid w:val="00BD3299"/>
    <w:rsid w:val="00BD32C6"/>
    <w:rsid w:val="00BD3373"/>
    <w:rsid w:val="00BD3704"/>
    <w:rsid w:val="00BD3AB5"/>
    <w:rsid w:val="00BD3DC3"/>
    <w:rsid w:val="00BD43CF"/>
    <w:rsid w:val="00BD4B50"/>
    <w:rsid w:val="00BD4B5C"/>
    <w:rsid w:val="00BD4E77"/>
    <w:rsid w:val="00BD5504"/>
    <w:rsid w:val="00BD5632"/>
    <w:rsid w:val="00BD5D92"/>
    <w:rsid w:val="00BD5EE2"/>
    <w:rsid w:val="00BD63EC"/>
    <w:rsid w:val="00BD6847"/>
    <w:rsid w:val="00BD6C87"/>
    <w:rsid w:val="00BD78AF"/>
    <w:rsid w:val="00BE055B"/>
    <w:rsid w:val="00BE06CF"/>
    <w:rsid w:val="00BE11E3"/>
    <w:rsid w:val="00BE18BD"/>
    <w:rsid w:val="00BE1ED3"/>
    <w:rsid w:val="00BE25E1"/>
    <w:rsid w:val="00BE3479"/>
    <w:rsid w:val="00BE3A5E"/>
    <w:rsid w:val="00BE3AD2"/>
    <w:rsid w:val="00BE446A"/>
    <w:rsid w:val="00BE492C"/>
    <w:rsid w:val="00BE5069"/>
    <w:rsid w:val="00BE5132"/>
    <w:rsid w:val="00BE52A5"/>
    <w:rsid w:val="00BE557A"/>
    <w:rsid w:val="00BE5B92"/>
    <w:rsid w:val="00BE5DC2"/>
    <w:rsid w:val="00BE6317"/>
    <w:rsid w:val="00BE68C1"/>
    <w:rsid w:val="00BE6C0D"/>
    <w:rsid w:val="00BE7361"/>
    <w:rsid w:val="00BE759B"/>
    <w:rsid w:val="00BE773F"/>
    <w:rsid w:val="00BF0830"/>
    <w:rsid w:val="00BF0CAD"/>
    <w:rsid w:val="00BF148C"/>
    <w:rsid w:val="00BF1818"/>
    <w:rsid w:val="00BF2787"/>
    <w:rsid w:val="00BF2FF9"/>
    <w:rsid w:val="00BF34E7"/>
    <w:rsid w:val="00BF4741"/>
    <w:rsid w:val="00BF48F9"/>
    <w:rsid w:val="00BF585E"/>
    <w:rsid w:val="00BF60A9"/>
    <w:rsid w:val="00BF60BA"/>
    <w:rsid w:val="00BF649B"/>
    <w:rsid w:val="00BF6E2F"/>
    <w:rsid w:val="00BF7575"/>
    <w:rsid w:val="00BF7ABF"/>
    <w:rsid w:val="00BF7ED2"/>
    <w:rsid w:val="00C009EF"/>
    <w:rsid w:val="00C01470"/>
    <w:rsid w:val="00C01B4E"/>
    <w:rsid w:val="00C01D59"/>
    <w:rsid w:val="00C02980"/>
    <w:rsid w:val="00C02E6F"/>
    <w:rsid w:val="00C0391B"/>
    <w:rsid w:val="00C03A32"/>
    <w:rsid w:val="00C041FF"/>
    <w:rsid w:val="00C04682"/>
    <w:rsid w:val="00C047E7"/>
    <w:rsid w:val="00C059B2"/>
    <w:rsid w:val="00C05F94"/>
    <w:rsid w:val="00C0609F"/>
    <w:rsid w:val="00C067AD"/>
    <w:rsid w:val="00C067F1"/>
    <w:rsid w:val="00C06EE0"/>
    <w:rsid w:val="00C0711C"/>
    <w:rsid w:val="00C07B25"/>
    <w:rsid w:val="00C07B81"/>
    <w:rsid w:val="00C07BB6"/>
    <w:rsid w:val="00C07E9D"/>
    <w:rsid w:val="00C1086D"/>
    <w:rsid w:val="00C1097D"/>
    <w:rsid w:val="00C10EB5"/>
    <w:rsid w:val="00C11107"/>
    <w:rsid w:val="00C113BF"/>
    <w:rsid w:val="00C114D9"/>
    <w:rsid w:val="00C11618"/>
    <w:rsid w:val="00C12253"/>
    <w:rsid w:val="00C12C84"/>
    <w:rsid w:val="00C12FF6"/>
    <w:rsid w:val="00C1456E"/>
    <w:rsid w:val="00C15356"/>
    <w:rsid w:val="00C1554C"/>
    <w:rsid w:val="00C15EDF"/>
    <w:rsid w:val="00C1609E"/>
    <w:rsid w:val="00C16566"/>
    <w:rsid w:val="00C1702B"/>
    <w:rsid w:val="00C178E8"/>
    <w:rsid w:val="00C17F4A"/>
    <w:rsid w:val="00C200B9"/>
    <w:rsid w:val="00C20101"/>
    <w:rsid w:val="00C20777"/>
    <w:rsid w:val="00C207C3"/>
    <w:rsid w:val="00C20A35"/>
    <w:rsid w:val="00C2179A"/>
    <w:rsid w:val="00C21DC7"/>
    <w:rsid w:val="00C23AFF"/>
    <w:rsid w:val="00C2468C"/>
    <w:rsid w:val="00C2498C"/>
    <w:rsid w:val="00C24F97"/>
    <w:rsid w:val="00C25269"/>
    <w:rsid w:val="00C25489"/>
    <w:rsid w:val="00C26044"/>
    <w:rsid w:val="00C26993"/>
    <w:rsid w:val="00C276D7"/>
    <w:rsid w:val="00C302E7"/>
    <w:rsid w:val="00C30432"/>
    <w:rsid w:val="00C30F54"/>
    <w:rsid w:val="00C317D5"/>
    <w:rsid w:val="00C31A6F"/>
    <w:rsid w:val="00C31AC5"/>
    <w:rsid w:val="00C31B38"/>
    <w:rsid w:val="00C31D22"/>
    <w:rsid w:val="00C3294A"/>
    <w:rsid w:val="00C32E6F"/>
    <w:rsid w:val="00C336F2"/>
    <w:rsid w:val="00C35281"/>
    <w:rsid w:val="00C3535E"/>
    <w:rsid w:val="00C353FD"/>
    <w:rsid w:val="00C357B1"/>
    <w:rsid w:val="00C3585C"/>
    <w:rsid w:val="00C35D61"/>
    <w:rsid w:val="00C35E94"/>
    <w:rsid w:val="00C363B4"/>
    <w:rsid w:val="00C3677E"/>
    <w:rsid w:val="00C36823"/>
    <w:rsid w:val="00C36AAE"/>
    <w:rsid w:val="00C37801"/>
    <w:rsid w:val="00C37E9C"/>
    <w:rsid w:val="00C400F3"/>
    <w:rsid w:val="00C401B6"/>
    <w:rsid w:val="00C406AC"/>
    <w:rsid w:val="00C41FBA"/>
    <w:rsid w:val="00C4220E"/>
    <w:rsid w:val="00C42310"/>
    <w:rsid w:val="00C4231C"/>
    <w:rsid w:val="00C428E0"/>
    <w:rsid w:val="00C4331E"/>
    <w:rsid w:val="00C43FF8"/>
    <w:rsid w:val="00C4413B"/>
    <w:rsid w:val="00C442AA"/>
    <w:rsid w:val="00C44407"/>
    <w:rsid w:val="00C446FE"/>
    <w:rsid w:val="00C451AB"/>
    <w:rsid w:val="00C453F8"/>
    <w:rsid w:val="00C45C4C"/>
    <w:rsid w:val="00C46202"/>
    <w:rsid w:val="00C462D8"/>
    <w:rsid w:val="00C46922"/>
    <w:rsid w:val="00C46E97"/>
    <w:rsid w:val="00C503BD"/>
    <w:rsid w:val="00C5048D"/>
    <w:rsid w:val="00C5173F"/>
    <w:rsid w:val="00C518ED"/>
    <w:rsid w:val="00C51A02"/>
    <w:rsid w:val="00C522DD"/>
    <w:rsid w:val="00C52AB8"/>
    <w:rsid w:val="00C52CA7"/>
    <w:rsid w:val="00C554BA"/>
    <w:rsid w:val="00C55A11"/>
    <w:rsid w:val="00C55DB2"/>
    <w:rsid w:val="00C561B9"/>
    <w:rsid w:val="00C564D7"/>
    <w:rsid w:val="00C56A50"/>
    <w:rsid w:val="00C570C0"/>
    <w:rsid w:val="00C600BB"/>
    <w:rsid w:val="00C60810"/>
    <w:rsid w:val="00C60BB6"/>
    <w:rsid w:val="00C60DA3"/>
    <w:rsid w:val="00C6108B"/>
    <w:rsid w:val="00C61317"/>
    <w:rsid w:val="00C61CCE"/>
    <w:rsid w:val="00C6258E"/>
    <w:rsid w:val="00C62676"/>
    <w:rsid w:val="00C63206"/>
    <w:rsid w:val="00C6338D"/>
    <w:rsid w:val="00C6389A"/>
    <w:rsid w:val="00C63E93"/>
    <w:rsid w:val="00C63F97"/>
    <w:rsid w:val="00C6449B"/>
    <w:rsid w:val="00C64982"/>
    <w:rsid w:val="00C64B7F"/>
    <w:rsid w:val="00C64F78"/>
    <w:rsid w:val="00C64FF6"/>
    <w:rsid w:val="00C6605A"/>
    <w:rsid w:val="00C6634F"/>
    <w:rsid w:val="00C66CA9"/>
    <w:rsid w:val="00C66F6A"/>
    <w:rsid w:val="00C67C75"/>
    <w:rsid w:val="00C7042E"/>
    <w:rsid w:val="00C70708"/>
    <w:rsid w:val="00C7071D"/>
    <w:rsid w:val="00C7106D"/>
    <w:rsid w:val="00C710CB"/>
    <w:rsid w:val="00C71416"/>
    <w:rsid w:val="00C7154D"/>
    <w:rsid w:val="00C719AA"/>
    <w:rsid w:val="00C71BF9"/>
    <w:rsid w:val="00C71C94"/>
    <w:rsid w:val="00C722DE"/>
    <w:rsid w:val="00C722FA"/>
    <w:rsid w:val="00C72CF3"/>
    <w:rsid w:val="00C73EC7"/>
    <w:rsid w:val="00C7402E"/>
    <w:rsid w:val="00C7441D"/>
    <w:rsid w:val="00C74507"/>
    <w:rsid w:val="00C74BB4"/>
    <w:rsid w:val="00C753FE"/>
    <w:rsid w:val="00C75566"/>
    <w:rsid w:val="00C759D5"/>
    <w:rsid w:val="00C762D1"/>
    <w:rsid w:val="00C76ACA"/>
    <w:rsid w:val="00C76ADB"/>
    <w:rsid w:val="00C76B8D"/>
    <w:rsid w:val="00C772E3"/>
    <w:rsid w:val="00C7747E"/>
    <w:rsid w:val="00C774C6"/>
    <w:rsid w:val="00C77835"/>
    <w:rsid w:val="00C77ACA"/>
    <w:rsid w:val="00C77BC4"/>
    <w:rsid w:val="00C77EA5"/>
    <w:rsid w:val="00C80DBF"/>
    <w:rsid w:val="00C8127A"/>
    <w:rsid w:val="00C82261"/>
    <w:rsid w:val="00C826D4"/>
    <w:rsid w:val="00C82ACD"/>
    <w:rsid w:val="00C83024"/>
    <w:rsid w:val="00C83DF7"/>
    <w:rsid w:val="00C84EDB"/>
    <w:rsid w:val="00C851BB"/>
    <w:rsid w:val="00C857F5"/>
    <w:rsid w:val="00C85D01"/>
    <w:rsid w:val="00C869FD"/>
    <w:rsid w:val="00C86CE3"/>
    <w:rsid w:val="00C86FCC"/>
    <w:rsid w:val="00C87264"/>
    <w:rsid w:val="00C905AA"/>
    <w:rsid w:val="00C90D48"/>
    <w:rsid w:val="00C9213F"/>
    <w:rsid w:val="00C92617"/>
    <w:rsid w:val="00C93003"/>
    <w:rsid w:val="00C934DB"/>
    <w:rsid w:val="00C9359C"/>
    <w:rsid w:val="00C936FD"/>
    <w:rsid w:val="00C94229"/>
    <w:rsid w:val="00C94419"/>
    <w:rsid w:val="00C95242"/>
    <w:rsid w:val="00C9578B"/>
    <w:rsid w:val="00C968EE"/>
    <w:rsid w:val="00C96B2C"/>
    <w:rsid w:val="00C9760D"/>
    <w:rsid w:val="00C97F06"/>
    <w:rsid w:val="00CA01AA"/>
    <w:rsid w:val="00CA06E3"/>
    <w:rsid w:val="00CA0C2A"/>
    <w:rsid w:val="00CA161C"/>
    <w:rsid w:val="00CA1A02"/>
    <w:rsid w:val="00CA1DB0"/>
    <w:rsid w:val="00CA27A3"/>
    <w:rsid w:val="00CA28B9"/>
    <w:rsid w:val="00CA2B2C"/>
    <w:rsid w:val="00CA342B"/>
    <w:rsid w:val="00CA353A"/>
    <w:rsid w:val="00CA4921"/>
    <w:rsid w:val="00CA493B"/>
    <w:rsid w:val="00CA63D4"/>
    <w:rsid w:val="00CA6E1A"/>
    <w:rsid w:val="00CA6E88"/>
    <w:rsid w:val="00CA7765"/>
    <w:rsid w:val="00CA77DA"/>
    <w:rsid w:val="00CB01BB"/>
    <w:rsid w:val="00CB0B97"/>
    <w:rsid w:val="00CB12A4"/>
    <w:rsid w:val="00CB1335"/>
    <w:rsid w:val="00CB194D"/>
    <w:rsid w:val="00CB1B85"/>
    <w:rsid w:val="00CB1CCD"/>
    <w:rsid w:val="00CB206F"/>
    <w:rsid w:val="00CB2290"/>
    <w:rsid w:val="00CB2325"/>
    <w:rsid w:val="00CB240D"/>
    <w:rsid w:val="00CB27F5"/>
    <w:rsid w:val="00CB34DC"/>
    <w:rsid w:val="00CB4E6C"/>
    <w:rsid w:val="00CB50D2"/>
    <w:rsid w:val="00CB5246"/>
    <w:rsid w:val="00CB5993"/>
    <w:rsid w:val="00CB5B41"/>
    <w:rsid w:val="00CB5B8B"/>
    <w:rsid w:val="00CB623A"/>
    <w:rsid w:val="00CB6E93"/>
    <w:rsid w:val="00CB70D4"/>
    <w:rsid w:val="00CB7B29"/>
    <w:rsid w:val="00CC0118"/>
    <w:rsid w:val="00CC0B1A"/>
    <w:rsid w:val="00CC101C"/>
    <w:rsid w:val="00CC13DA"/>
    <w:rsid w:val="00CC14E8"/>
    <w:rsid w:val="00CC2234"/>
    <w:rsid w:val="00CC3391"/>
    <w:rsid w:val="00CC3AAA"/>
    <w:rsid w:val="00CC3D41"/>
    <w:rsid w:val="00CC544B"/>
    <w:rsid w:val="00CC5B1C"/>
    <w:rsid w:val="00CC5B81"/>
    <w:rsid w:val="00CC5D92"/>
    <w:rsid w:val="00CC60F8"/>
    <w:rsid w:val="00CC6111"/>
    <w:rsid w:val="00CC6855"/>
    <w:rsid w:val="00CC6A5A"/>
    <w:rsid w:val="00CC7D68"/>
    <w:rsid w:val="00CD06DD"/>
    <w:rsid w:val="00CD2716"/>
    <w:rsid w:val="00CD4E23"/>
    <w:rsid w:val="00CD5A38"/>
    <w:rsid w:val="00CD5DAF"/>
    <w:rsid w:val="00CD6276"/>
    <w:rsid w:val="00CD63EF"/>
    <w:rsid w:val="00CD650F"/>
    <w:rsid w:val="00CD6D60"/>
    <w:rsid w:val="00CD76CF"/>
    <w:rsid w:val="00CD7D8F"/>
    <w:rsid w:val="00CD7EED"/>
    <w:rsid w:val="00CE061B"/>
    <w:rsid w:val="00CE0C1B"/>
    <w:rsid w:val="00CE1470"/>
    <w:rsid w:val="00CE1B62"/>
    <w:rsid w:val="00CE1F8B"/>
    <w:rsid w:val="00CE28A6"/>
    <w:rsid w:val="00CE2B12"/>
    <w:rsid w:val="00CE3872"/>
    <w:rsid w:val="00CE3CCE"/>
    <w:rsid w:val="00CE3F79"/>
    <w:rsid w:val="00CE3FEC"/>
    <w:rsid w:val="00CE51AE"/>
    <w:rsid w:val="00CE51ED"/>
    <w:rsid w:val="00CE5827"/>
    <w:rsid w:val="00CE5DB9"/>
    <w:rsid w:val="00CE5EAA"/>
    <w:rsid w:val="00CE6191"/>
    <w:rsid w:val="00CE6966"/>
    <w:rsid w:val="00CE6CD0"/>
    <w:rsid w:val="00CE6E52"/>
    <w:rsid w:val="00CE70D9"/>
    <w:rsid w:val="00CE7566"/>
    <w:rsid w:val="00CE75E6"/>
    <w:rsid w:val="00CE7724"/>
    <w:rsid w:val="00CE7AFF"/>
    <w:rsid w:val="00CF0661"/>
    <w:rsid w:val="00CF171A"/>
    <w:rsid w:val="00CF17DF"/>
    <w:rsid w:val="00CF2311"/>
    <w:rsid w:val="00CF2F61"/>
    <w:rsid w:val="00CF320C"/>
    <w:rsid w:val="00CF3500"/>
    <w:rsid w:val="00CF39AC"/>
    <w:rsid w:val="00CF3E77"/>
    <w:rsid w:val="00CF4431"/>
    <w:rsid w:val="00CF6335"/>
    <w:rsid w:val="00CF6418"/>
    <w:rsid w:val="00CF644D"/>
    <w:rsid w:val="00CF6583"/>
    <w:rsid w:val="00CF72F8"/>
    <w:rsid w:val="00CF74F8"/>
    <w:rsid w:val="00CF7502"/>
    <w:rsid w:val="00CF7CEE"/>
    <w:rsid w:val="00CF7EEE"/>
    <w:rsid w:val="00D001F0"/>
    <w:rsid w:val="00D00738"/>
    <w:rsid w:val="00D0089B"/>
    <w:rsid w:val="00D009E7"/>
    <w:rsid w:val="00D00D1B"/>
    <w:rsid w:val="00D0144E"/>
    <w:rsid w:val="00D01975"/>
    <w:rsid w:val="00D02601"/>
    <w:rsid w:val="00D0386E"/>
    <w:rsid w:val="00D03AAE"/>
    <w:rsid w:val="00D03F07"/>
    <w:rsid w:val="00D04457"/>
    <w:rsid w:val="00D04C57"/>
    <w:rsid w:val="00D06276"/>
    <w:rsid w:val="00D06320"/>
    <w:rsid w:val="00D06966"/>
    <w:rsid w:val="00D072D3"/>
    <w:rsid w:val="00D07CCD"/>
    <w:rsid w:val="00D07FCC"/>
    <w:rsid w:val="00D10113"/>
    <w:rsid w:val="00D10B62"/>
    <w:rsid w:val="00D10D31"/>
    <w:rsid w:val="00D114FF"/>
    <w:rsid w:val="00D11BC2"/>
    <w:rsid w:val="00D11F86"/>
    <w:rsid w:val="00D12689"/>
    <w:rsid w:val="00D12DCA"/>
    <w:rsid w:val="00D12F31"/>
    <w:rsid w:val="00D13155"/>
    <w:rsid w:val="00D1417D"/>
    <w:rsid w:val="00D141E5"/>
    <w:rsid w:val="00D156CC"/>
    <w:rsid w:val="00D156E2"/>
    <w:rsid w:val="00D15942"/>
    <w:rsid w:val="00D1627E"/>
    <w:rsid w:val="00D16AA3"/>
    <w:rsid w:val="00D172EF"/>
    <w:rsid w:val="00D17DA1"/>
    <w:rsid w:val="00D20067"/>
    <w:rsid w:val="00D20533"/>
    <w:rsid w:val="00D20920"/>
    <w:rsid w:val="00D20EF6"/>
    <w:rsid w:val="00D21271"/>
    <w:rsid w:val="00D216DB"/>
    <w:rsid w:val="00D2193F"/>
    <w:rsid w:val="00D22700"/>
    <w:rsid w:val="00D22750"/>
    <w:rsid w:val="00D22AFC"/>
    <w:rsid w:val="00D23183"/>
    <w:rsid w:val="00D2364B"/>
    <w:rsid w:val="00D24C0A"/>
    <w:rsid w:val="00D24C1E"/>
    <w:rsid w:val="00D24E40"/>
    <w:rsid w:val="00D24F4D"/>
    <w:rsid w:val="00D25A40"/>
    <w:rsid w:val="00D265D0"/>
    <w:rsid w:val="00D2697A"/>
    <w:rsid w:val="00D26ADB"/>
    <w:rsid w:val="00D27421"/>
    <w:rsid w:val="00D27C1A"/>
    <w:rsid w:val="00D27FF1"/>
    <w:rsid w:val="00D30500"/>
    <w:rsid w:val="00D31827"/>
    <w:rsid w:val="00D31BB9"/>
    <w:rsid w:val="00D31C2B"/>
    <w:rsid w:val="00D3210D"/>
    <w:rsid w:val="00D32139"/>
    <w:rsid w:val="00D32759"/>
    <w:rsid w:val="00D32E9B"/>
    <w:rsid w:val="00D32F98"/>
    <w:rsid w:val="00D33176"/>
    <w:rsid w:val="00D3546F"/>
    <w:rsid w:val="00D354D6"/>
    <w:rsid w:val="00D358E5"/>
    <w:rsid w:val="00D37EB4"/>
    <w:rsid w:val="00D407E3"/>
    <w:rsid w:val="00D40B45"/>
    <w:rsid w:val="00D40D38"/>
    <w:rsid w:val="00D412BA"/>
    <w:rsid w:val="00D4159F"/>
    <w:rsid w:val="00D41CF5"/>
    <w:rsid w:val="00D42611"/>
    <w:rsid w:val="00D428B2"/>
    <w:rsid w:val="00D4295A"/>
    <w:rsid w:val="00D448FA"/>
    <w:rsid w:val="00D4573D"/>
    <w:rsid w:val="00D467CF"/>
    <w:rsid w:val="00D47688"/>
    <w:rsid w:val="00D478C0"/>
    <w:rsid w:val="00D50183"/>
    <w:rsid w:val="00D5023C"/>
    <w:rsid w:val="00D502EE"/>
    <w:rsid w:val="00D506CC"/>
    <w:rsid w:val="00D5076F"/>
    <w:rsid w:val="00D5079D"/>
    <w:rsid w:val="00D508D4"/>
    <w:rsid w:val="00D50E7F"/>
    <w:rsid w:val="00D52812"/>
    <w:rsid w:val="00D537A0"/>
    <w:rsid w:val="00D53B50"/>
    <w:rsid w:val="00D54048"/>
    <w:rsid w:val="00D54249"/>
    <w:rsid w:val="00D54C4D"/>
    <w:rsid w:val="00D54D8B"/>
    <w:rsid w:val="00D5561A"/>
    <w:rsid w:val="00D5608D"/>
    <w:rsid w:val="00D56CD9"/>
    <w:rsid w:val="00D57A2B"/>
    <w:rsid w:val="00D57C33"/>
    <w:rsid w:val="00D57D4D"/>
    <w:rsid w:val="00D60676"/>
    <w:rsid w:val="00D61842"/>
    <w:rsid w:val="00D61C09"/>
    <w:rsid w:val="00D61E4D"/>
    <w:rsid w:val="00D628FB"/>
    <w:rsid w:val="00D62969"/>
    <w:rsid w:val="00D62DA9"/>
    <w:rsid w:val="00D63443"/>
    <w:rsid w:val="00D6428C"/>
    <w:rsid w:val="00D6442D"/>
    <w:rsid w:val="00D652CC"/>
    <w:rsid w:val="00D658AA"/>
    <w:rsid w:val="00D65A08"/>
    <w:rsid w:val="00D65A64"/>
    <w:rsid w:val="00D66448"/>
    <w:rsid w:val="00D6647F"/>
    <w:rsid w:val="00D669B4"/>
    <w:rsid w:val="00D671EA"/>
    <w:rsid w:val="00D67512"/>
    <w:rsid w:val="00D702B2"/>
    <w:rsid w:val="00D70452"/>
    <w:rsid w:val="00D706EA"/>
    <w:rsid w:val="00D707A7"/>
    <w:rsid w:val="00D70BA1"/>
    <w:rsid w:val="00D70F3D"/>
    <w:rsid w:val="00D71ADF"/>
    <w:rsid w:val="00D71E39"/>
    <w:rsid w:val="00D72239"/>
    <w:rsid w:val="00D73961"/>
    <w:rsid w:val="00D74680"/>
    <w:rsid w:val="00D74811"/>
    <w:rsid w:val="00D75344"/>
    <w:rsid w:val="00D75A67"/>
    <w:rsid w:val="00D75A98"/>
    <w:rsid w:val="00D77001"/>
    <w:rsid w:val="00D772A0"/>
    <w:rsid w:val="00D7747B"/>
    <w:rsid w:val="00D802F7"/>
    <w:rsid w:val="00D803B8"/>
    <w:rsid w:val="00D8117A"/>
    <w:rsid w:val="00D814D0"/>
    <w:rsid w:val="00D824F6"/>
    <w:rsid w:val="00D826F0"/>
    <w:rsid w:val="00D82B57"/>
    <w:rsid w:val="00D8317A"/>
    <w:rsid w:val="00D83C41"/>
    <w:rsid w:val="00D83D9D"/>
    <w:rsid w:val="00D83FBB"/>
    <w:rsid w:val="00D846F6"/>
    <w:rsid w:val="00D84937"/>
    <w:rsid w:val="00D84FC1"/>
    <w:rsid w:val="00D85968"/>
    <w:rsid w:val="00D85D25"/>
    <w:rsid w:val="00D85E62"/>
    <w:rsid w:val="00D85F04"/>
    <w:rsid w:val="00D864A5"/>
    <w:rsid w:val="00D8670C"/>
    <w:rsid w:val="00D86A3F"/>
    <w:rsid w:val="00D86E17"/>
    <w:rsid w:val="00D87669"/>
    <w:rsid w:val="00D9025A"/>
    <w:rsid w:val="00D9275B"/>
    <w:rsid w:val="00D93656"/>
    <w:rsid w:val="00D93669"/>
    <w:rsid w:val="00D94A21"/>
    <w:rsid w:val="00D94D96"/>
    <w:rsid w:val="00D94FCE"/>
    <w:rsid w:val="00D95881"/>
    <w:rsid w:val="00D95C4A"/>
    <w:rsid w:val="00D95DB4"/>
    <w:rsid w:val="00D9632E"/>
    <w:rsid w:val="00D96B14"/>
    <w:rsid w:val="00D96F05"/>
    <w:rsid w:val="00D97A14"/>
    <w:rsid w:val="00D97AF3"/>
    <w:rsid w:val="00DA00D0"/>
    <w:rsid w:val="00DA0182"/>
    <w:rsid w:val="00DA0757"/>
    <w:rsid w:val="00DA08BF"/>
    <w:rsid w:val="00DA09DD"/>
    <w:rsid w:val="00DA1487"/>
    <w:rsid w:val="00DA15C9"/>
    <w:rsid w:val="00DA180E"/>
    <w:rsid w:val="00DA2139"/>
    <w:rsid w:val="00DA224E"/>
    <w:rsid w:val="00DA2BB7"/>
    <w:rsid w:val="00DA2E2B"/>
    <w:rsid w:val="00DA3391"/>
    <w:rsid w:val="00DA3D7E"/>
    <w:rsid w:val="00DA3E83"/>
    <w:rsid w:val="00DA4228"/>
    <w:rsid w:val="00DA4333"/>
    <w:rsid w:val="00DA4C9A"/>
    <w:rsid w:val="00DA4F36"/>
    <w:rsid w:val="00DA636F"/>
    <w:rsid w:val="00DA6385"/>
    <w:rsid w:val="00DA64D2"/>
    <w:rsid w:val="00DA66AA"/>
    <w:rsid w:val="00DA7136"/>
    <w:rsid w:val="00DA7618"/>
    <w:rsid w:val="00DA7DE7"/>
    <w:rsid w:val="00DB01A7"/>
    <w:rsid w:val="00DB09D2"/>
    <w:rsid w:val="00DB14F0"/>
    <w:rsid w:val="00DB1531"/>
    <w:rsid w:val="00DB19A3"/>
    <w:rsid w:val="00DB1A88"/>
    <w:rsid w:val="00DB1F58"/>
    <w:rsid w:val="00DB2282"/>
    <w:rsid w:val="00DB2965"/>
    <w:rsid w:val="00DB2A1D"/>
    <w:rsid w:val="00DB2B56"/>
    <w:rsid w:val="00DB3AB8"/>
    <w:rsid w:val="00DB3C6A"/>
    <w:rsid w:val="00DB3CD1"/>
    <w:rsid w:val="00DB4C5F"/>
    <w:rsid w:val="00DB51BC"/>
    <w:rsid w:val="00DB572C"/>
    <w:rsid w:val="00DB5735"/>
    <w:rsid w:val="00DB5BF3"/>
    <w:rsid w:val="00DB636B"/>
    <w:rsid w:val="00DB6696"/>
    <w:rsid w:val="00DB6833"/>
    <w:rsid w:val="00DB74AF"/>
    <w:rsid w:val="00DB7844"/>
    <w:rsid w:val="00DB7953"/>
    <w:rsid w:val="00DC000A"/>
    <w:rsid w:val="00DC00F8"/>
    <w:rsid w:val="00DC01B4"/>
    <w:rsid w:val="00DC0E65"/>
    <w:rsid w:val="00DC0EFD"/>
    <w:rsid w:val="00DC12DC"/>
    <w:rsid w:val="00DC1344"/>
    <w:rsid w:val="00DC181E"/>
    <w:rsid w:val="00DC2128"/>
    <w:rsid w:val="00DC22CB"/>
    <w:rsid w:val="00DC268C"/>
    <w:rsid w:val="00DC332D"/>
    <w:rsid w:val="00DC391F"/>
    <w:rsid w:val="00DC3A9B"/>
    <w:rsid w:val="00DC3F85"/>
    <w:rsid w:val="00DC40FD"/>
    <w:rsid w:val="00DC4403"/>
    <w:rsid w:val="00DC4920"/>
    <w:rsid w:val="00DC52A0"/>
    <w:rsid w:val="00DC5EC9"/>
    <w:rsid w:val="00DC5F9B"/>
    <w:rsid w:val="00DC5FC3"/>
    <w:rsid w:val="00DC60A1"/>
    <w:rsid w:val="00DC6637"/>
    <w:rsid w:val="00DC6923"/>
    <w:rsid w:val="00DC6DED"/>
    <w:rsid w:val="00DC71A5"/>
    <w:rsid w:val="00DC741C"/>
    <w:rsid w:val="00DC75BE"/>
    <w:rsid w:val="00DC7845"/>
    <w:rsid w:val="00DC78A3"/>
    <w:rsid w:val="00DC7AB6"/>
    <w:rsid w:val="00DC7F3E"/>
    <w:rsid w:val="00DC7F7F"/>
    <w:rsid w:val="00DD049A"/>
    <w:rsid w:val="00DD0B66"/>
    <w:rsid w:val="00DD1916"/>
    <w:rsid w:val="00DD1FF6"/>
    <w:rsid w:val="00DD25E4"/>
    <w:rsid w:val="00DD2E76"/>
    <w:rsid w:val="00DD57C3"/>
    <w:rsid w:val="00DD6983"/>
    <w:rsid w:val="00DD6BDB"/>
    <w:rsid w:val="00DD7200"/>
    <w:rsid w:val="00DD7321"/>
    <w:rsid w:val="00DD7704"/>
    <w:rsid w:val="00DD7727"/>
    <w:rsid w:val="00DD78E9"/>
    <w:rsid w:val="00DD7965"/>
    <w:rsid w:val="00DE035B"/>
    <w:rsid w:val="00DE03E5"/>
    <w:rsid w:val="00DE0432"/>
    <w:rsid w:val="00DE19F4"/>
    <w:rsid w:val="00DE1D25"/>
    <w:rsid w:val="00DE1F46"/>
    <w:rsid w:val="00DE36DB"/>
    <w:rsid w:val="00DE36E9"/>
    <w:rsid w:val="00DE39BD"/>
    <w:rsid w:val="00DE479F"/>
    <w:rsid w:val="00DE48C1"/>
    <w:rsid w:val="00DE5B0D"/>
    <w:rsid w:val="00DE609E"/>
    <w:rsid w:val="00DE6158"/>
    <w:rsid w:val="00DE64EB"/>
    <w:rsid w:val="00DE6D9C"/>
    <w:rsid w:val="00DF02BE"/>
    <w:rsid w:val="00DF0C97"/>
    <w:rsid w:val="00DF0DD0"/>
    <w:rsid w:val="00DF1606"/>
    <w:rsid w:val="00DF230C"/>
    <w:rsid w:val="00DF5951"/>
    <w:rsid w:val="00DF6540"/>
    <w:rsid w:val="00DF7147"/>
    <w:rsid w:val="00DF78B9"/>
    <w:rsid w:val="00DF7E0E"/>
    <w:rsid w:val="00E001A8"/>
    <w:rsid w:val="00E00261"/>
    <w:rsid w:val="00E00862"/>
    <w:rsid w:val="00E012B4"/>
    <w:rsid w:val="00E03EF6"/>
    <w:rsid w:val="00E040FA"/>
    <w:rsid w:val="00E042F4"/>
    <w:rsid w:val="00E0472F"/>
    <w:rsid w:val="00E04B01"/>
    <w:rsid w:val="00E04D88"/>
    <w:rsid w:val="00E04F2E"/>
    <w:rsid w:val="00E058C9"/>
    <w:rsid w:val="00E05FA4"/>
    <w:rsid w:val="00E06083"/>
    <w:rsid w:val="00E06485"/>
    <w:rsid w:val="00E06E5D"/>
    <w:rsid w:val="00E07783"/>
    <w:rsid w:val="00E07BDB"/>
    <w:rsid w:val="00E104E3"/>
    <w:rsid w:val="00E109F9"/>
    <w:rsid w:val="00E10BAA"/>
    <w:rsid w:val="00E10FDB"/>
    <w:rsid w:val="00E114E4"/>
    <w:rsid w:val="00E117AD"/>
    <w:rsid w:val="00E11C02"/>
    <w:rsid w:val="00E120FD"/>
    <w:rsid w:val="00E124AF"/>
    <w:rsid w:val="00E12586"/>
    <w:rsid w:val="00E12615"/>
    <w:rsid w:val="00E12EA2"/>
    <w:rsid w:val="00E13096"/>
    <w:rsid w:val="00E134EB"/>
    <w:rsid w:val="00E13F6C"/>
    <w:rsid w:val="00E13FBA"/>
    <w:rsid w:val="00E14346"/>
    <w:rsid w:val="00E1443B"/>
    <w:rsid w:val="00E14D78"/>
    <w:rsid w:val="00E14F48"/>
    <w:rsid w:val="00E1678B"/>
    <w:rsid w:val="00E16840"/>
    <w:rsid w:val="00E16B09"/>
    <w:rsid w:val="00E17577"/>
    <w:rsid w:val="00E21295"/>
    <w:rsid w:val="00E212D5"/>
    <w:rsid w:val="00E219FC"/>
    <w:rsid w:val="00E223F4"/>
    <w:rsid w:val="00E22AF7"/>
    <w:rsid w:val="00E22DCE"/>
    <w:rsid w:val="00E24265"/>
    <w:rsid w:val="00E245D2"/>
    <w:rsid w:val="00E24B93"/>
    <w:rsid w:val="00E257A9"/>
    <w:rsid w:val="00E25920"/>
    <w:rsid w:val="00E25A3A"/>
    <w:rsid w:val="00E25CFD"/>
    <w:rsid w:val="00E2609B"/>
    <w:rsid w:val="00E266AC"/>
    <w:rsid w:val="00E273D3"/>
    <w:rsid w:val="00E304C5"/>
    <w:rsid w:val="00E30B6B"/>
    <w:rsid w:val="00E312E4"/>
    <w:rsid w:val="00E31620"/>
    <w:rsid w:val="00E31632"/>
    <w:rsid w:val="00E3183D"/>
    <w:rsid w:val="00E31879"/>
    <w:rsid w:val="00E31EE6"/>
    <w:rsid w:val="00E325F4"/>
    <w:rsid w:val="00E327E5"/>
    <w:rsid w:val="00E3286E"/>
    <w:rsid w:val="00E32ED5"/>
    <w:rsid w:val="00E32FF3"/>
    <w:rsid w:val="00E3357B"/>
    <w:rsid w:val="00E34077"/>
    <w:rsid w:val="00E34F2A"/>
    <w:rsid w:val="00E35296"/>
    <w:rsid w:val="00E35C48"/>
    <w:rsid w:val="00E35D0B"/>
    <w:rsid w:val="00E35D34"/>
    <w:rsid w:val="00E35EA2"/>
    <w:rsid w:val="00E364F2"/>
    <w:rsid w:val="00E36B96"/>
    <w:rsid w:val="00E36F7D"/>
    <w:rsid w:val="00E37050"/>
    <w:rsid w:val="00E370AB"/>
    <w:rsid w:val="00E37373"/>
    <w:rsid w:val="00E3746D"/>
    <w:rsid w:val="00E40379"/>
    <w:rsid w:val="00E405F7"/>
    <w:rsid w:val="00E406CB"/>
    <w:rsid w:val="00E41712"/>
    <w:rsid w:val="00E420F8"/>
    <w:rsid w:val="00E42E12"/>
    <w:rsid w:val="00E4330A"/>
    <w:rsid w:val="00E44B09"/>
    <w:rsid w:val="00E44B74"/>
    <w:rsid w:val="00E45419"/>
    <w:rsid w:val="00E45B3E"/>
    <w:rsid w:val="00E45D3E"/>
    <w:rsid w:val="00E460A8"/>
    <w:rsid w:val="00E466D2"/>
    <w:rsid w:val="00E47535"/>
    <w:rsid w:val="00E4771C"/>
    <w:rsid w:val="00E50426"/>
    <w:rsid w:val="00E51155"/>
    <w:rsid w:val="00E512EF"/>
    <w:rsid w:val="00E51475"/>
    <w:rsid w:val="00E515F9"/>
    <w:rsid w:val="00E51A6D"/>
    <w:rsid w:val="00E51DD8"/>
    <w:rsid w:val="00E51FD1"/>
    <w:rsid w:val="00E52447"/>
    <w:rsid w:val="00E52902"/>
    <w:rsid w:val="00E5293D"/>
    <w:rsid w:val="00E52D82"/>
    <w:rsid w:val="00E530A3"/>
    <w:rsid w:val="00E53D6E"/>
    <w:rsid w:val="00E53F4A"/>
    <w:rsid w:val="00E5498D"/>
    <w:rsid w:val="00E54ACA"/>
    <w:rsid w:val="00E54DFE"/>
    <w:rsid w:val="00E55A31"/>
    <w:rsid w:val="00E5641D"/>
    <w:rsid w:val="00E56759"/>
    <w:rsid w:val="00E6003A"/>
    <w:rsid w:val="00E6013A"/>
    <w:rsid w:val="00E60A17"/>
    <w:rsid w:val="00E611E7"/>
    <w:rsid w:val="00E6159B"/>
    <w:rsid w:val="00E61E68"/>
    <w:rsid w:val="00E62552"/>
    <w:rsid w:val="00E62EDA"/>
    <w:rsid w:val="00E6310E"/>
    <w:rsid w:val="00E63FB5"/>
    <w:rsid w:val="00E64D85"/>
    <w:rsid w:val="00E64FC5"/>
    <w:rsid w:val="00E6526E"/>
    <w:rsid w:val="00E6550F"/>
    <w:rsid w:val="00E6676C"/>
    <w:rsid w:val="00E66E82"/>
    <w:rsid w:val="00E671F3"/>
    <w:rsid w:val="00E675C5"/>
    <w:rsid w:val="00E676BA"/>
    <w:rsid w:val="00E67C0E"/>
    <w:rsid w:val="00E67C2C"/>
    <w:rsid w:val="00E70709"/>
    <w:rsid w:val="00E71AC1"/>
    <w:rsid w:val="00E72BF5"/>
    <w:rsid w:val="00E72D5E"/>
    <w:rsid w:val="00E73419"/>
    <w:rsid w:val="00E73E84"/>
    <w:rsid w:val="00E743C8"/>
    <w:rsid w:val="00E74543"/>
    <w:rsid w:val="00E757AF"/>
    <w:rsid w:val="00E75A38"/>
    <w:rsid w:val="00E75A5B"/>
    <w:rsid w:val="00E75AEB"/>
    <w:rsid w:val="00E75F91"/>
    <w:rsid w:val="00E7688C"/>
    <w:rsid w:val="00E76B71"/>
    <w:rsid w:val="00E76D5A"/>
    <w:rsid w:val="00E77083"/>
    <w:rsid w:val="00E774F0"/>
    <w:rsid w:val="00E779F5"/>
    <w:rsid w:val="00E80092"/>
    <w:rsid w:val="00E81A53"/>
    <w:rsid w:val="00E82139"/>
    <w:rsid w:val="00E821E7"/>
    <w:rsid w:val="00E827DF"/>
    <w:rsid w:val="00E8282E"/>
    <w:rsid w:val="00E82C0E"/>
    <w:rsid w:val="00E82CD0"/>
    <w:rsid w:val="00E83813"/>
    <w:rsid w:val="00E84D5F"/>
    <w:rsid w:val="00E85501"/>
    <w:rsid w:val="00E86278"/>
    <w:rsid w:val="00E86A81"/>
    <w:rsid w:val="00E87069"/>
    <w:rsid w:val="00E875A6"/>
    <w:rsid w:val="00E87BE5"/>
    <w:rsid w:val="00E90CBB"/>
    <w:rsid w:val="00E91734"/>
    <w:rsid w:val="00E91DFC"/>
    <w:rsid w:val="00E9215A"/>
    <w:rsid w:val="00E92D18"/>
    <w:rsid w:val="00E92D20"/>
    <w:rsid w:val="00E943BA"/>
    <w:rsid w:val="00E9455E"/>
    <w:rsid w:val="00E95523"/>
    <w:rsid w:val="00E95FF3"/>
    <w:rsid w:val="00E96669"/>
    <w:rsid w:val="00E96EA4"/>
    <w:rsid w:val="00E972A9"/>
    <w:rsid w:val="00E9753F"/>
    <w:rsid w:val="00EA12AA"/>
    <w:rsid w:val="00EA1784"/>
    <w:rsid w:val="00EA19DF"/>
    <w:rsid w:val="00EA1A09"/>
    <w:rsid w:val="00EA1BD8"/>
    <w:rsid w:val="00EA1FC0"/>
    <w:rsid w:val="00EA293D"/>
    <w:rsid w:val="00EA2F33"/>
    <w:rsid w:val="00EA2F4F"/>
    <w:rsid w:val="00EA2FCA"/>
    <w:rsid w:val="00EA3045"/>
    <w:rsid w:val="00EA32F0"/>
    <w:rsid w:val="00EA3AA4"/>
    <w:rsid w:val="00EA4425"/>
    <w:rsid w:val="00EA4525"/>
    <w:rsid w:val="00EA463E"/>
    <w:rsid w:val="00EA5236"/>
    <w:rsid w:val="00EA5400"/>
    <w:rsid w:val="00EA5652"/>
    <w:rsid w:val="00EA583E"/>
    <w:rsid w:val="00EA5869"/>
    <w:rsid w:val="00EA6974"/>
    <w:rsid w:val="00EA6AF0"/>
    <w:rsid w:val="00EA6EDF"/>
    <w:rsid w:val="00EB050A"/>
    <w:rsid w:val="00EB063A"/>
    <w:rsid w:val="00EB07D3"/>
    <w:rsid w:val="00EB1619"/>
    <w:rsid w:val="00EB1E97"/>
    <w:rsid w:val="00EB221B"/>
    <w:rsid w:val="00EB227D"/>
    <w:rsid w:val="00EB2530"/>
    <w:rsid w:val="00EB2770"/>
    <w:rsid w:val="00EB2B28"/>
    <w:rsid w:val="00EB2EEB"/>
    <w:rsid w:val="00EB39C6"/>
    <w:rsid w:val="00EB4AE4"/>
    <w:rsid w:val="00EB5C63"/>
    <w:rsid w:val="00EB6FF1"/>
    <w:rsid w:val="00EB712C"/>
    <w:rsid w:val="00EB765A"/>
    <w:rsid w:val="00EC05C1"/>
    <w:rsid w:val="00EC0CCD"/>
    <w:rsid w:val="00EC0FCE"/>
    <w:rsid w:val="00EC1766"/>
    <w:rsid w:val="00EC1962"/>
    <w:rsid w:val="00EC1A36"/>
    <w:rsid w:val="00EC1D3E"/>
    <w:rsid w:val="00EC1E98"/>
    <w:rsid w:val="00EC2809"/>
    <w:rsid w:val="00EC3275"/>
    <w:rsid w:val="00EC427C"/>
    <w:rsid w:val="00EC46B2"/>
    <w:rsid w:val="00EC49F3"/>
    <w:rsid w:val="00EC4C59"/>
    <w:rsid w:val="00EC5069"/>
    <w:rsid w:val="00EC5093"/>
    <w:rsid w:val="00EC52E1"/>
    <w:rsid w:val="00EC5AD1"/>
    <w:rsid w:val="00EC6503"/>
    <w:rsid w:val="00EC652F"/>
    <w:rsid w:val="00EC6B7F"/>
    <w:rsid w:val="00EC6DA7"/>
    <w:rsid w:val="00EC6ECA"/>
    <w:rsid w:val="00EC784C"/>
    <w:rsid w:val="00EC7B88"/>
    <w:rsid w:val="00ED0184"/>
    <w:rsid w:val="00ED01F4"/>
    <w:rsid w:val="00ED2230"/>
    <w:rsid w:val="00ED2EC8"/>
    <w:rsid w:val="00ED30AA"/>
    <w:rsid w:val="00ED3E43"/>
    <w:rsid w:val="00ED4139"/>
    <w:rsid w:val="00ED4AA1"/>
    <w:rsid w:val="00ED4D29"/>
    <w:rsid w:val="00ED4D33"/>
    <w:rsid w:val="00ED562C"/>
    <w:rsid w:val="00ED680D"/>
    <w:rsid w:val="00ED7019"/>
    <w:rsid w:val="00ED7373"/>
    <w:rsid w:val="00ED7481"/>
    <w:rsid w:val="00ED782D"/>
    <w:rsid w:val="00ED7EC9"/>
    <w:rsid w:val="00EE022A"/>
    <w:rsid w:val="00EE04BE"/>
    <w:rsid w:val="00EE0D84"/>
    <w:rsid w:val="00EE15F1"/>
    <w:rsid w:val="00EE177D"/>
    <w:rsid w:val="00EE1AE2"/>
    <w:rsid w:val="00EE1C2E"/>
    <w:rsid w:val="00EE20B6"/>
    <w:rsid w:val="00EE21B6"/>
    <w:rsid w:val="00EE285E"/>
    <w:rsid w:val="00EE2AAB"/>
    <w:rsid w:val="00EE3141"/>
    <w:rsid w:val="00EE3247"/>
    <w:rsid w:val="00EE3F4C"/>
    <w:rsid w:val="00EE48F9"/>
    <w:rsid w:val="00EE4924"/>
    <w:rsid w:val="00EE4B95"/>
    <w:rsid w:val="00EE4D2A"/>
    <w:rsid w:val="00EE524C"/>
    <w:rsid w:val="00EE5BB2"/>
    <w:rsid w:val="00EE5C37"/>
    <w:rsid w:val="00EE5F9F"/>
    <w:rsid w:val="00EE6819"/>
    <w:rsid w:val="00EE6BAA"/>
    <w:rsid w:val="00EE6FE2"/>
    <w:rsid w:val="00EE7086"/>
    <w:rsid w:val="00EE7528"/>
    <w:rsid w:val="00EE7A24"/>
    <w:rsid w:val="00EF0988"/>
    <w:rsid w:val="00EF14D1"/>
    <w:rsid w:val="00EF1A83"/>
    <w:rsid w:val="00EF1E17"/>
    <w:rsid w:val="00EF2063"/>
    <w:rsid w:val="00EF287F"/>
    <w:rsid w:val="00EF2F22"/>
    <w:rsid w:val="00EF300D"/>
    <w:rsid w:val="00EF3FBD"/>
    <w:rsid w:val="00EF404E"/>
    <w:rsid w:val="00EF46B1"/>
    <w:rsid w:val="00EF4B0A"/>
    <w:rsid w:val="00EF4BB5"/>
    <w:rsid w:val="00EF4E6A"/>
    <w:rsid w:val="00EF52C3"/>
    <w:rsid w:val="00EF58CD"/>
    <w:rsid w:val="00EF652F"/>
    <w:rsid w:val="00EF65CC"/>
    <w:rsid w:val="00EF6D1C"/>
    <w:rsid w:val="00EF6DC3"/>
    <w:rsid w:val="00EF7B13"/>
    <w:rsid w:val="00EF7EAC"/>
    <w:rsid w:val="00F0059D"/>
    <w:rsid w:val="00F00678"/>
    <w:rsid w:val="00F00818"/>
    <w:rsid w:val="00F009F6"/>
    <w:rsid w:val="00F010F7"/>
    <w:rsid w:val="00F014F5"/>
    <w:rsid w:val="00F038AE"/>
    <w:rsid w:val="00F04A52"/>
    <w:rsid w:val="00F05453"/>
    <w:rsid w:val="00F05662"/>
    <w:rsid w:val="00F059B0"/>
    <w:rsid w:val="00F0740E"/>
    <w:rsid w:val="00F109B3"/>
    <w:rsid w:val="00F10C7D"/>
    <w:rsid w:val="00F1157C"/>
    <w:rsid w:val="00F124F2"/>
    <w:rsid w:val="00F125D7"/>
    <w:rsid w:val="00F12CA0"/>
    <w:rsid w:val="00F13052"/>
    <w:rsid w:val="00F139C4"/>
    <w:rsid w:val="00F13BCF"/>
    <w:rsid w:val="00F1408D"/>
    <w:rsid w:val="00F14403"/>
    <w:rsid w:val="00F14B5A"/>
    <w:rsid w:val="00F1579D"/>
    <w:rsid w:val="00F15932"/>
    <w:rsid w:val="00F15BA0"/>
    <w:rsid w:val="00F15C32"/>
    <w:rsid w:val="00F16215"/>
    <w:rsid w:val="00F17636"/>
    <w:rsid w:val="00F17E54"/>
    <w:rsid w:val="00F203F9"/>
    <w:rsid w:val="00F20455"/>
    <w:rsid w:val="00F20836"/>
    <w:rsid w:val="00F21000"/>
    <w:rsid w:val="00F210F0"/>
    <w:rsid w:val="00F2119A"/>
    <w:rsid w:val="00F216DD"/>
    <w:rsid w:val="00F21B3C"/>
    <w:rsid w:val="00F22109"/>
    <w:rsid w:val="00F225BA"/>
    <w:rsid w:val="00F22985"/>
    <w:rsid w:val="00F236B1"/>
    <w:rsid w:val="00F23E7B"/>
    <w:rsid w:val="00F249F1"/>
    <w:rsid w:val="00F2527A"/>
    <w:rsid w:val="00F25CFB"/>
    <w:rsid w:val="00F26AF0"/>
    <w:rsid w:val="00F26E31"/>
    <w:rsid w:val="00F306E4"/>
    <w:rsid w:val="00F30A61"/>
    <w:rsid w:val="00F30DC8"/>
    <w:rsid w:val="00F30E5E"/>
    <w:rsid w:val="00F314A3"/>
    <w:rsid w:val="00F31AB8"/>
    <w:rsid w:val="00F31B54"/>
    <w:rsid w:val="00F31D69"/>
    <w:rsid w:val="00F31EB1"/>
    <w:rsid w:val="00F32177"/>
    <w:rsid w:val="00F324A4"/>
    <w:rsid w:val="00F32964"/>
    <w:rsid w:val="00F33304"/>
    <w:rsid w:val="00F33355"/>
    <w:rsid w:val="00F334C0"/>
    <w:rsid w:val="00F34168"/>
    <w:rsid w:val="00F354FD"/>
    <w:rsid w:val="00F35508"/>
    <w:rsid w:val="00F355CC"/>
    <w:rsid w:val="00F356C8"/>
    <w:rsid w:val="00F35817"/>
    <w:rsid w:val="00F35A7C"/>
    <w:rsid w:val="00F35EFD"/>
    <w:rsid w:val="00F35F3A"/>
    <w:rsid w:val="00F36198"/>
    <w:rsid w:val="00F36C63"/>
    <w:rsid w:val="00F36CA8"/>
    <w:rsid w:val="00F37FDF"/>
    <w:rsid w:val="00F40016"/>
    <w:rsid w:val="00F408F5"/>
    <w:rsid w:val="00F419DD"/>
    <w:rsid w:val="00F4248F"/>
    <w:rsid w:val="00F430A4"/>
    <w:rsid w:val="00F43A67"/>
    <w:rsid w:val="00F44016"/>
    <w:rsid w:val="00F44333"/>
    <w:rsid w:val="00F44385"/>
    <w:rsid w:val="00F44991"/>
    <w:rsid w:val="00F44AA7"/>
    <w:rsid w:val="00F44CBF"/>
    <w:rsid w:val="00F4522A"/>
    <w:rsid w:val="00F453F9"/>
    <w:rsid w:val="00F457E9"/>
    <w:rsid w:val="00F45B6C"/>
    <w:rsid w:val="00F46125"/>
    <w:rsid w:val="00F46335"/>
    <w:rsid w:val="00F46850"/>
    <w:rsid w:val="00F47096"/>
    <w:rsid w:val="00F50675"/>
    <w:rsid w:val="00F516C5"/>
    <w:rsid w:val="00F51DCB"/>
    <w:rsid w:val="00F5249E"/>
    <w:rsid w:val="00F527DC"/>
    <w:rsid w:val="00F528D5"/>
    <w:rsid w:val="00F52EE0"/>
    <w:rsid w:val="00F5393F"/>
    <w:rsid w:val="00F54A51"/>
    <w:rsid w:val="00F55519"/>
    <w:rsid w:val="00F56845"/>
    <w:rsid w:val="00F56D35"/>
    <w:rsid w:val="00F56D44"/>
    <w:rsid w:val="00F5783A"/>
    <w:rsid w:val="00F607B3"/>
    <w:rsid w:val="00F61B23"/>
    <w:rsid w:val="00F62076"/>
    <w:rsid w:val="00F62199"/>
    <w:rsid w:val="00F62DEA"/>
    <w:rsid w:val="00F633CF"/>
    <w:rsid w:val="00F638C7"/>
    <w:rsid w:val="00F63A41"/>
    <w:rsid w:val="00F63CDA"/>
    <w:rsid w:val="00F641B2"/>
    <w:rsid w:val="00F643CE"/>
    <w:rsid w:val="00F65116"/>
    <w:rsid w:val="00F65505"/>
    <w:rsid w:val="00F6561E"/>
    <w:rsid w:val="00F664A3"/>
    <w:rsid w:val="00F67292"/>
    <w:rsid w:val="00F673E0"/>
    <w:rsid w:val="00F675E7"/>
    <w:rsid w:val="00F676D1"/>
    <w:rsid w:val="00F67740"/>
    <w:rsid w:val="00F6780C"/>
    <w:rsid w:val="00F678B7"/>
    <w:rsid w:val="00F67C9D"/>
    <w:rsid w:val="00F67CF8"/>
    <w:rsid w:val="00F70F94"/>
    <w:rsid w:val="00F7124F"/>
    <w:rsid w:val="00F7208E"/>
    <w:rsid w:val="00F72A1C"/>
    <w:rsid w:val="00F72D66"/>
    <w:rsid w:val="00F72DCC"/>
    <w:rsid w:val="00F73398"/>
    <w:rsid w:val="00F734C6"/>
    <w:rsid w:val="00F739B8"/>
    <w:rsid w:val="00F743C0"/>
    <w:rsid w:val="00F7484F"/>
    <w:rsid w:val="00F75746"/>
    <w:rsid w:val="00F757F1"/>
    <w:rsid w:val="00F7641C"/>
    <w:rsid w:val="00F76B03"/>
    <w:rsid w:val="00F76C03"/>
    <w:rsid w:val="00F76E73"/>
    <w:rsid w:val="00F77935"/>
    <w:rsid w:val="00F80057"/>
    <w:rsid w:val="00F803AC"/>
    <w:rsid w:val="00F80416"/>
    <w:rsid w:val="00F80A5D"/>
    <w:rsid w:val="00F81161"/>
    <w:rsid w:val="00F81329"/>
    <w:rsid w:val="00F81340"/>
    <w:rsid w:val="00F81626"/>
    <w:rsid w:val="00F81900"/>
    <w:rsid w:val="00F820F3"/>
    <w:rsid w:val="00F8211B"/>
    <w:rsid w:val="00F823E8"/>
    <w:rsid w:val="00F824B5"/>
    <w:rsid w:val="00F82E4E"/>
    <w:rsid w:val="00F832B1"/>
    <w:rsid w:val="00F83401"/>
    <w:rsid w:val="00F84488"/>
    <w:rsid w:val="00F8546B"/>
    <w:rsid w:val="00F85568"/>
    <w:rsid w:val="00F85CB6"/>
    <w:rsid w:val="00F86802"/>
    <w:rsid w:val="00F87214"/>
    <w:rsid w:val="00F87277"/>
    <w:rsid w:val="00F87412"/>
    <w:rsid w:val="00F9049C"/>
    <w:rsid w:val="00F90A99"/>
    <w:rsid w:val="00F9179F"/>
    <w:rsid w:val="00F91923"/>
    <w:rsid w:val="00F91998"/>
    <w:rsid w:val="00F923DA"/>
    <w:rsid w:val="00F93B9D"/>
    <w:rsid w:val="00F93C2A"/>
    <w:rsid w:val="00F9425A"/>
    <w:rsid w:val="00F957DB"/>
    <w:rsid w:val="00F96183"/>
    <w:rsid w:val="00F96203"/>
    <w:rsid w:val="00F96208"/>
    <w:rsid w:val="00F96246"/>
    <w:rsid w:val="00F96E73"/>
    <w:rsid w:val="00F972D3"/>
    <w:rsid w:val="00F976E6"/>
    <w:rsid w:val="00F9777C"/>
    <w:rsid w:val="00F97888"/>
    <w:rsid w:val="00F978B4"/>
    <w:rsid w:val="00F97EA4"/>
    <w:rsid w:val="00FA0E0D"/>
    <w:rsid w:val="00FA149E"/>
    <w:rsid w:val="00FA15A9"/>
    <w:rsid w:val="00FA1D8E"/>
    <w:rsid w:val="00FA2229"/>
    <w:rsid w:val="00FA26F6"/>
    <w:rsid w:val="00FA2E9C"/>
    <w:rsid w:val="00FA4190"/>
    <w:rsid w:val="00FA42FB"/>
    <w:rsid w:val="00FA4847"/>
    <w:rsid w:val="00FA501C"/>
    <w:rsid w:val="00FA50B6"/>
    <w:rsid w:val="00FA5779"/>
    <w:rsid w:val="00FA6509"/>
    <w:rsid w:val="00FA69A0"/>
    <w:rsid w:val="00FA6E3C"/>
    <w:rsid w:val="00FA7255"/>
    <w:rsid w:val="00FA7765"/>
    <w:rsid w:val="00FA779C"/>
    <w:rsid w:val="00FA791A"/>
    <w:rsid w:val="00FB05F4"/>
    <w:rsid w:val="00FB0879"/>
    <w:rsid w:val="00FB0F6F"/>
    <w:rsid w:val="00FB1497"/>
    <w:rsid w:val="00FB20E2"/>
    <w:rsid w:val="00FB2299"/>
    <w:rsid w:val="00FB4B92"/>
    <w:rsid w:val="00FB4C2C"/>
    <w:rsid w:val="00FB4D22"/>
    <w:rsid w:val="00FB52DD"/>
    <w:rsid w:val="00FB54AA"/>
    <w:rsid w:val="00FB5640"/>
    <w:rsid w:val="00FB5A3E"/>
    <w:rsid w:val="00FB7A75"/>
    <w:rsid w:val="00FB7A92"/>
    <w:rsid w:val="00FB7B46"/>
    <w:rsid w:val="00FC0141"/>
    <w:rsid w:val="00FC0575"/>
    <w:rsid w:val="00FC08FB"/>
    <w:rsid w:val="00FC0A2F"/>
    <w:rsid w:val="00FC176A"/>
    <w:rsid w:val="00FC1B89"/>
    <w:rsid w:val="00FC20F4"/>
    <w:rsid w:val="00FC2486"/>
    <w:rsid w:val="00FC30BC"/>
    <w:rsid w:val="00FC3E25"/>
    <w:rsid w:val="00FC459C"/>
    <w:rsid w:val="00FC4715"/>
    <w:rsid w:val="00FC498C"/>
    <w:rsid w:val="00FC4BA3"/>
    <w:rsid w:val="00FC4E3E"/>
    <w:rsid w:val="00FC52D0"/>
    <w:rsid w:val="00FC5894"/>
    <w:rsid w:val="00FC589C"/>
    <w:rsid w:val="00FC5ED9"/>
    <w:rsid w:val="00FC6E5E"/>
    <w:rsid w:val="00FC714E"/>
    <w:rsid w:val="00FC73BE"/>
    <w:rsid w:val="00FD0583"/>
    <w:rsid w:val="00FD06A2"/>
    <w:rsid w:val="00FD06ED"/>
    <w:rsid w:val="00FD0709"/>
    <w:rsid w:val="00FD070E"/>
    <w:rsid w:val="00FD0E54"/>
    <w:rsid w:val="00FD0EF0"/>
    <w:rsid w:val="00FD12A6"/>
    <w:rsid w:val="00FD1675"/>
    <w:rsid w:val="00FD185C"/>
    <w:rsid w:val="00FD18EB"/>
    <w:rsid w:val="00FD23F1"/>
    <w:rsid w:val="00FD33B7"/>
    <w:rsid w:val="00FD43C2"/>
    <w:rsid w:val="00FD51EB"/>
    <w:rsid w:val="00FD573A"/>
    <w:rsid w:val="00FD594D"/>
    <w:rsid w:val="00FD6042"/>
    <w:rsid w:val="00FD6197"/>
    <w:rsid w:val="00FD6BE2"/>
    <w:rsid w:val="00FD6FFF"/>
    <w:rsid w:val="00FD759A"/>
    <w:rsid w:val="00FD7FA4"/>
    <w:rsid w:val="00FE0BCB"/>
    <w:rsid w:val="00FE0DCD"/>
    <w:rsid w:val="00FE0EE8"/>
    <w:rsid w:val="00FE15C8"/>
    <w:rsid w:val="00FE2469"/>
    <w:rsid w:val="00FE2706"/>
    <w:rsid w:val="00FE2C7E"/>
    <w:rsid w:val="00FE30A4"/>
    <w:rsid w:val="00FE3CF4"/>
    <w:rsid w:val="00FE4068"/>
    <w:rsid w:val="00FE4C24"/>
    <w:rsid w:val="00FE4D15"/>
    <w:rsid w:val="00FE58AB"/>
    <w:rsid w:val="00FE5BAB"/>
    <w:rsid w:val="00FE5D08"/>
    <w:rsid w:val="00FE68D2"/>
    <w:rsid w:val="00FE6AEA"/>
    <w:rsid w:val="00FE6B34"/>
    <w:rsid w:val="00FE6F4E"/>
    <w:rsid w:val="00FE7B64"/>
    <w:rsid w:val="00FF0235"/>
    <w:rsid w:val="00FF1241"/>
    <w:rsid w:val="00FF3403"/>
    <w:rsid w:val="00FF4014"/>
    <w:rsid w:val="00FF6CFA"/>
    <w:rsid w:val="00FF6EFD"/>
    <w:rsid w:val="00FF759E"/>
    <w:rsid w:val="00FF7952"/>
    <w:rsid w:val="01440DC2"/>
    <w:rsid w:val="0242549F"/>
    <w:rsid w:val="02433078"/>
    <w:rsid w:val="02CC180B"/>
    <w:rsid w:val="031E2AE0"/>
    <w:rsid w:val="034E3DBB"/>
    <w:rsid w:val="034E4978"/>
    <w:rsid w:val="039840F6"/>
    <w:rsid w:val="04B5716F"/>
    <w:rsid w:val="057D77DA"/>
    <w:rsid w:val="05C2152E"/>
    <w:rsid w:val="06CA6F0E"/>
    <w:rsid w:val="07604E36"/>
    <w:rsid w:val="09C41003"/>
    <w:rsid w:val="09F5647E"/>
    <w:rsid w:val="0A335CE2"/>
    <w:rsid w:val="0B8956E5"/>
    <w:rsid w:val="0C243E2A"/>
    <w:rsid w:val="0C721FA2"/>
    <w:rsid w:val="0D070908"/>
    <w:rsid w:val="0D197D5C"/>
    <w:rsid w:val="0D676618"/>
    <w:rsid w:val="0D787973"/>
    <w:rsid w:val="0D945C06"/>
    <w:rsid w:val="0DA759C3"/>
    <w:rsid w:val="0DB52AA3"/>
    <w:rsid w:val="0E8C396F"/>
    <w:rsid w:val="0EBE0829"/>
    <w:rsid w:val="0F9D05FF"/>
    <w:rsid w:val="10D10D1E"/>
    <w:rsid w:val="10D557B9"/>
    <w:rsid w:val="116A1732"/>
    <w:rsid w:val="12C6431B"/>
    <w:rsid w:val="12CB5EEF"/>
    <w:rsid w:val="131A5191"/>
    <w:rsid w:val="13CC3122"/>
    <w:rsid w:val="14262131"/>
    <w:rsid w:val="14B02FEC"/>
    <w:rsid w:val="15EC5AE8"/>
    <w:rsid w:val="168A0F73"/>
    <w:rsid w:val="17AD76C8"/>
    <w:rsid w:val="1A2623A5"/>
    <w:rsid w:val="1A4A65D5"/>
    <w:rsid w:val="1BF0048C"/>
    <w:rsid w:val="1C204B72"/>
    <w:rsid w:val="1C396B9A"/>
    <w:rsid w:val="1CC225DD"/>
    <w:rsid w:val="1CC51F1F"/>
    <w:rsid w:val="1D551774"/>
    <w:rsid w:val="1DC11D9D"/>
    <w:rsid w:val="1E086A92"/>
    <w:rsid w:val="1E0F4745"/>
    <w:rsid w:val="1E58446C"/>
    <w:rsid w:val="1E8B1540"/>
    <w:rsid w:val="1FE67A2A"/>
    <w:rsid w:val="205A36D2"/>
    <w:rsid w:val="22142A77"/>
    <w:rsid w:val="22175505"/>
    <w:rsid w:val="2232406D"/>
    <w:rsid w:val="230C79F5"/>
    <w:rsid w:val="23511A08"/>
    <w:rsid w:val="23C13FDD"/>
    <w:rsid w:val="249E4FC1"/>
    <w:rsid w:val="26417CD1"/>
    <w:rsid w:val="26853417"/>
    <w:rsid w:val="27BA0FBA"/>
    <w:rsid w:val="2820574C"/>
    <w:rsid w:val="286B09FD"/>
    <w:rsid w:val="294419BD"/>
    <w:rsid w:val="29F36FE0"/>
    <w:rsid w:val="2A1F09F7"/>
    <w:rsid w:val="2A6E48D8"/>
    <w:rsid w:val="2B36072A"/>
    <w:rsid w:val="2C6110AC"/>
    <w:rsid w:val="2CCA7B38"/>
    <w:rsid w:val="2DA97EE5"/>
    <w:rsid w:val="2FB90D0B"/>
    <w:rsid w:val="2FDB5CC5"/>
    <w:rsid w:val="301713F0"/>
    <w:rsid w:val="304512CE"/>
    <w:rsid w:val="307C273E"/>
    <w:rsid w:val="309B3C46"/>
    <w:rsid w:val="310966F9"/>
    <w:rsid w:val="316E04D9"/>
    <w:rsid w:val="32352D3F"/>
    <w:rsid w:val="32B8233D"/>
    <w:rsid w:val="33F27615"/>
    <w:rsid w:val="340A6313"/>
    <w:rsid w:val="34BD0A45"/>
    <w:rsid w:val="35230157"/>
    <w:rsid w:val="35840DD9"/>
    <w:rsid w:val="376506D1"/>
    <w:rsid w:val="37813D7F"/>
    <w:rsid w:val="378A27B4"/>
    <w:rsid w:val="3794270F"/>
    <w:rsid w:val="38700E11"/>
    <w:rsid w:val="389F3D5B"/>
    <w:rsid w:val="3A99316B"/>
    <w:rsid w:val="3AAD6706"/>
    <w:rsid w:val="3ADD4C50"/>
    <w:rsid w:val="3AE8398C"/>
    <w:rsid w:val="3B1A39B3"/>
    <w:rsid w:val="3B7E27DD"/>
    <w:rsid w:val="3C095919"/>
    <w:rsid w:val="3C6510EB"/>
    <w:rsid w:val="3D352B5F"/>
    <w:rsid w:val="3DB85315"/>
    <w:rsid w:val="3E0D1FF1"/>
    <w:rsid w:val="3F1461E4"/>
    <w:rsid w:val="3F922049"/>
    <w:rsid w:val="3FB14895"/>
    <w:rsid w:val="403A3D18"/>
    <w:rsid w:val="4089679F"/>
    <w:rsid w:val="40A1219A"/>
    <w:rsid w:val="40F1187B"/>
    <w:rsid w:val="41163263"/>
    <w:rsid w:val="428003B2"/>
    <w:rsid w:val="437835D9"/>
    <w:rsid w:val="437A14DC"/>
    <w:rsid w:val="441950C4"/>
    <w:rsid w:val="4447076B"/>
    <w:rsid w:val="450620ED"/>
    <w:rsid w:val="45DF59B1"/>
    <w:rsid w:val="46855A4B"/>
    <w:rsid w:val="46D44956"/>
    <w:rsid w:val="46EE1E8D"/>
    <w:rsid w:val="47DE6870"/>
    <w:rsid w:val="48362755"/>
    <w:rsid w:val="48E00140"/>
    <w:rsid w:val="490703E8"/>
    <w:rsid w:val="4AAD488C"/>
    <w:rsid w:val="4B122CFD"/>
    <w:rsid w:val="4B4E04B7"/>
    <w:rsid w:val="4BA71BED"/>
    <w:rsid w:val="4C354AC1"/>
    <w:rsid w:val="4C4D3849"/>
    <w:rsid w:val="4C80117E"/>
    <w:rsid w:val="4E6D044E"/>
    <w:rsid w:val="4E95578B"/>
    <w:rsid w:val="4F4B5A34"/>
    <w:rsid w:val="4F7F4F81"/>
    <w:rsid w:val="4FBC4948"/>
    <w:rsid w:val="4FE40414"/>
    <w:rsid w:val="504340CD"/>
    <w:rsid w:val="521A10C4"/>
    <w:rsid w:val="52DD009F"/>
    <w:rsid w:val="52DF7371"/>
    <w:rsid w:val="531050B2"/>
    <w:rsid w:val="53821D96"/>
    <w:rsid w:val="53D81C5E"/>
    <w:rsid w:val="53E52B7C"/>
    <w:rsid w:val="543024D3"/>
    <w:rsid w:val="544751EF"/>
    <w:rsid w:val="545E6A74"/>
    <w:rsid w:val="548010BF"/>
    <w:rsid w:val="54BA63B6"/>
    <w:rsid w:val="56CD3563"/>
    <w:rsid w:val="56EC7720"/>
    <w:rsid w:val="56F47B7E"/>
    <w:rsid w:val="571A3CDF"/>
    <w:rsid w:val="5742438B"/>
    <w:rsid w:val="57446690"/>
    <w:rsid w:val="57CC4DAB"/>
    <w:rsid w:val="58242496"/>
    <w:rsid w:val="58335A19"/>
    <w:rsid w:val="59066A70"/>
    <w:rsid w:val="59077D7A"/>
    <w:rsid w:val="59444C1B"/>
    <w:rsid w:val="594D3595"/>
    <w:rsid w:val="594E4D66"/>
    <w:rsid w:val="5A165663"/>
    <w:rsid w:val="5A350DBE"/>
    <w:rsid w:val="5A9912BB"/>
    <w:rsid w:val="5AFA7264"/>
    <w:rsid w:val="5BBA5D28"/>
    <w:rsid w:val="5BED19F4"/>
    <w:rsid w:val="5C617A64"/>
    <w:rsid w:val="5CB179C5"/>
    <w:rsid w:val="5D28648B"/>
    <w:rsid w:val="5D717287"/>
    <w:rsid w:val="5DB1580F"/>
    <w:rsid w:val="5E2A15EF"/>
    <w:rsid w:val="5EF4726A"/>
    <w:rsid w:val="60752B29"/>
    <w:rsid w:val="610B478D"/>
    <w:rsid w:val="622533DA"/>
    <w:rsid w:val="627C1875"/>
    <w:rsid w:val="62A040E8"/>
    <w:rsid w:val="62A15DA4"/>
    <w:rsid w:val="62D968EB"/>
    <w:rsid w:val="64C807A3"/>
    <w:rsid w:val="661063CD"/>
    <w:rsid w:val="66867E32"/>
    <w:rsid w:val="66CC797F"/>
    <w:rsid w:val="67224B97"/>
    <w:rsid w:val="6765645A"/>
    <w:rsid w:val="67887D22"/>
    <w:rsid w:val="6820381B"/>
    <w:rsid w:val="68DA7C00"/>
    <w:rsid w:val="69823F39"/>
    <w:rsid w:val="6A2D65C8"/>
    <w:rsid w:val="6A3D3DFF"/>
    <w:rsid w:val="6A6C5263"/>
    <w:rsid w:val="6A8F5E03"/>
    <w:rsid w:val="6AB72926"/>
    <w:rsid w:val="6AE8665A"/>
    <w:rsid w:val="6B171960"/>
    <w:rsid w:val="6BA64772"/>
    <w:rsid w:val="6C960582"/>
    <w:rsid w:val="6DBB14D9"/>
    <w:rsid w:val="6DEC70F7"/>
    <w:rsid w:val="6DF71F59"/>
    <w:rsid w:val="6E3E1358"/>
    <w:rsid w:val="6E545727"/>
    <w:rsid w:val="6E7E5383"/>
    <w:rsid w:val="6EEA5288"/>
    <w:rsid w:val="6F7706A2"/>
    <w:rsid w:val="70095C08"/>
    <w:rsid w:val="70FE47A5"/>
    <w:rsid w:val="71190330"/>
    <w:rsid w:val="71373115"/>
    <w:rsid w:val="71942299"/>
    <w:rsid w:val="71F91B12"/>
    <w:rsid w:val="72F1136F"/>
    <w:rsid w:val="73102258"/>
    <w:rsid w:val="73B03BB2"/>
    <w:rsid w:val="73BE6D5C"/>
    <w:rsid w:val="7403775D"/>
    <w:rsid w:val="74637265"/>
    <w:rsid w:val="74796486"/>
    <w:rsid w:val="74E86097"/>
    <w:rsid w:val="75431DF5"/>
    <w:rsid w:val="75EE0105"/>
    <w:rsid w:val="767D2E2C"/>
    <w:rsid w:val="76907AF5"/>
    <w:rsid w:val="777C39A0"/>
    <w:rsid w:val="77AE723C"/>
    <w:rsid w:val="782869F8"/>
    <w:rsid w:val="788D6B17"/>
    <w:rsid w:val="7A2D749C"/>
    <w:rsid w:val="7A366FBF"/>
    <w:rsid w:val="7B91726B"/>
    <w:rsid w:val="7BD40C4D"/>
    <w:rsid w:val="7C215D74"/>
    <w:rsid w:val="7D5170DA"/>
    <w:rsid w:val="7D7609EE"/>
    <w:rsid w:val="7E7A28A3"/>
    <w:rsid w:val="7EC2465E"/>
    <w:rsid w:val="7F5E6069"/>
    <w:rsid w:val="7F5F04E4"/>
    <w:rsid w:val="7FEE6A0D"/>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3"/>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link w:val="74"/>
    <w:qFormat/>
    <w:uiPriority w:val="9"/>
    <w:pPr>
      <w:keepNext/>
      <w:keepLines/>
      <w:spacing w:before="260" w:after="260" w:line="360" w:lineRule="auto"/>
      <w:ind w:left="171" w:leftChars="171"/>
      <w:outlineLvl w:val="2"/>
    </w:pPr>
    <w:rPr>
      <w:rFonts w:eastAsia="Arial Unicode MS"/>
      <w:b/>
      <w:szCs w:val="20"/>
    </w:rPr>
  </w:style>
  <w:style w:type="paragraph" w:styleId="8">
    <w:name w:val="heading 4"/>
    <w:basedOn w:val="1"/>
    <w:next w:val="1"/>
    <w:link w:val="75"/>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76"/>
    <w:qFormat/>
    <w:uiPriority w:val="9"/>
    <w:pPr>
      <w:keepNext/>
      <w:keepLines/>
      <w:spacing w:before="280" w:after="290" w:line="376" w:lineRule="auto"/>
      <w:outlineLvl w:val="4"/>
    </w:pPr>
    <w:rPr>
      <w:rFonts w:ascii="Calibri" w:hAnsi="Calibri"/>
      <w:b/>
      <w:bCs/>
      <w:sz w:val="28"/>
      <w:szCs w:val="28"/>
    </w:rPr>
  </w:style>
  <w:style w:type="paragraph" w:styleId="10">
    <w:name w:val="heading 6"/>
    <w:basedOn w:val="1"/>
    <w:next w:val="1"/>
    <w:link w:val="77"/>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11">
    <w:name w:val="heading 7"/>
    <w:basedOn w:val="1"/>
    <w:next w:val="1"/>
    <w:link w:val="78"/>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2">
    <w:name w:val="heading 8"/>
    <w:basedOn w:val="1"/>
    <w:next w:val="1"/>
    <w:link w:val="79"/>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3">
    <w:name w:val="heading 9"/>
    <w:basedOn w:val="1"/>
    <w:next w:val="1"/>
    <w:link w:val="80"/>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2">
    <w:name w:val="Default Paragraph Font"/>
    <w:semiHidden/>
    <w:unhideWhenUsed/>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2"/>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6">
    <w:name w:val="Normal Indent"/>
    <w:basedOn w:val="1"/>
    <w:next w:val="7"/>
    <w:link w:val="120"/>
    <w:qFormat/>
    <w:uiPriority w:val="99"/>
    <w:pPr>
      <w:ind w:firstLine="420" w:firstLineChars="200"/>
    </w:pPr>
    <w:rPr>
      <w:rFonts w:asciiTheme="minorHAnsi" w:hAnsiTheme="minorHAnsi" w:eastAsiaTheme="minorEastAsia" w:cstheme="minorBidi"/>
    </w:rPr>
  </w:style>
  <w:style w:type="paragraph" w:styleId="7">
    <w:name w:val="toa heading"/>
    <w:basedOn w:val="1"/>
    <w:next w:val="1"/>
    <w:qFormat/>
    <w:uiPriority w:val="0"/>
    <w:pPr>
      <w:spacing w:before="120"/>
    </w:pPr>
    <w:rPr>
      <w:rFonts w:ascii="Arial" w:hAnsi="Arial" w:eastAsia="微软雅黑"/>
      <w:sz w:val="24"/>
      <w:szCs w:val="21"/>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1260"/>
      <w:jc w:val="left"/>
    </w:pPr>
    <w:rPr>
      <w:rFonts w:asciiTheme="minorHAnsi" w:hAnsiTheme="minorHAnsi" w:cstheme="minorHAnsi"/>
      <w:sz w:val="18"/>
      <w:szCs w:val="18"/>
    </w:rPr>
  </w:style>
  <w:style w:type="paragraph" w:styleId="16">
    <w:name w:val="table of authorities"/>
    <w:basedOn w:val="1"/>
    <w:next w:val="1"/>
    <w:qFormat/>
    <w:uiPriority w:val="0"/>
    <w:pPr>
      <w:ind w:left="420" w:leftChars="200"/>
    </w:pPr>
    <w:rPr>
      <w:szCs w:val="20"/>
    </w:rPr>
  </w:style>
  <w:style w:type="paragraph" w:styleId="17">
    <w:name w:val="List Bullet 4"/>
    <w:basedOn w:val="1"/>
    <w:qFormat/>
    <w:uiPriority w:val="0"/>
    <w:pPr>
      <w:tabs>
        <w:tab w:val="left" w:pos="980"/>
      </w:tabs>
      <w:spacing w:beforeLines="50" w:afterLines="50" w:line="360" w:lineRule="auto"/>
      <w:ind w:left="980" w:hanging="420"/>
    </w:pPr>
    <w:rPr>
      <w:sz w:val="24"/>
    </w:rPr>
  </w:style>
  <w:style w:type="paragraph" w:styleId="18">
    <w:name w:val="List Number"/>
    <w:basedOn w:val="1"/>
    <w:qFormat/>
    <w:uiPriority w:val="0"/>
    <w:pPr>
      <w:numPr>
        <w:ilvl w:val="0"/>
        <w:numId w:val="1"/>
      </w:numPr>
      <w:tabs>
        <w:tab w:val="left" w:pos="840"/>
      </w:tabs>
    </w:pPr>
    <w:rPr>
      <w:rFonts w:ascii="Calibri" w:hAnsi="Calibri"/>
      <w:sz w:val="28"/>
      <w:szCs w:val="22"/>
    </w:rPr>
  </w:style>
  <w:style w:type="paragraph" w:styleId="19">
    <w:name w:val="caption"/>
    <w:basedOn w:val="1"/>
    <w:next w:val="1"/>
    <w:link w:val="201"/>
    <w:qFormat/>
    <w:uiPriority w:val="0"/>
    <w:pPr>
      <w:widowControl/>
      <w:jc w:val="left"/>
    </w:pPr>
    <w:rPr>
      <w:rFonts w:ascii="Arial" w:hAnsi="Arial" w:eastAsia="黑体" w:cstheme="minorBidi"/>
      <w:szCs w:val="22"/>
    </w:rPr>
  </w:style>
  <w:style w:type="paragraph" w:styleId="20">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1">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2">
    <w:name w:val="Document Map"/>
    <w:basedOn w:val="1"/>
    <w:link w:val="258"/>
    <w:qFormat/>
    <w:uiPriority w:val="99"/>
    <w:pPr>
      <w:shd w:val="clear" w:color="auto" w:fill="000080"/>
    </w:pPr>
    <w:rPr>
      <w:rFonts w:asciiTheme="minorHAnsi" w:hAnsiTheme="minorHAnsi" w:eastAsiaTheme="minorEastAsia" w:cstheme="minorBidi"/>
    </w:rPr>
  </w:style>
  <w:style w:type="paragraph" w:styleId="23">
    <w:name w:val="annotation text"/>
    <w:basedOn w:val="1"/>
    <w:link w:val="245"/>
    <w:unhideWhenUsed/>
    <w:qFormat/>
    <w:uiPriority w:val="99"/>
    <w:pPr>
      <w:jc w:val="left"/>
    </w:pPr>
  </w:style>
  <w:style w:type="paragraph" w:styleId="24">
    <w:name w:val="Salutation"/>
    <w:basedOn w:val="1"/>
    <w:next w:val="1"/>
    <w:link w:val="255"/>
    <w:qFormat/>
    <w:uiPriority w:val="0"/>
    <w:rPr>
      <w:rFonts w:asciiTheme="minorHAnsi" w:hAnsiTheme="minorHAnsi" w:eastAsiaTheme="minorEastAsia" w:cstheme="minorBidi"/>
    </w:rPr>
  </w:style>
  <w:style w:type="paragraph" w:styleId="25">
    <w:name w:val="Body Text 3"/>
    <w:basedOn w:val="1"/>
    <w:link w:val="225"/>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87"/>
    <w:qFormat/>
    <w:uiPriority w:val="0"/>
    <w:pPr>
      <w:ind w:left="100" w:leftChars="2100"/>
    </w:pPr>
    <w:rPr>
      <w:rFonts w:ascii="宋体" w:hAnsi="宋体" w:eastAsiaTheme="minorEastAsia" w:cstheme="minorBidi"/>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Indent"/>
    <w:basedOn w:val="1"/>
    <w:link w:val="222"/>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29">
    <w:name w:val="List 2"/>
    <w:basedOn w:val="1"/>
    <w:qFormat/>
    <w:uiPriority w:val="0"/>
    <w:pPr>
      <w:spacing w:beforeLines="50" w:afterLines="50" w:line="360" w:lineRule="auto"/>
      <w:ind w:left="100" w:leftChars="200" w:hanging="200" w:hangingChars="200"/>
    </w:pPr>
    <w:rPr>
      <w:sz w:val="24"/>
    </w:rPr>
  </w:style>
  <w:style w:type="paragraph" w:styleId="30">
    <w:name w:val="Block Text"/>
    <w:basedOn w:val="1"/>
    <w:qFormat/>
    <w:uiPriority w:val="0"/>
    <w:pPr>
      <w:spacing w:beforeLines="50" w:afterLines="50" w:line="360" w:lineRule="auto"/>
      <w:ind w:left="1440" w:leftChars="700" w:right="1440" w:rightChars="700"/>
    </w:pPr>
    <w:rPr>
      <w:sz w:val="24"/>
    </w:rPr>
  </w:style>
  <w:style w:type="paragraph" w:styleId="31">
    <w:name w:val="toc 5"/>
    <w:basedOn w:val="1"/>
    <w:next w:val="1"/>
    <w:qFormat/>
    <w:uiPriority w:val="39"/>
    <w:pPr>
      <w:ind w:left="840"/>
      <w:jc w:val="left"/>
    </w:pPr>
    <w:rPr>
      <w:rFonts w:asciiTheme="minorHAnsi" w:hAnsiTheme="minorHAnsi" w:cstheme="minorHAnsi"/>
      <w:sz w:val="18"/>
      <w:szCs w:val="18"/>
    </w:rPr>
  </w:style>
  <w:style w:type="paragraph" w:styleId="32">
    <w:name w:val="toc 3"/>
    <w:basedOn w:val="1"/>
    <w:next w:val="1"/>
    <w:qFormat/>
    <w:uiPriority w:val="39"/>
    <w:pPr>
      <w:ind w:left="420"/>
      <w:jc w:val="left"/>
    </w:pPr>
    <w:rPr>
      <w:rFonts w:asciiTheme="minorHAnsi" w:hAnsiTheme="minorHAnsi" w:cstheme="minorHAnsi"/>
      <w:i/>
      <w:iCs/>
      <w:sz w:val="20"/>
      <w:szCs w:val="20"/>
    </w:rPr>
  </w:style>
  <w:style w:type="paragraph" w:styleId="33">
    <w:name w:val="Plain Text"/>
    <w:basedOn w:val="1"/>
    <w:link w:val="237"/>
    <w:qFormat/>
    <w:uiPriority w:val="0"/>
    <w:rPr>
      <w:rFonts w:ascii="宋体" w:hAnsi="Courier New" w:cs="Courier New" w:eastAsiaTheme="minorEastAsia"/>
      <w:szCs w:val="21"/>
    </w:rPr>
  </w:style>
  <w:style w:type="paragraph" w:styleId="34">
    <w:name w:val="toc 8"/>
    <w:basedOn w:val="1"/>
    <w:next w:val="1"/>
    <w:qFormat/>
    <w:uiPriority w:val="39"/>
    <w:pPr>
      <w:ind w:left="1470"/>
      <w:jc w:val="left"/>
    </w:pPr>
    <w:rPr>
      <w:rFonts w:asciiTheme="minorHAnsi" w:hAnsiTheme="minorHAnsi" w:cstheme="minorHAnsi"/>
      <w:sz w:val="18"/>
      <w:szCs w:val="18"/>
    </w:rPr>
  </w:style>
  <w:style w:type="paragraph" w:styleId="35">
    <w:name w:val="Date"/>
    <w:basedOn w:val="1"/>
    <w:next w:val="1"/>
    <w:link w:val="262"/>
    <w:qFormat/>
    <w:uiPriority w:val="0"/>
    <w:pPr>
      <w:ind w:left="100" w:leftChars="2500"/>
    </w:pPr>
    <w:rPr>
      <w:rFonts w:eastAsia="仿宋_GB2312" w:asciiTheme="minorHAnsi" w:hAnsiTheme="minorHAnsi" w:cstheme="minorBidi"/>
      <w:color w:val="000000"/>
      <w:sz w:val="28"/>
    </w:rPr>
  </w:style>
  <w:style w:type="paragraph" w:styleId="36">
    <w:name w:val="Body Text Indent 2"/>
    <w:basedOn w:val="1"/>
    <w:link w:val="215"/>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7">
    <w:name w:val="endnote text"/>
    <w:basedOn w:val="1"/>
    <w:link w:val="291"/>
    <w:qFormat/>
    <w:uiPriority w:val="0"/>
    <w:pPr>
      <w:snapToGrid w:val="0"/>
      <w:jc w:val="left"/>
    </w:pPr>
    <w:rPr>
      <w:rFonts w:asciiTheme="minorHAnsi" w:hAnsiTheme="minorHAnsi" w:eastAsiaTheme="minorEastAsia" w:cstheme="minorBidi"/>
      <w:szCs w:val="22"/>
    </w:rPr>
  </w:style>
  <w:style w:type="paragraph" w:styleId="38">
    <w:name w:val="Balloon Text"/>
    <w:basedOn w:val="1"/>
    <w:link w:val="243"/>
    <w:qFormat/>
    <w:uiPriority w:val="99"/>
    <w:rPr>
      <w:rFonts w:asciiTheme="minorHAnsi" w:hAnsiTheme="minorHAnsi" w:eastAsiaTheme="minorEastAsia" w:cstheme="minorBidi"/>
      <w:sz w:val="18"/>
      <w:szCs w:val="18"/>
    </w:rPr>
  </w:style>
  <w:style w:type="paragraph" w:styleId="39">
    <w:name w:val="footer"/>
    <w:basedOn w:val="1"/>
    <w:link w:val="71"/>
    <w:unhideWhenUsed/>
    <w:qFormat/>
    <w:uiPriority w:val="99"/>
    <w:pPr>
      <w:tabs>
        <w:tab w:val="center" w:pos="4153"/>
        <w:tab w:val="right" w:pos="8306"/>
      </w:tabs>
      <w:snapToGrid w:val="0"/>
      <w:jc w:val="left"/>
    </w:pPr>
    <w:rPr>
      <w:sz w:val="18"/>
      <w:szCs w:val="18"/>
    </w:rPr>
  </w:style>
  <w:style w:type="paragraph" w:styleId="40">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42">
    <w:name w:val="toc 4"/>
    <w:basedOn w:val="1"/>
    <w:next w:val="1"/>
    <w:qFormat/>
    <w:uiPriority w:val="39"/>
    <w:pPr>
      <w:ind w:left="630"/>
      <w:jc w:val="left"/>
    </w:pPr>
    <w:rPr>
      <w:rFonts w:asciiTheme="minorHAnsi" w:hAnsiTheme="minorHAnsi" w:cstheme="minorHAnsi"/>
      <w:sz w:val="18"/>
      <w:szCs w:val="18"/>
    </w:rPr>
  </w:style>
  <w:style w:type="paragraph" w:styleId="43">
    <w:name w:val="Subtitle"/>
    <w:basedOn w:val="1"/>
    <w:next w:val="1"/>
    <w:link w:val="28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4">
    <w:name w:val="List"/>
    <w:basedOn w:val="1"/>
    <w:qFormat/>
    <w:uiPriority w:val="0"/>
    <w:pPr>
      <w:ind w:left="420" w:hanging="420"/>
    </w:pPr>
    <w:rPr>
      <w:sz w:val="24"/>
      <w:szCs w:val="20"/>
    </w:rPr>
  </w:style>
  <w:style w:type="paragraph" w:styleId="45">
    <w:name w:val="footnote text"/>
    <w:basedOn w:val="1"/>
    <w:link w:val="713"/>
    <w:qFormat/>
    <w:uiPriority w:val="0"/>
    <w:pPr>
      <w:widowControl/>
      <w:jc w:val="left"/>
    </w:pPr>
    <w:rPr>
      <w:kern w:val="0"/>
      <w:sz w:val="20"/>
      <w:szCs w:val="20"/>
      <w:lang w:val="de-DE"/>
    </w:rPr>
  </w:style>
  <w:style w:type="paragraph" w:styleId="46">
    <w:name w:val="toc 6"/>
    <w:basedOn w:val="1"/>
    <w:next w:val="1"/>
    <w:qFormat/>
    <w:uiPriority w:val="39"/>
    <w:pPr>
      <w:ind w:left="1050"/>
      <w:jc w:val="left"/>
    </w:pPr>
    <w:rPr>
      <w:rFonts w:asciiTheme="minorHAnsi" w:hAnsiTheme="minorHAnsi" w:cstheme="minorHAnsi"/>
      <w:sz w:val="18"/>
      <w:szCs w:val="18"/>
    </w:rPr>
  </w:style>
  <w:style w:type="paragraph" w:styleId="47">
    <w:name w:val="Body Text Indent 3"/>
    <w:basedOn w:val="1"/>
    <w:link w:val="247"/>
    <w:qFormat/>
    <w:uiPriority w:val="0"/>
    <w:pPr>
      <w:ind w:firstLine="480" w:firstLineChars="200"/>
    </w:pPr>
    <w:rPr>
      <w:rFonts w:ascii="幼圆" w:eastAsia="幼圆" w:hAnsiTheme="minorHAnsi" w:cstheme="minorBidi"/>
      <w:sz w:val="24"/>
      <w:szCs w:val="32"/>
    </w:rPr>
  </w:style>
  <w:style w:type="paragraph" w:styleId="48">
    <w:name w:val="table of figures"/>
    <w:basedOn w:val="1"/>
    <w:next w:val="1"/>
    <w:qFormat/>
    <w:uiPriority w:val="99"/>
    <w:pPr>
      <w:ind w:left="200" w:leftChars="200" w:hanging="200" w:hangingChars="200"/>
    </w:pPr>
  </w:style>
  <w:style w:type="paragraph" w:styleId="49">
    <w:name w:val="toc 2"/>
    <w:basedOn w:val="1"/>
    <w:next w:val="1"/>
    <w:qFormat/>
    <w:uiPriority w:val="39"/>
    <w:pPr>
      <w:ind w:left="210"/>
      <w:jc w:val="left"/>
    </w:pPr>
    <w:rPr>
      <w:rFonts w:asciiTheme="minorHAnsi" w:hAnsiTheme="minorHAnsi" w:cstheme="minorHAnsi"/>
      <w:smallCaps/>
      <w:sz w:val="20"/>
      <w:szCs w:val="20"/>
    </w:rPr>
  </w:style>
  <w:style w:type="paragraph" w:styleId="50">
    <w:name w:val="toc 9"/>
    <w:basedOn w:val="1"/>
    <w:next w:val="1"/>
    <w:qFormat/>
    <w:uiPriority w:val="39"/>
    <w:pPr>
      <w:ind w:left="1680"/>
      <w:jc w:val="left"/>
    </w:pPr>
    <w:rPr>
      <w:rFonts w:asciiTheme="minorHAnsi" w:hAnsiTheme="minorHAnsi" w:cstheme="minorHAnsi"/>
      <w:sz w:val="18"/>
      <w:szCs w:val="18"/>
    </w:rPr>
  </w:style>
  <w:style w:type="paragraph" w:styleId="51">
    <w:name w:val="Body Text 2"/>
    <w:basedOn w:val="1"/>
    <w:link w:val="282"/>
    <w:qFormat/>
    <w:uiPriority w:val="0"/>
    <w:pPr>
      <w:jc w:val="center"/>
    </w:pPr>
    <w:rPr>
      <w:rFonts w:ascii="宋体" w:hAnsi="宋体" w:eastAsiaTheme="minorEastAsia" w:cstheme="minorBidi"/>
      <w:sz w:val="24"/>
    </w:rPr>
  </w:style>
  <w:style w:type="paragraph" w:styleId="52">
    <w:name w:val="HTML Preformatted"/>
    <w:basedOn w:val="1"/>
    <w:link w:val="2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4">
    <w:name w:val="index 1"/>
    <w:basedOn w:val="1"/>
    <w:next w:val="1"/>
    <w:qFormat/>
    <w:uiPriority w:val="0"/>
    <w:rPr>
      <w:kern w:val="0"/>
      <w:sz w:val="24"/>
      <w:szCs w:val="21"/>
    </w:rPr>
  </w:style>
  <w:style w:type="paragraph" w:styleId="55">
    <w:name w:val="Title"/>
    <w:basedOn w:val="1"/>
    <w:next w:val="1"/>
    <w:link w:val="228"/>
    <w:qFormat/>
    <w:uiPriority w:val="0"/>
    <w:pPr>
      <w:spacing w:before="240" w:after="60"/>
      <w:jc w:val="center"/>
      <w:outlineLvl w:val="0"/>
    </w:pPr>
    <w:rPr>
      <w:rFonts w:ascii="Arial" w:hAnsi="Arial" w:eastAsiaTheme="minorEastAsia" w:cstheme="minorBidi"/>
      <w:b/>
      <w:bCs/>
      <w:sz w:val="32"/>
      <w:szCs w:val="32"/>
    </w:rPr>
  </w:style>
  <w:style w:type="paragraph" w:styleId="56">
    <w:name w:val="annotation subject"/>
    <w:basedOn w:val="23"/>
    <w:next w:val="23"/>
    <w:link w:val="246"/>
    <w:qFormat/>
    <w:uiPriority w:val="99"/>
    <w:rPr>
      <w:rFonts w:asciiTheme="minorHAnsi" w:hAnsiTheme="minorHAnsi" w:eastAsiaTheme="minorEastAsia" w:cstheme="minorBidi"/>
      <w:b/>
    </w:rPr>
  </w:style>
  <w:style w:type="paragraph" w:styleId="57">
    <w:name w:val="Body Text First Indent"/>
    <w:basedOn w:val="2"/>
    <w:link w:val="281"/>
    <w:qFormat/>
    <w:uiPriority w:val="0"/>
    <w:pPr>
      <w:autoSpaceDE/>
      <w:autoSpaceDN/>
      <w:adjustRightInd/>
      <w:spacing w:after="120" w:line="240" w:lineRule="auto"/>
      <w:ind w:firstLine="420" w:firstLineChars="100"/>
      <w:jc w:val="both"/>
    </w:pPr>
    <w:rPr>
      <w:sz w:val="21"/>
    </w:rPr>
  </w:style>
  <w:style w:type="paragraph" w:styleId="58">
    <w:name w:val="Body Text First Indent 2"/>
    <w:basedOn w:val="28"/>
    <w:link w:val="233"/>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1">
    <w:name w:val="Table Elegant"/>
    <w:basedOn w:val="5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3">
    <w:name w:val="Strong"/>
    <w:qFormat/>
    <w:uiPriority w:val="22"/>
    <w:rPr>
      <w:b/>
      <w:bCs/>
    </w:rPr>
  </w:style>
  <w:style w:type="character" w:styleId="64">
    <w:name w:val="endnote reference"/>
    <w:qFormat/>
    <w:uiPriority w:val="0"/>
    <w:rPr>
      <w:vertAlign w:val="superscript"/>
    </w:rPr>
  </w:style>
  <w:style w:type="character" w:styleId="65">
    <w:name w:val="page number"/>
    <w:basedOn w:val="62"/>
    <w:qFormat/>
    <w:uiPriority w:val="0"/>
  </w:style>
  <w:style w:type="character" w:styleId="66">
    <w:name w:val="FollowedHyperlink"/>
    <w:qFormat/>
    <w:uiPriority w:val="0"/>
    <w:rPr>
      <w:color w:val="800080"/>
      <w:u w:val="single"/>
    </w:rPr>
  </w:style>
  <w:style w:type="character" w:styleId="67">
    <w:name w:val="Emphasis"/>
    <w:qFormat/>
    <w:uiPriority w:val="0"/>
    <w:rPr>
      <w:i/>
      <w:iCs/>
    </w:rPr>
  </w:style>
  <w:style w:type="character" w:styleId="68">
    <w:name w:val="Hyperlink"/>
    <w:qFormat/>
    <w:uiPriority w:val="99"/>
    <w:rPr>
      <w:color w:val="0000FF"/>
      <w:u w:val="single"/>
    </w:rPr>
  </w:style>
  <w:style w:type="character" w:styleId="69">
    <w:name w:val="annotation reference"/>
    <w:qFormat/>
    <w:uiPriority w:val="99"/>
    <w:rPr>
      <w:sz w:val="21"/>
    </w:rPr>
  </w:style>
  <w:style w:type="character" w:customStyle="1" w:styleId="70">
    <w:name w:val="页眉 Char"/>
    <w:basedOn w:val="62"/>
    <w:link w:val="40"/>
    <w:qFormat/>
    <w:uiPriority w:val="99"/>
    <w:rPr>
      <w:sz w:val="18"/>
      <w:szCs w:val="18"/>
    </w:rPr>
  </w:style>
  <w:style w:type="character" w:customStyle="1" w:styleId="71">
    <w:name w:val="页脚 Char"/>
    <w:basedOn w:val="62"/>
    <w:link w:val="39"/>
    <w:qFormat/>
    <w:uiPriority w:val="99"/>
    <w:rPr>
      <w:sz w:val="18"/>
      <w:szCs w:val="18"/>
    </w:rPr>
  </w:style>
  <w:style w:type="character" w:customStyle="1" w:styleId="72">
    <w:name w:val="标题 1 Char"/>
    <w:basedOn w:val="62"/>
    <w:link w:val="3"/>
    <w:qFormat/>
    <w:uiPriority w:val="0"/>
    <w:rPr>
      <w:rFonts w:ascii="Times New Roman" w:hAnsi="Times New Roman" w:eastAsia="宋体" w:cs="Times New Roman"/>
      <w:b/>
      <w:kern w:val="44"/>
      <w:sz w:val="32"/>
      <w:szCs w:val="20"/>
    </w:rPr>
  </w:style>
  <w:style w:type="character" w:customStyle="1" w:styleId="73">
    <w:name w:val="标题 2 Char"/>
    <w:basedOn w:val="62"/>
    <w:link w:val="4"/>
    <w:qFormat/>
    <w:uiPriority w:val="0"/>
    <w:rPr>
      <w:rFonts w:ascii="Arial" w:hAnsi="Arial" w:eastAsia="黑体" w:cs="Times New Roman"/>
      <w:b/>
      <w:bCs/>
      <w:sz w:val="32"/>
      <w:szCs w:val="32"/>
    </w:rPr>
  </w:style>
  <w:style w:type="character" w:customStyle="1" w:styleId="74">
    <w:name w:val="标题 3 Char"/>
    <w:basedOn w:val="62"/>
    <w:link w:val="5"/>
    <w:qFormat/>
    <w:uiPriority w:val="9"/>
    <w:rPr>
      <w:rFonts w:ascii="Times New Roman" w:hAnsi="Times New Roman" w:eastAsia="Arial Unicode MS" w:cs="Times New Roman"/>
      <w:b/>
      <w:szCs w:val="20"/>
    </w:rPr>
  </w:style>
  <w:style w:type="character" w:customStyle="1" w:styleId="75">
    <w:name w:val="标题 4 Char"/>
    <w:basedOn w:val="62"/>
    <w:link w:val="8"/>
    <w:qFormat/>
    <w:uiPriority w:val="0"/>
    <w:rPr>
      <w:rFonts w:ascii="Cambria" w:hAnsi="Cambria" w:eastAsia="宋体" w:cs="Times New Roman"/>
      <w:b/>
      <w:bCs/>
      <w:sz w:val="28"/>
      <w:szCs w:val="28"/>
    </w:rPr>
  </w:style>
  <w:style w:type="character" w:customStyle="1" w:styleId="76">
    <w:name w:val="标题 5 Char"/>
    <w:basedOn w:val="62"/>
    <w:link w:val="9"/>
    <w:qFormat/>
    <w:uiPriority w:val="9"/>
    <w:rPr>
      <w:rFonts w:ascii="Calibri" w:hAnsi="Calibri" w:eastAsia="宋体" w:cs="Times New Roman"/>
      <w:b/>
      <w:bCs/>
      <w:sz w:val="28"/>
      <w:szCs w:val="28"/>
    </w:rPr>
  </w:style>
  <w:style w:type="character" w:customStyle="1" w:styleId="77">
    <w:name w:val="标题 6 Char"/>
    <w:basedOn w:val="62"/>
    <w:link w:val="10"/>
    <w:qFormat/>
    <w:uiPriority w:val="0"/>
    <w:rPr>
      <w:rFonts w:ascii="Arial" w:hAnsi="Arial" w:eastAsia="黑体" w:cs="Times New Roman"/>
      <w:b/>
      <w:bCs/>
      <w:kern w:val="0"/>
      <w:sz w:val="24"/>
      <w:szCs w:val="24"/>
    </w:rPr>
  </w:style>
  <w:style w:type="character" w:customStyle="1" w:styleId="78">
    <w:name w:val="标题 7 Char"/>
    <w:basedOn w:val="62"/>
    <w:link w:val="11"/>
    <w:qFormat/>
    <w:uiPriority w:val="0"/>
    <w:rPr>
      <w:rFonts w:ascii="Times New Roman" w:hAnsi="Times New Roman" w:eastAsia="宋体" w:cs="Times New Roman"/>
      <w:b/>
      <w:bCs/>
      <w:kern w:val="0"/>
      <w:sz w:val="24"/>
      <w:szCs w:val="24"/>
    </w:rPr>
  </w:style>
  <w:style w:type="character" w:customStyle="1" w:styleId="79">
    <w:name w:val="标题 8 Char"/>
    <w:basedOn w:val="62"/>
    <w:link w:val="12"/>
    <w:qFormat/>
    <w:uiPriority w:val="0"/>
    <w:rPr>
      <w:rFonts w:ascii="Arial" w:hAnsi="Arial" w:eastAsia="黑体" w:cs="Times New Roman"/>
      <w:kern w:val="0"/>
      <w:sz w:val="24"/>
      <w:szCs w:val="24"/>
    </w:rPr>
  </w:style>
  <w:style w:type="character" w:customStyle="1" w:styleId="80">
    <w:name w:val="标题 9 Char"/>
    <w:basedOn w:val="62"/>
    <w:link w:val="13"/>
    <w:qFormat/>
    <w:uiPriority w:val="0"/>
    <w:rPr>
      <w:rFonts w:ascii="Arial" w:hAnsi="Arial" w:eastAsia="黑体" w:cs="Times New Roman"/>
      <w:kern w:val="0"/>
      <w:szCs w:val="21"/>
    </w:rPr>
  </w:style>
  <w:style w:type="character" w:customStyle="1" w:styleId="81">
    <w:name w:val="hei12"/>
    <w:basedOn w:val="62"/>
    <w:qFormat/>
    <w:uiPriority w:val="0"/>
  </w:style>
  <w:style w:type="character" w:customStyle="1" w:styleId="82">
    <w:name w:val="正文缩进2格 Char"/>
    <w:link w:val="83"/>
    <w:qFormat/>
    <w:uiPriority w:val="0"/>
    <w:rPr>
      <w:rFonts w:ascii="仿宋_GB2312" w:hAnsi="宋体" w:eastAsia="仿宋_GB2312"/>
      <w:sz w:val="31"/>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cstheme="minorBidi"/>
      <w:sz w:val="31"/>
      <w:szCs w:val="22"/>
    </w:rPr>
  </w:style>
  <w:style w:type="character" w:customStyle="1" w:styleId="84">
    <w:name w:val="font51"/>
    <w:qFormat/>
    <w:uiPriority w:val="0"/>
    <w:rPr>
      <w:rFonts w:hint="eastAsia" w:ascii="宋体" w:hAnsi="宋体" w:eastAsia="宋体" w:cs="宋体"/>
      <w:color w:val="000000"/>
      <w:sz w:val="20"/>
      <w:szCs w:val="20"/>
      <w:u w:val="none"/>
    </w:rPr>
  </w:style>
  <w:style w:type="character" w:customStyle="1" w:styleId="85">
    <w:name w:val="font61"/>
    <w:qFormat/>
    <w:uiPriority w:val="0"/>
    <w:rPr>
      <w:rFonts w:hint="default" w:ascii="Times New Roman" w:hAnsi="Times New Roman" w:cs="Times New Roman"/>
      <w:color w:val="000000"/>
      <w:sz w:val="20"/>
      <w:szCs w:val="20"/>
      <w:u w:val="none"/>
    </w:rPr>
  </w:style>
  <w:style w:type="character" w:customStyle="1" w:styleId="86">
    <w:name w:val="表中左小5 Char"/>
    <w:link w:val="87"/>
    <w:qFormat/>
    <w:uiPriority w:val="0"/>
    <w:rPr>
      <w:color w:val="0000FF"/>
      <w:sz w:val="18"/>
      <w:szCs w:val="18"/>
    </w:rPr>
  </w:style>
  <w:style w:type="paragraph" w:customStyle="1" w:styleId="87">
    <w:name w:val="表中左小5"/>
    <w:link w:val="86"/>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8">
    <w:name w:val="font71"/>
    <w:qFormat/>
    <w:uiPriority w:val="0"/>
    <w:rPr>
      <w:rFonts w:hint="eastAsia" w:ascii="宋体" w:hAnsi="宋体" w:eastAsia="宋体" w:cs="宋体"/>
      <w:color w:val="000000"/>
      <w:sz w:val="20"/>
      <w:szCs w:val="20"/>
      <w:u w:val="none"/>
    </w:rPr>
  </w:style>
  <w:style w:type="character" w:customStyle="1" w:styleId="89">
    <w:name w:val="z-窗体底端 Char"/>
    <w:qFormat/>
    <w:uiPriority w:val="99"/>
    <w:rPr>
      <w:rFonts w:ascii="Arial" w:hAnsi="Arial" w:cs="Arial"/>
      <w:vanish/>
      <w:sz w:val="16"/>
      <w:szCs w:val="16"/>
    </w:rPr>
  </w:style>
  <w:style w:type="paragraph" w:customStyle="1" w:styleId="90">
    <w:name w:val="z-窗体底端1"/>
    <w:basedOn w:val="1"/>
    <w:next w:val="1"/>
    <w:link w:val="277"/>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1">
    <w:name w:val="ca-251"/>
    <w:qFormat/>
    <w:uiPriority w:val="0"/>
    <w:rPr>
      <w:rFonts w:hint="default" w:ascii="Times New Roman" w:hAnsi="Times New Roman" w:cs="Times New Roman"/>
      <w:sz w:val="24"/>
      <w:szCs w:val="24"/>
    </w:rPr>
  </w:style>
  <w:style w:type="character" w:customStyle="1" w:styleId="92">
    <w:name w:val="Char Char3"/>
    <w:semiHidden/>
    <w:qFormat/>
    <w:uiPriority w:val="0"/>
    <w:rPr>
      <w:sz w:val="18"/>
      <w:szCs w:val="18"/>
    </w:rPr>
  </w:style>
  <w:style w:type="character" w:customStyle="1" w:styleId="93">
    <w:name w:val="批注文字 Char"/>
    <w:qFormat/>
    <w:uiPriority w:val="99"/>
    <w:rPr>
      <w:kern w:val="2"/>
      <w:sz w:val="21"/>
      <w:szCs w:val="24"/>
    </w:rPr>
  </w:style>
  <w:style w:type="character" w:customStyle="1" w:styleId="94">
    <w:name w:val="apple-converted-space"/>
    <w:basedOn w:val="62"/>
    <w:qFormat/>
    <w:uiPriority w:val="0"/>
  </w:style>
  <w:style w:type="character" w:customStyle="1" w:styleId="95">
    <w:name w:val="chanpinname"/>
    <w:basedOn w:val="62"/>
    <w:qFormat/>
    <w:uiPriority w:val="0"/>
  </w:style>
  <w:style w:type="character" w:customStyle="1" w:styleId="96">
    <w:name w:val="副标题 Char"/>
    <w:qFormat/>
    <w:uiPriority w:val="0"/>
    <w:rPr>
      <w:rFonts w:ascii="Cambria" w:hAnsi="Cambria"/>
      <w:b/>
      <w:bCs/>
      <w:kern w:val="28"/>
      <w:sz w:val="32"/>
      <w:szCs w:val="32"/>
    </w:rPr>
  </w:style>
  <w:style w:type="character" w:customStyle="1" w:styleId="97">
    <w:name w:val="ca-231"/>
    <w:qFormat/>
    <w:uiPriority w:val="0"/>
    <w:rPr>
      <w:rFonts w:hint="eastAsia" w:ascii="宋体" w:hAnsi="宋体" w:eastAsia="宋体"/>
      <w:sz w:val="24"/>
      <w:szCs w:val="24"/>
    </w:rPr>
  </w:style>
  <w:style w:type="character" w:customStyle="1" w:styleId="98">
    <w:name w:val="Figure Text Char"/>
    <w:link w:val="99"/>
    <w:qFormat/>
    <w:uiPriority w:val="0"/>
    <w:rPr>
      <w:rFonts w:ascii="Arial" w:hAnsi="Arial" w:cs="Arial"/>
      <w:sz w:val="18"/>
      <w:szCs w:val="18"/>
      <w:lang w:eastAsia="en-US"/>
    </w:rPr>
  </w:style>
  <w:style w:type="paragraph" w:customStyle="1" w:styleId="99">
    <w:name w:val="Figure Text"/>
    <w:link w:val="98"/>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0">
    <w:name w:val="font91"/>
    <w:qFormat/>
    <w:uiPriority w:val="0"/>
    <w:rPr>
      <w:rFonts w:hint="eastAsia" w:ascii="宋体" w:hAnsi="宋体" w:eastAsia="宋体" w:cs="宋体"/>
      <w:color w:val="000000"/>
      <w:sz w:val="20"/>
      <w:szCs w:val="20"/>
      <w:u w:val="none"/>
    </w:rPr>
  </w:style>
  <w:style w:type="character" w:customStyle="1" w:styleId="101">
    <w:name w:val="正文小四 Char"/>
    <w:link w:val="102"/>
    <w:qFormat/>
    <w:uiPriority w:val="0"/>
    <w:rPr>
      <w:rFonts w:ascii="宋体" w:hAnsi="宋体"/>
      <w:sz w:val="24"/>
    </w:rPr>
  </w:style>
  <w:style w:type="paragraph" w:customStyle="1" w:styleId="102">
    <w:name w:val="正文小四"/>
    <w:link w:val="101"/>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3">
    <w:name w:val="正文文本 3 Char"/>
    <w:qFormat/>
    <w:uiPriority w:val="0"/>
    <w:rPr>
      <w:sz w:val="16"/>
      <w:szCs w:val="16"/>
    </w:rPr>
  </w:style>
  <w:style w:type="character" w:customStyle="1" w:styleId="104">
    <w:name w:val="font01"/>
    <w:basedOn w:val="62"/>
    <w:qFormat/>
    <w:uiPriority w:val="0"/>
    <w:rPr>
      <w:rFonts w:hint="eastAsia" w:ascii="宋体" w:hAnsi="宋体" w:eastAsia="宋体" w:cs="宋体"/>
      <w:color w:val="000000"/>
      <w:sz w:val="24"/>
      <w:szCs w:val="24"/>
      <w:u w:val="none"/>
      <w:vertAlign w:val="superscript"/>
    </w:rPr>
  </w:style>
  <w:style w:type="character" w:customStyle="1" w:styleId="105">
    <w:name w:val="Table Description Char Char"/>
    <w:link w:val="106"/>
    <w:qFormat/>
    <w:uiPriority w:val="0"/>
    <w:rPr>
      <w:rFonts w:ascii="Arial" w:hAnsi="Arial" w:eastAsia="黑体"/>
      <w:sz w:val="18"/>
    </w:rPr>
  </w:style>
  <w:style w:type="paragraph" w:customStyle="1" w:styleId="106">
    <w:name w:val="Table Description"/>
    <w:next w:val="1"/>
    <w:link w:val="105"/>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7">
    <w:name w:val="表格标题(居中) Char"/>
    <w:link w:val="108"/>
    <w:qFormat/>
    <w:uiPriority w:val="0"/>
    <w:rPr>
      <w:rFonts w:eastAsia="黑体"/>
      <w:sz w:val="24"/>
    </w:rPr>
  </w:style>
  <w:style w:type="paragraph" w:customStyle="1" w:styleId="108">
    <w:name w:val="表格标题(居中)"/>
    <w:basedOn w:val="1"/>
    <w:link w:val="107"/>
    <w:qFormat/>
    <w:uiPriority w:val="0"/>
    <w:pPr>
      <w:snapToGrid w:val="0"/>
      <w:spacing w:line="300" w:lineRule="auto"/>
      <w:jc w:val="center"/>
    </w:pPr>
    <w:rPr>
      <w:rFonts w:eastAsia="黑体" w:asciiTheme="minorHAnsi" w:hAnsiTheme="minorHAnsi" w:cstheme="minorBidi"/>
      <w:sz w:val="24"/>
      <w:szCs w:val="22"/>
    </w:rPr>
  </w:style>
  <w:style w:type="character" w:customStyle="1" w:styleId="109">
    <w:name w:val="称呼 Char"/>
    <w:qFormat/>
    <w:uiPriority w:val="0"/>
    <w:rPr>
      <w:szCs w:val="24"/>
    </w:rPr>
  </w:style>
  <w:style w:type="character" w:customStyle="1" w:styleId="110">
    <w:name w:val="样式 目录 2 + 宋体 Char"/>
    <w:link w:val="111"/>
    <w:qFormat/>
    <w:uiPriority w:val="0"/>
    <w:rPr>
      <w:rFonts w:ascii="宋体" w:hAnsi="宋体"/>
      <w:sz w:val="28"/>
    </w:rPr>
  </w:style>
  <w:style w:type="paragraph" w:customStyle="1" w:styleId="111">
    <w:name w:val="样式 目录 2 + 宋体"/>
    <w:basedOn w:val="2"/>
    <w:next w:val="2"/>
    <w:link w:val="110"/>
    <w:qFormat/>
    <w:uiPriority w:val="0"/>
    <w:pPr>
      <w:autoSpaceDE/>
      <w:autoSpaceDN/>
      <w:adjustRightInd/>
      <w:spacing w:after="120" w:line="240" w:lineRule="auto"/>
      <w:jc w:val="both"/>
    </w:pPr>
    <w:rPr>
      <w:rFonts w:hAnsi="宋体"/>
      <w:color w:val="auto"/>
      <w:szCs w:val="22"/>
    </w:rPr>
  </w:style>
  <w:style w:type="character" w:customStyle="1" w:styleId="112">
    <w:name w:val="副标题 Char1"/>
    <w:qFormat/>
    <w:uiPriority w:val="0"/>
    <w:rPr>
      <w:rFonts w:ascii="Cambria" w:hAnsi="Cambria" w:cs="Times New Roman"/>
      <w:b/>
      <w:bCs/>
      <w:kern w:val="28"/>
      <w:sz w:val="32"/>
      <w:szCs w:val="32"/>
    </w:rPr>
  </w:style>
  <w:style w:type="character" w:customStyle="1" w:styleId="113">
    <w:name w:val="正文首行缩进 Char"/>
    <w:qFormat/>
    <w:uiPriority w:val="0"/>
    <w:rPr>
      <w:rFonts w:ascii="宋体"/>
      <w:color w:val="000000"/>
      <w:szCs w:val="32"/>
    </w:rPr>
  </w:style>
  <w:style w:type="character" w:customStyle="1" w:styleId="114">
    <w:name w:val="正文文本缩进 2 Char"/>
    <w:qFormat/>
    <w:locked/>
    <w:uiPriority w:val="0"/>
    <w:rPr>
      <w:rFonts w:ascii="幼圆" w:eastAsia="幼圆"/>
      <w:color w:val="000000"/>
      <w:sz w:val="30"/>
      <w:szCs w:val="32"/>
    </w:rPr>
  </w:style>
  <w:style w:type="character" w:customStyle="1" w:styleId="115">
    <w:name w:val="font81"/>
    <w:qFormat/>
    <w:uiPriority w:val="0"/>
    <w:rPr>
      <w:rFonts w:hint="eastAsia" w:ascii="宋体" w:hAnsi="宋体" w:eastAsia="宋体" w:cs="宋体"/>
      <w:color w:val="000000"/>
      <w:sz w:val="20"/>
      <w:szCs w:val="20"/>
      <w:u w:val="none"/>
    </w:rPr>
  </w:style>
  <w:style w:type="character" w:customStyle="1" w:styleId="116">
    <w:name w:val="正文文本 Char"/>
    <w:qFormat/>
    <w:uiPriority w:val="0"/>
    <w:rPr>
      <w:rFonts w:ascii="宋体"/>
      <w:color w:val="000000"/>
      <w:sz w:val="28"/>
      <w:szCs w:val="32"/>
    </w:rPr>
  </w:style>
  <w:style w:type="character" w:customStyle="1" w:styleId="117">
    <w:name w:val="尾注文本 Char"/>
    <w:basedOn w:val="62"/>
    <w:qFormat/>
    <w:uiPriority w:val="0"/>
  </w:style>
  <w:style w:type="character" w:customStyle="1" w:styleId="118">
    <w:name w:val="HTML 预设格式 Char1"/>
    <w:semiHidden/>
    <w:qFormat/>
    <w:uiPriority w:val="0"/>
    <w:rPr>
      <w:rFonts w:ascii="Courier New" w:hAnsi="Courier New" w:eastAsia="宋体" w:cs="Courier New"/>
      <w:sz w:val="20"/>
      <w:szCs w:val="20"/>
    </w:rPr>
  </w:style>
  <w:style w:type="character" w:customStyle="1" w:styleId="119">
    <w:name w:val="3zw1"/>
    <w:qFormat/>
    <w:uiPriority w:val="0"/>
    <w:rPr>
      <w:color w:val="000000"/>
      <w:sz w:val="21"/>
      <w:szCs w:val="21"/>
    </w:rPr>
  </w:style>
  <w:style w:type="character" w:customStyle="1" w:styleId="120">
    <w:name w:val="正文缩进 Char"/>
    <w:link w:val="6"/>
    <w:qFormat/>
    <w:uiPriority w:val="0"/>
    <w:rPr>
      <w:szCs w:val="24"/>
    </w:rPr>
  </w:style>
  <w:style w:type="character" w:customStyle="1" w:styleId="121">
    <w:name w:val="正文2级 Char"/>
    <w:link w:val="122"/>
    <w:qFormat/>
    <w:uiPriority w:val="0"/>
    <w:rPr>
      <w:bCs/>
      <w:kern w:val="44"/>
      <w:sz w:val="24"/>
      <w:szCs w:val="44"/>
    </w:rPr>
  </w:style>
  <w:style w:type="paragraph" w:customStyle="1" w:styleId="122">
    <w:name w:val="正文2级"/>
    <w:link w:val="121"/>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3">
    <w:name w:val="param-name"/>
    <w:qFormat/>
    <w:uiPriority w:val="0"/>
  </w:style>
  <w:style w:type="character" w:customStyle="1" w:styleId="124">
    <w:name w:val="Table Text Char1"/>
    <w:qFormat/>
    <w:uiPriority w:val="0"/>
    <w:rPr>
      <w:rFonts w:ascii="Arial" w:hAnsi="Arial" w:eastAsia="宋体" w:cs="Arial"/>
      <w:snapToGrid w:val="0"/>
      <w:sz w:val="21"/>
      <w:szCs w:val="21"/>
      <w:lang w:val="en-US" w:eastAsia="zh-CN" w:bidi="ar-SA"/>
    </w:rPr>
  </w:style>
  <w:style w:type="character" w:customStyle="1" w:styleId="125">
    <w:name w:val="word21"/>
    <w:qFormat/>
    <w:uiPriority w:val="0"/>
    <w:rPr>
      <w:b/>
      <w:bCs/>
      <w:color w:val="194D7C"/>
      <w:spacing w:val="400"/>
      <w:sz w:val="24"/>
      <w:szCs w:val="24"/>
    </w:rPr>
  </w:style>
  <w:style w:type="character" w:customStyle="1" w:styleId="126">
    <w:name w:val="页眉 Char1"/>
    <w:semiHidden/>
    <w:qFormat/>
    <w:uiPriority w:val="99"/>
    <w:rPr>
      <w:rFonts w:ascii="Times New Roman" w:hAnsi="Times New Roman" w:eastAsia="宋体" w:cs="Times New Roman"/>
      <w:sz w:val="18"/>
      <w:szCs w:val="18"/>
    </w:rPr>
  </w:style>
  <w:style w:type="character" w:customStyle="1" w:styleId="127">
    <w:name w:val="表格非标题文字 Char"/>
    <w:link w:val="128"/>
    <w:qFormat/>
    <w:uiPriority w:val="0"/>
    <w:rPr>
      <w:rFonts w:ascii="Arial" w:hAnsi="Arial"/>
      <w:sz w:val="18"/>
      <w:szCs w:val="21"/>
    </w:rPr>
  </w:style>
  <w:style w:type="paragraph" w:customStyle="1" w:styleId="128">
    <w:name w:val="表格非标题文字"/>
    <w:link w:val="127"/>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9">
    <w:name w:val="正文首行缩进 2 Char1"/>
    <w:basedOn w:val="130"/>
    <w:qFormat/>
    <w:uiPriority w:val="0"/>
    <w:rPr>
      <w:rFonts w:ascii="楷体_GB2312" w:eastAsia="楷体_GB2312"/>
      <w:kern w:val="2"/>
      <w:sz w:val="28"/>
      <w:szCs w:val="31"/>
    </w:rPr>
  </w:style>
  <w:style w:type="character" w:customStyle="1" w:styleId="130">
    <w:name w:val="正文文本缩进 Char1"/>
    <w:qFormat/>
    <w:uiPriority w:val="0"/>
    <w:rPr>
      <w:rFonts w:ascii="楷体_GB2312" w:eastAsia="楷体_GB2312"/>
      <w:kern w:val="2"/>
      <w:sz w:val="28"/>
      <w:szCs w:val="31"/>
    </w:rPr>
  </w:style>
  <w:style w:type="character" w:customStyle="1" w:styleId="131">
    <w:name w:val="正文新 Char"/>
    <w:link w:val="132"/>
    <w:qFormat/>
    <w:uiPriority w:val="0"/>
    <w:rPr>
      <w:rFonts w:ascii="宋体" w:hAnsi="宋体"/>
      <w:sz w:val="28"/>
    </w:rPr>
  </w:style>
  <w:style w:type="paragraph" w:customStyle="1" w:styleId="132">
    <w:name w:val="正文新"/>
    <w:basedOn w:val="1"/>
    <w:link w:val="131"/>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3">
    <w:name w:val="font31"/>
    <w:basedOn w:val="62"/>
    <w:qFormat/>
    <w:uiPriority w:val="0"/>
    <w:rPr>
      <w:rFonts w:hint="default" w:ascii="Times New Roman" w:hAnsi="Times New Roman" w:cs="Times New Roman"/>
      <w:color w:val="000000"/>
      <w:sz w:val="20"/>
      <w:szCs w:val="20"/>
      <w:u w:val="none"/>
    </w:rPr>
  </w:style>
  <w:style w:type="character" w:customStyle="1" w:styleId="134">
    <w:name w:val="B正文 Char"/>
    <w:link w:val="135"/>
    <w:qFormat/>
    <w:locked/>
    <w:uiPriority w:val="0"/>
    <w:rPr>
      <w:rFonts w:ascii="宋体" w:hAnsi="宋体"/>
      <w:sz w:val="24"/>
    </w:rPr>
  </w:style>
  <w:style w:type="paragraph" w:customStyle="1" w:styleId="135">
    <w:name w:val="B正文"/>
    <w:basedOn w:val="1"/>
    <w:link w:val="134"/>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6">
    <w:name w:val="日期 Char"/>
    <w:qFormat/>
    <w:locked/>
    <w:uiPriority w:val="0"/>
    <w:rPr>
      <w:rFonts w:eastAsia="仿宋_GB2312"/>
      <w:color w:val="000000"/>
      <w:sz w:val="28"/>
      <w:szCs w:val="24"/>
    </w:rPr>
  </w:style>
  <w:style w:type="character" w:customStyle="1" w:styleId="137">
    <w:name w:val="缩进 Char"/>
    <w:link w:val="138"/>
    <w:qFormat/>
    <w:uiPriority w:val="0"/>
    <w:rPr>
      <w:color w:val="0000FF"/>
      <w:szCs w:val="18"/>
    </w:rPr>
  </w:style>
  <w:style w:type="paragraph" w:customStyle="1" w:styleId="138">
    <w:name w:val="缩进"/>
    <w:link w:val="137"/>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9">
    <w:name w:val="font41"/>
    <w:qFormat/>
    <w:uiPriority w:val="0"/>
    <w:rPr>
      <w:rFonts w:hint="eastAsia" w:ascii="宋体" w:hAnsi="宋体" w:eastAsia="宋体" w:cs="宋体"/>
      <w:color w:val="000000"/>
      <w:sz w:val="20"/>
      <w:szCs w:val="20"/>
      <w:u w:val="none"/>
    </w:rPr>
  </w:style>
  <w:style w:type="character" w:customStyle="1" w:styleId="140">
    <w:name w:val="txt"/>
    <w:basedOn w:val="62"/>
    <w:qFormat/>
    <w:uiPriority w:val="0"/>
  </w:style>
  <w:style w:type="character" w:customStyle="1" w:styleId="141">
    <w:name w:val="首行缩进 Char Char1"/>
    <w:link w:val="142"/>
    <w:qFormat/>
    <w:locked/>
    <w:uiPriority w:val="0"/>
    <w:rPr>
      <w:sz w:val="24"/>
      <w:szCs w:val="24"/>
    </w:rPr>
  </w:style>
  <w:style w:type="paragraph" w:customStyle="1" w:styleId="142">
    <w:name w:val="首行缩进 Char"/>
    <w:basedOn w:val="1"/>
    <w:next w:val="6"/>
    <w:link w:val="141"/>
    <w:qFormat/>
    <w:uiPriority w:val="0"/>
    <w:pPr>
      <w:spacing w:line="300" w:lineRule="auto"/>
      <w:ind w:firstLine="420"/>
    </w:pPr>
    <w:rPr>
      <w:rFonts w:asciiTheme="minorHAnsi" w:hAnsiTheme="minorHAnsi" w:eastAsiaTheme="minorEastAsia" w:cstheme="minorBidi"/>
      <w:sz w:val="24"/>
    </w:rPr>
  </w:style>
  <w:style w:type="character" w:customStyle="1" w:styleId="143">
    <w:name w:val="ca-131"/>
    <w:qFormat/>
    <w:uiPriority w:val="0"/>
    <w:rPr>
      <w:rFonts w:hint="default" w:ascii="Times New Roman" w:hAnsi="Times New Roman" w:cs="Times New Roman"/>
      <w:sz w:val="21"/>
      <w:szCs w:val="21"/>
    </w:rPr>
  </w:style>
  <w:style w:type="character" w:customStyle="1" w:styleId="144">
    <w:name w:val="标题 Char"/>
    <w:qFormat/>
    <w:uiPriority w:val="0"/>
    <w:rPr>
      <w:rFonts w:ascii="Arial" w:hAnsi="Arial"/>
      <w:b/>
      <w:bCs/>
      <w:sz w:val="32"/>
      <w:szCs w:val="32"/>
    </w:rPr>
  </w:style>
  <w:style w:type="character" w:customStyle="1" w:styleId="145">
    <w:name w:val="悬挂22 Char"/>
    <w:link w:val="146"/>
    <w:qFormat/>
    <w:uiPriority w:val="0"/>
    <w:rPr>
      <w:color w:val="FF0000"/>
      <w:szCs w:val="28"/>
    </w:rPr>
  </w:style>
  <w:style w:type="paragraph" w:customStyle="1" w:styleId="146">
    <w:name w:val="悬挂22"/>
    <w:link w:val="145"/>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7">
    <w:name w:val="正文文本 Char1"/>
    <w:qFormat/>
    <w:uiPriority w:val="0"/>
    <w:rPr>
      <w:rFonts w:ascii="楷体_GB2312" w:eastAsia="楷体_GB2312"/>
      <w:kern w:val="2"/>
      <w:sz w:val="28"/>
    </w:rPr>
  </w:style>
  <w:style w:type="character" w:customStyle="1" w:styleId="148">
    <w:name w:val="纯文本 Char"/>
    <w:qFormat/>
    <w:uiPriority w:val="0"/>
    <w:rPr>
      <w:rFonts w:ascii="宋体" w:hAnsi="Courier New" w:cs="Courier New"/>
      <w:szCs w:val="21"/>
    </w:rPr>
  </w:style>
  <w:style w:type="character" w:customStyle="1" w:styleId="149">
    <w:name w:val="正文文本缩进 3 Char"/>
    <w:qFormat/>
    <w:locked/>
    <w:uiPriority w:val="0"/>
    <w:rPr>
      <w:rFonts w:ascii="幼圆" w:eastAsia="幼圆"/>
      <w:sz w:val="24"/>
      <w:szCs w:val="32"/>
    </w:rPr>
  </w:style>
  <w:style w:type="character" w:customStyle="1" w:styleId="150">
    <w:name w:val="悬挂2 Char"/>
    <w:link w:val="151"/>
    <w:qFormat/>
    <w:uiPriority w:val="0"/>
    <w:rPr>
      <w:rFonts w:asciiTheme="minorHAnsi" w:hAnsiTheme="minorHAnsi" w:eastAsiaTheme="minorEastAsia" w:cstheme="minorBidi"/>
      <w:kern w:val="2"/>
      <w:sz w:val="21"/>
      <w:szCs w:val="21"/>
    </w:rPr>
  </w:style>
  <w:style w:type="paragraph" w:customStyle="1" w:styleId="151">
    <w:name w:val="悬挂2"/>
    <w:link w:val="150"/>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2">
    <w:name w:val="Char Char5"/>
    <w:qFormat/>
    <w:uiPriority w:val="0"/>
    <w:rPr>
      <w:rFonts w:ascii="Times New Roman" w:hAnsi="Times New Roman" w:eastAsia="宋体"/>
      <w:sz w:val="18"/>
    </w:rPr>
  </w:style>
  <w:style w:type="character" w:customStyle="1" w:styleId="153">
    <w:name w:val="prod_content_font_011"/>
    <w:qFormat/>
    <w:uiPriority w:val="0"/>
    <w:rPr>
      <w:rFonts w:hint="default" w:ascii="Verdana" w:hAnsi="Verdana"/>
      <w:color w:val="5E5E5E"/>
      <w:sz w:val="17"/>
      <w:szCs w:val="17"/>
    </w:rPr>
  </w:style>
  <w:style w:type="character" w:customStyle="1" w:styleId="154">
    <w:name w:val="尾注文本 Char1"/>
    <w:qFormat/>
    <w:uiPriority w:val="99"/>
    <w:rPr>
      <w:kern w:val="2"/>
      <w:sz w:val="21"/>
      <w:szCs w:val="24"/>
    </w:rPr>
  </w:style>
  <w:style w:type="character" w:customStyle="1" w:styleId="155">
    <w:name w:val="普通 (Web) Char"/>
    <w:link w:val="156"/>
    <w:qFormat/>
    <w:uiPriority w:val="99"/>
    <w:rPr>
      <w:rFonts w:ascii="宋体" w:hAnsi="宋体"/>
      <w:sz w:val="24"/>
      <w:szCs w:val="24"/>
    </w:rPr>
  </w:style>
  <w:style w:type="paragraph" w:customStyle="1" w:styleId="156">
    <w:name w:val="普通 (Web)"/>
    <w:basedOn w:val="1"/>
    <w:link w:val="155"/>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7">
    <w:name w:val="标题 Char1"/>
    <w:qFormat/>
    <w:uiPriority w:val="0"/>
    <w:rPr>
      <w:rFonts w:ascii="Cambria" w:hAnsi="Cambria" w:cs="Times New Roman"/>
      <w:b/>
      <w:bCs/>
      <w:kern w:val="2"/>
      <w:sz w:val="32"/>
      <w:szCs w:val="32"/>
    </w:rPr>
  </w:style>
  <w:style w:type="character" w:customStyle="1" w:styleId="158">
    <w:name w:val="正文缩进 Char1"/>
    <w:qFormat/>
    <w:uiPriority w:val="0"/>
    <w:rPr>
      <w:rFonts w:eastAsia="宋体"/>
      <w:kern w:val="2"/>
      <w:sz w:val="21"/>
      <w:szCs w:val="24"/>
      <w:lang w:val="en-US" w:eastAsia="zh-CN" w:bidi="ar-SA"/>
    </w:rPr>
  </w:style>
  <w:style w:type="character" w:customStyle="1" w:styleId="159">
    <w:name w:val="正文文本缩进 Char"/>
    <w:qFormat/>
    <w:uiPriority w:val="0"/>
    <w:rPr>
      <w:rFonts w:ascii="宋体"/>
      <w:color w:val="000000"/>
      <w:sz w:val="32"/>
      <w:szCs w:val="32"/>
    </w:rPr>
  </w:style>
  <w:style w:type="character" w:customStyle="1" w:styleId="160">
    <w:name w:val="Table Text Char"/>
    <w:link w:val="161"/>
    <w:qFormat/>
    <w:uiPriority w:val="0"/>
    <w:rPr>
      <w:rFonts w:ascii="Arial" w:hAnsi="Arial"/>
      <w:sz w:val="18"/>
    </w:rPr>
  </w:style>
  <w:style w:type="paragraph" w:customStyle="1" w:styleId="161">
    <w:name w:val="Table Text"/>
    <w:link w:val="16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2">
    <w:name w:val="批注框文本 Char"/>
    <w:qFormat/>
    <w:uiPriority w:val="99"/>
    <w:rPr>
      <w:rFonts w:ascii="Times New Roman" w:hAnsi="Times New Roman"/>
      <w:kern w:val="2"/>
      <w:sz w:val="18"/>
      <w:szCs w:val="18"/>
    </w:rPr>
  </w:style>
  <w:style w:type="character" w:customStyle="1" w:styleId="163">
    <w:name w:val="Table Heading Char"/>
    <w:link w:val="164"/>
    <w:qFormat/>
    <w:uiPriority w:val="0"/>
    <w:rPr>
      <w:rFonts w:ascii="Arial" w:hAnsi="Arial" w:eastAsia="黑体" w:cs="Book Antiqua"/>
      <w:bCs/>
      <w:snapToGrid w:val="0"/>
      <w:szCs w:val="21"/>
    </w:rPr>
  </w:style>
  <w:style w:type="paragraph" w:customStyle="1" w:styleId="164">
    <w:name w:val="Table Heading"/>
    <w:basedOn w:val="1"/>
    <w:link w:val="163"/>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5">
    <w:name w:val="样式 宋体"/>
    <w:qFormat/>
    <w:uiPriority w:val="0"/>
    <w:rPr>
      <w:rFonts w:ascii="宋体" w:hAnsi="宋体" w:eastAsia="宋体"/>
      <w:sz w:val="24"/>
      <w:szCs w:val="24"/>
    </w:rPr>
  </w:style>
  <w:style w:type="character" w:customStyle="1" w:styleId="166">
    <w:name w:val="正文文本 2 Char"/>
    <w:qFormat/>
    <w:uiPriority w:val="0"/>
    <w:rPr>
      <w:rFonts w:ascii="宋体" w:hAnsi="宋体"/>
      <w:sz w:val="24"/>
      <w:szCs w:val="24"/>
    </w:rPr>
  </w:style>
  <w:style w:type="character" w:customStyle="1" w:styleId="167">
    <w:name w:val="myp1111"/>
    <w:qFormat/>
    <w:uiPriority w:val="0"/>
    <w:rPr>
      <w:rFonts w:hint="default" w:ascii="ˎ̥" w:hAnsi="ˎ̥"/>
      <w:color w:val="000000"/>
      <w:sz w:val="15"/>
      <w:szCs w:val="15"/>
      <w:u w:val="none"/>
    </w:rPr>
  </w:style>
  <w:style w:type="character" w:customStyle="1" w:styleId="168">
    <w:name w:val="hang1"/>
    <w:basedOn w:val="62"/>
    <w:qFormat/>
    <w:uiPriority w:val="0"/>
  </w:style>
  <w:style w:type="character" w:customStyle="1" w:styleId="169">
    <w:name w:val="段 Char Char"/>
    <w:qFormat/>
    <w:uiPriority w:val="0"/>
    <w:rPr>
      <w:rFonts w:ascii="宋体"/>
      <w:sz w:val="21"/>
      <w:lang w:val="en-US" w:eastAsia="zh-CN" w:bidi="ar-SA"/>
    </w:rPr>
  </w:style>
  <w:style w:type="character" w:customStyle="1" w:styleId="170">
    <w:name w:val="悬挂1 Char"/>
    <w:link w:val="171"/>
    <w:qFormat/>
    <w:uiPriority w:val="0"/>
    <w:rPr>
      <w:szCs w:val="21"/>
    </w:rPr>
  </w:style>
  <w:style w:type="paragraph" w:customStyle="1" w:styleId="171">
    <w:name w:val="悬挂1"/>
    <w:link w:val="170"/>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2">
    <w:name w:val="text_12_black1"/>
    <w:qFormat/>
    <w:uiPriority w:val="0"/>
    <w:rPr>
      <w:rFonts w:hint="default" w:ascii="ˎ̥" w:hAnsi="ˎ̥"/>
      <w:color w:val="333333"/>
      <w:sz w:val="18"/>
      <w:szCs w:val="18"/>
      <w:u w:val="none"/>
    </w:rPr>
  </w:style>
  <w:style w:type="character" w:customStyle="1" w:styleId="173">
    <w:name w:val="font11"/>
    <w:qFormat/>
    <w:uiPriority w:val="0"/>
    <w:rPr>
      <w:rFonts w:hint="eastAsia" w:ascii="宋体" w:hAnsi="宋体" w:eastAsia="宋体" w:cs="宋体"/>
      <w:color w:val="000000"/>
      <w:sz w:val="20"/>
      <w:szCs w:val="20"/>
      <w:u w:val="none"/>
    </w:rPr>
  </w:style>
  <w:style w:type="character" w:customStyle="1" w:styleId="174">
    <w:name w:val="正文缩进(ALT+Z) Char"/>
    <w:link w:val="175"/>
    <w:qFormat/>
    <w:uiPriority w:val="0"/>
    <w:rPr>
      <w:sz w:val="24"/>
      <w:szCs w:val="24"/>
    </w:rPr>
  </w:style>
  <w:style w:type="paragraph" w:customStyle="1" w:styleId="175">
    <w:name w:val="正文缩进(ALT+Z)"/>
    <w:basedOn w:val="1"/>
    <w:link w:val="174"/>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6">
    <w:name w:val="font21"/>
    <w:qFormat/>
    <w:uiPriority w:val="0"/>
    <w:rPr>
      <w:rFonts w:hint="eastAsia" w:ascii="宋体" w:hAnsi="宋体" w:eastAsia="宋体" w:cs="宋体"/>
      <w:color w:val="000000"/>
      <w:sz w:val="24"/>
      <w:szCs w:val="24"/>
      <w:u w:val="none"/>
    </w:rPr>
  </w:style>
  <w:style w:type="character" w:customStyle="1" w:styleId="177">
    <w:name w:val="标题 3 Char1"/>
    <w:qFormat/>
    <w:uiPriority w:val="0"/>
    <w:rPr>
      <w:b/>
      <w:bCs/>
      <w:kern w:val="2"/>
      <w:sz w:val="32"/>
      <w:szCs w:val="32"/>
    </w:rPr>
  </w:style>
  <w:style w:type="character" w:customStyle="1" w:styleId="178">
    <w:name w:val="页脚 Char1"/>
    <w:semiHidden/>
    <w:qFormat/>
    <w:uiPriority w:val="0"/>
    <w:rPr>
      <w:rFonts w:ascii="Times New Roman" w:hAnsi="Times New Roman" w:eastAsia="宋体" w:cs="Times New Roman"/>
      <w:sz w:val="18"/>
      <w:szCs w:val="18"/>
    </w:rPr>
  </w:style>
  <w:style w:type="character" w:customStyle="1" w:styleId="179">
    <w:name w:val="z71"/>
    <w:qFormat/>
    <w:uiPriority w:val="0"/>
    <w:rPr>
      <w:spacing w:val="300"/>
      <w:sz w:val="18"/>
      <w:szCs w:val="18"/>
    </w:rPr>
  </w:style>
  <w:style w:type="character" w:customStyle="1" w:styleId="180">
    <w:name w:val="四级大纲 Char"/>
    <w:link w:val="181"/>
    <w:qFormat/>
    <w:uiPriority w:val="0"/>
    <w:rPr>
      <w:rFonts w:ascii="Calibri" w:hAnsi="Calibri" w:eastAsiaTheme="minorEastAsia" w:cstheme="minorBidi"/>
      <w:b/>
      <w:kern w:val="2"/>
      <w:sz w:val="30"/>
      <w:szCs w:val="22"/>
    </w:rPr>
  </w:style>
  <w:style w:type="paragraph" w:customStyle="1" w:styleId="181">
    <w:name w:val="四级大纲"/>
    <w:next w:val="102"/>
    <w:link w:val="180"/>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2">
    <w:name w:val="文档正文 Char"/>
    <w:link w:val="183"/>
    <w:qFormat/>
    <w:uiPriority w:val="0"/>
    <w:rPr>
      <w:rFonts w:ascii="Arial" w:eastAsia="长城仿宋"/>
      <w:sz w:val="28"/>
    </w:rPr>
  </w:style>
  <w:style w:type="paragraph" w:customStyle="1" w:styleId="183">
    <w:name w:val="文档正文"/>
    <w:basedOn w:val="1"/>
    <w:link w:val="182"/>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4">
    <w:name w:val="15"/>
    <w:qFormat/>
    <w:uiPriority w:val="0"/>
    <w:rPr>
      <w:rFonts w:hint="default" w:ascii="Times New Roman" w:hAnsi="Times New Roman" w:cs="Times New Roman"/>
      <w:color w:val="0000FF"/>
      <w:u w:val="single"/>
    </w:rPr>
  </w:style>
  <w:style w:type="character" w:customStyle="1" w:styleId="185">
    <w:name w:val="批注主题 Char"/>
    <w:qFormat/>
    <w:uiPriority w:val="99"/>
    <w:rPr>
      <w:b/>
      <w:szCs w:val="24"/>
    </w:rPr>
  </w:style>
  <w:style w:type="character" w:customStyle="1" w:styleId="186">
    <w:name w:val="纯文本 Char1"/>
    <w:qFormat/>
    <w:uiPriority w:val="0"/>
    <w:rPr>
      <w:rFonts w:ascii="宋体" w:hAnsi="Courier New" w:cs="Courier New"/>
      <w:kern w:val="2"/>
      <w:sz w:val="21"/>
      <w:szCs w:val="21"/>
    </w:rPr>
  </w:style>
  <w:style w:type="character" w:customStyle="1" w:styleId="187">
    <w:name w:val="批注框文本 Char1"/>
    <w:qFormat/>
    <w:locked/>
    <w:uiPriority w:val="0"/>
    <w:rPr>
      <w:sz w:val="18"/>
      <w:szCs w:val="18"/>
    </w:rPr>
  </w:style>
  <w:style w:type="character" w:customStyle="1" w:styleId="188">
    <w:name w:val="结束语 Char"/>
    <w:qFormat/>
    <w:uiPriority w:val="0"/>
    <w:rPr>
      <w:rFonts w:ascii="宋体" w:hAnsi="宋体"/>
      <w:b/>
      <w:sz w:val="24"/>
      <w:szCs w:val="24"/>
    </w:rPr>
  </w:style>
  <w:style w:type="character" w:customStyle="1" w:styleId="189">
    <w:name w:val="正文文本 Char2"/>
    <w:qFormat/>
    <w:uiPriority w:val="0"/>
    <w:rPr>
      <w:rFonts w:ascii="宋体"/>
      <w:color w:val="000000"/>
      <w:sz w:val="28"/>
      <w:szCs w:val="32"/>
    </w:rPr>
  </w:style>
  <w:style w:type="character" w:customStyle="1" w:styleId="190">
    <w:name w:val="文档结构图 Char"/>
    <w:qFormat/>
    <w:uiPriority w:val="99"/>
    <w:rPr>
      <w:szCs w:val="24"/>
      <w:shd w:val="clear" w:color="auto" w:fill="000080"/>
    </w:rPr>
  </w:style>
  <w:style w:type="character" w:customStyle="1" w:styleId="191">
    <w:name w:val="contentheaderrev1"/>
    <w:qFormat/>
    <w:uiPriority w:val="0"/>
    <w:rPr>
      <w:rFonts w:hint="default" w:ascii="Arial" w:hAnsi="Arial" w:cs="Arial"/>
      <w:b/>
      <w:bCs/>
      <w:color w:val="FFFFFF"/>
      <w:sz w:val="18"/>
      <w:szCs w:val="18"/>
      <w:u w:val="none"/>
    </w:rPr>
  </w:style>
  <w:style w:type="character" w:customStyle="1" w:styleId="192">
    <w:name w:val="z-窗体底端 Char1"/>
    <w:qFormat/>
    <w:uiPriority w:val="0"/>
    <w:rPr>
      <w:rFonts w:ascii="Arial" w:hAnsi="Arial" w:cs="Arial"/>
      <w:vanish/>
      <w:kern w:val="2"/>
      <w:sz w:val="16"/>
      <w:szCs w:val="16"/>
    </w:rPr>
  </w:style>
  <w:style w:type="character" w:customStyle="1" w:styleId="193">
    <w:name w:val="content021"/>
    <w:qFormat/>
    <w:uiPriority w:val="0"/>
    <w:rPr>
      <w:color w:val="444444"/>
      <w:spacing w:val="330"/>
      <w:sz w:val="21"/>
      <w:szCs w:val="21"/>
      <w:u w:val="none"/>
    </w:rPr>
  </w:style>
  <w:style w:type="character" w:customStyle="1" w:styleId="194">
    <w:name w:val="abcde1"/>
    <w:qFormat/>
    <w:uiPriority w:val="0"/>
    <w:rPr>
      <w:spacing w:val="400"/>
      <w:sz w:val="26"/>
      <w:szCs w:val="26"/>
    </w:rPr>
  </w:style>
  <w:style w:type="character" w:customStyle="1" w:styleId="195">
    <w:name w:val="HTML 预设格式 Char"/>
    <w:qFormat/>
    <w:uiPriority w:val="99"/>
    <w:rPr>
      <w:rFonts w:ascii="宋体" w:hAnsi="宋体" w:cs="宋体"/>
      <w:sz w:val="24"/>
      <w:szCs w:val="24"/>
    </w:rPr>
  </w:style>
  <w:style w:type="character" w:customStyle="1" w:styleId="196">
    <w:name w:val="结束语 Char1"/>
    <w:qFormat/>
    <w:uiPriority w:val="0"/>
    <w:rPr>
      <w:kern w:val="2"/>
      <w:sz w:val="21"/>
      <w:szCs w:val="24"/>
    </w:rPr>
  </w:style>
  <w:style w:type="character" w:customStyle="1" w:styleId="197">
    <w:name w:val="常规 Char"/>
    <w:link w:val="198"/>
    <w:qFormat/>
    <w:uiPriority w:val="0"/>
    <w:rPr>
      <w:rFonts w:ascii="Tahoma" w:hAnsi="Tahoma"/>
      <w:color w:val="000000"/>
      <w:sz w:val="28"/>
      <w:szCs w:val="21"/>
    </w:rPr>
  </w:style>
  <w:style w:type="paragraph" w:customStyle="1" w:styleId="198">
    <w:name w:val="常规"/>
    <w:basedOn w:val="1"/>
    <w:link w:val="197"/>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9">
    <w:name w:val="正文首行缩进 2 Char"/>
    <w:qFormat/>
    <w:uiPriority w:val="0"/>
    <w:rPr>
      <w:rFonts w:ascii="仿宋_GB2312" w:eastAsia="仿宋_GB2312"/>
      <w:color w:val="000000"/>
      <w:sz w:val="24"/>
      <w:szCs w:val="24"/>
    </w:rPr>
  </w:style>
  <w:style w:type="character" w:customStyle="1" w:styleId="200">
    <w:name w:val="unnamed11"/>
    <w:qFormat/>
    <w:uiPriority w:val="0"/>
    <w:rPr>
      <w:sz w:val="20"/>
      <w:szCs w:val="20"/>
    </w:rPr>
  </w:style>
  <w:style w:type="character" w:customStyle="1" w:styleId="201">
    <w:name w:val="题注 Char"/>
    <w:link w:val="19"/>
    <w:qFormat/>
    <w:locked/>
    <w:uiPriority w:val="0"/>
    <w:rPr>
      <w:rFonts w:ascii="Arial" w:hAnsi="Arial" w:eastAsia="黑体"/>
    </w:rPr>
  </w:style>
  <w:style w:type="character" w:customStyle="1" w:styleId="202">
    <w:name w:val="text_12_subject1"/>
    <w:qFormat/>
    <w:uiPriority w:val="0"/>
    <w:rPr>
      <w:rFonts w:hint="default" w:ascii="ˎ̥" w:hAnsi="ˎ̥"/>
      <w:b/>
      <w:bCs/>
      <w:color w:val="006699"/>
      <w:sz w:val="18"/>
      <w:szCs w:val="18"/>
      <w:u w:val="none"/>
    </w:rPr>
  </w:style>
  <w:style w:type="character" w:customStyle="1" w:styleId="203">
    <w:name w:val="正文文本 3 Char1"/>
    <w:qFormat/>
    <w:uiPriority w:val="0"/>
    <w:rPr>
      <w:kern w:val="2"/>
      <w:sz w:val="16"/>
      <w:szCs w:val="16"/>
    </w:rPr>
  </w:style>
  <w:style w:type="character" w:customStyle="1" w:styleId="204">
    <w:name w:val="正文文本缩进 Char2"/>
    <w:qFormat/>
    <w:uiPriority w:val="0"/>
    <w:rPr>
      <w:rFonts w:ascii="宋体"/>
      <w:color w:val="000000"/>
      <w:sz w:val="32"/>
      <w:szCs w:val="32"/>
    </w:rPr>
  </w:style>
  <w:style w:type="character" w:customStyle="1" w:styleId="205">
    <w:name w:val="z21"/>
    <w:qFormat/>
    <w:uiPriority w:val="0"/>
    <w:rPr>
      <w:color w:val="000000"/>
      <w:spacing w:val="255"/>
      <w:sz w:val="18"/>
      <w:szCs w:val="18"/>
    </w:rPr>
  </w:style>
  <w:style w:type="character" w:customStyle="1" w:styleId="206">
    <w:name w:val="段 Char"/>
    <w:link w:val="207"/>
    <w:qFormat/>
    <w:locked/>
    <w:uiPriority w:val="0"/>
    <w:rPr>
      <w:rFonts w:ascii="宋体" w:hAnsi="宋体"/>
    </w:rPr>
  </w:style>
  <w:style w:type="paragraph" w:customStyle="1" w:styleId="207">
    <w:name w:val="段"/>
    <w:link w:val="206"/>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8">
    <w:name w:val="line14pj"/>
    <w:basedOn w:val="62"/>
    <w:qFormat/>
    <w:uiPriority w:val="0"/>
  </w:style>
  <w:style w:type="character" w:customStyle="1" w:styleId="209">
    <w:name w:val="ca-121"/>
    <w:qFormat/>
    <w:uiPriority w:val="0"/>
    <w:rPr>
      <w:rFonts w:hint="eastAsia" w:ascii="宋体" w:hAnsi="宋体" w:eastAsia="宋体"/>
      <w:sz w:val="21"/>
      <w:szCs w:val="21"/>
    </w:rPr>
  </w:style>
  <w:style w:type="character" w:customStyle="1" w:styleId="210">
    <w:name w:val="页脚 Char2"/>
    <w:basedOn w:val="62"/>
    <w:semiHidden/>
    <w:qFormat/>
    <w:uiPriority w:val="99"/>
    <w:rPr>
      <w:rFonts w:ascii="Times New Roman" w:hAnsi="Times New Roman" w:eastAsia="宋体" w:cs="Times New Roman"/>
      <w:sz w:val="18"/>
      <w:szCs w:val="18"/>
    </w:rPr>
  </w:style>
  <w:style w:type="paragraph" w:customStyle="1" w:styleId="211">
    <w:name w:val="样式 标题 + 段前: 0.5 行 段后: 0.5 行"/>
    <w:basedOn w:val="55"/>
    <w:qFormat/>
    <w:uiPriority w:val="0"/>
  </w:style>
  <w:style w:type="paragraph" w:customStyle="1" w:styleId="212">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3">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4">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5">
    <w:name w:val="正文文本缩进 2 Char1"/>
    <w:basedOn w:val="62"/>
    <w:link w:val="36"/>
    <w:qFormat/>
    <w:uiPriority w:val="0"/>
    <w:rPr>
      <w:rFonts w:ascii="Times New Roman" w:hAnsi="Times New Roman" w:eastAsia="宋体" w:cs="Times New Roman"/>
      <w:szCs w:val="24"/>
    </w:rPr>
  </w:style>
  <w:style w:type="paragraph" w:customStyle="1" w:styleId="216">
    <w:name w:val="表2"/>
    <w:basedOn w:val="217"/>
    <w:qFormat/>
    <w:uiPriority w:val="0"/>
    <w:pPr>
      <w:numPr>
        <w:ilvl w:val="0"/>
        <w:numId w:val="4"/>
      </w:numPr>
    </w:pPr>
  </w:style>
  <w:style w:type="paragraph" w:customStyle="1" w:styleId="217">
    <w:name w:val="表1"/>
    <w:basedOn w:val="218"/>
    <w:qFormat/>
    <w:uiPriority w:val="0"/>
  </w:style>
  <w:style w:type="paragraph" w:customStyle="1" w:styleId="218">
    <w:name w:val="表格样式"/>
    <w:basedOn w:val="1"/>
    <w:qFormat/>
    <w:uiPriority w:val="0"/>
    <w:pPr>
      <w:spacing w:before="156" w:after="156"/>
      <w:jc w:val="center"/>
    </w:pPr>
    <w:rPr>
      <w:rFonts w:ascii="宋体" w:hAnsi="宋体" w:cs="宋体"/>
      <w:b/>
      <w:bCs/>
      <w:kern w:val="0"/>
      <w:szCs w:val="20"/>
    </w:rPr>
  </w:style>
  <w:style w:type="paragraph" w:customStyle="1" w:styleId="219">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0">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2">
    <w:name w:val="正文文本缩进 Char3"/>
    <w:basedOn w:val="62"/>
    <w:link w:val="28"/>
    <w:qFormat/>
    <w:uiPriority w:val="0"/>
    <w:rPr>
      <w:rFonts w:ascii="Times New Roman" w:hAnsi="Times New Roman" w:eastAsia="宋体" w:cs="Times New Roman"/>
      <w:szCs w:val="24"/>
    </w:rPr>
  </w:style>
  <w:style w:type="paragraph" w:customStyle="1" w:styleId="223">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4">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5">
    <w:name w:val="正文文本 3 Char2"/>
    <w:basedOn w:val="62"/>
    <w:link w:val="25"/>
    <w:qFormat/>
    <w:uiPriority w:val="0"/>
    <w:rPr>
      <w:rFonts w:ascii="Times New Roman" w:hAnsi="Times New Roman" w:eastAsia="宋体" w:cs="Times New Roman"/>
      <w:sz w:val="16"/>
      <w:szCs w:val="16"/>
    </w:rPr>
  </w:style>
  <w:style w:type="paragraph" w:customStyle="1" w:styleId="226">
    <w:name w:val="样式 标题 4 + 段前: 0.5 行 段后: 0.5 行"/>
    <w:basedOn w:val="8"/>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7">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8">
    <w:name w:val="标题 Char2"/>
    <w:basedOn w:val="62"/>
    <w:link w:val="55"/>
    <w:qFormat/>
    <w:uiPriority w:val="0"/>
    <w:rPr>
      <w:rFonts w:eastAsia="宋体" w:asciiTheme="majorHAnsi" w:hAnsiTheme="majorHAnsi" w:cstheme="majorBidi"/>
      <w:b/>
      <w:bCs/>
      <w:sz w:val="32"/>
      <w:szCs w:val="32"/>
    </w:rPr>
  </w:style>
  <w:style w:type="paragraph" w:customStyle="1" w:styleId="229">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0">
    <w:name w:val="表格2"/>
    <w:basedOn w:val="1"/>
    <w:qFormat/>
    <w:uiPriority w:val="0"/>
    <w:pPr>
      <w:snapToGrid w:val="0"/>
      <w:jc w:val="center"/>
    </w:pPr>
    <w:rPr>
      <w:rFonts w:ascii="Arial" w:hAnsi="Arial" w:cs="Arial"/>
      <w:snapToGrid w:val="0"/>
      <w:kern w:val="0"/>
      <w:sz w:val="24"/>
    </w:rPr>
  </w:style>
  <w:style w:type="paragraph" w:customStyle="1" w:styleId="231">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3">
    <w:name w:val="正文首行缩进 2 Char2"/>
    <w:basedOn w:val="222"/>
    <w:link w:val="58"/>
    <w:qFormat/>
    <w:uiPriority w:val="0"/>
    <w:rPr>
      <w:rFonts w:ascii="Times New Roman" w:hAnsi="Times New Roman" w:eastAsia="宋体" w:cs="Times New Roman"/>
      <w:szCs w:val="24"/>
    </w:rPr>
  </w:style>
  <w:style w:type="paragraph" w:customStyle="1" w:styleId="234">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5">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6">
    <w:name w:val="说明正文"/>
    <w:basedOn w:val="1"/>
    <w:qFormat/>
    <w:uiPriority w:val="0"/>
    <w:pPr>
      <w:spacing w:line="360" w:lineRule="auto"/>
      <w:ind w:firstLine="480" w:firstLineChars="200"/>
    </w:pPr>
    <w:rPr>
      <w:rFonts w:ascii="宋体" w:hAnsi="宋体"/>
      <w:sz w:val="24"/>
    </w:rPr>
  </w:style>
  <w:style w:type="character" w:customStyle="1" w:styleId="237">
    <w:name w:val="纯文本 Char2"/>
    <w:basedOn w:val="62"/>
    <w:link w:val="33"/>
    <w:qFormat/>
    <w:uiPriority w:val="0"/>
    <w:rPr>
      <w:rFonts w:ascii="宋体" w:hAnsi="Courier New" w:eastAsia="宋体" w:cs="Courier New"/>
      <w:szCs w:val="21"/>
    </w:rPr>
  </w:style>
  <w:style w:type="paragraph" w:customStyle="1" w:styleId="238">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9">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0">
    <w:name w:val="lgh排序1"/>
    <w:basedOn w:val="33"/>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1">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2">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3">
    <w:name w:val="批注框文本 Char2"/>
    <w:basedOn w:val="62"/>
    <w:link w:val="38"/>
    <w:qFormat/>
    <w:uiPriority w:val="99"/>
    <w:rPr>
      <w:rFonts w:ascii="Times New Roman" w:hAnsi="Times New Roman" w:eastAsia="宋体" w:cs="Times New Roman"/>
      <w:sz w:val="18"/>
      <w:szCs w:val="18"/>
    </w:rPr>
  </w:style>
  <w:style w:type="paragraph" w:customStyle="1" w:styleId="244">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5">
    <w:name w:val="批注文字 Char1"/>
    <w:basedOn w:val="62"/>
    <w:link w:val="23"/>
    <w:qFormat/>
    <w:uiPriority w:val="99"/>
    <w:rPr>
      <w:rFonts w:ascii="Times New Roman" w:hAnsi="Times New Roman" w:eastAsia="宋体" w:cs="Times New Roman"/>
      <w:szCs w:val="24"/>
    </w:rPr>
  </w:style>
  <w:style w:type="character" w:customStyle="1" w:styleId="246">
    <w:name w:val="批注主题 Char1"/>
    <w:basedOn w:val="245"/>
    <w:link w:val="56"/>
    <w:qFormat/>
    <w:uiPriority w:val="99"/>
    <w:rPr>
      <w:rFonts w:ascii="Times New Roman" w:hAnsi="Times New Roman" w:eastAsia="宋体" w:cs="Times New Roman"/>
      <w:b/>
      <w:bCs/>
      <w:szCs w:val="24"/>
    </w:rPr>
  </w:style>
  <w:style w:type="character" w:customStyle="1" w:styleId="247">
    <w:name w:val="正文文本缩进 3 Char1"/>
    <w:basedOn w:val="62"/>
    <w:link w:val="47"/>
    <w:qFormat/>
    <w:uiPriority w:val="0"/>
    <w:rPr>
      <w:rFonts w:ascii="Times New Roman" w:hAnsi="Times New Roman" w:eastAsia="宋体" w:cs="Times New Roman"/>
      <w:sz w:val="16"/>
      <w:szCs w:val="16"/>
    </w:rPr>
  </w:style>
  <w:style w:type="paragraph" w:customStyle="1" w:styleId="248">
    <w:name w:val="CM2"/>
    <w:basedOn w:val="249"/>
    <w:next w:val="249"/>
    <w:qFormat/>
    <w:uiPriority w:val="0"/>
    <w:pPr>
      <w:spacing w:line="623" w:lineRule="atLeast"/>
    </w:pPr>
    <w:rPr>
      <w:rFonts w:ascii=".a..DD.." w:eastAsia=".a..DD.."/>
      <w:color w:val="auto"/>
      <w:szCs w:val="24"/>
    </w:rPr>
  </w:style>
  <w:style w:type="paragraph" w:customStyle="1" w:styleId="2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0">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1">
    <w:name w:val="复选框1"/>
    <w:basedOn w:val="1"/>
    <w:qFormat/>
    <w:uiPriority w:val="0"/>
    <w:pPr>
      <w:widowControl/>
      <w:spacing w:before="360" w:after="360"/>
      <w:jc w:val="left"/>
    </w:pPr>
    <w:rPr>
      <w:kern w:val="0"/>
      <w:sz w:val="20"/>
      <w:szCs w:val="20"/>
    </w:rPr>
  </w:style>
  <w:style w:type="character" w:customStyle="1" w:styleId="252">
    <w:name w:val="正文文本 Char3"/>
    <w:basedOn w:val="62"/>
    <w:link w:val="2"/>
    <w:qFormat/>
    <w:uiPriority w:val="0"/>
    <w:rPr>
      <w:rFonts w:ascii="Times New Roman" w:hAnsi="Times New Roman" w:eastAsia="宋体" w:cs="Times New Roman"/>
      <w:szCs w:val="24"/>
    </w:rPr>
  </w:style>
  <w:style w:type="paragraph" w:customStyle="1" w:styleId="253">
    <w:name w:val="yd正文"/>
    <w:basedOn w:val="1"/>
    <w:qFormat/>
    <w:uiPriority w:val="0"/>
    <w:pPr>
      <w:widowControl/>
      <w:spacing w:line="360" w:lineRule="auto"/>
      <w:ind w:firstLine="482"/>
    </w:pPr>
    <w:rPr>
      <w:rFonts w:ascii="宋体" w:hAnsi="Arial Unicode MS"/>
      <w:bCs/>
      <w:kern w:val="0"/>
      <w:sz w:val="24"/>
    </w:rPr>
  </w:style>
  <w:style w:type="paragraph" w:customStyle="1" w:styleId="254">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5">
    <w:name w:val="称呼 Char1"/>
    <w:basedOn w:val="62"/>
    <w:link w:val="24"/>
    <w:qFormat/>
    <w:uiPriority w:val="0"/>
    <w:rPr>
      <w:rFonts w:ascii="Times New Roman" w:hAnsi="Times New Roman" w:eastAsia="宋体" w:cs="Times New Roman"/>
      <w:szCs w:val="24"/>
    </w:rPr>
  </w:style>
  <w:style w:type="paragraph" w:customStyle="1" w:styleId="256">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7">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8">
    <w:name w:val="文档结构图 Char1"/>
    <w:basedOn w:val="62"/>
    <w:link w:val="22"/>
    <w:qFormat/>
    <w:uiPriority w:val="99"/>
    <w:rPr>
      <w:rFonts w:ascii="宋体" w:hAnsi="Times New Roman" w:eastAsia="宋体" w:cs="Times New Roman"/>
      <w:sz w:val="18"/>
      <w:szCs w:val="18"/>
    </w:rPr>
  </w:style>
  <w:style w:type="paragraph" w:customStyle="1" w:styleId="25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1">
    <w:name w:val="页眉 Char2"/>
    <w:basedOn w:val="62"/>
    <w:semiHidden/>
    <w:qFormat/>
    <w:uiPriority w:val="99"/>
    <w:rPr>
      <w:rFonts w:ascii="Times New Roman" w:hAnsi="Times New Roman" w:eastAsia="宋体" w:cs="Times New Roman"/>
      <w:sz w:val="18"/>
      <w:szCs w:val="18"/>
    </w:rPr>
  </w:style>
  <w:style w:type="character" w:customStyle="1" w:styleId="262">
    <w:name w:val="日期 Char1"/>
    <w:basedOn w:val="62"/>
    <w:link w:val="35"/>
    <w:qFormat/>
    <w:uiPriority w:val="0"/>
    <w:rPr>
      <w:rFonts w:ascii="Times New Roman" w:hAnsi="Times New Roman" w:eastAsia="宋体" w:cs="Times New Roman"/>
      <w:szCs w:val="24"/>
    </w:rPr>
  </w:style>
  <w:style w:type="paragraph" w:customStyle="1" w:styleId="263">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4">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5">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6">
    <w:name w:val="样式5"/>
    <w:basedOn w:val="142"/>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7">
    <w:name w:val="五级条标题"/>
    <w:basedOn w:val="268"/>
    <w:next w:val="1"/>
    <w:qFormat/>
    <w:uiPriority w:val="0"/>
    <w:pPr>
      <w:outlineLvl w:val="6"/>
    </w:pPr>
  </w:style>
  <w:style w:type="paragraph" w:customStyle="1" w:styleId="268">
    <w:name w:val="四级条标题"/>
    <w:basedOn w:val="269"/>
    <w:next w:val="1"/>
    <w:qFormat/>
    <w:uiPriority w:val="0"/>
    <w:pPr>
      <w:outlineLvl w:val="5"/>
    </w:pPr>
  </w:style>
  <w:style w:type="paragraph" w:customStyle="1" w:styleId="269">
    <w:name w:val="三级条标题"/>
    <w:basedOn w:val="270"/>
    <w:next w:val="1"/>
    <w:qFormat/>
    <w:uiPriority w:val="0"/>
    <w:pPr>
      <w:outlineLvl w:val="4"/>
    </w:pPr>
  </w:style>
  <w:style w:type="paragraph" w:customStyle="1" w:styleId="270">
    <w:name w:val="二级条标题"/>
    <w:basedOn w:val="224"/>
    <w:next w:val="1"/>
    <w:qFormat/>
    <w:uiPriority w:val="0"/>
    <w:pPr>
      <w:outlineLvl w:val="3"/>
    </w:pPr>
  </w:style>
  <w:style w:type="paragraph" w:customStyle="1" w:styleId="271">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2">
    <w:name w:val="CM3"/>
    <w:basedOn w:val="249"/>
    <w:next w:val="249"/>
    <w:qFormat/>
    <w:uiPriority w:val="0"/>
    <w:pPr>
      <w:spacing w:line="626" w:lineRule="atLeast"/>
    </w:pPr>
    <w:rPr>
      <w:rFonts w:ascii=".a..DD.." w:eastAsia=".a..DD.."/>
      <w:color w:val="auto"/>
      <w:szCs w:val="24"/>
    </w:rPr>
  </w:style>
  <w:style w:type="paragraph" w:customStyle="1" w:styleId="273">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character" w:customStyle="1" w:styleId="277">
    <w:name w:val="z-窗体底端 Char2"/>
    <w:basedOn w:val="62"/>
    <w:link w:val="90"/>
    <w:qFormat/>
    <w:uiPriority w:val="99"/>
    <w:rPr>
      <w:rFonts w:ascii="Arial" w:hAnsi="Arial" w:eastAsia="宋体" w:cs="Arial"/>
      <w:vanish/>
      <w:sz w:val="16"/>
      <w:szCs w:val="16"/>
    </w:rPr>
  </w:style>
  <w:style w:type="character" w:customStyle="1" w:styleId="278">
    <w:name w:val="HTML 预设格式 Char2"/>
    <w:basedOn w:val="62"/>
    <w:link w:val="52"/>
    <w:qFormat/>
    <w:uiPriority w:val="99"/>
    <w:rPr>
      <w:rFonts w:ascii="Courier New" w:hAnsi="Courier New" w:eastAsia="宋体" w:cs="Courier New"/>
      <w:sz w:val="20"/>
      <w:szCs w:val="20"/>
    </w:rPr>
  </w:style>
  <w:style w:type="paragraph" w:customStyle="1" w:styleId="279">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1">
    <w:name w:val="正文首行缩进 Char1"/>
    <w:basedOn w:val="252"/>
    <w:link w:val="57"/>
    <w:qFormat/>
    <w:uiPriority w:val="0"/>
    <w:rPr>
      <w:rFonts w:ascii="Times New Roman" w:hAnsi="Times New Roman" w:eastAsia="宋体" w:cs="Times New Roman"/>
      <w:szCs w:val="24"/>
    </w:rPr>
  </w:style>
  <w:style w:type="character" w:customStyle="1" w:styleId="282">
    <w:name w:val="正文文本 2 Char1"/>
    <w:basedOn w:val="62"/>
    <w:link w:val="51"/>
    <w:qFormat/>
    <w:uiPriority w:val="0"/>
    <w:rPr>
      <w:rFonts w:ascii="Times New Roman" w:hAnsi="Times New Roman" w:eastAsia="宋体" w:cs="Times New Roman"/>
      <w:szCs w:val="24"/>
    </w:rPr>
  </w:style>
  <w:style w:type="paragraph" w:customStyle="1" w:styleId="28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4">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5">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7">
    <w:name w:val="结束语 Char2"/>
    <w:basedOn w:val="62"/>
    <w:link w:val="26"/>
    <w:qFormat/>
    <w:uiPriority w:val="0"/>
    <w:rPr>
      <w:rFonts w:ascii="Times New Roman" w:hAnsi="Times New Roman" w:eastAsia="宋体" w:cs="Times New Roman"/>
      <w:szCs w:val="24"/>
    </w:rPr>
  </w:style>
  <w:style w:type="character" w:customStyle="1" w:styleId="288">
    <w:name w:val="副标题 Char2"/>
    <w:basedOn w:val="62"/>
    <w:link w:val="43"/>
    <w:qFormat/>
    <w:uiPriority w:val="0"/>
    <w:rPr>
      <w:rFonts w:eastAsia="宋体" w:asciiTheme="majorHAnsi" w:hAnsiTheme="majorHAnsi" w:cstheme="majorBidi"/>
      <w:b/>
      <w:bCs/>
      <w:kern w:val="28"/>
      <w:sz w:val="32"/>
      <w:szCs w:val="32"/>
    </w:rPr>
  </w:style>
  <w:style w:type="paragraph" w:customStyle="1" w:styleId="289">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1">
    <w:name w:val="尾注文本 Char2"/>
    <w:basedOn w:val="62"/>
    <w:link w:val="37"/>
    <w:qFormat/>
    <w:uiPriority w:val="0"/>
    <w:rPr>
      <w:rFonts w:ascii="Times New Roman" w:hAnsi="Times New Roman" w:eastAsia="宋体" w:cs="Times New Roman"/>
      <w:szCs w:val="24"/>
    </w:rPr>
  </w:style>
  <w:style w:type="paragraph" w:customStyle="1" w:styleId="292">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3">
    <w:name w:val="样式3"/>
    <w:qFormat/>
    <w:uiPriority w:val="0"/>
    <w:pPr>
      <w:spacing w:line="300" w:lineRule="auto"/>
    </w:pPr>
    <w:rPr>
      <w:rFonts w:ascii="Times New Roman" w:hAnsi="Times New Roman" w:eastAsia="宋体" w:cs="Times New Roman"/>
      <w:lang w:val="en-US" w:eastAsia="zh-CN" w:bidi="ar-SA"/>
    </w:rPr>
  </w:style>
  <w:style w:type="paragraph" w:customStyle="1" w:styleId="294">
    <w:name w:val="Char11"/>
    <w:basedOn w:val="1"/>
    <w:qFormat/>
    <w:uiPriority w:val="0"/>
  </w:style>
  <w:style w:type="paragraph" w:customStyle="1" w:styleId="295">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6">
    <w:name w:val="不缩进"/>
    <w:basedOn w:val="1"/>
    <w:qFormat/>
    <w:uiPriority w:val="0"/>
    <w:pPr>
      <w:spacing w:line="360" w:lineRule="auto"/>
      <w:jc w:val="center"/>
    </w:pPr>
    <w:rPr>
      <w:b/>
      <w:bCs/>
      <w:sz w:val="28"/>
      <w:szCs w:val="21"/>
    </w:rPr>
  </w:style>
  <w:style w:type="paragraph" w:customStyle="1" w:styleId="29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8">
    <w:name w:val="标题2"/>
    <w:basedOn w:val="1"/>
    <w:qFormat/>
    <w:uiPriority w:val="0"/>
    <w:pPr>
      <w:spacing w:beforeLines="50" w:afterLines="50" w:line="300" w:lineRule="exact"/>
    </w:pPr>
    <w:rPr>
      <w:b/>
      <w:bCs/>
    </w:rPr>
  </w:style>
  <w:style w:type="paragraph" w:customStyle="1" w:styleId="299">
    <w:name w:val="表格1"/>
    <w:basedOn w:val="1"/>
    <w:qFormat/>
    <w:uiPriority w:val="0"/>
    <w:pPr>
      <w:tabs>
        <w:tab w:val="left" w:pos="203"/>
      </w:tabs>
      <w:spacing w:before="40" w:after="40"/>
      <w:jc w:val="center"/>
    </w:pPr>
    <w:rPr>
      <w:b/>
      <w:sz w:val="28"/>
      <w:szCs w:val="20"/>
    </w:rPr>
  </w:style>
  <w:style w:type="paragraph" w:customStyle="1" w:styleId="300">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5">
    <w:name w:val="项目编号一级"/>
    <w:basedOn w:val="1"/>
    <w:qFormat/>
    <w:uiPriority w:val="0"/>
    <w:pPr>
      <w:tabs>
        <w:tab w:val="left" w:pos="900"/>
      </w:tabs>
      <w:spacing w:line="360" w:lineRule="auto"/>
      <w:ind w:left="900" w:hanging="420"/>
    </w:pPr>
  </w:style>
  <w:style w:type="paragraph" w:customStyle="1" w:styleId="30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9">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0">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1">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2">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4">
    <w:name w:val="DLP正文"/>
    <w:basedOn w:val="1"/>
    <w:qFormat/>
    <w:uiPriority w:val="0"/>
    <w:pPr>
      <w:snapToGrid w:val="0"/>
      <w:spacing w:line="360" w:lineRule="auto"/>
      <w:ind w:firstLine="473"/>
    </w:pPr>
    <w:rPr>
      <w:rFonts w:hAnsi="宋体"/>
      <w:sz w:val="24"/>
      <w:szCs w:val="22"/>
    </w:rPr>
  </w:style>
  <w:style w:type="paragraph" w:customStyle="1" w:styleId="315">
    <w:name w:val="CM19"/>
    <w:basedOn w:val="249"/>
    <w:next w:val="249"/>
    <w:qFormat/>
    <w:uiPriority w:val="0"/>
    <w:pPr>
      <w:spacing w:line="440" w:lineRule="atLeast"/>
    </w:pPr>
    <w:rPr>
      <w:rFonts w:ascii="方正小标宋简体" w:eastAsia="方正小标宋简体"/>
      <w:color w:val="auto"/>
      <w:szCs w:val="24"/>
    </w:rPr>
  </w:style>
  <w:style w:type="paragraph" w:customStyle="1" w:styleId="316">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7">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8">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9">
    <w:name w:val="默认段落字体 Para Char Char Char Char Char Char Char Char Char Char Char Char Char"/>
    <w:basedOn w:val="22"/>
    <w:qFormat/>
    <w:uiPriority w:val="0"/>
    <w:pPr>
      <w:adjustRightInd w:val="0"/>
      <w:spacing w:line="436" w:lineRule="exact"/>
      <w:ind w:left="357"/>
      <w:jc w:val="left"/>
      <w:outlineLvl w:val="3"/>
    </w:pPr>
    <w:rPr>
      <w:rFonts w:ascii="宋体" w:hAnsi="宋体"/>
      <w:kern w:val="0"/>
      <w:szCs w:val="21"/>
    </w:rPr>
  </w:style>
  <w:style w:type="paragraph" w:customStyle="1" w:styleId="320">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1">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2">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3">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4">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5">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6">
    <w:name w:val="Block"/>
    <w:basedOn w:val="1"/>
    <w:next w:val="198"/>
    <w:qFormat/>
    <w:uiPriority w:val="0"/>
    <w:pPr>
      <w:tabs>
        <w:tab w:val="left" w:pos="0"/>
      </w:tabs>
    </w:pPr>
    <w:rPr>
      <w:rFonts w:ascii="Arial" w:hAnsi="Arial" w:eastAsia="楷体_GB2312"/>
      <w:color w:val="000080"/>
      <w:sz w:val="28"/>
      <w:szCs w:val="28"/>
    </w:rPr>
  </w:style>
  <w:style w:type="paragraph" w:customStyle="1" w:styleId="327">
    <w:name w:val="_Style 20"/>
    <w:basedOn w:val="1"/>
    <w:qFormat/>
    <w:uiPriority w:val="0"/>
    <w:rPr>
      <w:rFonts w:ascii="Tahoma" w:hAnsi="Tahoma"/>
      <w:sz w:val="24"/>
      <w:szCs w:val="20"/>
    </w:rPr>
  </w:style>
  <w:style w:type="paragraph" w:customStyle="1" w:styleId="328">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9">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0">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1">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3">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4">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5">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7">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8">
    <w:name w:val="GP正文(首行缩进)"/>
    <w:basedOn w:val="1"/>
    <w:qFormat/>
    <w:uiPriority w:val="0"/>
    <w:pPr>
      <w:spacing w:line="360" w:lineRule="auto"/>
      <w:ind w:firstLine="200" w:firstLineChars="200"/>
      <w:jc w:val="left"/>
    </w:pPr>
    <w:rPr>
      <w:sz w:val="24"/>
      <w:szCs w:val="21"/>
    </w:rPr>
  </w:style>
  <w:style w:type="paragraph" w:customStyle="1" w:styleId="339">
    <w:name w:val="目录"/>
    <w:basedOn w:val="1"/>
    <w:qFormat/>
    <w:uiPriority w:val="0"/>
    <w:pPr>
      <w:widowControl/>
      <w:jc w:val="center"/>
    </w:pPr>
    <w:rPr>
      <w:rFonts w:ascii="宋体"/>
      <w:b/>
      <w:kern w:val="0"/>
      <w:sz w:val="36"/>
      <w:szCs w:val="20"/>
    </w:rPr>
  </w:style>
  <w:style w:type="paragraph" w:customStyle="1" w:styleId="3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1">
    <w:name w:val="样式 小四 行距: 1.5 倍行距"/>
    <w:basedOn w:val="1"/>
    <w:qFormat/>
    <w:uiPriority w:val="0"/>
    <w:pPr>
      <w:tabs>
        <w:tab w:val="left" w:pos="740"/>
      </w:tabs>
      <w:ind w:left="1081" w:hanging="1081"/>
    </w:pPr>
  </w:style>
  <w:style w:type="paragraph" w:customStyle="1" w:styleId="342">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6">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7">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8">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9">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350">
    <w:name w:val="Char Char Char Char Char Char Char1"/>
    <w:basedOn w:val="1"/>
    <w:qFormat/>
    <w:uiPriority w:val="0"/>
  </w:style>
  <w:style w:type="paragraph" w:customStyle="1" w:styleId="351">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2">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3">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4">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7">
    <w:name w:val="样式 标题 4 + 段前: 0.5 行 段后: 0.5 行1"/>
    <w:basedOn w:val="8"/>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8">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2">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3">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4">
    <w:name w:val="列表 21"/>
    <w:basedOn w:val="1"/>
    <w:qFormat/>
    <w:uiPriority w:val="0"/>
    <w:pPr>
      <w:ind w:left="100" w:leftChars="200" w:hanging="200" w:hangingChars="200"/>
    </w:pPr>
  </w:style>
  <w:style w:type="paragraph" w:customStyle="1" w:styleId="365">
    <w:name w:val="Char Char Char Char Char Char Char"/>
    <w:basedOn w:val="1"/>
    <w:qFormat/>
    <w:uiPriority w:val="0"/>
  </w:style>
  <w:style w:type="paragraph" w:customStyle="1" w:styleId="366">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7">
    <w:name w:val="一级无"/>
    <w:basedOn w:val="224"/>
    <w:qFormat/>
    <w:uiPriority w:val="0"/>
    <w:pPr>
      <w:spacing w:beforeLines="0" w:afterLines="0"/>
    </w:pPr>
    <w:rPr>
      <w:rFonts w:ascii="宋体" w:eastAsia="宋体"/>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手动目录"/>
    <w:basedOn w:val="1"/>
    <w:qFormat/>
    <w:uiPriority w:val="0"/>
    <w:pPr>
      <w:numPr>
        <w:ilvl w:val="0"/>
        <w:numId w:val="3"/>
      </w:numPr>
      <w:spacing w:line="360" w:lineRule="auto"/>
    </w:pPr>
    <w:rPr>
      <w:sz w:val="24"/>
    </w:rPr>
  </w:style>
  <w:style w:type="paragraph" w:customStyle="1" w:styleId="370">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1">
    <w:name w:val="默认段落字体 Para Char Char Char Char"/>
    <w:basedOn w:val="1"/>
    <w:qFormat/>
    <w:uiPriority w:val="0"/>
    <w:rPr>
      <w:szCs w:val="20"/>
    </w:rPr>
  </w:style>
  <w:style w:type="paragraph" w:customStyle="1" w:styleId="372">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4">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6">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7">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8">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9">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0">
    <w:name w:val="CM20"/>
    <w:basedOn w:val="249"/>
    <w:next w:val="249"/>
    <w:qFormat/>
    <w:uiPriority w:val="0"/>
    <w:pPr>
      <w:spacing w:after="115"/>
    </w:pPr>
    <w:rPr>
      <w:rFonts w:ascii=".a..DD.." w:eastAsia=".a..DD.."/>
      <w:color w:val="auto"/>
      <w:szCs w:val="24"/>
    </w:rPr>
  </w:style>
  <w:style w:type="paragraph" w:customStyle="1" w:styleId="38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4">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5">
    <w:name w:val="书目1"/>
    <w:basedOn w:val="1"/>
    <w:next w:val="1"/>
    <w:unhideWhenUsed/>
    <w:qFormat/>
    <w:uiPriority w:val="37"/>
    <w:pPr>
      <w:spacing w:line="360" w:lineRule="auto"/>
      <w:ind w:firstLine="200" w:firstLineChars="200"/>
      <w:jc w:val="left"/>
    </w:pPr>
    <w:rPr>
      <w:sz w:val="24"/>
    </w:rPr>
  </w:style>
  <w:style w:type="paragraph" w:customStyle="1" w:styleId="38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7">
    <w:name w:val="表文"/>
    <w:basedOn w:val="1"/>
    <w:qFormat/>
    <w:uiPriority w:val="0"/>
    <w:pPr>
      <w:spacing w:line="300" w:lineRule="auto"/>
      <w:jc w:val="center"/>
      <w:textAlignment w:val="baseline"/>
    </w:pPr>
    <w:rPr>
      <w:kern w:val="0"/>
      <w:szCs w:val="20"/>
    </w:rPr>
  </w:style>
  <w:style w:type="paragraph" w:customStyle="1" w:styleId="38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9">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0">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1">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6">
    <w:name w:val="样式 样式 标题 2 + 段前: 0.5 行 段后: 0.5 行 + 段前: 0.5 行 段后: 0.5 行"/>
    <w:basedOn w:val="397"/>
    <w:qFormat/>
    <w:uiPriority w:val="0"/>
    <w:pPr>
      <w:tabs>
        <w:tab w:val="left" w:pos="1320"/>
      </w:tabs>
      <w:spacing w:beforeLines="0" w:beforeAutospacing="1" w:afterLines="0" w:afterAutospacing="1"/>
      <w:ind w:left="576" w:hanging="576"/>
    </w:pPr>
    <w:rPr>
      <w:bCs w:val="0"/>
    </w:rPr>
  </w:style>
  <w:style w:type="paragraph" w:customStyle="1" w:styleId="397">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398">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9">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0">
    <w:name w:val="标准"/>
    <w:basedOn w:val="1"/>
    <w:qFormat/>
    <w:uiPriority w:val="0"/>
    <w:pPr>
      <w:autoSpaceDE w:val="0"/>
      <w:autoSpaceDN w:val="0"/>
      <w:adjustRightInd w:val="0"/>
      <w:ind w:firstLine="600"/>
      <w:textAlignment w:val="baseline"/>
    </w:pPr>
    <w:rPr>
      <w:kern w:val="0"/>
      <w:sz w:val="28"/>
      <w:szCs w:val="20"/>
    </w:rPr>
  </w:style>
  <w:style w:type="paragraph" w:customStyle="1" w:styleId="401">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2">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403">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4">
    <w:name w:val="表项"/>
    <w:next w:val="40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6">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9">
    <w:name w:val="Char2"/>
    <w:basedOn w:val="1"/>
    <w:qFormat/>
    <w:uiPriority w:val="0"/>
    <w:pPr>
      <w:jc w:val="center"/>
    </w:pPr>
    <w:rPr>
      <w:rFonts w:ascii="宋体" w:hAnsi="宋体"/>
      <w:b/>
      <w:szCs w:val="21"/>
    </w:rPr>
  </w:style>
  <w:style w:type="paragraph" w:customStyle="1" w:styleId="41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4">
    <w:name w:val="样式 样式 标题 2 + 段前: 0.5 行 段后: 0.5 行2 + 段前: 0.5 行 段后: 0.5 行"/>
    <w:basedOn w:val="322"/>
    <w:qFormat/>
    <w:uiPriority w:val="0"/>
    <w:rPr>
      <w:b w:val="0"/>
    </w:rPr>
  </w:style>
  <w:style w:type="paragraph" w:customStyle="1" w:styleId="415">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6">
    <w:name w:val="Figure Description"/>
    <w:basedOn w:val="1"/>
    <w:next w:val="198"/>
    <w:qFormat/>
    <w:uiPriority w:val="0"/>
    <w:pPr>
      <w:keepNext/>
      <w:keepLines/>
      <w:spacing w:afterLines="100" w:line="360" w:lineRule="auto"/>
      <w:jc w:val="center"/>
    </w:pPr>
    <w:rPr>
      <w:rFonts w:ascii="Tahoma" w:hAnsi="Tahoma"/>
      <w:sz w:val="24"/>
    </w:rPr>
  </w:style>
  <w:style w:type="paragraph" w:customStyle="1" w:styleId="417">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8">
    <w:name w:val="pa-13"/>
    <w:basedOn w:val="1"/>
    <w:qFormat/>
    <w:uiPriority w:val="0"/>
    <w:pPr>
      <w:widowControl/>
      <w:spacing w:line="240" w:lineRule="atLeast"/>
    </w:pPr>
    <w:rPr>
      <w:rFonts w:ascii="宋体" w:hAnsi="宋体" w:cs="宋体"/>
      <w:kern w:val="0"/>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0">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1">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2">
    <w:name w:val="样式 小四 首行缩进:  2 字符"/>
    <w:basedOn w:val="1"/>
    <w:qFormat/>
    <w:uiPriority w:val="0"/>
    <w:pPr>
      <w:spacing w:line="300" w:lineRule="auto"/>
      <w:ind w:firstLine="480" w:firstLineChars="200"/>
    </w:pPr>
    <w:rPr>
      <w:sz w:val="24"/>
      <w:szCs w:val="20"/>
    </w:rPr>
  </w:style>
  <w:style w:type="paragraph" w:customStyle="1" w:styleId="423">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4">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5">
    <w:name w:val="列出段落2"/>
    <w:basedOn w:val="1"/>
    <w:qFormat/>
    <w:uiPriority w:val="0"/>
    <w:pPr>
      <w:ind w:firstLine="420" w:firstLineChars="200"/>
    </w:pPr>
  </w:style>
  <w:style w:type="paragraph" w:customStyle="1" w:styleId="426">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7">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9">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0">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1">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2">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3">
    <w:name w:val="Char Char Char"/>
    <w:basedOn w:val="1"/>
    <w:qFormat/>
    <w:uiPriority w:val="0"/>
    <w:rPr>
      <w:rFonts w:ascii="Tahoma" w:hAnsi="Tahoma" w:cs="Angsana New"/>
      <w:sz w:val="24"/>
      <w:szCs w:val="20"/>
    </w:rPr>
  </w:style>
  <w:style w:type="paragraph" w:customStyle="1" w:styleId="434">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6">
    <w:name w:val="样式 标题 1章H11. heading 1标准章Alt+1h1Huvudrubrikh11h12h13h..."/>
    <w:basedOn w:val="1"/>
    <w:qFormat/>
    <w:uiPriority w:val="0"/>
  </w:style>
  <w:style w:type="paragraph" w:customStyle="1" w:styleId="43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8">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0">
    <w:name w:val="正文居中小5"/>
    <w:basedOn w:val="1"/>
    <w:qFormat/>
    <w:uiPriority w:val="0"/>
    <w:pPr>
      <w:spacing w:line="360" w:lineRule="auto"/>
      <w:jc w:val="center"/>
    </w:pPr>
    <w:rPr>
      <w:rFonts w:ascii="Arial" w:hAnsi="Arial"/>
      <w:sz w:val="18"/>
    </w:rPr>
  </w:style>
  <w:style w:type="paragraph" w:customStyle="1" w:styleId="44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2">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3">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4">
    <w:name w:val="二级大纲"/>
    <w:next w:val="102"/>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5">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6">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8">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9">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0">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1">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5">
    <w:name w:val="样式 样式 标题 + 段前: 0.5 行 段后: 0.5 行 + 段前: 0.5 行 段后: 0.5 行"/>
    <w:basedOn w:val="211"/>
    <w:qFormat/>
    <w:uiPriority w:val="0"/>
    <w:pPr>
      <w:spacing w:beforeLines="50" w:afterLines="50" w:line="360" w:lineRule="auto"/>
    </w:pPr>
    <w:rPr>
      <w:rFonts w:eastAsia="黑体" w:cs="宋体"/>
      <w:sz w:val="72"/>
      <w:szCs w:val="20"/>
      <w:u w:val="double"/>
    </w:rPr>
  </w:style>
  <w:style w:type="paragraph" w:customStyle="1" w:styleId="456">
    <w:name w:val="正文居中"/>
    <w:basedOn w:val="1"/>
    <w:next w:val="36"/>
    <w:qFormat/>
    <w:uiPriority w:val="0"/>
    <w:pPr>
      <w:adjustRightInd w:val="0"/>
      <w:snapToGrid w:val="0"/>
      <w:ind w:firstLine="480" w:firstLineChars="200"/>
    </w:pPr>
    <w:rPr>
      <w:rFonts w:ascii="宋体" w:hAnsi="宋体"/>
      <w:sz w:val="24"/>
    </w:rPr>
  </w:style>
  <w:style w:type="paragraph" w:customStyle="1" w:styleId="457">
    <w:name w:val="文档控制号等"/>
    <w:basedOn w:val="1"/>
    <w:qFormat/>
    <w:uiPriority w:val="0"/>
    <w:pPr>
      <w:spacing w:line="360" w:lineRule="auto"/>
      <w:jc w:val="left"/>
    </w:pPr>
  </w:style>
  <w:style w:type="paragraph" w:customStyle="1" w:styleId="458">
    <w:name w:val="小四 段落 宋体 Char Char"/>
    <w:basedOn w:val="459"/>
    <w:qFormat/>
    <w:uiPriority w:val="0"/>
    <w:pPr>
      <w:tabs>
        <w:tab w:val="left" w:pos="360"/>
        <w:tab w:val="left" w:pos="840"/>
      </w:tabs>
    </w:pPr>
  </w:style>
  <w:style w:type="paragraph" w:customStyle="1" w:styleId="459">
    <w:name w:val="小四 段落 宋体 Char Char Char"/>
    <w:basedOn w:val="18"/>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0">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1">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2">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3">
    <w:name w:val="表格内容五号(V1)"/>
    <w:basedOn w:val="1"/>
    <w:qFormat/>
    <w:uiPriority w:val="0"/>
    <w:pPr>
      <w:jc w:val="center"/>
    </w:pPr>
    <w:rPr>
      <w:rFonts w:cs="Arial Unicode MS"/>
      <w:kern w:val="0"/>
      <w:szCs w:val="21"/>
    </w:rPr>
  </w:style>
  <w:style w:type="paragraph" w:customStyle="1" w:styleId="46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5">
    <w:name w:val="10"/>
    <w:basedOn w:val="1"/>
    <w:qFormat/>
    <w:uiPriority w:val="0"/>
    <w:pPr>
      <w:spacing w:line="360" w:lineRule="auto"/>
      <w:ind w:firstLine="454"/>
    </w:pPr>
    <w:rPr>
      <w:rFonts w:ascii="Tahoma" w:hAnsi="Tahoma"/>
      <w:sz w:val="24"/>
      <w:szCs w:val="20"/>
    </w:rPr>
  </w:style>
  <w:style w:type="paragraph" w:customStyle="1" w:styleId="466">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7">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8">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9">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0">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样式 日期 + 行距: 1.5 倍行距"/>
    <w:basedOn w:val="35"/>
    <w:qFormat/>
    <w:uiPriority w:val="0"/>
    <w:pPr>
      <w:widowControl/>
      <w:spacing w:line="360" w:lineRule="auto"/>
      <w:ind w:left="0" w:leftChars="0" w:firstLine="540"/>
    </w:pPr>
    <w:rPr>
      <w:rFonts w:ascii="宋体" w:eastAsia="宋体" w:cs="宋体"/>
      <w:color w:val="auto"/>
      <w:sz w:val="24"/>
      <w:szCs w:val="20"/>
    </w:rPr>
  </w:style>
  <w:style w:type="paragraph" w:customStyle="1" w:styleId="47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6">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7">
    <w:name w:val="三级无"/>
    <w:basedOn w:val="269"/>
    <w:qFormat/>
    <w:uiPriority w:val="0"/>
    <w:pPr>
      <w:spacing w:beforeLines="0" w:afterLines="0"/>
    </w:pPr>
    <w:rPr>
      <w:rFonts w:ascii="宋体" w:eastAsia="宋体"/>
    </w:rPr>
  </w:style>
  <w:style w:type="paragraph" w:customStyle="1" w:styleId="47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9">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0">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1">
    <w:name w:val="Figure"/>
    <w:basedOn w:val="1"/>
    <w:next w:val="416"/>
    <w:qFormat/>
    <w:uiPriority w:val="0"/>
    <w:pPr>
      <w:keepNext/>
      <w:ind w:left="1701"/>
    </w:pPr>
  </w:style>
  <w:style w:type="paragraph" w:customStyle="1" w:styleId="482">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4">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5">
    <w:name w:val="正文悬挂缩进4"/>
    <w:basedOn w:val="1"/>
    <w:qFormat/>
    <w:uiPriority w:val="0"/>
    <w:pPr>
      <w:spacing w:line="360" w:lineRule="auto"/>
      <w:ind w:left="839"/>
    </w:pPr>
  </w:style>
  <w:style w:type="paragraph" w:customStyle="1" w:styleId="486">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7">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8">
    <w:name w:val="样式 标题 4Alt+4项h4H41.1.1.1 Heading 4Heading FourHead44bul...1"/>
    <w:basedOn w:val="8"/>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9">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1">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2">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3">
    <w:name w:val="项目编号1级"/>
    <w:basedOn w:val="494"/>
    <w:qFormat/>
    <w:uiPriority w:val="0"/>
    <w:pPr>
      <w:tabs>
        <w:tab w:val="left" w:pos="840"/>
      </w:tabs>
      <w:ind w:left="840" w:hanging="420" w:firstLineChars="0"/>
    </w:pPr>
  </w:style>
  <w:style w:type="paragraph" w:customStyle="1" w:styleId="494">
    <w:name w:val="正文缩进2"/>
    <w:basedOn w:val="1"/>
    <w:qFormat/>
    <w:uiPriority w:val="0"/>
    <w:pPr>
      <w:spacing w:line="360" w:lineRule="auto"/>
      <w:ind w:firstLine="200" w:firstLineChars="200"/>
    </w:pPr>
  </w:style>
  <w:style w:type="paragraph" w:customStyle="1" w:styleId="49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8">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9">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0">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1">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2">
    <w:name w:val="样式 标题 6 + 段前: 0.5 行 段后: 0.5 行"/>
    <w:basedOn w:val="10"/>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3">
    <w:name w:val="列出段落1"/>
    <w:basedOn w:val="1"/>
    <w:qFormat/>
    <w:uiPriority w:val="34"/>
    <w:pPr>
      <w:ind w:firstLine="420" w:firstLineChars="200"/>
    </w:pPr>
    <w:rPr>
      <w:szCs w:val="20"/>
    </w:rPr>
  </w:style>
  <w:style w:type="paragraph" w:customStyle="1" w:styleId="504">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6">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7">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8">
    <w:name w:val="一级"/>
    <w:basedOn w:val="102"/>
    <w:next w:val="102"/>
    <w:qFormat/>
    <w:uiPriority w:val="0"/>
    <w:pPr>
      <w:tabs>
        <w:tab w:val="left" w:pos="360"/>
        <w:tab w:val="left" w:pos="780"/>
      </w:tabs>
      <w:ind w:left="780" w:hanging="360" w:firstLineChars="0"/>
      <w:jc w:val="center"/>
      <w:outlineLvl w:val="0"/>
    </w:pPr>
    <w:rPr>
      <w:b/>
      <w:sz w:val="44"/>
    </w:rPr>
  </w:style>
  <w:style w:type="paragraph" w:customStyle="1" w:styleId="509">
    <w:name w:val="警告"/>
    <w:basedOn w:val="1"/>
    <w:next w:val="198"/>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0">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1">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512">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3">
    <w:name w:val="样式 标题 4 + 段前: 0.5 行 段后: 0.5 行 行距: 多倍行距 1.57 字行"/>
    <w:basedOn w:val="8"/>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4">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7">
    <w:name w:val="正文(单倍行距)"/>
    <w:basedOn w:val="1"/>
    <w:qFormat/>
    <w:uiPriority w:val="0"/>
    <w:pPr>
      <w:adjustRightInd w:val="0"/>
      <w:snapToGrid w:val="0"/>
      <w:jc w:val="center"/>
    </w:pPr>
  </w:style>
  <w:style w:type="paragraph" w:customStyle="1" w:styleId="518">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9">
    <w:name w:val="二级无"/>
    <w:basedOn w:val="270"/>
    <w:qFormat/>
    <w:uiPriority w:val="0"/>
    <w:pPr>
      <w:spacing w:beforeLines="0" w:afterLines="0"/>
    </w:pPr>
    <w:rPr>
      <w:rFonts w:ascii="宋体" w:eastAsia="宋体"/>
    </w:rPr>
  </w:style>
  <w:style w:type="paragraph" w:customStyle="1" w:styleId="520">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1">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2">
    <w:name w:val="pa-10"/>
    <w:basedOn w:val="1"/>
    <w:qFormat/>
    <w:uiPriority w:val="0"/>
    <w:pPr>
      <w:widowControl/>
      <w:spacing w:line="280" w:lineRule="atLeast"/>
    </w:pPr>
    <w:rPr>
      <w:rFonts w:ascii="宋体" w:hAnsi="宋体" w:cs="宋体"/>
      <w:kern w:val="0"/>
      <w:sz w:val="24"/>
    </w:rPr>
  </w:style>
  <w:style w:type="paragraph" w:customStyle="1" w:styleId="523">
    <w:name w:val="WPS Plain"/>
    <w:qFormat/>
    <w:uiPriority w:val="0"/>
    <w:rPr>
      <w:rFonts w:ascii="Times New Roman" w:hAnsi="Times New Roman" w:eastAsia="宋体" w:cs="Times New Roman"/>
      <w:lang w:val="en-US" w:eastAsia="zh-CN" w:bidi="ar-SA"/>
    </w:rPr>
  </w:style>
  <w:style w:type="paragraph" w:customStyle="1" w:styleId="524">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5">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6">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7">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9">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0">
    <w:name w:val="表身（中）"/>
    <w:basedOn w:val="405"/>
    <w:qFormat/>
    <w:uiPriority w:val="0"/>
    <w:pPr>
      <w:jc w:val="center"/>
    </w:pPr>
  </w:style>
  <w:style w:type="paragraph" w:customStyle="1" w:styleId="531">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2">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3">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4">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7">
    <w:name w:val="表格正文2"/>
    <w:basedOn w:val="1"/>
    <w:qFormat/>
    <w:uiPriority w:val="0"/>
    <w:pPr>
      <w:adjustRightInd w:val="0"/>
      <w:snapToGrid w:val="0"/>
      <w:spacing w:line="400" w:lineRule="atLeast"/>
      <w:jc w:val="left"/>
    </w:pPr>
    <w:rPr>
      <w:sz w:val="24"/>
      <w:szCs w:val="20"/>
    </w:rPr>
  </w:style>
  <w:style w:type="paragraph" w:customStyle="1" w:styleId="53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9">
    <w:name w:val="样式 首行缩进:  2 字符2 + 居中"/>
    <w:basedOn w:val="220"/>
    <w:qFormat/>
    <w:uiPriority w:val="0"/>
    <w:pPr>
      <w:adjustRightInd/>
      <w:snapToGrid/>
      <w:ind w:firstLine="0" w:firstLineChars="0"/>
      <w:jc w:val="center"/>
    </w:pPr>
    <w:rPr>
      <w:sz w:val="28"/>
      <w:szCs w:val="20"/>
    </w:rPr>
  </w:style>
  <w:style w:type="paragraph" w:customStyle="1" w:styleId="540">
    <w:name w:val="Absatz2AL"/>
    <w:basedOn w:val="2"/>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3">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4">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7">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8">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9">
    <w:name w:val="def正文"/>
    <w:basedOn w:val="2"/>
    <w:qFormat/>
    <w:uiPriority w:val="0"/>
    <w:pPr>
      <w:widowControl/>
      <w:autoSpaceDE/>
      <w:autoSpaceDN/>
      <w:adjustRightInd/>
      <w:ind w:firstLine="482"/>
      <w:jc w:val="both"/>
    </w:pPr>
    <w:rPr>
      <w:rFonts w:ascii="Times New Roman"/>
      <w:b/>
      <w:sz w:val="24"/>
      <w:szCs w:val="24"/>
    </w:rPr>
  </w:style>
  <w:style w:type="paragraph" w:customStyle="1" w:styleId="550">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2">
    <w:name w:val="三级大纲"/>
    <w:next w:val="102"/>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3">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4">
    <w:name w:val="1"/>
    <w:basedOn w:val="40"/>
    <w:qFormat/>
    <w:uiPriority w:val="0"/>
    <w:pPr>
      <w:pBdr>
        <w:bottom w:val="none" w:color="auto" w:sz="0" w:space="0"/>
      </w:pBdr>
    </w:pPr>
    <w:rPr>
      <w:rFonts w:ascii="Calibri" w:hAnsi="Calibri" w:eastAsia="华文新魏"/>
      <w:kern w:val="0"/>
      <w:sz w:val="21"/>
      <w:szCs w:val="20"/>
    </w:rPr>
  </w:style>
  <w:style w:type="paragraph" w:customStyle="1" w:styleId="555">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6">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7">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8">
    <w:name w:val="Item Step in Table"/>
    <w:basedOn w:val="1"/>
    <w:qFormat/>
    <w:uiPriority w:val="0"/>
    <w:pPr>
      <w:tabs>
        <w:tab w:val="left" w:pos="420"/>
      </w:tabs>
      <w:ind w:left="420" w:hanging="420"/>
      <w:jc w:val="left"/>
    </w:pPr>
    <w:rPr>
      <w:rFonts w:ascii="Tahoma" w:hAnsi="Tahoma"/>
      <w:sz w:val="28"/>
      <w:szCs w:val="21"/>
    </w:rPr>
  </w:style>
  <w:style w:type="paragraph" w:customStyle="1" w:styleId="55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0">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2">
    <w:name w:val="正文悬挂缩进6"/>
    <w:basedOn w:val="485"/>
    <w:qFormat/>
    <w:uiPriority w:val="0"/>
    <w:pPr>
      <w:tabs>
        <w:tab w:val="left" w:pos="1259"/>
      </w:tabs>
      <w:ind w:left="600" w:leftChars="600"/>
    </w:pPr>
  </w:style>
  <w:style w:type="paragraph" w:customStyle="1" w:styleId="563">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5">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6">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7">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8">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9">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0">
    <w:name w:val="表3"/>
    <w:basedOn w:val="216"/>
    <w:qFormat/>
    <w:uiPriority w:val="0"/>
    <w:pPr>
      <w:numPr>
        <w:numId w:val="0"/>
      </w:numPr>
      <w:ind w:left="902" w:hanging="420"/>
    </w:pPr>
  </w:style>
  <w:style w:type="paragraph" w:customStyle="1" w:styleId="571">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2">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3">
    <w:name w:val="Char21"/>
    <w:basedOn w:val="1"/>
    <w:qFormat/>
    <w:uiPriority w:val="0"/>
  </w:style>
  <w:style w:type="paragraph" w:customStyle="1" w:styleId="574">
    <w:name w:val="正文1"/>
    <w:basedOn w:val="1"/>
    <w:qFormat/>
    <w:uiPriority w:val="0"/>
    <w:pPr>
      <w:spacing w:line="360" w:lineRule="auto"/>
      <w:ind w:firstLine="200" w:firstLineChars="200"/>
    </w:pPr>
  </w:style>
  <w:style w:type="paragraph" w:customStyle="1" w:styleId="575">
    <w:name w:val="Char1"/>
    <w:basedOn w:val="1"/>
    <w:qFormat/>
    <w:uiPriority w:val="0"/>
  </w:style>
  <w:style w:type="paragraph" w:customStyle="1" w:styleId="576">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7">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8">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0">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2">
    <w:name w:val="Char Char Char Char Char Char"/>
    <w:basedOn w:val="22"/>
    <w:semiHidden/>
    <w:qFormat/>
    <w:uiPriority w:val="0"/>
    <w:pPr>
      <w:spacing w:line="360" w:lineRule="auto"/>
      <w:ind w:firstLine="200" w:firstLineChars="200"/>
      <w:jc w:val="left"/>
    </w:pPr>
    <w:rPr>
      <w:rFonts w:ascii="Tahoma" w:hAnsi="Tahoma" w:cs="Tahoma"/>
      <w:kern w:val="0"/>
      <w:sz w:val="18"/>
    </w:rPr>
  </w:style>
  <w:style w:type="paragraph" w:customStyle="1" w:styleId="583">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4">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7">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9">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0">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2">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5">
    <w:name w:val="样式 标题 5 + 段前: 0.5 行 段后: 0.5 行"/>
    <w:basedOn w:val="9"/>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6">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7">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8">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9">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0">
    <w:name w:val="Char"/>
    <w:basedOn w:val="1"/>
    <w:qFormat/>
    <w:uiPriority w:val="0"/>
    <w:rPr>
      <w:rFonts w:ascii="Tahoma" w:hAnsi="Tahoma" w:cs="仿宋_GB2312"/>
      <w:sz w:val="24"/>
      <w:szCs w:val="28"/>
    </w:rPr>
  </w:style>
  <w:style w:type="paragraph" w:customStyle="1" w:styleId="60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2">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3">
    <w:name w:val="我的正文格式"/>
    <w:basedOn w:val="1"/>
    <w:next w:val="1"/>
    <w:qFormat/>
    <w:uiPriority w:val="0"/>
    <w:pPr>
      <w:snapToGrid w:val="0"/>
      <w:spacing w:line="288" w:lineRule="auto"/>
      <w:ind w:left="540" w:hanging="540" w:hangingChars="225"/>
    </w:pPr>
    <w:rPr>
      <w:sz w:val="24"/>
    </w:rPr>
  </w:style>
  <w:style w:type="paragraph" w:customStyle="1" w:styleId="604">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5">
    <w:name w:val="_Style 56"/>
    <w:basedOn w:val="1"/>
    <w:qFormat/>
    <w:uiPriority w:val="0"/>
    <w:pPr>
      <w:ind w:firstLine="420" w:firstLineChars="200"/>
    </w:pPr>
    <w:rPr>
      <w:rFonts w:ascii="Calibri" w:hAnsi="Calibri"/>
      <w:szCs w:val="22"/>
    </w:rPr>
  </w:style>
  <w:style w:type="paragraph" w:styleId="606">
    <w:name w:val="List Paragraph"/>
    <w:basedOn w:val="1"/>
    <w:link w:val="716"/>
    <w:qFormat/>
    <w:uiPriority w:val="99"/>
    <w:pPr>
      <w:ind w:firstLine="420" w:firstLineChars="200"/>
    </w:pPr>
    <w:rPr>
      <w:rFonts w:ascii="宋体" w:hAnsi="宋体" w:cs="宋体"/>
      <w:bCs/>
      <w:color w:val="000000"/>
      <w:kern w:val="0"/>
      <w:sz w:val="24"/>
      <w:u w:val="single"/>
    </w:rPr>
  </w:style>
  <w:style w:type="paragraph" w:customStyle="1" w:styleId="607">
    <w:name w:val="Char1 Char Char Char"/>
    <w:basedOn w:val="1"/>
    <w:qFormat/>
    <w:uiPriority w:val="0"/>
    <w:rPr>
      <w:rFonts w:ascii="Tahoma" w:hAnsi="Tahoma"/>
      <w:sz w:val="24"/>
      <w:szCs w:val="20"/>
    </w:rPr>
  </w:style>
  <w:style w:type="paragraph" w:customStyle="1" w:styleId="608">
    <w:name w:val="Char Char Char Char1"/>
    <w:basedOn w:val="1"/>
    <w:qFormat/>
    <w:uiPriority w:val="0"/>
    <w:rPr>
      <w:rFonts w:ascii="仿宋_GB2312" w:eastAsia="仿宋_GB2312"/>
      <w:b/>
      <w:sz w:val="32"/>
      <w:szCs w:val="32"/>
    </w:rPr>
  </w:style>
  <w:style w:type="paragraph" w:customStyle="1" w:styleId="609">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0">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1">
    <w:name w:val="标准小四"/>
    <w:basedOn w:val="1"/>
    <w:qFormat/>
    <w:uiPriority w:val="0"/>
    <w:pPr>
      <w:spacing w:line="360" w:lineRule="auto"/>
      <w:ind w:firstLine="480" w:firstLineChars="200"/>
    </w:pPr>
    <w:rPr>
      <w:rFonts w:ascii="Arial" w:hAnsi="Arial"/>
      <w:sz w:val="24"/>
      <w:szCs w:val="21"/>
    </w:rPr>
  </w:style>
  <w:style w:type="paragraph" w:customStyle="1" w:styleId="612">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3">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4">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5">
    <w:name w:val="书目11"/>
    <w:basedOn w:val="1"/>
    <w:next w:val="1"/>
    <w:unhideWhenUsed/>
    <w:qFormat/>
    <w:uiPriority w:val="37"/>
    <w:pPr>
      <w:spacing w:line="360" w:lineRule="auto"/>
      <w:ind w:firstLine="200" w:firstLineChars="200"/>
      <w:jc w:val="left"/>
    </w:pPr>
    <w:rPr>
      <w:sz w:val="24"/>
    </w:rPr>
  </w:style>
  <w:style w:type="paragraph" w:customStyle="1" w:styleId="616">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7">
    <w:name w:val="小标"/>
    <w:basedOn w:val="1"/>
    <w:qFormat/>
    <w:uiPriority w:val="0"/>
    <w:rPr>
      <w:rFonts w:hint="eastAsia" w:ascii="黑体" w:eastAsia="黑体"/>
      <w:spacing w:val="20"/>
      <w:szCs w:val="20"/>
    </w:rPr>
  </w:style>
  <w:style w:type="paragraph" w:customStyle="1" w:styleId="618">
    <w:name w:val="表格标题3"/>
    <w:basedOn w:val="415"/>
    <w:qFormat/>
    <w:uiPriority w:val="0"/>
    <w:pPr>
      <w:tabs>
        <w:tab w:val="left" w:pos="570"/>
        <w:tab w:val="left" w:pos="720"/>
        <w:tab w:val="clear" w:pos="1620"/>
      </w:tabs>
      <w:ind w:left="570" w:hanging="570"/>
    </w:pPr>
  </w:style>
  <w:style w:type="paragraph" w:customStyle="1" w:styleId="619">
    <w:name w:val="五级大纲"/>
    <w:next w:val="102"/>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0">
    <w:name w:val="默认段落字体 Para Char Char Char Char Char Char Char"/>
    <w:basedOn w:val="1"/>
    <w:qFormat/>
    <w:uiPriority w:val="0"/>
    <w:pPr>
      <w:jc w:val="left"/>
    </w:pPr>
    <w:rPr>
      <w:rFonts w:ascii="Tahoma" w:hAnsi="Tahoma"/>
      <w:sz w:val="24"/>
      <w:szCs w:val="20"/>
    </w:rPr>
  </w:style>
  <w:style w:type="paragraph" w:customStyle="1" w:styleId="621">
    <w:name w:val="默认段落字体 Para Char Char Char Char Char Char Char Char Char Char Char Char Char Char"/>
    <w:basedOn w:val="22"/>
    <w:qFormat/>
    <w:uiPriority w:val="0"/>
    <w:rPr>
      <w:rFonts w:ascii="Tahoma" w:hAnsi="Tahoma"/>
      <w:sz w:val="24"/>
    </w:rPr>
  </w:style>
  <w:style w:type="paragraph" w:customStyle="1" w:styleId="6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3">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5">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6">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7">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9">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0">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1">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2">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3">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4">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5">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6">
    <w:name w:val="Char Char Char1 Char"/>
    <w:basedOn w:val="22"/>
    <w:qFormat/>
    <w:uiPriority w:val="0"/>
    <w:pPr>
      <w:adjustRightInd w:val="0"/>
      <w:spacing w:line="436" w:lineRule="exact"/>
      <w:ind w:left="357"/>
      <w:jc w:val="left"/>
      <w:outlineLvl w:val="3"/>
    </w:pPr>
    <w:rPr>
      <w:kern w:val="0"/>
      <w:sz w:val="20"/>
      <w:szCs w:val="20"/>
    </w:rPr>
  </w:style>
  <w:style w:type="paragraph" w:customStyle="1" w:styleId="637">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8">
    <w:name w:val="版权所有"/>
    <w:basedOn w:val="1"/>
    <w:qFormat/>
    <w:uiPriority w:val="0"/>
    <w:pPr>
      <w:spacing w:beforeLines="100" w:afterLines="100" w:line="360" w:lineRule="auto"/>
    </w:pPr>
    <w:rPr>
      <w:rFonts w:ascii="Arial" w:hAnsi="Arial" w:eastAsia="黑体"/>
      <w:b/>
      <w:sz w:val="30"/>
      <w:u w:val="single"/>
    </w:rPr>
  </w:style>
  <w:style w:type="paragraph" w:customStyle="1" w:styleId="639">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0">
    <w:name w:val="项目编号2级"/>
    <w:basedOn w:val="493"/>
    <w:qFormat/>
    <w:uiPriority w:val="0"/>
  </w:style>
  <w:style w:type="paragraph" w:customStyle="1" w:styleId="641">
    <w:name w:val="四级无"/>
    <w:basedOn w:val="268"/>
    <w:qFormat/>
    <w:uiPriority w:val="0"/>
    <w:pPr>
      <w:tabs>
        <w:tab w:val="left" w:pos="360"/>
      </w:tabs>
      <w:spacing w:beforeLines="0" w:afterLines="0"/>
    </w:pPr>
    <w:rPr>
      <w:rFonts w:ascii="宋体" w:eastAsia="宋体"/>
    </w:rPr>
  </w:style>
  <w:style w:type="paragraph" w:customStyle="1" w:styleId="642">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3">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4">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6">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7">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8">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9">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0">
    <w:name w:val="Default Text"/>
    <w:link w:val="70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1">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2">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3">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4">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5">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6">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7">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8">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9">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0">
    <w:name w:val="表头"/>
    <w:basedOn w:val="1"/>
    <w:qFormat/>
    <w:uiPriority w:val="0"/>
    <w:pPr>
      <w:autoSpaceDE w:val="0"/>
      <w:autoSpaceDN w:val="0"/>
      <w:adjustRightInd w:val="0"/>
      <w:jc w:val="center"/>
    </w:pPr>
    <w:rPr>
      <w:rFonts w:ascii="Arial" w:hAnsi="Arial"/>
      <w:kern w:val="0"/>
      <w:sz w:val="18"/>
    </w:rPr>
  </w:style>
  <w:style w:type="paragraph" w:customStyle="1" w:styleId="6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2">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3">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4">
    <w:name w:val="Body Text 21"/>
    <w:basedOn w:val="1"/>
    <w:qFormat/>
    <w:uiPriority w:val="0"/>
    <w:pPr>
      <w:adjustRightInd w:val="0"/>
      <w:spacing w:line="240" w:lineRule="exact"/>
      <w:textAlignment w:val="baseline"/>
    </w:pPr>
    <w:rPr>
      <w:rFonts w:ascii="宋体"/>
      <w:kern w:val="0"/>
      <w:sz w:val="18"/>
      <w:szCs w:val="20"/>
    </w:rPr>
  </w:style>
  <w:style w:type="paragraph" w:customStyle="1" w:styleId="66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8">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9">
    <w:name w:val="样式 样式 标题 5 + 段前: 0.5 行 段后: 0.5 行 + 段前: 0.5 行 段后: 0.5 行"/>
    <w:basedOn w:val="595"/>
    <w:qFormat/>
    <w:uiPriority w:val="0"/>
    <w:rPr>
      <w:bCs w:val="0"/>
    </w:rPr>
  </w:style>
  <w:style w:type="paragraph" w:customStyle="1" w:styleId="6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1">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3">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4">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5">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6">
    <w:name w:val="标书正文"/>
    <w:basedOn w:val="1"/>
    <w:qFormat/>
    <w:uiPriority w:val="0"/>
    <w:pPr>
      <w:spacing w:line="360" w:lineRule="auto"/>
      <w:ind w:firstLine="497" w:firstLineChars="207"/>
    </w:pPr>
    <w:rPr>
      <w:sz w:val="24"/>
      <w:szCs w:val="20"/>
    </w:rPr>
  </w:style>
  <w:style w:type="paragraph" w:customStyle="1" w:styleId="677">
    <w:name w:val="标题3"/>
    <w:basedOn w:val="1"/>
    <w:qFormat/>
    <w:uiPriority w:val="0"/>
    <w:pPr>
      <w:spacing w:beforeLines="50" w:afterLines="50" w:line="300" w:lineRule="exact"/>
    </w:pPr>
    <w:rPr>
      <w:b/>
      <w:bCs/>
    </w:rPr>
  </w:style>
  <w:style w:type="paragraph" w:customStyle="1" w:styleId="67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1">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2">
    <w:name w:val="表格(五号)"/>
    <w:basedOn w:val="1"/>
    <w:qFormat/>
    <w:uiPriority w:val="0"/>
    <w:pPr>
      <w:adjustRightInd w:val="0"/>
      <w:snapToGrid w:val="0"/>
      <w:spacing w:before="60" w:after="60"/>
      <w:ind w:left="11"/>
      <w:jc w:val="center"/>
    </w:pPr>
    <w:rPr>
      <w:kern w:val="0"/>
      <w:szCs w:val="20"/>
    </w:rPr>
  </w:style>
  <w:style w:type="paragraph" w:customStyle="1" w:styleId="683">
    <w:name w:val="表格标题1"/>
    <w:basedOn w:val="594"/>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4">
    <w:name w:val="默认段落字体 Para Char"/>
    <w:basedOn w:val="1"/>
    <w:qFormat/>
    <w:uiPriority w:val="0"/>
  </w:style>
  <w:style w:type="paragraph" w:customStyle="1" w:styleId="685">
    <w:name w:val="正"/>
    <w:basedOn w:val="1"/>
    <w:qFormat/>
    <w:uiPriority w:val="0"/>
    <w:pPr>
      <w:ind w:firstLine="525"/>
    </w:pPr>
    <w:rPr>
      <w:spacing w:val="20"/>
      <w:szCs w:val="20"/>
    </w:rPr>
  </w:style>
  <w:style w:type="paragraph" w:customStyle="1" w:styleId="6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7">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9">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1">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2">
    <w:name w:val="无间隔 Char"/>
    <w:basedOn w:val="62"/>
    <w:link w:val="693"/>
    <w:qFormat/>
    <w:locked/>
    <w:uiPriority w:val="0"/>
    <w:rPr>
      <w:rFonts w:ascii="Calibri" w:hAnsi="Calibri" w:eastAsia="宋体" w:cs="Times New Roman"/>
    </w:rPr>
  </w:style>
  <w:style w:type="paragraph" w:styleId="693">
    <w:name w:val="No Spacing"/>
    <w:basedOn w:val="1"/>
    <w:link w:val="692"/>
    <w:qFormat/>
    <w:uiPriority w:val="0"/>
    <w:rPr>
      <w:rFonts w:ascii="Calibri" w:hAnsi="Calibri"/>
      <w:szCs w:val="22"/>
    </w:rPr>
  </w:style>
  <w:style w:type="character" w:customStyle="1" w:styleId="694">
    <w:name w:val="short_text"/>
    <w:basedOn w:val="62"/>
    <w:qFormat/>
    <w:uiPriority w:val="0"/>
  </w:style>
  <w:style w:type="character" w:customStyle="1" w:styleId="695">
    <w:name w:val="未处理的提及1"/>
    <w:basedOn w:val="62"/>
    <w:semiHidden/>
    <w:unhideWhenUsed/>
    <w:qFormat/>
    <w:uiPriority w:val="99"/>
    <w:rPr>
      <w:color w:val="605E5C"/>
      <w:shd w:val="clear" w:color="auto" w:fill="E1DFDD"/>
    </w:rPr>
  </w:style>
  <w:style w:type="paragraph" w:customStyle="1" w:styleId="696">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7">
    <w:name w:val="未处理的提及2"/>
    <w:basedOn w:val="62"/>
    <w:semiHidden/>
    <w:unhideWhenUsed/>
    <w:qFormat/>
    <w:uiPriority w:val="99"/>
    <w:rPr>
      <w:color w:val="605E5C"/>
      <w:shd w:val="clear" w:color="auto" w:fill="E1DFDD"/>
    </w:rPr>
  </w:style>
  <w:style w:type="paragraph" w:customStyle="1" w:styleId="69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99">
    <w:name w:val="Normal_2"/>
    <w:qFormat/>
    <w:uiPriority w:val="0"/>
    <w:rPr>
      <w:rFonts w:ascii="Calibri" w:hAnsi="Calibri" w:eastAsia="宋体" w:cs="Times New Roman"/>
      <w:sz w:val="24"/>
      <w:szCs w:val="24"/>
      <w:lang w:val="en-US" w:eastAsia="zh-CN" w:bidi="ar-SA"/>
    </w:rPr>
  </w:style>
  <w:style w:type="character" w:customStyle="1" w:styleId="700">
    <w:name w:val="7）页眉页脚"/>
    <w:qFormat/>
    <w:uiPriority w:val="0"/>
    <w:rPr>
      <w:rFonts w:ascii="仿宋_GB2312" w:eastAsia="仿宋_GB2312"/>
      <w:b/>
      <w:i/>
      <w:sz w:val="18"/>
      <w:vertAlign w:val="baseline"/>
    </w:rPr>
  </w:style>
  <w:style w:type="character" w:customStyle="1" w:styleId="701">
    <w:name w:val="Default Text Char"/>
    <w:link w:val="650"/>
    <w:qFormat/>
    <w:uiPriority w:val="0"/>
    <w:rPr>
      <w:rFonts w:ascii="Times New Roman" w:hAnsi="Times New Roman"/>
      <w:color w:val="000000"/>
      <w:sz w:val="24"/>
      <w:szCs w:val="24"/>
    </w:rPr>
  </w:style>
  <w:style w:type="paragraph" w:customStyle="1" w:styleId="702">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3">
    <w:name w:val="Normal_5"/>
    <w:qFormat/>
    <w:uiPriority w:val="0"/>
    <w:rPr>
      <w:rFonts w:ascii="黑体" w:hAnsi="黑体" w:eastAsia="黑体" w:cs="Times New Roman"/>
      <w:b/>
      <w:sz w:val="32"/>
      <w:szCs w:val="24"/>
      <w:lang w:val="en-US" w:eastAsia="zh-CN" w:bidi="ar-SA"/>
    </w:rPr>
  </w:style>
  <w:style w:type="paragraph" w:customStyle="1" w:styleId="70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正文文本缩进_3"/>
    <w:basedOn w:val="704"/>
    <w:link w:val="706"/>
    <w:qFormat/>
    <w:uiPriority w:val="0"/>
    <w:pPr>
      <w:spacing w:line="500" w:lineRule="exact"/>
      <w:ind w:left="1588" w:leftChars="832" w:firstLine="433" w:firstLineChars="196"/>
    </w:pPr>
    <w:rPr>
      <w:rFonts w:ascii="Calibri" w:hAnsi="Calibri"/>
      <w:sz w:val="24"/>
    </w:rPr>
  </w:style>
  <w:style w:type="character" w:customStyle="1" w:styleId="706">
    <w:name w:val="正文文本缩进 Char_3"/>
    <w:link w:val="705"/>
    <w:qFormat/>
    <w:uiPriority w:val="0"/>
    <w:rPr>
      <w:kern w:val="2"/>
      <w:sz w:val="24"/>
      <w:szCs w:val="24"/>
      <w:lang w:val="en-US" w:eastAsia="zh-CN"/>
    </w:rPr>
  </w:style>
  <w:style w:type="character" w:customStyle="1" w:styleId="707">
    <w:name w:val="12_hui11"/>
    <w:qFormat/>
    <w:uiPriority w:val="0"/>
    <w:rPr>
      <w:color w:val="666666"/>
      <w:sz w:val="18"/>
      <w:szCs w:val="18"/>
    </w:rPr>
  </w:style>
  <w:style w:type="character" w:customStyle="1" w:styleId="708">
    <w:name w:val="dy_biao_content1"/>
    <w:qFormat/>
    <w:uiPriority w:val="0"/>
    <w:rPr>
      <w:rFonts w:hint="eastAsia" w:ascii="宋体" w:hAnsi="宋体" w:eastAsia="宋体"/>
      <w:sz w:val="24"/>
      <w:szCs w:val="24"/>
    </w:rPr>
  </w:style>
  <w:style w:type="paragraph" w:customStyle="1" w:styleId="709">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1">
    <w:name w:val="Char3"/>
    <w:basedOn w:val="1"/>
    <w:qFormat/>
    <w:uiPriority w:val="0"/>
    <w:rPr>
      <w:rFonts w:ascii="Tahoma" w:hAnsi="Tahoma"/>
      <w:sz w:val="24"/>
      <w:szCs w:val="20"/>
    </w:rPr>
  </w:style>
  <w:style w:type="character" w:customStyle="1" w:styleId="712">
    <w:name w:val="脚注文本 Char"/>
    <w:basedOn w:val="62"/>
    <w:qFormat/>
    <w:uiPriority w:val="0"/>
    <w:rPr>
      <w:lang w:val="de-DE"/>
    </w:rPr>
  </w:style>
  <w:style w:type="character" w:customStyle="1" w:styleId="713">
    <w:name w:val="脚注文本 Char1"/>
    <w:basedOn w:val="62"/>
    <w:link w:val="45"/>
    <w:qFormat/>
    <w:uiPriority w:val="0"/>
    <w:rPr>
      <w:kern w:val="2"/>
      <w:sz w:val="18"/>
      <w:szCs w:val="18"/>
    </w:rPr>
  </w:style>
  <w:style w:type="paragraph" w:customStyle="1" w:styleId="714">
    <w:name w:val="Char4"/>
    <w:basedOn w:val="1"/>
    <w:qFormat/>
    <w:uiPriority w:val="0"/>
    <w:rPr>
      <w:rFonts w:ascii="Tahoma" w:hAnsi="Tahoma"/>
      <w:sz w:val="24"/>
      <w:szCs w:val="20"/>
    </w:rPr>
  </w:style>
  <w:style w:type="paragraph" w:customStyle="1" w:styleId="715">
    <w:name w:val="Char1 Char"/>
    <w:basedOn w:val="1"/>
    <w:qFormat/>
    <w:uiPriority w:val="0"/>
    <w:pPr>
      <w:tabs>
        <w:tab w:val="left" w:pos="360"/>
      </w:tabs>
    </w:pPr>
    <w:rPr>
      <w:kern w:val="0"/>
      <w:sz w:val="20"/>
      <w:szCs w:val="20"/>
    </w:rPr>
  </w:style>
  <w:style w:type="character" w:customStyle="1" w:styleId="716">
    <w:name w:val="列出段落 Char"/>
    <w:link w:val="606"/>
    <w:qFormat/>
    <w:uiPriority w:val="34"/>
    <w:rPr>
      <w:rFonts w:ascii="宋体" w:hAnsi="宋体" w:cs="宋体"/>
      <w:bCs/>
      <w:color w:val="000000"/>
      <w:sz w:val="24"/>
      <w:szCs w:val="24"/>
      <w:u w:val="single"/>
    </w:rPr>
  </w:style>
  <w:style w:type="paragraph" w:customStyle="1" w:styleId="717">
    <w:name w:val="段落正文"/>
    <w:basedOn w:val="1"/>
    <w:link w:val="718"/>
    <w:qFormat/>
    <w:uiPriority w:val="0"/>
    <w:pPr>
      <w:spacing w:before="140" w:after="140" w:line="401" w:lineRule="auto"/>
      <w:ind w:firstLine="200" w:firstLineChars="200"/>
    </w:pPr>
    <w:rPr>
      <w:rFonts w:ascii="宋体" w:hAnsi="宋体"/>
    </w:rPr>
  </w:style>
  <w:style w:type="character" w:customStyle="1" w:styleId="718">
    <w:name w:val="段落正文 Char"/>
    <w:link w:val="717"/>
    <w:qFormat/>
    <w:uiPriority w:val="0"/>
    <w:rPr>
      <w:rFonts w:ascii="宋体" w:hAnsi="宋体"/>
      <w:kern w:val="2"/>
      <w:sz w:val="21"/>
      <w:szCs w:val="24"/>
    </w:rPr>
  </w:style>
  <w:style w:type="paragraph" w:customStyle="1" w:styleId="719">
    <w:name w:val="TOC 标题3"/>
    <w:basedOn w:val="3"/>
    <w:next w:val="1"/>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66091" w:themeColor="accent1" w:themeShade="BF"/>
      <w:kern w:val="0"/>
      <w:szCs w:val="32"/>
    </w:rPr>
  </w:style>
  <w:style w:type="character" w:customStyle="1" w:styleId="720">
    <w:name w:val="本级2 Char"/>
    <w:link w:val="721"/>
    <w:qFormat/>
    <w:uiPriority w:val="0"/>
    <w:rPr>
      <w:rFonts w:ascii="仿宋_GB2312" w:hAnsi="仿宋" w:eastAsia="仿宋_GB2312"/>
      <w:b/>
      <w:bCs/>
      <w:sz w:val="32"/>
      <w:szCs w:val="24"/>
    </w:rPr>
  </w:style>
  <w:style w:type="paragraph" w:customStyle="1" w:styleId="721">
    <w:name w:val="本级2"/>
    <w:basedOn w:val="4"/>
    <w:link w:val="720"/>
    <w:qFormat/>
    <w:uiPriority w:val="0"/>
    <w:pPr>
      <w:tabs>
        <w:tab w:val="left" w:pos="567"/>
      </w:tabs>
      <w:spacing w:before="0" w:after="0" w:line="360" w:lineRule="auto"/>
      <w:ind w:left="567" w:hanging="567"/>
    </w:pPr>
    <w:rPr>
      <w:rFonts w:ascii="仿宋_GB2312" w:hAnsi="仿宋" w:eastAsia="仿宋_GB2312"/>
      <w:kern w:val="0"/>
      <w:szCs w:val="24"/>
    </w:rPr>
  </w:style>
  <w:style w:type="character" w:customStyle="1" w:styleId="722">
    <w:name w:val="标题 3 Char Char"/>
    <w:qFormat/>
    <w:uiPriority w:val="0"/>
    <w:rPr>
      <w:rFonts w:eastAsia="宋体"/>
      <w:b/>
      <w:bCs/>
      <w:kern w:val="2"/>
      <w:sz w:val="32"/>
      <w:szCs w:val="32"/>
      <w:lang w:val="en-US" w:eastAsia="zh-CN" w:bidi="ar-SA"/>
    </w:rPr>
  </w:style>
  <w:style w:type="paragraph" w:customStyle="1" w:styleId="723">
    <w:name w:val="正文文本缩进2"/>
    <w:basedOn w:val="1"/>
    <w:qFormat/>
    <w:uiPriority w:val="0"/>
    <w:pPr>
      <w:spacing w:after="120" w:line="480" w:lineRule="exact"/>
      <w:ind w:left="420" w:leftChars="200" w:firstLine="480" w:firstLineChars="200"/>
    </w:pPr>
    <w:rPr>
      <w:rFonts w:ascii="宋体" w:hAnsi="宋体"/>
    </w:rPr>
  </w:style>
  <w:style w:type="paragraph" w:customStyle="1" w:styleId="724">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25">
    <w:name w:val="Table Paragraph"/>
    <w:basedOn w:val="1"/>
    <w:qFormat/>
    <w:uiPriority w:val="1"/>
    <w:rPr>
      <w:rFonts w:ascii="宋体" w:hAnsi="宋体" w:cs="宋体"/>
      <w:szCs w:val="22"/>
      <w:lang w:val="zh-CN" w:bidi="zh-CN"/>
    </w:rPr>
  </w:style>
  <w:style w:type="paragraph" w:customStyle="1" w:styleId="726">
    <w:name w:val="列表段落1"/>
    <w:basedOn w:val="1"/>
    <w:qFormat/>
    <w:uiPriority w:val="99"/>
    <w:pPr>
      <w:ind w:firstLine="420" w:firstLineChars="200"/>
    </w:pPr>
    <w:rPr>
      <w:rFonts w:ascii="Calibri" w:hAnsi="Calibri"/>
    </w:rPr>
  </w:style>
  <w:style w:type="paragraph" w:customStyle="1" w:styleId="727">
    <w:name w:val="宋小四正文"/>
    <w:basedOn w:val="1"/>
    <w:qFormat/>
    <w:uiPriority w:val="0"/>
    <w:pPr>
      <w:spacing w:line="360" w:lineRule="auto"/>
      <w:ind w:firstLine="1446" w:firstLineChars="200"/>
    </w:pPr>
    <w:rPr>
      <w:rFonts w:ascii="Calibri" w:hAnsi="Calibri"/>
      <w:snapToGrid w:val="0"/>
      <w:szCs w:val="22"/>
      <w:lang w:eastAsia="en-US"/>
    </w:rPr>
  </w:style>
  <w:style w:type="paragraph" w:customStyle="1" w:styleId="728">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9">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0">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733">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5">
    <w:name w:val="Normal_30"/>
    <w:qFormat/>
    <w:uiPriority w:val="0"/>
    <w:pPr>
      <w:widowControl w:val="0"/>
      <w:jc w:val="both"/>
    </w:pPr>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31"/>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820BF-CEBA-461E-BBF3-B9E4A1E02B6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31438</Words>
  <Characters>34015</Characters>
  <Lines>268</Lines>
  <Paragraphs>75</Paragraphs>
  <TotalTime>4</TotalTime>
  <ScaleCrop>false</ScaleCrop>
  <LinksUpToDate>false</LinksUpToDate>
  <CharactersWithSpaces>35273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2018-09-26T02:09:00Z</dcterms:created>
  <dc:creator>China</dc:creator>
  <cp:lastModifiedBy>PC</cp:lastModifiedBy>
  <cp:lastPrinted>2019-12-20T05:23:00Z</cp:lastPrinted>
  <dcterms:modified xsi:type="dcterms:W3CDTF">2023-02-10T03:46:24Z</dcterms:modified>
  <cp:revision>1187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C989E37BD65D41EBB7C2351DEB287E5C</vt:lpwstr>
  </property>
</Properties>
</file>