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bCs/>
          <w:color w:val="auto"/>
          <w:sz w:val="36"/>
          <w:szCs w:val="36"/>
          <w:highlight w:val="none"/>
        </w:rPr>
      </w:pPr>
      <w:r>
        <w:rPr>
          <w:rFonts w:ascii="宋体"/>
          <w:b/>
          <w:bCs/>
          <w:color w:val="auto"/>
          <w:sz w:val="36"/>
          <w:szCs w:val="36"/>
          <w:highlight w:val="none"/>
        </w:rPr>
        <w:t xml:space="preserve">      </w:t>
      </w:r>
    </w:p>
    <w:p>
      <w:pPr>
        <w:pStyle w:val="2"/>
        <w:rPr>
          <w:rFonts w:ascii="宋体"/>
          <w:b/>
          <w:bCs/>
          <w:color w:val="auto"/>
          <w:sz w:val="36"/>
          <w:szCs w:val="36"/>
          <w:highlight w:val="none"/>
        </w:rPr>
      </w:pPr>
    </w:p>
    <w:p>
      <w:pPr>
        <w:rPr>
          <w:color w:val="auto"/>
          <w:highlight w:val="none"/>
        </w:rPr>
      </w:pPr>
    </w:p>
    <w:p>
      <w:pPr>
        <w:jc w:val="center"/>
        <w:rPr>
          <w:rFonts w:ascii="宋体"/>
          <w:b/>
          <w:bCs/>
          <w:color w:val="auto"/>
          <w:sz w:val="36"/>
          <w:szCs w:val="36"/>
          <w:highlight w:val="none"/>
        </w:rPr>
      </w:pPr>
    </w:p>
    <w:p>
      <w:pPr>
        <w:jc w:val="center"/>
        <w:rPr>
          <w:rFonts w:ascii="宋体"/>
          <w:b/>
          <w:bCs/>
          <w:color w:val="auto"/>
          <w:sz w:val="84"/>
          <w:szCs w:val="84"/>
          <w:highlight w:val="none"/>
        </w:rPr>
      </w:pPr>
      <w:r>
        <w:rPr>
          <w:rFonts w:hint="eastAsia" w:ascii="宋体"/>
          <w:b/>
          <w:bCs/>
          <w:color w:val="auto"/>
          <w:sz w:val="84"/>
          <w:szCs w:val="84"/>
          <w:highlight w:val="none"/>
        </w:rPr>
        <w:t>招标文件</w:t>
      </w:r>
    </w:p>
    <w:p>
      <w:pPr>
        <w:rPr>
          <w:rFonts w:ascii="宋体"/>
          <w:b/>
          <w:bCs/>
          <w:color w:val="auto"/>
          <w:sz w:val="36"/>
          <w:szCs w:val="36"/>
          <w:highlight w:val="none"/>
        </w:rPr>
      </w:pPr>
      <w:r>
        <w:rPr>
          <w:rFonts w:ascii="宋体"/>
          <w:b/>
          <w:bCs/>
          <w:color w:val="auto"/>
          <w:sz w:val="36"/>
          <w:szCs w:val="36"/>
          <w:highlight w:val="none"/>
        </w:rPr>
        <w:t xml:space="preserve">  </w:t>
      </w:r>
    </w:p>
    <w:p>
      <w:pPr>
        <w:rPr>
          <w:color w:val="auto"/>
          <w:highlight w:val="none"/>
        </w:rPr>
      </w:pPr>
    </w:p>
    <w:p>
      <w:pPr>
        <w:pStyle w:val="2"/>
        <w:rPr>
          <w:color w:val="auto"/>
          <w:highlight w:val="none"/>
        </w:rPr>
      </w:pPr>
    </w:p>
    <w:p>
      <w:pPr>
        <w:rPr>
          <w:color w:val="auto"/>
          <w:highlight w:val="none"/>
        </w:rPr>
      </w:pPr>
    </w:p>
    <w:p>
      <w:pPr>
        <w:ind w:firstLine="562" w:firstLineChars="200"/>
        <w:rPr>
          <w:rFonts w:ascii="宋体"/>
          <w:b/>
          <w:bCs/>
          <w:color w:val="auto"/>
          <w:sz w:val="28"/>
          <w:szCs w:val="28"/>
          <w:highlight w:val="none"/>
        </w:rPr>
      </w:pPr>
    </w:p>
    <w:p>
      <w:pPr>
        <w:ind w:left="2144" w:leftChars="304" w:hanging="1506" w:hangingChars="5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乌鲁木齐市残疾人联合会2023年残疾人成人肢体康复项目</w:t>
      </w:r>
    </w:p>
    <w:p>
      <w:pPr>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采购人（盖章）：乌鲁木齐市残疾人联合会</w:t>
      </w:r>
    </w:p>
    <w:p>
      <w:pPr>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 系 人：刘露</w:t>
      </w:r>
    </w:p>
    <w:p>
      <w:pPr>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电    话：13139913001</w:t>
      </w:r>
    </w:p>
    <w:p>
      <w:pPr>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详细地址：乌鲁木齐市经济技术开发区喀什西路北七巷3号</w:t>
      </w:r>
    </w:p>
    <w:p>
      <w:pPr>
        <w:ind w:firstLine="600" w:firstLineChars="200"/>
        <w:jc w:val="center"/>
        <w:rPr>
          <w:rFonts w:hint="eastAsia" w:ascii="宋体" w:hAnsi="宋体" w:eastAsia="宋体" w:cs="宋体"/>
          <w:b/>
          <w:bCs/>
          <w:color w:val="auto"/>
          <w:sz w:val="30"/>
          <w:szCs w:val="30"/>
          <w:highlight w:val="none"/>
        </w:rPr>
      </w:pPr>
      <w:r>
        <w:rPr>
          <w:rFonts w:hint="eastAsia" w:ascii="宋体" w:hAnsi="宋体" w:eastAsia="宋体" w:cs="宋体"/>
          <w:color w:val="auto"/>
          <w:kern w:val="0"/>
          <w:sz w:val="30"/>
          <w:szCs w:val="30"/>
          <w:highlight w:val="none"/>
        </w:rPr>
        <w:pict>
          <v:line id="Line 2" o:spid="_x0000_s1026" o:spt="20" style="position:absolute;left:0pt;margin-left:23.5pt;margin-top:1.1pt;height:0pt;width:421.15pt;z-index:251659264;mso-width-relative:page;mso-height-relative:page;" coordsize="21600,21600" o:gfxdata="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ciwjDZAAAABgEAAA8AAAAAAAAAAQAgAAAAIgAAAGRycy9k&#10;b3ducmV2LnhtbFBLAQIUABQAAAAIAIdO4kCzz7fdyAEAAJoDAAAOAAAAAAAAAAEAIAAAACgBAABk&#10;cnMvZTJvRG9jLnhtbFBLBQYAAAAABgAGAFkBAABiBQAAAAA=&#10;">
            <v:path arrowok="t"/>
            <v:fill focussize="0,0"/>
            <v:stroke weight="1pt" dashstyle="1 1" endcap="round"/>
            <v:imagedata o:title=""/>
            <o:lock v:ext="edit"/>
          </v:line>
        </w:pict>
      </w:r>
    </w:p>
    <w:p>
      <w:pPr>
        <w:ind w:firstLine="602" w:firstLineChars="200"/>
        <w:rPr>
          <w:rFonts w:hint="eastAsia" w:ascii="宋体" w:hAnsi="宋体" w:eastAsia="宋体" w:cs="宋体"/>
          <w:b/>
          <w:bCs/>
          <w:color w:val="auto"/>
          <w:w w:val="90"/>
          <w:sz w:val="30"/>
          <w:szCs w:val="30"/>
          <w:highlight w:val="none"/>
        </w:rPr>
      </w:pPr>
      <w:r>
        <w:rPr>
          <w:rFonts w:hint="eastAsia" w:ascii="宋体" w:hAnsi="宋体" w:eastAsia="宋体" w:cs="宋体"/>
          <w:b/>
          <w:bCs/>
          <w:color w:val="auto"/>
          <w:sz w:val="30"/>
          <w:szCs w:val="30"/>
          <w:highlight w:val="none"/>
        </w:rPr>
        <w:t>采购代理机构（盖章）：</w:t>
      </w:r>
      <w:r>
        <w:rPr>
          <w:rFonts w:hint="eastAsia" w:ascii="宋体" w:hAnsi="宋体" w:eastAsia="宋体" w:cs="宋体"/>
          <w:b/>
          <w:bCs/>
          <w:color w:val="auto"/>
          <w:sz w:val="30"/>
          <w:szCs w:val="30"/>
          <w:highlight w:val="none"/>
          <w:lang w:eastAsia="zh-CN"/>
        </w:rPr>
        <w:t>新疆嘉良工程项目管理有限责任公司</w:t>
      </w:r>
    </w:p>
    <w:p>
      <w:pPr>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法定代表人（盖章）：</w:t>
      </w:r>
    </w:p>
    <w:p>
      <w:pPr>
        <w:ind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val="en-US" w:eastAsia="zh-CN"/>
        </w:rPr>
        <w:t>程浙新</w:t>
      </w:r>
    </w:p>
    <w:p>
      <w:pPr>
        <w:ind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电  话：</w:t>
      </w:r>
      <w:r>
        <w:rPr>
          <w:rFonts w:hint="eastAsia" w:ascii="宋体" w:hAnsi="宋体" w:eastAsia="宋体" w:cs="宋体"/>
          <w:b/>
          <w:bCs/>
          <w:color w:val="auto"/>
          <w:sz w:val="30"/>
          <w:szCs w:val="30"/>
          <w:highlight w:val="none"/>
          <w:lang w:val="en-US" w:eastAsia="zh-CN"/>
        </w:rPr>
        <w:t>13139606599</w:t>
      </w:r>
    </w:p>
    <w:p>
      <w:pPr>
        <w:ind w:left="2065" w:leftChars="266" w:hanging="1506" w:hangingChars="500"/>
        <w:jc w:val="left"/>
        <w:rPr>
          <w:rFonts w:hint="eastAsia" w:ascii="宋体" w:hAnsi="宋体" w:eastAsia="宋体" w:cs="宋体"/>
          <w:b/>
          <w:bCs/>
          <w:color w:val="auto"/>
          <w:sz w:val="30"/>
          <w:szCs w:val="30"/>
          <w:highlight w:val="none"/>
        </w:rPr>
      </w:pPr>
      <w:r>
        <w:rPr>
          <w:rFonts w:hint="eastAsia" w:ascii="宋体" w:hAnsi="宋体" w:eastAsia="宋体" w:cs="宋体"/>
          <w:b/>
          <w:bCs/>
          <w:color w:val="auto"/>
          <w:kern w:val="0"/>
          <w:sz w:val="30"/>
          <w:szCs w:val="30"/>
          <w:highlight w:val="none"/>
          <w:lang w:val="zh-CN"/>
        </w:rPr>
        <w:t>详细地址</w:t>
      </w:r>
      <w:r>
        <w:rPr>
          <w:rFonts w:hint="eastAsia" w:ascii="宋体" w:hAnsi="宋体" w:eastAsia="宋体" w:cs="宋体"/>
          <w:b/>
          <w:bCs/>
          <w:color w:val="auto"/>
          <w:w w:val="90"/>
          <w:sz w:val="30"/>
          <w:szCs w:val="30"/>
          <w:highlight w:val="none"/>
          <w:lang w:val="zh-CN"/>
        </w:rPr>
        <w:t>：</w:t>
      </w:r>
      <w:r>
        <w:rPr>
          <w:rFonts w:hint="eastAsia" w:ascii="宋体" w:hAnsi="宋体" w:eastAsia="宋体" w:cs="宋体"/>
          <w:b/>
          <w:bCs/>
          <w:color w:val="auto"/>
          <w:sz w:val="30"/>
          <w:szCs w:val="30"/>
          <w:highlight w:val="none"/>
          <w:lang w:eastAsia="zh-CN"/>
        </w:rPr>
        <w:t>乌鲁木齐市水磨沟区红光山路888号绿城广场01栋1#商业综合楼A单元2401室</w:t>
      </w:r>
    </w:p>
    <w:p>
      <w:pPr>
        <w:jc w:val="center"/>
        <w:rPr>
          <w:rFonts w:hint="eastAsia" w:ascii="宋体" w:hAnsi="宋体" w:eastAsia="宋体" w:cs="宋体"/>
          <w:b/>
          <w:bCs/>
          <w:color w:val="auto"/>
          <w:sz w:val="32"/>
          <w:szCs w:val="32"/>
          <w:highlight w:val="none"/>
        </w:rPr>
        <w:sectPr>
          <w:footerReference r:id="rId3" w:type="default"/>
          <w:pgSz w:w="11906" w:h="16838"/>
          <w:pgMar w:top="1219" w:right="1418" w:bottom="1418" w:left="1418" w:header="851" w:footer="992" w:gutter="0"/>
          <w:pgNumType w:start="1"/>
          <w:cols w:space="720" w:num="1"/>
          <w:docGrid w:type="lines" w:linePitch="312" w:charSpace="0"/>
        </w:sectPr>
      </w:pPr>
    </w:p>
    <w:sdt>
      <w:sdtPr>
        <w:rPr>
          <w:rFonts w:ascii="宋体" w:hAnsi="宋体" w:eastAsia="宋体" w:cs="Times New Roman"/>
          <w:b/>
          <w:bCs/>
          <w:color w:val="auto"/>
          <w:kern w:val="2"/>
          <w:sz w:val="32"/>
          <w:szCs w:val="28"/>
          <w:highlight w:val="none"/>
          <w:lang w:val="en-US" w:eastAsia="zh-CN" w:bidi="ar-SA"/>
        </w:rPr>
        <w:id w:val="147459060"/>
        <w15:color w:val="DBDBDB"/>
        <w:docPartObj>
          <w:docPartGallery w:val="Table of Contents"/>
          <w:docPartUnique/>
        </w:docPartObj>
      </w:sdtPr>
      <w:sdtEndPr>
        <w:rPr>
          <w:rFonts w:hint="eastAsia" w:ascii="宋体" w:hAnsi="宋体" w:eastAsia="宋体" w:cs="宋体"/>
          <w:b/>
          <w:bCs/>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b/>
              <w:bCs/>
              <w:color w:val="auto"/>
              <w:kern w:val="2"/>
              <w:sz w:val="32"/>
              <w:szCs w:val="28"/>
              <w:highlight w:val="none"/>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b/>
              <w:bCs/>
              <w:color w:val="auto"/>
              <w:sz w:val="32"/>
              <w:szCs w:val="28"/>
              <w:highlight w:val="none"/>
            </w:rPr>
          </w:pPr>
          <w:r>
            <w:rPr>
              <w:rFonts w:ascii="宋体" w:hAnsi="宋体" w:eastAsia="宋体"/>
              <w:b/>
              <w:bCs/>
              <w:color w:val="auto"/>
              <w:sz w:val="32"/>
              <w:szCs w:val="28"/>
              <w:highlight w:val="none"/>
            </w:rPr>
            <w:t>目录</w:t>
          </w:r>
        </w:p>
        <w:p>
          <w:pPr>
            <w:pStyle w:val="2"/>
            <w:rPr>
              <w:color w:val="auto"/>
              <w:highlight w:val="none"/>
            </w:rPr>
          </w:pPr>
        </w:p>
        <w:p>
          <w:pPr>
            <w:rPr>
              <w:color w:val="auto"/>
              <w:highlight w:val="none"/>
            </w:rPr>
          </w:pPr>
        </w:p>
        <w:p>
          <w:pPr>
            <w:pStyle w:val="22"/>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_Toc30618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lang w:eastAsia="zh-CN" w:bidi="ar"/>
            </w:rPr>
            <w:t>乌鲁木齐市残疾人联合会2023年残疾人成人肢体康复项目</w:t>
          </w: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_Toc30618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_Toc8600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第一章  投标须知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_Toc8600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7"/>
            <w:tabs>
              <w:tab w:val="right" w:leader="dot" w:pos="9070"/>
              <w:tab w:val="clear" w:pos="906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_Toc32532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一、总则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_Toc32532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7"/>
            <w:tabs>
              <w:tab w:val="right" w:leader="dot" w:pos="9070"/>
              <w:tab w:val="clear" w:pos="906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_Toc18025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二、</w:t>
          </w:r>
          <w:r>
            <w:rPr>
              <w:rFonts w:hint="eastAsia" w:ascii="宋体" w:hAnsi="宋体" w:eastAsia="宋体" w:cs="宋体"/>
              <w:bCs/>
              <w:color w:val="auto"/>
              <w:spacing w:val="-14"/>
              <w:sz w:val="28"/>
              <w:szCs w:val="28"/>
              <w:highlight w:val="none"/>
            </w:rPr>
            <w:t>招标文件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_Toc18025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7"/>
            <w:tabs>
              <w:tab w:val="right" w:leader="dot" w:pos="9070"/>
              <w:tab w:val="clear" w:pos="906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_Toc14968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三、投标</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_Toc14968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7"/>
            <w:tabs>
              <w:tab w:val="right" w:leader="dot" w:pos="9070"/>
              <w:tab w:val="clear" w:pos="906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_Toc981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四、投标文件的递交</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_Toc981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7"/>
            <w:tabs>
              <w:tab w:val="right" w:leader="dot" w:pos="9070"/>
              <w:tab w:val="clear" w:pos="906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_Toc27668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五、开标、评审</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_Toc27668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7"/>
            <w:tabs>
              <w:tab w:val="right" w:leader="dot" w:pos="9070"/>
              <w:tab w:val="clear" w:pos="906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_Toc1923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六、定标</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_Toc1923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7"/>
            <w:tabs>
              <w:tab w:val="right" w:leader="dot" w:pos="9070"/>
              <w:tab w:val="clear" w:pos="906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_Toc5408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七、合同签订</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_Toc5408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7"/>
            <w:tabs>
              <w:tab w:val="right" w:leader="dot" w:pos="9070"/>
              <w:tab w:val="clear" w:pos="906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_Toc30520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w w:val="100"/>
              <w:sz w:val="28"/>
              <w:szCs w:val="28"/>
              <w:highlight w:val="none"/>
            </w:rPr>
            <w:t>八、质疑与投诉</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_Toc30520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_Toc28691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第二章合同条款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_Toc28691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_Toc10316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第三章 服务内容及要求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_Toc10316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_Toc22196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第四章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_Toc22196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sdtContent>
    </w:sdt>
    <w:p>
      <w:pPr>
        <w:jc w:val="center"/>
        <w:rPr>
          <w:rFonts w:ascii="宋体"/>
          <w:b/>
          <w:bCs/>
          <w:color w:val="auto"/>
          <w:sz w:val="28"/>
          <w:szCs w:val="28"/>
          <w:highlight w:val="none"/>
        </w:rPr>
      </w:pPr>
      <w:r>
        <w:rPr>
          <w:rFonts w:ascii="宋体"/>
          <w:b/>
          <w:bCs/>
          <w:color w:val="auto"/>
          <w:sz w:val="28"/>
          <w:szCs w:val="28"/>
          <w:highlight w:val="none"/>
        </w:rPr>
        <w:t xml:space="preserve">     </w:t>
      </w:r>
    </w:p>
    <w:p>
      <w:pPr>
        <w:jc w:val="center"/>
        <w:rPr>
          <w:rFonts w:ascii="宋体"/>
          <w:b/>
          <w:bCs/>
          <w:color w:val="auto"/>
          <w:sz w:val="36"/>
          <w:szCs w:val="36"/>
          <w:highlight w:val="none"/>
        </w:rPr>
      </w:pPr>
    </w:p>
    <w:p>
      <w:pPr>
        <w:jc w:val="center"/>
        <w:rPr>
          <w:rFonts w:hint="default" w:ascii="宋体" w:eastAsia="宋体"/>
          <w:b/>
          <w:bCs/>
          <w:color w:val="auto"/>
          <w:sz w:val="36"/>
          <w:szCs w:val="36"/>
          <w:highlight w:val="none"/>
          <w:lang w:val="en-US" w:eastAsia="zh-CN"/>
        </w:rPr>
      </w:pPr>
      <w:r>
        <w:rPr>
          <w:rFonts w:hint="eastAsia" w:ascii="宋体"/>
          <w:b/>
          <w:bCs/>
          <w:color w:val="auto"/>
          <w:sz w:val="36"/>
          <w:szCs w:val="36"/>
          <w:highlight w:val="none"/>
          <w:lang w:val="en-US" w:eastAsia="zh-CN"/>
        </w:rPr>
        <w:t xml:space="preserve">   </w:t>
      </w:r>
    </w:p>
    <w:p>
      <w:pPr>
        <w:spacing w:line="440" w:lineRule="exact"/>
        <w:ind w:firstLine="480" w:firstLineChars="200"/>
        <w:jc w:val="center"/>
        <w:rPr>
          <w:rFonts w:ascii="宋体" w:hAnsi="宋体"/>
          <w:b/>
          <w:bCs/>
          <w:color w:val="auto"/>
          <w:sz w:val="32"/>
          <w:szCs w:val="32"/>
          <w:highlight w:val="none"/>
        </w:rPr>
      </w:pPr>
      <w:r>
        <w:rPr>
          <w:color w:val="auto"/>
          <w:sz w:val="24"/>
          <w:szCs w:val="24"/>
          <w:highlight w:val="none"/>
        </w:rPr>
        <w:t xml:space="preserve">   </w:t>
      </w:r>
    </w:p>
    <w:p>
      <w:pPr>
        <w:spacing w:line="500" w:lineRule="exact"/>
        <w:rPr>
          <w:rFonts w:ascii="黑体" w:eastAsia="黑体"/>
          <w:b/>
          <w:color w:val="auto"/>
          <w:sz w:val="44"/>
          <w:highlight w:val="none"/>
        </w:rPr>
        <w:sectPr>
          <w:footerReference r:id="rId4" w:type="default"/>
          <w:pgSz w:w="11906" w:h="16838"/>
          <w:pgMar w:top="1219" w:right="1418" w:bottom="1418" w:left="1418" w:header="851" w:footer="992" w:gutter="0"/>
          <w:pgNumType w:fmt="decimal" w:start="1"/>
          <w:cols w:space="720" w:num="1"/>
          <w:docGrid w:type="lines" w:linePitch="312" w:charSpace="0"/>
        </w:sectPr>
      </w:pPr>
    </w:p>
    <w:p>
      <w:pPr>
        <w:widowControl/>
        <w:spacing w:line="360" w:lineRule="auto"/>
        <w:jc w:val="center"/>
        <w:outlineLvl w:val="0"/>
        <w:rPr>
          <w:rFonts w:hint="eastAsia" w:ascii="微软雅黑" w:hAnsi="微软雅黑" w:eastAsia="微软雅黑" w:cs="微软雅黑"/>
          <w:color w:val="auto"/>
          <w:sz w:val="24"/>
          <w:szCs w:val="24"/>
          <w:highlight w:val="none"/>
        </w:rPr>
      </w:pPr>
      <w:bookmarkStart w:id="0" w:name="_Toc30618"/>
      <w:bookmarkStart w:id="1" w:name="_Toc374356185"/>
      <w:r>
        <w:rPr>
          <w:rFonts w:hint="eastAsia" w:ascii="微软雅黑" w:hAnsi="微软雅黑" w:eastAsia="微软雅黑" w:cs="微软雅黑"/>
          <w:b/>
          <w:color w:val="auto"/>
          <w:kern w:val="0"/>
          <w:sz w:val="32"/>
          <w:szCs w:val="32"/>
          <w:highlight w:val="none"/>
          <w:lang w:eastAsia="zh-CN" w:bidi="ar"/>
        </w:rPr>
        <w:t>乌鲁木齐市残疾人联合会2023年残疾人成人肢体康复项目</w:t>
      </w:r>
      <w:r>
        <w:rPr>
          <w:rFonts w:hint="eastAsia" w:ascii="微软雅黑" w:hAnsi="微软雅黑" w:eastAsia="微软雅黑" w:cs="微软雅黑"/>
          <w:b/>
          <w:color w:val="auto"/>
          <w:kern w:val="0"/>
          <w:sz w:val="32"/>
          <w:szCs w:val="32"/>
          <w:highlight w:val="none"/>
          <w:lang w:val="en-US" w:eastAsia="zh-CN" w:bidi="ar"/>
        </w:rPr>
        <w:t xml:space="preserve"> </w:t>
      </w:r>
      <w:r>
        <w:rPr>
          <w:rFonts w:hint="eastAsia" w:ascii="微软雅黑" w:hAnsi="微软雅黑" w:eastAsia="微软雅黑" w:cs="微软雅黑"/>
          <w:b/>
          <w:color w:val="auto"/>
          <w:kern w:val="0"/>
          <w:sz w:val="32"/>
          <w:szCs w:val="32"/>
          <w:highlight w:val="none"/>
          <w:lang w:bidi="ar"/>
        </w:rPr>
        <w:t>招标公告</w:t>
      </w:r>
      <w:bookmarkEnd w:id="0"/>
    </w:p>
    <w:p>
      <w:pPr>
        <w:pStyle w:val="30"/>
        <w:spacing w:before="0" w:beforeAutospacing="0" w:after="0" w:afterAutospacing="0" w:line="360" w:lineRule="auto"/>
        <w:outlineLvl w:val="9"/>
        <w:rPr>
          <w:rFonts w:hint="eastAsia" w:ascii="微软雅黑" w:hAnsi="微软雅黑" w:eastAsia="微软雅黑" w:cs="微软雅黑"/>
          <w:color w:val="auto"/>
          <w:sz w:val="24"/>
          <w:szCs w:val="24"/>
          <w:highlight w:val="none"/>
        </w:rPr>
      </w:pPr>
      <w:r>
        <w:rPr>
          <w:rStyle w:val="36"/>
          <w:rFonts w:hint="eastAsia" w:ascii="微软雅黑" w:hAnsi="微软雅黑" w:eastAsia="微软雅黑" w:cs="微软雅黑"/>
          <w:color w:val="auto"/>
          <w:sz w:val="24"/>
          <w:szCs w:val="24"/>
          <w:highlight w:val="none"/>
          <w:lang w:eastAsia="zh-CN"/>
        </w:rPr>
        <w:t>一、项目基本情况</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xjjl-2023-00</w:t>
      </w:r>
      <w:r>
        <w:rPr>
          <w:rFonts w:hint="eastAsia" w:ascii="微软雅黑" w:hAnsi="微软雅黑" w:eastAsia="微软雅黑" w:cs="微软雅黑"/>
          <w:color w:val="auto"/>
          <w:sz w:val="24"/>
          <w:szCs w:val="24"/>
          <w:highlight w:val="none"/>
          <w:lang w:val="en-US" w:eastAsia="zh-CN"/>
        </w:rPr>
        <w:t>3</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微软雅黑" w:hAnsi="微软雅黑" w:eastAsia="微软雅黑" w:cs="微软雅黑"/>
          <w:color w:val="auto"/>
          <w:sz w:val="24"/>
          <w:szCs w:val="24"/>
          <w:highlight w:val="none"/>
          <w:u w:val="single"/>
          <w:lang w:eastAsia="zh-CN"/>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lang w:eastAsia="zh-CN"/>
        </w:rPr>
        <w:t>乌鲁木齐市残疾人联合会2023年残疾人成人肢体康复项目</w:t>
      </w:r>
    </w:p>
    <w:p>
      <w:pPr>
        <w:pStyle w:val="30"/>
        <w:spacing w:before="0" w:beforeAutospacing="0" w:after="0" w:afterAutospacing="0" w:line="360" w:lineRule="auto"/>
        <w:rPr>
          <w:rFonts w:hint="default"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预算金额（元）：</w:t>
      </w:r>
      <w:r>
        <w:rPr>
          <w:rFonts w:hint="eastAsia" w:ascii="微软雅黑" w:hAnsi="微软雅黑" w:eastAsia="微软雅黑" w:cs="微软雅黑"/>
          <w:color w:val="auto"/>
          <w:sz w:val="24"/>
          <w:szCs w:val="24"/>
          <w:highlight w:val="none"/>
          <w:lang w:val="en-US" w:eastAsia="zh-CN"/>
        </w:rPr>
        <w:t>900000</w:t>
      </w:r>
    </w:p>
    <w:p>
      <w:pPr>
        <w:pStyle w:val="30"/>
        <w:spacing w:before="0" w:beforeAutospacing="0" w:after="0" w:afterAutospacing="0" w:line="360" w:lineRule="auto"/>
        <w:rPr>
          <w:rFonts w:hint="default"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最高限价（元）：</w:t>
      </w:r>
      <w:r>
        <w:rPr>
          <w:rFonts w:hint="eastAsia" w:ascii="微软雅黑" w:hAnsi="微软雅黑" w:eastAsia="微软雅黑" w:cs="微软雅黑"/>
          <w:color w:val="auto"/>
          <w:sz w:val="24"/>
          <w:szCs w:val="24"/>
          <w:highlight w:val="none"/>
          <w:lang w:val="en-US" w:eastAsia="zh-CN"/>
        </w:rPr>
        <w:t>900000</w:t>
      </w:r>
    </w:p>
    <w:p>
      <w:pPr>
        <w:widowControl/>
        <w:spacing w:line="360" w:lineRule="auto"/>
        <w:rPr>
          <w:rFonts w:hint="eastAsia" w:ascii="微软雅黑" w:hAnsi="微软雅黑" w:eastAsia="微软雅黑" w:cs="微软雅黑"/>
          <w:color w:val="auto"/>
          <w:kern w:val="0"/>
          <w:sz w:val="24"/>
          <w:szCs w:val="24"/>
          <w:highlight w:val="none"/>
          <w:lang w:bidi="ar"/>
        </w:rPr>
      </w:pPr>
      <w:r>
        <w:rPr>
          <w:rFonts w:hint="eastAsia" w:ascii="微软雅黑" w:hAnsi="微软雅黑" w:eastAsia="微软雅黑" w:cs="微软雅黑"/>
          <w:color w:val="auto"/>
          <w:kern w:val="0"/>
          <w:sz w:val="24"/>
          <w:szCs w:val="24"/>
          <w:highlight w:val="none"/>
          <w:lang w:bidi="ar"/>
        </w:rPr>
        <w:t>采购需求：</w:t>
      </w:r>
    </w:p>
    <w:tbl>
      <w:tblPr>
        <w:tblStyle w:val="33"/>
        <w:tblW w:w="5057" w:type="pct"/>
        <w:jc w:val="center"/>
        <w:tblLayout w:type="fixed"/>
        <w:tblCellMar>
          <w:top w:w="15" w:type="dxa"/>
          <w:left w:w="15" w:type="dxa"/>
          <w:bottom w:w="15" w:type="dxa"/>
          <w:right w:w="15" w:type="dxa"/>
        </w:tblCellMar>
      </w:tblPr>
      <w:tblGrid>
        <w:gridCol w:w="1144"/>
        <w:gridCol w:w="1989"/>
        <w:gridCol w:w="893"/>
        <w:gridCol w:w="1348"/>
        <w:gridCol w:w="570"/>
        <w:gridCol w:w="2070"/>
        <w:gridCol w:w="1022"/>
      </w:tblGrid>
      <w:tr>
        <w:tblPrEx>
          <w:tblCellMar>
            <w:top w:w="15" w:type="dxa"/>
            <w:left w:w="15" w:type="dxa"/>
            <w:bottom w:w="15" w:type="dxa"/>
            <w:right w:w="15" w:type="dxa"/>
          </w:tblCellMar>
        </w:tblPrEx>
        <w:trPr>
          <w:trHeight w:val="1145" w:hRule="atLeast"/>
          <w:jc w:val="center"/>
        </w:trPr>
        <w:tc>
          <w:tcPr>
            <w:tcW w:w="633"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spacing w:line="360" w:lineRule="auto"/>
              <w:rPr>
                <w:rFonts w:hint="eastAsia" w:ascii="微软雅黑" w:hAnsi="微软雅黑" w:eastAsia="微软雅黑" w:cs="微软雅黑"/>
                <w:color w:val="auto"/>
                <w:kern w:val="0"/>
                <w:sz w:val="24"/>
                <w:szCs w:val="24"/>
                <w:highlight w:val="none"/>
                <w:lang w:bidi="ar"/>
              </w:rPr>
            </w:pPr>
            <w:r>
              <w:rPr>
                <w:rFonts w:hint="eastAsia" w:ascii="微软雅黑" w:hAnsi="微软雅黑" w:eastAsia="微软雅黑" w:cs="微软雅黑"/>
                <w:color w:val="auto"/>
                <w:kern w:val="0"/>
                <w:sz w:val="24"/>
                <w:szCs w:val="24"/>
                <w:highlight w:val="none"/>
                <w:lang w:bidi="ar"/>
              </w:rPr>
              <w:t>标</w:t>
            </w:r>
            <w:r>
              <w:rPr>
                <w:rFonts w:hint="eastAsia" w:ascii="微软雅黑" w:hAnsi="微软雅黑" w:eastAsia="微软雅黑" w:cs="微软雅黑"/>
                <w:color w:val="auto"/>
                <w:kern w:val="0"/>
                <w:sz w:val="24"/>
                <w:szCs w:val="24"/>
                <w:highlight w:val="none"/>
                <w:lang w:val="en-US" w:eastAsia="zh-CN" w:bidi="ar"/>
              </w:rPr>
              <w:t xml:space="preserve">  </w:t>
            </w:r>
            <w:r>
              <w:rPr>
                <w:rFonts w:hint="eastAsia" w:ascii="微软雅黑" w:hAnsi="微软雅黑" w:eastAsia="微软雅黑" w:cs="微软雅黑"/>
                <w:color w:val="auto"/>
                <w:kern w:val="0"/>
                <w:sz w:val="24"/>
                <w:szCs w:val="24"/>
                <w:highlight w:val="none"/>
                <w:lang w:bidi="ar"/>
              </w:rPr>
              <w:t>项</w:t>
            </w:r>
          </w:p>
          <w:p>
            <w:pPr>
              <w:widowControl/>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bidi="ar"/>
              </w:rPr>
              <w:t>序</w:t>
            </w:r>
            <w:r>
              <w:rPr>
                <w:rFonts w:hint="eastAsia" w:ascii="微软雅黑" w:hAnsi="微软雅黑" w:eastAsia="微软雅黑" w:cs="微软雅黑"/>
                <w:color w:val="auto"/>
                <w:kern w:val="0"/>
                <w:sz w:val="24"/>
                <w:szCs w:val="24"/>
                <w:highlight w:val="none"/>
                <w:lang w:val="en-US" w:eastAsia="zh-CN" w:bidi="ar"/>
              </w:rPr>
              <w:t xml:space="preserve">  </w:t>
            </w:r>
            <w:r>
              <w:rPr>
                <w:rFonts w:hint="eastAsia" w:ascii="微软雅黑" w:hAnsi="微软雅黑" w:eastAsia="微软雅黑" w:cs="微软雅黑"/>
                <w:color w:val="auto"/>
                <w:kern w:val="0"/>
                <w:sz w:val="24"/>
                <w:szCs w:val="24"/>
                <w:highlight w:val="none"/>
                <w:lang w:bidi="ar"/>
              </w:rPr>
              <w:t>号</w:t>
            </w:r>
          </w:p>
        </w:tc>
        <w:tc>
          <w:tcPr>
            <w:tcW w:w="110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bidi="ar"/>
              </w:rPr>
              <w:t>标项名称</w:t>
            </w:r>
          </w:p>
        </w:tc>
        <w:tc>
          <w:tcPr>
            <w:tcW w:w="49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bidi="ar"/>
              </w:rPr>
              <w:t>数量</w:t>
            </w:r>
          </w:p>
        </w:tc>
        <w:tc>
          <w:tcPr>
            <w:tcW w:w="745"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bidi="ar"/>
              </w:rPr>
              <w:t>预算金额(元)</w:t>
            </w:r>
          </w:p>
        </w:tc>
        <w:tc>
          <w:tcPr>
            <w:tcW w:w="315"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bidi="ar"/>
              </w:rPr>
              <w:t>单位</w:t>
            </w:r>
          </w:p>
        </w:tc>
        <w:tc>
          <w:tcPr>
            <w:tcW w:w="1145"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bidi="ar"/>
              </w:rPr>
              <w:t>简要规格描述</w:t>
            </w:r>
          </w:p>
        </w:tc>
        <w:tc>
          <w:tcPr>
            <w:tcW w:w="565"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bidi="ar"/>
              </w:rPr>
              <w:t>备注</w:t>
            </w:r>
          </w:p>
        </w:tc>
      </w:tr>
      <w:tr>
        <w:tblPrEx>
          <w:tblCellMar>
            <w:top w:w="15" w:type="dxa"/>
            <w:left w:w="15" w:type="dxa"/>
            <w:bottom w:w="15" w:type="dxa"/>
            <w:right w:w="15" w:type="dxa"/>
          </w:tblCellMar>
        </w:tblPrEx>
        <w:trPr>
          <w:trHeight w:val="2432" w:hRule="atLeast"/>
          <w:jc w:val="center"/>
        </w:trPr>
        <w:tc>
          <w:tcPr>
            <w:tcW w:w="633"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eastAsia="zh-CN" w:bidi="ar"/>
              </w:rPr>
              <w:t>xjjl-2023-00</w:t>
            </w:r>
            <w:r>
              <w:rPr>
                <w:rFonts w:hint="eastAsia" w:ascii="微软雅黑" w:hAnsi="微软雅黑" w:eastAsia="微软雅黑" w:cs="微软雅黑"/>
                <w:color w:val="auto"/>
                <w:kern w:val="0"/>
                <w:sz w:val="24"/>
                <w:szCs w:val="24"/>
                <w:highlight w:val="none"/>
                <w:lang w:val="en-US" w:eastAsia="zh-CN" w:bidi="ar"/>
              </w:rPr>
              <w:t>3</w:t>
            </w:r>
          </w:p>
        </w:tc>
        <w:tc>
          <w:tcPr>
            <w:tcW w:w="110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乌鲁木齐市残疾人联合会2023年残疾人成人肢体康复项目</w:t>
            </w:r>
          </w:p>
        </w:tc>
        <w:tc>
          <w:tcPr>
            <w:tcW w:w="49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36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bidi="ar"/>
              </w:rPr>
              <w:t>300</w:t>
            </w:r>
          </w:p>
        </w:tc>
        <w:tc>
          <w:tcPr>
            <w:tcW w:w="745"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360" w:lineRule="auto"/>
              <w:jc w:val="center"/>
              <w:rPr>
                <w:rFonts w:hint="default"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0"/>
                <w:sz w:val="24"/>
                <w:szCs w:val="24"/>
                <w:highlight w:val="none"/>
                <w:lang w:val="en-US" w:eastAsia="zh-CN" w:bidi="ar"/>
              </w:rPr>
              <w:t>900000</w:t>
            </w:r>
          </w:p>
        </w:tc>
        <w:tc>
          <w:tcPr>
            <w:tcW w:w="315"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36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个</w:t>
            </w:r>
          </w:p>
        </w:tc>
        <w:tc>
          <w:tcPr>
            <w:tcW w:w="1145"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残疾人成人肢体康复</w:t>
            </w:r>
          </w:p>
        </w:tc>
        <w:tc>
          <w:tcPr>
            <w:tcW w:w="565"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bidi="ar"/>
              </w:rPr>
              <w:t>详见招标文件</w:t>
            </w:r>
          </w:p>
        </w:tc>
      </w:tr>
    </w:tbl>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合同履行期限： </w:t>
      </w:r>
      <w:r>
        <w:rPr>
          <w:rFonts w:hint="eastAsia" w:ascii="微软雅黑" w:hAnsi="微软雅黑" w:eastAsia="微软雅黑" w:cs="微软雅黑"/>
          <w:color w:val="auto"/>
          <w:sz w:val="24"/>
          <w:szCs w:val="24"/>
          <w:highlight w:val="none"/>
          <w:lang w:val="en-US" w:eastAsia="zh-CN"/>
        </w:rPr>
        <w:t>一年</w:t>
      </w:r>
    </w:p>
    <w:p>
      <w:pPr>
        <w:pStyle w:val="30"/>
        <w:spacing w:before="256" w:beforeAutospacing="0" w:after="256" w:afterAutospacing="0" w:line="360" w:lineRule="auto"/>
        <w:jc w:val="both"/>
        <w:outlineLvl w:val="9"/>
        <w:rPr>
          <w:rFonts w:hint="eastAsia" w:ascii="微软雅黑" w:hAnsi="微软雅黑" w:eastAsia="微软雅黑" w:cs="微软雅黑"/>
          <w:color w:val="auto"/>
          <w:sz w:val="24"/>
          <w:szCs w:val="24"/>
          <w:highlight w:val="none"/>
        </w:rPr>
      </w:pPr>
      <w:r>
        <w:rPr>
          <w:rStyle w:val="36"/>
          <w:rFonts w:hint="eastAsia" w:ascii="微软雅黑" w:hAnsi="微软雅黑" w:eastAsia="微软雅黑" w:cs="微软雅黑"/>
          <w:color w:val="auto"/>
          <w:sz w:val="24"/>
          <w:szCs w:val="24"/>
          <w:highlight w:val="none"/>
          <w:lang w:eastAsia="zh-CN"/>
        </w:rPr>
        <w:t>二、申请人的资格要求：</w:t>
      </w:r>
    </w:p>
    <w:p>
      <w:pPr>
        <w:pStyle w:val="30"/>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1.满足《中华人民共和国政府采购法》第二十二条规定；</w:t>
      </w:r>
    </w:p>
    <w:p>
      <w:pPr>
        <w:pStyle w:val="30"/>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2.落实政府采购政策需满足的资格要求：标项1：供应商为中小企业</w:t>
      </w:r>
    </w:p>
    <w:p>
      <w:pPr>
        <w:pStyle w:val="30"/>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3.本项目的特定资格要求：</w:t>
      </w:r>
    </w:p>
    <w:p>
      <w:pPr>
        <w:pStyle w:val="30"/>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（1）营业执照范围内需具有相关营业内容，能够开展残疾患者康复的机构；</w:t>
      </w:r>
    </w:p>
    <w:p>
      <w:pPr>
        <w:pStyle w:val="30"/>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供应商需是取得乌鲁木齐市</w:t>
      </w:r>
      <w:r>
        <w:rPr>
          <w:rFonts w:hint="eastAsia" w:ascii="微软雅黑" w:hAnsi="微软雅黑" w:eastAsia="微软雅黑" w:cs="微软雅黑"/>
          <w:color w:val="auto"/>
          <w:sz w:val="24"/>
          <w:szCs w:val="24"/>
          <w:highlight w:val="none"/>
          <w:lang w:val="en-US" w:eastAsia="zh-CN"/>
        </w:rPr>
        <w:t>残疾人成人</w:t>
      </w:r>
      <w:r>
        <w:rPr>
          <w:rFonts w:hint="eastAsia" w:ascii="微软雅黑" w:hAnsi="微软雅黑" w:eastAsia="微软雅黑" w:cs="微软雅黑"/>
          <w:color w:val="auto"/>
          <w:sz w:val="24"/>
          <w:szCs w:val="24"/>
          <w:highlight w:val="none"/>
        </w:rPr>
        <w:t>康复定点机构资格的康复机构或医疗机构；</w:t>
      </w:r>
    </w:p>
    <w:p>
      <w:pPr>
        <w:pStyle w:val="30"/>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）具有良好的商业信誉和健全的财务会计制度（需提供202</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年度或</w:t>
      </w:r>
      <w:r>
        <w:rPr>
          <w:rFonts w:hint="eastAsia" w:ascii="微软雅黑" w:hAnsi="微软雅黑" w:eastAsia="微软雅黑" w:cs="微软雅黑"/>
          <w:color w:val="auto"/>
          <w:sz w:val="24"/>
          <w:szCs w:val="24"/>
          <w:highlight w:val="none"/>
          <w:lang w:eastAsia="zh-CN"/>
        </w:rPr>
        <w:t>20</w:t>
      </w:r>
      <w:r>
        <w:rPr>
          <w:rFonts w:hint="eastAsia" w:ascii="微软雅黑" w:hAnsi="微软雅黑" w:eastAsia="微软雅黑" w:cs="微软雅黑"/>
          <w:color w:val="auto"/>
          <w:sz w:val="24"/>
          <w:szCs w:val="24"/>
          <w:highlight w:val="none"/>
          <w:lang w:val="en-US" w:eastAsia="zh-CN"/>
        </w:rPr>
        <w:t>22</w:t>
      </w:r>
      <w:r>
        <w:rPr>
          <w:rFonts w:hint="eastAsia" w:ascii="微软雅黑" w:hAnsi="微软雅黑" w:eastAsia="微软雅黑" w:cs="微软雅黑"/>
          <w:color w:val="auto"/>
          <w:sz w:val="24"/>
          <w:szCs w:val="24"/>
          <w:highlight w:val="none"/>
        </w:rPr>
        <w:t>年度经会计师事务所出具的财务审计报告或其基本开户银行出具的资信证明）；</w:t>
      </w:r>
    </w:p>
    <w:p>
      <w:pPr>
        <w:pStyle w:val="30"/>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）具有依法缴纳税收和社会保障资金的良好记录（需提供投标截止日前六个月内任一个月的企业纳税证明和社保缴费记录证明）；</w:t>
      </w:r>
    </w:p>
    <w:p>
      <w:pPr>
        <w:pStyle w:val="30"/>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）参加政府采购活动前三年内（成立不足三年的从成立之日起算），在经营活动中没有重大违法记录（需提供加盖公章的声明书）；</w:t>
      </w:r>
    </w:p>
    <w:p>
      <w:pPr>
        <w:pStyle w:val="30"/>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（6）具有履行合同所必需的设备及专业技术能力和供应保障能力（需提供加盖公章的声明书）；</w:t>
      </w:r>
    </w:p>
    <w:p>
      <w:pPr>
        <w:pStyle w:val="30"/>
        <w:spacing w:line="360"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lang w:eastAsia="zh-CN"/>
        </w:rPr>
        <w:t>）本项目不接受联合体；</w:t>
      </w:r>
    </w:p>
    <w:p>
      <w:pPr>
        <w:pStyle w:val="30"/>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按照《财政部关于在政府采购活动中查询及使用信用记录有关问题的通知》（财库﹝2016﹞125号）的要求，根据评审时“信用中国”网站（www.creditchina.gov.cn）、“中国政府采购网”的信息，对列入失信被执行人、重大税收违法</w:t>
      </w:r>
      <w:r>
        <w:rPr>
          <w:rFonts w:hint="eastAsia" w:ascii="微软雅黑" w:hAnsi="微软雅黑" w:eastAsia="微软雅黑" w:cs="微软雅黑"/>
          <w:color w:val="auto"/>
          <w:sz w:val="24"/>
          <w:szCs w:val="24"/>
          <w:highlight w:val="none"/>
          <w:lang w:val="en-US" w:eastAsia="zh-CN"/>
        </w:rPr>
        <w:t>失信主体</w:t>
      </w:r>
      <w:r>
        <w:rPr>
          <w:rFonts w:hint="eastAsia" w:ascii="微软雅黑" w:hAnsi="微软雅黑" w:eastAsia="微软雅黑" w:cs="微软雅黑"/>
          <w:color w:val="auto"/>
          <w:sz w:val="24"/>
          <w:szCs w:val="24"/>
          <w:highlight w:val="none"/>
        </w:rPr>
        <w:t>、政府采购严重违法失信行为记录名单的供应商，拒绝其参与政府采购活动（处罚决定规定的时间和地域范围内）。信用信息截止时点为报名期限内；</w:t>
      </w:r>
    </w:p>
    <w:p>
      <w:pPr>
        <w:pStyle w:val="30"/>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）投标单位须提供法人授权委托书及有效身份证明原件或法人身份证明及有效身份证明原件；</w:t>
      </w:r>
    </w:p>
    <w:p>
      <w:pPr>
        <w:pStyle w:val="30"/>
        <w:spacing w:before="0" w:beforeAutospacing="0" w:after="0" w:afterAutospacing="0" w:line="360" w:lineRule="auto"/>
        <w:outlineLvl w:val="9"/>
        <w:rPr>
          <w:rFonts w:hint="eastAsia" w:ascii="微软雅黑" w:hAnsi="微软雅黑" w:eastAsia="微软雅黑" w:cs="微软雅黑"/>
          <w:color w:val="auto"/>
          <w:sz w:val="24"/>
          <w:szCs w:val="24"/>
          <w:highlight w:val="none"/>
        </w:rPr>
      </w:pPr>
      <w:r>
        <w:rPr>
          <w:rStyle w:val="36"/>
          <w:rFonts w:hint="eastAsia" w:ascii="微软雅黑" w:hAnsi="微软雅黑" w:eastAsia="微软雅黑" w:cs="微软雅黑"/>
          <w:color w:val="auto"/>
          <w:sz w:val="24"/>
          <w:szCs w:val="24"/>
          <w:highlight w:val="none"/>
          <w:lang w:eastAsia="zh-CN"/>
        </w:rPr>
        <w:t>三、获取招标文件</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w:t>
      </w:r>
      <w:r>
        <w:rPr>
          <w:rFonts w:hint="eastAsia" w:ascii="微软雅黑" w:hAnsi="微软雅黑" w:eastAsia="微软雅黑" w:cs="微软雅黑"/>
          <w:color w:val="auto"/>
          <w:sz w:val="24"/>
          <w:szCs w:val="24"/>
          <w:highlight w:val="none"/>
        </w:rPr>
        <w:t>方式：线下获取</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获取</w:t>
      </w: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u w:val="single"/>
        </w:rPr>
        <w:t> 202</w:t>
      </w:r>
      <w:r>
        <w:rPr>
          <w:rFonts w:hint="eastAsia" w:ascii="微软雅黑" w:hAnsi="微软雅黑" w:eastAsia="微软雅黑" w:cs="微软雅黑"/>
          <w:color w:val="auto"/>
          <w:sz w:val="24"/>
          <w:szCs w:val="24"/>
          <w:highlight w:val="none"/>
          <w:u w:val="single"/>
          <w:lang w:val="en-US" w:eastAsia="zh-CN"/>
        </w:rPr>
        <w:t>3</w:t>
      </w:r>
      <w:r>
        <w:rPr>
          <w:rFonts w:hint="eastAsia" w:ascii="微软雅黑" w:hAnsi="微软雅黑" w:eastAsia="微软雅黑" w:cs="微软雅黑"/>
          <w:color w:val="auto"/>
          <w:sz w:val="24"/>
          <w:szCs w:val="24"/>
          <w:highlight w:val="none"/>
          <w:u w:val="single"/>
        </w:rPr>
        <w:t>年</w:t>
      </w:r>
      <w:r>
        <w:rPr>
          <w:rFonts w:hint="eastAsia" w:ascii="微软雅黑" w:hAnsi="微软雅黑" w:eastAsia="微软雅黑" w:cs="微软雅黑"/>
          <w:color w:val="auto"/>
          <w:sz w:val="24"/>
          <w:szCs w:val="24"/>
          <w:highlight w:val="none"/>
          <w:u w:val="single"/>
          <w:lang w:val="en-US" w:eastAsia="zh-CN"/>
        </w:rPr>
        <w:t>02</w:t>
      </w:r>
      <w:r>
        <w:rPr>
          <w:rFonts w:hint="eastAsia" w:ascii="微软雅黑" w:hAnsi="微软雅黑" w:eastAsia="微软雅黑" w:cs="微软雅黑"/>
          <w:color w:val="auto"/>
          <w:sz w:val="24"/>
          <w:szCs w:val="24"/>
          <w:highlight w:val="none"/>
          <w:u w:val="single"/>
        </w:rPr>
        <w:t>月</w:t>
      </w:r>
      <w:r>
        <w:rPr>
          <w:rFonts w:hint="eastAsia" w:ascii="微软雅黑" w:hAnsi="微软雅黑" w:eastAsia="微软雅黑" w:cs="微软雅黑"/>
          <w:color w:val="auto"/>
          <w:sz w:val="24"/>
          <w:szCs w:val="24"/>
          <w:highlight w:val="none"/>
          <w:u w:val="single"/>
          <w:lang w:val="en-US" w:eastAsia="zh-CN"/>
        </w:rPr>
        <w:t>28</w:t>
      </w:r>
      <w:r>
        <w:rPr>
          <w:rFonts w:hint="eastAsia" w:ascii="微软雅黑" w:hAnsi="微软雅黑" w:eastAsia="微软雅黑" w:cs="微软雅黑"/>
          <w:color w:val="auto"/>
          <w:sz w:val="24"/>
          <w:szCs w:val="24"/>
          <w:highlight w:val="none"/>
          <w:u w:val="single"/>
        </w:rPr>
        <w:t>日 </w:t>
      </w:r>
      <w:r>
        <w:rPr>
          <w:rFonts w:hint="eastAsia" w:ascii="微软雅黑" w:hAnsi="微软雅黑" w:eastAsia="微软雅黑" w:cs="微软雅黑"/>
          <w:color w:val="auto"/>
          <w:sz w:val="24"/>
          <w:szCs w:val="24"/>
          <w:highlight w:val="none"/>
        </w:rPr>
        <w:t>至 </w:t>
      </w:r>
      <w:r>
        <w:rPr>
          <w:rFonts w:hint="eastAsia" w:ascii="微软雅黑" w:hAnsi="微软雅黑" w:eastAsia="微软雅黑" w:cs="微软雅黑"/>
          <w:color w:val="auto"/>
          <w:sz w:val="24"/>
          <w:szCs w:val="24"/>
          <w:highlight w:val="none"/>
          <w:u w:val="single"/>
        </w:rPr>
        <w:t> 2023年</w:t>
      </w:r>
      <w:r>
        <w:rPr>
          <w:rFonts w:hint="eastAsia" w:ascii="微软雅黑" w:hAnsi="微软雅黑" w:eastAsia="微软雅黑" w:cs="微软雅黑"/>
          <w:color w:val="auto"/>
          <w:sz w:val="24"/>
          <w:szCs w:val="24"/>
          <w:highlight w:val="none"/>
          <w:u w:val="single"/>
          <w:lang w:val="en-US" w:eastAsia="zh-CN"/>
        </w:rPr>
        <w:t>03</w:t>
      </w:r>
      <w:r>
        <w:rPr>
          <w:rFonts w:hint="eastAsia" w:ascii="微软雅黑" w:hAnsi="微软雅黑" w:eastAsia="微软雅黑" w:cs="微软雅黑"/>
          <w:color w:val="auto"/>
          <w:sz w:val="24"/>
          <w:szCs w:val="24"/>
          <w:highlight w:val="none"/>
          <w:u w:val="single"/>
        </w:rPr>
        <w:t>月</w:t>
      </w:r>
      <w:r>
        <w:rPr>
          <w:rFonts w:hint="eastAsia" w:ascii="微软雅黑" w:hAnsi="微软雅黑" w:eastAsia="微软雅黑" w:cs="微软雅黑"/>
          <w:color w:val="auto"/>
          <w:sz w:val="24"/>
          <w:szCs w:val="24"/>
          <w:highlight w:val="none"/>
          <w:u w:val="single"/>
          <w:lang w:val="en-US" w:eastAsia="zh-CN"/>
        </w:rPr>
        <w:t>06</w:t>
      </w:r>
      <w:r>
        <w:rPr>
          <w:rFonts w:hint="eastAsia" w:ascii="微软雅黑" w:hAnsi="微软雅黑" w:eastAsia="微软雅黑" w:cs="微软雅黑"/>
          <w:color w:val="auto"/>
          <w:sz w:val="24"/>
          <w:szCs w:val="24"/>
          <w:highlight w:val="none"/>
          <w:u w:val="single"/>
        </w:rPr>
        <w:t>日 </w:t>
      </w:r>
      <w:r>
        <w:rPr>
          <w:rFonts w:hint="eastAsia" w:ascii="微软雅黑" w:hAnsi="微软雅黑" w:eastAsia="微软雅黑" w:cs="微软雅黑"/>
          <w:color w:val="auto"/>
          <w:sz w:val="24"/>
          <w:szCs w:val="24"/>
          <w:highlight w:val="none"/>
        </w:rPr>
        <w:t>，每天上午</w:t>
      </w:r>
      <w:r>
        <w:rPr>
          <w:rFonts w:hint="eastAsia" w:ascii="微软雅黑" w:hAnsi="微软雅黑" w:eastAsia="微软雅黑" w:cs="微软雅黑"/>
          <w:color w:val="auto"/>
          <w:sz w:val="24"/>
          <w:szCs w:val="24"/>
          <w:highlight w:val="none"/>
          <w:u w:val="single"/>
        </w:rPr>
        <w:t> 10:30至</w:t>
      </w:r>
      <w:r>
        <w:rPr>
          <w:rFonts w:hint="eastAsia" w:ascii="微软雅黑" w:hAnsi="微软雅黑" w:eastAsia="微软雅黑" w:cs="微软雅黑"/>
          <w:color w:val="auto"/>
          <w:sz w:val="24"/>
          <w:szCs w:val="24"/>
          <w:highlight w:val="none"/>
          <w:u w:val="single"/>
          <w:lang w:val="en-US" w:eastAsia="zh-CN"/>
        </w:rPr>
        <w:t>13</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u w:val="single"/>
          <w:lang w:val="en-US" w:eastAsia="zh-CN"/>
        </w:rPr>
        <w:t>3</w:t>
      </w:r>
      <w:r>
        <w:rPr>
          <w:rFonts w:hint="eastAsia" w:ascii="微软雅黑" w:hAnsi="微软雅黑" w:eastAsia="微软雅黑" w:cs="微软雅黑"/>
          <w:color w:val="auto"/>
          <w:sz w:val="24"/>
          <w:szCs w:val="24"/>
          <w:highlight w:val="none"/>
          <w:u w:val="single"/>
        </w:rPr>
        <w:t>0</w:t>
      </w:r>
      <w:r>
        <w:rPr>
          <w:rFonts w:hint="eastAsia" w:ascii="微软雅黑" w:hAnsi="微软雅黑" w:eastAsia="微软雅黑" w:cs="微软雅黑"/>
          <w:color w:val="auto"/>
          <w:sz w:val="24"/>
          <w:szCs w:val="24"/>
          <w:highlight w:val="none"/>
        </w:rPr>
        <w:t> ，下午</w:t>
      </w:r>
      <w:r>
        <w:rPr>
          <w:rFonts w:hint="eastAsia" w:ascii="微软雅黑" w:hAnsi="微软雅黑" w:eastAsia="微软雅黑" w:cs="微软雅黑"/>
          <w:color w:val="auto"/>
          <w:sz w:val="24"/>
          <w:szCs w:val="24"/>
          <w:highlight w:val="none"/>
          <w:u w:val="single"/>
        </w:rPr>
        <w:t> 1</w:t>
      </w:r>
      <w:r>
        <w:rPr>
          <w:rFonts w:hint="eastAsia" w:ascii="微软雅黑" w:hAnsi="微软雅黑" w:eastAsia="微软雅黑" w:cs="微软雅黑"/>
          <w:color w:val="auto"/>
          <w:sz w:val="24"/>
          <w:szCs w:val="24"/>
          <w:highlight w:val="none"/>
          <w:u w:val="single"/>
          <w:lang w:val="en-US" w:eastAsia="zh-CN"/>
        </w:rPr>
        <w:t>5</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u w:val="single"/>
          <w:lang w:val="en-US" w:eastAsia="zh-CN"/>
        </w:rPr>
        <w:t>3</w:t>
      </w:r>
      <w:r>
        <w:rPr>
          <w:rFonts w:hint="eastAsia" w:ascii="微软雅黑" w:hAnsi="微软雅黑" w:eastAsia="微软雅黑" w:cs="微软雅黑"/>
          <w:color w:val="auto"/>
          <w:sz w:val="24"/>
          <w:szCs w:val="24"/>
          <w:highlight w:val="none"/>
          <w:u w:val="single"/>
        </w:rPr>
        <w:t>0至1</w:t>
      </w:r>
      <w:r>
        <w:rPr>
          <w:rFonts w:hint="eastAsia" w:ascii="微软雅黑" w:hAnsi="微软雅黑" w:eastAsia="微软雅黑" w:cs="微软雅黑"/>
          <w:color w:val="auto"/>
          <w:sz w:val="24"/>
          <w:szCs w:val="24"/>
          <w:highlight w:val="none"/>
          <w:u w:val="single"/>
          <w:lang w:val="en-US" w:eastAsia="zh-CN"/>
        </w:rPr>
        <w:t>9</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u w:val="single"/>
          <w:lang w:val="en-US" w:eastAsia="zh-CN"/>
        </w:rPr>
        <w:t>0</w:t>
      </w:r>
      <w:r>
        <w:rPr>
          <w:rFonts w:hint="eastAsia" w:ascii="微软雅黑" w:hAnsi="微软雅黑" w:eastAsia="微软雅黑" w:cs="微软雅黑"/>
          <w:color w:val="auto"/>
          <w:sz w:val="24"/>
          <w:szCs w:val="24"/>
          <w:highlight w:val="none"/>
          <w:u w:val="single"/>
        </w:rPr>
        <w:t>0 </w:t>
      </w:r>
      <w:r>
        <w:rPr>
          <w:rFonts w:hint="eastAsia" w:ascii="微软雅黑" w:hAnsi="微软雅黑" w:eastAsia="微软雅黑" w:cs="微软雅黑"/>
          <w:color w:val="auto"/>
          <w:sz w:val="24"/>
          <w:szCs w:val="24"/>
          <w:highlight w:val="none"/>
        </w:rPr>
        <w:t>（北京时间；法定节假日除外）</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获取</w:t>
      </w: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eastAsia="zh-CN"/>
        </w:rPr>
        <w:t>乌鲁木齐市水磨沟区红光山路888号绿城广场01栋1#商业综合楼A单元2401室，</w:t>
      </w:r>
      <w:r>
        <w:rPr>
          <w:rFonts w:hint="eastAsia" w:ascii="微软雅黑" w:hAnsi="微软雅黑" w:eastAsia="微软雅黑" w:cs="微软雅黑"/>
          <w:color w:val="auto"/>
          <w:sz w:val="24"/>
          <w:szCs w:val="24"/>
          <w:highlight w:val="none"/>
        </w:rPr>
        <w:t>获取文件时需携带的资料：</w:t>
      </w:r>
      <w:r>
        <w:rPr>
          <w:rFonts w:hint="eastAsia" w:ascii="微软雅黑" w:hAnsi="微软雅黑" w:eastAsia="微软雅黑" w:cs="微软雅黑"/>
          <w:color w:val="auto"/>
          <w:sz w:val="24"/>
          <w:szCs w:val="24"/>
          <w:highlight w:val="none"/>
          <w:lang w:val="en-US" w:eastAsia="zh-CN"/>
        </w:rPr>
        <w:t>资格要求中的材料复印件</w:t>
      </w:r>
      <w:r>
        <w:rPr>
          <w:rFonts w:hint="eastAsia" w:ascii="微软雅黑" w:hAnsi="微软雅黑" w:eastAsia="微软雅黑" w:cs="微软雅黑"/>
          <w:color w:val="auto"/>
          <w:sz w:val="24"/>
          <w:szCs w:val="24"/>
          <w:highlight w:val="none"/>
        </w:rPr>
        <w:t>加盖公章并携带原件核查。</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售价（元）：</w:t>
      </w:r>
      <w:r>
        <w:rPr>
          <w:rFonts w:hint="eastAsia" w:ascii="微软雅黑" w:hAnsi="微软雅黑" w:eastAsia="微软雅黑" w:cs="微软雅黑"/>
          <w:color w:val="auto"/>
          <w:sz w:val="24"/>
          <w:szCs w:val="24"/>
          <w:highlight w:val="none"/>
          <w:lang w:val="en-US" w:eastAsia="zh-CN"/>
        </w:rPr>
        <w:t>200</w:t>
      </w:r>
      <w:r>
        <w:rPr>
          <w:rFonts w:hint="eastAsia" w:ascii="微软雅黑" w:hAnsi="微软雅黑" w:eastAsia="微软雅黑" w:cs="微软雅黑"/>
          <w:color w:val="auto"/>
          <w:sz w:val="24"/>
          <w:szCs w:val="24"/>
          <w:highlight w:val="none"/>
        </w:rPr>
        <w:t>元</w:t>
      </w:r>
    </w:p>
    <w:p>
      <w:pPr>
        <w:pStyle w:val="30"/>
        <w:spacing w:before="0" w:beforeAutospacing="0" w:after="0" w:afterAutospacing="0" w:line="360" w:lineRule="auto"/>
        <w:outlineLvl w:val="9"/>
        <w:rPr>
          <w:rFonts w:hint="eastAsia" w:ascii="微软雅黑" w:hAnsi="微软雅黑" w:eastAsia="微软雅黑" w:cs="微软雅黑"/>
          <w:color w:val="auto"/>
          <w:sz w:val="24"/>
          <w:szCs w:val="24"/>
          <w:highlight w:val="none"/>
        </w:rPr>
      </w:pPr>
      <w:r>
        <w:rPr>
          <w:rStyle w:val="36"/>
          <w:rFonts w:hint="eastAsia" w:ascii="微软雅黑" w:hAnsi="微软雅黑" w:eastAsia="微软雅黑" w:cs="微软雅黑"/>
          <w:color w:val="auto"/>
          <w:sz w:val="24"/>
          <w:szCs w:val="24"/>
          <w:highlight w:val="none"/>
          <w:lang w:eastAsia="zh-CN"/>
        </w:rPr>
        <w:t>四、提交投标文件截止时间、开标时间和地点</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提交投标文件截止时间：</w:t>
      </w:r>
      <w:r>
        <w:rPr>
          <w:rFonts w:hint="eastAsia" w:ascii="微软雅黑" w:hAnsi="微软雅黑" w:eastAsia="微软雅黑" w:cs="微软雅黑"/>
          <w:color w:val="auto"/>
          <w:sz w:val="24"/>
          <w:szCs w:val="24"/>
          <w:highlight w:val="none"/>
          <w:u w:val="single"/>
        </w:rPr>
        <w:t>   2023年</w:t>
      </w:r>
      <w:r>
        <w:rPr>
          <w:rFonts w:hint="eastAsia" w:ascii="微软雅黑" w:hAnsi="微软雅黑" w:eastAsia="微软雅黑" w:cs="微软雅黑"/>
          <w:color w:val="auto"/>
          <w:sz w:val="24"/>
          <w:szCs w:val="24"/>
          <w:highlight w:val="none"/>
          <w:u w:val="single"/>
          <w:lang w:val="en-US" w:eastAsia="zh-CN"/>
        </w:rPr>
        <w:t>03</w:t>
      </w:r>
      <w:r>
        <w:rPr>
          <w:rFonts w:hint="eastAsia" w:ascii="微软雅黑" w:hAnsi="微软雅黑" w:eastAsia="微软雅黑" w:cs="微软雅黑"/>
          <w:color w:val="auto"/>
          <w:sz w:val="24"/>
          <w:szCs w:val="24"/>
          <w:highlight w:val="none"/>
          <w:u w:val="single"/>
        </w:rPr>
        <w:t>月</w:t>
      </w:r>
      <w:r>
        <w:rPr>
          <w:rFonts w:hint="eastAsia" w:ascii="微软雅黑" w:hAnsi="微软雅黑" w:eastAsia="微软雅黑" w:cs="微软雅黑"/>
          <w:color w:val="auto"/>
          <w:sz w:val="24"/>
          <w:szCs w:val="24"/>
          <w:highlight w:val="none"/>
          <w:u w:val="single"/>
          <w:lang w:val="en-US" w:eastAsia="zh-CN"/>
        </w:rPr>
        <w:t>10</w:t>
      </w:r>
      <w:r>
        <w:rPr>
          <w:rFonts w:hint="eastAsia" w:ascii="微软雅黑" w:hAnsi="微软雅黑" w:eastAsia="微软雅黑" w:cs="微软雅黑"/>
          <w:color w:val="auto"/>
          <w:sz w:val="24"/>
          <w:szCs w:val="24"/>
          <w:highlight w:val="none"/>
          <w:u w:val="single"/>
        </w:rPr>
        <w:t>日 11:00  </w:t>
      </w:r>
      <w:r>
        <w:rPr>
          <w:rFonts w:hint="eastAsia" w:ascii="微软雅黑" w:hAnsi="微软雅黑" w:eastAsia="微软雅黑" w:cs="微软雅黑"/>
          <w:color w:val="auto"/>
          <w:sz w:val="24"/>
          <w:szCs w:val="24"/>
          <w:highlight w:val="none"/>
        </w:rPr>
        <w:t>（北京时间）</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投标地点（网址）：</w:t>
      </w:r>
      <w:r>
        <w:rPr>
          <w:rFonts w:hint="eastAsia" w:ascii="微软雅黑" w:hAnsi="微软雅黑" w:eastAsia="微软雅黑" w:cs="微软雅黑"/>
          <w:color w:val="auto"/>
          <w:sz w:val="24"/>
          <w:szCs w:val="24"/>
          <w:highlight w:val="none"/>
          <w:u w:val="single"/>
          <w:lang w:eastAsia="zh-CN"/>
        </w:rPr>
        <w:t>乌鲁木齐市水磨沟区红光山路888号绿城广场01栋1#商业综合楼A单元2401室</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开标时间：</w:t>
      </w:r>
      <w:r>
        <w:rPr>
          <w:rFonts w:hint="eastAsia" w:ascii="微软雅黑" w:hAnsi="微软雅黑" w:eastAsia="微软雅黑" w:cs="微软雅黑"/>
          <w:color w:val="auto"/>
          <w:sz w:val="24"/>
          <w:szCs w:val="24"/>
          <w:highlight w:val="none"/>
          <w:u w:val="single"/>
        </w:rPr>
        <w:t> 2023年</w:t>
      </w:r>
      <w:r>
        <w:rPr>
          <w:rFonts w:hint="eastAsia" w:ascii="微软雅黑" w:hAnsi="微软雅黑" w:eastAsia="微软雅黑" w:cs="微软雅黑"/>
          <w:color w:val="auto"/>
          <w:sz w:val="24"/>
          <w:szCs w:val="24"/>
          <w:highlight w:val="none"/>
          <w:u w:val="single"/>
          <w:lang w:val="en-US" w:eastAsia="zh-CN"/>
        </w:rPr>
        <w:t>03</w:t>
      </w:r>
      <w:r>
        <w:rPr>
          <w:rFonts w:hint="eastAsia" w:ascii="微软雅黑" w:hAnsi="微软雅黑" w:eastAsia="微软雅黑" w:cs="微软雅黑"/>
          <w:color w:val="auto"/>
          <w:sz w:val="24"/>
          <w:szCs w:val="24"/>
          <w:highlight w:val="none"/>
          <w:u w:val="single"/>
        </w:rPr>
        <w:t>月</w:t>
      </w:r>
      <w:r>
        <w:rPr>
          <w:rFonts w:hint="eastAsia" w:ascii="微软雅黑" w:hAnsi="微软雅黑" w:eastAsia="微软雅黑" w:cs="微软雅黑"/>
          <w:color w:val="auto"/>
          <w:sz w:val="24"/>
          <w:szCs w:val="24"/>
          <w:highlight w:val="none"/>
          <w:u w:val="single"/>
          <w:lang w:val="en-US" w:eastAsia="zh-CN"/>
        </w:rPr>
        <w:t>10</w:t>
      </w:r>
      <w:r>
        <w:rPr>
          <w:rFonts w:hint="eastAsia" w:ascii="微软雅黑" w:hAnsi="微软雅黑" w:eastAsia="微软雅黑" w:cs="微软雅黑"/>
          <w:color w:val="auto"/>
          <w:sz w:val="24"/>
          <w:szCs w:val="24"/>
          <w:highlight w:val="none"/>
          <w:u w:val="single"/>
        </w:rPr>
        <w:t>日 11:00 </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开标地点（网址）：</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eastAsia="zh-CN"/>
        </w:rPr>
        <w:t>乌鲁木齐市水磨沟区红光山路888号绿城广场01栋1#商业综合楼A单元2401室</w:t>
      </w:r>
    </w:p>
    <w:p>
      <w:pPr>
        <w:pStyle w:val="30"/>
        <w:spacing w:before="256" w:beforeAutospacing="0" w:after="256" w:afterAutospacing="0" w:line="360" w:lineRule="auto"/>
        <w:jc w:val="both"/>
        <w:outlineLvl w:val="9"/>
        <w:rPr>
          <w:rFonts w:hint="eastAsia" w:ascii="微软雅黑" w:hAnsi="微软雅黑" w:eastAsia="微软雅黑" w:cs="微软雅黑"/>
          <w:color w:val="auto"/>
          <w:sz w:val="24"/>
          <w:szCs w:val="24"/>
          <w:highlight w:val="none"/>
        </w:rPr>
      </w:pPr>
      <w:r>
        <w:rPr>
          <w:rStyle w:val="36"/>
          <w:rFonts w:hint="eastAsia" w:ascii="微软雅黑" w:hAnsi="微软雅黑" w:eastAsia="微软雅黑" w:cs="微软雅黑"/>
          <w:color w:val="auto"/>
          <w:sz w:val="24"/>
          <w:szCs w:val="24"/>
          <w:highlight w:val="none"/>
          <w:lang w:eastAsia="zh-CN"/>
        </w:rPr>
        <w:t>五、公告期限</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自本公告发布之日起5个工作日。</w:t>
      </w:r>
    </w:p>
    <w:p>
      <w:pPr>
        <w:pStyle w:val="30"/>
        <w:spacing w:before="256" w:beforeAutospacing="0" w:after="256" w:afterAutospacing="0" w:line="360" w:lineRule="auto"/>
        <w:jc w:val="both"/>
        <w:rPr>
          <w:rFonts w:hint="eastAsia" w:ascii="微软雅黑" w:hAnsi="微软雅黑" w:eastAsia="微软雅黑" w:cs="微软雅黑"/>
          <w:color w:val="auto"/>
          <w:sz w:val="24"/>
          <w:szCs w:val="24"/>
          <w:highlight w:val="none"/>
        </w:rPr>
      </w:pPr>
      <w:r>
        <w:rPr>
          <w:rStyle w:val="36"/>
          <w:rFonts w:hint="eastAsia" w:ascii="微软雅黑" w:hAnsi="微软雅黑" w:eastAsia="微软雅黑" w:cs="微软雅黑"/>
          <w:color w:val="auto"/>
          <w:sz w:val="24"/>
          <w:szCs w:val="24"/>
          <w:highlight w:val="none"/>
          <w:lang w:eastAsia="zh-CN"/>
        </w:rPr>
        <w:t>六、对本次招标提出询问，请按以下方式联系。</w:t>
      </w:r>
      <w:r>
        <w:rPr>
          <w:rFonts w:hint="eastAsia" w:ascii="微软雅黑" w:hAnsi="微软雅黑" w:eastAsia="微软雅黑" w:cs="微软雅黑"/>
          <w:color w:val="auto"/>
          <w:sz w:val="24"/>
          <w:szCs w:val="24"/>
          <w:highlight w:val="none"/>
        </w:rPr>
        <w:t>　　　　　　　　　　　　</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1.采购人信息</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名    称：</w:t>
      </w:r>
      <w:r>
        <w:rPr>
          <w:rFonts w:hint="eastAsia" w:ascii="微软雅黑" w:hAnsi="微软雅黑" w:eastAsia="微软雅黑" w:cs="微软雅黑"/>
          <w:color w:val="auto"/>
          <w:sz w:val="24"/>
          <w:szCs w:val="24"/>
          <w:highlight w:val="none"/>
          <w:u w:val="single"/>
          <w:lang w:eastAsia="zh-CN"/>
        </w:rPr>
        <w:t>乌鲁木齐市残疾人联合会</w:t>
      </w:r>
      <w:r>
        <w:rPr>
          <w:rFonts w:hint="eastAsia" w:ascii="微软雅黑" w:hAnsi="微软雅黑" w:eastAsia="微软雅黑" w:cs="微软雅黑"/>
          <w:color w:val="auto"/>
          <w:sz w:val="24"/>
          <w:szCs w:val="24"/>
          <w:highlight w:val="none"/>
        </w:rPr>
        <w:t>　　　　　　　　　</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地    址：</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eastAsia="zh-CN"/>
        </w:rPr>
        <w:t>乌鲁木齐市经济技术开发区喀什西路北七巷3号</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项目联系人：</w:t>
      </w:r>
      <w:r>
        <w:rPr>
          <w:rFonts w:hint="eastAsia" w:ascii="微软雅黑" w:hAnsi="微软雅黑" w:eastAsia="微软雅黑" w:cs="微软雅黑"/>
          <w:color w:val="auto"/>
          <w:sz w:val="24"/>
          <w:szCs w:val="24"/>
          <w:highlight w:val="none"/>
          <w:u w:val="single"/>
          <w:lang w:eastAsia="zh-CN"/>
        </w:rPr>
        <w:t xml:space="preserve">刘露  </w:t>
      </w:r>
      <w:r>
        <w:rPr>
          <w:rFonts w:hint="eastAsia" w:ascii="微软雅黑" w:hAnsi="微软雅黑" w:eastAsia="微软雅黑" w:cs="微软雅黑"/>
          <w:color w:val="auto"/>
          <w:sz w:val="24"/>
          <w:szCs w:val="24"/>
          <w:highlight w:val="none"/>
        </w:rPr>
        <w:t>　　　　　　　　　　</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项目联系方式：</w:t>
      </w:r>
      <w:r>
        <w:rPr>
          <w:rFonts w:hint="eastAsia" w:ascii="微软雅黑" w:hAnsi="微软雅黑" w:eastAsia="微软雅黑" w:cs="微软雅黑"/>
          <w:color w:val="auto"/>
          <w:sz w:val="24"/>
          <w:szCs w:val="24"/>
          <w:highlight w:val="none"/>
          <w:u w:val="single"/>
          <w:lang w:eastAsia="zh-CN"/>
        </w:rPr>
        <w:t>13139913001  　　</w:t>
      </w:r>
      <w:r>
        <w:rPr>
          <w:rFonts w:hint="eastAsia" w:ascii="微软雅黑" w:hAnsi="微软雅黑" w:eastAsia="微软雅黑" w:cs="微软雅黑"/>
          <w:color w:val="auto"/>
          <w:sz w:val="24"/>
          <w:szCs w:val="24"/>
          <w:highlight w:val="none"/>
        </w:rPr>
        <w:t>　　　　　　　</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2.采购代理机构信息</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名    称： </w:t>
      </w:r>
      <w:r>
        <w:rPr>
          <w:rFonts w:hint="eastAsia" w:ascii="微软雅黑" w:hAnsi="微软雅黑" w:eastAsia="微软雅黑" w:cs="微软雅黑"/>
          <w:color w:val="auto"/>
          <w:sz w:val="24"/>
          <w:szCs w:val="24"/>
          <w:highlight w:val="none"/>
          <w:u w:val="single"/>
        </w:rPr>
        <w:t>新疆嘉良工程项目管理有限责任公司</w:t>
      </w:r>
    </w:p>
    <w:p>
      <w:pPr>
        <w:pStyle w:val="30"/>
        <w:spacing w:before="0" w:beforeAutospacing="0" w:after="0" w:afterAutospacing="0" w:line="360" w:lineRule="auto"/>
        <w:ind w:left="1680" w:hanging="1440" w:hangingChars="6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地    址： </w:t>
      </w:r>
      <w:r>
        <w:rPr>
          <w:rFonts w:hint="eastAsia" w:ascii="微软雅黑" w:hAnsi="微软雅黑" w:eastAsia="微软雅黑" w:cs="微软雅黑"/>
          <w:color w:val="auto"/>
          <w:sz w:val="24"/>
          <w:szCs w:val="24"/>
          <w:highlight w:val="none"/>
          <w:u w:val="single"/>
          <w:lang w:eastAsia="zh-CN"/>
        </w:rPr>
        <w:t>乌鲁木齐市水磨沟区红光山路888号绿城广场01栋1#商业综合楼A单元2401室</w:t>
      </w:r>
      <w:r>
        <w:rPr>
          <w:rFonts w:hint="eastAsia" w:ascii="微软雅黑" w:hAnsi="微软雅黑" w:eastAsia="微软雅黑" w:cs="微软雅黑"/>
          <w:color w:val="auto"/>
          <w:sz w:val="24"/>
          <w:szCs w:val="24"/>
          <w:highlight w:val="none"/>
          <w:u w:val="single"/>
        </w:rPr>
        <w:t> </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项目联系人：</w:t>
      </w:r>
      <w:r>
        <w:rPr>
          <w:rFonts w:hint="eastAsia" w:ascii="微软雅黑" w:hAnsi="微软雅黑" w:eastAsia="微软雅黑" w:cs="微软雅黑"/>
          <w:color w:val="auto"/>
          <w:sz w:val="24"/>
          <w:szCs w:val="24"/>
          <w:highlight w:val="none"/>
          <w:u w:val="single"/>
          <w:lang w:val="en-US" w:eastAsia="zh-CN"/>
        </w:rPr>
        <w:t>程浙新</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  　　　　　　　　　　　</w:t>
      </w:r>
    </w:p>
    <w:p>
      <w:pPr>
        <w:pStyle w:val="30"/>
        <w:spacing w:before="0" w:beforeAutospacing="0" w:after="0" w:afterAutospacing="0"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    项目联系方式：</w:t>
      </w:r>
      <w:r>
        <w:rPr>
          <w:rFonts w:hint="eastAsia" w:ascii="微软雅黑" w:hAnsi="微软雅黑" w:eastAsia="微软雅黑" w:cs="微软雅黑"/>
          <w:color w:val="auto"/>
          <w:sz w:val="24"/>
          <w:szCs w:val="24"/>
          <w:highlight w:val="none"/>
          <w:u w:val="single"/>
          <w:lang w:val="en-US" w:eastAsia="zh-CN"/>
        </w:rPr>
        <w:t>13139606599</w:t>
      </w:r>
    </w:p>
    <w:p>
      <w:pPr>
        <w:widowControl/>
        <w:spacing w:line="400" w:lineRule="exact"/>
        <w:jc w:val="both"/>
        <w:rPr>
          <w:rFonts w:hint="eastAsia" w:ascii="宋体"/>
          <w:b/>
          <w:bCs/>
          <w:color w:val="auto"/>
          <w:sz w:val="36"/>
          <w:szCs w:val="36"/>
          <w:highlight w:val="none"/>
        </w:rPr>
      </w:pPr>
    </w:p>
    <w:p>
      <w:pPr>
        <w:pStyle w:val="2"/>
        <w:rPr>
          <w:rFonts w:hint="eastAsia" w:ascii="宋体"/>
          <w:b/>
          <w:bCs/>
          <w:color w:val="auto"/>
          <w:sz w:val="36"/>
          <w:szCs w:val="36"/>
          <w:highlight w:val="none"/>
        </w:rPr>
      </w:pPr>
    </w:p>
    <w:p>
      <w:pPr>
        <w:rPr>
          <w:rFonts w:hint="eastAsia" w:ascii="宋体"/>
          <w:b/>
          <w:bCs/>
          <w:color w:val="auto"/>
          <w:sz w:val="36"/>
          <w:szCs w:val="36"/>
          <w:highlight w:val="none"/>
        </w:rPr>
      </w:pPr>
    </w:p>
    <w:p>
      <w:pPr>
        <w:pStyle w:val="2"/>
        <w:rPr>
          <w:rFonts w:hint="eastAsia" w:ascii="宋体"/>
          <w:b/>
          <w:bCs/>
          <w:color w:val="auto"/>
          <w:sz w:val="36"/>
          <w:szCs w:val="36"/>
          <w:highlight w:val="none"/>
        </w:rPr>
      </w:pPr>
    </w:p>
    <w:p>
      <w:pPr>
        <w:rPr>
          <w:rFonts w:hint="eastAsia" w:ascii="宋体"/>
          <w:b/>
          <w:bCs/>
          <w:color w:val="auto"/>
          <w:sz w:val="36"/>
          <w:szCs w:val="36"/>
          <w:highlight w:val="none"/>
        </w:rPr>
      </w:pPr>
    </w:p>
    <w:p>
      <w:pPr>
        <w:pStyle w:val="2"/>
        <w:rPr>
          <w:rFonts w:hint="eastAsia" w:ascii="宋体"/>
          <w:b/>
          <w:bCs/>
          <w:color w:val="auto"/>
          <w:sz w:val="36"/>
          <w:szCs w:val="36"/>
          <w:highlight w:val="none"/>
        </w:rPr>
      </w:pPr>
    </w:p>
    <w:p>
      <w:pPr>
        <w:rPr>
          <w:rFonts w:hint="eastAsia" w:ascii="宋体"/>
          <w:b/>
          <w:bCs/>
          <w:color w:val="auto"/>
          <w:sz w:val="36"/>
          <w:szCs w:val="36"/>
          <w:highlight w:val="none"/>
        </w:rPr>
      </w:pPr>
    </w:p>
    <w:p>
      <w:pPr>
        <w:pStyle w:val="2"/>
        <w:rPr>
          <w:rFonts w:hint="eastAsia" w:ascii="宋体"/>
          <w:b/>
          <w:bCs/>
          <w:color w:val="auto"/>
          <w:sz w:val="36"/>
          <w:szCs w:val="36"/>
          <w:highlight w:val="none"/>
        </w:rPr>
      </w:pPr>
    </w:p>
    <w:p>
      <w:pPr>
        <w:rPr>
          <w:rFonts w:hint="eastAsia" w:ascii="宋体"/>
          <w:b/>
          <w:bCs/>
          <w:color w:val="auto"/>
          <w:sz w:val="36"/>
          <w:szCs w:val="36"/>
          <w:highlight w:val="none"/>
        </w:rPr>
      </w:pPr>
    </w:p>
    <w:p>
      <w:pPr>
        <w:pStyle w:val="2"/>
        <w:rPr>
          <w:rFonts w:hint="eastAsia" w:ascii="宋体"/>
          <w:b/>
          <w:bCs/>
          <w:color w:val="auto"/>
          <w:sz w:val="36"/>
          <w:szCs w:val="36"/>
          <w:highlight w:val="none"/>
        </w:rPr>
      </w:pPr>
    </w:p>
    <w:p>
      <w:pPr>
        <w:rPr>
          <w:rFonts w:hint="eastAsia" w:ascii="宋体"/>
          <w:b/>
          <w:bCs/>
          <w:color w:val="auto"/>
          <w:sz w:val="36"/>
          <w:szCs w:val="36"/>
          <w:highlight w:val="none"/>
        </w:rPr>
      </w:pPr>
    </w:p>
    <w:p>
      <w:pPr>
        <w:pStyle w:val="2"/>
        <w:rPr>
          <w:rFonts w:hint="eastAsia" w:ascii="宋体"/>
          <w:b/>
          <w:bCs/>
          <w:color w:val="auto"/>
          <w:sz w:val="36"/>
          <w:szCs w:val="36"/>
          <w:highlight w:val="none"/>
        </w:rPr>
      </w:pPr>
    </w:p>
    <w:p>
      <w:pPr>
        <w:rPr>
          <w:rFonts w:hint="eastAsia" w:ascii="宋体"/>
          <w:b/>
          <w:bCs/>
          <w:color w:val="auto"/>
          <w:sz w:val="36"/>
          <w:szCs w:val="36"/>
          <w:highlight w:val="none"/>
        </w:rPr>
      </w:pPr>
    </w:p>
    <w:p>
      <w:pPr>
        <w:pStyle w:val="2"/>
        <w:rPr>
          <w:rFonts w:hint="eastAsia" w:ascii="宋体"/>
          <w:b/>
          <w:bCs/>
          <w:color w:val="auto"/>
          <w:sz w:val="36"/>
          <w:szCs w:val="36"/>
          <w:highlight w:val="none"/>
        </w:rPr>
      </w:pPr>
    </w:p>
    <w:p>
      <w:pPr>
        <w:rPr>
          <w:rFonts w:hint="eastAsia" w:ascii="宋体"/>
          <w:b/>
          <w:bCs/>
          <w:color w:val="auto"/>
          <w:sz w:val="36"/>
          <w:szCs w:val="36"/>
          <w:highlight w:val="none"/>
        </w:rPr>
      </w:pPr>
    </w:p>
    <w:p>
      <w:pPr>
        <w:pStyle w:val="2"/>
        <w:rPr>
          <w:rFonts w:hint="eastAsia" w:ascii="宋体"/>
          <w:b/>
          <w:bCs/>
          <w:color w:val="auto"/>
          <w:sz w:val="36"/>
          <w:szCs w:val="36"/>
          <w:highlight w:val="none"/>
        </w:rPr>
      </w:pPr>
    </w:p>
    <w:p>
      <w:pPr>
        <w:rPr>
          <w:rFonts w:hint="eastAsia" w:ascii="宋体"/>
          <w:b/>
          <w:bCs/>
          <w:color w:val="auto"/>
          <w:sz w:val="36"/>
          <w:szCs w:val="36"/>
          <w:highlight w:val="none"/>
        </w:rPr>
      </w:pPr>
    </w:p>
    <w:p>
      <w:pPr>
        <w:pStyle w:val="2"/>
        <w:rPr>
          <w:rFonts w:hint="eastAsia"/>
        </w:rPr>
      </w:pPr>
    </w:p>
    <w:p>
      <w:pPr>
        <w:rPr>
          <w:rFonts w:hint="eastAsia" w:ascii="宋体"/>
          <w:b/>
          <w:bCs/>
          <w:color w:val="auto"/>
          <w:sz w:val="36"/>
          <w:szCs w:val="36"/>
          <w:highlight w:val="none"/>
        </w:rPr>
      </w:pPr>
    </w:p>
    <w:p>
      <w:pPr>
        <w:pStyle w:val="2"/>
        <w:rPr>
          <w:rFonts w:hint="eastAsia"/>
          <w:color w:val="auto"/>
          <w:highlight w:val="none"/>
        </w:rPr>
      </w:pPr>
    </w:p>
    <w:p>
      <w:pPr>
        <w:widowControl/>
        <w:spacing w:line="400" w:lineRule="exact"/>
        <w:jc w:val="center"/>
        <w:outlineLvl w:val="0"/>
        <w:rPr>
          <w:rFonts w:hint="eastAsia" w:ascii="宋体" w:hAnsi="宋体" w:eastAsia="宋体" w:cs="宋体"/>
          <w:color w:val="auto"/>
          <w:sz w:val="36"/>
          <w:szCs w:val="36"/>
          <w:highlight w:val="none"/>
        </w:rPr>
      </w:pPr>
      <w:bookmarkStart w:id="2" w:name="_Toc8600"/>
      <w:r>
        <w:rPr>
          <w:rFonts w:hint="eastAsia" w:ascii="宋体" w:hAnsi="宋体" w:eastAsia="宋体" w:cs="宋体"/>
          <w:b/>
          <w:bCs/>
          <w:color w:val="auto"/>
          <w:sz w:val="32"/>
          <w:szCs w:val="32"/>
          <w:highlight w:val="none"/>
        </w:rPr>
        <w:t>第一章  投标须知</w:t>
      </w:r>
      <w:bookmarkEnd w:id="1"/>
      <w:bookmarkEnd w:id="2"/>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tbl>
      <w:tblPr>
        <w:tblStyle w:val="33"/>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373"/>
        <w:gridCol w:w="7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jc w:val="center"/>
        </w:trPr>
        <w:tc>
          <w:tcPr>
            <w:tcW w:w="781" w:type="dxa"/>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项号</w:t>
            </w:r>
          </w:p>
        </w:tc>
        <w:tc>
          <w:tcPr>
            <w:tcW w:w="1373" w:type="dxa"/>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w:t>
            </w:r>
          </w:p>
        </w:tc>
        <w:tc>
          <w:tcPr>
            <w:tcW w:w="7417" w:type="dxa"/>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SEQ 前附表 \* MERGEFORMAT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7417" w:type="dxa"/>
            <w:vAlign w:val="center"/>
          </w:tcPr>
          <w:p>
            <w:pPr>
              <w:spacing w:line="360" w:lineRule="auto"/>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乌鲁木齐市残疾人联合会2023年残疾人成人肢体康复项目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SEQ 前附表 \* MERGEFORMAT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采购范围</w:t>
            </w:r>
          </w:p>
        </w:tc>
        <w:tc>
          <w:tcPr>
            <w:tcW w:w="7417" w:type="dxa"/>
            <w:vAlign w:val="center"/>
          </w:tcPr>
          <w:p>
            <w:pPr>
              <w:spacing w:line="360" w:lineRule="auto"/>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残疾人成人肢体康复。</w:t>
            </w:r>
            <w:r>
              <w:rPr>
                <w:rFonts w:hint="eastAsia" w:ascii="宋体" w:hAnsi="宋体" w:eastAsia="宋体" w:cs="宋体"/>
                <w:color w:val="auto"/>
                <w:sz w:val="28"/>
                <w:szCs w:val="28"/>
                <w:highlight w:val="none"/>
              </w:rPr>
              <w:t>服务内容包括：救助对象的基本康复训练、康复评估、家庭康复指导、建立康复档案与提供资料、培训计划等的服务采购</w:t>
            </w:r>
            <w:r>
              <w:rPr>
                <w:rFonts w:hint="eastAsia" w:ascii="宋体" w:hAnsi="宋体" w:eastAsia="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p>
        </w:tc>
        <w:tc>
          <w:tcPr>
            <w:tcW w:w="7417" w:type="dxa"/>
            <w:vAlign w:val="center"/>
          </w:tcPr>
          <w:p>
            <w:pPr>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资金来源</w:t>
            </w:r>
          </w:p>
        </w:tc>
        <w:tc>
          <w:tcPr>
            <w:tcW w:w="7417" w:type="dxa"/>
            <w:vAlign w:val="center"/>
          </w:tcPr>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服务周期</w:t>
            </w:r>
          </w:p>
        </w:tc>
        <w:tc>
          <w:tcPr>
            <w:tcW w:w="7417" w:type="dxa"/>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采购方式</w:t>
            </w:r>
          </w:p>
        </w:tc>
        <w:tc>
          <w:tcPr>
            <w:tcW w:w="7417" w:type="dxa"/>
            <w:vAlign w:val="center"/>
          </w:tcPr>
          <w:p>
            <w:pPr>
              <w:spacing w:line="360" w:lineRule="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资格</w:t>
            </w:r>
          </w:p>
        </w:tc>
        <w:tc>
          <w:tcPr>
            <w:tcW w:w="7417" w:type="dxa"/>
            <w:vAlign w:val="center"/>
          </w:tcPr>
          <w:p>
            <w:pPr>
              <w:spacing w:line="36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（1）符合《中华人民共和国政府采购法》第二十二条规定条件；</w:t>
            </w:r>
          </w:p>
          <w:p>
            <w:pPr>
              <w:spacing w:line="36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（2）营业执照范围内需具有相关营业内容，能够开展残疾患者康复的机构；</w:t>
            </w:r>
          </w:p>
          <w:p>
            <w:pPr>
              <w:spacing w:line="36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（3）供应商需是取得乌鲁木齐市</w:t>
            </w:r>
            <w:r>
              <w:rPr>
                <w:rFonts w:hint="eastAsia" w:ascii="宋体" w:hAnsi="宋体" w:eastAsia="宋体" w:cs="宋体"/>
                <w:bCs/>
                <w:color w:val="auto"/>
                <w:kern w:val="0"/>
                <w:sz w:val="28"/>
                <w:szCs w:val="28"/>
                <w:highlight w:val="none"/>
                <w:lang w:val="en-US" w:eastAsia="zh-CN"/>
              </w:rPr>
              <w:t>残疾人成人</w:t>
            </w:r>
            <w:r>
              <w:rPr>
                <w:rFonts w:hint="eastAsia" w:ascii="宋体" w:hAnsi="宋体" w:eastAsia="宋体" w:cs="宋体"/>
                <w:bCs/>
                <w:color w:val="auto"/>
                <w:kern w:val="0"/>
                <w:sz w:val="28"/>
                <w:szCs w:val="28"/>
                <w:highlight w:val="none"/>
              </w:rPr>
              <w:t>康复定点机构资格的康复机构或医疗机构；</w:t>
            </w:r>
          </w:p>
          <w:p>
            <w:pPr>
              <w:spacing w:line="36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w:t>
            </w:r>
            <w:r>
              <w:rPr>
                <w:rFonts w:hint="eastAsia" w:ascii="宋体" w:hAnsi="宋体" w:eastAsia="宋体" w:cs="宋体"/>
                <w:bCs/>
                <w:color w:val="auto"/>
                <w:kern w:val="0"/>
                <w:sz w:val="28"/>
                <w:szCs w:val="28"/>
                <w:highlight w:val="none"/>
                <w:lang w:val="en-US" w:eastAsia="zh-CN"/>
              </w:rPr>
              <w:t>4</w:t>
            </w:r>
            <w:r>
              <w:rPr>
                <w:rFonts w:hint="eastAsia" w:ascii="宋体" w:hAnsi="宋体" w:eastAsia="宋体" w:cs="宋体"/>
                <w:bCs/>
                <w:color w:val="auto"/>
                <w:kern w:val="0"/>
                <w:sz w:val="28"/>
                <w:szCs w:val="28"/>
                <w:highlight w:val="none"/>
              </w:rPr>
              <w:t>）具有良好的商业信誉和健全的财务会计制度（需提供202</w:t>
            </w:r>
            <w:r>
              <w:rPr>
                <w:rFonts w:hint="eastAsia" w:ascii="宋体" w:hAnsi="宋体" w:eastAsia="宋体" w:cs="宋体"/>
                <w:bCs/>
                <w:color w:val="auto"/>
                <w:kern w:val="0"/>
                <w:sz w:val="28"/>
                <w:szCs w:val="28"/>
                <w:highlight w:val="none"/>
                <w:lang w:val="en-US" w:eastAsia="zh-CN"/>
              </w:rPr>
              <w:t>1</w:t>
            </w:r>
            <w:r>
              <w:rPr>
                <w:rFonts w:hint="eastAsia" w:ascii="宋体" w:hAnsi="宋体" w:eastAsia="宋体" w:cs="宋体"/>
                <w:bCs/>
                <w:color w:val="auto"/>
                <w:kern w:val="0"/>
                <w:sz w:val="28"/>
                <w:szCs w:val="28"/>
                <w:highlight w:val="none"/>
              </w:rPr>
              <w:t>年度或</w:t>
            </w:r>
            <w:r>
              <w:rPr>
                <w:rFonts w:hint="eastAsia" w:ascii="宋体" w:hAnsi="宋体" w:eastAsia="宋体" w:cs="宋体"/>
                <w:bCs/>
                <w:color w:val="auto"/>
                <w:kern w:val="0"/>
                <w:sz w:val="28"/>
                <w:szCs w:val="28"/>
                <w:highlight w:val="none"/>
                <w:lang w:eastAsia="zh-CN"/>
              </w:rPr>
              <w:t>20</w:t>
            </w:r>
            <w:r>
              <w:rPr>
                <w:rFonts w:hint="eastAsia" w:ascii="宋体" w:hAnsi="宋体" w:eastAsia="宋体" w:cs="宋体"/>
                <w:bCs/>
                <w:color w:val="auto"/>
                <w:kern w:val="0"/>
                <w:sz w:val="28"/>
                <w:szCs w:val="28"/>
                <w:highlight w:val="none"/>
                <w:lang w:val="en-US" w:eastAsia="zh-CN"/>
              </w:rPr>
              <w:t>22</w:t>
            </w:r>
            <w:r>
              <w:rPr>
                <w:rFonts w:hint="eastAsia" w:ascii="宋体" w:hAnsi="宋体" w:eastAsia="宋体" w:cs="宋体"/>
                <w:bCs/>
                <w:color w:val="auto"/>
                <w:kern w:val="0"/>
                <w:sz w:val="28"/>
                <w:szCs w:val="28"/>
                <w:highlight w:val="none"/>
              </w:rPr>
              <w:t>年度经会计师事务所出具的财务审计报告或其基本开户银行出具的资信证明）；</w:t>
            </w:r>
          </w:p>
          <w:p>
            <w:pPr>
              <w:spacing w:line="36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w:t>
            </w:r>
            <w:r>
              <w:rPr>
                <w:rFonts w:hint="eastAsia" w:ascii="宋体" w:hAnsi="宋体" w:eastAsia="宋体" w:cs="宋体"/>
                <w:bCs/>
                <w:color w:val="auto"/>
                <w:kern w:val="0"/>
                <w:sz w:val="28"/>
                <w:szCs w:val="28"/>
                <w:highlight w:val="none"/>
                <w:lang w:val="en-US" w:eastAsia="zh-CN"/>
              </w:rPr>
              <w:t>5</w:t>
            </w:r>
            <w:r>
              <w:rPr>
                <w:rFonts w:hint="eastAsia" w:ascii="宋体" w:hAnsi="宋体" w:eastAsia="宋体" w:cs="宋体"/>
                <w:bCs/>
                <w:color w:val="auto"/>
                <w:kern w:val="0"/>
                <w:sz w:val="28"/>
                <w:szCs w:val="28"/>
                <w:highlight w:val="none"/>
              </w:rPr>
              <w:t>）具有依法缴纳税收和社会保障资金的良好记录（需提供投标截止日前六个月内任一个月的企业纳税证明和社保缴费记录证明）；</w:t>
            </w:r>
          </w:p>
          <w:p>
            <w:pPr>
              <w:spacing w:line="36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w:t>
            </w:r>
            <w:r>
              <w:rPr>
                <w:rFonts w:hint="eastAsia" w:ascii="宋体" w:hAnsi="宋体" w:eastAsia="宋体" w:cs="宋体"/>
                <w:bCs/>
                <w:color w:val="auto"/>
                <w:kern w:val="0"/>
                <w:sz w:val="28"/>
                <w:szCs w:val="28"/>
                <w:highlight w:val="none"/>
                <w:lang w:val="en-US" w:eastAsia="zh-CN"/>
              </w:rPr>
              <w:t>6</w:t>
            </w:r>
            <w:r>
              <w:rPr>
                <w:rFonts w:hint="eastAsia" w:ascii="宋体" w:hAnsi="宋体" w:eastAsia="宋体" w:cs="宋体"/>
                <w:bCs/>
                <w:color w:val="auto"/>
                <w:kern w:val="0"/>
                <w:sz w:val="28"/>
                <w:szCs w:val="28"/>
                <w:highlight w:val="none"/>
              </w:rPr>
              <w:t>）参加政府采购活动前三年内（成立不足三年的从成立之日起算），在经营活动中没有重大违法记录（需提供加盖公章的声明书）；</w:t>
            </w:r>
          </w:p>
          <w:p>
            <w:pPr>
              <w:pStyle w:val="2"/>
              <w:spacing w:line="360" w:lineRule="auto"/>
              <w:jc w:val="both"/>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（7）具有履行合同所必需的设备及专业技术能力和供应保障能力（需提供加盖公章的声明书）；</w:t>
            </w:r>
          </w:p>
          <w:p>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）投标单位须提供法人授权委托书及有效身份证明原件或法人身份证明及有效身份证明原件；</w:t>
            </w:r>
          </w:p>
          <w:p>
            <w:pPr>
              <w:spacing w:line="36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w:t>
            </w:r>
            <w:r>
              <w:rPr>
                <w:rFonts w:hint="eastAsia" w:ascii="宋体" w:hAnsi="宋体" w:cs="宋体"/>
                <w:bCs/>
                <w:color w:val="auto"/>
                <w:kern w:val="0"/>
                <w:sz w:val="28"/>
                <w:szCs w:val="28"/>
                <w:highlight w:val="none"/>
                <w:lang w:val="en-US" w:eastAsia="zh-CN"/>
              </w:rPr>
              <w:t>9</w:t>
            </w:r>
            <w:r>
              <w:rPr>
                <w:rFonts w:hint="eastAsia" w:ascii="宋体" w:hAnsi="宋体" w:eastAsia="宋体" w:cs="宋体"/>
                <w:bCs/>
                <w:color w:val="auto"/>
                <w:kern w:val="0"/>
                <w:sz w:val="28"/>
                <w:szCs w:val="28"/>
                <w:highlight w:val="none"/>
              </w:rPr>
              <w:t>）本项目不接受联合体；</w:t>
            </w:r>
          </w:p>
          <w:p>
            <w:pPr>
              <w:spacing w:line="36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w:t>
            </w:r>
            <w:r>
              <w:rPr>
                <w:rFonts w:hint="eastAsia" w:ascii="宋体" w:hAnsi="宋体" w:cs="宋体"/>
                <w:bCs/>
                <w:color w:val="auto"/>
                <w:kern w:val="0"/>
                <w:sz w:val="28"/>
                <w:szCs w:val="28"/>
                <w:highlight w:val="none"/>
                <w:lang w:val="en-US" w:eastAsia="zh-CN"/>
              </w:rPr>
              <w:t>10</w:t>
            </w:r>
            <w:r>
              <w:rPr>
                <w:rFonts w:hint="eastAsia" w:ascii="宋体" w:hAnsi="宋体" w:eastAsia="宋体" w:cs="宋体"/>
                <w:bCs/>
                <w:color w:val="auto"/>
                <w:kern w:val="0"/>
                <w:sz w:val="28"/>
                <w:szCs w:val="28"/>
                <w:highlight w:val="none"/>
              </w:rPr>
              <w:t>）</w:t>
            </w:r>
            <w:r>
              <w:rPr>
                <w:rFonts w:hint="eastAsia" w:ascii="宋体" w:hAnsi="宋体" w:eastAsia="宋体" w:cs="宋体"/>
                <w:color w:val="auto"/>
                <w:sz w:val="28"/>
                <w:szCs w:val="28"/>
                <w:highlight w:val="none"/>
              </w:rPr>
              <w:t>按照《财政部关于在政府采购活动中查询及使用信用记录有关问题的通知》（财库﹝2016﹞125号）的要求，根据评审时“信用中国”网站（www.creditchina.gov.cn）、“中国政府采购网”的信息，对列入失信被执行人、重大税收违法</w:t>
            </w:r>
            <w:r>
              <w:rPr>
                <w:rFonts w:hint="eastAsia" w:ascii="宋体" w:hAnsi="宋体" w:eastAsia="宋体" w:cs="宋体"/>
                <w:color w:val="auto"/>
                <w:sz w:val="28"/>
                <w:szCs w:val="28"/>
                <w:highlight w:val="none"/>
                <w:lang w:val="en-US" w:eastAsia="zh-CN"/>
              </w:rPr>
              <w:t>失信主体</w:t>
            </w:r>
            <w:r>
              <w:rPr>
                <w:rFonts w:hint="eastAsia" w:ascii="宋体" w:hAnsi="宋体" w:eastAsia="宋体" w:cs="宋体"/>
                <w:color w:val="auto"/>
                <w:sz w:val="28"/>
                <w:szCs w:val="28"/>
                <w:highlight w:val="none"/>
              </w:rPr>
              <w:t>、政府采购严重违法失信行为记录名单的供应商，拒绝其参与政府采购活动（处罚决定规定的时间和地域范围内）。信用信息截止时点为报名期限内；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8</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投标有</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效期</w:t>
            </w:r>
          </w:p>
        </w:tc>
        <w:tc>
          <w:tcPr>
            <w:tcW w:w="7417" w:type="dxa"/>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30日历日（从</w:t>
            </w:r>
            <w:r>
              <w:rPr>
                <w:rFonts w:hint="eastAsia" w:ascii="宋体" w:hAnsi="宋体" w:eastAsia="宋体" w:cs="宋体"/>
                <w:bCs/>
                <w:color w:val="auto"/>
                <w:kern w:val="0"/>
                <w:sz w:val="28"/>
                <w:szCs w:val="28"/>
                <w:highlight w:val="none"/>
              </w:rPr>
              <w:t>投标</w:t>
            </w:r>
            <w:r>
              <w:rPr>
                <w:rFonts w:hint="eastAsia" w:ascii="宋体" w:hAnsi="宋体" w:eastAsia="宋体" w:cs="宋体"/>
                <w:color w:val="auto"/>
                <w:sz w:val="28"/>
                <w:szCs w:val="28"/>
                <w:highlight w:val="none"/>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9</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投标报价</w:t>
            </w:r>
          </w:p>
        </w:tc>
        <w:tc>
          <w:tcPr>
            <w:tcW w:w="7417" w:type="dxa"/>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bCs/>
                <w:color w:val="auto"/>
                <w:kern w:val="0"/>
                <w:sz w:val="28"/>
                <w:szCs w:val="28"/>
                <w:highlight w:val="none"/>
              </w:rPr>
              <w:t>本招标文件确定的采购范围内全部工作内容的价格体现。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证金</w:t>
            </w:r>
          </w:p>
        </w:tc>
        <w:tc>
          <w:tcPr>
            <w:tcW w:w="7417" w:type="dxa"/>
            <w:vAlign w:val="center"/>
          </w:tcPr>
          <w:p>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投标保证金</w:t>
            </w:r>
            <w:r>
              <w:rPr>
                <w:rFonts w:hint="eastAsia" w:ascii="宋体" w:hAnsi="宋体" w:eastAsia="宋体" w:cs="宋体"/>
                <w:color w:val="auto"/>
                <w:kern w:val="0"/>
                <w:sz w:val="28"/>
                <w:szCs w:val="28"/>
                <w:highlight w:val="none"/>
              </w:rPr>
              <w:t>的金额：人民币</w:t>
            </w:r>
            <w:r>
              <w:rPr>
                <w:rFonts w:hint="eastAsia" w:ascii="宋体" w:hAnsi="宋体" w:cs="宋体"/>
                <w:color w:val="auto"/>
                <w:kern w:val="0"/>
                <w:sz w:val="28"/>
                <w:szCs w:val="28"/>
                <w:highlight w:val="none"/>
                <w:lang w:val="en-US" w:eastAsia="zh-CN"/>
              </w:rPr>
              <w:t>玖仟</w:t>
            </w:r>
            <w:r>
              <w:rPr>
                <w:rFonts w:hint="eastAsia" w:ascii="宋体" w:hAnsi="宋体" w:eastAsia="宋体" w:cs="宋体"/>
                <w:color w:val="auto"/>
                <w:kern w:val="0"/>
                <w:sz w:val="28"/>
                <w:szCs w:val="28"/>
                <w:highlight w:val="none"/>
              </w:rPr>
              <w:t>元整（￥</w:t>
            </w:r>
            <w:r>
              <w:rPr>
                <w:rFonts w:hint="eastAsia" w:ascii="宋体" w:hAnsi="宋体" w:cs="宋体"/>
                <w:color w:val="auto"/>
                <w:kern w:val="0"/>
                <w:sz w:val="28"/>
                <w:szCs w:val="28"/>
                <w:highlight w:val="none"/>
                <w:lang w:val="en-US" w:eastAsia="zh-CN"/>
              </w:rPr>
              <w:t>9000</w:t>
            </w:r>
            <w:r>
              <w:rPr>
                <w:rFonts w:hint="eastAsia" w:ascii="宋体" w:hAnsi="宋体" w:eastAsia="宋体" w:cs="宋体"/>
                <w:color w:val="auto"/>
                <w:kern w:val="0"/>
                <w:sz w:val="28"/>
                <w:szCs w:val="28"/>
                <w:highlight w:val="none"/>
              </w:rPr>
              <w:t xml:space="preserve">.00元） </w:t>
            </w:r>
          </w:p>
          <w:p>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递交</w:t>
            </w:r>
            <w:r>
              <w:rPr>
                <w:rFonts w:hint="eastAsia" w:ascii="宋体" w:hAnsi="宋体" w:eastAsia="宋体" w:cs="宋体"/>
                <w:color w:val="auto"/>
                <w:kern w:val="0"/>
                <w:sz w:val="28"/>
                <w:szCs w:val="28"/>
                <w:highlight w:val="none"/>
                <w:lang w:val="en-US" w:eastAsia="zh-CN"/>
              </w:rPr>
              <w:t>方式和</w:t>
            </w:r>
            <w:r>
              <w:rPr>
                <w:rFonts w:hint="eastAsia" w:ascii="宋体" w:hAnsi="宋体" w:eastAsia="宋体" w:cs="宋体"/>
                <w:color w:val="auto"/>
                <w:kern w:val="0"/>
                <w:sz w:val="28"/>
                <w:szCs w:val="28"/>
                <w:highlight w:val="none"/>
              </w:rPr>
              <w:t>时间：以电汇</w:t>
            </w:r>
            <w:r>
              <w:rPr>
                <w:rFonts w:hint="eastAsia" w:ascii="宋体" w:hAnsi="宋体" w:eastAsia="宋体" w:cs="宋体"/>
                <w:color w:val="auto"/>
                <w:kern w:val="0"/>
                <w:sz w:val="28"/>
                <w:szCs w:val="28"/>
                <w:highlight w:val="none"/>
                <w:lang w:val="en-US" w:eastAsia="zh-CN"/>
              </w:rPr>
              <w:t>或网银</w:t>
            </w:r>
            <w:r>
              <w:rPr>
                <w:rFonts w:hint="eastAsia" w:ascii="宋体" w:hAnsi="宋体" w:eastAsia="宋体" w:cs="宋体"/>
                <w:color w:val="auto"/>
                <w:kern w:val="0"/>
                <w:sz w:val="28"/>
                <w:szCs w:val="28"/>
                <w:highlight w:val="none"/>
              </w:rPr>
              <w:t>方式递交的投标</w:t>
            </w:r>
            <w:r>
              <w:rPr>
                <w:rFonts w:hint="eastAsia" w:ascii="宋体" w:hAnsi="宋体" w:eastAsia="宋体" w:cs="宋体"/>
                <w:color w:val="auto"/>
                <w:kern w:val="0"/>
                <w:sz w:val="28"/>
                <w:szCs w:val="28"/>
                <w:highlight w:val="none"/>
                <w:lang w:val="en-US" w:eastAsia="zh-CN"/>
              </w:rPr>
              <w:t>保证金需在</w:t>
            </w:r>
            <w:r>
              <w:rPr>
                <w:rFonts w:hint="eastAsia" w:ascii="宋体" w:hAnsi="宋体" w:eastAsia="宋体" w:cs="宋体"/>
                <w:color w:val="auto"/>
                <w:kern w:val="0"/>
                <w:sz w:val="28"/>
                <w:szCs w:val="28"/>
                <w:highlight w:val="none"/>
              </w:rPr>
              <w:t>距投标截止时间前递交（以到账时间为准）；</w:t>
            </w:r>
          </w:p>
          <w:p>
            <w:pPr>
              <w:pStyle w:val="69"/>
              <w:spacing w:line="360" w:lineRule="auto"/>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投标保证金缴纳账号：</w:t>
            </w:r>
          </w:p>
          <w:p>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开户名称：</w:t>
            </w:r>
            <w:r>
              <w:rPr>
                <w:rFonts w:hint="eastAsia" w:ascii="宋体" w:hAnsi="宋体" w:eastAsia="宋体" w:cs="宋体"/>
                <w:color w:val="auto"/>
                <w:sz w:val="28"/>
                <w:szCs w:val="28"/>
                <w:highlight w:val="none"/>
              </w:rPr>
              <w:t>新疆嘉良工程项目管理有限责任公司</w:t>
            </w:r>
          </w:p>
          <w:p>
            <w:pPr>
              <w:autoSpaceDE w:val="0"/>
              <w:autoSpaceDN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开户银行</w:t>
            </w:r>
            <w:r>
              <w:rPr>
                <w:rFonts w:hint="eastAsia" w:ascii="宋体" w:hAnsi="宋体" w:eastAsia="宋体" w:cs="宋体"/>
                <w:color w:val="auto"/>
                <w:sz w:val="28"/>
                <w:szCs w:val="28"/>
                <w:highlight w:val="none"/>
              </w:rPr>
              <w:t>：</w:t>
            </w:r>
            <w:bookmarkStart w:id="3" w:name="EBdf2b52e4875f40919b3358145de70228"/>
            <w:bookmarkEnd w:id="3"/>
            <w:r>
              <w:rPr>
                <w:rFonts w:hint="eastAsia" w:ascii="宋体" w:hAnsi="宋体" w:eastAsia="宋体" w:cs="宋体"/>
                <w:color w:val="auto"/>
                <w:sz w:val="28"/>
                <w:szCs w:val="28"/>
                <w:highlight w:val="none"/>
                <w:lang w:val="zh-CN"/>
              </w:rPr>
              <w:t>中国建设银行股份有限公司乌鲁木齐四平路支行</w:t>
            </w: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 xml:space="preserve">                               </w:t>
            </w:r>
          </w:p>
          <w:p>
            <w:pPr>
              <w:pStyle w:val="69"/>
              <w:spacing w:line="360" w:lineRule="auto"/>
              <w:jc w:val="both"/>
              <w:rPr>
                <w:rFonts w:hint="eastAsia" w:ascii="宋体" w:hAnsi="宋体" w:eastAsia="宋体" w:cs="宋体"/>
                <w:color w:val="auto"/>
                <w:kern w:val="2"/>
                <w:sz w:val="28"/>
                <w:szCs w:val="28"/>
                <w:highlight w:val="none"/>
                <w:lang w:val="zh-CN" w:eastAsia="zh-CN" w:bidi="ug-CN"/>
              </w:rPr>
            </w:pPr>
            <w:r>
              <w:rPr>
                <w:rFonts w:hint="eastAsia" w:ascii="宋体" w:hAnsi="宋体" w:eastAsia="宋体" w:cs="宋体"/>
                <w:color w:val="auto"/>
                <w:kern w:val="2"/>
                <w:sz w:val="28"/>
                <w:szCs w:val="28"/>
                <w:highlight w:val="none"/>
                <w:lang w:val="zh-CN" w:eastAsia="zh-CN" w:bidi="ug-CN"/>
              </w:rPr>
              <w:t>账号：65050161614700000331</w:t>
            </w:r>
          </w:p>
          <w:p>
            <w:pPr>
              <w:pStyle w:val="69"/>
              <w:spacing w:line="360" w:lineRule="auto"/>
              <w:jc w:val="both"/>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kern w:val="2"/>
                <w:sz w:val="28"/>
                <w:szCs w:val="28"/>
                <w:highlight w:val="none"/>
                <w:lang w:val="zh-CN" w:eastAsia="zh-CN" w:bidi="ar-SA"/>
              </w:rPr>
              <w:t>注：汇款单上需注明供应商名称、项目名称及金额</w:t>
            </w:r>
          </w:p>
          <w:p>
            <w:pPr>
              <w:pStyle w:val="69"/>
              <w:spacing w:line="360" w:lineRule="auto"/>
              <w:jc w:val="both"/>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kern w:val="2"/>
                <w:sz w:val="28"/>
                <w:szCs w:val="28"/>
                <w:highlight w:val="none"/>
                <w:lang w:val="zh-CN" w:eastAsia="zh-CN" w:bidi="ar-SA"/>
              </w:rPr>
              <w:t>招标代理服务费缴纳账号：（同上）</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zh-CN" w:eastAsia="zh-CN" w:bidi="ar-SA"/>
              </w:rPr>
              <w:t>注：▲</w:t>
            </w:r>
            <w:r>
              <w:rPr>
                <w:rFonts w:hint="eastAsia" w:ascii="宋体" w:hAnsi="宋体" w:eastAsia="宋体" w:cs="宋体"/>
                <w:b/>
                <w:bCs/>
                <w:color w:val="auto"/>
                <w:kern w:val="2"/>
                <w:sz w:val="28"/>
                <w:szCs w:val="28"/>
                <w:highlight w:val="none"/>
                <w:lang w:val="zh-CN" w:eastAsia="zh-CN" w:bidi="ar-SA"/>
              </w:rPr>
              <w:t>未按上述时间规定提交投标保证金的视为</w:t>
            </w:r>
            <w:r>
              <w:rPr>
                <w:rFonts w:hint="eastAsia" w:ascii="宋体" w:hAnsi="宋体" w:eastAsia="宋体" w:cs="宋体"/>
                <w:b/>
                <w:bCs/>
                <w:color w:val="auto"/>
                <w:kern w:val="2"/>
                <w:sz w:val="28"/>
                <w:szCs w:val="28"/>
                <w:highlight w:val="none"/>
                <w:lang w:val="en-US" w:eastAsia="zh-CN" w:bidi="ar-SA"/>
              </w:rPr>
              <w:t>无效投标，其竞争性磋商响应文件将被拒绝接受</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8"/>
                <w:szCs w:val="28"/>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1</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pacing w:val="-14"/>
                <w:sz w:val="28"/>
                <w:szCs w:val="28"/>
                <w:highlight w:val="none"/>
              </w:rPr>
              <w:t>投标文件</w:t>
            </w:r>
            <w:r>
              <w:rPr>
                <w:rFonts w:hint="eastAsia" w:ascii="宋体" w:hAnsi="宋体" w:eastAsia="宋体" w:cs="宋体"/>
                <w:color w:val="auto"/>
                <w:sz w:val="28"/>
                <w:szCs w:val="28"/>
                <w:highlight w:val="none"/>
              </w:rPr>
              <w:t>份数及密封要求</w:t>
            </w:r>
          </w:p>
        </w:tc>
        <w:tc>
          <w:tcPr>
            <w:tcW w:w="7417" w:type="dxa"/>
            <w:vAlign w:val="center"/>
          </w:tcPr>
          <w:p>
            <w:pPr>
              <w:pStyle w:val="69"/>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投标文件</w:t>
            </w:r>
            <w:r>
              <w:rPr>
                <w:rFonts w:hint="eastAsia" w:ascii="宋体" w:hAnsi="宋体" w:eastAsia="宋体" w:cs="宋体"/>
                <w:color w:val="auto"/>
                <w:kern w:val="2"/>
                <w:sz w:val="28"/>
                <w:szCs w:val="28"/>
                <w:highlight w:val="none"/>
              </w:rPr>
              <w:t>为纸质版文件：正本1份、副本2份</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按照：正本壹份（单独密封），并标明“正本”字样，副本贰份（所有副本密封在一起），并标明“副本”字样；密封袋注明：项目名称、采购人名称、供应商名称的字样。并加盖供应商公章。（投标文件，一律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2</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投标文件递交地点及投标截止日期</w:t>
            </w:r>
          </w:p>
        </w:tc>
        <w:tc>
          <w:tcPr>
            <w:tcW w:w="7417" w:type="dxa"/>
            <w:vAlign w:val="center"/>
          </w:tcPr>
          <w:p>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eastAsia="zh-CN"/>
              </w:rPr>
              <w:t>乌鲁木齐市水磨沟区红光山路888号绿城广场01栋1#商业综合楼A单元2401室</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年0</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3</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开标地点、时间</w:t>
            </w:r>
          </w:p>
        </w:tc>
        <w:tc>
          <w:tcPr>
            <w:tcW w:w="7417" w:type="dxa"/>
            <w:vAlign w:val="center"/>
          </w:tcPr>
          <w:p>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eastAsia="zh-CN"/>
              </w:rPr>
              <w:t>乌鲁木齐市水磨沟区红光山路888号绿城广场01栋1#商业综合楼A单元2401室</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年0</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4</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评标办法</w:t>
            </w:r>
          </w:p>
        </w:tc>
        <w:tc>
          <w:tcPr>
            <w:tcW w:w="7417" w:type="dxa"/>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81" w:type="dxa"/>
            <w:vAlign w:val="center"/>
          </w:tcPr>
          <w:p>
            <w:pPr>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15</w:t>
            </w:r>
          </w:p>
        </w:tc>
        <w:tc>
          <w:tcPr>
            <w:tcW w:w="1373" w:type="dxa"/>
            <w:vAlign w:val="center"/>
          </w:tcPr>
          <w:p>
            <w:pPr>
              <w:pStyle w:val="8"/>
              <w:spacing w:line="360" w:lineRule="auto"/>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评标委员会的组成</w:t>
            </w:r>
          </w:p>
        </w:tc>
        <w:tc>
          <w:tcPr>
            <w:tcW w:w="7417" w:type="dxa"/>
            <w:vAlign w:val="center"/>
          </w:tcPr>
          <w:p>
            <w:pPr>
              <w:pStyle w:val="8"/>
              <w:spacing w:line="360" w:lineRule="auto"/>
              <w:ind w:left="0" w:leftChars="0" w:firstLine="0"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评标委员会构成：</w:t>
            </w:r>
            <w:r>
              <w:rPr>
                <w:rFonts w:hint="eastAsia" w:hAnsi="宋体" w:cs="宋体"/>
                <w:color w:val="auto"/>
                <w:kern w:val="2"/>
                <w:sz w:val="28"/>
                <w:szCs w:val="28"/>
                <w:highlight w:val="none"/>
                <w:lang w:val="en-US" w:eastAsia="zh-CN" w:bidi="ar-SA"/>
              </w:rPr>
              <w:t>3</w:t>
            </w:r>
            <w:r>
              <w:rPr>
                <w:rFonts w:hint="eastAsia" w:ascii="宋体" w:hAnsi="宋体" w:eastAsia="宋体" w:cs="宋体"/>
                <w:color w:val="auto"/>
                <w:kern w:val="2"/>
                <w:sz w:val="28"/>
                <w:szCs w:val="28"/>
                <w:highlight w:val="none"/>
                <w:lang w:val="en-US" w:eastAsia="zh-CN" w:bidi="ar-SA"/>
              </w:rPr>
              <w:t xml:space="preserve">人，其中采购人代表 0-1 人，专家库专家 </w:t>
            </w:r>
            <w:r>
              <w:rPr>
                <w:rFonts w:hint="eastAsia" w:hAnsi="宋体" w:cs="宋体"/>
                <w:color w:val="auto"/>
                <w:kern w:val="2"/>
                <w:sz w:val="28"/>
                <w:szCs w:val="28"/>
                <w:highlight w:val="none"/>
                <w:lang w:val="en-US" w:eastAsia="zh-CN" w:bidi="ar-SA"/>
              </w:rPr>
              <w:t>2</w:t>
            </w:r>
            <w:r>
              <w:rPr>
                <w:rFonts w:hint="eastAsia" w:ascii="宋体" w:hAnsi="宋体" w:eastAsia="宋体" w:cs="宋体"/>
                <w:color w:val="auto"/>
                <w:kern w:val="2"/>
                <w:sz w:val="28"/>
                <w:szCs w:val="28"/>
                <w:highlight w:val="none"/>
                <w:lang w:val="en-US" w:eastAsia="zh-CN" w:bidi="ar-SA"/>
              </w:rPr>
              <w:t>-</w:t>
            </w:r>
            <w:r>
              <w:rPr>
                <w:rFonts w:hint="eastAsia" w:hAnsi="宋体" w:cs="宋体"/>
                <w:color w:val="auto"/>
                <w:kern w:val="2"/>
                <w:sz w:val="28"/>
                <w:szCs w:val="28"/>
                <w:highlight w:val="none"/>
                <w:lang w:val="en-US" w:eastAsia="zh-CN" w:bidi="ar-SA"/>
              </w:rPr>
              <w:t>3</w:t>
            </w:r>
            <w:r>
              <w:rPr>
                <w:rFonts w:hint="eastAsia" w:ascii="宋体" w:hAnsi="宋体" w:eastAsia="宋体" w:cs="宋体"/>
                <w:color w:val="auto"/>
                <w:kern w:val="2"/>
                <w:sz w:val="28"/>
                <w:szCs w:val="28"/>
                <w:highlight w:val="none"/>
                <w:lang w:val="en-US" w:eastAsia="zh-CN" w:bidi="ar-SA"/>
              </w:rPr>
              <w:t>人；评委确定方式：政采云专家库随机抽取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81" w:type="dxa"/>
            <w:vAlign w:val="center"/>
          </w:tcPr>
          <w:p>
            <w:pPr>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16</w:t>
            </w:r>
          </w:p>
        </w:tc>
        <w:tc>
          <w:tcPr>
            <w:tcW w:w="1373" w:type="dxa"/>
            <w:vAlign w:val="center"/>
          </w:tcPr>
          <w:p>
            <w:pPr>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中小微型企业有关政策</w:t>
            </w:r>
          </w:p>
        </w:tc>
        <w:tc>
          <w:tcPr>
            <w:tcW w:w="7417" w:type="dxa"/>
            <w:vAlign w:val="center"/>
          </w:tcPr>
          <w:p>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(1)根据工信部等部委发布的《关于印发中小企业划型标准规定的通知》（工信部联企业[2011]300号）规定和《</w:t>
            </w:r>
            <w:r>
              <w:rPr>
                <w:rFonts w:hint="eastAsia" w:ascii="宋体" w:hAnsi="宋体" w:eastAsia="宋体" w:cs="宋体"/>
                <w:color w:val="auto"/>
                <w:sz w:val="28"/>
                <w:szCs w:val="28"/>
                <w:highlight w:val="none"/>
                <w:lang w:val="en-US" w:eastAsia="zh-CN"/>
              </w:rPr>
              <w:t>关于落实好政府采购支持中小企业发展的通知</w:t>
            </w:r>
            <w:r>
              <w:rPr>
                <w:rFonts w:hint="eastAsia" w:ascii="宋体" w:hAnsi="宋体" w:eastAsia="宋体" w:cs="宋体"/>
                <w:color w:val="auto"/>
                <w:sz w:val="28"/>
                <w:szCs w:val="28"/>
                <w:highlight w:val="none"/>
                <w:lang w:eastAsia="zh-CN"/>
              </w:rPr>
              <w:t>》的通知（新财</w:t>
            </w:r>
            <w:r>
              <w:rPr>
                <w:rFonts w:hint="eastAsia" w:ascii="宋体" w:hAnsi="宋体" w:cs="宋体"/>
                <w:color w:val="auto"/>
                <w:sz w:val="28"/>
                <w:szCs w:val="28"/>
                <w:highlight w:val="none"/>
                <w:lang w:val="en-US" w:eastAsia="zh-CN"/>
              </w:rPr>
              <w:t>购</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22</w:t>
            </w:r>
            <w:r>
              <w:rPr>
                <w:rFonts w:hint="eastAsia" w:ascii="宋体" w:hAnsi="宋体" w:eastAsia="宋体" w:cs="宋体"/>
                <w:color w:val="auto"/>
                <w:sz w:val="28"/>
                <w:szCs w:val="28"/>
                <w:highlight w:val="none"/>
                <w:lang w:eastAsia="zh-CN"/>
              </w:rPr>
              <w:t>号）执行</w:t>
            </w:r>
          </w:p>
          <w:p>
            <w:pPr>
              <w:spacing w:line="360" w:lineRule="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eastAsia="zh-CN"/>
              </w:rPr>
              <w:t>(2)价格扣除幅度：价格给予</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中标候选人数量</w:t>
            </w:r>
          </w:p>
        </w:tc>
        <w:tc>
          <w:tcPr>
            <w:tcW w:w="7417" w:type="dxa"/>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投标报价</w:t>
            </w:r>
          </w:p>
        </w:tc>
        <w:tc>
          <w:tcPr>
            <w:tcW w:w="7417" w:type="dxa"/>
            <w:vAlign w:val="center"/>
          </w:tcPr>
          <w:p>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本项目预算金额是按照国家相关文件规定的取费标准计算所得。不作为竞争性费用，中标后即为合同价</w:t>
            </w:r>
            <w:r>
              <w:rPr>
                <w:rFonts w:hint="eastAsia" w:ascii="宋体" w:hAnsi="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9</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中标服</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务费</w:t>
            </w:r>
          </w:p>
        </w:tc>
        <w:tc>
          <w:tcPr>
            <w:tcW w:w="7417" w:type="dxa"/>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中标人参照发改办1980号文件标准承担本项目代理服务费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w:t>
            </w:r>
          </w:p>
        </w:tc>
        <w:tc>
          <w:tcPr>
            <w:tcW w:w="1373" w:type="dxa"/>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417" w:type="dxa"/>
            <w:vAlign w:val="center"/>
          </w:tcPr>
          <w:p>
            <w:pPr>
              <w:numPr>
                <w:ilvl w:val="0"/>
                <w:numId w:val="4"/>
              </w:numPr>
              <w:tabs>
                <w:tab w:val="left" w:pos="435"/>
                <w:tab w:val="left" w:pos="855"/>
              </w:tabs>
              <w:autoSpaceDE w:val="0"/>
              <w:autoSpaceDN w:val="0"/>
              <w:adjustRightInd w:val="0"/>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开标前，供应商需提供（1）营业执照原件；（2）定点机构证明；</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年度或</w:t>
            </w:r>
            <w:r>
              <w:rPr>
                <w:rFonts w:hint="eastAsia" w:ascii="宋体" w:hAnsi="宋体" w:eastAsia="宋体" w:cs="宋体"/>
                <w:color w:val="auto"/>
                <w:sz w:val="28"/>
                <w:szCs w:val="28"/>
                <w:highlight w:val="none"/>
                <w:lang w:eastAsia="zh-CN"/>
              </w:rPr>
              <w:t>20</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年度经会计师事务所出具的财务审计报告或其基本开户银行出具的资信证明</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lang w:eastAsia="zh-CN"/>
              </w:rPr>
              <w:t>）投标截止日前六个月内任一个月的企业纳税证明和社保缴费记录证明；（</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lang w:eastAsia="zh-CN"/>
              </w:rPr>
              <w:t>）没有重大违法记录（需提供加盖公章的声明书）；（</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lang w:eastAsia="zh-CN"/>
              </w:rPr>
              <w:t>）</w:t>
            </w:r>
            <w:r>
              <w:rPr>
                <w:rFonts w:hint="eastAsia" w:ascii="宋体" w:hAnsi="宋体" w:eastAsia="宋体" w:cs="宋体"/>
                <w:bCs/>
                <w:color w:val="auto"/>
                <w:kern w:val="0"/>
                <w:sz w:val="28"/>
                <w:szCs w:val="28"/>
                <w:highlight w:val="none"/>
                <w:lang w:val="en-US" w:eastAsia="zh-CN" w:bidi="ar-SA"/>
              </w:rPr>
              <w:t>具有履行合同所必需的设备及专业技术能力和供应保障能力（需提供加盖公章的声明书）；</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未被“信用中国”网站</w:t>
            </w:r>
            <w:r>
              <w:rPr>
                <w:rFonts w:hint="eastAsia" w:ascii="宋体" w:hAnsi="宋体" w:eastAsia="宋体" w:cs="宋体"/>
                <w:color w:val="auto"/>
                <w:sz w:val="28"/>
                <w:szCs w:val="28"/>
                <w:highlight w:val="none"/>
              </w:rPr>
              <w:t>（www.creditchina.gov.cn）</w:t>
            </w:r>
            <w:r>
              <w:rPr>
                <w:rFonts w:hint="eastAsia" w:ascii="宋体" w:hAnsi="宋体" w:eastAsia="宋体" w:cs="宋体"/>
                <w:color w:val="auto"/>
                <w:sz w:val="28"/>
                <w:szCs w:val="28"/>
                <w:highlight w:val="none"/>
                <w:lang w:val="en-US" w:eastAsia="zh-CN"/>
              </w:rPr>
              <w:t>、“中国政府采购网”列入失信被执行人、</w:t>
            </w:r>
            <w:r>
              <w:rPr>
                <w:rFonts w:hint="eastAsia" w:ascii="宋体" w:hAnsi="宋体" w:eastAsia="宋体" w:cs="宋体"/>
                <w:color w:val="auto"/>
                <w:sz w:val="28"/>
                <w:szCs w:val="28"/>
                <w:highlight w:val="none"/>
              </w:rPr>
              <w:t>重大税收违法</w:t>
            </w:r>
            <w:r>
              <w:rPr>
                <w:rFonts w:hint="eastAsia" w:ascii="宋体" w:hAnsi="宋体" w:eastAsia="宋体" w:cs="宋体"/>
                <w:color w:val="auto"/>
                <w:sz w:val="28"/>
                <w:szCs w:val="28"/>
                <w:highlight w:val="none"/>
                <w:lang w:val="en-US" w:eastAsia="zh-CN"/>
              </w:rPr>
              <w:t>失信主体、政府采购严重违法失信行为记录名单（提供查询结果网页截图并加盖供应商公章）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法定代表人（需提供法定代表人身份证明书）及法定代表人出具的授权代理人的</w:t>
            </w:r>
            <w:r>
              <w:rPr>
                <w:rFonts w:hint="eastAsia" w:ascii="宋体" w:hAnsi="宋体" w:eastAsia="宋体" w:cs="宋体"/>
                <w:color w:val="auto"/>
                <w:sz w:val="28"/>
                <w:szCs w:val="28"/>
                <w:highlight w:val="none"/>
                <w:lang w:val="zh-CN" w:eastAsia="zh-CN"/>
              </w:rPr>
              <w:t>授权委托书（需与竞争性磋商文件格式提供一致，</w:t>
            </w:r>
            <w:r>
              <w:rPr>
                <w:rFonts w:hint="eastAsia" w:ascii="宋体" w:hAnsi="宋体" w:eastAsia="宋体" w:cs="宋体"/>
                <w:color w:val="auto"/>
                <w:sz w:val="28"/>
                <w:szCs w:val="28"/>
                <w:highlight w:val="none"/>
                <w:lang w:val="en-US" w:eastAsia="zh-CN"/>
              </w:rPr>
              <w:t>法定代表人投标只需提供法定代表人身份证明书及身份证</w:t>
            </w:r>
            <w:r>
              <w:rPr>
                <w:rFonts w:hint="eastAsia" w:ascii="宋体" w:hAnsi="宋体" w:eastAsia="宋体" w:cs="宋体"/>
                <w:color w:val="auto"/>
                <w:sz w:val="28"/>
                <w:szCs w:val="28"/>
                <w:highlight w:val="none"/>
                <w:lang w:val="zh-CN" w:eastAsia="zh-CN"/>
              </w:rPr>
              <w:t>）及身份证原件</w:t>
            </w:r>
            <w:r>
              <w:rPr>
                <w:rFonts w:hint="eastAsia" w:ascii="宋体" w:hAnsi="宋体" w:eastAsia="宋体" w:cs="宋体"/>
                <w:color w:val="auto"/>
                <w:sz w:val="28"/>
                <w:szCs w:val="28"/>
                <w:highlight w:val="none"/>
                <w:lang w:val="en-US" w:eastAsia="zh-CN"/>
              </w:rPr>
              <w:t>和复印件</w:t>
            </w:r>
            <w:r>
              <w:rPr>
                <w:rFonts w:hint="eastAsia" w:ascii="宋体" w:hAnsi="宋体" w:eastAsia="宋体" w:cs="宋体"/>
                <w:color w:val="auto"/>
                <w:sz w:val="28"/>
                <w:szCs w:val="28"/>
                <w:highlight w:val="none"/>
                <w:lang w:val="zh-CN" w:eastAsia="zh-CN"/>
              </w:rPr>
              <w:t>随身携带</w:t>
            </w:r>
            <w:r>
              <w:rPr>
                <w:rFonts w:hint="eastAsia" w:ascii="宋体" w:hAnsi="宋体" w:eastAsia="宋体" w:cs="宋体"/>
                <w:color w:val="auto"/>
                <w:sz w:val="28"/>
                <w:szCs w:val="28"/>
                <w:highlight w:val="none"/>
              </w:rPr>
              <w:t>。供监督人进行资格审查。</w:t>
            </w:r>
          </w:p>
          <w:p>
            <w:pPr>
              <w:numPr>
                <w:ilvl w:val="0"/>
                <w:numId w:val="0"/>
              </w:numPr>
              <w:tabs>
                <w:tab w:val="left" w:pos="435"/>
                <w:tab w:val="left" w:pos="855"/>
              </w:tabs>
              <w:autoSpaceDE w:val="0"/>
              <w:autoSpaceDN w:val="0"/>
              <w:adjustRightInd w:val="0"/>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zh-CN" w:eastAsia="zh-CN"/>
              </w:rPr>
              <w:t>若以上原件不齐全或不满足竞争性磋商文件要求，其竞争性磋商响应文件将被拒绝评审</w:t>
            </w:r>
            <w:r>
              <w:rPr>
                <w:rFonts w:hint="eastAsia" w:ascii="宋体" w:hAnsi="宋体" w:eastAsia="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781" w:type="dxa"/>
            <w:vAlign w:val="center"/>
          </w:tcPr>
          <w:p>
            <w:pPr>
              <w:spacing w:line="360" w:lineRule="auto"/>
              <w:jc w:val="center"/>
              <w:rPr>
                <w:rFonts w:hint="eastAsia" w:ascii="宋体" w:hAnsi="宋体" w:eastAsia="宋体" w:cs="宋体"/>
                <w:color w:val="auto"/>
                <w:sz w:val="28"/>
                <w:szCs w:val="28"/>
                <w:highlight w:val="none"/>
                <w:lang w:val="en-US" w:eastAsia="zh-CN"/>
              </w:rPr>
            </w:pPr>
            <w:bookmarkStart w:id="4" w:name="_Toc227423923"/>
            <w:bookmarkStart w:id="5" w:name="_Toc374356191"/>
            <w:r>
              <w:rPr>
                <w:rFonts w:hint="eastAsia" w:ascii="宋体" w:hAnsi="宋体" w:eastAsia="宋体" w:cs="宋体"/>
                <w:color w:val="auto"/>
                <w:sz w:val="28"/>
                <w:szCs w:val="28"/>
                <w:highlight w:val="none"/>
                <w:lang w:val="en-US" w:eastAsia="zh-CN"/>
              </w:rPr>
              <w:t>21</w:t>
            </w:r>
          </w:p>
        </w:tc>
        <w:tc>
          <w:tcPr>
            <w:tcW w:w="1373" w:type="dxa"/>
            <w:vAlign w:val="center"/>
          </w:tcPr>
          <w:p>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特别提示</w:t>
            </w:r>
          </w:p>
        </w:tc>
        <w:tc>
          <w:tcPr>
            <w:tcW w:w="7417" w:type="dxa"/>
            <w:vAlign w:val="center"/>
          </w:tcPr>
          <w:p>
            <w:pPr>
              <w:numPr>
                <w:ilvl w:val="0"/>
                <w:numId w:val="0"/>
              </w:numPr>
              <w:tabs>
                <w:tab w:val="left" w:pos="435"/>
                <w:tab w:val="left" w:pos="855"/>
              </w:tabs>
              <w:autoSpaceDE w:val="0"/>
              <w:autoSpaceDN w:val="0"/>
              <w:adjustRightIn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超过200万元的货物和服务采购项目、超过400万元的工程采购项目中适宜由中小企业提供的，预留该部分采购项目预算总额的40%以上专门面向中小企业采购，其中预留给小微企业的比例不低于60%。</w:t>
            </w:r>
          </w:p>
          <w:p>
            <w:pPr>
              <w:numPr>
                <w:ilvl w:val="0"/>
                <w:numId w:val="0"/>
              </w:numPr>
              <w:tabs>
                <w:tab w:val="left" w:pos="435"/>
                <w:tab w:val="left" w:pos="855"/>
              </w:tabs>
              <w:autoSpaceDE w:val="0"/>
              <w:autoSpaceDN w:val="0"/>
              <w:adjustRightIn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numPr>
                <w:ilvl w:val="0"/>
                <w:numId w:val="0"/>
              </w:numPr>
              <w:tabs>
                <w:tab w:val="left" w:pos="435"/>
                <w:tab w:val="left" w:pos="855"/>
              </w:tabs>
              <w:autoSpaceDE w:val="0"/>
              <w:autoSpaceDN w:val="0"/>
              <w:adjustRightInd w:val="0"/>
              <w:spacing w:line="360" w:lineRule="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bl>
    <w:p>
      <w:pPr>
        <w:widowControl/>
        <w:jc w:val="center"/>
        <w:rPr>
          <w:rFonts w:hint="eastAsia" w:ascii="宋体" w:hAnsi="宋体" w:eastAsia="宋体" w:cs="宋体"/>
          <w:b/>
          <w:bCs/>
          <w:color w:val="auto"/>
          <w:sz w:val="24"/>
          <w:highlight w:val="none"/>
        </w:rPr>
      </w:pPr>
    </w:p>
    <w:p>
      <w:pPr>
        <w:widowControl/>
        <w:jc w:val="left"/>
        <w:rPr>
          <w:rFonts w:hint="eastAsia" w:ascii="宋体" w:hAnsi="宋体" w:eastAsia="宋体" w:cs="宋体"/>
          <w:b/>
          <w:bCs/>
          <w:color w:val="auto"/>
          <w:sz w:val="24"/>
          <w:highlight w:val="none"/>
        </w:rPr>
      </w:pPr>
    </w:p>
    <w:p>
      <w:pPr>
        <w:widowControl/>
        <w:jc w:val="center"/>
        <w:outlineLvl w:val="1"/>
        <w:rPr>
          <w:rFonts w:hint="eastAsia" w:ascii="宋体" w:hAnsi="宋体" w:eastAsia="宋体" w:cs="宋体"/>
          <w:b/>
          <w:bCs/>
          <w:color w:val="auto"/>
          <w:sz w:val="28"/>
          <w:szCs w:val="21"/>
          <w:highlight w:val="none"/>
        </w:rPr>
      </w:pPr>
      <w:bookmarkStart w:id="6" w:name="_Toc32532"/>
      <w:r>
        <w:rPr>
          <w:rFonts w:hint="eastAsia" w:ascii="宋体" w:hAnsi="宋体" w:eastAsia="宋体" w:cs="宋体"/>
          <w:b/>
          <w:bCs/>
          <w:color w:val="auto"/>
          <w:sz w:val="28"/>
          <w:szCs w:val="21"/>
          <w:highlight w:val="none"/>
        </w:rPr>
        <w:t>一、总则</w:t>
      </w:r>
      <w:bookmarkEnd w:id="6"/>
    </w:p>
    <w:p>
      <w:pPr>
        <w:adjustRightInd w:val="0"/>
        <w:snapToGrid w:val="0"/>
        <w:spacing w:line="440" w:lineRule="exact"/>
        <w:ind w:firstLine="562" w:firstLineChars="200"/>
        <w:outlineLvl w:val="9"/>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1.概况</w:t>
      </w:r>
    </w:p>
    <w:p>
      <w:pPr>
        <w:pStyle w:val="69"/>
        <w:spacing w:line="440" w:lineRule="exact"/>
        <w:ind w:firstLine="480"/>
        <w:rPr>
          <w:rFonts w:hint="eastAsia" w:ascii="宋体" w:hAnsi="宋体" w:eastAsia="宋体" w:cs="宋体"/>
          <w:bCs/>
          <w:color w:val="auto"/>
          <w:sz w:val="28"/>
          <w:szCs w:val="28"/>
          <w:highlight w:val="none"/>
        </w:rPr>
      </w:pPr>
      <w:bookmarkStart w:id="7" w:name="_Toc438371744"/>
      <w:bookmarkStart w:id="8" w:name="_Toc438371192"/>
      <w:bookmarkStart w:id="9" w:name="_Toc438354293"/>
      <w:bookmarkStart w:id="10" w:name="_Toc438370522"/>
      <w:bookmarkStart w:id="11" w:name="_Toc438371375"/>
      <w:bookmarkStart w:id="12" w:name="_Toc438371557"/>
      <w:r>
        <w:rPr>
          <w:rFonts w:hint="eastAsia" w:ascii="宋体" w:hAnsi="宋体" w:eastAsia="宋体" w:cs="宋体"/>
          <w:bCs/>
          <w:color w:val="auto"/>
          <w:sz w:val="28"/>
          <w:szCs w:val="28"/>
          <w:highlight w:val="none"/>
        </w:rPr>
        <w:t>1.1、项目名称：详见供应商须知前附表</w:t>
      </w:r>
    </w:p>
    <w:p>
      <w:pPr>
        <w:pStyle w:val="69"/>
        <w:spacing w:line="440" w:lineRule="exact"/>
        <w:ind w:firstLine="48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1.2、服务周期：详见供应商须知前附表</w:t>
      </w:r>
    </w:p>
    <w:p>
      <w:pPr>
        <w:pStyle w:val="69"/>
        <w:spacing w:line="440" w:lineRule="exact"/>
        <w:ind w:firstLine="48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1.3、采购范围：详见供应商须知前附表</w:t>
      </w:r>
    </w:p>
    <w:p>
      <w:pPr>
        <w:pStyle w:val="69"/>
        <w:spacing w:line="440" w:lineRule="exact"/>
        <w:ind w:firstLine="48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1.4、服务地点：乌鲁木齐</w:t>
      </w:r>
    </w:p>
    <w:p>
      <w:pPr>
        <w:pStyle w:val="69"/>
        <w:spacing w:line="440" w:lineRule="exact"/>
        <w:ind w:firstLine="48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1.5、质量标准：合格。</w:t>
      </w:r>
    </w:p>
    <w:p>
      <w:pPr>
        <w:adjustRightInd w:val="0"/>
        <w:snapToGrid w:val="0"/>
        <w:spacing w:line="440" w:lineRule="exact"/>
        <w:ind w:firstLine="562" w:firstLineChars="200"/>
        <w:rPr>
          <w:rFonts w:hint="eastAsia" w:ascii="宋体" w:hAnsi="宋体" w:eastAsia="宋体" w:cs="宋体"/>
          <w:bCs/>
          <w:color w:val="auto"/>
          <w:sz w:val="28"/>
          <w:szCs w:val="21"/>
          <w:highlight w:val="none"/>
        </w:rPr>
      </w:pPr>
      <w:r>
        <w:rPr>
          <w:rFonts w:hint="eastAsia" w:ascii="宋体" w:hAnsi="宋体" w:eastAsia="宋体" w:cs="宋体"/>
          <w:b/>
          <w:color w:val="auto"/>
          <w:sz w:val="28"/>
          <w:szCs w:val="21"/>
          <w:highlight w:val="none"/>
        </w:rPr>
        <w:t>2. 合格的</w:t>
      </w:r>
      <w:bookmarkEnd w:id="7"/>
      <w:bookmarkEnd w:id="8"/>
      <w:bookmarkEnd w:id="9"/>
      <w:bookmarkEnd w:id="10"/>
      <w:bookmarkEnd w:id="11"/>
      <w:bookmarkEnd w:id="12"/>
      <w:r>
        <w:rPr>
          <w:rFonts w:hint="eastAsia" w:ascii="宋体" w:hAnsi="宋体" w:eastAsia="宋体" w:cs="宋体"/>
          <w:b/>
          <w:color w:val="auto"/>
          <w:sz w:val="28"/>
          <w:szCs w:val="21"/>
          <w:highlight w:val="none"/>
        </w:rPr>
        <w:t>供应商</w:t>
      </w:r>
    </w:p>
    <w:p>
      <w:pPr>
        <w:adjustRightInd w:val="0"/>
        <w:snapToGrid w:val="0"/>
        <w:spacing w:line="440" w:lineRule="exact"/>
        <w:ind w:firstLine="560" w:firstLineChars="200"/>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2.1详见供应商须知前附表第</w:t>
      </w:r>
      <w:r>
        <w:rPr>
          <w:rFonts w:hint="eastAsia" w:ascii="宋体" w:hAnsi="宋体" w:eastAsia="宋体" w:cs="宋体"/>
          <w:color w:val="auto"/>
          <w:sz w:val="28"/>
          <w:szCs w:val="21"/>
          <w:highlight w:val="none"/>
          <w:lang w:val="en-US" w:eastAsia="zh-CN"/>
        </w:rPr>
        <w:t>七</w:t>
      </w:r>
      <w:r>
        <w:rPr>
          <w:rFonts w:hint="eastAsia" w:ascii="宋体" w:hAnsi="宋体" w:eastAsia="宋体" w:cs="宋体"/>
          <w:color w:val="auto"/>
          <w:sz w:val="28"/>
          <w:szCs w:val="21"/>
          <w:highlight w:val="none"/>
        </w:rPr>
        <w:t>条要求。</w:t>
      </w:r>
    </w:p>
    <w:p>
      <w:pPr>
        <w:adjustRightInd w:val="0"/>
        <w:snapToGrid w:val="0"/>
        <w:spacing w:line="440" w:lineRule="exact"/>
        <w:ind w:firstLine="562" w:firstLineChars="200"/>
        <w:outlineLvl w:val="9"/>
        <w:rPr>
          <w:rFonts w:hint="eastAsia" w:ascii="宋体" w:hAnsi="宋体" w:eastAsia="宋体" w:cs="宋体"/>
          <w:b/>
          <w:bCs/>
          <w:color w:val="auto"/>
          <w:sz w:val="28"/>
          <w:szCs w:val="21"/>
          <w:highlight w:val="none"/>
        </w:rPr>
      </w:pPr>
      <w:bookmarkStart w:id="13" w:name="_Toc438371558"/>
      <w:bookmarkStart w:id="14" w:name="_Toc438371745"/>
      <w:bookmarkStart w:id="15" w:name="_Toc438354294"/>
      <w:bookmarkStart w:id="16" w:name="_Toc438371193"/>
      <w:bookmarkStart w:id="17" w:name="_Toc438370523"/>
      <w:bookmarkStart w:id="18" w:name="_Toc438371376"/>
      <w:r>
        <w:rPr>
          <w:rFonts w:hint="eastAsia" w:ascii="宋体" w:hAnsi="宋体" w:eastAsia="宋体" w:cs="宋体"/>
          <w:b/>
          <w:bCs/>
          <w:color w:val="auto"/>
          <w:sz w:val="28"/>
          <w:szCs w:val="21"/>
          <w:highlight w:val="none"/>
        </w:rPr>
        <w:t>3. 投标费用</w:t>
      </w:r>
      <w:bookmarkEnd w:id="13"/>
      <w:bookmarkEnd w:id="14"/>
      <w:bookmarkEnd w:id="15"/>
      <w:bookmarkEnd w:id="16"/>
      <w:bookmarkEnd w:id="17"/>
      <w:bookmarkEnd w:id="18"/>
    </w:p>
    <w:p>
      <w:pPr>
        <w:spacing w:line="440" w:lineRule="exact"/>
        <w:ind w:firstLine="560" w:firstLineChars="200"/>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3.1无论投标结果如何，与参与招标、投标活动有关的所有费用将由投标方自行承担。</w:t>
      </w:r>
    </w:p>
    <w:p>
      <w:pPr>
        <w:spacing w:line="440" w:lineRule="exact"/>
        <w:ind w:firstLine="560" w:firstLineChars="200"/>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3.2供应商被视为熟悉本招标项目的各种情况以及履行合同有关的一切情况。</w:t>
      </w:r>
    </w:p>
    <w:p>
      <w:pPr>
        <w:spacing w:line="440" w:lineRule="exact"/>
        <w:ind w:firstLine="548" w:firstLineChars="196"/>
        <w:rPr>
          <w:rFonts w:hint="eastAsia" w:ascii="宋体" w:hAnsi="宋体" w:eastAsia="宋体" w:cs="宋体"/>
          <w:color w:val="auto"/>
          <w:sz w:val="28"/>
          <w:szCs w:val="21"/>
          <w:highlight w:val="none"/>
        </w:rPr>
      </w:pPr>
      <w:r>
        <w:rPr>
          <w:rFonts w:hint="eastAsia" w:ascii="宋体" w:hAnsi="宋体" w:eastAsia="宋体" w:cs="宋体"/>
          <w:bCs/>
          <w:color w:val="auto"/>
          <w:sz w:val="28"/>
          <w:szCs w:val="21"/>
          <w:highlight w:val="none"/>
        </w:rPr>
        <w:t>3.3供应商应承担其编制投标文件与递交投标文件所涉及的一切费用，不论投标结果如何，采购人对上述费用不做任何补偿。</w:t>
      </w:r>
      <w:bookmarkStart w:id="19" w:name="_Toc438371746"/>
      <w:bookmarkStart w:id="20" w:name="_Toc438371377"/>
      <w:bookmarkStart w:id="21" w:name="_Toc438354295"/>
      <w:bookmarkStart w:id="22" w:name="_Toc438371194"/>
      <w:bookmarkStart w:id="23" w:name="_Toc438371559"/>
      <w:bookmarkStart w:id="24" w:name="_Toc438370524"/>
    </w:p>
    <w:p>
      <w:pPr>
        <w:spacing w:line="440" w:lineRule="exact"/>
        <w:ind w:firstLine="551" w:firstLineChars="196"/>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4.综合说明</w:t>
      </w:r>
    </w:p>
    <w:p>
      <w:pPr>
        <w:spacing w:line="360" w:lineRule="auto"/>
        <w:ind w:firstLine="560" w:firstLineChars="200"/>
        <w:rPr>
          <w:rFonts w:hint="eastAsia" w:ascii="宋体" w:hAnsi="宋体" w:eastAsia="宋体" w:cs="宋体"/>
          <w:color w:val="auto"/>
          <w:sz w:val="28"/>
          <w:szCs w:val="21"/>
          <w:highlight w:val="none"/>
        </w:rPr>
      </w:pPr>
      <w:bookmarkStart w:id="25" w:name="_Toc128372733"/>
      <w:bookmarkStart w:id="26" w:name="_Toc139965329"/>
      <w:bookmarkStart w:id="27" w:name="_Toc128372055"/>
      <w:r>
        <w:rPr>
          <w:rFonts w:hint="eastAsia" w:ascii="宋体" w:hAnsi="宋体" w:eastAsia="宋体" w:cs="宋体"/>
          <w:color w:val="auto"/>
          <w:sz w:val="28"/>
          <w:szCs w:val="21"/>
          <w:highlight w:val="none"/>
        </w:rPr>
        <w:t>本项目按照《中华人民共和国政府采购法》及相关法规，已办理采购申请，并得到财政部门批准，现通过公开招标来择优选定货物服务的供货商。本招标文件包括本文所列内容及按本须知发出的全部和补充资料。投标供应商应认真阅读本招标文件中所有的事项、格式、条款、技术规范等实质性的条件和要求。投标供应商被视为充分熟悉本招标项目的全部内容及与履行合同有关的全部内容，熟悉招标文件的格式、条件和范围。投标供应商没有按照招标文件的要求提交相关资料，或者投标供应商没有对招标文件相关内容都做出实质性响应是投标供应商的风险，并可能导致其投标文件无效。</w:t>
      </w:r>
    </w:p>
    <w:p>
      <w:pPr>
        <w:tabs>
          <w:tab w:val="left" w:pos="567"/>
        </w:tabs>
        <w:snapToGrid w:val="0"/>
        <w:spacing w:line="360" w:lineRule="auto"/>
        <w:ind w:left="851"/>
        <w:jc w:val="center"/>
        <w:rPr>
          <w:rFonts w:hint="eastAsia" w:ascii="宋体" w:hAnsi="宋体" w:eastAsia="宋体" w:cs="宋体"/>
          <w:bCs/>
          <w:color w:val="auto"/>
          <w:sz w:val="28"/>
          <w:szCs w:val="21"/>
          <w:highlight w:val="none"/>
        </w:rPr>
      </w:pPr>
    </w:p>
    <w:p>
      <w:pPr>
        <w:pStyle w:val="2"/>
        <w:rPr>
          <w:rFonts w:hint="eastAsia" w:ascii="宋体" w:hAnsi="宋体" w:eastAsia="宋体" w:cs="宋体"/>
          <w:bCs/>
          <w:color w:val="auto"/>
          <w:sz w:val="28"/>
          <w:szCs w:val="21"/>
          <w:highlight w:val="none"/>
        </w:rPr>
      </w:pPr>
    </w:p>
    <w:p>
      <w:pPr>
        <w:pStyle w:val="2"/>
        <w:jc w:val="both"/>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rPr>
      </w:pPr>
    </w:p>
    <w:p>
      <w:pPr>
        <w:tabs>
          <w:tab w:val="left" w:pos="567"/>
        </w:tabs>
        <w:snapToGrid w:val="0"/>
        <w:spacing w:line="360" w:lineRule="auto"/>
        <w:ind w:left="851"/>
        <w:jc w:val="center"/>
        <w:outlineLvl w:val="9"/>
        <w:rPr>
          <w:rFonts w:hint="eastAsia" w:ascii="宋体" w:hAnsi="宋体" w:eastAsia="宋体" w:cs="宋体"/>
          <w:b/>
          <w:bCs w:val="0"/>
          <w:color w:val="auto"/>
          <w:sz w:val="32"/>
          <w:szCs w:val="22"/>
          <w:highlight w:val="none"/>
        </w:rPr>
      </w:pPr>
      <w:r>
        <w:rPr>
          <w:rFonts w:hint="eastAsia" w:ascii="宋体" w:hAnsi="宋体" w:eastAsia="宋体" w:cs="宋体"/>
          <w:b/>
          <w:bCs w:val="0"/>
          <w:color w:val="auto"/>
          <w:sz w:val="32"/>
          <w:szCs w:val="22"/>
          <w:highlight w:val="none"/>
        </w:rPr>
        <w:t>关于中型、小型、微型企业参与投标</w:t>
      </w:r>
    </w:p>
    <w:p>
      <w:pPr>
        <w:tabs>
          <w:tab w:val="left" w:pos="567"/>
        </w:tabs>
        <w:snapToGrid w:val="0"/>
        <w:spacing w:line="360" w:lineRule="auto"/>
        <w:rPr>
          <w:rFonts w:hint="eastAsia" w:ascii="宋体" w:hAnsi="宋体" w:eastAsia="宋体" w:cs="宋体"/>
          <w:b/>
          <w:bCs w:val="0"/>
          <w:color w:val="auto"/>
          <w:sz w:val="28"/>
          <w:szCs w:val="21"/>
          <w:highlight w:val="none"/>
          <w:lang w:eastAsia="zh-CN"/>
        </w:rPr>
      </w:pPr>
      <w:r>
        <w:rPr>
          <w:rFonts w:hint="eastAsia" w:ascii="宋体" w:hAnsi="宋体" w:eastAsia="宋体" w:cs="宋体"/>
          <w:b/>
          <w:bCs w:val="0"/>
          <w:color w:val="auto"/>
          <w:sz w:val="28"/>
          <w:szCs w:val="21"/>
          <w:highlight w:val="none"/>
          <w:lang w:eastAsia="zh-CN"/>
        </w:rPr>
        <w:t>（</w:t>
      </w:r>
      <w:r>
        <w:rPr>
          <w:rFonts w:hint="eastAsia" w:ascii="宋体" w:hAnsi="宋体" w:eastAsia="宋体" w:cs="宋体"/>
          <w:b/>
          <w:bCs w:val="0"/>
          <w:color w:val="auto"/>
          <w:sz w:val="28"/>
          <w:szCs w:val="21"/>
          <w:highlight w:val="none"/>
          <w:lang w:val="en-US" w:eastAsia="zh-CN"/>
        </w:rPr>
        <w:t>1</w:t>
      </w:r>
      <w:r>
        <w:rPr>
          <w:rFonts w:hint="eastAsia" w:ascii="宋体" w:hAnsi="宋体" w:eastAsia="宋体" w:cs="宋体"/>
          <w:b/>
          <w:bCs w:val="0"/>
          <w:color w:val="auto"/>
          <w:sz w:val="28"/>
          <w:szCs w:val="21"/>
          <w:highlight w:val="none"/>
          <w:lang w:eastAsia="zh-CN"/>
        </w:rPr>
        <w:t>）</w:t>
      </w:r>
      <w:r>
        <w:rPr>
          <w:rFonts w:hint="eastAsia" w:ascii="宋体" w:hAnsi="宋体" w:eastAsia="宋体" w:cs="宋体"/>
          <w:b/>
          <w:bCs w:val="0"/>
          <w:color w:val="auto"/>
          <w:sz w:val="28"/>
          <w:szCs w:val="21"/>
          <w:highlight w:val="none"/>
        </w:rPr>
        <w:t>根据工信部等部委发布的《关于印发中小企业划型标准规定的通知》（工信部联企业[2011]300号）规定和《</w:t>
      </w:r>
      <w:r>
        <w:rPr>
          <w:rFonts w:hint="eastAsia" w:ascii="宋体" w:hAnsi="宋体" w:eastAsia="宋体" w:cs="宋体"/>
          <w:b/>
          <w:bCs w:val="0"/>
          <w:color w:val="auto"/>
          <w:sz w:val="28"/>
          <w:szCs w:val="21"/>
          <w:highlight w:val="none"/>
          <w:lang w:val="en-US" w:eastAsia="zh-CN"/>
        </w:rPr>
        <w:t>关于落实好政府采购支持中小企业发展的通知</w:t>
      </w:r>
      <w:r>
        <w:rPr>
          <w:rFonts w:hint="eastAsia" w:ascii="宋体" w:hAnsi="宋体" w:eastAsia="宋体" w:cs="宋体"/>
          <w:b/>
          <w:bCs w:val="0"/>
          <w:color w:val="auto"/>
          <w:sz w:val="28"/>
          <w:szCs w:val="21"/>
          <w:highlight w:val="none"/>
          <w:lang w:val="zh-CN" w:eastAsia="zh-CN"/>
        </w:rPr>
        <w:t>》（新财</w:t>
      </w:r>
      <w:r>
        <w:rPr>
          <w:rFonts w:hint="eastAsia" w:ascii="宋体" w:hAnsi="宋体" w:eastAsia="宋体" w:cs="宋体"/>
          <w:b/>
          <w:bCs w:val="0"/>
          <w:color w:val="auto"/>
          <w:sz w:val="28"/>
          <w:szCs w:val="21"/>
          <w:highlight w:val="none"/>
          <w:lang w:val="en-US" w:eastAsia="zh-CN"/>
        </w:rPr>
        <w:t>购</w:t>
      </w:r>
      <w:r>
        <w:rPr>
          <w:rFonts w:hint="eastAsia" w:ascii="宋体" w:hAnsi="宋体" w:eastAsia="宋体" w:cs="宋体"/>
          <w:b/>
          <w:bCs w:val="0"/>
          <w:color w:val="auto"/>
          <w:sz w:val="28"/>
          <w:szCs w:val="21"/>
          <w:highlight w:val="none"/>
          <w:lang w:val="zh-CN" w:eastAsia="zh-CN"/>
        </w:rPr>
        <w:t>〔202</w:t>
      </w:r>
      <w:r>
        <w:rPr>
          <w:rFonts w:hint="eastAsia" w:ascii="宋体" w:hAnsi="宋体" w:eastAsia="宋体" w:cs="宋体"/>
          <w:b/>
          <w:bCs w:val="0"/>
          <w:color w:val="auto"/>
          <w:sz w:val="28"/>
          <w:szCs w:val="21"/>
          <w:highlight w:val="none"/>
          <w:lang w:val="en-US" w:eastAsia="zh-CN"/>
        </w:rPr>
        <w:t>2</w:t>
      </w:r>
      <w:r>
        <w:rPr>
          <w:rFonts w:hint="eastAsia" w:ascii="宋体" w:hAnsi="宋体" w:eastAsia="宋体" w:cs="宋体"/>
          <w:b/>
          <w:bCs w:val="0"/>
          <w:color w:val="auto"/>
          <w:sz w:val="28"/>
          <w:szCs w:val="21"/>
          <w:highlight w:val="none"/>
          <w:lang w:val="zh-CN" w:eastAsia="zh-CN"/>
        </w:rPr>
        <w:t>〕</w:t>
      </w:r>
      <w:r>
        <w:rPr>
          <w:rFonts w:hint="eastAsia" w:ascii="宋体" w:hAnsi="宋体" w:eastAsia="宋体" w:cs="宋体"/>
          <w:b/>
          <w:bCs w:val="0"/>
          <w:color w:val="auto"/>
          <w:sz w:val="28"/>
          <w:szCs w:val="21"/>
          <w:highlight w:val="none"/>
          <w:lang w:val="en-US" w:eastAsia="zh-CN"/>
        </w:rPr>
        <w:t>22</w:t>
      </w:r>
      <w:r>
        <w:rPr>
          <w:rFonts w:hint="eastAsia" w:ascii="宋体" w:hAnsi="宋体" w:eastAsia="宋体" w:cs="宋体"/>
          <w:b/>
          <w:bCs w:val="0"/>
          <w:color w:val="auto"/>
          <w:sz w:val="28"/>
          <w:szCs w:val="21"/>
          <w:highlight w:val="none"/>
          <w:lang w:val="zh-CN" w:eastAsia="zh-CN"/>
        </w:rPr>
        <w:t>号）</w:t>
      </w:r>
      <w:r>
        <w:rPr>
          <w:rFonts w:hint="eastAsia" w:ascii="宋体" w:hAnsi="宋体" w:cs="宋体"/>
          <w:b/>
          <w:bCs w:val="0"/>
          <w:color w:val="auto"/>
          <w:sz w:val="28"/>
          <w:szCs w:val="21"/>
          <w:highlight w:val="none"/>
          <w:lang w:val="en-US" w:eastAsia="zh-CN"/>
        </w:rPr>
        <w:t>规定</w:t>
      </w:r>
      <w:r>
        <w:rPr>
          <w:rFonts w:hint="eastAsia" w:ascii="宋体" w:hAnsi="宋体" w:eastAsia="宋体" w:cs="宋体"/>
          <w:b/>
          <w:bCs w:val="0"/>
          <w:color w:val="auto"/>
          <w:sz w:val="28"/>
          <w:szCs w:val="21"/>
          <w:highlight w:val="none"/>
        </w:rPr>
        <w:t>执行</w:t>
      </w:r>
      <w:r>
        <w:rPr>
          <w:rFonts w:hint="eastAsia" w:ascii="宋体" w:hAnsi="宋体" w:cs="宋体"/>
          <w:b/>
          <w:bCs w:val="0"/>
          <w:color w:val="auto"/>
          <w:sz w:val="28"/>
          <w:szCs w:val="21"/>
          <w:highlight w:val="none"/>
          <w:lang w:eastAsia="zh-CN"/>
        </w:rPr>
        <w:t>。</w:t>
      </w:r>
    </w:p>
    <w:p>
      <w:pPr>
        <w:tabs>
          <w:tab w:val="left" w:pos="567"/>
        </w:tabs>
        <w:snapToGrid w:val="0"/>
        <w:spacing w:line="360" w:lineRule="auto"/>
        <w:rPr>
          <w:rFonts w:hint="eastAsia" w:ascii="宋体" w:hAnsi="宋体" w:eastAsia="宋体" w:cs="宋体"/>
          <w:b/>
          <w:bCs w:val="0"/>
          <w:color w:val="auto"/>
          <w:sz w:val="28"/>
          <w:szCs w:val="21"/>
          <w:highlight w:val="none"/>
        </w:rPr>
      </w:pPr>
      <w:r>
        <w:rPr>
          <w:rFonts w:hint="eastAsia" w:ascii="宋体" w:hAnsi="宋体" w:eastAsia="宋体" w:cs="宋体"/>
          <w:b/>
          <w:bCs w:val="0"/>
          <w:color w:val="auto"/>
          <w:sz w:val="28"/>
          <w:szCs w:val="21"/>
          <w:highlight w:val="none"/>
          <w:lang w:eastAsia="zh-CN"/>
        </w:rPr>
        <w:t>（</w:t>
      </w:r>
      <w:r>
        <w:rPr>
          <w:rFonts w:hint="eastAsia" w:ascii="宋体" w:hAnsi="宋体" w:eastAsia="宋体" w:cs="宋体"/>
          <w:b/>
          <w:bCs w:val="0"/>
          <w:color w:val="auto"/>
          <w:sz w:val="28"/>
          <w:szCs w:val="21"/>
          <w:highlight w:val="none"/>
          <w:lang w:val="en-US" w:eastAsia="zh-CN"/>
        </w:rPr>
        <w:t>2</w:t>
      </w:r>
      <w:r>
        <w:rPr>
          <w:rFonts w:hint="eastAsia" w:ascii="宋体" w:hAnsi="宋体" w:eastAsia="宋体" w:cs="宋体"/>
          <w:b/>
          <w:bCs w:val="0"/>
          <w:color w:val="auto"/>
          <w:sz w:val="28"/>
          <w:szCs w:val="21"/>
          <w:highlight w:val="none"/>
          <w:lang w:eastAsia="zh-CN"/>
        </w:rPr>
        <w:t>）</w:t>
      </w:r>
      <w:r>
        <w:rPr>
          <w:rFonts w:hint="eastAsia" w:ascii="宋体" w:hAnsi="宋体" w:eastAsia="宋体" w:cs="宋体"/>
          <w:b/>
          <w:bCs w:val="0"/>
          <w:color w:val="auto"/>
          <w:sz w:val="28"/>
          <w:szCs w:val="21"/>
          <w:highlight w:val="none"/>
        </w:rPr>
        <w:t>价格扣除幅度：价格给予</w:t>
      </w:r>
      <w:r>
        <w:rPr>
          <w:rFonts w:hint="eastAsia" w:ascii="宋体" w:hAnsi="宋体" w:cs="宋体"/>
          <w:b/>
          <w:bCs w:val="0"/>
          <w:color w:val="auto"/>
          <w:sz w:val="28"/>
          <w:szCs w:val="21"/>
          <w:highlight w:val="none"/>
          <w:lang w:val="en-US" w:eastAsia="zh-CN"/>
        </w:rPr>
        <w:t>10</w:t>
      </w:r>
      <w:r>
        <w:rPr>
          <w:rFonts w:hint="eastAsia" w:ascii="宋体" w:hAnsi="宋体" w:eastAsia="宋体" w:cs="宋体"/>
          <w:b/>
          <w:bCs w:val="0"/>
          <w:color w:val="auto"/>
          <w:sz w:val="28"/>
          <w:szCs w:val="21"/>
          <w:highlight w:val="none"/>
        </w:rPr>
        <w:t>%的扣除，对小型和微型企业产品的价格给予6%的扣除，用扣除后的价格参与评审；报价产品中仅有部分小型和微型企业产品的，则按所报小型和微型企业产品的价格予以扣除。</w:t>
      </w:r>
    </w:p>
    <w:p>
      <w:pPr>
        <w:tabs>
          <w:tab w:val="left" w:pos="567"/>
        </w:tabs>
        <w:snapToGrid w:val="0"/>
        <w:spacing w:line="360" w:lineRule="auto"/>
        <w:rPr>
          <w:rFonts w:hint="eastAsia" w:ascii="宋体" w:hAnsi="宋体" w:eastAsia="宋体" w:cs="宋体"/>
          <w:b/>
          <w:bCs w:val="0"/>
          <w:color w:val="auto"/>
          <w:sz w:val="28"/>
          <w:szCs w:val="21"/>
          <w:highlight w:val="none"/>
        </w:rPr>
      </w:pPr>
      <w:r>
        <w:rPr>
          <w:rFonts w:hint="eastAsia" w:ascii="宋体" w:hAnsi="宋体" w:eastAsia="宋体" w:cs="宋体"/>
          <w:b/>
          <w:bCs w:val="0"/>
          <w:color w:val="auto"/>
          <w:sz w:val="28"/>
          <w:szCs w:val="21"/>
          <w:highlight w:val="none"/>
        </w:rPr>
        <w:t>《政府采购促进中小企业发展暂行办法》所称中小企业（含中型、小型、微型企业，下同）应当同时符合以下条件：</w:t>
      </w:r>
    </w:p>
    <w:p>
      <w:pPr>
        <w:tabs>
          <w:tab w:val="left" w:pos="567"/>
        </w:tabs>
        <w:snapToGrid w:val="0"/>
        <w:spacing w:line="360" w:lineRule="auto"/>
        <w:rPr>
          <w:rFonts w:hint="eastAsia" w:ascii="宋体" w:hAnsi="宋体" w:eastAsia="宋体" w:cs="宋体"/>
          <w:b/>
          <w:bCs w:val="0"/>
          <w:color w:val="auto"/>
          <w:sz w:val="28"/>
          <w:szCs w:val="21"/>
          <w:highlight w:val="none"/>
        </w:rPr>
      </w:pPr>
      <w:r>
        <w:rPr>
          <w:rFonts w:hint="eastAsia" w:ascii="宋体" w:hAnsi="宋体" w:eastAsia="宋体" w:cs="宋体"/>
          <w:b/>
          <w:bCs w:val="0"/>
          <w:color w:val="auto"/>
          <w:sz w:val="28"/>
          <w:szCs w:val="21"/>
          <w:highlight w:val="none"/>
        </w:rPr>
        <w:t>a符合中小企业划分标准；</w:t>
      </w:r>
    </w:p>
    <w:p>
      <w:pPr>
        <w:tabs>
          <w:tab w:val="left" w:pos="567"/>
        </w:tabs>
        <w:snapToGrid w:val="0"/>
        <w:spacing w:line="360" w:lineRule="auto"/>
        <w:rPr>
          <w:rFonts w:hint="eastAsia" w:ascii="宋体" w:hAnsi="宋体" w:eastAsia="宋体" w:cs="宋体"/>
          <w:b/>
          <w:bCs w:val="0"/>
          <w:color w:val="auto"/>
          <w:sz w:val="28"/>
          <w:szCs w:val="21"/>
          <w:highlight w:val="none"/>
        </w:rPr>
      </w:pPr>
      <w:r>
        <w:rPr>
          <w:rFonts w:hint="eastAsia" w:ascii="宋体" w:hAnsi="宋体" w:eastAsia="宋体" w:cs="宋体"/>
          <w:b/>
          <w:bCs w:val="0"/>
          <w:color w:val="auto"/>
          <w:sz w:val="28"/>
          <w:szCs w:val="21"/>
          <w:highlight w:val="none"/>
        </w:rPr>
        <w:t>b提供本企业制造的货物、承担的工程或者服务，或者提供其他中小企业制造的货物。本项所称货物不包括使用大型企业注册商标的货物。</w:t>
      </w:r>
    </w:p>
    <w:p>
      <w:pPr>
        <w:tabs>
          <w:tab w:val="left" w:pos="567"/>
        </w:tabs>
        <w:snapToGrid w:val="0"/>
        <w:spacing w:line="360" w:lineRule="auto"/>
        <w:rPr>
          <w:rFonts w:hint="eastAsia" w:ascii="宋体" w:hAnsi="宋体" w:eastAsia="宋体" w:cs="宋体"/>
          <w:b/>
          <w:bCs w:val="0"/>
          <w:color w:val="auto"/>
          <w:sz w:val="28"/>
          <w:szCs w:val="21"/>
          <w:highlight w:val="none"/>
        </w:rPr>
      </w:pPr>
      <w:r>
        <w:rPr>
          <w:rFonts w:hint="eastAsia" w:ascii="宋体" w:hAnsi="宋体" w:eastAsia="宋体" w:cs="宋体"/>
          <w:b/>
          <w:bCs w:val="0"/>
          <w:color w:val="auto"/>
          <w:sz w:val="28"/>
          <w:szCs w:val="21"/>
          <w:highlight w:val="none"/>
        </w:rPr>
        <w:t xml:space="preserve">  《政府采购促进中小企业发展暂行办法》所称中小企业划分标准，是国务院有关部门根据企业从业人员、营业收入、资产总额等指标制定的中小企业划型标准。</w:t>
      </w:r>
    </w:p>
    <w:p>
      <w:pPr>
        <w:tabs>
          <w:tab w:val="left" w:pos="567"/>
        </w:tabs>
        <w:snapToGrid w:val="0"/>
        <w:spacing w:line="360" w:lineRule="auto"/>
        <w:rPr>
          <w:rFonts w:hint="eastAsia" w:ascii="宋体" w:hAnsi="宋体" w:eastAsia="宋体" w:cs="宋体"/>
          <w:b/>
          <w:bCs w:val="0"/>
          <w:color w:val="auto"/>
          <w:sz w:val="28"/>
          <w:szCs w:val="21"/>
          <w:highlight w:val="none"/>
        </w:rPr>
      </w:pPr>
      <w:r>
        <w:rPr>
          <w:rFonts w:hint="eastAsia" w:ascii="宋体" w:hAnsi="宋体" w:eastAsia="宋体" w:cs="宋体"/>
          <w:b/>
          <w:bCs w:val="0"/>
          <w:color w:val="auto"/>
          <w:sz w:val="28"/>
          <w:szCs w:val="21"/>
          <w:highlight w:val="none"/>
        </w:rPr>
        <w:t>小型、微型企业提供中型企业制造的货物的，视同为中型企业。</w:t>
      </w:r>
    </w:p>
    <w:p>
      <w:pPr>
        <w:tabs>
          <w:tab w:val="left" w:pos="567"/>
        </w:tabs>
        <w:snapToGrid w:val="0"/>
        <w:spacing w:line="360" w:lineRule="auto"/>
        <w:ind w:firstLine="562" w:firstLineChars="200"/>
        <w:rPr>
          <w:rFonts w:hint="eastAsia" w:ascii="宋体" w:hAnsi="宋体" w:eastAsia="宋体" w:cs="宋体"/>
          <w:b/>
          <w:bCs w:val="0"/>
          <w:color w:val="auto"/>
          <w:sz w:val="28"/>
          <w:szCs w:val="21"/>
          <w:highlight w:val="none"/>
        </w:rPr>
      </w:pPr>
      <w:r>
        <w:rPr>
          <w:rFonts w:hint="eastAsia" w:ascii="宋体" w:hAnsi="宋体" w:eastAsia="宋体" w:cs="宋体"/>
          <w:b/>
          <w:bCs w:val="0"/>
          <w:color w:val="auto"/>
          <w:sz w:val="28"/>
          <w:szCs w:val="21"/>
          <w:highlight w:val="none"/>
        </w:rPr>
        <w:t>中小微企业参与</w:t>
      </w:r>
      <w:r>
        <w:rPr>
          <w:rFonts w:hint="eastAsia" w:ascii="宋体" w:hAnsi="宋体" w:eastAsia="宋体" w:cs="宋体"/>
          <w:b/>
          <w:bCs w:val="0"/>
          <w:color w:val="auto"/>
          <w:sz w:val="28"/>
          <w:szCs w:val="21"/>
          <w:highlight w:val="none"/>
          <w:lang w:val="en-US" w:eastAsia="zh-CN"/>
        </w:rPr>
        <w:t>投标</w:t>
      </w:r>
      <w:r>
        <w:rPr>
          <w:rFonts w:hint="eastAsia" w:ascii="宋体" w:hAnsi="宋体" w:eastAsia="宋体" w:cs="宋体"/>
          <w:b/>
          <w:bCs w:val="0"/>
          <w:color w:val="auto"/>
          <w:sz w:val="28"/>
          <w:szCs w:val="21"/>
          <w:highlight w:val="none"/>
        </w:rPr>
        <w:t>应提供《中小微企业声明函》。根据财库〔2014〕68号《财政部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与投标提供由省级以上监狱管理局、戒毒管理局(含新疆生产建设兵团)出具的属于监狱企业的证明文件，不再提供《中小微企业声明函》。</w:t>
      </w:r>
    </w:p>
    <w:p>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4"/>
          <w:highlight w:val="none"/>
        </w:rPr>
      </w:pPr>
      <w:r>
        <w:rPr>
          <w:rFonts w:hint="eastAsia" w:ascii="宋体" w:hAnsi="宋体" w:eastAsia="宋体" w:cs="宋体"/>
          <w:b/>
          <w:bCs w:val="0"/>
          <w:color w:val="auto"/>
          <w:sz w:val="28"/>
          <w:szCs w:val="21"/>
          <w:highlight w:val="none"/>
          <w:lang w:val="en-US" w:eastAsia="zh-CN"/>
        </w:rPr>
        <w:t>（3）、供应商提供了虚假</w:t>
      </w:r>
      <w:r>
        <w:rPr>
          <w:rFonts w:hint="eastAsia" w:ascii="宋体" w:hAnsi="宋体" w:eastAsia="宋体" w:cs="宋体"/>
          <w:b/>
          <w:bCs w:val="0"/>
          <w:color w:val="auto"/>
          <w:sz w:val="28"/>
          <w:szCs w:val="21"/>
          <w:highlight w:val="none"/>
        </w:rPr>
        <w:t>《中小微企业声明函》</w:t>
      </w:r>
      <w:r>
        <w:rPr>
          <w:rFonts w:hint="eastAsia" w:ascii="宋体" w:hAnsi="宋体" w:eastAsia="宋体" w:cs="宋体"/>
          <w:b/>
          <w:bCs w:val="0"/>
          <w:color w:val="auto"/>
          <w:sz w:val="28"/>
          <w:szCs w:val="21"/>
          <w:highlight w:val="none"/>
          <w:lang w:eastAsia="zh-CN"/>
        </w:rPr>
        <w:t>，</w:t>
      </w:r>
      <w:r>
        <w:rPr>
          <w:rFonts w:hint="eastAsia" w:ascii="宋体" w:hAnsi="宋体" w:eastAsia="宋体" w:cs="宋体"/>
          <w:b/>
          <w:bCs w:val="0"/>
          <w:color w:val="auto"/>
          <w:sz w:val="28"/>
          <w:szCs w:val="21"/>
          <w:highlight w:val="none"/>
          <w:lang w:val="en-US" w:eastAsia="zh-CN"/>
        </w:rPr>
        <w:t>经查实将被没收投标保证金，并视情节严重上报政府采购管理部门进行处理，对采购人造成的损失承担相关赔偿责任，如中标。其中标资格将被取消。</w:t>
      </w:r>
    </w:p>
    <w:p>
      <w:pPr>
        <w:tabs>
          <w:tab w:val="left" w:pos="567"/>
        </w:tabs>
        <w:snapToGrid w:val="0"/>
        <w:spacing w:line="360" w:lineRule="auto"/>
        <w:ind w:left="85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bookmarkEnd w:id="25"/>
    <w:bookmarkEnd w:id="26"/>
    <w:bookmarkEnd w:id="27"/>
    <w:p>
      <w:pPr>
        <w:widowControl/>
        <w:jc w:val="center"/>
        <w:outlineLvl w:val="1"/>
        <w:rPr>
          <w:rFonts w:hint="eastAsia" w:ascii="宋体" w:hAnsi="宋体" w:eastAsia="宋体" w:cs="宋体"/>
          <w:b/>
          <w:bCs/>
          <w:color w:val="auto"/>
          <w:sz w:val="28"/>
          <w:szCs w:val="21"/>
          <w:highlight w:val="none"/>
        </w:rPr>
      </w:pPr>
      <w:bookmarkStart w:id="28" w:name="_Toc18025"/>
      <w:r>
        <w:rPr>
          <w:rFonts w:hint="eastAsia" w:ascii="宋体" w:hAnsi="宋体" w:eastAsia="宋体" w:cs="宋体"/>
          <w:b/>
          <w:bCs/>
          <w:color w:val="auto"/>
          <w:sz w:val="28"/>
          <w:szCs w:val="21"/>
          <w:highlight w:val="none"/>
        </w:rPr>
        <w:t>二、</w:t>
      </w:r>
      <w:bookmarkEnd w:id="19"/>
      <w:bookmarkEnd w:id="20"/>
      <w:bookmarkEnd w:id="21"/>
      <w:bookmarkEnd w:id="22"/>
      <w:bookmarkEnd w:id="23"/>
      <w:bookmarkEnd w:id="24"/>
      <w:r>
        <w:rPr>
          <w:rFonts w:hint="eastAsia" w:ascii="宋体" w:hAnsi="宋体" w:eastAsia="宋体" w:cs="宋体"/>
          <w:b/>
          <w:bCs/>
          <w:color w:val="auto"/>
          <w:spacing w:val="-14"/>
          <w:sz w:val="28"/>
          <w:szCs w:val="21"/>
          <w:highlight w:val="none"/>
        </w:rPr>
        <w:t>招标文件</w:t>
      </w:r>
      <w:bookmarkEnd w:id="28"/>
    </w:p>
    <w:p>
      <w:pPr>
        <w:adjustRightInd w:val="0"/>
        <w:snapToGrid w:val="0"/>
        <w:spacing w:line="440" w:lineRule="exact"/>
        <w:ind w:firstLine="562" w:firstLineChars="200"/>
        <w:outlineLvl w:val="9"/>
        <w:rPr>
          <w:rFonts w:hint="eastAsia" w:ascii="宋体" w:hAnsi="宋体" w:eastAsia="宋体" w:cs="宋体"/>
          <w:b/>
          <w:bCs/>
          <w:color w:val="auto"/>
          <w:sz w:val="28"/>
          <w:szCs w:val="28"/>
          <w:highlight w:val="none"/>
        </w:rPr>
      </w:pPr>
      <w:bookmarkStart w:id="29" w:name="_Toc438371560"/>
      <w:bookmarkStart w:id="30" w:name="_Toc438354296"/>
      <w:bookmarkStart w:id="31" w:name="_Toc438371378"/>
      <w:bookmarkStart w:id="32" w:name="_Toc438371747"/>
      <w:bookmarkStart w:id="33" w:name="_Toc438370525"/>
      <w:bookmarkStart w:id="34" w:name="_Toc438371195"/>
      <w:r>
        <w:rPr>
          <w:rFonts w:hint="eastAsia" w:ascii="宋体" w:hAnsi="宋体" w:eastAsia="宋体" w:cs="宋体"/>
          <w:b/>
          <w:bCs/>
          <w:color w:val="auto"/>
          <w:sz w:val="28"/>
          <w:szCs w:val="28"/>
          <w:highlight w:val="none"/>
        </w:rPr>
        <w:t xml:space="preserve">5. </w:t>
      </w:r>
      <w:bookmarkEnd w:id="29"/>
      <w:bookmarkEnd w:id="30"/>
      <w:bookmarkEnd w:id="31"/>
      <w:bookmarkEnd w:id="32"/>
      <w:bookmarkEnd w:id="33"/>
      <w:bookmarkEnd w:id="34"/>
      <w:r>
        <w:rPr>
          <w:rFonts w:hint="eastAsia" w:ascii="宋体" w:hAnsi="宋体" w:eastAsia="宋体" w:cs="宋体"/>
          <w:b/>
          <w:bCs/>
          <w:color w:val="auto"/>
          <w:spacing w:val="-14"/>
          <w:sz w:val="28"/>
          <w:szCs w:val="28"/>
          <w:highlight w:val="none"/>
        </w:rPr>
        <w:t>招标文件</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 采购人所作的一切有效的书面通知、修改及补充，都是</w:t>
      </w:r>
      <w:r>
        <w:rPr>
          <w:rFonts w:hint="eastAsia" w:ascii="宋体" w:hAnsi="宋体" w:eastAsia="宋体" w:cs="宋体"/>
          <w:color w:val="auto"/>
          <w:spacing w:val="-14"/>
          <w:sz w:val="28"/>
          <w:szCs w:val="28"/>
          <w:highlight w:val="none"/>
        </w:rPr>
        <w:t>招标文件</w:t>
      </w:r>
      <w:r>
        <w:rPr>
          <w:rFonts w:hint="eastAsia" w:ascii="宋体" w:hAnsi="宋体" w:eastAsia="宋体" w:cs="宋体"/>
          <w:color w:val="auto"/>
          <w:sz w:val="28"/>
          <w:szCs w:val="28"/>
          <w:highlight w:val="none"/>
        </w:rPr>
        <w:t>不可分割的部分。</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 供应商应认真阅读</w:t>
      </w:r>
      <w:r>
        <w:rPr>
          <w:rFonts w:hint="eastAsia" w:ascii="宋体" w:hAnsi="宋体" w:eastAsia="宋体" w:cs="宋体"/>
          <w:color w:val="auto"/>
          <w:spacing w:val="-14"/>
          <w:sz w:val="28"/>
          <w:szCs w:val="28"/>
          <w:highlight w:val="none"/>
        </w:rPr>
        <w:t>招标文件</w:t>
      </w:r>
      <w:r>
        <w:rPr>
          <w:rFonts w:hint="eastAsia" w:ascii="宋体" w:hAnsi="宋体" w:eastAsia="宋体" w:cs="宋体"/>
          <w:color w:val="auto"/>
          <w:sz w:val="28"/>
          <w:szCs w:val="28"/>
          <w:highlight w:val="none"/>
        </w:rPr>
        <w:t>，如果供应商没有按照</w:t>
      </w:r>
      <w:r>
        <w:rPr>
          <w:rFonts w:hint="eastAsia" w:ascii="宋体" w:hAnsi="宋体" w:eastAsia="宋体" w:cs="宋体"/>
          <w:color w:val="auto"/>
          <w:spacing w:val="-14"/>
          <w:sz w:val="28"/>
          <w:szCs w:val="28"/>
          <w:highlight w:val="none"/>
        </w:rPr>
        <w:t>招标文件</w:t>
      </w:r>
      <w:r>
        <w:rPr>
          <w:rFonts w:hint="eastAsia" w:ascii="宋体" w:hAnsi="宋体" w:eastAsia="宋体" w:cs="宋体"/>
          <w:color w:val="auto"/>
          <w:sz w:val="28"/>
          <w:szCs w:val="28"/>
          <w:highlight w:val="none"/>
        </w:rPr>
        <w:t>要求、格式提交资料，或者提交的投标文件没有对</w:t>
      </w:r>
      <w:r>
        <w:rPr>
          <w:rFonts w:hint="eastAsia" w:ascii="宋体" w:hAnsi="宋体" w:eastAsia="宋体" w:cs="宋体"/>
          <w:color w:val="auto"/>
          <w:spacing w:val="-14"/>
          <w:sz w:val="28"/>
          <w:szCs w:val="28"/>
          <w:highlight w:val="none"/>
        </w:rPr>
        <w:t>招标文件</w:t>
      </w:r>
      <w:r>
        <w:rPr>
          <w:rFonts w:hint="eastAsia" w:ascii="宋体" w:hAnsi="宋体" w:eastAsia="宋体" w:cs="宋体"/>
          <w:color w:val="auto"/>
          <w:sz w:val="28"/>
          <w:szCs w:val="28"/>
          <w:highlight w:val="none"/>
        </w:rPr>
        <w:t>做出实质性响应，其投标将有可能被拒绝。</w:t>
      </w:r>
    </w:p>
    <w:p>
      <w:pPr>
        <w:adjustRightInd w:val="0"/>
        <w:snapToGrid w:val="0"/>
        <w:spacing w:line="440" w:lineRule="exact"/>
        <w:ind w:firstLine="562" w:firstLineChars="200"/>
        <w:outlineLvl w:val="9"/>
        <w:rPr>
          <w:rFonts w:hint="eastAsia" w:ascii="宋体" w:hAnsi="宋体" w:eastAsia="宋体" w:cs="宋体"/>
          <w:b/>
          <w:bCs/>
          <w:color w:val="auto"/>
          <w:sz w:val="28"/>
          <w:szCs w:val="28"/>
          <w:highlight w:val="none"/>
        </w:rPr>
      </w:pPr>
      <w:bookmarkStart w:id="35" w:name="_Toc438371196"/>
      <w:bookmarkStart w:id="36" w:name="_Toc438370526"/>
      <w:bookmarkStart w:id="37" w:name="_Toc438371561"/>
      <w:bookmarkStart w:id="38" w:name="_Toc438371379"/>
      <w:bookmarkStart w:id="39" w:name="_Toc438354297"/>
      <w:bookmarkStart w:id="40" w:name="_Toc438371748"/>
      <w:r>
        <w:rPr>
          <w:rFonts w:hint="eastAsia" w:ascii="宋体" w:hAnsi="宋体" w:eastAsia="宋体" w:cs="宋体"/>
          <w:b/>
          <w:bCs/>
          <w:color w:val="auto"/>
          <w:sz w:val="28"/>
          <w:szCs w:val="28"/>
          <w:highlight w:val="none"/>
        </w:rPr>
        <w:t xml:space="preserve">6. </w:t>
      </w:r>
      <w:r>
        <w:rPr>
          <w:rFonts w:hint="eastAsia" w:ascii="宋体" w:hAnsi="宋体" w:eastAsia="宋体" w:cs="宋体"/>
          <w:b/>
          <w:bCs/>
          <w:color w:val="auto"/>
          <w:spacing w:val="-14"/>
          <w:sz w:val="28"/>
          <w:szCs w:val="28"/>
          <w:highlight w:val="none"/>
        </w:rPr>
        <w:t>招标文件</w:t>
      </w:r>
      <w:r>
        <w:rPr>
          <w:rFonts w:hint="eastAsia" w:ascii="宋体" w:hAnsi="宋体" w:eastAsia="宋体" w:cs="宋体"/>
          <w:b/>
          <w:bCs/>
          <w:color w:val="auto"/>
          <w:sz w:val="28"/>
          <w:szCs w:val="28"/>
          <w:highlight w:val="none"/>
        </w:rPr>
        <w:t>的澄清</w:t>
      </w:r>
      <w:bookmarkEnd w:id="35"/>
      <w:bookmarkEnd w:id="36"/>
      <w:bookmarkEnd w:id="37"/>
      <w:bookmarkEnd w:id="38"/>
      <w:bookmarkEnd w:id="39"/>
      <w:bookmarkEnd w:id="40"/>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 任何要求对</w:t>
      </w:r>
      <w:r>
        <w:rPr>
          <w:rFonts w:hint="eastAsia" w:ascii="宋体" w:hAnsi="宋体" w:eastAsia="宋体" w:cs="宋体"/>
          <w:color w:val="auto"/>
          <w:spacing w:val="-14"/>
          <w:sz w:val="28"/>
          <w:szCs w:val="28"/>
          <w:highlight w:val="none"/>
        </w:rPr>
        <w:t>招标文件</w:t>
      </w:r>
      <w:r>
        <w:rPr>
          <w:rFonts w:hint="eastAsia" w:ascii="宋体" w:hAnsi="宋体" w:eastAsia="宋体" w:cs="宋体"/>
          <w:color w:val="auto"/>
          <w:sz w:val="28"/>
          <w:szCs w:val="28"/>
          <w:highlight w:val="none"/>
        </w:rPr>
        <w:t>进行澄清的供应商，均应在投标截止时间</w:t>
      </w:r>
      <w:r>
        <w:rPr>
          <w:rFonts w:hint="eastAsia" w:ascii="宋体" w:hAnsi="宋体" w:eastAsia="宋体" w:cs="宋体"/>
          <w:b/>
          <w:bCs/>
          <w:color w:val="auto"/>
          <w:sz w:val="28"/>
          <w:szCs w:val="28"/>
          <w:highlight w:val="none"/>
          <w:u w:val="single"/>
        </w:rPr>
        <w:t>5</w:t>
      </w:r>
      <w:r>
        <w:rPr>
          <w:rFonts w:hint="eastAsia" w:ascii="宋体" w:hAnsi="宋体" w:eastAsia="宋体" w:cs="宋体"/>
          <w:color w:val="auto"/>
          <w:sz w:val="28"/>
          <w:szCs w:val="28"/>
          <w:highlight w:val="none"/>
        </w:rPr>
        <w:t>天前以书面形式通知采购人，采购人最终将以书面形式答复所有供应商。答复中包括所提问题，但不包括问题的来源。</w:t>
      </w:r>
    </w:p>
    <w:p>
      <w:pPr>
        <w:adjustRightInd w:val="0"/>
        <w:snapToGrid w:val="0"/>
        <w:spacing w:line="440" w:lineRule="exact"/>
        <w:ind w:firstLine="560" w:firstLineChars="200"/>
        <w:outlineLvl w:val="9"/>
        <w:rPr>
          <w:rFonts w:hint="eastAsia" w:ascii="宋体" w:hAnsi="宋体" w:eastAsia="宋体" w:cs="宋体"/>
          <w:color w:val="auto"/>
          <w:sz w:val="28"/>
          <w:szCs w:val="28"/>
          <w:highlight w:val="none"/>
        </w:rPr>
      </w:pPr>
      <w:bookmarkStart w:id="41" w:name="_Toc438370527"/>
      <w:bookmarkStart w:id="42" w:name="_Toc438371749"/>
      <w:bookmarkStart w:id="43" w:name="_Toc438371562"/>
      <w:bookmarkStart w:id="44" w:name="_Toc438371197"/>
      <w:bookmarkStart w:id="45" w:name="_Toc438371380"/>
      <w:bookmarkStart w:id="46" w:name="_Toc438354298"/>
      <w:r>
        <w:rPr>
          <w:rFonts w:hint="eastAsia" w:ascii="宋体" w:hAnsi="宋体" w:eastAsia="宋体" w:cs="宋体"/>
          <w:color w:val="auto"/>
          <w:sz w:val="28"/>
          <w:szCs w:val="28"/>
          <w:highlight w:val="none"/>
        </w:rPr>
        <w:t>6.</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4"/>
          <w:sz w:val="28"/>
          <w:szCs w:val="28"/>
          <w:highlight w:val="none"/>
        </w:rPr>
        <w:t>招标文件</w:t>
      </w:r>
      <w:r>
        <w:rPr>
          <w:rFonts w:hint="eastAsia" w:ascii="宋体" w:hAnsi="宋体" w:eastAsia="宋体" w:cs="宋体"/>
          <w:color w:val="auto"/>
          <w:sz w:val="28"/>
          <w:szCs w:val="28"/>
          <w:highlight w:val="none"/>
        </w:rPr>
        <w:t>的修改</w:t>
      </w:r>
      <w:bookmarkEnd w:id="41"/>
      <w:bookmarkEnd w:id="42"/>
      <w:bookmarkEnd w:id="43"/>
      <w:bookmarkEnd w:id="44"/>
      <w:bookmarkEnd w:id="45"/>
      <w:bookmarkEnd w:id="46"/>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 在投标截止日期</w:t>
      </w:r>
      <w:r>
        <w:rPr>
          <w:rFonts w:hint="eastAsia" w:ascii="宋体" w:hAnsi="宋体" w:eastAsia="宋体" w:cs="宋体"/>
          <w:b/>
          <w:bCs/>
          <w:color w:val="auto"/>
          <w:sz w:val="28"/>
          <w:szCs w:val="28"/>
          <w:highlight w:val="none"/>
          <w:u w:val="single"/>
        </w:rPr>
        <w:t>5</w:t>
      </w:r>
      <w:r>
        <w:rPr>
          <w:rFonts w:hint="eastAsia" w:ascii="宋体" w:hAnsi="宋体" w:eastAsia="宋体" w:cs="宋体"/>
          <w:color w:val="auto"/>
          <w:sz w:val="28"/>
          <w:szCs w:val="28"/>
          <w:highlight w:val="none"/>
        </w:rPr>
        <w:t>天前，采购人可主动地或在解答供应商提出的澄清问题时对</w:t>
      </w:r>
      <w:r>
        <w:rPr>
          <w:rFonts w:hint="eastAsia" w:ascii="宋体" w:hAnsi="宋体" w:eastAsia="宋体" w:cs="宋体"/>
          <w:color w:val="auto"/>
          <w:spacing w:val="-14"/>
          <w:sz w:val="28"/>
          <w:szCs w:val="28"/>
          <w:highlight w:val="none"/>
        </w:rPr>
        <w:t>招标文件</w:t>
      </w:r>
      <w:r>
        <w:rPr>
          <w:rFonts w:hint="eastAsia" w:ascii="宋体" w:hAnsi="宋体" w:eastAsia="宋体" w:cs="宋体"/>
          <w:color w:val="auto"/>
          <w:sz w:val="28"/>
          <w:szCs w:val="28"/>
          <w:highlight w:val="none"/>
        </w:rPr>
        <w:t>进行修改。</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4"/>
          <w:sz w:val="28"/>
          <w:szCs w:val="28"/>
          <w:highlight w:val="none"/>
        </w:rPr>
        <w:t>招标文件</w:t>
      </w:r>
      <w:r>
        <w:rPr>
          <w:rFonts w:hint="eastAsia" w:ascii="宋体" w:hAnsi="宋体" w:eastAsia="宋体" w:cs="宋体"/>
          <w:color w:val="auto"/>
          <w:sz w:val="28"/>
          <w:szCs w:val="28"/>
          <w:highlight w:val="none"/>
        </w:rPr>
        <w:t>的修改将以书面形式通知所有供应商，供应商应立即确认已收到修改。</w:t>
      </w:r>
    </w:p>
    <w:p>
      <w:pPr>
        <w:adjustRightInd w:val="0"/>
        <w:snapToGrid w:val="0"/>
        <w:spacing w:line="440" w:lineRule="exact"/>
        <w:jc w:val="center"/>
        <w:outlineLvl w:val="9"/>
        <w:rPr>
          <w:rFonts w:hint="eastAsia" w:ascii="宋体" w:hAnsi="宋体" w:eastAsia="宋体" w:cs="宋体"/>
          <w:b/>
          <w:color w:val="auto"/>
          <w:sz w:val="28"/>
          <w:szCs w:val="28"/>
          <w:highlight w:val="none"/>
        </w:rPr>
      </w:pPr>
    </w:p>
    <w:p>
      <w:pPr>
        <w:adjustRightInd w:val="0"/>
        <w:snapToGrid w:val="0"/>
        <w:spacing w:line="440" w:lineRule="exact"/>
        <w:jc w:val="center"/>
        <w:outlineLvl w:val="1"/>
        <w:rPr>
          <w:rFonts w:hint="eastAsia" w:ascii="宋体" w:hAnsi="宋体" w:eastAsia="宋体" w:cs="宋体"/>
          <w:b/>
          <w:color w:val="auto"/>
          <w:sz w:val="28"/>
          <w:szCs w:val="28"/>
          <w:highlight w:val="none"/>
        </w:rPr>
      </w:pPr>
      <w:bookmarkStart w:id="47" w:name="_Toc14968"/>
      <w:r>
        <w:rPr>
          <w:rFonts w:hint="eastAsia" w:ascii="宋体" w:hAnsi="宋体" w:eastAsia="宋体" w:cs="宋体"/>
          <w:b/>
          <w:color w:val="auto"/>
          <w:sz w:val="28"/>
          <w:szCs w:val="28"/>
          <w:highlight w:val="none"/>
        </w:rPr>
        <w:t>三、投标</w:t>
      </w:r>
      <w:bookmarkEnd w:id="47"/>
    </w:p>
    <w:p>
      <w:pPr>
        <w:adjustRightInd w:val="0"/>
        <w:snapToGrid w:val="0"/>
        <w:spacing w:line="440" w:lineRule="exact"/>
        <w:ind w:firstLine="562" w:firstLineChars="200"/>
        <w:outlineLvl w:val="9"/>
        <w:rPr>
          <w:rFonts w:hint="eastAsia" w:ascii="宋体" w:hAnsi="宋体" w:eastAsia="宋体" w:cs="宋体"/>
          <w:b/>
          <w:bCs/>
          <w:color w:val="auto"/>
          <w:sz w:val="28"/>
          <w:szCs w:val="28"/>
          <w:highlight w:val="none"/>
        </w:rPr>
      </w:pPr>
      <w:bookmarkStart w:id="48" w:name="_Toc438371751"/>
      <w:bookmarkStart w:id="49" w:name="_Toc438370529"/>
      <w:bookmarkStart w:id="50" w:name="_Toc438354300"/>
      <w:bookmarkStart w:id="51" w:name="_Toc438371382"/>
      <w:bookmarkStart w:id="52" w:name="_Toc438371199"/>
      <w:bookmarkStart w:id="53" w:name="_Toc438371564"/>
      <w:r>
        <w:rPr>
          <w:rFonts w:hint="eastAsia" w:ascii="宋体" w:hAnsi="宋体" w:eastAsia="宋体" w:cs="宋体"/>
          <w:b/>
          <w:bCs/>
          <w:color w:val="auto"/>
          <w:sz w:val="28"/>
          <w:szCs w:val="28"/>
          <w:highlight w:val="none"/>
        </w:rPr>
        <w:t>7</w:t>
      </w:r>
      <w:bookmarkEnd w:id="48"/>
      <w:bookmarkEnd w:id="49"/>
      <w:bookmarkEnd w:id="50"/>
      <w:bookmarkEnd w:id="51"/>
      <w:bookmarkEnd w:id="52"/>
      <w:bookmarkEnd w:id="53"/>
      <w:bookmarkStart w:id="54" w:name="_Toc438371752"/>
      <w:bookmarkStart w:id="55" w:name="_Toc438370530"/>
      <w:bookmarkStart w:id="56" w:name="_Toc438371200"/>
      <w:bookmarkStart w:id="57" w:name="_Toc438371383"/>
      <w:bookmarkStart w:id="58" w:name="_Toc438354301"/>
      <w:bookmarkStart w:id="59" w:name="_Toc438371565"/>
      <w:r>
        <w:rPr>
          <w:rFonts w:hint="eastAsia" w:ascii="宋体" w:hAnsi="宋体" w:eastAsia="宋体" w:cs="宋体"/>
          <w:b/>
          <w:bCs/>
          <w:color w:val="auto"/>
          <w:sz w:val="28"/>
          <w:szCs w:val="28"/>
          <w:highlight w:val="none"/>
        </w:rPr>
        <w:t>. 投标语言</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准备的投标文件和供应商与采购人之间往来的所有与招标文件有关的函电、文件等均应以中文书写。如果供应商提供的文件资料以其它语言书写，供应商应将其译成中文作为投标的语言，如有差异，以中文为准。</w:t>
      </w:r>
    </w:p>
    <w:p>
      <w:pPr>
        <w:adjustRightInd w:val="0"/>
        <w:snapToGrid w:val="0"/>
        <w:spacing w:line="440" w:lineRule="exact"/>
        <w:ind w:firstLine="562" w:firstLineChars="200"/>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 xml:space="preserve">8. </w:t>
      </w:r>
      <w:bookmarkEnd w:id="54"/>
      <w:bookmarkEnd w:id="55"/>
      <w:bookmarkEnd w:id="56"/>
      <w:bookmarkEnd w:id="57"/>
      <w:bookmarkEnd w:id="58"/>
      <w:bookmarkEnd w:id="59"/>
      <w:r>
        <w:rPr>
          <w:rFonts w:hint="eastAsia" w:ascii="宋体" w:hAnsi="宋体" w:eastAsia="宋体" w:cs="宋体"/>
          <w:b/>
          <w:bCs/>
          <w:color w:val="auto"/>
          <w:sz w:val="28"/>
          <w:szCs w:val="28"/>
          <w:highlight w:val="none"/>
        </w:rPr>
        <w:t>投标文件的编制</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8.1 总则</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8.1.1 供应商应仔细阅读本招标文件对投标文件规范性制作的各项条款要求，在充分理解招标文件提出的服务要求和各项条件后，制作投标文件。</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8.1.2 供应商对招标文件所要求的任何条款有偏离的，均应按本招标文件所附的附件格式表注明偏离事项，作为此次评标的重要依据；如果供应商未对招标文件部分或全部提出偏离，则采购人有充分理由认为供应商已完全满足招标文件的部分或全部条款。</w:t>
      </w:r>
    </w:p>
    <w:p>
      <w:pPr>
        <w:tabs>
          <w:tab w:val="left" w:pos="8925"/>
        </w:tabs>
        <w:adjustRightInd w:val="0"/>
        <w:snapToGrid w:val="0"/>
        <w:spacing w:line="440" w:lineRule="exact"/>
        <w:ind w:firstLine="560" w:firstLineChars="200"/>
        <w:rPr>
          <w:rFonts w:hint="eastAsia" w:ascii="宋体" w:hAnsi="宋体" w:eastAsia="宋体" w:cs="宋体"/>
          <w:color w:val="auto"/>
          <w:spacing w:val="20"/>
          <w:sz w:val="28"/>
          <w:szCs w:val="28"/>
          <w:highlight w:val="none"/>
        </w:rPr>
      </w:pPr>
      <w:r>
        <w:rPr>
          <w:rFonts w:hint="eastAsia" w:ascii="宋体" w:hAnsi="宋体" w:eastAsia="宋体" w:cs="宋体"/>
          <w:color w:val="auto"/>
          <w:sz w:val="28"/>
          <w:szCs w:val="28"/>
          <w:highlight w:val="none"/>
        </w:rPr>
        <w:t>8.1.3 本招标文件所附的附件提供了一部分用于编制投标文件时的必要格式，供应商应按所提供的格式填报，格式可扩展。对于招标文件中未提供格式的投标内容，由供应商自行编制。</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 投标文件的构成</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投标文件是评估供应商投标有效性的重要文件，供应商必须按要求如实、准确、完整的提供评估因素要求的各类文件资料。投标文件包括以下部分（但不局限于以下部分）：</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8.2.1投标承诺书</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8.2.2 法定代表人身份证明及供应商法定代表人授权委托书。</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8.2.3 供应商投标代表身份证。</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8.2.4 供应商企业法人营业执照副本。</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8.2.5 康复定点机构资格证明文件</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8.2.6 供应商简介</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8.2.7 近三年类似服务业绩表</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8.2.8供应商财务状况证明材料（如有）</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8.2.9项目服务方案（供应商在服务方案中需提供能够反映满足第三章 服务内容及要求的相关资料，包括单不限于资格证明资料、营业场所证明材料（租赁或自有）、康复设备设施的证明材料（租赁或自有）、管理及康复人员的资格证明材料等以及为实现达到上述服务标准及要求所采取的措施或方案等内容）。</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8.2.10 投标保证金。</w:t>
      </w:r>
    </w:p>
    <w:p>
      <w:pPr>
        <w:spacing w:line="44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9、投标文件格式</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 本项目要求按照上述内容编制标书，并按照标书中所附的投标文件规格编写，并要求打印装订成册。不得采用活页装订，否则其投标文件将被拒绝评审。</w:t>
      </w:r>
    </w:p>
    <w:p>
      <w:pPr>
        <w:spacing w:line="440" w:lineRule="exact"/>
        <w:ind w:firstLine="560" w:firstLineChars="200"/>
        <w:rPr>
          <w:rFonts w:hint="eastAsia" w:ascii="宋体" w:hAnsi="宋体" w:eastAsia="宋体" w:cs="宋体"/>
          <w:b/>
          <w:color w:val="auto"/>
          <w:kern w:val="0"/>
          <w:sz w:val="28"/>
          <w:szCs w:val="28"/>
          <w:highlight w:val="none"/>
          <w:u w:val="single"/>
        </w:rPr>
      </w:pPr>
      <w:r>
        <w:rPr>
          <w:rFonts w:hint="eastAsia" w:ascii="宋体" w:hAnsi="宋体" w:eastAsia="宋体" w:cs="宋体"/>
          <w:color w:val="auto"/>
          <w:sz w:val="28"/>
          <w:szCs w:val="28"/>
          <w:highlight w:val="none"/>
        </w:rPr>
        <w:t>9.2 供应商应按招标文件的内容与要求和提供的格式编写其投标文件，供应商不得缺少或留空任何招标文件要求填写的表格或提交的资料。</w:t>
      </w:r>
      <w:r>
        <w:rPr>
          <w:rFonts w:hint="eastAsia" w:ascii="宋体" w:hAnsi="宋体" w:eastAsia="宋体" w:cs="宋体"/>
          <w:b/>
          <w:color w:val="auto"/>
          <w:kern w:val="0"/>
          <w:sz w:val="28"/>
          <w:szCs w:val="28"/>
          <w:highlight w:val="none"/>
          <w:u w:val="single"/>
        </w:rPr>
        <w:t>如招标文件没有提供格式的，供应商可自行设置。</w:t>
      </w:r>
    </w:p>
    <w:p>
      <w:pPr>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9.3投标报价：</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1 本项目的预算金额是按照国家相关文件规定的取费标准计算所得。不作为竞争性费用，中标后即为合同价。</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2 投标价格应包括康复服务、技术资料、技术服务、人员培训及支付的各种税费、运费、保险费、安装、调试费等有关费用。</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9.3</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中标价格在签订合同及合同执行过程中是固定不变的，不得以任何理由予以变更（除非采购人另有约定）。</w:t>
      </w:r>
    </w:p>
    <w:p>
      <w:pPr>
        <w:spacing w:line="44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10、投标有效期</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10.1投标文件从开标之日起计算，投标有效期详供应商须知前附表。</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10.2在特殊情况下，采购人可与供应商协商延长投标文件的有效期。</w:t>
      </w:r>
    </w:p>
    <w:p>
      <w:pPr>
        <w:spacing w:line="44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11、投标文件的签署规定</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11.1投标文件的页面必须用印刷体打印。</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11.2投标文件应清楚工整，一般不准修改。个别非实质性修改之处应由供应商的被授权人或法人代表签章。</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11.3投标文件应由法人代表或授权代表在规定的签章处逐一签署并加盖单位公章，其它有文字显示的内容需加盖供应商公章，投标文件方为有效。</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11.4所有投标文件必须提交正本一套和副本贰套，并在封面标记“正本”和“副本”。</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11.5投标文件的正本与副本应当完全一致。当正本和副本之间出现差异时，以正本为准。</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11.6电报、电话、传真、电子邮件等形式的投标概不接受。</w:t>
      </w:r>
    </w:p>
    <w:p>
      <w:pPr>
        <w:spacing w:line="44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12、投标保证金</w:t>
      </w:r>
    </w:p>
    <w:p>
      <w:pPr>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 投标保证金是为了保护采购人免遭因供应商的行为而蒙受损失。采购人在因供应商的行为受到损害时可根据本须知的规定没收供应商的投标保证金。</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投标保证金的货币为人民币，并采用电汇、转账支票等形式交纳，如电汇产生的一切费用由供应商自行承担。(电汇、转账支票均须在递交保证金截止时间前确认到账，由于转账当天不一定能够到账，为避免因保证金未到账而导致投标被拒。)</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凡未要求提交保证金的投标，将视为非实质性响应性投标而被拒绝。</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12.3 凡没有根据本须知的规定随附保证金的投标，将被视为非响应性投标予以拒绝。</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12.4 未中标人的保证金，将在中标通知书发出后5日内，原额退还供应商。</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12.5 中标人的保证金在合同签订后5日内退还。</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12.6下列任何情况发生时，投标保证金将被没收。</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供应商在提交响应文件截止时间后撤回响应文件的；</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中标人在规定期限内未按规定向采购人缴纳履约保证金；</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供应商在响应文件中提供虚假材料的；</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  除因不可抗力或招标文件认可的情形以外，中标人不与采购人签订合同的；</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 供应商与采购人、其他供应商或者采购代理机构恶意串通的； </w:t>
      </w:r>
    </w:p>
    <w:p>
      <w:pPr>
        <w:widowControl/>
        <w:jc w:val="left"/>
        <w:rPr>
          <w:rFonts w:hint="eastAsia" w:ascii="宋体" w:hAnsi="宋体" w:eastAsia="宋体" w:cs="宋体"/>
          <w:b/>
          <w:color w:val="auto"/>
          <w:sz w:val="28"/>
          <w:szCs w:val="28"/>
          <w:highlight w:val="none"/>
        </w:rPr>
      </w:pPr>
    </w:p>
    <w:p>
      <w:pPr>
        <w:widowControl/>
        <w:jc w:val="center"/>
        <w:outlineLvl w:val="1"/>
        <w:rPr>
          <w:rFonts w:hint="eastAsia" w:ascii="宋体" w:hAnsi="宋体" w:eastAsia="宋体" w:cs="宋体"/>
          <w:b/>
          <w:color w:val="auto"/>
          <w:sz w:val="28"/>
          <w:szCs w:val="28"/>
          <w:highlight w:val="none"/>
        </w:rPr>
      </w:pPr>
      <w:bookmarkStart w:id="60" w:name="_Toc981"/>
      <w:r>
        <w:rPr>
          <w:rFonts w:hint="eastAsia" w:ascii="宋体" w:hAnsi="宋体" w:eastAsia="宋体" w:cs="宋体"/>
          <w:b/>
          <w:color w:val="auto"/>
          <w:sz w:val="28"/>
          <w:szCs w:val="28"/>
          <w:highlight w:val="none"/>
        </w:rPr>
        <w:t>四、投标文件的递交</w:t>
      </w:r>
      <w:bookmarkEnd w:id="60"/>
    </w:p>
    <w:p>
      <w:pPr>
        <w:spacing w:line="44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val="0"/>
          <w:bCs/>
          <w:color w:val="auto"/>
          <w:sz w:val="28"/>
          <w:szCs w:val="28"/>
          <w:highlight w:val="none"/>
        </w:rPr>
        <w:t>13.1投标文件的递交截止时间已在供应商须知前附表中列清</w:t>
      </w:r>
      <w:r>
        <w:rPr>
          <w:rFonts w:hint="eastAsia" w:ascii="宋体" w:hAnsi="宋体" w:eastAsia="宋体" w:cs="宋体"/>
          <w:b w:val="0"/>
          <w:bCs/>
          <w:color w:val="auto"/>
          <w:kern w:val="0"/>
          <w:sz w:val="28"/>
          <w:szCs w:val="28"/>
          <w:highlight w:val="none"/>
        </w:rPr>
        <w:t>。</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13.2所有投标文件派人送交，都必须在采购人规定的截止时间之前送达招标文件指定的地点，在此之后送达的投标文件，为无效投标，投标文件将一律被拒绝。</w:t>
      </w:r>
    </w:p>
    <w:p>
      <w:pPr>
        <w:spacing w:line="440" w:lineRule="exact"/>
        <w:ind w:firstLine="562" w:firstLineChars="2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14、投标文件的修改和撤销</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14.1供应商在递交投标文件后，可在规定的截止时间之前，对其投标文件以书面通知的形式进行修改或撤销。</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供应商对投标文件修改的书面材料或撤消通知应按招标文件要求进行密封、标注和递交，并注明“修改投标文件”或“撤消投标”字样，修改或撤消的内容须按招标文件的要求签署、盖章，并作为投标文件和组成部分。</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14.3对投标文件修改的书面材料应于截止时间前送达，截止时间以后不得修改投标文件。</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14.4供应商不得在开标后至投标有期满前撤销投标文件，否则采购人将没收其保证金。</w:t>
      </w:r>
    </w:p>
    <w:p>
      <w:pPr>
        <w:spacing w:line="440" w:lineRule="exact"/>
        <w:ind w:firstLine="560" w:firstLineChars="200"/>
        <w:rPr>
          <w:rFonts w:hint="eastAsia" w:ascii="宋体" w:hAnsi="宋体" w:eastAsia="宋体" w:cs="宋体"/>
          <w:color w:val="auto"/>
          <w:sz w:val="28"/>
          <w:szCs w:val="28"/>
          <w:highlight w:val="none"/>
        </w:rPr>
      </w:pPr>
    </w:p>
    <w:p>
      <w:pPr>
        <w:spacing w:line="440" w:lineRule="exact"/>
        <w:jc w:val="center"/>
        <w:outlineLvl w:val="1"/>
        <w:rPr>
          <w:rFonts w:hint="eastAsia" w:ascii="宋体" w:hAnsi="宋体" w:eastAsia="宋体" w:cs="宋体"/>
          <w:b/>
          <w:bCs/>
          <w:color w:val="auto"/>
          <w:sz w:val="28"/>
          <w:szCs w:val="28"/>
          <w:highlight w:val="none"/>
        </w:rPr>
      </w:pPr>
      <w:bookmarkStart w:id="61" w:name="_Toc27668"/>
      <w:r>
        <w:rPr>
          <w:rFonts w:hint="eastAsia" w:ascii="宋体" w:hAnsi="宋体" w:eastAsia="宋体" w:cs="宋体"/>
          <w:b/>
          <w:bCs/>
          <w:color w:val="auto"/>
          <w:sz w:val="28"/>
          <w:szCs w:val="28"/>
          <w:highlight w:val="none"/>
        </w:rPr>
        <w:t>五、开标、评审</w:t>
      </w:r>
      <w:bookmarkEnd w:id="61"/>
    </w:p>
    <w:p>
      <w:pPr>
        <w:spacing w:line="440" w:lineRule="exact"/>
        <w:ind w:firstLine="562" w:firstLineChars="200"/>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w:t>
      </w:r>
      <w:r>
        <w:rPr>
          <w:rFonts w:hint="eastAsia" w:ascii="宋体" w:hAnsi="宋体" w:eastAsia="宋体" w:cs="宋体"/>
          <w:b/>
          <w:bCs/>
          <w:color w:val="auto"/>
          <w:kern w:val="0"/>
          <w:sz w:val="28"/>
          <w:szCs w:val="28"/>
          <w:highlight w:val="none"/>
        </w:rPr>
        <w:t>开、评标会</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15.1本次开、评标会按招标文件中规定的时间和地点进行开标，邀请供应商的法定代表人或其授权人参加开标会。</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、招标工程开标的时间、地点已在</w:t>
      </w:r>
      <w:r>
        <w:rPr>
          <w:rFonts w:hint="eastAsia" w:ascii="宋体" w:hAnsi="宋体" w:eastAsia="宋体" w:cs="宋体"/>
          <w:bCs/>
          <w:color w:val="auto"/>
          <w:sz w:val="28"/>
          <w:szCs w:val="28"/>
          <w:highlight w:val="none"/>
        </w:rPr>
        <w:t>供应商须知前附表</w:t>
      </w:r>
      <w:r>
        <w:rPr>
          <w:rFonts w:hint="eastAsia" w:ascii="宋体" w:hAnsi="宋体" w:eastAsia="宋体" w:cs="宋体"/>
          <w:color w:val="auto"/>
          <w:sz w:val="28"/>
          <w:szCs w:val="28"/>
          <w:highlight w:val="none"/>
        </w:rPr>
        <w:t>说明。</w:t>
      </w:r>
    </w:p>
    <w:p>
      <w:pPr>
        <w:numPr>
          <w:ilvl w:val="0"/>
          <w:numId w:val="4"/>
        </w:numPr>
        <w:tabs>
          <w:tab w:val="left" w:pos="435"/>
          <w:tab w:val="left" w:pos="855"/>
        </w:tabs>
        <w:autoSpaceDE w:val="0"/>
        <w:autoSpaceDN w:val="0"/>
        <w:adjustRightIn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、采购人将邀请所有供应商派代表参加开标会。但请开标前，供应商需提供（1）营业执照原件；（2）定点机构证明；</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年度或</w:t>
      </w:r>
      <w:r>
        <w:rPr>
          <w:rFonts w:hint="eastAsia" w:ascii="宋体" w:hAnsi="宋体" w:eastAsia="宋体" w:cs="宋体"/>
          <w:color w:val="auto"/>
          <w:sz w:val="28"/>
          <w:szCs w:val="28"/>
          <w:highlight w:val="none"/>
          <w:lang w:eastAsia="zh-CN"/>
        </w:rPr>
        <w:t>20</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年度经会计师事务所出具的财务审计报告或其基本开户银行出具的资信证明</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lang w:eastAsia="zh-CN"/>
        </w:rPr>
        <w:t>）投标截止日前六个月内任一个月的企业纳税证明和社保缴费记录证明；（</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lang w:eastAsia="zh-CN"/>
        </w:rPr>
        <w:t>）没有重大违法记录（需提供加盖公章的声明书）；（</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lang w:eastAsia="zh-CN"/>
        </w:rPr>
        <w:t>）</w:t>
      </w:r>
      <w:r>
        <w:rPr>
          <w:rFonts w:hint="eastAsia" w:ascii="宋体" w:hAnsi="宋体" w:eastAsia="宋体" w:cs="宋体"/>
          <w:bCs/>
          <w:color w:val="auto"/>
          <w:kern w:val="0"/>
          <w:sz w:val="28"/>
          <w:szCs w:val="28"/>
          <w:highlight w:val="none"/>
          <w:lang w:val="en-US" w:eastAsia="zh-CN" w:bidi="ar-SA"/>
        </w:rPr>
        <w:t>具有履行合同所必需的设备及专业技术能力和供应保障能力（需提供加盖公章的声明书）；</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未被“信用中国”网站</w:t>
      </w:r>
      <w:r>
        <w:rPr>
          <w:rFonts w:hint="eastAsia" w:ascii="宋体" w:hAnsi="宋体" w:eastAsia="宋体" w:cs="宋体"/>
          <w:color w:val="auto"/>
          <w:sz w:val="28"/>
          <w:szCs w:val="28"/>
          <w:highlight w:val="none"/>
        </w:rPr>
        <w:t>（www.creditchina.gov.cn）</w:t>
      </w:r>
      <w:r>
        <w:rPr>
          <w:rFonts w:hint="eastAsia" w:ascii="宋体" w:hAnsi="宋体" w:eastAsia="宋体" w:cs="宋体"/>
          <w:color w:val="auto"/>
          <w:sz w:val="28"/>
          <w:szCs w:val="28"/>
          <w:highlight w:val="none"/>
          <w:lang w:val="en-US" w:eastAsia="zh-CN"/>
        </w:rPr>
        <w:t>、“中国政府采购网”列入失信被执行人、</w:t>
      </w:r>
      <w:r>
        <w:rPr>
          <w:rFonts w:hint="eastAsia" w:ascii="宋体" w:hAnsi="宋体" w:eastAsia="宋体" w:cs="宋体"/>
          <w:color w:val="auto"/>
          <w:sz w:val="28"/>
          <w:szCs w:val="28"/>
          <w:highlight w:val="none"/>
        </w:rPr>
        <w:t>重大税收违法</w:t>
      </w:r>
      <w:r>
        <w:rPr>
          <w:rFonts w:hint="eastAsia" w:ascii="宋体" w:hAnsi="宋体" w:eastAsia="宋体" w:cs="宋体"/>
          <w:color w:val="auto"/>
          <w:sz w:val="28"/>
          <w:szCs w:val="28"/>
          <w:highlight w:val="none"/>
          <w:lang w:val="en-US" w:eastAsia="zh-CN"/>
        </w:rPr>
        <w:t>失信主体、政府采购严重违法失信行为记录名单（提供查询结果网页截图并加盖供应商公章）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法定代表人（需提供法定代表人身份证明书）及法定代表人出具的授权代理人的</w:t>
      </w:r>
      <w:r>
        <w:rPr>
          <w:rFonts w:hint="eastAsia" w:ascii="宋体" w:hAnsi="宋体" w:eastAsia="宋体" w:cs="宋体"/>
          <w:color w:val="auto"/>
          <w:sz w:val="28"/>
          <w:szCs w:val="28"/>
          <w:highlight w:val="none"/>
          <w:lang w:val="zh-CN" w:eastAsia="zh-CN"/>
        </w:rPr>
        <w:t>授权委托书（需与竞争性磋商文件格式提供一致，</w:t>
      </w:r>
      <w:r>
        <w:rPr>
          <w:rFonts w:hint="eastAsia" w:ascii="宋体" w:hAnsi="宋体" w:eastAsia="宋体" w:cs="宋体"/>
          <w:color w:val="auto"/>
          <w:sz w:val="28"/>
          <w:szCs w:val="28"/>
          <w:highlight w:val="none"/>
          <w:lang w:val="en-US" w:eastAsia="zh-CN"/>
        </w:rPr>
        <w:t>法定代表人投标只需提供法定代表人身份证明书及身份证</w:t>
      </w:r>
      <w:r>
        <w:rPr>
          <w:rFonts w:hint="eastAsia" w:ascii="宋体" w:hAnsi="宋体" w:eastAsia="宋体" w:cs="宋体"/>
          <w:color w:val="auto"/>
          <w:sz w:val="28"/>
          <w:szCs w:val="28"/>
          <w:highlight w:val="none"/>
          <w:lang w:val="zh-CN" w:eastAsia="zh-CN"/>
        </w:rPr>
        <w:t>）及身份证原件</w:t>
      </w:r>
      <w:r>
        <w:rPr>
          <w:rFonts w:hint="eastAsia" w:ascii="宋体" w:hAnsi="宋体" w:eastAsia="宋体" w:cs="宋体"/>
          <w:color w:val="auto"/>
          <w:sz w:val="28"/>
          <w:szCs w:val="28"/>
          <w:highlight w:val="none"/>
          <w:lang w:val="en-US" w:eastAsia="zh-CN"/>
        </w:rPr>
        <w:t>和复印件</w:t>
      </w:r>
      <w:r>
        <w:rPr>
          <w:rFonts w:hint="eastAsia" w:ascii="宋体" w:hAnsi="宋体" w:eastAsia="宋体" w:cs="宋体"/>
          <w:color w:val="auto"/>
          <w:sz w:val="28"/>
          <w:szCs w:val="28"/>
          <w:highlight w:val="none"/>
          <w:lang w:val="zh-CN" w:eastAsia="zh-CN"/>
        </w:rPr>
        <w:t>随身携带</w:t>
      </w:r>
      <w:r>
        <w:rPr>
          <w:rFonts w:hint="eastAsia" w:ascii="宋体" w:hAnsi="宋体" w:eastAsia="宋体" w:cs="宋体"/>
          <w:color w:val="auto"/>
          <w:sz w:val="28"/>
          <w:szCs w:val="28"/>
          <w:highlight w:val="none"/>
        </w:rPr>
        <w:t>。供监督人进行资格审查。</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lang w:eastAsia="zh-CN"/>
        </w:rPr>
        <w:t>）保证金</w:t>
      </w:r>
      <w:r>
        <w:rPr>
          <w:rFonts w:hint="eastAsia" w:ascii="宋体" w:hAnsi="宋体" w:eastAsia="宋体" w:cs="宋体"/>
          <w:color w:val="auto"/>
          <w:sz w:val="28"/>
          <w:szCs w:val="28"/>
          <w:highlight w:val="none"/>
          <w:lang w:val="en-US" w:eastAsia="zh-CN"/>
        </w:rPr>
        <w:t>凭证原件；（</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）本项目专门面向中小企业，供应商须按《政府采购促进中小企业发展管理办法》（财库〔2020〕46号）第四条的规定参与此次投标，并</w:t>
      </w:r>
      <w:r>
        <w:rPr>
          <w:rFonts w:hint="eastAsia" w:ascii="宋体" w:hAnsi="宋体" w:cs="宋体"/>
          <w:color w:val="auto"/>
          <w:sz w:val="28"/>
          <w:szCs w:val="28"/>
          <w:highlight w:val="none"/>
          <w:lang w:val="en-US" w:eastAsia="zh-CN"/>
        </w:rPr>
        <w:t>按照</w:t>
      </w:r>
      <w:r>
        <w:rPr>
          <w:rFonts w:hint="eastAsia" w:ascii="宋体" w:hAnsi="宋体" w:eastAsia="宋体" w:cs="宋体"/>
          <w:color w:val="auto"/>
          <w:sz w:val="28"/>
          <w:szCs w:val="28"/>
          <w:highlight w:val="none"/>
          <w:lang w:val="en-US" w:eastAsia="zh-CN"/>
        </w:rPr>
        <w:t>《关于落实好政府采购支持中小企业发展的通知》（新财购〔2022〕22号）提供中小企业声明函</w:t>
      </w:r>
      <w:r>
        <w:rPr>
          <w:rFonts w:hint="eastAsia" w:ascii="宋体" w:hAnsi="宋体" w:eastAsia="宋体" w:cs="宋体"/>
          <w:color w:val="auto"/>
          <w:sz w:val="28"/>
          <w:szCs w:val="28"/>
          <w:highlight w:val="none"/>
        </w:rPr>
        <w:t>等供监督人查验，证件不全者，其投标文件将被拒绝评审。</w:t>
      </w:r>
    </w:p>
    <w:p>
      <w:pPr>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15.</w:t>
      </w:r>
      <w:r>
        <w:rPr>
          <w:rFonts w:hint="eastAsia" w:ascii="宋体" w:hAnsi="宋体" w:cs="宋体"/>
          <w:bCs/>
          <w:color w:val="auto"/>
          <w:sz w:val="28"/>
          <w:szCs w:val="28"/>
          <w:highlight w:val="none"/>
          <w:lang w:val="en-US" w:eastAsia="zh-CN"/>
        </w:rPr>
        <w:t>4</w:t>
      </w:r>
      <w:r>
        <w:rPr>
          <w:rFonts w:hint="eastAsia" w:ascii="宋体" w:hAnsi="宋体" w:eastAsia="宋体" w:cs="宋体"/>
          <w:bCs/>
          <w:color w:val="auto"/>
          <w:sz w:val="28"/>
          <w:szCs w:val="28"/>
          <w:highlight w:val="none"/>
        </w:rPr>
        <w:t>、开标会程序</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.1、标前会</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、采购人和监督人参加。</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、标前会由代理机构人员主持。</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、采购代理机构在标前会现场确定竞争性评标委员会负责人、开标会主持人、记录人、唱标人。</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竞争性评标委员会主任职责是宣布评标纪律、总分、中标人等内容。竞争性评标委员会负责人如果参与评标则与其他评标专家的权利相同。</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开标会主持人职责是按本招标文件规定的开标会程序主持招标会。</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记录人职责是对整个招标会情况进行记录。</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、开标会</w:t>
      </w:r>
    </w:p>
    <w:p>
      <w:pPr>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.1、请参加开标的供应商代表签名报到，并由监督人进行资格审查</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 xml:space="preserve">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如果资格审查造成供应商不足三个的，则认定本次招标的供应商数量没有竞争力，宣布本次招标失败。业主将重新组织招标活动</w:t>
      </w:r>
      <w:r>
        <w:rPr>
          <w:rFonts w:hint="eastAsia" w:ascii="宋体" w:hAnsi="宋体" w:eastAsia="宋体" w:cs="宋体"/>
          <w:color w:val="auto"/>
          <w:sz w:val="28"/>
          <w:szCs w:val="28"/>
          <w:highlight w:val="none"/>
        </w:rPr>
        <w:t>。</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.2、开标会主持人介绍参加会议的人员。</w:t>
      </w:r>
    </w:p>
    <w:p>
      <w:pPr>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.3、</w:t>
      </w:r>
      <w:r>
        <w:rPr>
          <w:rFonts w:hint="eastAsia" w:ascii="宋体" w:hAnsi="宋体" w:eastAsia="宋体" w:cs="宋体"/>
          <w:bCs/>
          <w:color w:val="auto"/>
          <w:sz w:val="28"/>
          <w:szCs w:val="28"/>
          <w:highlight w:val="none"/>
        </w:rPr>
        <w:t>供应商代表宣读投标文件送达时间和密封情况是否完好。</w:t>
      </w:r>
    </w:p>
    <w:p>
      <w:pPr>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5</w:t>
      </w:r>
      <w:r>
        <w:rPr>
          <w:rFonts w:hint="eastAsia" w:ascii="宋体" w:hAnsi="宋体" w:eastAsia="宋体" w:cs="宋体"/>
          <w:bCs/>
          <w:color w:val="auto"/>
          <w:sz w:val="28"/>
          <w:szCs w:val="28"/>
          <w:highlight w:val="none"/>
        </w:rPr>
        <w:t>.4、开标会主持人宣布投标文件送达时间和密封情况是否符合招标文件要求。</w:t>
      </w:r>
    </w:p>
    <w:p>
      <w:pPr>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.5</w:t>
      </w:r>
      <w:r>
        <w:rPr>
          <w:rFonts w:hint="eastAsia" w:ascii="宋体" w:hAnsi="宋体" w:eastAsia="宋体" w:cs="宋体"/>
          <w:bCs/>
          <w:color w:val="auto"/>
          <w:sz w:val="28"/>
          <w:szCs w:val="28"/>
          <w:highlight w:val="none"/>
        </w:rPr>
        <w:t>、唱标人按送达时间逆顺序启封投标文件，宣布投标文件中的服务周期。</w:t>
      </w:r>
    </w:p>
    <w:p>
      <w:pPr>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.6</w:t>
      </w:r>
      <w:r>
        <w:rPr>
          <w:rFonts w:hint="eastAsia" w:ascii="宋体" w:hAnsi="宋体" w:eastAsia="宋体" w:cs="宋体"/>
          <w:bCs/>
          <w:color w:val="auto"/>
          <w:sz w:val="28"/>
          <w:szCs w:val="28"/>
          <w:highlight w:val="none"/>
        </w:rPr>
        <w:t>、供应商休会，进入评标阶段。</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开标和唱标的顺序，按照递交响应性文件的逆顺序依次进行。</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投标时间截止后，提交投标文件的供应商不足三家时，按照招标的相关法规处理。</w:t>
      </w:r>
    </w:p>
    <w:p>
      <w:pPr>
        <w:spacing w:line="440" w:lineRule="exact"/>
        <w:ind w:left="479" w:leftChars="228"/>
        <w:rPr>
          <w:rFonts w:hint="eastAsia" w:ascii="宋体" w:hAnsi="宋体" w:eastAsia="宋体" w:cs="宋体"/>
          <w:b/>
          <w:bCs/>
          <w:color w:val="auto"/>
          <w:kern w:val="0"/>
          <w:sz w:val="28"/>
          <w:szCs w:val="28"/>
          <w:highlight w:val="none"/>
        </w:rPr>
      </w:pPr>
      <w:r>
        <w:rPr>
          <w:rFonts w:hint="eastAsia" w:ascii="宋体" w:hAnsi="宋体" w:eastAsia="宋体" w:cs="宋体"/>
          <w:b/>
          <w:bCs/>
          <w:color w:val="auto"/>
          <w:sz w:val="28"/>
          <w:szCs w:val="28"/>
          <w:highlight w:val="none"/>
        </w:rPr>
        <w:t>16、</w:t>
      </w:r>
      <w:r>
        <w:rPr>
          <w:rFonts w:hint="eastAsia" w:ascii="宋体" w:hAnsi="宋体" w:eastAsia="宋体" w:cs="宋体"/>
          <w:b/>
          <w:bCs/>
          <w:color w:val="auto"/>
          <w:kern w:val="0"/>
          <w:sz w:val="28"/>
          <w:szCs w:val="28"/>
          <w:highlight w:val="none"/>
        </w:rPr>
        <w:t>评标原则</w:t>
      </w:r>
    </w:p>
    <w:p>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16.1评、定标依据《中华人民共和国政府采购法》及其它政府采购法规等相关规定，遵循公开、公平、公正、竞争的原则。</w:t>
      </w:r>
    </w:p>
    <w:p>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16.2严格执行《中华人民共和国政府采购法》及自治区有关法规、政策、维护采购人、供应商的合法权益，选择对采购人最为有利的供应商或候选供应商。</w:t>
      </w:r>
    </w:p>
    <w:p>
      <w:pPr>
        <w:spacing w:line="44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17、评标依据</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17.1评标的依据为招标文件（包括采购人的招标文件和供应商的投标文件）。</w:t>
      </w:r>
    </w:p>
    <w:p>
      <w:pPr>
        <w:spacing w:line="44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18、评审</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18.1评标委员会</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18.1.1会议将根据</w:t>
      </w:r>
      <w:r>
        <w:rPr>
          <w:rFonts w:hint="eastAsia" w:ascii="宋体" w:hAnsi="宋体" w:eastAsia="宋体" w:cs="宋体"/>
          <w:color w:val="auto"/>
          <w:kern w:val="0"/>
          <w:sz w:val="28"/>
          <w:szCs w:val="28"/>
          <w:highlight w:val="none"/>
        </w:rPr>
        <w:t>《中华人民共和国政府采购法》</w:t>
      </w:r>
      <w:r>
        <w:rPr>
          <w:rFonts w:hint="eastAsia" w:ascii="宋体" w:hAnsi="宋体" w:eastAsia="宋体" w:cs="宋体"/>
          <w:color w:val="auto"/>
          <w:sz w:val="28"/>
          <w:szCs w:val="28"/>
          <w:highlight w:val="none"/>
        </w:rPr>
        <w:t>相关法律的规定，依法组建本次采购的评标委员会，负责本次评标活动。</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18.1.2评标委员会人选评标前确定。评标委员会成员名单在中标结果确定前保密。评标工作由评审专家组建的评标委员会承担。评审专家从评审专家库中随机抽取组建评标委员会，其成员由有关技术、经济等方面的专家组成。评标委员会在监督部门的监督下独立完成评标工作，负责对投标文件进行审查、质询、评审、推选中标候选人。评标委员会专家:5人。</w:t>
      </w:r>
    </w:p>
    <w:p>
      <w:pPr>
        <w:spacing w:line="44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19、评标标准</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19.1评标委员会应当根据招标文件规定的评标标准和方法，对投标文件进行系统地评标和比较。</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19.2、本项目评标定标奉行公开、公平、公正和诚实守信的原则，评标中各评标委员会成员若发生意见分歧，以少数服从多数为原则决定。</w:t>
      </w:r>
    </w:p>
    <w:p>
      <w:pPr>
        <w:spacing w:line="44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19.3、本次招标工程采用</w:t>
      </w:r>
      <w:r>
        <w:rPr>
          <w:rFonts w:hint="eastAsia" w:ascii="宋体" w:hAnsi="宋体" w:eastAsia="宋体" w:cs="宋体"/>
          <w:b/>
          <w:bCs/>
          <w:color w:val="auto"/>
          <w:sz w:val="28"/>
          <w:szCs w:val="28"/>
          <w:highlight w:val="none"/>
          <w:u w:val="single"/>
        </w:rPr>
        <w:t>综合评估法</w:t>
      </w:r>
      <w:r>
        <w:rPr>
          <w:rFonts w:hint="eastAsia" w:ascii="宋体" w:hAnsi="宋体" w:eastAsia="宋体" w:cs="宋体"/>
          <w:color w:val="auto"/>
          <w:sz w:val="28"/>
          <w:szCs w:val="28"/>
          <w:highlight w:val="none"/>
        </w:rPr>
        <w:t>，由评标委员会推荐三名中标候选人，由采购人按照规定确定中标人</w:t>
      </w:r>
      <w:r>
        <w:rPr>
          <w:rFonts w:hint="eastAsia" w:ascii="宋体" w:hAnsi="宋体" w:eastAsia="宋体" w:cs="宋体"/>
          <w:b/>
          <w:bCs/>
          <w:color w:val="auto"/>
          <w:sz w:val="28"/>
          <w:szCs w:val="28"/>
          <w:highlight w:val="none"/>
        </w:rPr>
        <w:t>。</w:t>
      </w:r>
    </w:p>
    <w:p>
      <w:pPr>
        <w:spacing w:line="440" w:lineRule="exact"/>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综合评分法，是指在最大限度地满足招标文件实质性要求前提下，按照本招标文件中规定的各项因素进行综合评审后，以评标总得分由高到低</w:t>
      </w:r>
      <w:r>
        <w:rPr>
          <w:rFonts w:hint="eastAsia" w:ascii="宋体" w:hAnsi="宋体" w:eastAsia="宋体" w:cs="宋体"/>
          <w:b/>
          <w:color w:val="auto"/>
          <w:sz w:val="28"/>
          <w:szCs w:val="28"/>
          <w:highlight w:val="none"/>
        </w:rPr>
        <w:t>，</w:t>
      </w:r>
      <w:r>
        <w:rPr>
          <w:rFonts w:hint="eastAsia" w:ascii="宋体" w:hAnsi="宋体" w:eastAsia="宋体" w:cs="宋体"/>
          <w:color w:val="auto"/>
          <w:sz w:val="28"/>
          <w:szCs w:val="28"/>
          <w:highlight w:val="none"/>
        </w:rPr>
        <w:t>确定中标候选人或中标人的评标方法。</w:t>
      </w:r>
      <w:r>
        <w:rPr>
          <w:rFonts w:hint="eastAsia" w:ascii="宋体" w:hAnsi="宋体" w:eastAsia="宋体" w:cs="宋体"/>
          <w:b/>
          <w:bCs w:val="0"/>
          <w:color w:val="auto"/>
          <w:sz w:val="28"/>
          <w:szCs w:val="28"/>
          <w:highlight w:val="none"/>
        </w:rPr>
        <w:t>评标标准评分</w:t>
      </w:r>
      <w:r>
        <w:rPr>
          <w:rFonts w:hint="eastAsia" w:ascii="宋体" w:hAnsi="宋体" w:eastAsia="宋体" w:cs="宋体"/>
          <w:b/>
          <w:color w:val="auto"/>
          <w:sz w:val="28"/>
          <w:szCs w:val="28"/>
          <w:highlight w:val="none"/>
        </w:rPr>
        <w:t>为商务部分</w:t>
      </w:r>
      <w:r>
        <w:rPr>
          <w:rFonts w:hint="eastAsia" w:ascii="宋体" w:hAnsi="宋体" w:cs="宋体"/>
          <w:b/>
          <w:color w:val="auto"/>
          <w:sz w:val="28"/>
          <w:szCs w:val="28"/>
          <w:highlight w:val="none"/>
          <w:lang w:val="en-US" w:eastAsia="zh-CN"/>
        </w:rPr>
        <w:t>80</w:t>
      </w:r>
      <w:r>
        <w:rPr>
          <w:rFonts w:hint="eastAsia" w:ascii="宋体" w:hAnsi="宋体" w:eastAsia="宋体" w:cs="宋体"/>
          <w:b/>
          <w:color w:val="auto"/>
          <w:sz w:val="28"/>
          <w:szCs w:val="28"/>
          <w:highlight w:val="none"/>
        </w:rPr>
        <w:t>分，</w:t>
      </w:r>
      <w:r>
        <w:rPr>
          <w:rFonts w:hint="eastAsia" w:ascii="宋体" w:hAnsi="宋体" w:cs="宋体"/>
          <w:b/>
          <w:color w:val="auto"/>
          <w:sz w:val="28"/>
          <w:szCs w:val="28"/>
          <w:highlight w:val="none"/>
          <w:lang w:val="en-US" w:eastAsia="zh-CN"/>
        </w:rPr>
        <w:t>报价部分占20分，</w:t>
      </w:r>
      <w:r>
        <w:rPr>
          <w:rFonts w:hint="eastAsia" w:ascii="宋体" w:hAnsi="宋体" w:eastAsia="宋体" w:cs="宋体"/>
          <w:b/>
          <w:color w:val="auto"/>
          <w:sz w:val="28"/>
          <w:szCs w:val="28"/>
          <w:highlight w:val="none"/>
        </w:rPr>
        <w:t>总分为100分。</w:t>
      </w:r>
    </w:p>
    <w:bookmarkEnd w:id="4"/>
    <w:bookmarkEnd w:id="5"/>
    <w:p>
      <w:pPr>
        <w:spacing w:line="440" w:lineRule="exact"/>
        <w:ind w:firstLine="560" w:firstLineChars="200"/>
        <w:rPr>
          <w:rFonts w:hint="eastAsia" w:ascii="宋体" w:hAnsi="宋体" w:eastAsia="宋体" w:cs="宋体"/>
          <w:bCs/>
          <w:color w:val="auto"/>
          <w:sz w:val="28"/>
          <w:szCs w:val="28"/>
          <w:highlight w:val="none"/>
        </w:rPr>
      </w:pPr>
      <w:bookmarkStart w:id="62" w:name="_Toc227423924"/>
      <w:bookmarkStart w:id="63" w:name="_Toc374356192"/>
      <w:bookmarkStart w:id="64" w:name="_七____中标及合同签订"/>
      <w:r>
        <w:rPr>
          <w:rFonts w:hint="eastAsia" w:ascii="宋体" w:hAnsi="宋体" w:eastAsia="宋体" w:cs="宋体"/>
          <w:bCs/>
          <w:color w:val="auto"/>
          <w:sz w:val="28"/>
          <w:szCs w:val="28"/>
          <w:highlight w:val="none"/>
        </w:rPr>
        <w:t>19.3.1、投标文件的初步评审</w:t>
      </w:r>
    </w:p>
    <w:p>
      <w:pPr>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竞争性评标委员会将对投标文件按《</w:t>
      </w:r>
      <w:r>
        <w:rPr>
          <w:rFonts w:hint="eastAsia" w:ascii="宋体" w:hAnsi="宋体" w:eastAsia="宋体" w:cs="宋体"/>
          <w:color w:val="auto"/>
          <w:sz w:val="28"/>
          <w:szCs w:val="28"/>
          <w:highlight w:val="none"/>
        </w:rPr>
        <w:t>投标文件完备性及符合性审查标准》</w:t>
      </w:r>
      <w:r>
        <w:rPr>
          <w:rFonts w:hint="eastAsia" w:ascii="宋体" w:hAnsi="宋体" w:eastAsia="宋体" w:cs="宋体"/>
          <w:bCs/>
          <w:color w:val="auto"/>
          <w:sz w:val="28"/>
          <w:szCs w:val="28"/>
          <w:highlight w:val="none"/>
        </w:rPr>
        <w:t>初步评审，如果投标文件中有一项未通过审查标准，竞争性评标委员会将认定该投标文件不响应</w:t>
      </w:r>
      <w:r>
        <w:rPr>
          <w:rFonts w:hint="eastAsia" w:ascii="宋体" w:hAnsi="宋体" w:eastAsia="宋体" w:cs="宋体"/>
          <w:color w:val="auto"/>
          <w:sz w:val="28"/>
          <w:szCs w:val="28"/>
          <w:highlight w:val="none"/>
        </w:rPr>
        <w:t>招标文件</w:t>
      </w:r>
      <w:r>
        <w:rPr>
          <w:rFonts w:hint="eastAsia" w:ascii="宋体" w:hAnsi="宋体" w:eastAsia="宋体" w:cs="宋体"/>
          <w:bCs/>
          <w:color w:val="auto"/>
          <w:sz w:val="28"/>
          <w:szCs w:val="28"/>
          <w:highlight w:val="none"/>
        </w:rPr>
        <w:t>而予以废标，并且不允许供应商通过修改或撤销其不符合要求的差异或保留，使之成为具有响应性的投标。</w:t>
      </w:r>
    </w:p>
    <w:p>
      <w:pPr>
        <w:pStyle w:val="78"/>
        <w:spacing w:line="360" w:lineRule="auto"/>
        <w:ind w:left="0" w:leftChars="0" w:firstLine="560" w:firstLineChars="200"/>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如果投标文件初步评审造成供应商不足三个的，评标委员会</w:t>
      </w:r>
    </w:p>
    <w:p>
      <w:pPr>
        <w:pStyle w:val="78"/>
        <w:spacing w:line="360" w:lineRule="auto"/>
        <w:ind w:firstLine="0" w:firstLineChars="0"/>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应认定本次招标的供应商数量没有竞争力，宣布本次招标失败。业主将重新组织招标活动。</w:t>
      </w:r>
      <w:bookmarkStart w:id="65" w:name="_Toc315982452"/>
    </w:p>
    <w:p>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spacing w:line="360" w:lineRule="auto"/>
        <w:ind w:firstLine="1968" w:firstLineChars="7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《投标文件完备性及符合性审查标准》</w:t>
      </w:r>
      <w:bookmarkEnd w:id="65"/>
    </w:p>
    <w:tbl>
      <w:tblPr>
        <w:tblStyle w:val="33"/>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8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01" w:type="dxa"/>
            <w:vAlign w:val="center"/>
          </w:tcPr>
          <w:p>
            <w:pPr>
              <w:spacing w:line="38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序号</w:t>
            </w:r>
          </w:p>
        </w:tc>
        <w:tc>
          <w:tcPr>
            <w:tcW w:w="8111" w:type="dxa"/>
            <w:vAlign w:val="center"/>
          </w:tcPr>
          <w:p>
            <w:pPr>
              <w:spacing w:line="380" w:lineRule="exact"/>
              <w:ind w:firstLine="560" w:firstLineChars="20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01" w:type="dxa"/>
            <w:vAlign w:val="center"/>
          </w:tcPr>
          <w:p>
            <w:pPr>
              <w:spacing w:line="38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p>
        </w:tc>
        <w:tc>
          <w:tcPr>
            <w:tcW w:w="8111" w:type="dxa"/>
            <w:vAlign w:val="center"/>
          </w:tcPr>
          <w:p>
            <w:pPr>
              <w:spacing w:line="38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供应商必须为在中国境内注册的独立法人企业，须符合《中华人民共和国政府采购法》第22条规定；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01" w:type="dxa"/>
            <w:vAlign w:val="center"/>
          </w:tcPr>
          <w:p>
            <w:pPr>
              <w:spacing w:line="38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w:t>
            </w:r>
          </w:p>
        </w:tc>
        <w:tc>
          <w:tcPr>
            <w:tcW w:w="8111" w:type="dxa"/>
            <w:vAlign w:val="center"/>
          </w:tcPr>
          <w:p>
            <w:pPr>
              <w:spacing w:line="380" w:lineRule="exact"/>
              <w:rPr>
                <w:rFonts w:hint="eastAsia" w:ascii="宋体" w:hAnsi="宋体" w:eastAsia="宋体" w:cs="宋体"/>
                <w:bCs/>
                <w:color w:val="auto"/>
                <w:sz w:val="28"/>
                <w:szCs w:val="28"/>
                <w:highlight w:val="none"/>
              </w:rPr>
            </w:pPr>
            <w:r>
              <w:rPr>
                <w:rFonts w:hint="eastAsia" w:ascii="宋体" w:hAnsi="宋体" w:eastAsia="宋体" w:cs="宋体"/>
                <w:bCs/>
                <w:color w:val="auto"/>
                <w:kern w:val="0"/>
                <w:sz w:val="28"/>
                <w:szCs w:val="28"/>
                <w:highlight w:val="none"/>
              </w:rPr>
              <w:t>营业执照范围内需具有相关营业内容，能够开展残疾患者康复的机构；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01" w:type="dxa"/>
            <w:vAlign w:val="center"/>
          </w:tcPr>
          <w:p>
            <w:pPr>
              <w:spacing w:line="38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p>
        </w:tc>
        <w:tc>
          <w:tcPr>
            <w:tcW w:w="8111" w:type="dxa"/>
            <w:vAlign w:val="center"/>
          </w:tcPr>
          <w:p>
            <w:pPr>
              <w:spacing w:line="380" w:lineRule="exact"/>
              <w:rPr>
                <w:rFonts w:hint="eastAsia" w:ascii="宋体" w:hAnsi="宋体" w:eastAsia="宋体" w:cs="宋体"/>
                <w:bCs/>
                <w:color w:val="auto"/>
                <w:sz w:val="28"/>
                <w:szCs w:val="28"/>
                <w:highlight w:val="none"/>
              </w:rPr>
            </w:pPr>
            <w:r>
              <w:rPr>
                <w:rFonts w:hint="eastAsia" w:ascii="宋体" w:hAnsi="宋体" w:eastAsia="宋体" w:cs="宋体"/>
                <w:bCs/>
                <w:color w:val="auto"/>
                <w:kern w:val="0"/>
                <w:sz w:val="28"/>
                <w:szCs w:val="28"/>
                <w:highlight w:val="none"/>
              </w:rPr>
              <w:t>供应商需是取得乌鲁木齐市</w:t>
            </w:r>
            <w:r>
              <w:rPr>
                <w:rFonts w:hint="eastAsia" w:ascii="宋体" w:hAnsi="宋体" w:eastAsia="宋体" w:cs="宋体"/>
                <w:bCs/>
                <w:color w:val="auto"/>
                <w:kern w:val="0"/>
                <w:sz w:val="28"/>
                <w:szCs w:val="28"/>
                <w:highlight w:val="none"/>
                <w:lang w:val="en-US" w:eastAsia="zh-CN"/>
              </w:rPr>
              <w:t>残疾人成人</w:t>
            </w:r>
            <w:r>
              <w:rPr>
                <w:rFonts w:hint="eastAsia" w:ascii="宋体" w:hAnsi="宋体" w:eastAsia="宋体" w:cs="宋体"/>
                <w:bCs/>
                <w:color w:val="auto"/>
                <w:kern w:val="0"/>
                <w:sz w:val="28"/>
                <w:szCs w:val="28"/>
                <w:highlight w:val="none"/>
              </w:rPr>
              <w:t>康复定点机构资格的康复机构或医疗机构；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01" w:type="dxa"/>
            <w:vAlign w:val="center"/>
          </w:tcPr>
          <w:p>
            <w:pPr>
              <w:spacing w:line="38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w:t>
            </w:r>
          </w:p>
        </w:tc>
        <w:tc>
          <w:tcPr>
            <w:tcW w:w="8111" w:type="dxa"/>
            <w:vAlign w:val="center"/>
          </w:tcPr>
          <w:p>
            <w:pPr>
              <w:spacing w:line="380" w:lineRule="exact"/>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rPr>
              <w:t>供应商</w:t>
            </w:r>
            <w:r>
              <w:rPr>
                <w:rFonts w:hint="eastAsia" w:ascii="宋体" w:hAnsi="宋体" w:cs="宋体"/>
                <w:color w:val="auto"/>
                <w:sz w:val="28"/>
                <w:szCs w:val="28"/>
                <w:highlight w:val="none"/>
                <w:lang w:val="en-US" w:eastAsia="zh-CN"/>
              </w:rPr>
              <w:t>在</w:t>
            </w:r>
            <w:r>
              <w:rPr>
                <w:rFonts w:hint="eastAsia" w:ascii="宋体" w:hAnsi="宋体" w:eastAsia="宋体" w:cs="宋体"/>
                <w:color w:val="auto"/>
                <w:sz w:val="28"/>
                <w:szCs w:val="28"/>
                <w:highlight w:val="none"/>
              </w:rPr>
              <w:t>“信用中国”网站（www.creditchina.gov.cn）、“中国政府采购网”的信息，</w:t>
            </w:r>
            <w:r>
              <w:rPr>
                <w:rFonts w:hint="eastAsia" w:ascii="宋体" w:hAnsi="宋体" w:cs="宋体"/>
                <w:color w:val="auto"/>
                <w:sz w:val="28"/>
                <w:szCs w:val="28"/>
                <w:highlight w:val="none"/>
                <w:lang w:val="en-US" w:eastAsia="zh-CN"/>
              </w:rPr>
              <w:t>未被列入</w:t>
            </w:r>
            <w:r>
              <w:rPr>
                <w:rFonts w:hint="eastAsia" w:ascii="宋体" w:hAnsi="宋体" w:eastAsia="宋体" w:cs="宋体"/>
                <w:color w:val="auto"/>
                <w:sz w:val="28"/>
                <w:szCs w:val="28"/>
                <w:highlight w:val="none"/>
              </w:rPr>
              <w:t>失信被执行人、重大税收违法</w:t>
            </w:r>
            <w:r>
              <w:rPr>
                <w:rFonts w:hint="eastAsia" w:ascii="宋体" w:hAnsi="宋体" w:eastAsia="宋体" w:cs="宋体"/>
                <w:color w:val="auto"/>
                <w:sz w:val="28"/>
                <w:szCs w:val="28"/>
                <w:highlight w:val="none"/>
                <w:lang w:val="en-US" w:eastAsia="zh-CN"/>
              </w:rPr>
              <w:t>失信主体</w:t>
            </w:r>
            <w:r>
              <w:rPr>
                <w:rFonts w:hint="eastAsia" w:ascii="宋体" w:hAnsi="宋体" w:eastAsia="宋体" w:cs="宋体"/>
                <w:color w:val="auto"/>
                <w:sz w:val="28"/>
                <w:szCs w:val="28"/>
                <w:highlight w:val="none"/>
              </w:rPr>
              <w:t>、政府采购严重违法失信行为记录名单（财库[2016]125号）</w:t>
            </w:r>
            <w:r>
              <w:rPr>
                <w:rFonts w:hint="eastAsia" w:ascii="宋体" w:hAnsi="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01" w:type="dxa"/>
            <w:vAlign w:val="center"/>
          </w:tcPr>
          <w:p>
            <w:pPr>
              <w:spacing w:line="38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p>
        </w:tc>
        <w:tc>
          <w:tcPr>
            <w:tcW w:w="8111" w:type="dxa"/>
            <w:vAlign w:val="center"/>
          </w:tcPr>
          <w:p>
            <w:pPr>
              <w:spacing w:line="380" w:lineRule="exact"/>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投标承诺书必须按招标文件规定格式完整提供，并要盖供应商章、法定代表人章（或经营人章）或</w:t>
            </w:r>
            <w:r>
              <w:rPr>
                <w:rFonts w:hint="eastAsia" w:ascii="宋体" w:hAnsi="宋体" w:eastAsia="宋体" w:cs="宋体"/>
                <w:color w:val="auto"/>
                <w:sz w:val="28"/>
                <w:szCs w:val="28"/>
                <w:highlight w:val="none"/>
              </w:rPr>
              <w:t>授权代理人</w:t>
            </w:r>
            <w:r>
              <w:rPr>
                <w:rFonts w:hint="eastAsia" w:ascii="宋体" w:hAnsi="宋体" w:eastAsia="宋体" w:cs="宋体"/>
                <w:bCs/>
                <w:color w:val="auto"/>
                <w:sz w:val="28"/>
                <w:szCs w:val="28"/>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01" w:type="dxa"/>
            <w:vAlign w:val="center"/>
          </w:tcPr>
          <w:p>
            <w:pPr>
              <w:spacing w:line="38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w:t>
            </w:r>
          </w:p>
        </w:tc>
        <w:tc>
          <w:tcPr>
            <w:tcW w:w="8111" w:type="dxa"/>
            <w:vAlign w:val="center"/>
          </w:tcPr>
          <w:p>
            <w:pPr>
              <w:spacing w:line="38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法定代表人身份证明书必须按招标文件规定格式完整提供，并要盖供应商章；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01" w:type="dxa"/>
            <w:vAlign w:val="center"/>
          </w:tcPr>
          <w:p>
            <w:pPr>
              <w:spacing w:line="38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w:t>
            </w:r>
          </w:p>
        </w:tc>
        <w:tc>
          <w:tcPr>
            <w:tcW w:w="8111" w:type="dxa"/>
            <w:vAlign w:val="center"/>
          </w:tcPr>
          <w:p>
            <w:pPr>
              <w:spacing w:line="38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法定代表人授权委托书必须按招标文件规定格式完整提供，并要盖供应商章、法定代表人（或经营人）章；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01" w:type="dxa"/>
            <w:vAlign w:val="center"/>
          </w:tcPr>
          <w:p>
            <w:pPr>
              <w:spacing w:line="38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w:t>
            </w:r>
          </w:p>
        </w:tc>
        <w:tc>
          <w:tcPr>
            <w:tcW w:w="8111" w:type="dxa"/>
            <w:vAlign w:val="center"/>
          </w:tcPr>
          <w:p>
            <w:pPr>
              <w:spacing w:line="380" w:lineRule="exact"/>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投标文件封面右上角必须注明“正本”或“副本”字样；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01" w:type="dxa"/>
            <w:vAlign w:val="center"/>
          </w:tcPr>
          <w:p>
            <w:pPr>
              <w:spacing w:line="380" w:lineRule="exact"/>
              <w:jc w:val="center"/>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9</w:t>
            </w:r>
          </w:p>
        </w:tc>
        <w:tc>
          <w:tcPr>
            <w:tcW w:w="8111" w:type="dxa"/>
            <w:vAlign w:val="center"/>
          </w:tcPr>
          <w:p>
            <w:pPr>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投标文件的签字、盖章必须按照招标文件要求；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1" w:type="dxa"/>
            <w:vAlign w:val="center"/>
          </w:tcPr>
          <w:p>
            <w:pPr>
              <w:spacing w:line="380" w:lineRule="exact"/>
              <w:jc w:val="center"/>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10</w:t>
            </w:r>
          </w:p>
        </w:tc>
        <w:tc>
          <w:tcPr>
            <w:tcW w:w="8111" w:type="dxa"/>
            <w:vAlign w:val="center"/>
          </w:tcPr>
          <w:p>
            <w:pPr>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供应商必须按招标文件中供应商须知前附表规定，缴纳投标保证金；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1" w:type="dxa"/>
            <w:vAlign w:val="center"/>
          </w:tcPr>
          <w:p>
            <w:pPr>
              <w:spacing w:line="380" w:lineRule="exact"/>
              <w:jc w:val="center"/>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1</w:t>
            </w:r>
            <w:r>
              <w:rPr>
                <w:rFonts w:hint="eastAsia" w:ascii="宋体" w:hAnsi="宋体" w:cs="宋体"/>
                <w:bCs/>
                <w:color w:val="auto"/>
                <w:sz w:val="28"/>
                <w:szCs w:val="28"/>
                <w:highlight w:val="none"/>
                <w:lang w:val="en-US" w:eastAsia="zh-CN"/>
              </w:rPr>
              <w:t>1</w:t>
            </w:r>
          </w:p>
        </w:tc>
        <w:tc>
          <w:tcPr>
            <w:tcW w:w="8111" w:type="dxa"/>
            <w:vAlign w:val="center"/>
          </w:tcPr>
          <w:p>
            <w:pPr>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服务周期必须符合招标文件要求。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012" w:type="dxa"/>
            <w:gridSpan w:val="2"/>
            <w:vAlign w:val="center"/>
          </w:tcPr>
          <w:p>
            <w:pPr>
              <w:spacing w:line="3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供应商的投标文件如出现以上条款不允许的情况，其投标将被拒绝。</w:t>
            </w:r>
          </w:p>
        </w:tc>
      </w:tr>
    </w:tbl>
    <w:p>
      <w:pPr>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19.3.3、投标文件的详细评审</w:t>
      </w:r>
    </w:p>
    <w:p>
      <w:pPr>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19.3.3.1、竞争性评标委员会将按照《商务部分评分标准》对通过初评的投标文件进行详细评审。</w:t>
      </w:r>
      <w:bookmarkStart w:id="66" w:name="_Hlk170185927"/>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商务部分评分标准</w:t>
      </w:r>
    </w:p>
    <w:tbl>
      <w:tblPr>
        <w:tblStyle w:val="33"/>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6"/>
        <w:gridCol w:w="683"/>
        <w:gridCol w:w="694"/>
        <w:gridCol w:w="619"/>
        <w:gridCol w:w="4808"/>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546"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号</w:t>
            </w:r>
          </w:p>
        </w:tc>
        <w:tc>
          <w:tcPr>
            <w:tcW w:w="683"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w:t>
            </w:r>
          </w:p>
        </w:tc>
        <w:tc>
          <w:tcPr>
            <w:tcW w:w="694"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总分</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值</w:t>
            </w:r>
          </w:p>
        </w:tc>
        <w:tc>
          <w:tcPr>
            <w:tcW w:w="619"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分值</w:t>
            </w:r>
          </w:p>
        </w:tc>
        <w:tc>
          <w:tcPr>
            <w:tcW w:w="4808"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评分标准</w:t>
            </w:r>
          </w:p>
        </w:tc>
        <w:tc>
          <w:tcPr>
            <w:tcW w:w="2285"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3" w:hRule="atLeast"/>
          <w:jc w:val="center"/>
        </w:trPr>
        <w:tc>
          <w:tcPr>
            <w:tcW w:w="546" w:type="dxa"/>
            <w:vMerge w:val="restart"/>
            <w:noWrap w:val="0"/>
            <w:vAlign w:val="center"/>
          </w:tcPr>
          <w:p>
            <w:pPr>
              <w:jc w:val="center"/>
              <w:rPr>
                <w:rFonts w:hint="eastAsia" w:ascii="宋体" w:hAnsi="宋体" w:eastAsia="宋体" w:cs="宋体"/>
                <w:color w:val="auto"/>
                <w:kern w:val="2"/>
                <w:sz w:val="24"/>
                <w:szCs w:val="24"/>
                <w:highlight w:val="none"/>
                <w:lang w:val="en-US" w:eastAsia="zh-CN" w:bidi="ar-SA"/>
              </w:rPr>
            </w:pPr>
          </w:p>
          <w:p>
            <w:pPr>
              <w:pStyle w:val="11"/>
              <w:tabs>
                <w:tab w:val="left" w:pos="567"/>
              </w:tabs>
              <w:rPr>
                <w:rFonts w:hint="eastAsia"/>
                <w:color w:val="auto"/>
                <w:highlight w:val="none"/>
                <w:lang w:val="en-US" w:eastAsia="zh-CN"/>
              </w:rPr>
            </w:pP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683" w:type="dxa"/>
            <w:vMerge w:val="restart"/>
            <w:noWrap w:val="0"/>
            <w:vAlign w:val="center"/>
          </w:tcPr>
          <w:p>
            <w:pPr>
              <w:jc w:val="center"/>
              <w:rPr>
                <w:rFonts w:hint="eastAsia" w:ascii="宋体" w:hAnsi="宋体" w:eastAsia="宋体" w:cs="宋体"/>
                <w:color w:val="auto"/>
                <w:kern w:val="2"/>
                <w:sz w:val="24"/>
                <w:szCs w:val="24"/>
                <w:highlight w:val="none"/>
                <w:lang w:val="en-US" w:eastAsia="zh-CN" w:bidi="ar-SA"/>
              </w:rPr>
            </w:pPr>
          </w:p>
          <w:p>
            <w:pPr>
              <w:jc w:val="center"/>
              <w:rPr>
                <w:rFonts w:hint="eastAsia" w:ascii="宋体" w:hAnsi="宋体" w:eastAsia="宋体" w:cs="宋体"/>
                <w:color w:val="auto"/>
                <w:kern w:val="2"/>
                <w:sz w:val="24"/>
                <w:szCs w:val="24"/>
                <w:highlight w:val="none"/>
                <w:lang w:val="en-US" w:eastAsia="zh-CN" w:bidi="ar-SA"/>
              </w:rPr>
            </w:pP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场所</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设置</w:t>
            </w:r>
          </w:p>
        </w:tc>
        <w:tc>
          <w:tcPr>
            <w:tcW w:w="694" w:type="dxa"/>
            <w:vMerge w:val="restart"/>
            <w:noWrap w:val="0"/>
            <w:vAlign w:val="center"/>
          </w:tcPr>
          <w:p>
            <w:pPr>
              <w:jc w:val="center"/>
              <w:rPr>
                <w:rFonts w:hint="eastAsia" w:ascii="宋体" w:hAnsi="宋体" w:eastAsia="宋体" w:cs="宋体"/>
                <w:color w:val="auto"/>
                <w:kern w:val="2"/>
                <w:sz w:val="24"/>
                <w:szCs w:val="24"/>
                <w:highlight w:val="none"/>
                <w:lang w:val="en-US" w:eastAsia="zh-CN" w:bidi="ar-SA"/>
              </w:rPr>
            </w:pPr>
          </w:p>
          <w:p>
            <w:pPr>
              <w:jc w:val="center"/>
              <w:rPr>
                <w:rFonts w:hint="eastAsia" w:ascii="宋体" w:hAnsi="宋体" w:eastAsia="宋体" w:cs="宋体"/>
                <w:color w:val="auto"/>
                <w:kern w:val="2"/>
                <w:sz w:val="24"/>
                <w:szCs w:val="24"/>
                <w:highlight w:val="none"/>
                <w:lang w:val="en-US" w:eastAsia="zh-CN" w:bidi="ar-SA"/>
              </w:rPr>
            </w:pPr>
          </w:p>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w:t>
            </w:r>
          </w:p>
        </w:tc>
        <w:tc>
          <w:tcPr>
            <w:tcW w:w="619" w:type="dxa"/>
            <w:noWrap w:val="0"/>
            <w:vAlign w:val="center"/>
          </w:tcPr>
          <w:p>
            <w:pPr>
              <w:jc w:val="center"/>
              <w:rPr>
                <w:rFonts w:hint="eastAsia" w:ascii="宋体" w:hAnsi="宋体" w:eastAsia="宋体" w:cs="宋体"/>
                <w:color w:val="auto"/>
                <w:kern w:val="2"/>
                <w:sz w:val="24"/>
                <w:szCs w:val="24"/>
                <w:highlight w:val="none"/>
                <w:lang w:val="en-US" w:eastAsia="zh-CN" w:bidi="ar-SA"/>
              </w:rPr>
            </w:pP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4808" w:type="dxa"/>
            <w:noWrap w:val="0"/>
            <w:vAlign w:val="center"/>
          </w:tcPr>
          <w:p>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室内专供成人肢体康复服务场所使用面积：面积300 平米及以上且环境好，布局合理得5分；面积200-300 得3分，面积100-200 得 2分；面积100平米以下不得分）。</w:t>
            </w:r>
          </w:p>
        </w:tc>
        <w:tc>
          <w:tcPr>
            <w:tcW w:w="2285" w:type="dxa"/>
            <w:noWrap w:val="0"/>
            <w:vAlign w:val="center"/>
          </w:tcPr>
          <w:p>
            <w:pPr>
              <w:jc w:val="center"/>
              <w:rPr>
                <w:rFonts w:hint="eastAsia" w:ascii="宋体" w:hAnsi="宋体" w:eastAsia="宋体" w:cs="宋体"/>
                <w:color w:val="auto"/>
                <w:kern w:val="2"/>
                <w:sz w:val="24"/>
                <w:szCs w:val="24"/>
                <w:highlight w:val="none"/>
                <w:lang w:val="en-US" w:eastAsia="zh-CN" w:bidi="ar-SA"/>
              </w:rPr>
            </w:pP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租赁合同或残联的部门出具的证明资料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4" w:hRule="atLeast"/>
          <w:jc w:val="center"/>
        </w:trPr>
        <w:tc>
          <w:tcPr>
            <w:tcW w:w="546"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83"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94"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19"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4808" w:type="dxa"/>
            <w:noWrap w:val="0"/>
            <w:vAlign w:val="center"/>
          </w:tcPr>
          <w:p>
            <w:pPr>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有独立检查室、治疗室至少4间，基本分2分，每增加一间加一分，最高5分，没有不得分。</w:t>
            </w:r>
          </w:p>
        </w:tc>
        <w:tc>
          <w:tcPr>
            <w:tcW w:w="2285"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546"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83"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94"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19"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4808" w:type="dxa"/>
            <w:noWrap w:val="0"/>
            <w:vAlign w:val="center"/>
          </w:tcPr>
          <w:p>
            <w:pPr>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有残疾人专用卫生间得1分，没有不得分；有专用轮椅坡道，适合残疾人进出得1分，没有不得分。</w:t>
            </w:r>
          </w:p>
        </w:tc>
        <w:tc>
          <w:tcPr>
            <w:tcW w:w="2285"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546"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83"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94"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19"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4808" w:type="dxa"/>
            <w:noWrap w:val="0"/>
            <w:vAlign w:val="center"/>
          </w:tcPr>
          <w:p>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符合国家消防、卫生等相关规定和要求得1分，不符合不得分。</w:t>
            </w:r>
          </w:p>
        </w:tc>
        <w:tc>
          <w:tcPr>
            <w:tcW w:w="2285"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3" w:hRule="atLeast"/>
          <w:jc w:val="center"/>
        </w:trPr>
        <w:tc>
          <w:tcPr>
            <w:tcW w:w="546"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83"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94"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19" w:type="dxa"/>
            <w:noWrap w:val="0"/>
            <w:vAlign w:val="center"/>
          </w:tcPr>
          <w:p>
            <w:pPr>
              <w:jc w:val="center"/>
              <w:rPr>
                <w:rFonts w:hint="eastAsia" w:ascii="宋体" w:hAnsi="宋体" w:eastAsia="宋体" w:cs="宋体"/>
                <w:color w:val="auto"/>
                <w:kern w:val="2"/>
                <w:sz w:val="24"/>
                <w:szCs w:val="24"/>
                <w:highlight w:val="none"/>
                <w:lang w:val="en-US" w:eastAsia="zh-CN" w:bidi="ar-SA"/>
              </w:rPr>
            </w:pP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4808" w:type="dxa"/>
            <w:noWrap w:val="0"/>
            <w:vAlign w:val="center"/>
          </w:tcPr>
          <w:p>
            <w:pPr>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有可供残疾人使用的室内健身场馆和器械：有场馆器械得2分；有场馆器械且具备室外封闭的活动空间和停车位得4分。</w:t>
            </w:r>
          </w:p>
        </w:tc>
        <w:tc>
          <w:tcPr>
            <w:tcW w:w="2285"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546"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683" w:type="dxa"/>
            <w:noWrap w:val="0"/>
            <w:vAlign w:val="center"/>
          </w:tcPr>
          <w:p>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项目负责人</w:t>
            </w:r>
          </w:p>
        </w:tc>
        <w:tc>
          <w:tcPr>
            <w:tcW w:w="694"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619"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4808" w:type="dxa"/>
            <w:noWrap w:val="0"/>
            <w:vAlign w:val="center"/>
          </w:tcPr>
          <w:p>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项目负责人1名，具备医学或康复专业本科以上学历，副高以上职称得4分，否则不得分。</w:t>
            </w:r>
          </w:p>
        </w:tc>
        <w:tc>
          <w:tcPr>
            <w:tcW w:w="2285"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546" w:type="dxa"/>
            <w:vMerge w:val="restar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683" w:type="dxa"/>
            <w:vMerge w:val="restar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项目服务人员</w:t>
            </w:r>
          </w:p>
        </w:tc>
        <w:tc>
          <w:tcPr>
            <w:tcW w:w="694" w:type="dxa"/>
            <w:vMerge w:val="restart"/>
            <w:noWrap w:val="0"/>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619" w:type="dxa"/>
            <w:noWrap w:val="0"/>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4808" w:type="dxa"/>
            <w:noWrap w:val="0"/>
            <w:vAlign w:val="center"/>
          </w:tcPr>
          <w:p>
            <w:pPr>
              <w:numPr>
                <w:ilvl w:val="0"/>
                <w:numId w:val="0"/>
              </w:num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具有康复、医疗、护理、按摩资格证（或上岗证）人员15人以上得10分，每少一人扣2分。</w:t>
            </w:r>
          </w:p>
        </w:tc>
        <w:tc>
          <w:tcPr>
            <w:tcW w:w="2285" w:type="dxa"/>
            <w:vMerge w:val="restar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提供身份证、职称证或资格证明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3" w:hRule="atLeast"/>
          <w:jc w:val="center"/>
        </w:trPr>
        <w:tc>
          <w:tcPr>
            <w:tcW w:w="546"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83"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94" w:type="dxa"/>
            <w:vMerge w:val="continue"/>
            <w:noWrap w:val="0"/>
            <w:vAlign w:val="center"/>
          </w:tcPr>
          <w:p>
            <w:pPr>
              <w:jc w:val="center"/>
              <w:rPr>
                <w:rFonts w:hint="default" w:ascii="宋体" w:hAnsi="宋体" w:eastAsia="宋体" w:cs="宋体"/>
                <w:color w:val="auto"/>
                <w:kern w:val="2"/>
                <w:sz w:val="24"/>
                <w:szCs w:val="24"/>
                <w:highlight w:val="none"/>
                <w:lang w:val="en-US" w:eastAsia="zh-CN" w:bidi="ar-SA"/>
              </w:rPr>
            </w:pPr>
          </w:p>
        </w:tc>
        <w:tc>
          <w:tcPr>
            <w:tcW w:w="619" w:type="dxa"/>
            <w:noWrap w:val="0"/>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4808" w:type="dxa"/>
            <w:noWrap w:val="0"/>
            <w:vAlign w:val="center"/>
          </w:tcPr>
          <w:p>
            <w:pPr>
              <w:numPr>
                <w:ilvl w:val="0"/>
                <w:numId w:val="0"/>
              </w:numPr>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为市级以上残疾人实训、就业或康复基地或定点机构，得5分，安排残疾人就业（实训）5人以上得5分，每少一人扣1分。</w:t>
            </w:r>
          </w:p>
        </w:tc>
        <w:tc>
          <w:tcPr>
            <w:tcW w:w="2285"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5" w:hRule="atLeast"/>
          <w:jc w:val="center"/>
        </w:trPr>
        <w:tc>
          <w:tcPr>
            <w:tcW w:w="546" w:type="dxa"/>
            <w:vMerge w:val="restar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683" w:type="dxa"/>
            <w:vMerge w:val="restar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场所设备设施</w:t>
            </w:r>
          </w:p>
        </w:tc>
        <w:tc>
          <w:tcPr>
            <w:tcW w:w="694" w:type="dxa"/>
            <w:vMerge w:val="restart"/>
            <w:noWrap w:val="0"/>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p>
        </w:tc>
        <w:tc>
          <w:tcPr>
            <w:tcW w:w="619"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4808" w:type="dxa"/>
            <w:noWrap w:val="0"/>
            <w:vAlign w:val="center"/>
          </w:tcPr>
          <w:p>
            <w:pPr>
              <w:pStyle w:val="81"/>
              <w:keepNext w:val="0"/>
              <w:keepLines w:val="0"/>
              <w:pageBreakBefore w:val="0"/>
              <w:widowControl w:val="0"/>
              <w:kinsoku/>
              <w:wordWrap/>
              <w:overflowPunct/>
              <w:topLinePunct w:val="0"/>
              <w:autoSpaceDE/>
              <w:autoSpaceDN/>
              <w:bidi w:val="0"/>
              <w:adjustRightInd/>
              <w:snapToGrid/>
              <w:spacing w:before="46" w:line="240" w:lineRule="auto"/>
              <w:ind w:left="108" w:leftChars="0" w:right="-17" w:rightChars="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训练器材：</w:t>
            </w:r>
            <w:r>
              <w:rPr>
                <w:rFonts w:hint="eastAsia" w:ascii="宋体" w:hAnsi="宋体" w:eastAsia="宋体" w:cs="宋体"/>
                <w:color w:val="auto"/>
                <w:kern w:val="2"/>
                <w:sz w:val="24"/>
                <w:szCs w:val="24"/>
                <w:highlight w:val="none"/>
                <w:lang w:val="en-US" w:eastAsia="zh-CN" w:bidi="ar-SA"/>
              </w:rPr>
              <w:t>配备 PT 软垫、</w:t>
            </w:r>
            <w:r>
              <w:rPr>
                <w:rFonts w:hint="eastAsia" w:cs="宋体"/>
                <w:color w:val="auto"/>
                <w:kern w:val="2"/>
                <w:sz w:val="24"/>
                <w:szCs w:val="24"/>
                <w:highlight w:val="none"/>
                <w:lang w:val="en-US" w:eastAsia="zh-CN" w:bidi="ar-SA"/>
              </w:rPr>
              <w:t>上下肢训练器、功率车</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肋木</w:t>
            </w:r>
            <w:r>
              <w:rPr>
                <w:rFonts w:hint="eastAsia" w:ascii="宋体" w:hAnsi="宋体" w:eastAsia="宋体" w:cs="宋体"/>
                <w:color w:val="auto"/>
                <w:kern w:val="2"/>
                <w:sz w:val="24"/>
                <w:szCs w:val="24"/>
                <w:highlight w:val="none"/>
                <w:lang w:val="en-US" w:eastAsia="zh-CN" w:bidi="ar-SA"/>
              </w:rPr>
              <w:t>等</w:t>
            </w:r>
            <w:r>
              <w:rPr>
                <w:rFonts w:hint="eastAsia" w:cs="宋体"/>
                <w:color w:val="auto"/>
                <w:kern w:val="2"/>
                <w:sz w:val="24"/>
                <w:szCs w:val="24"/>
                <w:highlight w:val="none"/>
                <w:lang w:val="en-US" w:eastAsia="zh-CN" w:bidi="ar-SA"/>
              </w:rPr>
              <w:t>相关训练器材，</w:t>
            </w:r>
            <w:r>
              <w:rPr>
                <w:rFonts w:hint="eastAsia" w:ascii="宋体" w:hAnsi="宋体" w:eastAsia="宋体" w:cs="宋体"/>
                <w:color w:val="auto"/>
                <w:kern w:val="2"/>
                <w:sz w:val="24"/>
                <w:szCs w:val="24"/>
                <w:highlight w:val="none"/>
                <w:lang w:val="en-US" w:eastAsia="zh-CN" w:bidi="ar-SA"/>
              </w:rPr>
              <w:t xml:space="preserve">有 </w:t>
            </w:r>
            <w:r>
              <w:rPr>
                <w:rFonts w:hint="eastAsia"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5 种</w:t>
            </w:r>
            <w:r>
              <w:rPr>
                <w:rFonts w:hint="eastAsia" w:cs="宋体"/>
                <w:color w:val="auto"/>
                <w:kern w:val="2"/>
                <w:sz w:val="24"/>
                <w:szCs w:val="24"/>
                <w:highlight w:val="none"/>
                <w:lang w:val="en-US" w:eastAsia="zh-CN" w:bidi="ar-SA"/>
              </w:rPr>
              <w:t>以上（含15种）</w:t>
            </w:r>
            <w:r>
              <w:rPr>
                <w:rFonts w:hint="eastAsia" w:ascii="宋体" w:hAnsi="宋体" w:eastAsia="宋体" w:cs="宋体"/>
                <w:color w:val="auto"/>
                <w:kern w:val="2"/>
                <w:sz w:val="24"/>
                <w:szCs w:val="24"/>
                <w:highlight w:val="none"/>
                <w:lang w:val="en-US" w:eastAsia="zh-CN" w:bidi="ar-SA"/>
              </w:rPr>
              <w:t xml:space="preserve">得 </w:t>
            </w:r>
            <w:r>
              <w:rPr>
                <w:rFonts w:hint="eastAsia"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w:t>
            </w:r>
            <w:r>
              <w:rPr>
                <w:rFonts w:hint="eastAsia" w:cs="宋体"/>
                <w:color w:val="auto"/>
                <w:kern w:val="2"/>
                <w:sz w:val="24"/>
                <w:szCs w:val="24"/>
                <w:highlight w:val="none"/>
                <w:lang w:val="en-US" w:eastAsia="zh-CN" w:bidi="ar-SA"/>
              </w:rPr>
              <w:t>每少1种减1</w:t>
            </w:r>
            <w:r>
              <w:rPr>
                <w:rFonts w:hint="eastAsia" w:ascii="宋体" w:hAnsi="宋体" w:eastAsia="宋体" w:cs="宋体"/>
                <w:color w:val="auto"/>
                <w:kern w:val="2"/>
                <w:sz w:val="24"/>
                <w:szCs w:val="24"/>
                <w:highlight w:val="none"/>
                <w:lang w:val="en-US" w:eastAsia="zh-CN" w:bidi="ar-SA"/>
              </w:rPr>
              <w:t>分</w:t>
            </w:r>
            <w:r>
              <w:rPr>
                <w:rFonts w:hint="eastAsia" w:cs="宋体"/>
                <w:color w:val="auto"/>
                <w:kern w:val="2"/>
                <w:sz w:val="24"/>
                <w:szCs w:val="24"/>
                <w:highlight w:val="none"/>
                <w:lang w:val="en-US" w:eastAsia="zh-CN" w:bidi="ar-SA"/>
              </w:rPr>
              <w:t>，10种以下（含10种）不得分</w:t>
            </w:r>
            <w:r>
              <w:rPr>
                <w:rFonts w:hint="eastAsia" w:ascii="宋体" w:hAnsi="宋体" w:eastAsia="宋体" w:cs="宋体"/>
                <w:color w:val="auto"/>
                <w:kern w:val="2"/>
                <w:sz w:val="24"/>
                <w:szCs w:val="24"/>
                <w:highlight w:val="none"/>
                <w:lang w:val="en-US" w:eastAsia="zh-CN" w:bidi="ar-SA"/>
              </w:rPr>
              <w:t>。</w:t>
            </w:r>
          </w:p>
        </w:tc>
        <w:tc>
          <w:tcPr>
            <w:tcW w:w="2285" w:type="dxa"/>
            <w:vMerge w:val="restar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提供加盖公章的设备设施清单及照片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5" w:hRule="atLeast"/>
          <w:jc w:val="center"/>
        </w:trPr>
        <w:tc>
          <w:tcPr>
            <w:tcW w:w="546"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83"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94"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619" w:type="dxa"/>
            <w:noWrap w:val="0"/>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4808" w:type="dxa"/>
            <w:noWrap w:val="0"/>
            <w:vAlign w:val="center"/>
          </w:tcPr>
          <w:p>
            <w:pPr>
              <w:pStyle w:val="81"/>
              <w:keepNext w:val="0"/>
              <w:keepLines w:val="0"/>
              <w:pageBreakBefore w:val="0"/>
              <w:widowControl w:val="0"/>
              <w:tabs>
                <w:tab w:val="left" w:pos="2310"/>
              </w:tabs>
              <w:kinsoku/>
              <w:wordWrap/>
              <w:overflowPunct/>
              <w:topLinePunct w:val="0"/>
              <w:autoSpaceDE/>
              <w:autoSpaceDN/>
              <w:bidi w:val="0"/>
              <w:adjustRightInd/>
              <w:snapToGrid/>
              <w:spacing w:before="53" w:line="240" w:lineRule="auto"/>
              <w:ind w:left="108" w:right="-17"/>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理疗设备：</w:t>
            </w:r>
            <w:r>
              <w:rPr>
                <w:rFonts w:hint="eastAsia" w:ascii="宋体" w:hAnsi="宋体" w:eastAsia="宋体" w:cs="宋体"/>
                <w:color w:val="auto"/>
                <w:sz w:val="24"/>
                <w:szCs w:val="24"/>
                <w:highlight w:val="none"/>
                <w:lang w:eastAsia="zh-CN"/>
              </w:rPr>
              <w:t>中药</w:t>
            </w:r>
            <w:r>
              <w:rPr>
                <w:rFonts w:hint="eastAsia" w:cs="宋体"/>
                <w:color w:val="auto"/>
                <w:sz w:val="24"/>
                <w:szCs w:val="24"/>
                <w:highlight w:val="none"/>
                <w:lang w:eastAsia="zh-CN"/>
              </w:rPr>
              <w:t>离子导入</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超短波、微波、脑电波、中、低频</w:t>
            </w:r>
            <w:r>
              <w:rPr>
                <w:rFonts w:hint="eastAsia" w:ascii="宋体" w:hAnsi="宋体" w:eastAsia="宋体" w:cs="宋体"/>
                <w:color w:val="auto"/>
                <w:sz w:val="24"/>
                <w:szCs w:val="24"/>
                <w:highlight w:val="none"/>
                <w:lang w:eastAsia="zh-CN"/>
              </w:rPr>
              <w:t>、TDP</w:t>
            </w:r>
            <w:r>
              <w:rPr>
                <w:rFonts w:hint="eastAsia" w:cs="宋体"/>
                <w:color w:val="auto"/>
                <w:sz w:val="24"/>
                <w:szCs w:val="24"/>
                <w:highlight w:val="none"/>
                <w:lang w:eastAsia="zh-CN"/>
              </w:rPr>
              <w:t>等</w:t>
            </w:r>
            <w:r>
              <w:rPr>
                <w:rFonts w:hint="eastAsia" w:cs="宋体"/>
                <w:color w:val="auto"/>
                <w:kern w:val="2"/>
                <w:sz w:val="24"/>
                <w:szCs w:val="24"/>
                <w:highlight w:val="none"/>
                <w:lang w:val="en-US" w:eastAsia="zh-CN" w:bidi="ar-SA"/>
              </w:rPr>
              <w:t>专业化理疗设备，有10种30台以上（含30台）得6分，每少一种减1分，每少1台减1分</w:t>
            </w:r>
            <w:r>
              <w:rPr>
                <w:rFonts w:hint="eastAsia" w:ascii="宋体" w:hAnsi="宋体" w:eastAsia="宋体" w:cs="宋体"/>
                <w:color w:val="auto"/>
                <w:kern w:val="2"/>
                <w:sz w:val="24"/>
                <w:szCs w:val="24"/>
                <w:highlight w:val="none"/>
                <w:lang w:val="en-US" w:eastAsia="zh-CN" w:bidi="ar-SA"/>
              </w:rPr>
              <w:t>。</w:t>
            </w:r>
          </w:p>
        </w:tc>
        <w:tc>
          <w:tcPr>
            <w:tcW w:w="2285"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atLeast"/>
          <w:jc w:val="center"/>
        </w:trPr>
        <w:tc>
          <w:tcPr>
            <w:tcW w:w="546"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w:t>
            </w:r>
          </w:p>
        </w:tc>
        <w:tc>
          <w:tcPr>
            <w:tcW w:w="68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管理</w:t>
            </w:r>
          </w:p>
        </w:tc>
        <w:tc>
          <w:tcPr>
            <w:tcW w:w="69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61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808"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5年以上肢体残疾人康复训练档案，且完整填写档案内容得8分，不足5年或没有资料不得分</w:t>
            </w:r>
            <w:r>
              <w:rPr>
                <w:rFonts w:hint="eastAsia" w:ascii="宋体" w:hAnsi="宋体" w:eastAsia="宋体" w:cs="宋体"/>
                <w:color w:val="auto"/>
                <w:sz w:val="24"/>
                <w:szCs w:val="24"/>
                <w:highlight w:val="none"/>
              </w:rPr>
              <w:t>。</w:t>
            </w:r>
          </w:p>
        </w:tc>
        <w:tc>
          <w:tcPr>
            <w:tcW w:w="22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准备</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份完整的康复训练档案</w:t>
            </w:r>
            <w:r>
              <w:rPr>
                <w:rFonts w:hint="eastAsia" w:ascii="宋体" w:hAnsi="宋体" w:eastAsia="宋体" w:cs="宋体"/>
                <w:color w:val="auto"/>
                <w:sz w:val="24"/>
                <w:szCs w:val="24"/>
                <w:highlight w:val="none"/>
                <w:lang w:val="en-US" w:eastAsia="zh-CN"/>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7" w:hRule="atLeast"/>
          <w:jc w:val="center"/>
        </w:trPr>
        <w:tc>
          <w:tcPr>
            <w:tcW w:w="546" w:type="dxa"/>
            <w:vMerge w:val="restart"/>
            <w:noWrap w:val="0"/>
            <w:vAlign w:val="center"/>
          </w:tcPr>
          <w:p>
            <w:pPr>
              <w:pStyle w:val="81"/>
              <w:spacing w:before="2"/>
              <w:jc w:val="center"/>
              <w:rPr>
                <w:rFonts w:hint="eastAsia" w:ascii="宋体" w:hAnsi="宋体" w:eastAsia="宋体" w:cs="宋体"/>
                <w:color w:val="auto"/>
                <w:kern w:val="2"/>
                <w:sz w:val="24"/>
                <w:szCs w:val="24"/>
                <w:highlight w:val="none"/>
                <w:lang w:val="en-US" w:eastAsia="zh-CN" w:bidi="ar-SA"/>
              </w:rPr>
            </w:pPr>
          </w:p>
          <w:p>
            <w:pPr>
              <w:pStyle w:val="81"/>
              <w:ind w:left="9" w:leftChars="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6</w:t>
            </w:r>
          </w:p>
        </w:tc>
        <w:tc>
          <w:tcPr>
            <w:tcW w:w="683" w:type="dxa"/>
            <w:vMerge w:val="restart"/>
            <w:noWrap w:val="0"/>
            <w:vAlign w:val="center"/>
          </w:tcPr>
          <w:p>
            <w:pPr>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服务能力</w:t>
            </w:r>
          </w:p>
        </w:tc>
        <w:tc>
          <w:tcPr>
            <w:tcW w:w="694" w:type="dxa"/>
            <w:vMerge w:val="restart"/>
            <w:noWrap w:val="0"/>
            <w:vAlign w:val="center"/>
          </w:tcPr>
          <w:p>
            <w:pPr>
              <w:pStyle w:val="81"/>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20</w:t>
            </w:r>
          </w:p>
        </w:tc>
        <w:tc>
          <w:tcPr>
            <w:tcW w:w="619" w:type="dxa"/>
            <w:noWrap w:val="0"/>
            <w:vAlign w:val="center"/>
          </w:tcPr>
          <w:p>
            <w:pPr>
              <w:pStyle w:val="81"/>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12</w:t>
            </w:r>
          </w:p>
        </w:tc>
        <w:tc>
          <w:tcPr>
            <w:tcW w:w="4808" w:type="dxa"/>
            <w:noWrap w:val="0"/>
            <w:vAlign w:val="center"/>
          </w:tcPr>
          <w:p>
            <w:pPr>
              <w:pStyle w:val="81"/>
              <w:spacing w:before="92"/>
              <w:jc w:val="left"/>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zh-CN" w:eastAsia="zh-CN" w:bidi="ar-SA"/>
              </w:rPr>
              <w:t>连续从事肢体残疾人康复工作</w:t>
            </w:r>
            <w:r>
              <w:rPr>
                <w:rFonts w:hint="eastAsia" w:cs="宋体"/>
                <w:color w:val="auto"/>
                <w:kern w:val="2"/>
                <w:sz w:val="24"/>
                <w:szCs w:val="24"/>
                <w:highlight w:val="none"/>
                <w:lang w:val="en-US" w:eastAsia="zh-CN" w:bidi="ar-SA"/>
              </w:rPr>
              <w:t>5年及以上，且年平均服务人数不少于200人，得12分，</w:t>
            </w:r>
            <w:r>
              <w:rPr>
                <w:rFonts w:hint="eastAsia" w:cs="宋体"/>
                <w:color w:val="auto"/>
                <w:kern w:val="2"/>
                <w:sz w:val="24"/>
                <w:szCs w:val="24"/>
                <w:highlight w:val="none"/>
                <w:lang w:val="zh-CN" w:eastAsia="zh-CN" w:bidi="ar-SA"/>
              </w:rPr>
              <w:t>连续从事肢体残疾人康复工作</w:t>
            </w:r>
            <w:r>
              <w:rPr>
                <w:rFonts w:hint="eastAsia" w:cs="宋体"/>
                <w:color w:val="auto"/>
                <w:kern w:val="2"/>
                <w:sz w:val="24"/>
                <w:szCs w:val="24"/>
                <w:highlight w:val="none"/>
                <w:lang w:val="en-US" w:eastAsia="zh-CN" w:bidi="ar-SA"/>
              </w:rPr>
              <w:t>4年及以上，且年平均服务人数不少于200人，得9分，</w:t>
            </w:r>
            <w:r>
              <w:rPr>
                <w:rFonts w:hint="eastAsia" w:cs="宋体"/>
                <w:color w:val="auto"/>
                <w:kern w:val="2"/>
                <w:sz w:val="24"/>
                <w:szCs w:val="24"/>
                <w:highlight w:val="none"/>
                <w:lang w:val="zh-CN" w:eastAsia="zh-CN" w:bidi="ar-SA"/>
              </w:rPr>
              <w:t>连续从事肢体残疾人康复工作</w:t>
            </w:r>
            <w:r>
              <w:rPr>
                <w:rFonts w:hint="eastAsia" w:cs="宋体"/>
                <w:color w:val="auto"/>
                <w:kern w:val="2"/>
                <w:sz w:val="24"/>
                <w:szCs w:val="24"/>
                <w:highlight w:val="none"/>
                <w:lang w:val="en-US" w:eastAsia="zh-CN" w:bidi="ar-SA"/>
              </w:rPr>
              <w:t>3年及以上，且年平均服务人数不少于200人，得5分，</w:t>
            </w:r>
            <w:r>
              <w:rPr>
                <w:rFonts w:hint="eastAsia" w:cs="宋体"/>
                <w:color w:val="auto"/>
                <w:kern w:val="2"/>
                <w:sz w:val="24"/>
                <w:szCs w:val="24"/>
                <w:highlight w:val="none"/>
                <w:lang w:val="zh-CN" w:eastAsia="zh-CN" w:bidi="ar-SA"/>
              </w:rPr>
              <w:t>连续从事肢体残疾人康复工作</w:t>
            </w:r>
            <w:r>
              <w:rPr>
                <w:rFonts w:hint="eastAsia" w:cs="宋体"/>
                <w:color w:val="auto"/>
                <w:kern w:val="2"/>
                <w:sz w:val="24"/>
                <w:szCs w:val="24"/>
                <w:highlight w:val="none"/>
                <w:lang w:val="en-US" w:eastAsia="zh-CN" w:bidi="ar-SA"/>
              </w:rPr>
              <w:t>不足3年，且年平均服务人数少于200人，不得分。</w:t>
            </w:r>
          </w:p>
        </w:tc>
        <w:tc>
          <w:tcPr>
            <w:tcW w:w="2285" w:type="dxa"/>
            <w:noWrap w:val="0"/>
            <w:vAlign w:val="center"/>
          </w:tcPr>
          <w:p>
            <w:pPr>
              <w:pStyle w:val="81"/>
              <w:ind w:right="41" w:rightChars="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相关</w:t>
            </w:r>
            <w:r>
              <w:rPr>
                <w:rFonts w:hint="eastAsia" w:cs="宋体"/>
                <w:color w:val="auto"/>
                <w:kern w:val="2"/>
                <w:sz w:val="24"/>
                <w:szCs w:val="24"/>
                <w:highlight w:val="none"/>
                <w:lang w:val="en-US" w:eastAsia="zh-CN" w:bidi="ar-SA"/>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0" w:hRule="atLeast"/>
          <w:jc w:val="center"/>
        </w:trPr>
        <w:tc>
          <w:tcPr>
            <w:tcW w:w="546" w:type="dxa"/>
            <w:vMerge w:val="continue"/>
            <w:noWrap w:val="0"/>
            <w:vAlign w:val="center"/>
          </w:tcPr>
          <w:p>
            <w:pPr>
              <w:pStyle w:val="81"/>
              <w:ind w:left="9" w:leftChars="0"/>
              <w:jc w:val="center"/>
              <w:rPr>
                <w:rFonts w:hint="eastAsia" w:ascii="宋体" w:hAnsi="宋体" w:eastAsia="宋体" w:cs="宋体"/>
                <w:color w:val="auto"/>
                <w:kern w:val="2"/>
                <w:sz w:val="24"/>
                <w:szCs w:val="24"/>
                <w:highlight w:val="none"/>
                <w:lang w:val="en-US" w:eastAsia="zh-CN" w:bidi="ar-SA"/>
              </w:rPr>
            </w:pPr>
          </w:p>
        </w:tc>
        <w:tc>
          <w:tcPr>
            <w:tcW w:w="683"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c>
          <w:tcPr>
            <w:tcW w:w="694" w:type="dxa"/>
            <w:vMerge w:val="continue"/>
            <w:noWrap w:val="0"/>
            <w:vAlign w:val="center"/>
          </w:tcPr>
          <w:p>
            <w:pPr>
              <w:pStyle w:val="81"/>
              <w:jc w:val="center"/>
              <w:rPr>
                <w:rFonts w:hint="eastAsia" w:cs="宋体"/>
                <w:color w:val="auto"/>
                <w:kern w:val="2"/>
                <w:sz w:val="24"/>
                <w:szCs w:val="24"/>
                <w:highlight w:val="none"/>
                <w:lang w:val="en-US" w:eastAsia="zh-CN" w:bidi="ar-SA"/>
              </w:rPr>
            </w:pPr>
          </w:p>
        </w:tc>
        <w:tc>
          <w:tcPr>
            <w:tcW w:w="619" w:type="dxa"/>
            <w:noWrap w:val="0"/>
            <w:vAlign w:val="center"/>
          </w:tcPr>
          <w:p>
            <w:pPr>
              <w:pStyle w:val="81"/>
              <w:jc w:val="center"/>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8</w:t>
            </w:r>
          </w:p>
        </w:tc>
        <w:tc>
          <w:tcPr>
            <w:tcW w:w="4808" w:type="dxa"/>
            <w:noWrap w:val="0"/>
            <w:vAlign w:val="center"/>
          </w:tcPr>
          <w:p>
            <w:pPr>
              <w:pStyle w:val="81"/>
              <w:spacing w:before="92"/>
              <w:jc w:val="left"/>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zh-CN" w:eastAsia="zh-CN" w:bidi="ar-SA"/>
              </w:rPr>
              <w:t>具备入户为重度肢体残疾人提供康复服务条件，且有</w:t>
            </w:r>
            <w:r>
              <w:rPr>
                <w:rFonts w:hint="eastAsia" w:cs="宋体"/>
                <w:color w:val="auto"/>
                <w:kern w:val="2"/>
                <w:sz w:val="24"/>
                <w:szCs w:val="24"/>
                <w:highlight w:val="none"/>
                <w:lang w:val="en-US" w:eastAsia="zh-CN" w:bidi="ar-SA"/>
              </w:rPr>
              <w:t>3年以上入户康复经验，并不加收入户服务费，得8分，入户服务不足3年或不具备入户服务条件不得分。</w:t>
            </w:r>
          </w:p>
        </w:tc>
        <w:tc>
          <w:tcPr>
            <w:tcW w:w="2285" w:type="dxa"/>
            <w:noWrap w:val="0"/>
            <w:vAlign w:val="center"/>
          </w:tcPr>
          <w:p>
            <w:pPr>
              <w:pStyle w:val="81"/>
              <w:ind w:right="41"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相关</w:t>
            </w:r>
            <w:r>
              <w:rPr>
                <w:rFonts w:hint="eastAsia" w:cs="宋体"/>
                <w:color w:val="auto"/>
                <w:kern w:val="2"/>
                <w:sz w:val="24"/>
                <w:szCs w:val="24"/>
                <w:highlight w:val="none"/>
                <w:lang w:val="en-US" w:eastAsia="zh-CN" w:bidi="ar-SA"/>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46" w:type="dxa"/>
            <w:noWrap w:val="0"/>
            <w:vAlign w:val="center"/>
          </w:tcPr>
          <w:p>
            <w:pPr>
              <w:pStyle w:val="81"/>
              <w:ind w:left="9" w:leftChars="0"/>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7</w:t>
            </w:r>
          </w:p>
        </w:tc>
        <w:tc>
          <w:tcPr>
            <w:tcW w:w="683"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服务亮点</w:t>
            </w:r>
          </w:p>
        </w:tc>
        <w:tc>
          <w:tcPr>
            <w:tcW w:w="694" w:type="dxa"/>
            <w:noWrap w:val="0"/>
            <w:vAlign w:val="center"/>
          </w:tcPr>
          <w:p>
            <w:pPr>
              <w:pStyle w:val="81"/>
              <w:jc w:val="center"/>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w:t>
            </w:r>
          </w:p>
        </w:tc>
        <w:tc>
          <w:tcPr>
            <w:tcW w:w="619" w:type="dxa"/>
            <w:noWrap w:val="0"/>
            <w:vAlign w:val="center"/>
          </w:tcPr>
          <w:p>
            <w:pPr>
              <w:pStyle w:val="81"/>
              <w:jc w:val="center"/>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w:t>
            </w:r>
          </w:p>
        </w:tc>
        <w:tc>
          <w:tcPr>
            <w:tcW w:w="4808" w:type="dxa"/>
            <w:noWrap w:val="0"/>
            <w:vAlign w:val="center"/>
          </w:tcPr>
          <w:p>
            <w:pPr>
              <w:pStyle w:val="81"/>
              <w:spacing w:before="92"/>
              <w:jc w:val="left"/>
              <w:rPr>
                <w:rFonts w:hint="eastAsia" w:cs="宋体"/>
                <w:color w:val="auto"/>
                <w:kern w:val="2"/>
                <w:sz w:val="24"/>
                <w:szCs w:val="24"/>
                <w:highlight w:val="none"/>
                <w:lang w:val="zh-CN" w:eastAsia="zh-CN" w:bidi="ar-SA"/>
              </w:rPr>
            </w:pPr>
            <w:r>
              <w:rPr>
                <w:rFonts w:hint="eastAsia" w:cs="宋体"/>
                <w:color w:val="auto"/>
                <w:kern w:val="2"/>
                <w:sz w:val="24"/>
                <w:szCs w:val="24"/>
                <w:highlight w:val="none"/>
                <w:lang w:val="en-US" w:eastAsia="zh-CN" w:bidi="ar-SA"/>
              </w:rPr>
              <w:t>根据企业</w:t>
            </w:r>
            <w:r>
              <w:rPr>
                <w:rFonts w:hint="eastAsia" w:cs="宋体"/>
                <w:color w:val="auto"/>
                <w:kern w:val="2"/>
                <w:sz w:val="24"/>
                <w:szCs w:val="24"/>
                <w:highlight w:val="none"/>
                <w:lang w:val="zh-CN" w:eastAsia="zh-CN" w:bidi="ar-SA"/>
              </w:rPr>
              <w:t>自身特色服务、自身优势、取得成绩的</w:t>
            </w:r>
            <w:r>
              <w:rPr>
                <w:rFonts w:hint="eastAsia" w:cs="宋体"/>
                <w:color w:val="auto"/>
                <w:kern w:val="2"/>
                <w:sz w:val="24"/>
                <w:szCs w:val="24"/>
                <w:highlight w:val="none"/>
                <w:lang w:val="en-US" w:eastAsia="zh-CN" w:bidi="ar-SA"/>
              </w:rPr>
              <w:t>优劣最优得4分，其它依次扣1分</w:t>
            </w:r>
            <w:r>
              <w:rPr>
                <w:rFonts w:hint="eastAsia" w:cs="宋体"/>
                <w:color w:val="auto"/>
                <w:kern w:val="2"/>
                <w:sz w:val="24"/>
                <w:szCs w:val="24"/>
                <w:highlight w:val="none"/>
                <w:lang w:val="zh-CN" w:eastAsia="zh-CN" w:bidi="ar-SA"/>
              </w:rPr>
              <w:t>。</w:t>
            </w:r>
          </w:p>
        </w:tc>
        <w:tc>
          <w:tcPr>
            <w:tcW w:w="2285" w:type="dxa"/>
            <w:noWrap w:val="0"/>
            <w:vAlign w:val="center"/>
          </w:tcPr>
          <w:p>
            <w:pPr>
              <w:pStyle w:val="81"/>
              <w:ind w:right="41"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相关</w:t>
            </w:r>
            <w:r>
              <w:rPr>
                <w:rFonts w:hint="eastAsia" w:cs="宋体"/>
                <w:color w:val="auto"/>
                <w:kern w:val="2"/>
                <w:sz w:val="24"/>
                <w:szCs w:val="24"/>
                <w:highlight w:val="none"/>
                <w:lang w:val="en-US" w:eastAsia="zh-CN" w:bidi="ar-SA"/>
              </w:rPr>
              <w:t>资料</w:t>
            </w:r>
          </w:p>
        </w:tc>
      </w:tr>
      <w:bookmarkEnd w:id="66"/>
    </w:tbl>
    <w:p>
      <w:pPr>
        <w:pStyle w:val="2"/>
        <w:jc w:val="both"/>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19.3.3.4、供应商最终得分等于商务得分</w:t>
      </w:r>
      <w:r>
        <w:rPr>
          <w:rFonts w:hint="eastAsia" w:ascii="宋体" w:hAnsi="宋体" w:cs="宋体"/>
          <w:color w:val="auto"/>
          <w:sz w:val="28"/>
          <w:szCs w:val="28"/>
          <w:highlight w:val="none"/>
          <w:lang w:val="en-US" w:eastAsia="zh-CN"/>
        </w:rPr>
        <w:t>+报价得分</w:t>
      </w:r>
      <w:r>
        <w:rPr>
          <w:rFonts w:hint="eastAsia" w:ascii="宋体" w:hAnsi="宋体" w:eastAsia="宋体" w:cs="宋体"/>
          <w:color w:val="auto"/>
          <w:sz w:val="28"/>
          <w:szCs w:val="28"/>
          <w:highlight w:val="none"/>
        </w:rPr>
        <w:t>。</w:t>
      </w:r>
    </w:p>
    <w:p>
      <w:pPr>
        <w:spacing w:line="360" w:lineRule="auto"/>
        <w:rPr>
          <w:rFonts w:hint="eastAsia"/>
          <w:color w:val="auto"/>
          <w:highlight w:val="none"/>
        </w:rPr>
        <w:sectPr>
          <w:pgSz w:w="11900" w:h="16840"/>
          <w:pgMar w:top="1440" w:right="1633" w:bottom="1440" w:left="1633" w:header="859" w:footer="980" w:gutter="0"/>
          <w:pgNumType w:fmt="decimal"/>
          <w:cols w:space="720" w:num="1"/>
        </w:sectPr>
      </w:pPr>
      <w:r>
        <w:rPr>
          <w:rFonts w:hint="eastAsia" w:ascii="宋体" w:hAnsi="宋体" w:eastAsia="宋体" w:cs="宋体"/>
          <w:color w:val="auto"/>
          <w:sz w:val="28"/>
          <w:szCs w:val="28"/>
          <w:highlight w:val="none"/>
        </w:rPr>
        <w:t>19.3.3.5、评标委员会按照供应商最终得分由高到低顺序确定出各供应商排名顺序。</w:t>
      </w:r>
    </w:p>
    <w:p>
      <w:pPr>
        <w:spacing w:line="440" w:lineRule="exact"/>
        <w:jc w:val="center"/>
        <w:outlineLvl w:val="1"/>
        <w:rPr>
          <w:rFonts w:hint="eastAsia" w:ascii="宋体" w:hAnsi="宋体" w:eastAsia="宋体" w:cs="宋体"/>
          <w:b/>
          <w:color w:val="auto"/>
          <w:sz w:val="28"/>
          <w:szCs w:val="28"/>
          <w:highlight w:val="none"/>
        </w:rPr>
      </w:pPr>
      <w:bookmarkStart w:id="67" w:name="_Toc1923"/>
      <w:r>
        <w:rPr>
          <w:rFonts w:hint="eastAsia" w:ascii="宋体" w:hAnsi="宋体" w:eastAsia="宋体" w:cs="宋体"/>
          <w:b/>
          <w:color w:val="auto"/>
          <w:sz w:val="28"/>
          <w:szCs w:val="28"/>
          <w:highlight w:val="none"/>
        </w:rPr>
        <w:t>六、定标</w:t>
      </w:r>
      <w:bookmarkEnd w:id="67"/>
    </w:p>
    <w:p>
      <w:pPr>
        <w:spacing w:line="440" w:lineRule="exact"/>
        <w:ind w:left="2" w:leftChars="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确定中标候选人的方式：按照供应商最终得分由高到低顺序确定出各供应商排名顺序确定出前三名作为中标候选人，由采购人在三家中标候选人中依次确定</w:t>
      </w:r>
      <w:r>
        <w:rPr>
          <w:rFonts w:hint="eastAsia" w:ascii="宋体" w:hAnsi="宋体" w:eastAsia="宋体" w:cs="宋体"/>
          <w:b/>
          <w:color w:val="auto"/>
          <w:sz w:val="28"/>
          <w:szCs w:val="28"/>
          <w:highlight w:val="none"/>
        </w:rPr>
        <w:t>中标人。</w:t>
      </w:r>
    </w:p>
    <w:p>
      <w:pPr>
        <w:spacing w:line="440" w:lineRule="exact"/>
        <w:ind w:left="2" w:leftChars="1"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20、中标通知书</w:t>
      </w:r>
    </w:p>
    <w:p>
      <w:pPr>
        <w:spacing w:line="440" w:lineRule="exact"/>
        <w:ind w:left="2" w:leftChars="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中标公示1个工作日内若无异议，采购人将以书面形式发出《中标通知书》。《中标通知书》将作为签订合同的依据。</w:t>
      </w:r>
    </w:p>
    <w:p>
      <w:pPr>
        <w:spacing w:line="440" w:lineRule="exact"/>
        <w:rPr>
          <w:rFonts w:hint="eastAsia" w:ascii="宋体" w:hAnsi="宋体" w:eastAsia="宋体" w:cs="宋体"/>
          <w:color w:val="auto"/>
          <w:sz w:val="28"/>
          <w:szCs w:val="28"/>
          <w:highlight w:val="none"/>
        </w:rPr>
      </w:pPr>
    </w:p>
    <w:bookmarkEnd w:id="62"/>
    <w:bookmarkEnd w:id="63"/>
    <w:bookmarkEnd w:id="64"/>
    <w:p>
      <w:pPr>
        <w:numPr>
          <w:ilvl w:val="0"/>
          <w:numId w:val="0"/>
        </w:numPr>
        <w:spacing w:line="440" w:lineRule="exact"/>
        <w:ind w:left="3493" w:leftChars="0"/>
        <w:outlineLvl w:val="1"/>
        <w:rPr>
          <w:rFonts w:hint="eastAsia" w:ascii="宋体" w:hAnsi="宋体" w:eastAsia="宋体" w:cs="宋体"/>
          <w:b/>
          <w:bCs/>
          <w:color w:val="auto"/>
          <w:sz w:val="28"/>
          <w:szCs w:val="28"/>
          <w:highlight w:val="none"/>
        </w:rPr>
      </w:pPr>
      <w:bookmarkStart w:id="68" w:name="_Toc5408"/>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合同签订</w:t>
      </w:r>
      <w:bookmarkEnd w:id="68"/>
    </w:p>
    <w:p>
      <w:pPr>
        <w:pStyle w:val="2"/>
        <w:ind w:firstLine="562" w:firstLineChars="2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21.合同签订</w:t>
      </w:r>
    </w:p>
    <w:p>
      <w:pPr>
        <w:spacing w:line="440" w:lineRule="exact"/>
        <w:ind w:left="2" w:leftChars="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21.1、签订合同前，采购人可对中标人的投标文件（含答复、补充文件）进行真实性查验，凡有虚假的，其中标无效，并依据有关规定给予违法违规处理。</w:t>
      </w:r>
    </w:p>
    <w:p>
      <w:pPr>
        <w:spacing w:line="440" w:lineRule="exact"/>
        <w:ind w:left="2" w:leftChars="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21.2、采购人与中标人应当在中标通知书发出之日起30日内，按照招标文件确定的合同文本以及采购标的、采购金额、采购数量、技术和服务要求等事项签订政府采购合同。</w:t>
      </w:r>
    </w:p>
    <w:p>
      <w:pPr>
        <w:spacing w:line="440" w:lineRule="exact"/>
        <w:ind w:left="2" w:leftChars="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21.3、本招标文件（含补充、修改文件）、中标人的投标文件（含答复、补充文件）均为签订合同的依据。</w:t>
      </w:r>
    </w:p>
    <w:p>
      <w:pPr>
        <w:spacing w:line="440" w:lineRule="exact"/>
        <w:ind w:left="2" w:leftChars="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21.4、采购人不得向中标人提出任何不合理的要求，作为签订合同的条件；不得与中标人私下订立背离合同实质性内容的协议。</w:t>
      </w:r>
    </w:p>
    <w:p>
      <w:pPr>
        <w:spacing w:line="440" w:lineRule="exact"/>
        <w:ind w:left="2" w:leftChars="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21.5、中标人因不可抗力或自身原因不能签订招标合同或者不能履行合同的，采购人可以按中标候选顺序依次递进确定新的中标人并签订合同，以此类推，或重新进行招标。</w:t>
      </w:r>
    </w:p>
    <w:p>
      <w:pPr>
        <w:spacing w:line="440" w:lineRule="exact"/>
        <w:ind w:left="2" w:leftChars="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21.6、采购人在授予合同时有权对本招标文件规定的服务予以适当的增加或减少，可以根据实际情况规定处罚或奖励条件，但不得改变单价或其他条款和条件。</w:t>
      </w:r>
    </w:p>
    <w:p>
      <w:pPr>
        <w:spacing w:line="440" w:lineRule="exact"/>
        <w:ind w:left="2" w:leftChars="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21.7、除本招标文件另有规定外，中标人应当按照合同约定履行义务，完成中标项目，不得将中标项目转让给他人，也不得将中标项目进行分包转让。</w:t>
      </w:r>
    </w:p>
    <w:p>
      <w:pPr>
        <w:numPr>
          <w:ilvl w:val="1"/>
          <w:numId w:val="0"/>
        </w:numPr>
        <w:tabs>
          <w:tab w:val="left" w:pos="1260"/>
          <w:tab w:val="left" w:pos="1380"/>
        </w:tabs>
        <w:spacing w:line="440" w:lineRule="exact"/>
        <w:jc w:val="center"/>
        <w:outlineLvl w:val="9"/>
        <w:rPr>
          <w:rFonts w:hint="eastAsia" w:ascii="宋体" w:hAnsi="宋体" w:eastAsia="宋体" w:cs="宋体"/>
          <w:b/>
          <w:bCs/>
          <w:color w:val="auto"/>
          <w:w w:val="100"/>
          <w:sz w:val="28"/>
          <w:szCs w:val="28"/>
          <w:highlight w:val="none"/>
        </w:rPr>
      </w:pPr>
      <w:bookmarkStart w:id="69" w:name="_Toc374356193"/>
      <w:bookmarkStart w:id="70" w:name="_Toc227423926"/>
    </w:p>
    <w:p>
      <w:pPr>
        <w:numPr>
          <w:ilvl w:val="1"/>
          <w:numId w:val="0"/>
        </w:numPr>
        <w:tabs>
          <w:tab w:val="left" w:pos="1260"/>
          <w:tab w:val="left" w:pos="1380"/>
        </w:tabs>
        <w:spacing w:line="440" w:lineRule="exact"/>
        <w:jc w:val="center"/>
        <w:outlineLvl w:val="9"/>
        <w:rPr>
          <w:rFonts w:hint="eastAsia" w:ascii="宋体" w:hAnsi="宋体" w:eastAsia="宋体" w:cs="宋体"/>
          <w:b/>
          <w:bCs/>
          <w:color w:val="auto"/>
          <w:w w:val="100"/>
          <w:sz w:val="28"/>
          <w:szCs w:val="28"/>
          <w:highlight w:val="none"/>
        </w:rPr>
      </w:pPr>
    </w:p>
    <w:p>
      <w:pPr>
        <w:numPr>
          <w:ilvl w:val="1"/>
          <w:numId w:val="0"/>
        </w:numPr>
        <w:tabs>
          <w:tab w:val="left" w:pos="1260"/>
          <w:tab w:val="left" w:pos="1380"/>
        </w:tabs>
        <w:spacing w:line="440" w:lineRule="exact"/>
        <w:jc w:val="center"/>
        <w:outlineLvl w:val="1"/>
        <w:rPr>
          <w:rFonts w:hint="eastAsia" w:ascii="宋体" w:hAnsi="宋体" w:eastAsia="宋体" w:cs="宋体"/>
          <w:b/>
          <w:bCs/>
          <w:color w:val="auto"/>
          <w:w w:val="100"/>
          <w:sz w:val="28"/>
          <w:szCs w:val="28"/>
          <w:highlight w:val="none"/>
        </w:rPr>
      </w:pPr>
      <w:bookmarkStart w:id="71" w:name="_Toc30520"/>
      <w:r>
        <w:rPr>
          <w:rFonts w:hint="eastAsia" w:ascii="宋体" w:hAnsi="宋体" w:eastAsia="宋体" w:cs="宋体"/>
          <w:b/>
          <w:bCs/>
          <w:color w:val="auto"/>
          <w:w w:val="100"/>
          <w:sz w:val="28"/>
          <w:szCs w:val="28"/>
          <w:highlight w:val="none"/>
        </w:rPr>
        <w:t>八、质疑与投诉</w:t>
      </w:r>
      <w:bookmarkEnd w:id="69"/>
      <w:bookmarkEnd w:id="70"/>
      <w:bookmarkEnd w:id="71"/>
    </w:p>
    <w:p>
      <w:pPr>
        <w:spacing w:line="44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22、质疑</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22.1 询问人、 质疑人必须是拟参与本次采购活动的投标人。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22.2 对招标内容有异议的，自招标公告发布后，潜在供应商根据招标内容，在取得招标文件后，可对招标文件提出询问或者质疑；未报名及未取得招标文件的，不得提出询问或者质疑；投标资质审查不合格的投标人，不得对招标结果提出询问或者质疑；投标截止期前7日，停止接受询问或者质疑。在开标评标过程中，凡招标方或评委委员会明确提出须由投标人确认的事项，且投标人当场确认无异议的，不得再提出与之相关的询问或者质疑。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22.3 供应商认为采购文件、采购过程和中标、成交结果使自己的权益受到损害的，可以在知道或者应知其权益受到损害之日起七个工作日内，以书面形式向采购人提出质疑。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供应商应知其权益受到损害之日，是指：</w:t>
      </w:r>
    </w:p>
    <w:p>
      <w:pPr>
        <w:numPr>
          <w:ilvl w:val="0"/>
          <w:numId w:val="5"/>
        </w:num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对可以质疑的采购文件提出质疑的，为收到采购文件之日或者采购文件公告期限届满之日。</w:t>
      </w:r>
    </w:p>
    <w:p>
      <w:pPr>
        <w:numPr>
          <w:ilvl w:val="0"/>
          <w:numId w:val="5"/>
        </w:num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对采购过程提出质疑的，为各采购程序环节结束之日。</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（三）对中标或者成交结果提出质疑的，为中标或者成交结果公告期限届满之日。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22.4 对中标公告有异议的，在中标公告发布之日起七个工作日内，以书面形式并加盖公章和法定代表人签字向招标方提出质疑。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22.5 提出质疑时，必须按照“实事求是”、“谁主张，谁举证”的原则，提供相关证明材料，不能主观臆测。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质疑函采用实名制，不得进行虚假、恶意质疑。质疑人应在质疑有效期内提交《质疑函》，质疑函内容应包括质疑人相关信息、质疑事项、事实依据、适应法规条款、佐证材料等。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22.6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22.7 证明材料要具备客观性、关联性、合法性，无法查实的（如宣传册、媒体报道、猜测、竞争性磋商文件推理等）不能作为证明材料。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22.8 对不能提供相关证是材料的、涉及商业秘密的、非书面形式送达的、匿名的质疑将不予受理。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22.9 对于有关资质要求、技术参数存在限制性、倾向性条款的及付款方式等方面的质疑，可在规定的时间内直接向采购单位提出并抄送招标方。</w:t>
      </w:r>
    </w:p>
    <w:p>
      <w:pPr>
        <w:spacing w:line="44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23、投诉</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23.1、质疑供应商对招标单位的答复不满意或者招标单位未在规定时间内答复的，可以在答复期满后七个工作日内按有关规定，向主管部门投诉。</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23.2、处理投诉事项期间，暂停签订合同等活动，但暂停时间最长不得超过三十日。</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23.4、供应商投诉实行实名制，其投诉应当有具体的投诉事项及事实根据，不得进行虚假、恶意投诉。</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23.5、投诉人提起投诉应当符合下列条件：</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（一）投诉人是参与所投诉招标活动的供应商；</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（二）提起投诉前已依法进行质疑；</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（三）投诉书内容符合招标文件的规定；</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（四）在投诉有效期限内提起投诉；</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23.6、投诉人有下列情形之一的，属于虚假、恶意投诉，采购人应当驳回投诉，将其列入不良行为记录名单：</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（一）一年内三次以上投诉均查无实据的；</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（二）捏造事实或者提供虚假投诉材料的。</w:t>
      </w:r>
      <w:bookmarkStart w:id="72" w:name="_Toc374356200"/>
      <w:bookmarkStart w:id="73" w:name="_Toc374356199"/>
      <w:bookmarkStart w:id="74" w:name="_Toc301273125"/>
      <w:bookmarkStart w:id="75" w:name="_Toc227520434"/>
    </w:p>
    <w:bookmarkEnd w:id="72"/>
    <w:bookmarkEnd w:id="73"/>
    <w:bookmarkEnd w:id="74"/>
    <w:p>
      <w:pPr>
        <w:widowControl/>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pPr>
        <w:pStyle w:val="3"/>
        <w:spacing w:line="400" w:lineRule="exact"/>
        <w:jc w:val="center"/>
        <w:rPr>
          <w:rFonts w:hint="eastAsia" w:ascii="宋体" w:hAnsi="宋体" w:eastAsia="宋体" w:cs="宋体"/>
          <w:color w:val="auto"/>
          <w:sz w:val="32"/>
          <w:szCs w:val="32"/>
          <w:highlight w:val="none"/>
        </w:rPr>
      </w:pPr>
      <w:bookmarkStart w:id="76" w:name="_Toc28691"/>
      <w:r>
        <w:rPr>
          <w:rFonts w:hint="eastAsia" w:ascii="宋体" w:hAnsi="宋体" w:eastAsia="宋体" w:cs="宋体"/>
          <w:color w:val="auto"/>
          <w:sz w:val="32"/>
          <w:szCs w:val="32"/>
          <w:highlight w:val="none"/>
        </w:rPr>
        <w:t>第二章合同条款</w:t>
      </w:r>
      <w:bookmarkEnd w:id="76"/>
    </w:p>
    <w:p>
      <w:pPr>
        <w:spacing w:line="360" w:lineRule="auto"/>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中标后另行签订</w:t>
      </w:r>
    </w:p>
    <w:bookmarkEnd w:id="75"/>
    <w:p>
      <w:pPr>
        <w:rPr>
          <w:rFonts w:hint="eastAsia" w:ascii="宋体" w:hAnsi="宋体" w:eastAsia="宋体" w:cs="宋体"/>
          <w:b/>
          <w:bCs/>
          <w:color w:val="auto"/>
          <w:sz w:val="32"/>
          <w:szCs w:val="32"/>
          <w:highlight w:val="none"/>
        </w:rPr>
      </w:pPr>
      <w:bookmarkStart w:id="77" w:name="_Toc374356201"/>
      <w:bookmarkStart w:id="78" w:name="_Toc297185422"/>
      <w:bookmarkStart w:id="79" w:name="_Toc216775388"/>
      <w:bookmarkStart w:id="80" w:name="_Toc227520435"/>
      <w:r>
        <w:rPr>
          <w:rFonts w:hint="eastAsia" w:ascii="宋体" w:hAnsi="宋体" w:eastAsia="宋体" w:cs="宋体"/>
          <w:b/>
          <w:bCs/>
          <w:color w:val="auto"/>
          <w:sz w:val="32"/>
          <w:szCs w:val="32"/>
          <w:highlight w:val="none"/>
        </w:rPr>
        <w:br w:type="page"/>
      </w:r>
    </w:p>
    <w:p>
      <w:pPr>
        <w:spacing w:line="440" w:lineRule="exact"/>
        <w:jc w:val="center"/>
        <w:outlineLvl w:val="0"/>
        <w:rPr>
          <w:rFonts w:hint="eastAsia" w:ascii="宋体" w:hAnsi="宋体" w:eastAsia="宋体" w:cs="宋体"/>
          <w:b/>
          <w:bCs/>
          <w:color w:val="auto"/>
          <w:sz w:val="32"/>
          <w:szCs w:val="32"/>
          <w:highlight w:val="none"/>
        </w:rPr>
      </w:pPr>
      <w:bookmarkStart w:id="81" w:name="_Toc10316"/>
      <w:r>
        <w:rPr>
          <w:rFonts w:hint="eastAsia" w:ascii="宋体" w:hAnsi="宋体" w:eastAsia="宋体" w:cs="宋体"/>
          <w:b/>
          <w:bCs/>
          <w:color w:val="auto"/>
          <w:sz w:val="32"/>
          <w:szCs w:val="32"/>
          <w:highlight w:val="none"/>
        </w:rPr>
        <w:t>第三章 服务内容及要求</w:t>
      </w:r>
      <w:bookmarkEnd w:id="81"/>
    </w:p>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一、服务内容及标准：</w:t>
      </w:r>
    </w:p>
    <w:p>
      <w:pPr>
        <w:widowControl/>
        <w:spacing w:line="360" w:lineRule="auto"/>
        <w:jc w:val="left"/>
        <w:outlineLvl w:val="9"/>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为大于等于</w:t>
      </w:r>
      <w:r>
        <w:rPr>
          <w:rFonts w:hint="eastAsia" w:ascii="宋体" w:hAnsi="宋体" w:eastAsia="宋体" w:cs="宋体"/>
          <w:color w:val="auto"/>
          <w:sz w:val="28"/>
          <w:szCs w:val="28"/>
          <w:highlight w:val="none"/>
          <w:lang w:val="en-US" w:eastAsia="zh-CN"/>
        </w:rPr>
        <w:t>300</w:t>
      </w:r>
      <w:r>
        <w:rPr>
          <w:rFonts w:hint="eastAsia" w:ascii="宋体" w:hAnsi="宋体" w:eastAsia="宋体" w:cs="宋体"/>
          <w:color w:val="auto"/>
          <w:sz w:val="28"/>
          <w:szCs w:val="28"/>
          <w:highlight w:val="none"/>
        </w:rPr>
        <w:t>名</w:t>
      </w:r>
      <w:r>
        <w:rPr>
          <w:rFonts w:hint="eastAsia" w:ascii="宋体" w:hAnsi="宋体" w:eastAsia="宋体" w:cs="宋体"/>
          <w:color w:val="auto"/>
          <w:sz w:val="28"/>
          <w:szCs w:val="28"/>
          <w:highlight w:val="none"/>
          <w:lang w:val="en-US" w:eastAsia="zh-CN"/>
        </w:rPr>
        <w:t>成人肢体残疾人</w:t>
      </w:r>
      <w:r>
        <w:rPr>
          <w:rFonts w:hint="eastAsia" w:ascii="宋体" w:hAnsi="宋体" w:eastAsia="宋体" w:cs="宋体"/>
          <w:color w:val="auto"/>
          <w:sz w:val="28"/>
          <w:szCs w:val="28"/>
          <w:highlight w:val="none"/>
        </w:rPr>
        <w:t>提供</w:t>
      </w:r>
      <w:r>
        <w:rPr>
          <w:rFonts w:hint="eastAsia" w:ascii="宋体" w:hAnsi="宋体" w:eastAsia="宋体" w:cs="宋体"/>
          <w:color w:val="auto"/>
          <w:sz w:val="28"/>
          <w:szCs w:val="28"/>
          <w:highlight w:val="none"/>
          <w:lang w:eastAsia="zh-CN"/>
        </w:rPr>
        <w:t>康复服务，</w:t>
      </w:r>
      <w:r>
        <w:rPr>
          <w:rFonts w:hint="eastAsia" w:ascii="宋体" w:hAnsi="宋体" w:eastAsia="宋体" w:cs="宋体"/>
          <w:color w:val="auto"/>
          <w:kern w:val="0"/>
          <w:sz w:val="28"/>
          <w:szCs w:val="28"/>
          <w:highlight w:val="none"/>
        </w:rPr>
        <w:t>内容包括</w:t>
      </w:r>
      <w:r>
        <w:rPr>
          <w:rFonts w:hint="eastAsia" w:ascii="宋体" w:hAnsi="宋体" w:eastAsia="宋体" w:cs="宋体"/>
          <w:color w:val="auto"/>
          <w:sz w:val="28"/>
          <w:szCs w:val="28"/>
          <w:highlight w:val="none"/>
        </w:rPr>
        <w:t>康复评估，推拿理疗，康复训练，家庭康复指导，重度残疾人入户康复，社区康复，建立康复档案与提供资料等服务采购。</w:t>
      </w:r>
    </w:p>
    <w:p>
      <w:pPr>
        <w:numPr>
          <w:ilvl w:val="0"/>
          <w:numId w:val="0"/>
        </w:numPr>
        <w:spacing w:line="360" w:lineRule="auto"/>
        <w:ind w:left="210" w:leftChars="0"/>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、基本条件</w:t>
      </w:r>
    </w:p>
    <w:p>
      <w:pPr>
        <w:spacing w:line="360" w:lineRule="auto"/>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日均</w:t>
      </w:r>
      <w:r>
        <w:rPr>
          <w:rFonts w:hint="eastAsia" w:ascii="宋体" w:hAnsi="宋体" w:eastAsia="宋体" w:cs="宋体"/>
          <w:color w:val="auto"/>
          <w:sz w:val="28"/>
          <w:szCs w:val="28"/>
          <w:highlight w:val="none"/>
          <w:lang w:eastAsia="zh-CN"/>
        </w:rPr>
        <w:t>康复</w:t>
      </w:r>
      <w:r>
        <w:rPr>
          <w:rFonts w:hint="eastAsia" w:ascii="宋体" w:hAnsi="宋体" w:eastAsia="宋体" w:cs="宋体"/>
          <w:color w:val="auto"/>
          <w:sz w:val="28"/>
          <w:szCs w:val="28"/>
          <w:highlight w:val="none"/>
        </w:rPr>
        <w:t>能力</w:t>
      </w:r>
      <w:r>
        <w:rPr>
          <w:rFonts w:hint="eastAsia" w:ascii="宋体" w:hAnsi="宋体" w:eastAsia="宋体" w:cs="宋体"/>
          <w:color w:val="auto"/>
          <w:sz w:val="28"/>
          <w:szCs w:val="28"/>
          <w:highlight w:val="none"/>
          <w:lang w:eastAsia="zh-CN"/>
        </w:rPr>
        <w:t>大于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0</w:t>
      </w:r>
      <w:r>
        <w:rPr>
          <w:rFonts w:hint="eastAsia" w:ascii="宋体" w:hAnsi="宋体" w:eastAsia="宋体" w:cs="宋体"/>
          <w:color w:val="auto"/>
          <w:sz w:val="28"/>
          <w:szCs w:val="28"/>
          <w:highlight w:val="none"/>
          <w:lang w:eastAsia="zh-CN"/>
        </w:rPr>
        <w:t>人次</w:t>
      </w:r>
      <w:r>
        <w:rPr>
          <w:rFonts w:hint="eastAsia" w:ascii="宋体" w:hAnsi="宋体" w:eastAsia="宋体" w:cs="宋体"/>
          <w:color w:val="auto"/>
          <w:sz w:val="28"/>
          <w:szCs w:val="28"/>
          <w:highlight w:val="none"/>
        </w:rPr>
        <w:t>。</w:t>
      </w:r>
    </w:p>
    <w:p>
      <w:pPr>
        <w:spacing w:line="360" w:lineRule="auto"/>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室内布局合理，环境舒适，有独立检查室且配有</w:t>
      </w:r>
      <w:r>
        <w:rPr>
          <w:rFonts w:hint="eastAsia" w:ascii="宋体" w:hAnsi="宋体" w:eastAsia="宋体" w:cs="宋体"/>
          <w:color w:val="auto"/>
          <w:sz w:val="28"/>
          <w:szCs w:val="28"/>
          <w:highlight w:val="none"/>
          <w:lang w:eastAsia="zh-CN"/>
        </w:rPr>
        <w:t>观</w:t>
      </w:r>
      <w:r>
        <w:rPr>
          <w:rFonts w:hint="eastAsia" w:ascii="宋体" w:hAnsi="宋体" w:eastAsia="宋体" w:cs="宋体"/>
          <w:color w:val="auto"/>
          <w:sz w:val="28"/>
          <w:szCs w:val="28"/>
          <w:highlight w:val="none"/>
        </w:rPr>
        <w:t>片灯，血压计，人体秤，血糖仪等必要检查设备。</w:t>
      </w:r>
    </w:p>
    <w:p>
      <w:pPr>
        <w:numPr>
          <w:ilvl w:val="0"/>
          <w:numId w:val="0"/>
        </w:numPr>
        <w:spacing w:line="360" w:lineRule="auto"/>
        <w:ind w:leftChars="0"/>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检诊室</w:t>
      </w:r>
      <w:r>
        <w:rPr>
          <w:rFonts w:hint="eastAsia" w:ascii="宋体" w:hAnsi="宋体" w:eastAsia="宋体" w:cs="宋体"/>
          <w:color w:val="auto"/>
          <w:sz w:val="28"/>
          <w:szCs w:val="28"/>
          <w:highlight w:val="none"/>
        </w:rPr>
        <w:t>至少</w:t>
      </w:r>
      <w:r>
        <w:rPr>
          <w:rFonts w:hint="eastAsia" w:ascii="宋体" w:hAnsi="宋体" w:eastAsia="宋体" w:cs="宋体"/>
          <w:color w:val="auto"/>
          <w:sz w:val="28"/>
          <w:szCs w:val="28"/>
          <w:highlight w:val="none"/>
          <w:lang w:val="en-US"/>
        </w:rPr>
        <w:t>1</w:t>
      </w:r>
      <w:r>
        <w:rPr>
          <w:rFonts w:hint="eastAsia" w:ascii="宋体" w:hAnsi="宋体" w:eastAsia="宋体" w:cs="宋体"/>
          <w:color w:val="auto"/>
          <w:sz w:val="28"/>
          <w:szCs w:val="28"/>
          <w:highlight w:val="none"/>
        </w:rPr>
        <w:t>间，</w:t>
      </w:r>
      <w:r>
        <w:rPr>
          <w:rFonts w:hint="eastAsia" w:ascii="宋体" w:hAnsi="宋体" w:cs="宋体"/>
          <w:color w:val="auto"/>
          <w:sz w:val="28"/>
          <w:szCs w:val="28"/>
          <w:highlight w:val="none"/>
          <w:lang w:eastAsia="zh-CN"/>
        </w:rPr>
        <w:t>面积</w:t>
      </w:r>
      <w:r>
        <w:rPr>
          <w:rFonts w:hint="eastAsia" w:ascii="宋体" w:hAnsi="宋体" w:eastAsia="宋体" w:cs="宋体"/>
          <w:color w:val="auto"/>
          <w:sz w:val="28"/>
          <w:szCs w:val="28"/>
          <w:highlight w:val="none"/>
        </w:rPr>
        <w:t>至少</w:t>
      </w:r>
      <w:r>
        <w:rPr>
          <w:rFonts w:hint="eastAsia" w:ascii="宋体" w:hAnsi="宋体" w:eastAsia="宋体" w:cs="宋体"/>
          <w:color w:val="auto"/>
          <w:sz w:val="28"/>
          <w:szCs w:val="28"/>
          <w:highlight w:val="none"/>
          <w:lang w:val="en-US"/>
        </w:rPr>
        <w:t>20</w:t>
      </w:r>
      <w:r>
        <w:rPr>
          <w:rFonts w:hint="eastAsia" w:ascii="宋体" w:hAnsi="宋体" w:eastAsia="宋体" w:cs="宋体"/>
          <w:color w:val="auto"/>
          <w:sz w:val="28"/>
          <w:szCs w:val="28"/>
          <w:highlight w:val="none"/>
        </w:rPr>
        <w:t>平方米。</w:t>
      </w:r>
    </w:p>
    <w:p>
      <w:pPr>
        <w:numPr>
          <w:ilvl w:val="0"/>
          <w:numId w:val="0"/>
        </w:numPr>
        <w:spacing w:line="360" w:lineRule="auto"/>
        <w:ind w:leftChars="0"/>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各类治疗室不少于</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间，床位不少于30张。</w:t>
      </w:r>
    </w:p>
    <w:p>
      <w:pPr>
        <w:numPr>
          <w:ilvl w:val="0"/>
          <w:numId w:val="0"/>
        </w:numPr>
        <w:spacing w:line="360" w:lineRule="auto"/>
        <w:ind w:leftChars="0"/>
        <w:outlineLvl w:val="9"/>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训练室不少于两间</w:t>
      </w:r>
      <w:r>
        <w:rPr>
          <w:rFonts w:hint="eastAsia" w:ascii="宋体" w:hAnsi="宋体" w:cs="宋体"/>
          <w:color w:val="auto"/>
          <w:sz w:val="28"/>
          <w:szCs w:val="28"/>
          <w:highlight w:val="none"/>
          <w:lang w:eastAsia="zh-CN"/>
        </w:rPr>
        <w:t>，训练设备不少于</w:t>
      </w:r>
      <w:r>
        <w:rPr>
          <w:rFonts w:hint="eastAsia" w:ascii="宋体" w:hAnsi="宋体" w:cs="宋体"/>
          <w:color w:val="auto"/>
          <w:sz w:val="28"/>
          <w:szCs w:val="28"/>
          <w:highlight w:val="none"/>
          <w:lang w:val="en-US" w:eastAsia="zh-CN"/>
        </w:rPr>
        <w:t>15种</w:t>
      </w:r>
      <w:r>
        <w:rPr>
          <w:rFonts w:hint="eastAsia" w:ascii="宋体" w:hAnsi="宋体" w:eastAsia="宋体" w:cs="宋体"/>
          <w:color w:val="auto"/>
          <w:sz w:val="28"/>
          <w:szCs w:val="28"/>
          <w:highlight w:val="none"/>
        </w:rPr>
        <w:t>。</w:t>
      </w:r>
    </w:p>
    <w:p>
      <w:pPr>
        <w:numPr>
          <w:ilvl w:val="0"/>
          <w:numId w:val="0"/>
        </w:numPr>
        <w:spacing w:line="360" w:lineRule="auto"/>
        <w:ind w:leftChars="0"/>
        <w:outlineLvl w:val="9"/>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有专用理疗室，且设备不少于10种30台。</w:t>
      </w:r>
    </w:p>
    <w:p>
      <w:pPr>
        <w:numPr>
          <w:ilvl w:val="0"/>
          <w:numId w:val="0"/>
        </w:numPr>
        <w:spacing w:line="360" w:lineRule="auto"/>
        <w:ind w:leftChars="0"/>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无障碍设施齐全。</w:t>
      </w:r>
    </w:p>
    <w:p>
      <w:pPr>
        <w:numPr>
          <w:ilvl w:val="0"/>
          <w:numId w:val="0"/>
        </w:numPr>
        <w:spacing w:line="360" w:lineRule="auto"/>
        <w:ind w:leftChars="0"/>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有可利用的户外活动场地和室内运动场馆。</w:t>
      </w:r>
    </w:p>
    <w:p>
      <w:pPr>
        <w:numPr>
          <w:ilvl w:val="0"/>
          <w:numId w:val="0"/>
        </w:numPr>
        <w:spacing w:line="360" w:lineRule="auto"/>
        <w:ind w:leftChars="0"/>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符合国家消防、卫生等相关规定和要求。</w:t>
      </w:r>
    </w:p>
    <w:p>
      <w:pPr>
        <w:spacing w:line="360" w:lineRule="auto"/>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训练室：</w:t>
      </w:r>
      <w:r>
        <w:rPr>
          <w:rFonts w:hint="eastAsia" w:ascii="宋体" w:hAnsi="宋体" w:eastAsia="宋体" w:cs="宋体"/>
          <w:color w:val="auto"/>
          <w:kern w:val="2"/>
          <w:sz w:val="28"/>
          <w:szCs w:val="28"/>
          <w:highlight w:val="none"/>
          <w:lang w:val="en-US" w:eastAsia="zh-CN" w:bidi="ar-SA"/>
        </w:rPr>
        <w:t>配备 PT 软垫、上下肢训练器、功率车、平衡杠、阶梯、电动站立床、液压脚踏训练器、</w:t>
      </w:r>
      <w:r>
        <w:rPr>
          <w:rFonts w:hint="eastAsia" w:ascii="宋体" w:hAnsi="宋体" w:eastAsia="宋体" w:cs="宋体"/>
          <w:b w:val="0"/>
          <w:bCs w:val="0"/>
          <w:color w:val="auto"/>
          <w:sz w:val="28"/>
          <w:szCs w:val="28"/>
          <w:highlight w:val="none"/>
          <w:vertAlign w:val="baseline"/>
          <w:lang w:eastAsia="zh-CN"/>
        </w:rPr>
        <w:t>步态训练器、</w:t>
      </w:r>
      <w:r>
        <w:rPr>
          <w:rFonts w:hint="eastAsia" w:ascii="宋体" w:hAnsi="宋体" w:eastAsia="宋体" w:cs="宋体"/>
          <w:color w:val="auto"/>
          <w:kern w:val="2"/>
          <w:sz w:val="28"/>
          <w:szCs w:val="28"/>
          <w:highlight w:val="none"/>
          <w:lang w:val="en-US" w:eastAsia="zh-CN" w:bidi="ar-SA"/>
        </w:rPr>
        <w:t>肋木等相关训练器材</w:t>
      </w:r>
      <w:r>
        <w:rPr>
          <w:rFonts w:hint="eastAsia" w:ascii="宋体" w:hAnsi="宋体" w:eastAsia="宋体" w:cs="宋体"/>
          <w:color w:val="auto"/>
          <w:sz w:val="28"/>
          <w:szCs w:val="28"/>
          <w:highlight w:val="none"/>
        </w:rPr>
        <w:t>。</w:t>
      </w:r>
    </w:p>
    <w:p>
      <w:pPr>
        <w:spacing w:line="360" w:lineRule="auto"/>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rPr>
        <w:t>康复设备：</w:t>
      </w:r>
      <w:r>
        <w:rPr>
          <w:rFonts w:hint="eastAsia" w:ascii="宋体" w:hAnsi="宋体" w:eastAsia="宋体" w:cs="宋体"/>
          <w:color w:val="auto"/>
          <w:sz w:val="28"/>
          <w:szCs w:val="28"/>
          <w:highlight w:val="none"/>
          <w:lang w:eastAsia="zh-CN"/>
        </w:rPr>
        <w:t>中药离子导入、超短波、微波、中、低频、</w:t>
      </w:r>
      <w:r>
        <w:rPr>
          <w:rFonts w:hint="eastAsia" w:ascii="宋体" w:hAnsi="宋体" w:eastAsia="宋体" w:cs="宋体"/>
          <w:b w:val="0"/>
          <w:bCs w:val="0"/>
          <w:color w:val="auto"/>
          <w:sz w:val="28"/>
          <w:szCs w:val="28"/>
          <w:highlight w:val="none"/>
          <w:vertAlign w:val="baseline"/>
          <w:lang w:eastAsia="zh-CN"/>
        </w:rPr>
        <w:t>微电脑治疗仪、脑电仿生电刺激仪、神经肌肉刺激仪、</w:t>
      </w:r>
      <w:r>
        <w:rPr>
          <w:rFonts w:hint="eastAsia" w:ascii="宋体" w:hAnsi="宋体" w:eastAsia="宋体" w:cs="宋体"/>
          <w:color w:val="auto"/>
          <w:sz w:val="28"/>
          <w:szCs w:val="28"/>
          <w:highlight w:val="none"/>
          <w:lang w:eastAsia="zh-CN"/>
        </w:rPr>
        <w:t>TDP等</w:t>
      </w:r>
      <w:r>
        <w:rPr>
          <w:rFonts w:hint="eastAsia" w:ascii="宋体" w:hAnsi="宋体" w:eastAsia="宋体" w:cs="宋体"/>
          <w:color w:val="auto"/>
          <w:kern w:val="2"/>
          <w:sz w:val="28"/>
          <w:szCs w:val="28"/>
          <w:highlight w:val="none"/>
          <w:lang w:val="en-US" w:eastAsia="zh-CN" w:bidi="ar-SA"/>
        </w:rPr>
        <w:t>专业化理疗设备</w:t>
      </w:r>
      <w:r>
        <w:rPr>
          <w:rFonts w:hint="eastAsia" w:ascii="宋体" w:hAnsi="宋体" w:eastAsia="宋体" w:cs="宋体"/>
          <w:color w:val="auto"/>
          <w:sz w:val="28"/>
          <w:szCs w:val="28"/>
          <w:highlight w:val="none"/>
        </w:rPr>
        <w:t>。</w:t>
      </w:r>
    </w:p>
    <w:p>
      <w:pPr>
        <w:pStyle w:val="2"/>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康复人员</w:t>
      </w:r>
      <w:r>
        <w:rPr>
          <w:rFonts w:hint="eastAsia" w:ascii="宋体" w:hAnsi="宋体" w:eastAsia="宋体" w:cs="宋体"/>
          <w:color w:val="auto"/>
          <w:kern w:val="2"/>
          <w:sz w:val="28"/>
          <w:szCs w:val="28"/>
          <w:highlight w:val="none"/>
          <w:lang w:val="en-US" w:eastAsia="zh-CN" w:bidi="ar-SA"/>
        </w:rPr>
        <w:t>具有康复、医疗、护理、按摩等专业资格证或上岗证。</w:t>
      </w:r>
    </w:p>
    <w:p>
      <w:pPr>
        <w:spacing w:line="360" w:lineRule="auto"/>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三</w:t>
      </w:r>
      <w:r>
        <w:rPr>
          <w:rFonts w:hint="eastAsia" w:ascii="宋体" w:hAnsi="宋体" w:eastAsia="宋体" w:cs="宋体"/>
          <w:b/>
          <w:bCs/>
          <w:color w:val="auto"/>
          <w:sz w:val="28"/>
          <w:szCs w:val="28"/>
          <w:highlight w:val="none"/>
        </w:rPr>
        <w:t>、服务流程</w:t>
      </w:r>
    </w:p>
    <w:p>
      <w:pPr>
        <w:spacing w:line="360" w:lineRule="auto"/>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康复咨询与评估，包括咨询、</w:t>
      </w:r>
      <w:r>
        <w:rPr>
          <w:rFonts w:hint="eastAsia" w:ascii="宋体" w:hAnsi="宋体" w:eastAsia="宋体" w:cs="宋体"/>
          <w:color w:val="auto"/>
          <w:sz w:val="28"/>
          <w:szCs w:val="28"/>
          <w:highlight w:val="none"/>
          <w:lang w:eastAsia="zh-CN"/>
        </w:rPr>
        <w:t>检诊</w:t>
      </w:r>
      <w:r>
        <w:rPr>
          <w:rFonts w:hint="eastAsia" w:ascii="宋体" w:hAnsi="宋体" w:eastAsia="宋体" w:cs="宋体"/>
          <w:color w:val="auto"/>
          <w:sz w:val="28"/>
          <w:szCs w:val="28"/>
          <w:highlight w:val="none"/>
        </w:rPr>
        <w:t>和建立康复档案。</w:t>
      </w:r>
    </w:p>
    <w:p>
      <w:pPr>
        <w:spacing w:line="360" w:lineRule="auto"/>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制定康复计划</w:t>
      </w:r>
      <w:r>
        <w:rPr>
          <w:rFonts w:hint="eastAsia" w:ascii="宋体" w:hAnsi="宋体" w:eastAsia="宋体" w:cs="宋体"/>
          <w:color w:val="auto"/>
          <w:sz w:val="28"/>
          <w:szCs w:val="28"/>
          <w:highlight w:val="none"/>
        </w:rPr>
        <w:t>。</w:t>
      </w:r>
    </w:p>
    <w:p>
      <w:pPr>
        <w:spacing w:line="360" w:lineRule="auto"/>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个性化康复计划实施，包括推拿、牵引、理疗、灸疗、中药外敷、足疗及针对性器械训练和中医拉伸</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功法等</w:t>
      </w:r>
      <w:r>
        <w:rPr>
          <w:rFonts w:hint="eastAsia" w:ascii="宋体" w:hAnsi="宋体" w:cs="宋体"/>
          <w:color w:val="auto"/>
          <w:sz w:val="28"/>
          <w:szCs w:val="28"/>
          <w:highlight w:val="none"/>
          <w:lang w:eastAsia="zh-CN"/>
        </w:rPr>
        <w:t>康复方法</w:t>
      </w:r>
      <w:r>
        <w:rPr>
          <w:rFonts w:hint="eastAsia" w:ascii="宋体" w:hAnsi="宋体" w:eastAsia="宋体" w:cs="宋体"/>
          <w:color w:val="auto"/>
          <w:sz w:val="28"/>
          <w:szCs w:val="28"/>
          <w:highlight w:val="none"/>
        </w:rPr>
        <w:t>的运用。</w:t>
      </w:r>
    </w:p>
    <w:p>
      <w:pPr>
        <w:spacing w:line="360" w:lineRule="auto"/>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四</w:t>
      </w:r>
      <w:r>
        <w:rPr>
          <w:rFonts w:hint="eastAsia" w:ascii="宋体" w:hAnsi="宋体" w:eastAsia="宋体" w:cs="宋体"/>
          <w:b/>
          <w:bCs/>
          <w:color w:val="auto"/>
          <w:sz w:val="28"/>
          <w:szCs w:val="28"/>
          <w:highlight w:val="none"/>
        </w:rPr>
        <w:t>、服务要求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各康复项目累计不少于50次，每次推拿康复不少于60分钟，物理疗法不少于30分钟，器械练习视情况而定。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服务形式包括来院康复、入户康复和社区集中康复等。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rPr>
        <w:t>服务</w:t>
      </w:r>
      <w:r>
        <w:rPr>
          <w:rFonts w:hint="eastAsia" w:ascii="宋体" w:hAnsi="宋体" w:eastAsia="宋体" w:cs="宋体"/>
          <w:b w:val="0"/>
          <w:bCs w:val="0"/>
          <w:color w:val="auto"/>
          <w:sz w:val="28"/>
          <w:szCs w:val="28"/>
          <w:highlight w:val="none"/>
          <w:lang w:val="en-US" w:eastAsia="zh-CN"/>
        </w:rPr>
        <w:t>内容：</w:t>
      </w:r>
      <w:r>
        <w:rPr>
          <w:rFonts w:hint="eastAsia" w:ascii="宋体" w:hAnsi="宋体" w:eastAsia="宋体" w:cs="宋体"/>
          <w:b w:val="0"/>
          <w:bCs w:val="0"/>
          <w:color w:val="auto"/>
          <w:sz w:val="28"/>
          <w:szCs w:val="28"/>
          <w:highlight w:val="none"/>
          <w:lang w:eastAsia="zh-CN"/>
        </w:rPr>
        <w:t>依据</w:t>
      </w:r>
      <w:r>
        <w:rPr>
          <w:rFonts w:hint="eastAsia" w:ascii="宋体" w:hAnsi="宋体" w:eastAsia="宋体" w:cs="宋体"/>
          <w:color w:val="auto"/>
          <w:sz w:val="28"/>
          <w:szCs w:val="28"/>
          <w:highlight w:val="none"/>
          <w:lang w:eastAsia="zh-CN"/>
        </w:rPr>
        <w:t>乌鲁木齐市残联肢体残疾人康复训练服务项目规定，结合机构自身特色和残疾人实际需求，制定残疾人康复训练方案，根据不同的康复训练方案，选择康复理疗项目。如：PT、OT、运动类康复手法、康复推拿、关节主被动训练、中药熏蒸、中药离子渗透、药物足疗、艾灸、TDP、拔罐等。</w:t>
      </w:r>
    </w:p>
    <w:p>
      <w:pPr>
        <w:spacing w:line="360" w:lineRule="auto"/>
        <w:outlineLvl w:val="9"/>
        <w:rPr>
          <w:rFonts w:hint="eastAsia" w:ascii="宋体" w:hAnsi="宋体" w:eastAsia="宋体" w:cs="宋体"/>
          <w:b w:val="0"/>
          <w:bCs w:val="0"/>
          <w:color w:val="auto"/>
          <w:sz w:val="28"/>
          <w:szCs w:val="28"/>
          <w:highlight w:val="none"/>
        </w:rPr>
      </w:pPr>
      <w:r>
        <w:rPr>
          <w:rFonts w:hint="eastAsia" w:ascii="宋体" w:hAnsi="宋体" w:cs="宋体"/>
          <w:b/>
          <w:bCs/>
          <w:color w:val="auto"/>
          <w:sz w:val="28"/>
          <w:szCs w:val="28"/>
          <w:highlight w:val="none"/>
          <w:lang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val="0"/>
          <w:bCs w:val="0"/>
          <w:color w:val="auto"/>
          <w:sz w:val="28"/>
          <w:szCs w:val="28"/>
          <w:highlight w:val="none"/>
          <w:lang w:eastAsia="zh-CN"/>
        </w:rPr>
        <w:t>康复</w:t>
      </w:r>
      <w:r>
        <w:rPr>
          <w:rFonts w:hint="eastAsia" w:ascii="宋体" w:hAnsi="宋体" w:eastAsia="宋体" w:cs="宋体"/>
          <w:b w:val="0"/>
          <w:bCs w:val="0"/>
          <w:color w:val="auto"/>
          <w:sz w:val="28"/>
          <w:szCs w:val="28"/>
          <w:highlight w:val="none"/>
        </w:rPr>
        <w:t>结束，提供全套服务档案，并装订成册，包括康复</w:t>
      </w:r>
      <w:r>
        <w:rPr>
          <w:rFonts w:hint="eastAsia" w:ascii="宋体" w:hAnsi="宋体" w:eastAsia="宋体" w:cs="宋体"/>
          <w:b w:val="0"/>
          <w:bCs w:val="0"/>
          <w:color w:val="auto"/>
          <w:sz w:val="28"/>
          <w:szCs w:val="28"/>
          <w:highlight w:val="none"/>
          <w:lang w:eastAsia="zh-CN"/>
        </w:rPr>
        <w:t>申请</w:t>
      </w:r>
      <w:r>
        <w:rPr>
          <w:rFonts w:hint="eastAsia" w:ascii="宋体" w:hAnsi="宋体" w:eastAsia="宋体" w:cs="宋体"/>
          <w:b w:val="0"/>
          <w:bCs w:val="0"/>
          <w:color w:val="auto"/>
          <w:sz w:val="28"/>
          <w:szCs w:val="28"/>
          <w:highlight w:val="none"/>
        </w:rPr>
        <w:t>表、知情同意书、实施项目明细、身份证、残疾证复印件等</w:t>
      </w:r>
      <w:r>
        <w:rPr>
          <w:rFonts w:hint="eastAsia" w:ascii="宋体" w:hAnsi="宋体" w:eastAsia="宋体" w:cs="宋体"/>
          <w:b w:val="0"/>
          <w:bCs w:val="0"/>
          <w:color w:val="auto"/>
          <w:sz w:val="28"/>
          <w:szCs w:val="28"/>
          <w:highlight w:val="none"/>
          <w:lang w:eastAsia="zh-CN"/>
        </w:rPr>
        <w:t>资料</w:t>
      </w:r>
      <w:r>
        <w:rPr>
          <w:rFonts w:hint="eastAsia" w:ascii="宋体" w:hAnsi="宋体" w:eastAsia="宋体" w:cs="宋体"/>
          <w:b w:val="0"/>
          <w:bCs w:val="0"/>
          <w:color w:val="auto"/>
          <w:sz w:val="28"/>
          <w:szCs w:val="28"/>
          <w:highlight w:val="none"/>
        </w:rPr>
        <w:t>。</w:t>
      </w:r>
    </w:p>
    <w:p>
      <w:pPr>
        <w:pStyle w:val="66"/>
        <w:tabs>
          <w:tab w:val="left" w:pos="1260"/>
          <w:tab w:val="left" w:pos="1380"/>
          <w:tab w:val="clear" w:pos="1080"/>
        </w:tabs>
        <w:spacing w:beforeLines="0" w:after="156"/>
        <w:jc w:val="center"/>
        <w:outlineLvl w:val="9"/>
        <w:rPr>
          <w:rFonts w:hint="eastAsia" w:ascii="宋体" w:hAnsi="宋体" w:eastAsia="宋体" w:cs="宋体"/>
          <w:color w:val="auto"/>
          <w:sz w:val="36"/>
          <w:szCs w:val="36"/>
          <w:highlight w:val="none"/>
        </w:rPr>
      </w:pPr>
    </w:p>
    <w:p>
      <w:pPr>
        <w:pStyle w:val="66"/>
        <w:tabs>
          <w:tab w:val="left" w:pos="1260"/>
          <w:tab w:val="left" w:pos="1380"/>
          <w:tab w:val="clear" w:pos="1080"/>
        </w:tabs>
        <w:spacing w:beforeLines="0" w:after="156"/>
        <w:jc w:val="center"/>
        <w:outlineLvl w:val="9"/>
        <w:rPr>
          <w:rFonts w:hint="eastAsia" w:ascii="宋体" w:hAnsi="宋体" w:eastAsia="宋体" w:cs="宋体"/>
          <w:color w:val="auto"/>
          <w:sz w:val="36"/>
          <w:szCs w:val="36"/>
          <w:highlight w:val="none"/>
        </w:rPr>
      </w:pPr>
    </w:p>
    <w:p>
      <w:pPr>
        <w:pStyle w:val="66"/>
        <w:tabs>
          <w:tab w:val="left" w:pos="1260"/>
          <w:tab w:val="left" w:pos="1380"/>
          <w:tab w:val="clear" w:pos="1080"/>
        </w:tabs>
        <w:spacing w:beforeLines="0" w:after="156"/>
        <w:jc w:val="center"/>
        <w:outlineLvl w:val="9"/>
        <w:rPr>
          <w:rFonts w:hint="eastAsia" w:ascii="宋体" w:hAnsi="宋体" w:eastAsia="宋体" w:cs="宋体"/>
          <w:color w:val="auto"/>
          <w:sz w:val="36"/>
          <w:szCs w:val="36"/>
          <w:highlight w:val="none"/>
        </w:rPr>
      </w:pPr>
    </w:p>
    <w:p>
      <w:pPr>
        <w:rPr>
          <w:rFonts w:hint="eastAsia" w:ascii="宋体" w:hAnsi="宋体" w:eastAsia="宋体" w:cs="宋体"/>
          <w:b/>
          <w:bCs/>
          <w:color w:val="auto"/>
          <w:sz w:val="32"/>
          <w:szCs w:val="32"/>
          <w:highlight w:val="none"/>
        </w:rPr>
      </w:pPr>
    </w:p>
    <w:p>
      <w:pPr>
        <w:jc w:val="center"/>
        <w:outlineLvl w:val="0"/>
        <w:rPr>
          <w:rFonts w:hint="eastAsia" w:ascii="宋体" w:hAnsi="宋体" w:eastAsia="宋体" w:cs="宋体"/>
          <w:b/>
          <w:bCs/>
          <w:color w:val="auto"/>
          <w:sz w:val="32"/>
          <w:szCs w:val="32"/>
          <w:highlight w:val="none"/>
        </w:rPr>
      </w:pPr>
      <w:bookmarkStart w:id="82" w:name="_Toc22196"/>
      <w:r>
        <w:rPr>
          <w:rFonts w:hint="eastAsia" w:ascii="宋体" w:hAnsi="宋体" w:eastAsia="宋体" w:cs="宋体"/>
          <w:b/>
          <w:bCs/>
          <w:color w:val="auto"/>
          <w:sz w:val="32"/>
          <w:szCs w:val="32"/>
          <w:highlight w:val="none"/>
        </w:rPr>
        <w:t>第四章  投标文件格式</w:t>
      </w:r>
      <w:bookmarkEnd w:id="82"/>
    </w:p>
    <w:p>
      <w:pPr>
        <w:jc w:val="center"/>
        <w:rPr>
          <w:rFonts w:hint="eastAsia" w:ascii="宋体" w:hAnsi="宋体" w:eastAsia="宋体" w:cs="宋体"/>
          <w:color w:val="auto"/>
          <w:sz w:val="20"/>
          <w:highlight w:val="none"/>
          <w:u w:val="single"/>
        </w:rPr>
      </w:pPr>
      <w:r>
        <w:rPr>
          <w:rFonts w:hint="eastAsia" w:ascii="宋体" w:hAnsi="宋体" w:eastAsia="宋体" w:cs="宋体"/>
          <w:color w:val="auto"/>
          <w:sz w:val="28"/>
          <w:szCs w:val="28"/>
          <w:highlight w:val="none"/>
          <w:u w:val="single"/>
        </w:rPr>
        <w:t xml:space="preserve">                                    （项目名称）</w:t>
      </w: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color w:val="auto"/>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44"/>
          <w:szCs w:val="44"/>
          <w:highlight w:val="none"/>
        </w:rPr>
        <w:t>投标文件</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项目名称：</w:t>
      </w:r>
    </w:p>
    <w:p>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采购人名称：</w:t>
      </w:r>
    </w:p>
    <w:p>
      <w:pPr>
        <w:spacing w:line="480" w:lineRule="auto"/>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供应商：（盖章）</w:t>
      </w:r>
    </w:p>
    <w:p>
      <w:pPr>
        <w:spacing w:line="480"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法定代表人或其委托代理人：（签字或盖章）</w:t>
      </w:r>
    </w:p>
    <w:p>
      <w:pPr>
        <w:spacing w:line="480" w:lineRule="auto"/>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p>
    <w:p>
      <w:pPr>
        <w:spacing w:line="480" w:lineRule="auto"/>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p>
      <w:pPr>
        <w:spacing w:line="480" w:lineRule="auto"/>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年   月    日</w:t>
      </w:r>
    </w:p>
    <w:p>
      <w:pPr>
        <w:pStyle w:val="2"/>
        <w:jc w:val="both"/>
        <w:rPr>
          <w:rFonts w:hint="eastAsia" w:ascii="宋体" w:hAnsi="宋体" w:eastAsia="宋体" w:cs="宋体"/>
          <w:color w:val="auto"/>
          <w:sz w:val="28"/>
          <w:szCs w:val="28"/>
          <w:highlight w:val="none"/>
        </w:rPr>
      </w:pPr>
    </w:p>
    <w:p>
      <w:pPr>
        <w:rPr>
          <w:rFonts w:hint="eastAsia"/>
          <w:color w:val="auto"/>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投标文件目录</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投标承诺书</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法定代表人身份证明及供应商法定代表人授权委托书。</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供应商投标代表身份证。</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 供应商企业法人营业执照副本。</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5康复定点机构资格证明文件</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6供应商简介</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7近三年类似服务业绩表</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8供应商财务状况证明材料（如有）</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9项目服务方案（供应商在服务方案中需提供能够反映满足第三章 服务内容及要求的相关资料，包括单不限于资格证明资料、营业场所证明材料（租赁或自有）、康复设备设施的证明材料（租赁或自有）、管理及康复人员的资格证明材料等以及为实现达到上述服务标准及要求所采取的措施或方案等内容）。</w:t>
      </w:r>
    </w:p>
    <w:p>
      <w:pPr>
        <w:adjustRightInd w:val="0"/>
        <w:snapToGrid w:val="0"/>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 投标保证金。</w:t>
      </w:r>
    </w:p>
    <w:p>
      <w:pPr>
        <w:adjustRightInd w:val="0"/>
        <w:snapToGrid w:val="0"/>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11其他需要提交的资料（根据招标文件的要求和供应商认为需要提供的资料）。</w:t>
      </w:r>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注：为了便于查找，请按上述顺序编制投标文件内容，并在目录中标明每项内容的起始页码。</w:t>
      </w:r>
    </w:p>
    <w:p>
      <w:pPr>
        <w:widowControl/>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pPr>
        <w:pStyle w:val="75"/>
        <w:snapToGrid w:val="0"/>
        <w:spacing w:line="360" w:lineRule="auto"/>
        <w:jc w:val="center"/>
        <w:rPr>
          <w:rFonts w:hint="eastAsia" w:ascii="宋体" w:hAnsi="宋体" w:eastAsia="宋体" w:cs="宋体"/>
          <w:b/>
          <w:color w:val="auto"/>
          <w:kern w:val="2"/>
          <w:sz w:val="30"/>
          <w:szCs w:val="30"/>
          <w:highlight w:val="none"/>
        </w:rPr>
      </w:pPr>
      <w:r>
        <w:rPr>
          <w:rFonts w:hint="eastAsia" w:ascii="宋体" w:hAnsi="宋体" w:eastAsia="宋体" w:cs="宋体"/>
          <w:b/>
          <w:bCs/>
          <w:color w:val="auto"/>
          <w:sz w:val="30"/>
          <w:szCs w:val="30"/>
          <w:highlight w:val="none"/>
        </w:rPr>
        <w:t>一、投标承诺书</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致（采购人）：</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根据已收到的招标文件，我单位经研究贵方的招标文件后：</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1、我方愿以</w:t>
      </w:r>
      <w:r>
        <w:rPr>
          <w:rFonts w:hint="eastAsia" w:ascii="宋体" w:hAnsi="宋体" w:cs="宋体"/>
          <w:color w:val="auto"/>
          <w:sz w:val="28"/>
          <w:szCs w:val="28"/>
          <w:highlight w:val="none"/>
          <w:u w:val="single"/>
          <w:lang w:val="en-US" w:eastAsia="zh-CN"/>
        </w:rPr>
        <w:t>900000</w:t>
      </w:r>
      <w:r>
        <w:rPr>
          <w:rFonts w:hint="eastAsia" w:ascii="宋体" w:hAnsi="宋体" w:cs="宋体"/>
          <w:color w:val="auto"/>
          <w:sz w:val="28"/>
          <w:szCs w:val="28"/>
          <w:highlight w:val="none"/>
          <w:lang w:val="en-US" w:eastAsia="zh-CN"/>
        </w:rPr>
        <w:t>元的</w:t>
      </w:r>
      <w:r>
        <w:rPr>
          <w:rFonts w:hint="eastAsia" w:ascii="宋体" w:hAnsi="宋体" w:eastAsia="宋体" w:cs="宋体"/>
          <w:color w:val="auto"/>
          <w:sz w:val="28"/>
          <w:szCs w:val="28"/>
          <w:highlight w:val="none"/>
        </w:rPr>
        <w:t>预算价格及投标承诺书承诺内容承包本招标文件中所述采购范围内的全部内容。</w:t>
      </w:r>
    </w:p>
    <w:p>
      <w:pPr>
        <w:spacing w:line="360" w:lineRule="auto"/>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2、一旦我方中标，我方保证在贵方约定的服务周期：</w:t>
      </w:r>
      <w:r>
        <w:rPr>
          <w:rFonts w:hint="eastAsia" w:ascii="宋体" w:hAnsi="宋体" w:eastAsia="宋体" w:cs="宋体"/>
          <w:color w:val="auto"/>
          <w:sz w:val="28"/>
          <w:szCs w:val="28"/>
          <w:highlight w:val="none"/>
          <w:u w:val="single"/>
        </w:rPr>
        <w:t xml:space="preserve"> 提供一年相关服务</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3、如果我方中标，非业主原因，我方保证将按下列质量标准完成本次供货；质量标准：</w:t>
      </w:r>
      <w:r>
        <w:rPr>
          <w:rFonts w:hint="eastAsia" w:ascii="宋体" w:hAnsi="宋体" w:eastAsia="宋体" w:cs="宋体"/>
          <w:b/>
          <w:bCs/>
          <w:color w:val="auto"/>
          <w:kern w:val="0"/>
          <w:sz w:val="28"/>
          <w:szCs w:val="28"/>
          <w:highlight w:val="none"/>
          <w:u w:val="single"/>
        </w:rPr>
        <w:t>合格</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4、如果我方中标，我方将按招标文件规定的时间内提供服务。如果违约，我方愿以投标保证金作为赔偿金，同时贵方有权终止我方中标并选择其它供应商。</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5、如果我方中标，提供服务的质量、周期、人员、设备数量与招标文件要求和投标文件不一致的，我方将进行整改直至验收合格为止，并愿以中标价的10%作为违约金。</w:t>
      </w:r>
    </w:p>
    <w:p>
      <w:pPr>
        <w:pStyle w:val="2"/>
        <w:ind w:firstLine="560" w:firstLineChars="200"/>
        <w:jc w:val="both"/>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6、如果我方中标，我方承诺本次投标文件的有效期为：</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7、贵方的招标文件、答疑文件、文件补充、中标通知书和本投标响应文件将做为合同附件，具有同等法律效力。</w:t>
      </w:r>
    </w:p>
    <w:p>
      <w:pPr>
        <w:spacing w:line="360" w:lineRule="auto"/>
        <w:ind w:firstLine="560" w:firstLineChars="2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8、服务地点：乌鲁木齐市甲方指定地点</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9、如果我方未中标，贵方没有必要对我方做出任何解释和说明，我方将充分尊重和理解贵方的选择。</w:t>
      </w:r>
    </w:p>
    <w:p>
      <w:pPr>
        <w:spacing w:line="360" w:lineRule="auto"/>
        <w:ind w:firstLine="560" w:firstLineChars="2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10、我方将响应合同中约定的付款方式</w:t>
      </w:r>
    </w:p>
    <w:p>
      <w:pPr>
        <w:pStyle w:val="2"/>
        <w:rPr>
          <w:rFonts w:hint="eastAsia" w:ascii="宋体" w:hAnsi="宋体" w:eastAsia="宋体" w:cs="宋体"/>
          <w:color w:val="auto"/>
          <w:sz w:val="28"/>
          <w:szCs w:val="28"/>
          <w:highlight w:val="none"/>
        </w:rPr>
      </w:pPr>
    </w:p>
    <w:p>
      <w:pPr>
        <w:pStyle w:val="76"/>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供应商（盖章）：</w:t>
      </w:r>
    </w:p>
    <w:p>
      <w:pPr>
        <w:pStyle w:val="76"/>
        <w:spacing w:line="360" w:lineRule="auto"/>
        <w:rPr>
          <w:rFonts w:hint="eastAsia" w:ascii="宋体" w:hAnsi="宋体" w:eastAsia="宋体" w:cs="宋体"/>
          <w:color w:val="auto"/>
          <w:sz w:val="28"/>
          <w:szCs w:val="28"/>
          <w:highlight w:val="none"/>
        </w:rPr>
      </w:pPr>
    </w:p>
    <w:p>
      <w:pPr>
        <w:pStyle w:val="76"/>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法定代表人或授权代理人（签章）：</w: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年    月    日  </w:t>
      </w:r>
    </w:p>
    <w:p>
      <w:pP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pPr>
        <w:widowControl/>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二、法定代表人身份证明书</w:t>
      </w:r>
    </w:p>
    <w:p>
      <w:pPr>
        <w:widowControl/>
        <w:jc w:val="center"/>
        <w:rPr>
          <w:rFonts w:hint="eastAsia" w:ascii="宋体" w:hAnsi="宋体" w:eastAsia="宋体" w:cs="宋体"/>
          <w:bCs/>
          <w:color w:val="auto"/>
          <w:sz w:val="24"/>
          <w:szCs w:val="24"/>
          <w:highlight w:val="none"/>
        </w:rPr>
      </w:pPr>
    </w:p>
    <w:p>
      <w:pPr>
        <w:jc w:val="center"/>
        <w:rPr>
          <w:rFonts w:hint="eastAsia" w:ascii="宋体" w:hAnsi="宋体" w:eastAsia="宋体" w:cs="宋体"/>
          <w:bCs/>
          <w:color w:val="auto"/>
          <w:highlight w:val="none"/>
        </w:rPr>
      </w:pPr>
    </w:p>
    <w:p>
      <w:pPr>
        <w:spacing w:line="240" w:lineRule="auto"/>
        <w:ind w:firstLine="843" w:firstLineChars="300"/>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供应商名称：</w:t>
      </w:r>
    </w:p>
    <w:p>
      <w:pPr>
        <w:spacing w:line="240" w:lineRule="auto"/>
        <w:ind w:firstLine="843" w:firstLineChars="3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供应商类型：</w:t>
      </w:r>
    </w:p>
    <w:p>
      <w:pPr>
        <w:spacing w:line="240" w:lineRule="auto"/>
        <w:ind w:firstLine="843" w:firstLineChars="3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地    址：</w:t>
      </w:r>
    </w:p>
    <w:p>
      <w:pPr>
        <w:spacing w:line="240" w:lineRule="auto"/>
        <w:ind w:firstLine="843" w:firstLineChars="3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营业期限：</w:t>
      </w:r>
    </w:p>
    <w:p>
      <w:pPr>
        <w:spacing w:line="240" w:lineRule="auto"/>
        <w:ind w:firstLine="843" w:firstLineChars="300"/>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成立时间：</w:t>
      </w:r>
    </w:p>
    <w:p>
      <w:pPr>
        <w:spacing w:line="240" w:lineRule="auto"/>
        <w:ind w:firstLine="843" w:firstLineChars="300"/>
        <w:rPr>
          <w:rFonts w:hint="eastAsia" w:ascii="宋体" w:hAnsi="宋体" w:eastAsia="宋体" w:cs="宋体"/>
          <w:b/>
          <w:color w:val="auto"/>
          <w:sz w:val="28"/>
          <w:szCs w:val="28"/>
          <w:highlight w:val="none"/>
        </w:rPr>
      </w:pPr>
    </w:p>
    <w:p>
      <w:pPr>
        <w:spacing w:line="240" w:lineRule="auto"/>
        <w:ind w:firstLine="843" w:firstLineChars="3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     性别：</w:t>
      </w:r>
    </w:p>
    <w:p>
      <w:pPr>
        <w:spacing w:line="24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年龄：     职务：</w:t>
      </w:r>
    </w:p>
    <w:p>
      <w:pPr>
        <w:spacing w:line="240" w:lineRule="auto"/>
        <w:ind w:firstLine="843" w:firstLineChars="3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系 （供应商名称）的法定代表人</w:t>
      </w:r>
      <w:r>
        <w:rPr>
          <w:rFonts w:hint="eastAsia" w:ascii="宋体" w:hAnsi="宋体" w:eastAsia="宋体" w:cs="宋体"/>
          <w:color w:val="auto"/>
          <w:sz w:val="28"/>
          <w:szCs w:val="28"/>
          <w:highlight w:val="none"/>
        </w:rPr>
        <w:t>。</w:t>
      </w:r>
    </w:p>
    <w:p>
      <w:pPr>
        <w:spacing w:line="240" w:lineRule="auto"/>
        <w:rPr>
          <w:rFonts w:hint="eastAsia" w:ascii="宋体" w:hAnsi="宋体" w:eastAsia="宋体" w:cs="宋体"/>
          <w:color w:val="auto"/>
          <w:sz w:val="28"/>
          <w:szCs w:val="28"/>
          <w:highlight w:val="none"/>
        </w:rPr>
      </w:pPr>
    </w:p>
    <w:p>
      <w:pPr>
        <w:spacing w:line="24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特此证明。</w:t>
      </w:r>
    </w:p>
    <w:p>
      <w:pPr>
        <w:spacing w:line="240" w:lineRule="auto"/>
        <w:ind w:firstLine="843" w:firstLineChars="300"/>
        <w:rPr>
          <w:rFonts w:hint="eastAsia" w:ascii="宋体" w:hAnsi="宋体" w:eastAsia="宋体" w:cs="宋体"/>
          <w:b/>
          <w:color w:val="auto"/>
          <w:sz w:val="28"/>
          <w:szCs w:val="28"/>
          <w:highlight w:val="none"/>
          <w:u w:val="single"/>
        </w:rPr>
      </w:pPr>
    </w:p>
    <w:p>
      <w:pPr>
        <w:spacing w:line="240" w:lineRule="auto"/>
        <w:ind w:firstLine="843" w:firstLineChars="300"/>
        <w:rPr>
          <w:rFonts w:hint="eastAsia" w:ascii="宋体" w:hAnsi="宋体" w:eastAsia="宋体" w:cs="宋体"/>
          <w:b/>
          <w:color w:val="auto"/>
          <w:sz w:val="28"/>
          <w:szCs w:val="28"/>
          <w:highlight w:val="none"/>
          <w:u w:val="single"/>
        </w:rPr>
      </w:pPr>
    </w:p>
    <w:p>
      <w:pPr>
        <w:spacing w:line="24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u w:val="single"/>
        </w:rPr>
        <w:t>（附法定代表人身份证明）</w:t>
      </w:r>
    </w:p>
    <w:p>
      <w:pPr>
        <w:spacing w:line="240" w:lineRule="auto"/>
        <w:jc w:val="right"/>
        <w:rPr>
          <w:rFonts w:hint="eastAsia" w:ascii="宋体" w:hAnsi="宋体" w:eastAsia="宋体" w:cs="宋体"/>
          <w:b/>
          <w:color w:val="auto"/>
          <w:sz w:val="28"/>
          <w:szCs w:val="28"/>
          <w:highlight w:val="none"/>
        </w:rPr>
      </w:pPr>
    </w:p>
    <w:p>
      <w:pPr>
        <w:spacing w:line="240" w:lineRule="auto"/>
        <w:jc w:val="right"/>
        <w:rPr>
          <w:rFonts w:hint="eastAsia" w:ascii="宋体" w:hAnsi="宋体" w:eastAsia="宋体" w:cs="宋体"/>
          <w:b/>
          <w:color w:val="auto"/>
          <w:sz w:val="28"/>
          <w:szCs w:val="28"/>
          <w:highlight w:val="none"/>
        </w:rPr>
      </w:pPr>
    </w:p>
    <w:p>
      <w:pPr>
        <w:spacing w:line="240" w:lineRule="auto"/>
        <w:jc w:val="right"/>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供应商：</w:t>
      </w:r>
      <w:r>
        <w:rPr>
          <w:rFonts w:hint="eastAsia" w:ascii="宋体" w:hAnsi="宋体" w:eastAsia="宋体" w:cs="宋体"/>
          <w:b/>
          <w:color w:val="auto"/>
          <w:sz w:val="28"/>
          <w:szCs w:val="28"/>
          <w:highlight w:val="none"/>
          <w:u w:val="single"/>
        </w:rPr>
        <w:t xml:space="preserve">                      （盖章）</w:t>
      </w:r>
    </w:p>
    <w:p>
      <w:pPr>
        <w:spacing w:line="240" w:lineRule="auto"/>
        <w:jc w:val="right"/>
        <w:rPr>
          <w:rFonts w:hint="eastAsia" w:ascii="宋体" w:hAnsi="宋体" w:eastAsia="宋体" w:cs="宋体"/>
          <w:bCs/>
          <w:color w:val="auto"/>
          <w:highlight w:val="none"/>
        </w:rPr>
      </w:pPr>
      <w:r>
        <w:rPr>
          <w:rFonts w:hint="eastAsia" w:ascii="宋体" w:hAnsi="宋体" w:eastAsia="宋体" w:cs="宋体"/>
          <w:b/>
          <w:color w:val="auto"/>
          <w:sz w:val="28"/>
          <w:szCs w:val="28"/>
          <w:highlight w:val="none"/>
        </w:rPr>
        <w:t>日  期：  年  月  日</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highlight w:val="none"/>
        </w:rPr>
        <w:t xml:space="preserve"> </w:t>
      </w: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pStyle w:val="2"/>
        <w:jc w:val="both"/>
        <w:rPr>
          <w:rFonts w:hint="eastAsia"/>
          <w:color w:val="auto"/>
          <w:highlight w:val="none"/>
        </w:rPr>
      </w:pPr>
    </w:p>
    <w:p>
      <w:pPr>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30"/>
          <w:szCs w:val="30"/>
          <w:highlight w:val="none"/>
        </w:rPr>
        <w:t>三、法定代表人授权委托书及被授权人身份证复印件</w:t>
      </w:r>
    </w:p>
    <w:p>
      <w:pPr>
        <w:rPr>
          <w:rFonts w:hint="eastAsia" w:ascii="宋体" w:hAnsi="宋体" w:eastAsia="宋体" w:cs="宋体"/>
          <w:color w:val="auto"/>
          <w:highlight w:val="none"/>
        </w:rPr>
      </w:pPr>
    </w:p>
    <w:p>
      <w:pPr>
        <w:spacing w:line="360" w:lineRule="auto"/>
        <w:ind w:firstLine="63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本授权委托书声明：我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（供应商名称）的法定代表人，现授权委托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（供应商名称）的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（姓名）为我公司代理人，以本公司的名义参加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（采购人）的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（项目名称）</w:t>
      </w:r>
      <w:r>
        <w:rPr>
          <w:rFonts w:hint="eastAsia" w:ascii="宋体" w:hAnsi="宋体" w:eastAsia="宋体" w:cs="宋体"/>
          <w:color w:val="auto"/>
          <w:sz w:val="28"/>
          <w:szCs w:val="28"/>
          <w:highlight w:val="none"/>
        </w:rPr>
        <w:t>采购项目的投标活动。代理人签署的投标文件和参加整个工程招标投标活动中所签署的一切文件和处理与之有关的一切事物，我均予以承认。</w: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                    性别：                     年龄：</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  位：                    部门：                     职务：</w: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代理人无转委权。特此委托。</w: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供应商：（盖章）</w: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pPr>
        <w:spacing w:line="360" w:lineRule="auto"/>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（附被授权人身份证明）</w:t>
      </w: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pStyle w:val="75"/>
        <w:snapToGrid w:val="0"/>
        <w:spacing w:line="360" w:lineRule="auto"/>
        <w:ind w:right="36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jc w:val="right"/>
        <w:rPr>
          <w:rFonts w:hint="eastAsia" w:ascii="宋体" w:hAnsi="宋体" w:eastAsia="宋体" w:cs="宋体"/>
          <w:color w:val="auto"/>
          <w:szCs w:val="21"/>
          <w:highlight w:val="none"/>
        </w:rPr>
      </w:pPr>
    </w:p>
    <w:p>
      <w:pPr>
        <w:widowControl/>
        <w:jc w:val="center"/>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rPr>
        <w:t>四、供应商概况</w:t>
      </w:r>
    </w:p>
    <w:p>
      <w:pPr>
        <w:jc w:val="center"/>
        <w:rPr>
          <w:rFonts w:hint="eastAsia" w:ascii="宋体" w:hAnsi="宋体" w:eastAsia="宋体" w:cs="宋体"/>
          <w:bCs/>
          <w:color w:val="auto"/>
          <w:sz w:val="28"/>
          <w:szCs w:val="28"/>
          <w:highlight w:val="none"/>
        </w:rPr>
      </w:pPr>
    </w:p>
    <w:p>
      <w:pPr>
        <w:snapToGrid w:val="0"/>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供应商营业执照副本、税务登记证和组织机构代码证（已办营业执照三证合一的供应商无需提供）（加盖公章）、资格证书、产权证明、服务设施设备材料等</w:t>
      </w:r>
    </w:p>
    <w:p>
      <w:pPr>
        <w:snapToGrid w:val="0"/>
        <w:spacing w:line="360" w:lineRule="auto"/>
        <w:ind w:firstLine="562" w:firstLineChars="200"/>
        <w:rPr>
          <w:rFonts w:hint="eastAsia" w:ascii="宋体" w:hAnsi="宋体" w:eastAsia="宋体" w:cs="宋体"/>
          <w:b/>
          <w:color w:val="auto"/>
          <w:sz w:val="28"/>
          <w:szCs w:val="28"/>
          <w:highlight w:val="none"/>
        </w:rPr>
      </w:pPr>
    </w:p>
    <w:p>
      <w:pPr>
        <w:pStyle w:val="75"/>
        <w:snapToGrid w:val="0"/>
        <w:spacing w:line="360" w:lineRule="auto"/>
        <w:ind w:firstLine="562" w:firstLineChars="200"/>
        <w:jc w:val="both"/>
        <w:rPr>
          <w:rFonts w:hint="eastAsia" w:ascii="宋体" w:hAnsi="宋体" w:eastAsia="宋体" w:cs="宋体"/>
          <w:b/>
          <w:color w:val="auto"/>
          <w:kern w:val="2"/>
          <w:sz w:val="28"/>
          <w:highlight w:val="none"/>
        </w:rPr>
      </w:pPr>
    </w:p>
    <w:p>
      <w:pPr>
        <w:pStyle w:val="75"/>
        <w:snapToGrid w:val="0"/>
        <w:spacing w:line="360" w:lineRule="auto"/>
        <w:jc w:val="center"/>
        <w:rPr>
          <w:rFonts w:hint="eastAsia" w:ascii="宋体" w:hAnsi="宋体" w:eastAsia="宋体" w:cs="宋体"/>
          <w:b/>
          <w:color w:val="auto"/>
          <w:kern w:val="2"/>
          <w:sz w:val="28"/>
          <w:highlight w:val="none"/>
        </w:rPr>
      </w:pPr>
      <w:r>
        <w:rPr>
          <w:rFonts w:hint="eastAsia" w:ascii="宋体" w:hAnsi="宋体" w:eastAsia="宋体" w:cs="宋体"/>
          <w:b/>
          <w:color w:val="auto"/>
          <w:kern w:val="2"/>
          <w:sz w:val="28"/>
          <w:highlight w:val="none"/>
        </w:rPr>
        <w:br w:type="page"/>
      </w:r>
    </w:p>
    <w:p>
      <w:pPr>
        <w:pStyle w:val="75"/>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企业简况表</w:t>
      </w:r>
    </w:p>
    <w:tbl>
      <w:tblPr>
        <w:tblStyle w:val="33"/>
        <w:tblpPr w:leftFromText="180" w:rightFromText="180" w:vertAnchor="text" w:horzAnchor="page" w:tblpXSpec="center" w:tblpY="190"/>
        <w:tblW w:w="9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8"/>
        <w:gridCol w:w="1713"/>
        <w:gridCol w:w="1333"/>
        <w:gridCol w:w="134"/>
        <w:gridCol w:w="1216"/>
        <w:gridCol w:w="67"/>
        <w:gridCol w:w="1402"/>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2028"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企业注册名称</w:t>
            </w:r>
          </w:p>
        </w:tc>
        <w:tc>
          <w:tcPr>
            <w:tcW w:w="4396" w:type="dxa"/>
            <w:gridSpan w:val="4"/>
            <w:tcBorders>
              <w:top w:val="single" w:color="000000" w:sz="8"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p>
        </w:tc>
        <w:tc>
          <w:tcPr>
            <w:tcW w:w="1469"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建立日期</w:t>
            </w:r>
          </w:p>
        </w:tc>
        <w:tc>
          <w:tcPr>
            <w:tcW w:w="1473" w:type="dxa"/>
            <w:tcBorders>
              <w:top w:val="single" w:color="000000" w:sz="8" w:space="0"/>
              <w:left w:val="single" w:color="auto" w:sz="4" w:space="0"/>
              <w:bottom w:val="single" w:color="000000" w:sz="4" w:space="0"/>
              <w:right w:val="single" w:color="000000" w:sz="8"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企业法人代表</w:t>
            </w:r>
          </w:p>
        </w:tc>
        <w:tc>
          <w:tcPr>
            <w:tcW w:w="1713" w:type="dxa"/>
            <w:tcBorders>
              <w:top w:val="single" w:color="auto" w:sz="4"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p>
        </w:tc>
        <w:tc>
          <w:tcPr>
            <w:tcW w:w="1333" w:type="dxa"/>
            <w:tcBorders>
              <w:top w:val="single" w:color="auto" w:sz="4"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称</w:t>
            </w:r>
          </w:p>
        </w:tc>
        <w:tc>
          <w:tcPr>
            <w:tcW w:w="1350"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p>
        </w:tc>
        <w:tc>
          <w:tcPr>
            <w:tcW w:w="1469"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企业性质</w:t>
            </w:r>
          </w:p>
        </w:tc>
        <w:tc>
          <w:tcPr>
            <w:tcW w:w="1473" w:type="dxa"/>
            <w:tcBorders>
              <w:top w:val="single" w:color="auto" w:sz="4" w:space="0"/>
              <w:left w:val="single" w:color="auto" w:sz="4" w:space="0"/>
              <w:bottom w:val="single" w:color="000000" w:sz="4" w:space="0"/>
              <w:right w:val="single" w:color="000000" w:sz="8"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9"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上级主管部门</w:t>
            </w:r>
          </w:p>
        </w:tc>
        <w:tc>
          <w:tcPr>
            <w:tcW w:w="7338" w:type="dxa"/>
            <w:gridSpan w:val="7"/>
            <w:tcBorders>
              <w:top w:val="single" w:color="auto" w:sz="4" w:space="0"/>
              <w:left w:val="single" w:color="auto" w:sz="4" w:space="0"/>
              <w:bottom w:val="single" w:color="auto" w:sz="4" w:space="0"/>
              <w:right w:val="single" w:color="000000" w:sz="8"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9"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批准成立机构</w:t>
            </w:r>
          </w:p>
        </w:tc>
        <w:tc>
          <w:tcPr>
            <w:tcW w:w="7338" w:type="dxa"/>
            <w:gridSpan w:val="7"/>
            <w:tcBorders>
              <w:top w:val="single" w:color="auto" w:sz="4" w:space="0"/>
              <w:left w:val="single" w:color="auto" w:sz="4" w:space="0"/>
              <w:bottom w:val="single" w:color="000000" w:sz="4" w:space="0"/>
              <w:right w:val="single" w:color="000000" w:sz="8"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3180" w:type="dxa"/>
            <w:gridSpan w:val="3"/>
            <w:tcBorders>
              <w:top w:val="single" w:color="auto" w:sz="4" w:space="0"/>
              <w:left w:val="single" w:color="auto" w:sz="4" w:space="0"/>
              <w:bottom w:val="single" w:color="000000"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p>
        </w:tc>
        <w:tc>
          <w:tcPr>
            <w:tcW w:w="1283" w:type="dxa"/>
            <w:gridSpan w:val="2"/>
            <w:tcBorders>
              <w:top w:val="single" w:color="auto" w:sz="4" w:space="0"/>
              <w:left w:val="single" w:color="auto" w:sz="4" w:space="0"/>
              <w:bottom w:val="single" w:color="000000"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经营方式</w:t>
            </w:r>
          </w:p>
        </w:tc>
        <w:tc>
          <w:tcPr>
            <w:tcW w:w="2875" w:type="dxa"/>
            <w:gridSpan w:val="2"/>
            <w:tcBorders>
              <w:top w:val="single" w:color="auto" w:sz="4" w:space="0"/>
              <w:left w:val="single" w:color="auto" w:sz="4" w:space="0"/>
              <w:bottom w:val="single" w:color="000000" w:sz="4" w:space="0"/>
              <w:right w:val="single" w:color="000000" w:sz="8"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4" w:hRule="atLeast"/>
        </w:trPr>
        <w:tc>
          <w:tcPr>
            <w:tcW w:w="2028" w:type="dxa"/>
            <w:tcBorders>
              <w:top w:val="single" w:color="auto" w:sz="4" w:space="0"/>
              <w:left w:val="single" w:color="000000" w:sz="8" w:space="0"/>
              <w:bottom w:val="single" w:color="000000" w:sz="8" w:space="0"/>
              <w:right w:val="single" w:color="000000" w:sz="4" w:space="0"/>
            </w:tcBorders>
            <w:vAlign w:val="center"/>
          </w:tcPr>
          <w:p>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企业简历</w:t>
            </w:r>
          </w:p>
        </w:tc>
        <w:tc>
          <w:tcPr>
            <w:tcW w:w="7338" w:type="dxa"/>
            <w:gridSpan w:val="7"/>
            <w:tcBorders>
              <w:top w:val="single" w:color="auto" w:sz="4" w:space="0"/>
              <w:left w:val="single" w:color="auto" w:sz="4" w:space="0"/>
              <w:bottom w:val="single" w:color="000000" w:sz="8" w:space="0"/>
              <w:right w:val="single" w:color="000000" w:sz="8" w:space="0"/>
            </w:tcBorders>
            <w:vAlign w:val="center"/>
          </w:tcPr>
          <w:p>
            <w:pPr>
              <w:adjustRightInd w:val="0"/>
              <w:snapToGrid w:val="0"/>
              <w:spacing w:line="360" w:lineRule="auto"/>
              <w:rPr>
                <w:rFonts w:hint="eastAsia" w:ascii="宋体" w:hAnsi="宋体" w:eastAsia="宋体" w:cs="宋体"/>
                <w:color w:val="auto"/>
                <w:sz w:val="28"/>
                <w:szCs w:val="28"/>
                <w:highlight w:val="none"/>
              </w:rPr>
            </w:pPr>
          </w:p>
        </w:tc>
      </w:tr>
    </w:tbl>
    <w:p>
      <w:pPr>
        <w:pStyle w:val="76"/>
        <w:snapToGrid w:val="0"/>
        <w:spacing w:line="360" w:lineRule="auto"/>
        <w:ind w:right="480"/>
        <w:jc w:val="both"/>
        <w:rPr>
          <w:rFonts w:hint="eastAsia" w:ascii="宋体" w:hAnsi="宋体" w:eastAsia="宋体" w:cs="宋体"/>
          <w:color w:val="auto"/>
          <w:szCs w:val="24"/>
          <w:highlight w:val="none"/>
        </w:rPr>
      </w:pPr>
    </w:p>
    <w:p>
      <w:pPr>
        <w:pStyle w:val="76"/>
        <w:snapToGrid w:val="0"/>
        <w:spacing w:line="360" w:lineRule="auto"/>
        <w:ind w:right="48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供应商（公章）：                      </w:t>
      </w:r>
    </w:p>
    <w:p>
      <w:pPr>
        <w:pStyle w:val="76"/>
        <w:snapToGrid w:val="0"/>
        <w:spacing w:line="360" w:lineRule="auto"/>
        <w:ind w:right="480"/>
        <w:jc w:val="both"/>
        <w:rPr>
          <w:rFonts w:hint="eastAsia" w:ascii="宋体" w:hAnsi="宋体" w:eastAsia="宋体" w:cs="宋体"/>
          <w:color w:val="auto"/>
          <w:sz w:val="28"/>
          <w:szCs w:val="28"/>
          <w:highlight w:val="none"/>
        </w:rPr>
      </w:pPr>
    </w:p>
    <w:p>
      <w:pPr>
        <w:pStyle w:val="76"/>
        <w:snapToGrid w:val="0"/>
        <w:spacing w:line="360" w:lineRule="auto"/>
        <w:ind w:right="48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法定代表人或授权代理人（签章）：                                                               </w:t>
      </w:r>
    </w:p>
    <w:p>
      <w:pPr>
        <w:pStyle w:val="76"/>
        <w:snapToGrid w:val="0"/>
        <w:spacing w:line="360" w:lineRule="auto"/>
        <w:ind w:right="360"/>
        <w:jc w:val="both"/>
        <w:rPr>
          <w:rFonts w:hint="eastAsia" w:ascii="宋体" w:hAnsi="宋体" w:eastAsia="宋体" w:cs="宋体"/>
          <w:color w:val="auto"/>
          <w:sz w:val="28"/>
          <w:szCs w:val="28"/>
          <w:highlight w:val="none"/>
        </w:rPr>
      </w:pPr>
    </w:p>
    <w:p>
      <w:pPr>
        <w:pStyle w:val="76"/>
        <w:snapToGrid w:val="0"/>
        <w:spacing w:line="360" w:lineRule="auto"/>
        <w:ind w:right="36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pPr>
        <w:widowControl/>
        <w:rPr>
          <w:rFonts w:hint="eastAsia" w:ascii="宋体" w:hAnsi="宋体" w:eastAsia="宋体" w:cs="宋体"/>
          <w:color w:val="auto"/>
          <w:sz w:val="28"/>
          <w:szCs w:val="28"/>
          <w:highlight w:val="none"/>
        </w:rPr>
      </w:pPr>
    </w:p>
    <w:p>
      <w:pPr>
        <w:widowControl/>
        <w:jc w:val="center"/>
        <w:rPr>
          <w:rFonts w:hint="eastAsia" w:ascii="宋体" w:hAnsi="宋体" w:eastAsia="宋体" w:cs="宋体"/>
          <w:color w:val="auto"/>
          <w:sz w:val="24"/>
          <w:highlight w:val="none"/>
        </w:rPr>
      </w:pPr>
    </w:p>
    <w:p>
      <w:pPr>
        <w:pStyle w:val="2"/>
        <w:jc w:val="both"/>
        <w:rPr>
          <w:rFonts w:hint="eastAsia" w:ascii="宋体" w:hAnsi="宋体" w:eastAsia="宋体" w:cs="宋体"/>
          <w:color w:val="auto"/>
          <w:highlight w:val="none"/>
        </w:rPr>
      </w:pPr>
    </w:p>
    <w:p>
      <w:pPr>
        <w:widowControl/>
        <w:jc w:val="left"/>
        <w:rPr>
          <w:rFonts w:hint="eastAsia" w:ascii="宋体" w:hAnsi="宋体" w:eastAsia="宋体" w:cs="宋体"/>
          <w:color w:val="auto"/>
          <w:sz w:val="32"/>
          <w:szCs w:val="32"/>
          <w:highlight w:val="none"/>
        </w:rPr>
      </w:pPr>
    </w:p>
    <w:p>
      <w:pPr>
        <w:widowControl/>
        <w:jc w:val="center"/>
        <w:rPr>
          <w:rFonts w:hint="eastAsia" w:ascii="宋体" w:hAnsi="宋体" w:eastAsia="宋体" w:cs="宋体"/>
          <w:b/>
          <w:bCs/>
          <w:color w:val="auto"/>
          <w:sz w:val="24"/>
          <w:szCs w:val="24"/>
          <w:highlight w:val="none"/>
        </w:rPr>
      </w:pPr>
      <w:bookmarkStart w:id="83" w:name="_Toc32168"/>
      <w:bookmarkStart w:id="84" w:name="_Toc12572"/>
      <w:bookmarkStart w:id="85" w:name="_Toc421633322"/>
    </w:p>
    <w:p>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p>
    <w:p>
      <w:pPr>
        <w:widowControl/>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五、近三年类似业绩表</w:t>
      </w:r>
    </w:p>
    <w:p>
      <w:pPr>
        <w:pStyle w:val="2"/>
        <w:rPr>
          <w:rFonts w:hint="eastAsia" w:ascii="宋体" w:hAnsi="宋体" w:eastAsia="宋体" w:cs="宋体"/>
          <w:color w:val="auto"/>
          <w:highlight w:val="none"/>
        </w:rPr>
      </w:pPr>
    </w:p>
    <w:tbl>
      <w:tblPr>
        <w:tblStyle w:val="3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139"/>
        <w:gridCol w:w="1106"/>
        <w:gridCol w:w="1455"/>
        <w:gridCol w:w="280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139" w:type="dxa"/>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服务名称</w:t>
            </w:r>
          </w:p>
        </w:tc>
        <w:tc>
          <w:tcPr>
            <w:tcW w:w="1106" w:type="dxa"/>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合同日期</w:t>
            </w:r>
          </w:p>
        </w:tc>
        <w:tc>
          <w:tcPr>
            <w:tcW w:w="1455" w:type="dxa"/>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合同金额</w:t>
            </w:r>
          </w:p>
        </w:tc>
        <w:tc>
          <w:tcPr>
            <w:tcW w:w="2805" w:type="dxa"/>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接受服务单位</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及联系电话</w:t>
            </w:r>
          </w:p>
        </w:tc>
        <w:tc>
          <w:tcPr>
            <w:tcW w:w="1125" w:type="dxa"/>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1" w:type="dxa"/>
            <w:vAlign w:val="center"/>
          </w:tcPr>
          <w:p>
            <w:pPr>
              <w:rPr>
                <w:rFonts w:hint="eastAsia" w:ascii="宋体" w:hAnsi="宋体" w:eastAsia="宋体" w:cs="宋体"/>
                <w:color w:val="auto"/>
                <w:sz w:val="28"/>
                <w:szCs w:val="28"/>
                <w:highlight w:val="none"/>
              </w:rPr>
            </w:pPr>
          </w:p>
        </w:tc>
        <w:tc>
          <w:tcPr>
            <w:tcW w:w="1139" w:type="dxa"/>
            <w:vAlign w:val="center"/>
          </w:tcPr>
          <w:p>
            <w:pPr>
              <w:rPr>
                <w:rFonts w:hint="eastAsia" w:ascii="宋体" w:hAnsi="宋体" w:eastAsia="宋体" w:cs="宋体"/>
                <w:color w:val="auto"/>
                <w:sz w:val="28"/>
                <w:szCs w:val="28"/>
                <w:highlight w:val="none"/>
              </w:rPr>
            </w:pPr>
          </w:p>
        </w:tc>
        <w:tc>
          <w:tcPr>
            <w:tcW w:w="1106" w:type="dxa"/>
            <w:vAlign w:val="center"/>
          </w:tcPr>
          <w:p>
            <w:pPr>
              <w:rPr>
                <w:rFonts w:hint="eastAsia" w:ascii="宋体" w:hAnsi="宋体" w:eastAsia="宋体" w:cs="宋体"/>
                <w:color w:val="auto"/>
                <w:sz w:val="28"/>
                <w:szCs w:val="28"/>
                <w:highlight w:val="none"/>
              </w:rPr>
            </w:pPr>
          </w:p>
        </w:tc>
        <w:tc>
          <w:tcPr>
            <w:tcW w:w="1455" w:type="dxa"/>
            <w:vAlign w:val="center"/>
          </w:tcPr>
          <w:p>
            <w:pPr>
              <w:rPr>
                <w:rFonts w:hint="eastAsia" w:ascii="宋体" w:hAnsi="宋体" w:eastAsia="宋体" w:cs="宋体"/>
                <w:color w:val="auto"/>
                <w:sz w:val="28"/>
                <w:szCs w:val="28"/>
                <w:highlight w:val="none"/>
              </w:rPr>
            </w:pPr>
          </w:p>
        </w:tc>
        <w:tc>
          <w:tcPr>
            <w:tcW w:w="2805" w:type="dxa"/>
            <w:vAlign w:val="center"/>
          </w:tcPr>
          <w:p>
            <w:pPr>
              <w:rPr>
                <w:rFonts w:hint="eastAsia" w:ascii="宋体" w:hAnsi="宋体" w:eastAsia="宋体" w:cs="宋体"/>
                <w:color w:val="auto"/>
                <w:sz w:val="28"/>
                <w:szCs w:val="28"/>
                <w:highlight w:val="none"/>
              </w:rPr>
            </w:pPr>
          </w:p>
        </w:tc>
        <w:tc>
          <w:tcPr>
            <w:tcW w:w="1125" w:type="dxa"/>
            <w:vAlign w:val="center"/>
          </w:tcPr>
          <w:p>
            <w:pP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1" w:type="dxa"/>
            <w:vAlign w:val="center"/>
          </w:tcPr>
          <w:p>
            <w:pPr>
              <w:rPr>
                <w:rFonts w:hint="eastAsia" w:ascii="宋体" w:hAnsi="宋体" w:eastAsia="宋体" w:cs="宋体"/>
                <w:color w:val="auto"/>
                <w:sz w:val="28"/>
                <w:szCs w:val="28"/>
                <w:highlight w:val="none"/>
              </w:rPr>
            </w:pPr>
          </w:p>
        </w:tc>
        <w:tc>
          <w:tcPr>
            <w:tcW w:w="1139" w:type="dxa"/>
            <w:vAlign w:val="center"/>
          </w:tcPr>
          <w:p>
            <w:pPr>
              <w:rPr>
                <w:rFonts w:hint="eastAsia" w:ascii="宋体" w:hAnsi="宋体" w:eastAsia="宋体" w:cs="宋体"/>
                <w:color w:val="auto"/>
                <w:sz w:val="28"/>
                <w:szCs w:val="28"/>
                <w:highlight w:val="none"/>
              </w:rPr>
            </w:pPr>
          </w:p>
        </w:tc>
        <w:tc>
          <w:tcPr>
            <w:tcW w:w="1106" w:type="dxa"/>
            <w:vAlign w:val="center"/>
          </w:tcPr>
          <w:p>
            <w:pPr>
              <w:rPr>
                <w:rFonts w:hint="eastAsia" w:ascii="宋体" w:hAnsi="宋体" w:eastAsia="宋体" w:cs="宋体"/>
                <w:color w:val="auto"/>
                <w:sz w:val="28"/>
                <w:szCs w:val="28"/>
                <w:highlight w:val="none"/>
              </w:rPr>
            </w:pPr>
          </w:p>
        </w:tc>
        <w:tc>
          <w:tcPr>
            <w:tcW w:w="1455" w:type="dxa"/>
            <w:vAlign w:val="center"/>
          </w:tcPr>
          <w:p>
            <w:pPr>
              <w:rPr>
                <w:rFonts w:hint="eastAsia" w:ascii="宋体" w:hAnsi="宋体" w:eastAsia="宋体" w:cs="宋体"/>
                <w:color w:val="auto"/>
                <w:sz w:val="28"/>
                <w:szCs w:val="28"/>
                <w:highlight w:val="none"/>
              </w:rPr>
            </w:pPr>
          </w:p>
        </w:tc>
        <w:tc>
          <w:tcPr>
            <w:tcW w:w="2805" w:type="dxa"/>
            <w:vAlign w:val="center"/>
          </w:tcPr>
          <w:p>
            <w:pPr>
              <w:rPr>
                <w:rFonts w:hint="eastAsia" w:ascii="宋体" w:hAnsi="宋体" w:eastAsia="宋体" w:cs="宋体"/>
                <w:color w:val="auto"/>
                <w:sz w:val="28"/>
                <w:szCs w:val="28"/>
                <w:highlight w:val="none"/>
              </w:rPr>
            </w:pPr>
          </w:p>
        </w:tc>
        <w:tc>
          <w:tcPr>
            <w:tcW w:w="1125" w:type="dxa"/>
            <w:vAlign w:val="center"/>
          </w:tcPr>
          <w:p>
            <w:pP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1" w:type="dxa"/>
            <w:vAlign w:val="center"/>
          </w:tcPr>
          <w:p>
            <w:pPr>
              <w:rPr>
                <w:rFonts w:hint="eastAsia" w:ascii="宋体" w:hAnsi="宋体" w:eastAsia="宋体" w:cs="宋体"/>
                <w:color w:val="auto"/>
                <w:sz w:val="28"/>
                <w:szCs w:val="28"/>
                <w:highlight w:val="none"/>
              </w:rPr>
            </w:pPr>
          </w:p>
        </w:tc>
        <w:tc>
          <w:tcPr>
            <w:tcW w:w="1139" w:type="dxa"/>
            <w:vAlign w:val="center"/>
          </w:tcPr>
          <w:p>
            <w:pPr>
              <w:rPr>
                <w:rFonts w:hint="eastAsia" w:ascii="宋体" w:hAnsi="宋体" w:eastAsia="宋体" w:cs="宋体"/>
                <w:color w:val="auto"/>
                <w:sz w:val="28"/>
                <w:szCs w:val="28"/>
                <w:highlight w:val="none"/>
              </w:rPr>
            </w:pPr>
          </w:p>
        </w:tc>
        <w:tc>
          <w:tcPr>
            <w:tcW w:w="1106" w:type="dxa"/>
            <w:vAlign w:val="center"/>
          </w:tcPr>
          <w:p>
            <w:pPr>
              <w:rPr>
                <w:rFonts w:hint="eastAsia" w:ascii="宋体" w:hAnsi="宋体" w:eastAsia="宋体" w:cs="宋体"/>
                <w:color w:val="auto"/>
                <w:sz w:val="28"/>
                <w:szCs w:val="28"/>
                <w:highlight w:val="none"/>
              </w:rPr>
            </w:pPr>
          </w:p>
        </w:tc>
        <w:tc>
          <w:tcPr>
            <w:tcW w:w="1455" w:type="dxa"/>
            <w:vAlign w:val="center"/>
          </w:tcPr>
          <w:p>
            <w:pPr>
              <w:rPr>
                <w:rFonts w:hint="eastAsia" w:ascii="宋体" w:hAnsi="宋体" w:eastAsia="宋体" w:cs="宋体"/>
                <w:color w:val="auto"/>
                <w:sz w:val="28"/>
                <w:szCs w:val="28"/>
                <w:highlight w:val="none"/>
              </w:rPr>
            </w:pPr>
          </w:p>
        </w:tc>
        <w:tc>
          <w:tcPr>
            <w:tcW w:w="2805" w:type="dxa"/>
            <w:vAlign w:val="center"/>
          </w:tcPr>
          <w:p>
            <w:pPr>
              <w:rPr>
                <w:rFonts w:hint="eastAsia" w:ascii="宋体" w:hAnsi="宋体" w:eastAsia="宋体" w:cs="宋体"/>
                <w:color w:val="auto"/>
                <w:sz w:val="28"/>
                <w:szCs w:val="28"/>
                <w:highlight w:val="none"/>
              </w:rPr>
            </w:pPr>
          </w:p>
        </w:tc>
        <w:tc>
          <w:tcPr>
            <w:tcW w:w="1125" w:type="dxa"/>
            <w:vAlign w:val="center"/>
          </w:tcPr>
          <w:p>
            <w:pP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1" w:type="dxa"/>
            <w:vAlign w:val="center"/>
          </w:tcPr>
          <w:p>
            <w:pPr>
              <w:rPr>
                <w:rFonts w:hint="eastAsia" w:ascii="宋体" w:hAnsi="宋体" w:eastAsia="宋体" w:cs="宋体"/>
                <w:color w:val="auto"/>
                <w:sz w:val="28"/>
                <w:szCs w:val="28"/>
                <w:highlight w:val="none"/>
              </w:rPr>
            </w:pPr>
          </w:p>
        </w:tc>
        <w:tc>
          <w:tcPr>
            <w:tcW w:w="1139" w:type="dxa"/>
            <w:vAlign w:val="center"/>
          </w:tcPr>
          <w:p>
            <w:pPr>
              <w:rPr>
                <w:rFonts w:hint="eastAsia" w:ascii="宋体" w:hAnsi="宋体" w:eastAsia="宋体" w:cs="宋体"/>
                <w:color w:val="auto"/>
                <w:sz w:val="28"/>
                <w:szCs w:val="28"/>
                <w:highlight w:val="none"/>
              </w:rPr>
            </w:pPr>
          </w:p>
        </w:tc>
        <w:tc>
          <w:tcPr>
            <w:tcW w:w="1106" w:type="dxa"/>
            <w:vAlign w:val="center"/>
          </w:tcPr>
          <w:p>
            <w:pPr>
              <w:rPr>
                <w:rFonts w:hint="eastAsia" w:ascii="宋体" w:hAnsi="宋体" w:eastAsia="宋体" w:cs="宋体"/>
                <w:color w:val="auto"/>
                <w:sz w:val="28"/>
                <w:szCs w:val="28"/>
                <w:highlight w:val="none"/>
              </w:rPr>
            </w:pPr>
          </w:p>
        </w:tc>
        <w:tc>
          <w:tcPr>
            <w:tcW w:w="1455" w:type="dxa"/>
            <w:vAlign w:val="center"/>
          </w:tcPr>
          <w:p>
            <w:pPr>
              <w:rPr>
                <w:rFonts w:hint="eastAsia" w:ascii="宋体" w:hAnsi="宋体" w:eastAsia="宋体" w:cs="宋体"/>
                <w:color w:val="auto"/>
                <w:sz w:val="28"/>
                <w:szCs w:val="28"/>
                <w:highlight w:val="none"/>
              </w:rPr>
            </w:pPr>
          </w:p>
        </w:tc>
        <w:tc>
          <w:tcPr>
            <w:tcW w:w="2805" w:type="dxa"/>
            <w:vAlign w:val="center"/>
          </w:tcPr>
          <w:p>
            <w:pPr>
              <w:rPr>
                <w:rFonts w:hint="eastAsia" w:ascii="宋体" w:hAnsi="宋体" w:eastAsia="宋体" w:cs="宋体"/>
                <w:color w:val="auto"/>
                <w:sz w:val="28"/>
                <w:szCs w:val="28"/>
                <w:highlight w:val="none"/>
              </w:rPr>
            </w:pPr>
          </w:p>
        </w:tc>
        <w:tc>
          <w:tcPr>
            <w:tcW w:w="1125" w:type="dxa"/>
            <w:vAlign w:val="center"/>
          </w:tcPr>
          <w:p>
            <w:pP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1" w:type="dxa"/>
            <w:vAlign w:val="center"/>
          </w:tcPr>
          <w:p>
            <w:pPr>
              <w:rPr>
                <w:rFonts w:hint="eastAsia" w:ascii="宋体" w:hAnsi="宋体" w:eastAsia="宋体" w:cs="宋体"/>
                <w:color w:val="auto"/>
                <w:sz w:val="28"/>
                <w:szCs w:val="28"/>
                <w:highlight w:val="none"/>
              </w:rPr>
            </w:pPr>
          </w:p>
        </w:tc>
        <w:tc>
          <w:tcPr>
            <w:tcW w:w="1139" w:type="dxa"/>
            <w:vAlign w:val="center"/>
          </w:tcPr>
          <w:p>
            <w:pPr>
              <w:rPr>
                <w:rFonts w:hint="eastAsia" w:ascii="宋体" w:hAnsi="宋体" w:eastAsia="宋体" w:cs="宋体"/>
                <w:color w:val="auto"/>
                <w:sz w:val="28"/>
                <w:szCs w:val="28"/>
                <w:highlight w:val="none"/>
              </w:rPr>
            </w:pPr>
          </w:p>
        </w:tc>
        <w:tc>
          <w:tcPr>
            <w:tcW w:w="1106" w:type="dxa"/>
            <w:vAlign w:val="center"/>
          </w:tcPr>
          <w:p>
            <w:pPr>
              <w:rPr>
                <w:rFonts w:hint="eastAsia" w:ascii="宋体" w:hAnsi="宋体" w:eastAsia="宋体" w:cs="宋体"/>
                <w:color w:val="auto"/>
                <w:sz w:val="28"/>
                <w:szCs w:val="28"/>
                <w:highlight w:val="none"/>
              </w:rPr>
            </w:pPr>
          </w:p>
        </w:tc>
        <w:tc>
          <w:tcPr>
            <w:tcW w:w="1455" w:type="dxa"/>
            <w:vAlign w:val="center"/>
          </w:tcPr>
          <w:p>
            <w:pPr>
              <w:rPr>
                <w:rFonts w:hint="eastAsia" w:ascii="宋体" w:hAnsi="宋体" w:eastAsia="宋体" w:cs="宋体"/>
                <w:color w:val="auto"/>
                <w:sz w:val="28"/>
                <w:szCs w:val="28"/>
                <w:highlight w:val="none"/>
              </w:rPr>
            </w:pPr>
          </w:p>
        </w:tc>
        <w:tc>
          <w:tcPr>
            <w:tcW w:w="2805" w:type="dxa"/>
            <w:vAlign w:val="center"/>
          </w:tcPr>
          <w:p>
            <w:pPr>
              <w:rPr>
                <w:rFonts w:hint="eastAsia" w:ascii="宋体" w:hAnsi="宋体" w:eastAsia="宋体" w:cs="宋体"/>
                <w:color w:val="auto"/>
                <w:sz w:val="28"/>
                <w:szCs w:val="28"/>
                <w:highlight w:val="none"/>
              </w:rPr>
            </w:pPr>
          </w:p>
        </w:tc>
        <w:tc>
          <w:tcPr>
            <w:tcW w:w="1125" w:type="dxa"/>
            <w:vAlign w:val="center"/>
          </w:tcPr>
          <w:p>
            <w:pP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1" w:type="dxa"/>
            <w:vAlign w:val="center"/>
          </w:tcPr>
          <w:p>
            <w:pPr>
              <w:rPr>
                <w:rFonts w:hint="eastAsia" w:ascii="宋体" w:hAnsi="宋体" w:eastAsia="宋体" w:cs="宋体"/>
                <w:color w:val="auto"/>
                <w:sz w:val="28"/>
                <w:szCs w:val="28"/>
                <w:highlight w:val="none"/>
              </w:rPr>
            </w:pPr>
          </w:p>
        </w:tc>
        <w:tc>
          <w:tcPr>
            <w:tcW w:w="1139" w:type="dxa"/>
            <w:vAlign w:val="center"/>
          </w:tcPr>
          <w:p>
            <w:pPr>
              <w:rPr>
                <w:rFonts w:hint="eastAsia" w:ascii="宋体" w:hAnsi="宋体" w:eastAsia="宋体" w:cs="宋体"/>
                <w:color w:val="auto"/>
                <w:sz w:val="28"/>
                <w:szCs w:val="28"/>
                <w:highlight w:val="none"/>
              </w:rPr>
            </w:pPr>
          </w:p>
        </w:tc>
        <w:tc>
          <w:tcPr>
            <w:tcW w:w="1106" w:type="dxa"/>
            <w:vAlign w:val="center"/>
          </w:tcPr>
          <w:p>
            <w:pPr>
              <w:rPr>
                <w:rFonts w:hint="eastAsia" w:ascii="宋体" w:hAnsi="宋体" w:eastAsia="宋体" w:cs="宋体"/>
                <w:color w:val="auto"/>
                <w:sz w:val="28"/>
                <w:szCs w:val="28"/>
                <w:highlight w:val="none"/>
              </w:rPr>
            </w:pPr>
          </w:p>
        </w:tc>
        <w:tc>
          <w:tcPr>
            <w:tcW w:w="1455" w:type="dxa"/>
            <w:vAlign w:val="center"/>
          </w:tcPr>
          <w:p>
            <w:pPr>
              <w:rPr>
                <w:rFonts w:hint="eastAsia" w:ascii="宋体" w:hAnsi="宋体" w:eastAsia="宋体" w:cs="宋体"/>
                <w:color w:val="auto"/>
                <w:sz w:val="28"/>
                <w:szCs w:val="28"/>
                <w:highlight w:val="none"/>
              </w:rPr>
            </w:pPr>
          </w:p>
        </w:tc>
        <w:tc>
          <w:tcPr>
            <w:tcW w:w="2805" w:type="dxa"/>
            <w:vAlign w:val="center"/>
          </w:tcPr>
          <w:p>
            <w:pPr>
              <w:rPr>
                <w:rFonts w:hint="eastAsia" w:ascii="宋体" w:hAnsi="宋体" w:eastAsia="宋体" w:cs="宋体"/>
                <w:color w:val="auto"/>
                <w:sz w:val="28"/>
                <w:szCs w:val="28"/>
                <w:highlight w:val="none"/>
              </w:rPr>
            </w:pPr>
          </w:p>
        </w:tc>
        <w:tc>
          <w:tcPr>
            <w:tcW w:w="1125" w:type="dxa"/>
            <w:vAlign w:val="center"/>
          </w:tcPr>
          <w:p>
            <w:pP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1" w:type="dxa"/>
            <w:vAlign w:val="center"/>
          </w:tcPr>
          <w:p>
            <w:pPr>
              <w:rPr>
                <w:rFonts w:hint="eastAsia" w:ascii="宋体" w:hAnsi="宋体" w:eastAsia="宋体" w:cs="宋体"/>
                <w:color w:val="auto"/>
                <w:sz w:val="28"/>
                <w:szCs w:val="28"/>
                <w:highlight w:val="none"/>
              </w:rPr>
            </w:pPr>
          </w:p>
        </w:tc>
        <w:tc>
          <w:tcPr>
            <w:tcW w:w="1139" w:type="dxa"/>
            <w:vAlign w:val="center"/>
          </w:tcPr>
          <w:p>
            <w:pPr>
              <w:rPr>
                <w:rFonts w:hint="eastAsia" w:ascii="宋体" w:hAnsi="宋体" w:eastAsia="宋体" w:cs="宋体"/>
                <w:color w:val="auto"/>
                <w:sz w:val="28"/>
                <w:szCs w:val="28"/>
                <w:highlight w:val="none"/>
              </w:rPr>
            </w:pPr>
          </w:p>
        </w:tc>
        <w:tc>
          <w:tcPr>
            <w:tcW w:w="1106" w:type="dxa"/>
            <w:vAlign w:val="center"/>
          </w:tcPr>
          <w:p>
            <w:pPr>
              <w:rPr>
                <w:rFonts w:hint="eastAsia" w:ascii="宋体" w:hAnsi="宋体" w:eastAsia="宋体" w:cs="宋体"/>
                <w:color w:val="auto"/>
                <w:sz w:val="28"/>
                <w:szCs w:val="28"/>
                <w:highlight w:val="none"/>
              </w:rPr>
            </w:pPr>
          </w:p>
        </w:tc>
        <w:tc>
          <w:tcPr>
            <w:tcW w:w="1455" w:type="dxa"/>
            <w:vAlign w:val="center"/>
          </w:tcPr>
          <w:p>
            <w:pPr>
              <w:rPr>
                <w:rFonts w:hint="eastAsia" w:ascii="宋体" w:hAnsi="宋体" w:eastAsia="宋体" w:cs="宋体"/>
                <w:color w:val="auto"/>
                <w:sz w:val="28"/>
                <w:szCs w:val="28"/>
                <w:highlight w:val="none"/>
              </w:rPr>
            </w:pPr>
          </w:p>
        </w:tc>
        <w:tc>
          <w:tcPr>
            <w:tcW w:w="2805" w:type="dxa"/>
            <w:vAlign w:val="center"/>
          </w:tcPr>
          <w:p>
            <w:pPr>
              <w:rPr>
                <w:rFonts w:hint="eastAsia" w:ascii="宋体" w:hAnsi="宋体" w:eastAsia="宋体" w:cs="宋体"/>
                <w:color w:val="auto"/>
                <w:sz w:val="28"/>
                <w:szCs w:val="28"/>
                <w:highlight w:val="none"/>
              </w:rPr>
            </w:pPr>
          </w:p>
        </w:tc>
        <w:tc>
          <w:tcPr>
            <w:tcW w:w="1125" w:type="dxa"/>
            <w:vAlign w:val="center"/>
          </w:tcPr>
          <w:p>
            <w:pP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1" w:type="dxa"/>
            <w:vAlign w:val="center"/>
          </w:tcPr>
          <w:p>
            <w:pPr>
              <w:rPr>
                <w:rFonts w:hint="eastAsia" w:ascii="宋体" w:hAnsi="宋体" w:eastAsia="宋体" w:cs="宋体"/>
                <w:color w:val="auto"/>
                <w:sz w:val="28"/>
                <w:szCs w:val="28"/>
                <w:highlight w:val="none"/>
              </w:rPr>
            </w:pPr>
          </w:p>
        </w:tc>
        <w:tc>
          <w:tcPr>
            <w:tcW w:w="1139" w:type="dxa"/>
            <w:vAlign w:val="center"/>
          </w:tcPr>
          <w:p>
            <w:pPr>
              <w:rPr>
                <w:rFonts w:hint="eastAsia" w:ascii="宋体" w:hAnsi="宋体" w:eastAsia="宋体" w:cs="宋体"/>
                <w:color w:val="auto"/>
                <w:sz w:val="28"/>
                <w:szCs w:val="28"/>
                <w:highlight w:val="none"/>
              </w:rPr>
            </w:pPr>
          </w:p>
        </w:tc>
        <w:tc>
          <w:tcPr>
            <w:tcW w:w="1106" w:type="dxa"/>
            <w:vAlign w:val="center"/>
          </w:tcPr>
          <w:p>
            <w:pPr>
              <w:rPr>
                <w:rFonts w:hint="eastAsia" w:ascii="宋体" w:hAnsi="宋体" w:eastAsia="宋体" w:cs="宋体"/>
                <w:color w:val="auto"/>
                <w:sz w:val="28"/>
                <w:szCs w:val="28"/>
                <w:highlight w:val="none"/>
              </w:rPr>
            </w:pPr>
          </w:p>
        </w:tc>
        <w:tc>
          <w:tcPr>
            <w:tcW w:w="1455" w:type="dxa"/>
            <w:vAlign w:val="center"/>
          </w:tcPr>
          <w:p>
            <w:pPr>
              <w:rPr>
                <w:rFonts w:hint="eastAsia" w:ascii="宋体" w:hAnsi="宋体" w:eastAsia="宋体" w:cs="宋体"/>
                <w:color w:val="auto"/>
                <w:sz w:val="28"/>
                <w:szCs w:val="28"/>
                <w:highlight w:val="none"/>
              </w:rPr>
            </w:pPr>
          </w:p>
        </w:tc>
        <w:tc>
          <w:tcPr>
            <w:tcW w:w="2805" w:type="dxa"/>
            <w:vAlign w:val="center"/>
          </w:tcPr>
          <w:p>
            <w:pPr>
              <w:rPr>
                <w:rFonts w:hint="eastAsia" w:ascii="宋体" w:hAnsi="宋体" w:eastAsia="宋体" w:cs="宋体"/>
                <w:color w:val="auto"/>
                <w:sz w:val="28"/>
                <w:szCs w:val="28"/>
                <w:highlight w:val="none"/>
              </w:rPr>
            </w:pPr>
          </w:p>
        </w:tc>
        <w:tc>
          <w:tcPr>
            <w:tcW w:w="1125" w:type="dxa"/>
            <w:vAlign w:val="center"/>
          </w:tcPr>
          <w:p>
            <w:pP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1" w:type="dxa"/>
            <w:vAlign w:val="center"/>
          </w:tcPr>
          <w:p>
            <w:pPr>
              <w:rPr>
                <w:rFonts w:hint="eastAsia" w:ascii="宋体" w:hAnsi="宋体" w:eastAsia="宋体" w:cs="宋体"/>
                <w:color w:val="auto"/>
                <w:sz w:val="28"/>
                <w:szCs w:val="28"/>
                <w:highlight w:val="none"/>
              </w:rPr>
            </w:pPr>
          </w:p>
        </w:tc>
        <w:tc>
          <w:tcPr>
            <w:tcW w:w="1139" w:type="dxa"/>
            <w:vAlign w:val="center"/>
          </w:tcPr>
          <w:p>
            <w:pPr>
              <w:rPr>
                <w:rFonts w:hint="eastAsia" w:ascii="宋体" w:hAnsi="宋体" w:eastAsia="宋体" w:cs="宋体"/>
                <w:color w:val="auto"/>
                <w:sz w:val="28"/>
                <w:szCs w:val="28"/>
                <w:highlight w:val="none"/>
              </w:rPr>
            </w:pPr>
          </w:p>
        </w:tc>
        <w:tc>
          <w:tcPr>
            <w:tcW w:w="1106" w:type="dxa"/>
            <w:vAlign w:val="center"/>
          </w:tcPr>
          <w:p>
            <w:pPr>
              <w:rPr>
                <w:rFonts w:hint="eastAsia" w:ascii="宋体" w:hAnsi="宋体" w:eastAsia="宋体" w:cs="宋体"/>
                <w:color w:val="auto"/>
                <w:sz w:val="28"/>
                <w:szCs w:val="28"/>
                <w:highlight w:val="none"/>
              </w:rPr>
            </w:pPr>
          </w:p>
        </w:tc>
        <w:tc>
          <w:tcPr>
            <w:tcW w:w="1455" w:type="dxa"/>
            <w:vAlign w:val="center"/>
          </w:tcPr>
          <w:p>
            <w:pPr>
              <w:rPr>
                <w:rFonts w:hint="eastAsia" w:ascii="宋体" w:hAnsi="宋体" w:eastAsia="宋体" w:cs="宋体"/>
                <w:color w:val="auto"/>
                <w:sz w:val="28"/>
                <w:szCs w:val="28"/>
                <w:highlight w:val="none"/>
              </w:rPr>
            </w:pPr>
          </w:p>
        </w:tc>
        <w:tc>
          <w:tcPr>
            <w:tcW w:w="2805" w:type="dxa"/>
            <w:vAlign w:val="center"/>
          </w:tcPr>
          <w:p>
            <w:pPr>
              <w:rPr>
                <w:rFonts w:hint="eastAsia" w:ascii="宋体" w:hAnsi="宋体" w:eastAsia="宋体" w:cs="宋体"/>
                <w:color w:val="auto"/>
                <w:sz w:val="28"/>
                <w:szCs w:val="28"/>
                <w:highlight w:val="none"/>
              </w:rPr>
            </w:pPr>
          </w:p>
        </w:tc>
        <w:tc>
          <w:tcPr>
            <w:tcW w:w="1125" w:type="dxa"/>
            <w:vAlign w:val="center"/>
          </w:tcPr>
          <w:p>
            <w:pP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1" w:type="dxa"/>
            <w:vAlign w:val="center"/>
          </w:tcPr>
          <w:p>
            <w:pPr>
              <w:rPr>
                <w:rFonts w:hint="eastAsia" w:ascii="宋体" w:hAnsi="宋体" w:eastAsia="宋体" w:cs="宋体"/>
                <w:color w:val="auto"/>
                <w:sz w:val="28"/>
                <w:szCs w:val="28"/>
                <w:highlight w:val="none"/>
              </w:rPr>
            </w:pPr>
          </w:p>
        </w:tc>
        <w:tc>
          <w:tcPr>
            <w:tcW w:w="1139" w:type="dxa"/>
            <w:vAlign w:val="center"/>
          </w:tcPr>
          <w:p>
            <w:pPr>
              <w:rPr>
                <w:rFonts w:hint="eastAsia" w:ascii="宋体" w:hAnsi="宋体" w:eastAsia="宋体" w:cs="宋体"/>
                <w:color w:val="auto"/>
                <w:sz w:val="28"/>
                <w:szCs w:val="28"/>
                <w:highlight w:val="none"/>
              </w:rPr>
            </w:pPr>
          </w:p>
        </w:tc>
        <w:tc>
          <w:tcPr>
            <w:tcW w:w="1106" w:type="dxa"/>
            <w:vAlign w:val="center"/>
          </w:tcPr>
          <w:p>
            <w:pPr>
              <w:rPr>
                <w:rFonts w:hint="eastAsia" w:ascii="宋体" w:hAnsi="宋体" w:eastAsia="宋体" w:cs="宋体"/>
                <w:color w:val="auto"/>
                <w:sz w:val="28"/>
                <w:szCs w:val="28"/>
                <w:highlight w:val="none"/>
              </w:rPr>
            </w:pPr>
          </w:p>
        </w:tc>
        <w:tc>
          <w:tcPr>
            <w:tcW w:w="1455" w:type="dxa"/>
            <w:vAlign w:val="center"/>
          </w:tcPr>
          <w:p>
            <w:pPr>
              <w:rPr>
                <w:rFonts w:hint="eastAsia" w:ascii="宋体" w:hAnsi="宋体" w:eastAsia="宋体" w:cs="宋体"/>
                <w:color w:val="auto"/>
                <w:sz w:val="28"/>
                <w:szCs w:val="28"/>
                <w:highlight w:val="none"/>
              </w:rPr>
            </w:pPr>
          </w:p>
        </w:tc>
        <w:tc>
          <w:tcPr>
            <w:tcW w:w="2805" w:type="dxa"/>
            <w:vAlign w:val="center"/>
          </w:tcPr>
          <w:p>
            <w:pPr>
              <w:rPr>
                <w:rFonts w:hint="eastAsia" w:ascii="宋体" w:hAnsi="宋体" w:eastAsia="宋体" w:cs="宋体"/>
                <w:color w:val="auto"/>
                <w:sz w:val="28"/>
                <w:szCs w:val="28"/>
                <w:highlight w:val="none"/>
              </w:rPr>
            </w:pPr>
          </w:p>
        </w:tc>
        <w:tc>
          <w:tcPr>
            <w:tcW w:w="1125" w:type="dxa"/>
            <w:vAlign w:val="center"/>
          </w:tcPr>
          <w:p>
            <w:pP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1" w:type="dxa"/>
            <w:vAlign w:val="center"/>
          </w:tcPr>
          <w:p>
            <w:pPr>
              <w:rPr>
                <w:rFonts w:hint="eastAsia" w:ascii="宋体" w:hAnsi="宋体" w:eastAsia="宋体" w:cs="宋体"/>
                <w:color w:val="auto"/>
                <w:sz w:val="28"/>
                <w:szCs w:val="28"/>
                <w:highlight w:val="none"/>
              </w:rPr>
            </w:pPr>
          </w:p>
        </w:tc>
        <w:tc>
          <w:tcPr>
            <w:tcW w:w="1139" w:type="dxa"/>
            <w:vAlign w:val="center"/>
          </w:tcPr>
          <w:p>
            <w:pPr>
              <w:rPr>
                <w:rFonts w:hint="eastAsia" w:ascii="宋体" w:hAnsi="宋体" w:eastAsia="宋体" w:cs="宋体"/>
                <w:color w:val="auto"/>
                <w:sz w:val="28"/>
                <w:szCs w:val="28"/>
                <w:highlight w:val="none"/>
              </w:rPr>
            </w:pPr>
          </w:p>
        </w:tc>
        <w:tc>
          <w:tcPr>
            <w:tcW w:w="1106" w:type="dxa"/>
            <w:vAlign w:val="center"/>
          </w:tcPr>
          <w:p>
            <w:pPr>
              <w:rPr>
                <w:rFonts w:hint="eastAsia" w:ascii="宋体" w:hAnsi="宋体" w:eastAsia="宋体" w:cs="宋体"/>
                <w:color w:val="auto"/>
                <w:sz w:val="28"/>
                <w:szCs w:val="28"/>
                <w:highlight w:val="none"/>
              </w:rPr>
            </w:pPr>
          </w:p>
        </w:tc>
        <w:tc>
          <w:tcPr>
            <w:tcW w:w="1455" w:type="dxa"/>
            <w:vAlign w:val="center"/>
          </w:tcPr>
          <w:p>
            <w:pPr>
              <w:rPr>
                <w:rFonts w:hint="eastAsia" w:ascii="宋体" w:hAnsi="宋体" w:eastAsia="宋体" w:cs="宋体"/>
                <w:color w:val="auto"/>
                <w:sz w:val="28"/>
                <w:szCs w:val="28"/>
                <w:highlight w:val="none"/>
              </w:rPr>
            </w:pPr>
          </w:p>
        </w:tc>
        <w:tc>
          <w:tcPr>
            <w:tcW w:w="2805" w:type="dxa"/>
            <w:vAlign w:val="center"/>
          </w:tcPr>
          <w:p>
            <w:pPr>
              <w:rPr>
                <w:rFonts w:hint="eastAsia" w:ascii="宋体" w:hAnsi="宋体" w:eastAsia="宋体" w:cs="宋体"/>
                <w:color w:val="auto"/>
                <w:sz w:val="28"/>
                <w:szCs w:val="28"/>
                <w:highlight w:val="none"/>
              </w:rPr>
            </w:pPr>
          </w:p>
        </w:tc>
        <w:tc>
          <w:tcPr>
            <w:tcW w:w="1125" w:type="dxa"/>
            <w:vAlign w:val="center"/>
          </w:tcPr>
          <w:p>
            <w:pPr>
              <w:rPr>
                <w:rFonts w:hint="eastAsia" w:ascii="宋体" w:hAnsi="宋体" w:eastAsia="宋体" w:cs="宋体"/>
                <w:color w:val="auto"/>
                <w:sz w:val="28"/>
                <w:szCs w:val="28"/>
                <w:highlight w:val="none"/>
              </w:rPr>
            </w:pP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rPr>
          <w:rFonts w:hint="eastAsia" w:ascii="宋体" w:hAnsi="宋体" w:eastAsia="宋体" w:cs="宋体"/>
          <w:color w:val="auto"/>
          <w:szCs w:val="28"/>
          <w:highlight w:val="none"/>
        </w:rPr>
      </w:pPr>
    </w:p>
    <w:p>
      <w:pPr>
        <w:pStyle w:val="75"/>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供应商（公章）：</w:t>
      </w:r>
    </w:p>
    <w:p>
      <w:pPr>
        <w:pStyle w:val="75"/>
        <w:snapToGrid w:val="0"/>
        <w:spacing w:line="360" w:lineRule="auto"/>
        <w:rPr>
          <w:rFonts w:hint="eastAsia" w:ascii="宋体" w:hAnsi="宋体" w:eastAsia="宋体" w:cs="宋体"/>
          <w:color w:val="auto"/>
          <w:sz w:val="28"/>
          <w:szCs w:val="28"/>
          <w:highlight w:val="none"/>
        </w:rPr>
      </w:pPr>
    </w:p>
    <w:p>
      <w:pPr>
        <w:pStyle w:val="75"/>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法定代表人或授权代理人（签章）： </w:t>
      </w:r>
    </w:p>
    <w:p>
      <w:pPr>
        <w:widowControl/>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pPr>
        <w:widowControl/>
        <w:jc w:val="left"/>
        <w:rPr>
          <w:rFonts w:hint="eastAsia" w:ascii="宋体" w:hAnsi="宋体" w:eastAsia="宋体" w:cs="宋体"/>
          <w:b/>
          <w:color w:val="auto"/>
          <w:kern w:val="0"/>
          <w:sz w:val="30"/>
          <w:szCs w:val="24"/>
          <w:highlight w:val="none"/>
        </w:rPr>
      </w:pPr>
      <w:r>
        <w:rPr>
          <w:rFonts w:hint="eastAsia" w:ascii="宋体" w:hAnsi="宋体" w:eastAsia="宋体" w:cs="宋体"/>
          <w:color w:val="auto"/>
          <w:sz w:val="24"/>
          <w:szCs w:val="24"/>
          <w:highlight w:val="none"/>
        </w:rPr>
        <w:br w:type="page"/>
      </w:r>
    </w:p>
    <w:p>
      <w:pPr>
        <w:widowControl/>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六、服务方案</w:t>
      </w:r>
    </w:p>
    <w:p>
      <w:pPr>
        <w:jc w:val="center"/>
        <w:rPr>
          <w:rFonts w:hint="eastAsia" w:ascii="宋体" w:hAnsi="宋体" w:eastAsia="宋体" w:cs="宋体"/>
          <w:b/>
          <w:color w:val="auto"/>
          <w:sz w:val="30"/>
          <w:highlight w:val="none"/>
        </w:rPr>
      </w:pPr>
      <w:r>
        <w:rPr>
          <w:rFonts w:hint="eastAsia" w:ascii="宋体" w:hAnsi="宋体" w:eastAsia="宋体" w:cs="宋体"/>
          <w:b/>
          <w:color w:val="auto"/>
          <w:kern w:val="0"/>
          <w:sz w:val="28"/>
          <w:szCs w:val="22"/>
          <w:highlight w:val="none"/>
        </w:rPr>
        <w:t>由供应商自行编制</w:t>
      </w:r>
    </w:p>
    <w:p>
      <w:pPr>
        <w:rPr>
          <w:rFonts w:hint="eastAsia" w:ascii="宋体" w:hAnsi="宋体" w:eastAsia="宋体" w:cs="宋体"/>
          <w:b/>
          <w:color w:val="auto"/>
          <w:sz w:val="30"/>
          <w:szCs w:val="30"/>
          <w:highlight w:val="none"/>
        </w:rPr>
      </w:pPr>
      <w:r>
        <w:rPr>
          <w:rFonts w:hint="eastAsia" w:ascii="宋体" w:hAnsi="宋体" w:eastAsia="宋体" w:cs="宋体"/>
          <w:b/>
          <w:color w:val="auto"/>
          <w:sz w:val="30"/>
          <w:highlight w:val="none"/>
        </w:rPr>
        <w:br w:type="page"/>
      </w:r>
    </w:p>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七、投标保证金有关单据(复印件)</w:t>
      </w: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后附有效汇款凭证即可</w:t>
      </w: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highlight w:val="none"/>
        </w:rPr>
      </w:pPr>
    </w:p>
    <w:p>
      <w:pPr>
        <w:jc w:val="center"/>
        <w:rPr>
          <w:rFonts w:hint="eastAsia" w:ascii="宋体" w:hAnsi="宋体" w:eastAsia="宋体" w:cs="宋体"/>
          <w:b/>
          <w:color w:val="auto"/>
          <w:highlight w:val="none"/>
        </w:rPr>
      </w:pPr>
    </w:p>
    <w:p>
      <w:pPr>
        <w:jc w:val="center"/>
        <w:rPr>
          <w:rFonts w:hint="eastAsia" w:ascii="宋体" w:hAnsi="宋体" w:eastAsia="宋体" w:cs="宋体"/>
          <w:b/>
          <w:color w:val="auto"/>
          <w:highlight w:val="none"/>
        </w:rPr>
      </w:pPr>
    </w:p>
    <w:p>
      <w:pPr>
        <w:jc w:val="center"/>
        <w:rPr>
          <w:rFonts w:hint="eastAsia" w:ascii="宋体" w:hAnsi="宋体" w:eastAsia="宋体" w:cs="宋体"/>
          <w:b/>
          <w:color w:val="auto"/>
          <w:highlight w:val="none"/>
        </w:rPr>
      </w:pPr>
    </w:p>
    <w:p>
      <w:pPr>
        <w:jc w:val="center"/>
        <w:rPr>
          <w:rFonts w:hint="eastAsia" w:ascii="宋体" w:hAnsi="宋体" w:eastAsia="宋体" w:cs="宋体"/>
          <w:b/>
          <w:color w:val="auto"/>
          <w:highlight w:val="none"/>
        </w:rPr>
      </w:pPr>
    </w:p>
    <w:p>
      <w:pPr>
        <w:jc w:val="center"/>
        <w:rPr>
          <w:rFonts w:hint="eastAsia" w:ascii="宋体" w:hAnsi="宋体" w:eastAsia="宋体" w:cs="宋体"/>
          <w:b/>
          <w:color w:val="auto"/>
          <w:highlight w:val="none"/>
        </w:rPr>
      </w:pPr>
    </w:p>
    <w:p>
      <w:pPr>
        <w:jc w:val="center"/>
        <w:rPr>
          <w:rFonts w:hint="eastAsia" w:ascii="宋体" w:hAnsi="宋体" w:eastAsia="宋体" w:cs="宋体"/>
          <w:b/>
          <w:color w:val="auto"/>
          <w:highlight w:val="none"/>
        </w:rPr>
      </w:pPr>
    </w:p>
    <w:p>
      <w:pPr>
        <w:jc w:val="center"/>
        <w:rPr>
          <w:rFonts w:hint="eastAsia" w:ascii="宋体" w:hAnsi="宋体" w:eastAsia="宋体" w:cs="宋体"/>
          <w:b/>
          <w:color w:val="auto"/>
          <w:highlight w:val="none"/>
        </w:rPr>
      </w:pPr>
    </w:p>
    <w:p>
      <w:pPr>
        <w:rPr>
          <w:rFonts w:hint="eastAsia" w:ascii="宋体" w:hAnsi="宋体" w:eastAsia="宋体" w:cs="宋体"/>
          <w:b/>
          <w:color w:val="auto"/>
          <w:highlight w:val="none"/>
        </w:rPr>
      </w:pPr>
    </w:p>
    <w:p>
      <w:pPr>
        <w:jc w:val="left"/>
        <w:rPr>
          <w:rFonts w:hint="eastAsia" w:ascii="宋体" w:hAnsi="宋体" w:eastAsia="宋体" w:cs="宋体"/>
          <w:b/>
          <w:color w:val="auto"/>
          <w:sz w:val="28"/>
          <w:szCs w:val="28"/>
          <w:highlight w:val="none"/>
        </w:rPr>
      </w:pPr>
    </w:p>
    <w:p>
      <w:pPr>
        <w:widowControl/>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keepNext w:val="0"/>
        <w:keepLines w:val="0"/>
        <w:widowControl/>
        <w:suppressLineNumbers w:val="0"/>
        <w:jc w:val="center"/>
        <w:rPr>
          <w:sz w:val="32"/>
          <w:szCs w:val="32"/>
        </w:rPr>
      </w:pPr>
      <w:r>
        <w:rPr>
          <w:rFonts w:hint="eastAsia" w:ascii="宋体" w:hAnsi="宋体" w:eastAsia="宋体" w:cs="宋体"/>
          <w:b/>
          <w:bCs/>
          <w:color w:val="000000"/>
          <w:kern w:val="0"/>
          <w:sz w:val="32"/>
          <w:szCs w:val="32"/>
          <w:lang w:val="en-US" w:eastAsia="zh-CN" w:bidi="ar"/>
        </w:rPr>
        <w:t>中小企业声明函（工程</w:t>
      </w:r>
      <w:bookmarkStart w:id="86" w:name="_GoBack"/>
      <w:bookmarkEnd w:id="86"/>
      <w:r>
        <w:rPr>
          <w:rFonts w:hint="eastAsia" w:ascii="宋体" w:hAnsi="宋体" w:eastAsia="宋体" w:cs="宋体"/>
          <w:b/>
          <w:bCs/>
          <w:color w:val="000000"/>
          <w:kern w:val="0"/>
          <w:sz w:val="32"/>
          <w:szCs w:val="32"/>
          <w:lang w:val="en-US" w:eastAsia="zh-CN" w:bidi="ar"/>
        </w:rPr>
        <w:t>、服务）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本公司（联合体）郑重声明，根据《政府采购促进中小企业发展管理办法》（财库﹝2020﹞46 号）的规定，本公司</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（联合体）参加</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（单位名称）的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（项目名称）采购活动，工程的施工单位全部为符合政策要求的中小企业（或者：服务全部由符合政策要求的中小企业承接）。相关企业（含联合体中的中小企业、签订分包意向协议的中小企业）具体情况如下：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1.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（标的名称），属于（采购文件中明确的所属行业）；承建（承接）企业为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（企业名称），从业人员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万元，属于</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 xml:space="preserve">（中型企业、小型企业、微型企业）；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2.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（标的名称） ，属于</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（采购文件中明确的所属行业）；承建（承接）企业为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（企业名称），从业人员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万元，属于</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8"/>
          <w:szCs w:val="28"/>
          <w:lang w:val="en-US" w:eastAsia="zh-CN"/>
        </w:rPr>
        <w:t>（中型企业、小型企业、微型企业）；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本企业对上述声明内容的真实性负责。如有虚假，将依法承担相应责任。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企业名称（盖章）：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 期：</w:t>
      </w:r>
    </w:p>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备注：从业人员、营业收入、资产总额填报上一年度数据，无上一年度数据的新成立企业可不填报。</w:t>
      </w:r>
    </w:p>
    <w:p>
      <w:pPr>
        <w:jc w:val="center"/>
        <w:rPr>
          <w:b/>
          <w:color w:val="auto"/>
          <w:sz w:val="30"/>
          <w:szCs w:val="30"/>
          <w:highlight w:val="none"/>
        </w:rPr>
      </w:pPr>
      <w:r>
        <w:rPr>
          <w:rFonts w:hint="eastAsia" w:ascii="宋体" w:hAnsi="宋体" w:eastAsia="宋体" w:cs="宋体"/>
          <w:b/>
          <w:color w:val="auto"/>
          <w:sz w:val="30"/>
          <w:szCs w:val="30"/>
          <w:highlight w:val="none"/>
        </w:rPr>
        <w:t>八、其他资料</w:t>
      </w:r>
    </w:p>
    <w:bookmarkEnd w:id="77"/>
    <w:bookmarkEnd w:id="78"/>
    <w:bookmarkEnd w:id="79"/>
    <w:bookmarkEnd w:id="80"/>
    <w:bookmarkEnd w:id="83"/>
    <w:bookmarkEnd w:id="84"/>
    <w:bookmarkEnd w:id="85"/>
    <w:p>
      <w:pPr>
        <w:pStyle w:val="4"/>
        <w:numPr>
          <w:ilvl w:val="1"/>
          <w:numId w:val="0"/>
        </w:numPr>
        <w:spacing w:line="360" w:lineRule="exact"/>
        <w:outlineLvl w:val="9"/>
        <w:rPr>
          <w:b w:val="0"/>
          <w:color w:val="auto"/>
          <w:sz w:val="24"/>
          <w:highlight w:val="none"/>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长城仿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tabs>
        <w:tab w:val="center" w:pos="4535"/>
        <w:tab w:val="clear" w:pos="4153"/>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p>
    <w:pPr>
      <w:pStyle w:val="20"/>
      <w:tabs>
        <w:tab w:val="center" w:pos="4535"/>
        <w:tab w:val="clear" w:pos="4153"/>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7770"/>
      </w:tabs>
      <w:ind w:left="3791" w:right="360" w:hanging="3790" w:hangingChars="2106"/>
      <w:rPr>
        <w:rFonts w:eastAsia="黑体"/>
        <w:i/>
      </w:rPr>
    </w:pPr>
    <w:r>
      <w:pict>
        <v:rect id="_x0000_s2049" o:spid="_x0000_s2049" o:spt="1"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19</w:t>
                </w:r>
                <w:r>
                  <w:fldChar w:fldCharType="end"/>
                </w:r>
                <w:r>
                  <w:t xml:space="preserve"> 页</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FD4D1"/>
    <w:multiLevelType w:val="singleLevel"/>
    <w:tmpl w:val="8ABFD4D1"/>
    <w:lvl w:ilvl="0" w:tentative="0">
      <w:start w:val="1"/>
      <w:numFmt w:val="chineseCounting"/>
      <w:suff w:val="nothing"/>
      <w:lvlText w:val="（%1）"/>
      <w:lvlJc w:val="left"/>
      <w:rPr>
        <w:rFonts w:hint="eastAsia"/>
      </w:rPr>
    </w:lvl>
  </w:abstractNum>
  <w:abstractNum w:abstractNumId="1">
    <w:nsid w:val="C99363AE"/>
    <w:multiLevelType w:val="singleLevel"/>
    <w:tmpl w:val="C99363AE"/>
    <w:lvl w:ilvl="0" w:tentative="0">
      <w:start w:val="1"/>
      <w:numFmt w:val="decimal"/>
      <w:suff w:val="nothing"/>
      <w:lvlText w:val="%1、"/>
      <w:lvlJc w:val="left"/>
    </w:lvl>
  </w:abstractNum>
  <w:abstractNum w:abstractNumId="2">
    <w:nsid w:val="0FFFFF89"/>
    <w:multiLevelType w:val="singleLevel"/>
    <w:tmpl w:val="0FFFFF89"/>
    <w:lvl w:ilvl="0" w:tentative="0">
      <w:start w:val="1"/>
      <w:numFmt w:val="bullet"/>
      <w:pStyle w:val="61"/>
      <w:lvlText w:val=""/>
      <w:lvlJc w:val="left"/>
      <w:pPr>
        <w:tabs>
          <w:tab w:val="left" w:pos="360"/>
        </w:tabs>
        <w:ind w:left="360" w:hanging="360"/>
      </w:pPr>
      <w:rPr>
        <w:rFonts w:hint="default" w:ascii="Wingdings" w:hAnsi="Wingdings"/>
      </w:rPr>
    </w:lvl>
  </w:abstractNum>
  <w:abstractNum w:abstractNumId="3">
    <w:nsid w:val="33882284"/>
    <w:multiLevelType w:val="multilevel"/>
    <w:tmpl w:val="33882284"/>
    <w:lvl w:ilvl="0" w:tentative="0">
      <w:start w:val="6"/>
      <w:numFmt w:val="decimal"/>
      <w:pStyle w:val="70"/>
      <w:lvlText w:val="%1、"/>
      <w:lvlJc w:val="left"/>
      <w:pPr>
        <w:tabs>
          <w:tab w:val="left" w:pos="840"/>
        </w:tabs>
        <w:ind w:left="840" w:hanging="360"/>
      </w:pPr>
      <w:rPr>
        <w:rFonts w:hint="default" w:cs="Times New Roman"/>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4">
    <w:nsid w:val="53471600"/>
    <w:multiLevelType w:val="multilevel"/>
    <w:tmpl w:val="53471600"/>
    <w:lvl w:ilvl="0" w:tentative="0">
      <w:start w:val="1"/>
      <w:numFmt w:val="japaneseCounting"/>
      <w:lvlText w:val="%1、"/>
      <w:lvlJc w:val="left"/>
      <w:pPr>
        <w:tabs>
          <w:tab w:val="left" w:pos="1260"/>
        </w:tabs>
        <w:ind w:left="1260" w:hanging="720"/>
      </w:pPr>
      <w:rPr>
        <w:rFonts w:hint="eastAsia" w:cs="Times New Roman"/>
      </w:rPr>
    </w:lvl>
    <w:lvl w:ilvl="1" w:tentative="0">
      <w:start w:val="1"/>
      <w:numFmt w:val="lowerLetter"/>
      <w:pStyle w:val="4"/>
      <w:lvlText w:val="%2)"/>
      <w:lvlJc w:val="left"/>
      <w:pPr>
        <w:tabs>
          <w:tab w:val="left" w:pos="1380"/>
        </w:tabs>
        <w:ind w:left="1380" w:hanging="420"/>
      </w:pPr>
      <w:rPr>
        <w:rFonts w:cs="Times New Roman"/>
      </w:rPr>
    </w:lvl>
    <w:lvl w:ilvl="2" w:tentative="0">
      <w:start w:val="1"/>
      <w:numFmt w:val="lowerRoman"/>
      <w:pStyle w:val="5"/>
      <w:lvlText w:val="%3."/>
      <w:lvlJc w:val="right"/>
      <w:pPr>
        <w:tabs>
          <w:tab w:val="left" w:pos="1800"/>
        </w:tabs>
        <w:ind w:left="1800" w:hanging="420"/>
      </w:pPr>
      <w:rPr>
        <w:rFonts w:cs="Times New Roman"/>
      </w:rPr>
    </w:lvl>
    <w:lvl w:ilvl="3" w:tentative="0">
      <w:start w:val="1"/>
      <w:numFmt w:val="decimal"/>
      <w:lvlText w:val="%4."/>
      <w:lvlJc w:val="left"/>
      <w:pPr>
        <w:tabs>
          <w:tab w:val="left" w:pos="2220"/>
        </w:tabs>
        <w:ind w:left="2220" w:hanging="420"/>
      </w:pPr>
      <w:rPr>
        <w:rFonts w:cs="Times New Roman"/>
      </w:rPr>
    </w:lvl>
    <w:lvl w:ilvl="4" w:tentative="0">
      <w:start w:val="1"/>
      <w:numFmt w:val="lowerLetter"/>
      <w:lvlText w:val="%5)"/>
      <w:lvlJc w:val="left"/>
      <w:pPr>
        <w:tabs>
          <w:tab w:val="left" w:pos="2640"/>
        </w:tabs>
        <w:ind w:left="2640" w:hanging="420"/>
      </w:pPr>
      <w:rPr>
        <w:rFonts w:cs="Times New Roman"/>
      </w:rPr>
    </w:lvl>
    <w:lvl w:ilvl="5" w:tentative="0">
      <w:start w:val="1"/>
      <w:numFmt w:val="lowerRoman"/>
      <w:lvlText w:val="%6."/>
      <w:lvlJc w:val="right"/>
      <w:pPr>
        <w:tabs>
          <w:tab w:val="left" w:pos="3060"/>
        </w:tabs>
        <w:ind w:left="3060" w:hanging="420"/>
      </w:pPr>
      <w:rPr>
        <w:rFonts w:cs="Times New Roman"/>
      </w:rPr>
    </w:lvl>
    <w:lvl w:ilvl="6" w:tentative="0">
      <w:start w:val="1"/>
      <w:numFmt w:val="decimal"/>
      <w:lvlText w:val="%7."/>
      <w:lvlJc w:val="left"/>
      <w:pPr>
        <w:tabs>
          <w:tab w:val="left" w:pos="3480"/>
        </w:tabs>
        <w:ind w:left="3480" w:hanging="420"/>
      </w:pPr>
      <w:rPr>
        <w:rFonts w:cs="Times New Roman"/>
      </w:rPr>
    </w:lvl>
    <w:lvl w:ilvl="7" w:tentative="0">
      <w:start w:val="1"/>
      <w:numFmt w:val="lowerLetter"/>
      <w:lvlText w:val="%8)"/>
      <w:lvlJc w:val="left"/>
      <w:pPr>
        <w:tabs>
          <w:tab w:val="left" w:pos="3900"/>
        </w:tabs>
        <w:ind w:left="3900" w:hanging="420"/>
      </w:pPr>
      <w:rPr>
        <w:rFonts w:cs="Times New Roman"/>
      </w:rPr>
    </w:lvl>
    <w:lvl w:ilvl="8" w:tentative="0">
      <w:start w:val="1"/>
      <w:numFmt w:val="lowerRoman"/>
      <w:lvlText w:val="%9."/>
      <w:lvlJc w:val="right"/>
      <w:pPr>
        <w:tabs>
          <w:tab w:val="left" w:pos="4320"/>
        </w:tabs>
        <w:ind w:left="4320" w:hanging="420"/>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hideSpellingErrors/>
  <w:hideGrammatical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mVhZGMyYTUzMmZkOWI4NzJmZTZhMTYyN2M2M2EwMWQifQ=="/>
  </w:docVars>
  <w:rsids>
    <w:rsidRoot w:val="0008257E"/>
    <w:rsid w:val="0000153C"/>
    <w:rsid w:val="000148A9"/>
    <w:rsid w:val="00020732"/>
    <w:rsid w:val="00023292"/>
    <w:rsid w:val="00042253"/>
    <w:rsid w:val="00046BD5"/>
    <w:rsid w:val="00057167"/>
    <w:rsid w:val="0008257E"/>
    <w:rsid w:val="00082E11"/>
    <w:rsid w:val="00083FE8"/>
    <w:rsid w:val="000902D2"/>
    <w:rsid w:val="00092C61"/>
    <w:rsid w:val="00095A29"/>
    <w:rsid w:val="00095F81"/>
    <w:rsid w:val="00096702"/>
    <w:rsid w:val="000A0F97"/>
    <w:rsid w:val="000A253F"/>
    <w:rsid w:val="000B466B"/>
    <w:rsid w:val="000B680B"/>
    <w:rsid w:val="000E3C5F"/>
    <w:rsid w:val="000E4541"/>
    <w:rsid w:val="00106432"/>
    <w:rsid w:val="00106F5B"/>
    <w:rsid w:val="00125CA4"/>
    <w:rsid w:val="001370C1"/>
    <w:rsid w:val="00141A5C"/>
    <w:rsid w:val="00146FEE"/>
    <w:rsid w:val="0015501C"/>
    <w:rsid w:val="00155393"/>
    <w:rsid w:val="00155868"/>
    <w:rsid w:val="00160187"/>
    <w:rsid w:val="00175B24"/>
    <w:rsid w:val="00177CC3"/>
    <w:rsid w:val="00182A99"/>
    <w:rsid w:val="00185D22"/>
    <w:rsid w:val="00187A4B"/>
    <w:rsid w:val="00190BD7"/>
    <w:rsid w:val="001941AB"/>
    <w:rsid w:val="00196CFD"/>
    <w:rsid w:val="001A5B01"/>
    <w:rsid w:val="001B0AF8"/>
    <w:rsid w:val="001B2238"/>
    <w:rsid w:val="001C7192"/>
    <w:rsid w:val="001D3493"/>
    <w:rsid w:val="001E1753"/>
    <w:rsid w:val="001F363A"/>
    <w:rsid w:val="002031F5"/>
    <w:rsid w:val="00204179"/>
    <w:rsid w:val="00207CD8"/>
    <w:rsid w:val="00210628"/>
    <w:rsid w:val="00211BAD"/>
    <w:rsid w:val="00216884"/>
    <w:rsid w:val="0021697C"/>
    <w:rsid w:val="00225122"/>
    <w:rsid w:val="00225420"/>
    <w:rsid w:val="00227F82"/>
    <w:rsid w:val="002321D6"/>
    <w:rsid w:val="00234B57"/>
    <w:rsid w:val="00242A86"/>
    <w:rsid w:val="00244F08"/>
    <w:rsid w:val="0024515F"/>
    <w:rsid w:val="0025182B"/>
    <w:rsid w:val="00255996"/>
    <w:rsid w:val="00256530"/>
    <w:rsid w:val="00256D9A"/>
    <w:rsid w:val="00271088"/>
    <w:rsid w:val="00275F29"/>
    <w:rsid w:val="00276C2B"/>
    <w:rsid w:val="00291213"/>
    <w:rsid w:val="002B079F"/>
    <w:rsid w:val="002B6785"/>
    <w:rsid w:val="002D72D8"/>
    <w:rsid w:val="002E0CF1"/>
    <w:rsid w:val="002E2874"/>
    <w:rsid w:val="002F45CB"/>
    <w:rsid w:val="00313436"/>
    <w:rsid w:val="00317B37"/>
    <w:rsid w:val="00322231"/>
    <w:rsid w:val="00335955"/>
    <w:rsid w:val="00343788"/>
    <w:rsid w:val="00362DB7"/>
    <w:rsid w:val="00371489"/>
    <w:rsid w:val="00377B85"/>
    <w:rsid w:val="003822B6"/>
    <w:rsid w:val="00383E6D"/>
    <w:rsid w:val="0039513A"/>
    <w:rsid w:val="003B2FE8"/>
    <w:rsid w:val="003B4491"/>
    <w:rsid w:val="003C40A3"/>
    <w:rsid w:val="003C6857"/>
    <w:rsid w:val="003F609F"/>
    <w:rsid w:val="00402F9F"/>
    <w:rsid w:val="0041625C"/>
    <w:rsid w:val="00433313"/>
    <w:rsid w:val="00435A47"/>
    <w:rsid w:val="004665FB"/>
    <w:rsid w:val="00470006"/>
    <w:rsid w:val="00470976"/>
    <w:rsid w:val="00471199"/>
    <w:rsid w:val="00481277"/>
    <w:rsid w:val="00493B8A"/>
    <w:rsid w:val="004C07CB"/>
    <w:rsid w:val="004C1F9E"/>
    <w:rsid w:val="004C2488"/>
    <w:rsid w:val="004C65AA"/>
    <w:rsid w:val="004C71E2"/>
    <w:rsid w:val="004D18DE"/>
    <w:rsid w:val="004D4DFD"/>
    <w:rsid w:val="004D5922"/>
    <w:rsid w:val="004D7BB7"/>
    <w:rsid w:val="004F2697"/>
    <w:rsid w:val="005024AC"/>
    <w:rsid w:val="00517903"/>
    <w:rsid w:val="00522D1E"/>
    <w:rsid w:val="00526655"/>
    <w:rsid w:val="0053050F"/>
    <w:rsid w:val="00545A12"/>
    <w:rsid w:val="00557C08"/>
    <w:rsid w:val="005628ED"/>
    <w:rsid w:val="005724CA"/>
    <w:rsid w:val="005747F8"/>
    <w:rsid w:val="00584E1F"/>
    <w:rsid w:val="00586DAD"/>
    <w:rsid w:val="00591492"/>
    <w:rsid w:val="00595E57"/>
    <w:rsid w:val="005A2E3E"/>
    <w:rsid w:val="005C73EB"/>
    <w:rsid w:val="005D0D7E"/>
    <w:rsid w:val="005D7ECE"/>
    <w:rsid w:val="005E1251"/>
    <w:rsid w:val="005E1381"/>
    <w:rsid w:val="005E238F"/>
    <w:rsid w:val="005F1178"/>
    <w:rsid w:val="005F205A"/>
    <w:rsid w:val="005F2AF6"/>
    <w:rsid w:val="005F3681"/>
    <w:rsid w:val="005F74BB"/>
    <w:rsid w:val="00602F01"/>
    <w:rsid w:val="006037EE"/>
    <w:rsid w:val="006059F3"/>
    <w:rsid w:val="006163DB"/>
    <w:rsid w:val="0062247B"/>
    <w:rsid w:val="00631B9C"/>
    <w:rsid w:val="00650607"/>
    <w:rsid w:val="00671440"/>
    <w:rsid w:val="006750BC"/>
    <w:rsid w:val="00684131"/>
    <w:rsid w:val="00692416"/>
    <w:rsid w:val="0069357A"/>
    <w:rsid w:val="00694408"/>
    <w:rsid w:val="006E05E7"/>
    <w:rsid w:val="006E168C"/>
    <w:rsid w:val="006E2A0A"/>
    <w:rsid w:val="006E51D7"/>
    <w:rsid w:val="006F55DF"/>
    <w:rsid w:val="00723574"/>
    <w:rsid w:val="0073020E"/>
    <w:rsid w:val="007334BD"/>
    <w:rsid w:val="0073786A"/>
    <w:rsid w:val="00741046"/>
    <w:rsid w:val="007430B5"/>
    <w:rsid w:val="007439B2"/>
    <w:rsid w:val="00751718"/>
    <w:rsid w:val="00760AE6"/>
    <w:rsid w:val="00767DA3"/>
    <w:rsid w:val="00783AAE"/>
    <w:rsid w:val="00785BAA"/>
    <w:rsid w:val="00792059"/>
    <w:rsid w:val="007959D5"/>
    <w:rsid w:val="00796A56"/>
    <w:rsid w:val="007975DB"/>
    <w:rsid w:val="007D0DE6"/>
    <w:rsid w:val="007D7684"/>
    <w:rsid w:val="007D77DE"/>
    <w:rsid w:val="007E6595"/>
    <w:rsid w:val="007E77FB"/>
    <w:rsid w:val="007F1E0E"/>
    <w:rsid w:val="00805CA2"/>
    <w:rsid w:val="00813A80"/>
    <w:rsid w:val="00814DDE"/>
    <w:rsid w:val="00821769"/>
    <w:rsid w:val="00822472"/>
    <w:rsid w:val="00824E32"/>
    <w:rsid w:val="00830DF6"/>
    <w:rsid w:val="00833193"/>
    <w:rsid w:val="008333CC"/>
    <w:rsid w:val="00835083"/>
    <w:rsid w:val="0084791C"/>
    <w:rsid w:val="0085522E"/>
    <w:rsid w:val="00866761"/>
    <w:rsid w:val="00870E50"/>
    <w:rsid w:val="00873DFE"/>
    <w:rsid w:val="008819E9"/>
    <w:rsid w:val="00883B84"/>
    <w:rsid w:val="008A7F2F"/>
    <w:rsid w:val="008B3DBA"/>
    <w:rsid w:val="008B72A4"/>
    <w:rsid w:val="008B7B2C"/>
    <w:rsid w:val="008C12B6"/>
    <w:rsid w:val="008D3466"/>
    <w:rsid w:val="008F56D4"/>
    <w:rsid w:val="008F7803"/>
    <w:rsid w:val="0090315B"/>
    <w:rsid w:val="0090535D"/>
    <w:rsid w:val="009071F6"/>
    <w:rsid w:val="009107A3"/>
    <w:rsid w:val="009163E3"/>
    <w:rsid w:val="00916757"/>
    <w:rsid w:val="00922A23"/>
    <w:rsid w:val="00925259"/>
    <w:rsid w:val="00926266"/>
    <w:rsid w:val="0093276F"/>
    <w:rsid w:val="00934572"/>
    <w:rsid w:val="0094447A"/>
    <w:rsid w:val="009464BB"/>
    <w:rsid w:val="00950918"/>
    <w:rsid w:val="00965CE2"/>
    <w:rsid w:val="00983A44"/>
    <w:rsid w:val="00997F1D"/>
    <w:rsid w:val="009A567E"/>
    <w:rsid w:val="009A730B"/>
    <w:rsid w:val="009B03DC"/>
    <w:rsid w:val="009B38E4"/>
    <w:rsid w:val="009B77C2"/>
    <w:rsid w:val="009D1F46"/>
    <w:rsid w:val="009D5646"/>
    <w:rsid w:val="009E3183"/>
    <w:rsid w:val="009E452C"/>
    <w:rsid w:val="009E6E5A"/>
    <w:rsid w:val="009F2519"/>
    <w:rsid w:val="00A00C7B"/>
    <w:rsid w:val="00A17E55"/>
    <w:rsid w:val="00A27223"/>
    <w:rsid w:val="00A319D1"/>
    <w:rsid w:val="00A32DF6"/>
    <w:rsid w:val="00A33F16"/>
    <w:rsid w:val="00A41111"/>
    <w:rsid w:val="00A440C3"/>
    <w:rsid w:val="00A448AF"/>
    <w:rsid w:val="00A4681F"/>
    <w:rsid w:val="00A50913"/>
    <w:rsid w:val="00A50D8C"/>
    <w:rsid w:val="00A70435"/>
    <w:rsid w:val="00A71507"/>
    <w:rsid w:val="00A829D1"/>
    <w:rsid w:val="00A85A7C"/>
    <w:rsid w:val="00A8619E"/>
    <w:rsid w:val="00A95601"/>
    <w:rsid w:val="00AA232B"/>
    <w:rsid w:val="00AA6A7C"/>
    <w:rsid w:val="00AC0B3E"/>
    <w:rsid w:val="00AC206F"/>
    <w:rsid w:val="00AC2AC6"/>
    <w:rsid w:val="00AC69F0"/>
    <w:rsid w:val="00AD49E3"/>
    <w:rsid w:val="00AF1A65"/>
    <w:rsid w:val="00B0026B"/>
    <w:rsid w:val="00B03068"/>
    <w:rsid w:val="00B168D4"/>
    <w:rsid w:val="00B20F99"/>
    <w:rsid w:val="00B21B40"/>
    <w:rsid w:val="00B32A44"/>
    <w:rsid w:val="00B607A0"/>
    <w:rsid w:val="00B60F24"/>
    <w:rsid w:val="00B65686"/>
    <w:rsid w:val="00B65E8C"/>
    <w:rsid w:val="00B77AFE"/>
    <w:rsid w:val="00B8145A"/>
    <w:rsid w:val="00B872ED"/>
    <w:rsid w:val="00B969CC"/>
    <w:rsid w:val="00BA3A30"/>
    <w:rsid w:val="00BC2B99"/>
    <w:rsid w:val="00BD67D8"/>
    <w:rsid w:val="00BE0A29"/>
    <w:rsid w:val="00BE2993"/>
    <w:rsid w:val="00BE3B0C"/>
    <w:rsid w:val="00BE72D2"/>
    <w:rsid w:val="00C04A01"/>
    <w:rsid w:val="00C07E7B"/>
    <w:rsid w:val="00C10BA9"/>
    <w:rsid w:val="00C13BFD"/>
    <w:rsid w:val="00C148A3"/>
    <w:rsid w:val="00C16FCF"/>
    <w:rsid w:val="00C20294"/>
    <w:rsid w:val="00C23A81"/>
    <w:rsid w:val="00C34ADF"/>
    <w:rsid w:val="00C3670F"/>
    <w:rsid w:val="00C5221B"/>
    <w:rsid w:val="00C52F47"/>
    <w:rsid w:val="00C66094"/>
    <w:rsid w:val="00C96A18"/>
    <w:rsid w:val="00CB4328"/>
    <w:rsid w:val="00CC3B8F"/>
    <w:rsid w:val="00CC657C"/>
    <w:rsid w:val="00CC7624"/>
    <w:rsid w:val="00CD0315"/>
    <w:rsid w:val="00CF0088"/>
    <w:rsid w:val="00D025E2"/>
    <w:rsid w:val="00D134B0"/>
    <w:rsid w:val="00D24906"/>
    <w:rsid w:val="00D379B5"/>
    <w:rsid w:val="00D46AF8"/>
    <w:rsid w:val="00D53EA2"/>
    <w:rsid w:val="00D60ABE"/>
    <w:rsid w:val="00D65753"/>
    <w:rsid w:val="00D737CA"/>
    <w:rsid w:val="00D741FC"/>
    <w:rsid w:val="00D760C7"/>
    <w:rsid w:val="00D83A0C"/>
    <w:rsid w:val="00DB2D35"/>
    <w:rsid w:val="00DB4ECF"/>
    <w:rsid w:val="00DE127A"/>
    <w:rsid w:val="00DE13D3"/>
    <w:rsid w:val="00DE1C4E"/>
    <w:rsid w:val="00DE4541"/>
    <w:rsid w:val="00DF0725"/>
    <w:rsid w:val="00DF0DEF"/>
    <w:rsid w:val="00DF23F2"/>
    <w:rsid w:val="00E13020"/>
    <w:rsid w:val="00E14C14"/>
    <w:rsid w:val="00E2340C"/>
    <w:rsid w:val="00E27A3C"/>
    <w:rsid w:val="00E30A41"/>
    <w:rsid w:val="00E41FA7"/>
    <w:rsid w:val="00E42B3A"/>
    <w:rsid w:val="00E42CCE"/>
    <w:rsid w:val="00E441FD"/>
    <w:rsid w:val="00E61968"/>
    <w:rsid w:val="00E62794"/>
    <w:rsid w:val="00E70901"/>
    <w:rsid w:val="00E87318"/>
    <w:rsid w:val="00E9623B"/>
    <w:rsid w:val="00E96585"/>
    <w:rsid w:val="00EA05F4"/>
    <w:rsid w:val="00EA1BA8"/>
    <w:rsid w:val="00EA2E45"/>
    <w:rsid w:val="00EA74E3"/>
    <w:rsid w:val="00EC51E6"/>
    <w:rsid w:val="00ED0B6E"/>
    <w:rsid w:val="00ED1C1C"/>
    <w:rsid w:val="00ED1DE1"/>
    <w:rsid w:val="00ED1F94"/>
    <w:rsid w:val="00ED37D0"/>
    <w:rsid w:val="00EE175E"/>
    <w:rsid w:val="00EE2297"/>
    <w:rsid w:val="00EE2536"/>
    <w:rsid w:val="00EE78D5"/>
    <w:rsid w:val="00EE7FF3"/>
    <w:rsid w:val="00EF320F"/>
    <w:rsid w:val="00EF5398"/>
    <w:rsid w:val="00F00EFC"/>
    <w:rsid w:val="00F021FD"/>
    <w:rsid w:val="00F27694"/>
    <w:rsid w:val="00F40ECD"/>
    <w:rsid w:val="00F53C36"/>
    <w:rsid w:val="00F7333C"/>
    <w:rsid w:val="00F738A8"/>
    <w:rsid w:val="00F75892"/>
    <w:rsid w:val="00F80B19"/>
    <w:rsid w:val="00F8593B"/>
    <w:rsid w:val="00F92454"/>
    <w:rsid w:val="00F945AB"/>
    <w:rsid w:val="00FA1573"/>
    <w:rsid w:val="00FB5FBD"/>
    <w:rsid w:val="00FC2396"/>
    <w:rsid w:val="00FD2667"/>
    <w:rsid w:val="00FD535A"/>
    <w:rsid w:val="00FE0190"/>
    <w:rsid w:val="00FF08FE"/>
    <w:rsid w:val="00FF163F"/>
    <w:rsid w:val="016F748A"/>
    <w:rsid w:val="02445A7A"/>
    <w:rsid w:val="02486F75"/>
    <w:rsid w:val="02FD6481"/>
    <w:rsid w:val="03760094"/>
    <w:rsid w:val="04434F0E"/>
    <w:rsid w:val="050C39F4"/>
    <w:rsid w:val="0547418C"/>
    <w:rsid w:val="057F2D02"/>
    <w:rsid w:val="058B7F53"/>
    <w:rsid w:val="05A341A3"/>
    <w:rsid w:val="06520EEC"/>
    <w:rsid w:val="07423580"/>
    <w:rsid w:val="074F383B"/>
    <w:rsid w:val="07686EF2"/>
    <w:rsid w:val="076F6600"/>
    <w:rsid w:val="07885215"/>
    <w:rsid w:val="079927C8"/>
    <w:rsid w:val="07DF59AF"/>
    <w:rsid w:val="07F124B6"/>
    <w:rsid w:val="080C0DE8"/>
    <w:rsid w:val="08171C61"/>
    <w:rsid w:val="082F462B"/>
    <w:rsid w:val="08677BFD"/>
    <w:rsid w:val="08E415CE"/>
    <w:rsid w:val="09F42E8B"/>
    <w:rsid w:val="09FD3E53"/>
    <w:rsid w:val="0B163EB7"/>
    <w:rsid w:val="0B584D6E"/>
    <w:rsid w:val="0B6379F7"/>
    <w:rsid w:val="0B7F3E15"/>
    <w:rsid w:val="0C6D5B10"/>
    <w:rsid w:val="0C8442CD"/>
    <w:rsid w:val="0CA31DFA"/>
    <w:rsid w:val="0CBB2817"/>
    <w:rsid w:val="0D521421"/>
    <w:rsid w:val="0D523A71"/>
    <w:rsid w:val="0D7D491C"/>
    <w:rsid w:val="0E6A77C8"/>
    <w:rsid w:val="0F2F013E"/>
    <w:rsid w:val="0FA368AB"/>
    <w:rsid w:val="0FE20729"/>
    <w:rsid w:val="102164E9"/>
    <w:rsid w:val="10D576D3"/>
    <w:rsid w:val="110678AA"/>
    <w:rsid w:val="11114067"/>
    <w:rsid w:val="1158509E"/>
    <w:rsid w:val="11641C95"/>
    <w:rsid w:val="11A71EC2"/>
    <w:rsid w:val="12080AB2"/>
    <w:rsid w:val="129E2F84"/>
    <w:rsid w:val="135271D6"/>
    <w:rsid w:val="13570711"/>
    <w:rsid w:val="13952B51"/>
    <w:rsid w:val="13C93A74"/>
    <w:rsid w:val="14337CB2"/>
    <w:rsid w:val="14410E60"/>
    <w:rsid w:val="146A58C6"/>
    <w:rsid w:val="14786C60"/>
    <w:rsid w:val="147F41D6"/>
    <w:rsid w:val="14A42F53"/>
    <w:rsid w:val="14F25BB6"/>
    <w:rsid w:val="1520690E"/>
    <w:rsid w:val="155869E6"/>
    <w:rsid w:val="158226E9"/>
    <w:rsid w:val="15DE2272"/>
    <w:rsid w:val="15FC27A3"/>
    <w:rsid w:val="1629125E"/>
    <w:rsid w:val="175F2179"/>
    <w:rsid w:val="176873EA"/>
    <w:rsid w:val="179B4A83"/>
    <w:rsid w:val="17A840A7"/>
    <w:rsid w:val="18071588"/>
    <w:rsid w:val="189943AE"/>
    <w:rsid w:val="19691A87"/>
    <w:rsid w:val="19731698"/>
    <w:rsid w:val="19A4606A"/>
    <w:rsid w:val="1A1B310D"/>
    <w:rsid w:val="1A2F275A"/>
    <w:rsid w:val="1A3E7B16"/>
    <w:rsid w:val="1A476C92"/>
    <w:rsid w:val="1AD23E65"/>
    <w:rsid w:val="1B2676AE"/>
    <w:rsid w:val="1B412BD0"/>
    <w:rsid w:val="1B5946A2"/>
    <w:rsid w:val="1B8A26DC"/>
    <w:rsid w:val="1BA64A2B"/>
    <w:rsid w:val="1C5D1660"/>
    <w:rsid w:val="1CF16B36"/>
    <w:rsid w:val="1D183FE4"/>
    <w:rsid w:val="1D394F59"/>
    <w:rsid w:val="1D9F486E"/>
    <w:rsid w:val="1DAD2254"/>
    <w:rsid w:val="1DBE58AC"/>
    <w:rsid w:val="1E0048A8"/>
    <w:rsid w:val="1E4F197F"/>
    <w:rsid w:val="1E5C54B4"/>
    <w:rsid w:val="1E6A6326"/>
    <w:rsid w:val="1E737D1F"/>
    <w:rsid w:val="1F06636E"/>
    <w:rsid w:val="1F393E54"/>
    <w:rsid w:val="1F3F1B2E"/>
    <w:rsid w:val="1F6240CB"/>
    <w:rsid w:val="211F7986"/>
    <w:rsid w:val="21393086"/>
    <w:rsid w:val="214C5B0E"/>
    <w:rsid w:val="21734B90"/>
    <w:rsid w:val="21890ED3"/>
    <w:rsid w:val="21DD7AB4"/>
    <w:rsid w:val="21E22854"/>
    <w:rsid w:val="221F6D05"/>
    <w:rsid w:val="22784D48"/>
    <w:rsid w:val="23405CB5"/>
    <w:rsid w:val="24BF5615"/>
    <w:rsid w:val="25467128"/>
    <w:rsid w:val="262E24D7"/>
    <w:rsid w:val="262E360D"/>
    <w:rsid w:val="269453B0"/>
    <w:rsid w:val="273E68D2"/>
    <w:rsid w:val="2745258C"/>
    <w:rsid w:val="2874451A"/>
    <w:rsid w:val="28A569C3"/>
    <w:rsid w:val="28AF4DFE"/>
    <w:rsid w:val="28BA37F7"/>
    <w:rsid w:val="28EF6FD7"/>
    <w:rsid w:val="29345F99"/>
    <w:rsid w:val="2A0262EB"/>
    <w:rsid w:val="2A1430A5"/>
    <w:rsid w:val="2A2218D2"/>
    <w:rsid w:val="2A5C195C"/>
    <w:rsid w:val="2A61691A"/>
    <w:rsid w:val="2A8E3DAA"/>
    <w:rsid w:val="2B434338"/>
    <w:rsid w:val="2BCB616C"/>
    <w:rsid w:val="2C157774"/>
    <w:rsid w:val="2C48103C"/>
    <w:rsid w:val="2C4E016D"/>
    <w:rsid w:val="2C513230"/>
    <w:rsid w:val="2C52146C"/>
    <w:rsid w:val="2C861080"/>
    <w:rsid w:val="2DC44FCC"/>
    <w:rsid w:val="2E8C4EAC"/>
    <w:rsid w:val="2F051C34"/>
    <w:rsid w:val="2F3F5289"/>
    <w:rsid w:val="2F585A56"/>
    <w:rsid w:val="2F803CE6"/>
    <w:rsid w:val="2F814214"/>
    <w:rsid w:val="2F9A75CB"/>
    <w:rsid w:val="2FC441B2"/>
    <w:rsid w:val="300A607F"/>
    <w:rsid w:val="30102C7D"/>
    <w:rsid w:val="307C38EE"/>
    <w:rsid w:val="30B01988"/>
    <w:rsid w:val="30E3277E"/>
    <w:rsid w:val="311A4872"/>
    <w:rsid w:val="311B2354"/>
    <w:rsid w:val="315E2302"/>
    <w:rsid w:val="319A3573"/>
    <w:rsid w:val="31D97C26"/>
    <w:rsid w:val="323D11D3"/>
    <w:rsid w:val="325E6BDD"/>
    <w:rsid w:val="32DF2AD1"/>
    <w:rsid w:val="33656A38"/>
    <w:rsid w:val="33E840D7"/>
    <w:rsid w:val="33FB4C99"/>
    <w:rsid w:val="34206064"/>
    <w:rsid w:val="34450CA3"/>
    <w:rsid w:val="34AB3BD2"/>
    <w:rsid w:val="35AB311F"/>
    <w:rsid w:val="35AF1269"/>
    <w:rsid w:val="35D30EBA"/>
    <w:rsid w:val="35E35865"/>
    <w:rsid w:val="363119BE"/>
    <w:rsid w:val="363A2044"/>
    <w:rsid w:val="367147E4"/>
    <w:rsid w:val="36B424C7"/>
    <w:rsid w:val="36D26F0B"/>
    <w:rsid w:val="37431840"/>
    <w:rsid w:val="375A3D4B"/>
    <w:rsid w:val="37B564F7"/>
    <w:rsid w:val="38231B42"/>
    <w:rsid w:val="3823794A"/>
    <w:rsid w:val="384F4FDF"/>
    <w:rsid w:val="3860038E"/>
    <w:rsid w:val="387168B4"/>
    <w:rsid w:val="387D584E"/>
    <w:rsid w:val="38B410F5"/>
    <w:rsid w:val="38C53311"/>
    <w:rsid w:val="38DA15B6"/>
    <w:rsid w:val="38F12059"/>
    <w:rsid w:val="391347E6"/>
    <w:rsid w:val="39D30548"/>
    <w:rsid w:val="3A6A6153"/>
    <w:rsid w:val="3A914982"/>
    <w:rsid w:val="3B331D92"/>
    <w:rsid w:val="3CE64B92"/>
    <w:rsid w:val="3CF27322"/>
    <w:rsid w:val="3CF775BD"/>
    <w:rsid w:val="3D9F0415"/>
    <w:rsid w:val="3DEE2870"/>
    <w:rsid w:val="3E5B2E7A"/>
    <w:rsid w:val="3E95427A"/>
    <w:rsid w:val="3F102DA1"/>
    <w:rsid w:val="3F3302F2"/>
    <w:rsid w:val="3F640B99"/>
    <w:rsid w:val="3F8F762D"/>
    <w:rsid w:val="3FEB6DCC"/>
    <w:rsid w:val="401B23A5"/>
    <w:rsid w:val="401F7911"/>
    <w:rsid w:val="404A00A2"/>
    <w:rsid w:val="40F123DD"/>
    <w:rsid w:val="40F8461B"/>
    <w:rsid w:val="41306BE0"/>
    <w:rsid w:val="41D408C5"/>
    <w:rsid w:val="426F2048"/>
    <w:rsid w:val="42C4403B"/>
    <w:rsid w:val="42C70608"/>
    <w:rsid w:val="43195B8C"/>
    <w:rsid w:val="4364317D"/>
    <w:rsid w:val="442322B1"/>
    <w:rsid w:val="442B2FE3"/>
    <w:rsid w:val="442E76CF"/>
    <w:rsid w:val="44357FFD"/>
    <w:rsid w:val="449B731C"/>
    <w:rsid w:val="45200C5E"/>
    <w:rsid w:val="46404426"/>
    <w:rsid w:val="464820E3"/>
    <w:rsid w:val="46B015A4"/>
    <w:rsid w:val="46CC0C91"/>
    <w:rsid w:val="471C30AC"/>
    <w:rsid w:val="47233966"/>
    <w:rsid w:val="48B9571B"/>
    <w:rsid w:val="48FF2A58"/>
    <w:rsid w:val="492D16C2"/>
    <w:rsid w:val="4970108F"/>
    <w:rsid w:val="49973CAE"/>
    <w:rsid w:val="49FA441E"/>
    <w:rsid w:val="4ADF1D17"/>
    <w:rsid w:val="4AF1071A"/>
    <w:rsid w:val="4B1220AC"/>
    <w:rsid w:val="4B14457D"/>
    <w:rsid w:val="4B3C509D"/>
    <w:rsid w:val="4B7A2AE6"/>
    <w:rsid w:val="4BB24A46"/>
    <w:rsid w:val="4BCC029C"/>
    <w:rsid w:val="4C2175FB"/>
    <w:rsid w:val="4CF11D76"/>
    <w:rsid w:val="4D5145E5"/>
    <w:rsid w:val="4D9C371B"/>
    <w:rsid w:val="4DA5251B"/>
    <w:rsid w:val="4DCF719A"/>
    <w:rsid w:val="4E5B1A37"/>
    <w:rsid w:val="4E5E2FEC"/>
    <w:rsid w:val="4EF67413"/>
    <w:rsid w:val="4F637C62"/>
    <w:rsid w:val="4F6F2734"/>
    <w:rsid w:val="4F817BE3"/>
    <w:rsid w:val="4F956954"/>
    <w:rsid w:val="4F9B7E20"/>
    <w:rsid w:val="4FC62EC1"/>
    <w:rsid w:val="50375058"/>
    <w:rsid w:val="504318EC"/>
    <w:rsid w:val="50963812"/>
    <w:rsid w:val="51E754ED"/>
    <w:rsid w:val="51F47C36"/>
    <w:rsid w:val="520A4BFC"/>
    <w:rsid w:val="52267D81"/>
    <w:rsid w:val="522B549D"/>
    <w:rsid w:val="52864843"/>
    <w:rsid w:val="52EF5D7B"/>
    <w:rsid w:val="530C74BB"/>
    <w:rsid w:val="536235A2"/>
    <w:rsid w:val="53783988"/>
    <w:rsid w:val="53997F2A"/>
    <w:rsid w:val="539E6DA9"/>
    <w:rsid w:val="53C25DCC"/>
    <w:rsid w:val="54006467"/>
    <w:rsid w:val="54685A7E"/>
    <w:rsid w:val="54A22A20"/>
    <w:rsid w:val="54C91AF0"/>
    <w:rsid w:val="5543222D"/>
    <w:rsid w:val="559B4151"/>
    <w:rsid w:val="56383CD5"/>
    <w:rsid w:val="56CC4925"/>
    <w:rsid w:val="56D47135"/>
    <w:rsid w:val="56E66524"/>
    <w:rsid w:val="570F158A"/>
    <w:rsid w:val="574865E8"/>
    <w:rsid w:val="582D1A5F"/>
    <w:rsid w:val="586C1BD2"/>
    <w:rsid w:val="58DF3EA4"/>
    <w:rsid w:val="59252467"/>
    <w:rsid w:val="59C63A69"/>
    <w:rsid w:val="59E67ED3"/>
    <w:rsid w:val="5A450426"/>
    <w:rsid w:val="5A9D0238"/>
    <w:rsid w:val="5B020825"/>
    <w:rsid w:val="5B277358"/>
    <w:rsid w:val="5B944F45"/>
    <w:rsid w:val="5BA94414"/>
    <w:rsid w:val="5BB64468"/>
    <w:rsid w:val="5CAF560C"/>
    <w:rsid w:val="5D1B7B11"/>
    <w:rsid w:val="5D357C77"/>
    <w:rsid w:val="5D3A49E9"/>
    <w:rsid w:val="5D5B041C"/>
    <w:rsid w:val="5D732E3E"/>
    <w:rsid w:val="5DCA2D6F"/>
    <w:rsid w:val="5E49002F"/>
    <w:rsid w:val="5F684F40"/>
    <w:rsid w:val="5F7D7AC7"/>
    <w:rsid w:val="5FB12CA3"/>
    <w:rsid w:val="5FB14BB9"/>
    <w:rsid w:val="5FD86655"/>
    <w:rsid w:val="60235966"/>
    <w:rsid w:val="60755B1B"/>
    <w:rsid w:val="611F463A"/>
    <w:rsid w:val="617B7770"/>
    <w:rsid w:val="61A46B11"/>
    <w:rsid w:val="61E74AB7"/>
    <w:rsid w:val="62282793"/>
    <w:rsid w:val="622D0FC7"/>
    <w:rsid w:val="626B3D87"/>
    <w:rsid w:val="626C7FDB"/>
    <w:rsid w:val="62C22118"/>
    <w:rsid w:val="635352C0"/>
    <w:rsid w:val="63FB78B1"/>
    <w:rsid w:val="640F7F21"/>
    <w:rsid w:val="6465044C"/>
    <w:rsid w:val="647E5D3F"/>
    <w:rsid w:val="65A80F21"/>
    <w:rsid w:val="65A879DC"/>
    <w:rsid w:val="65AD2C0F"/>
    <w:rsid w:val="65D35C16"/>
    <w:rsid w:val="667F5E2E"/>
    <w:rsid w:val="67513297"/>
    <w:rsid w:val="67D16185"/>
    <w:rsid w:val="68627B9A"/>
    <w:rsid w:val="68D318C2"/>
    <w:rsid w:val="68DA7ABE"/>
    <w:rsid w:val="68FC2888"/>
    <w:rsid w:val="694201FF"/>
    <w:rsid w:val="699B4C9D"/>
    <w:rsid w:val="69FB2524"/>
    <w:rsid w:val="6A81158D"/>
    <w:rsid w:val="6B547120"/>
    <w:rsid w:val="6C0967C9"/>
    <w:rsid w:val="6CE63211"/>
    <w:rsid w:val="6CFB3661"/>
    <w:rsid w:val="6D9462C7"/>
    <w:rsid w:val="6E785E6F"/>
    <w:rsid w:val="6E8C70A1"/>
    <w:rsid w:val="6F941FE9"/>
    <w:rsid w:val="6F97551E"/>
    <w:rsid w:val="6FC30E40"/>
    <w:rsid w:val="6FCF38F2"/>
    <w:rsid w:val="70252839"/>
    <w:rsid w:val="707E0923"/>
    <w:rsid w:val="708C7D3F"/>
    <w:rsid w:val="70BA1EAD"/>
    <w:rsid w:val="70FC6637"/>
    <w:rsid w:val="7117168B"/>
    <w:rsid w:val="724539F8"/>
    <w:rsid w:val="724B7048"/>
    <w:rsid w:val="72603900"/>
    <w:rsid w:val="72B702C9"/>
    <w:rsid w:val="72BF19FC"/>
    <w:rsid w:val="72D23883"/>
    <w:rsid w:val="73404AA7"/>
    <w:rsid w:val="73A10A25"/>
    <w:rsid w:val="73B67DBB"/>
    <w:rsid w:val="73C13212"/>
    <w:rsid w:val="73D92C13"/>
    <w:rsid w:val="74385690"/>
    <w:rsid w:val="745E6F6F"/>
    <w:rsid w:val="74B16C16"/>
    <w:rsid w:val="750868E8"/>
    <w:rsid w:val="753E0FE4"/>
    <w:rsid w:val="75492609"/>
    <w:rsid w:val="758154BA"/>
    <w:rsid w:val="75843559"/>
    <w:rsid w:val="75851E65"/>
    <w:rsid w:val="7615335B"/>
    <w:rsid w:val="770C5694"/>
    <w:rsid w:val="78495007"/>
    <w:rsid w:val="787B6C75"/>
    <w:rsid w:val="789D3AD5"/>
    <w:rsid w:val="79A76C10"/>
    <w:rsid w:val="7AF04DBF"/>
    <w:rsid w:val="7B0F3A69"/>
    <w:rsid w:val="7B387927"/>
    <w:rsid w:val="7B4B4DA3"/>
    <w:rsid w:val="7B50089A"/>
    <w:rsid w:val="7C345209"/>
    <w:rsid w:val="7C8C2F67"/>
    <w:rsid w:val="7D0375D7"/>
    <w:rsid w:val="7D124E1E"/>
    <w:rsid w:val="7D306C82"/>
    <w:rsid w:val="7D475E65"/>
    <w:rsid w:val="7D52711A"/>
    <w:rsid w:val="7E1D0279"/>
    <w:rsid w:val="7E316EB1"/>
    <w:rsid w:val="7E605C53"/>
    <w:rsid w:val="7E6C0113"/>
    <w:rsid w:val="7E71427F"/>
    <w:rsid w:val="7E7E48D3"/>
    <w:rsid w:val="7E875C83"/>
    <w:rsid w:val="7ED65E3F"/>
    <w:rsid w:val="7F194892"/>
    <w:rsid w:val="7FFD18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2"/>
    <w:qFormat/>
    <w:uiPriority w:val="99"/>
    <w:pPr>
      <w:keepNext/>
      <w:keepLines/>
      <w:numPr>
        <w:ilvl w:val="1"/>
        <w:numId w:val="1"/>
      </w:numPr>
      <w:tabs>
        <w:tab w:val="left" w:pos="1260"/>
      </w:tabs>
      <w:suppressAutoHyphens/>
      <w:spacing w:before="260" w:after="260" w:line="412" w:lineRule="auto"/>
      <w:jc w:val="left"/>
      <w:textAlignment w:val="baseline"/>
      <w:outlineLvl w:val="1"/>
    </w:pPr>
    <w:rPr>
      <w:rFonts w:ascii="Arial" w:hAnsi="Arial" w:eastAsia="黑体" w:cs="Tahoma"/>
      <w:b/>
      <w:bCs/>
      <w:w w:val="80"/>
      <w:sz w:val="32"/>
      <w:szCs w:val="32"/>
    </w:rPr>
  </w:style>
  <w:style w:type="paragraph" w:styleId="5">
    <w:name w:val="heading 3"/>
    <w:basedOn w:val="1"/>
    <w:next w:val="1"/>
    <w:link w:val="43"/>
    <w:qFormat/>
    <w:uiPriority w:val="99"/>
    <w:pPr>
      <w:keepNext/>
      <w:keepLines/>
      <w:numPr>
        <w:ilvl w:val="2"/>
        <w:numId w:val="1"/>
      </w:numPr>
      <w:tabs>
        <w:tab w:val="left" w:pos="1260"/>
      </w:tabs>
      <w:suppressAutoHyphens/>
      <w:spacing w:before="260" w:after="260" w:line="412" w:lineRule="auto"/>
      <w:jc w:val="left"/>
      <w:textAlignment w:val="baseline"/>
      <w:outlineLvl w:val="2"/>
    </w:pPr>
    <w:rPr>
      <w:rFonts w:cs="Tahoma"/>
      <w:b/>
      <w:bCs/>
      <w:w w:val="80"/>
      <w:sz w:val="32"/>
      <w:szCs w:val="32"/>
    </w:rPr>
  </w:style>
  <w:style w:type="paragraph" w:styleId="6">
    <w:name w:val="heading 4"/>
    <w:basedOn w:val="1"/>
    <w:next w:val="1"/>
    <w:link w:val="44"/>
    <w:qFormat/>
    <w:uiPriority w:val="99"/>
    <w:pPr>
      <w:keepNext/>
      <w:outlineLvl w:val="3"/>
    </w:pPr>
    <w:rPr>
      <w:sz w:val="28"/>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locked/>
    <w:uiPriority w:val="0"/>
    <w:pPr>
      <w:spacing w:before="120"/>
      <w:jc w:val="center"/>
    </w:pPr>
    <w:rPr>
      <w:rFonts w:ascii="Cambria" w:hAnsi="Cambria" w:eastAsia="仿宋"/>
      <w:sz w:val="28"/>
    </w:rPr>
  </w:style>
  <w:style w:type="paragraph" w:styleId="7">
    <w:name w:val="toc 7"/>
    <w:basedOn w:val="1"/>
    <w:next w:val="1"/>
    <w:qFormat/>
    <w:uiPriority w:val="99"/>
    <w:pPr>
      <w:ind w:left="1200" w:leftChars="1200"/>
    </w:pPr>
    <w:rPr>
      <w:szCs w:val="24"/>
    </w:rPr>
  </w:style>
  <w:style w:type="paragraph" w:styleId="8">
    <w:name w:val="Normal Indent"/>
    <w:basedOn w:val="1"/>
    <w:qFormat/>
    <w:uiPriority w:val="99"/>
    <w:pPr>
      <w:autoSpaceDE w:val="0"/>
      <w:autoSpaceDN w:val="0"/>
      <w:adjustRightInd w:val="0"/>
      <w:ind w:firstLine="420"/>
      <w:jc w:val="left"/>
      <w:textAlignment w:val="baseline"/>
    </w:pPr>
    <w:rPr>
      <w:rFonts w:ascii="宋体"/>
      <w:kern w:val="0"/>
      <w:sz w:val="34"/>
    </w:rPr>
  </w:style>
  <w:style w:type="paragraph" w:styleId="9">
    <w:name w:val="Document Map"/>
    <w:basedOn w:val="1"/>
    <w:link w:val="47"/>
    <w:qFormat/>
    <w:uiPriority w:val="99"/>
    <w:pPr>
      <w:shd w:val="clear" w:color="auto" w:fill="000080"/>
    </w:pPr>
    <w:rPr>
      <w:szCs w:val="24"/>
    </w:rPr>
  </w:style>
  <w:style w:type="paragraph" w:styleId="10">
    <w:name w:val="annotation text"/>
    <w:basedOn w:val="1"/>
    <w:link w:val="45"/>
    <w:qFormat/>
    <w:uiPriority w:val="99"/>
    <w:pPr>
      <w:jc w:val="left"/>
    </w:pPr>
    <w:rPr>
      <w:szCs w:val="24"/>
    </w:rPr>
  </w:style>
  <w:style w:type="paragraph" w:styleId="11">
    <w:name w:val="Body Text"/>
    <w:basedOn w:val="1"/>
    <w:next w:val="1"/>
    <w:link w:val="48"/>
    <w:qFormat/>
    <w:uiPriority w:val="99"/>
    <w:pPr>
      <w:spacing w:after="120"/>
    </w:pPr>
    <w:rPr>
      <w:szCs w:val="24"/>
    </w:rPr>
  </w:style>
  <w:style w:type="paragraph" w:styleId="12">
    <w:name w:val="Body Text Indent"/>
    <w:basedOn w:val="1"/>
    <w:link w:val="49"/>
    <w:qFormat/>
    <w:uiPriority w:val="99"/>
    <w:pPr>
      <w:spacing w:line="600" w:lineRule="exact"/>
      <w:ind w:firstLine="720"/>
    </w:pPr>
    <w:rPr>
      <w:rFonts w:ascii="仿宋_GB2312" w:eastAsia="仿宋_GB2312"/>
      <w:sz w:val="32"/>
    </w:rPr>
  </w:style>
  <w:style w:type="paragraph" w:styleId="13">
    <w:name w:val="toc 5"/>
    <w:basedOn w:val="1"/>
    <w:next w:val="1"/>
    <w:qFormat/>
    <w:uiPriority w:val="99"/>
    <w:pPr>
      <w:ind w:left="800" w:leftChars="800"/>
    </w:pPr>
    <w:rPr>
      <w:szCs w:val="24"/>
    </w:rPr>
  </w:style>
  <w:style w:type="paragraph" w:styleId="14">
    <w:name w:val="toc 3"/>
    <w:basedOn w:val="1"/>
    <w:next w:val="1"/>
    <w:qFormat/>
    <w:uiPriority w:val="99"/>
    <w:pPr>
      <w:ind w:left="400" w:leftChars="400"/>
    </w:pPr>
    <w:rPr>
      <w:szCs w:val="24"/>
    </w:rPr>
  </w:style>
  <w:style w:type="paragraph" w:styleId="15">
    <w:name w:val="Plain Text"/>
    <w:basedOn w:val="1"/>
    <w:link w:val="50"/>
    <w:qFormat/>
    <w:uiPriority w:val="99"/>
    <w:rPr>
      <w:rFonts w:ascii="宋体"/>
    </w:rPr>
  </w:style>
  <w:style w:type="paragraph" w:styleId="16">
    <w:name w:val="toc 8"/>
    <w:basedOn w:val="1"/>
    <w:next w:val="1"/>
    <w:qFormat/>
    <w:uiPriority w:val="99"/>
    <w:pPr>
      <w:ind w:left="1400" w:leftChars="1400"/>
    </w:pPr>
    <w:rPr>
      <w:szCs w:val="24"/>
    </w:rPr>
  </w:style>
  <w:style w:type="paragraph" w:styleId="17">
    <w:name w:val="Date"/>
    <w:basedOn w:val="1"/>
    <w:next w:val="1"/>
    <w:link w:val="51"/>
    <w:qFormat/>
    <w:uiPriority w:val="99"/>
    <w:pPr>
      <w:ind w:left="2500" w:leftChars="2500"/>
    </w:pPr>
    <w:rPr>
      <w:rFonts w:ascii="楷体_GB2312" w:hAnsi="楷体_GB2312"/>
      <w:sz w:val="36"/>
      <w:szCs w:val="24"/>
    </w:rPr>
  </w:style>
  <w:style w:type="paragraph" w:styleId="18">
    <w:name w:val="Body Text Indent 2"/>
    <w:basedOn w:val="1"/>
    <w:link w:val="52"/>
    <w:qFormat/>
    <w:uiPriority w:val="99"/>
    <w:pPr>
      <w:spacing w:line="400" w:lineRule="exact"/>
      <w:ind w:firstLine="400" w:firstLineChars="400"/>
    </w:pPr>
    <w:rPr>
      <w:rFonts w:ascii="宋体"/>
      <w:szCs w:val="24"/>
    </w:rPr>
  </w:style>
  <w:style w:type="paragraph" w:styleId="19">
    <w:name w:val="Balloon Text"/>
    <w:basedOn w:val="1"/>
    <w:link w:val="53"/>
    <w:qFormat/>
    <w:uiPriority w:val="99"/>
    <w:rPr>
      <w:sz w:val="18"/>
      <w:szCs w:val="18"/>
    </w:rPr>
  </w:style>
  <w:style w:type="paragraph" w:styleId="20">
    <w:name w:val="footer"/>
    <w:basedOn w:val="1"/>
    <w:link w:val="54"/>
    <w:qFormat/>
    <w:uiPriority w:val="99"/>
    <w:pPr>
      <w:tabs>
        <w:tab w:val="center" w:pos="4153"/>
        <w:tab w:val="right" w:pos="8306"/>
      </w:tabs>
      <w:snapToGrid w:val="0"/>
      <w:jc w:val="lef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99"/>
    <w:rPr>
      <w:sz w:val="24"/>
    </w:rPr>
  </w:style>
  <w:style w:type="paragraph" w:styleId="23">
    <w:name w:val="toc 4"/>
    <w:basedOn w:val="1"/>
    <w:next w:val="1"/>
    <w:qFormat/>
    <w:uiPriority w:val="99"/>
    <w:pPr>
      <w:ind w:left="600" w:leftChars="600"/>
    </w:pPr>
    <w:rPr>
      <w:szCs w:val="24"/>
    </w:rPr>
  </w:style>
  <w:style w:type="paragraph" w:styleId="24">
    <w:name w:val="Subtitle"/>
    <w:basedOn w:val="1"/>
    <w:next w:val="1"/>
    <w:link w:val="56"/>
    <w:qFormat/>
    <w:uiPriority w:val="99"/>
    <w:pPr>
      <w:spacing w:before="240" w:after="60" w:line="312" w:lineRule="auto"/>
      <w:jc w:val="center"/>
      <w:outlineLvl w:val="1"/>
    </w:pPr>
    <w:rPr>
      <w:rFonts w:ascii="Calibri Light" w:hAnsi="Calibri Light"/>
      <w:b/>
      <w:bCs/>
      <w:kern w:val="28"/>
      <w:sz w:val="32"/>
      <w:szCs w:val="32"/>
    </w:rPr>
  </w:style>
  <w:style w:type="paragraph" w:styleId="25">
    <w:name w:val="toc 6"/>
    <w:basedOn w:val="1"/>
    <w:next w:val="1"/>
    <w:qFormat/>
    <w:uiPriority w:val="99"/>
    <w:pPr>
      <w:ind w:left="1000" w:leftChars="1000"/>
    </w:pPr>
    <w:rPr>
      <w:szCs w:val="24"/>
    </w:rPr>
  </w:style>
  <w:style w:type="paragraph" w:styleId="26">
    <w:name w:val="Body Text Indent 3"/>
    <w:basedOn w:val="1"/>
    <w:link w:val="57"/>
    <w:qFormat/>
    <w:uiPriority w:val="99"/>
    <w:pPr>
      <w:spacing w:line="400" w:lineRule="exact"/>
      <w:ind w:left="1" w:leftChars="1"/>
    </w:pPr>
    <w:rPr>
      <w:rFonts w:ascii="宋体"/>
    </w:rPr>
  </w:style>
  <w:style w:type="paragraph" w:styleId="27">
    <w:name w:val="toc 2"/>
    <w:basedOn w:val="1"/>
    <w:next w:val="1"/>
    <w:qFormat/>
    <w:uiPriority w:val="99"/>
    <w:pPr>
      <w:tabs>
        <w:tab w:val="right" w:leader="dot" w:pos="9060"/>
      </w:tabs>
      <w:ind w:left="200" w:leftChars="200"/>
    </w:pPr>
    <w:rPr>
      <w:rFonts w:ascii="宋体"/>
      <w:kern w:val="32"/>
      <w:szCs w:val="24"/>
    </w:rPr>
  </w:style>
  <w:style w:type="paragraph" w:styleId="28">
    <w:name w:val="toc 9"/>
    <w:basedOn w:val="1"/>
    <w:next w:val="1"/>
    <w:qFormat/>
    <w:uiPriority w:val="99"/>
    <w:pPr>
      <w:ind w:left="1600" w:leftChars="1600"/>
    </w:pPr>
    <w:rPr>
      <w:szCs w:val="24"/>
    </w:rPr>
  </w:style>
  <w:style w:type="paragraph" w:styleId="29">
    <w:name w:val="Body Text 2"/>
    <w:basedOn w:val="1"/>
    <w:link w:val="58"/>
    <w:qFormat/>
    <w:uiPriority w:val="99"/>
    <w:rPr>
      <w:rFonts w:ascii="宋体"/>
      <w:sz w:val="30"/>
    </w:rPr>
  </w:style>
  <w:style w:type="paragraph" w:styleId="30">
    <w:name w:val="Normal (Web)"/>
    <w:basedOn w:val="1"/>
    <w:qFormat/>
    <w:uiPriority w:val="99"/>
    <w:pPr>
      <w:widowControl/>
      <w:jc w:val="left"/>
    </w:pPr>
    <w:rPr>
      <w:rFonts w:ascii="宋体" w:hAnsi="宋体" w:cs="宋体"/>
      <w:kern w:val="0"/>
      <w:sz w:val="24"/>
      <w:szCs w:val="24"/>
    </w:rPr>
  </w:style>
  <w:style w:type="paragraph" w:styleId="31">
    <w:name w:val="Title"/>
    <w:basedOn w:val="1"/>
    <w:next w:val="1"/>
    <w:link w:val="59"/>
    <w:qFormat/>
    <w:uiPriority w:val="99"/>
    <w:pPr>
      <w:spacing w:before="60" w:after="60"/>
      <w:jc w:val="center"/>
      <w:outlineLvl w:val="0"/>
    </w:pPr>
    <w:rPr>
      <w:rFonts w:ascii="Cambria" w:hAnsi="Cambria"/>
      <w:b/>
      <w:bCs/>
      <w:kern w:val="0"/>
      <w:sz w:val="20"/>
      <w:szCs w:val="32"/>
    </w:rPr>
  </w:style>
  <w:style w:type="paragraph" w:styleId="32">
    <w:name w:val="annotation subject"/>
    <w:basedOn w:val="10"/>
    <w:next w:val="10"/>
    <w:link w:val="46"/>
    <w:qFormat/>
    <w:uiPriority w:val="99"/>
    <w:rPr>
      <w:b/>
      <w:bCs/>
    </w:rPr>
  </w:style>
  <w:style w:type="table" w:styleId="34">
    <w:name w:val="Table Grid"/>
    <w:basedOn w:val="3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locked/>
    <w:uiPriority w:val="0"/>
    <w:rPr>
      <w:rFonts w:ascii="Verdana" w:hAnsi="Verdana"/>
      <w:b/>
      <w:bCs/>
      <w:kern w:val="0"/>
      <w:sz w:val="20"/>
      <w:lang w:eastAsia="en-US"/>
    </w:rPr>
  </w:style>
  <w:style w:type="character" w:styleId="37">
    <w:name w:val="page number"/>
    <w:basedOn w:val="35"/>
    <w:qFormat/>
    <w:uiPriority w:val="99"/>
    <w:rPr>
      <w:rFonts w:cs="Times New Roman"/>
    </w:rPr>
  </w:style>
  <w:style w:type="character" w:styleId="38">
    <w:name w:val="FollowedHyperlink"/>
    <w:qFormat/>
    <w:uiPriority w:val="99"/>
    <w:rPr>
      <w:rFonts w:cs="Times New Roman"/>
      <w:color w:val="000000"/>
      <w:u w:val="none"/>
    </w:rPr>
  </w:style>
  <w:style w:type="character" w:styleId="39">
    <w:name w:val="Hyperlink"/>
    <w:basedOn w:val="35"/>
    <w:qFormat/>
    <w:uiPriority w:val="99"/>
    <w:rPr>
      <w:rFonts w:cs="Times New Roman"/>
      <w:color w:val="000000"/>
      <w:u w:val="none"/>
    </w:rPr>
  </w:style>
  <w:style w:type="character" w:styleId="40">
    <w:name w:val="annotation reference"/>
    <w:qFormat/>
    <w:uiPriority w:val="99"/>
    <w:rPr>
      <w:rFonts w:cs="Times New Roman"/>
      <w:sz w:val="21"/>
      <w:szCs w:val="21"/>
    </w:rPr>
  </w:style>
  <w:style w:type="character" w:customStyle="1" w:styleId="41">
    <w:name w:val="标题 1 Char"/>
    <w:link w:val="3"/>
    <w:qFormat/>
    <w:locked/>
    <w:uiPriority w:val="99"/>
    <w:rPr>
      <w:rFonts w:ascii="Times New Roman" w:hAnsi="Times New Roman" w:eastAsia="宋体" w:cs="Times New Roman"/>
      <w:b/>
      <w:bCs/>
      <w:kern w:val="44"/>
      <w:sz w:val="44"/>
      <w:szCs w:val="44"/>
    </w:rPr>
  </w:style>
  <w:style w:type="character" w:customStyle="1" w:styleId="42">
    <w:name w:val="标题 2 Char"/>
    <w:link w:val="4"/>
    <w:qFormat/>
    <w:locked/>
    <w:uiPriority w:val="99"/>
    <w:rPr>
      <w:rFonts w:ascii="Arial" w:hAnsi="Arial" w:eastAsia="黑体" w:cs="Tahoma"/>
      <w:b/>
      <w:bCs/>
      <w:w w:val="80"/>
      <w:sz w:val="32"/>
      <w:szCs w:val="32"/>
    </w:rPr>
  </w:style>
  <w:style w:type="character" w:customStyle="1" w:styleId="43">
    <w:name w:val="标题 3 Char"/>
    <w:link w:val="5"/>
    <w:qFormat/>
    <w:locked/>
    <w:uiPriority w:val="99"/>
    <w:rPr>
      <w:rFonts w:ascii="Times New Roman" w:hAnsi="Times New Roman" w:eastAsia="宋体" w:cs="Tahoma"/>
      <w:b/>
      <w:bCs/>
      <w:w w:val="80"/>
      <w:sz w:val="32"/>
      <w:szCs w:val="32"/>
    </w:rPr>
  </w:style>
  <w:style w:type="character" w:customStyle="1" w:styleId="44">
    <w:name w:val="标题 4 Char"/>
    <w:link w:val="6"/>
    <w:semiHidden/>
    <w:qFormat/>
    <w:locked/>
    <w:uiPriority w:val="99"/>
    <w:rPr>
      <w:rFonts w:ascii="Cambria" w:hAnsi="Cambria" w:eastAsia="宋体" w:cs="Times New Roman"/>
      <w:b/>
      <w:bCs/>
      <w:sz w:val="28"/>
      <w:szCs w:val="28"/>
    </w:rPr>
  </w:style>
  <w:style w:type="character" w:customStyle="1" w:styleId="45">
    <w:name w:val="批注文字 Char"/>
    <w:link w:val="10"/>
    <w:qFormat/>
    <w:locked/>
    <w:uiPriority w:val="99"/>
    <w:rPr>
      <w:rFonts w:ascii="Times New Roman" w:hAnsi="Times New Roman" w:eastAsia="宋体" w:cs="Times New Roman"/>
      <w:sz w:val="24"/>
      <w:szCs w:val="24"/>
    </w:rPr>
  </w:style>
  <w:style w:type="character" w:customStyle="1" w:styleId="46">
    <w:name w:val="批注主题 Char"/>
    <w:link w:val="32"/>
    <w:qFormat/>
    <w:locked/>
    <w:uiPriority w:val="99"/>
    <w:rPr>
      <w:rFonts w:ascii="Times New Roman" w:hAnsi="Times New Roman" w:eastAsia="宋体" w:cs="Times New Roman"/>
      <w:b/>
      <w:bCs/>
      <w:sz w:val="24"/>
      <w:szCs w:val="24"/>
    </w:rPr>
  </w:style>
  <w:style w:type="character" w:customStyle="1" w:styleId="47">
    <w:name w:val="文档结构图 Char"/>
    <w:link w:val="9"/>
    <w:qFormat/>
    <w:locked/>
    <w:uiPriority w:val="99"/>
    <w:rPr>
      <w:rFonts w:ascii="Times New Roman" w:hAnsi="Times New Roman" w:eastAsia="宋体" w:cs="Times New Roman"/>
      <w:sz w:val="24"/>
      <w:szCs w:val="24"/>
      <w:shd w:val="clear" w:color="auto" w:fill="000080"/>
    </w:rPr>
  </w:style>
  <w:style w:type="character" w:customStyle="1" w:styleId="48">
    <w:name w:val="正文文本 Char"/>
    <w:link w:val="11"/>
    <w:qFormat/>
    <w:locked/>
    <w:uiPriority w:val="99"/>
    <w:rPr>
      <w:rFonts w:ascii="Times New Roman" w:hAnsi="Times New Roman" w:eastAsia="宋体" w:cs="Times New Roman"/>
      <w:sz w:val="24"/>
      <w:szCs w:val="24"/>
    </w:rPr>
  </w:style>
  <w:style w:type="character" w:customStyle="1" w:styleId="49">
    <w:name w:val="正文文本缩进 Char"/>
    <w:link w:val="12"/>
    <w:qFormat/>
    <w:locked/>
    <w:uiPriority w:val="99"/>
    <w:rPr>
      <w:rFonts w:ascii="仿宋_GB2312" w:hAnsi="Times New Roman" w:eastAsia="仿宋_GB2312" w:cs="Times New Roman"/>
      <w:sz w:val="20"/>
      <w:szCs w:val="20"/>
    </w:rPr>
  </w:style>
  <w:style w:type="character" w:customStyle="1" w:styleId="50">
    <w:name w:val="纯文本 Char"/>
    <w:link w:val="15"/>
    <w:qFormat/>
    <w:locked/>
    <w:uiPriority w:val="99"/>
    <w:rPr>
      <w:rFonts w:ascii="宋体" w:hAnsi="Times New Roman" w:eastAsia="宋体" w:cs="Times New Roman"/>
      <w:sz w:val="20"/>
      <w:szCs w:val="20"/>
    </w:rPr>
  </w:style>
  <w:style w:type="character" w:customStyle="1" w:styleId="51">
    <w:name w:val="日期 Char"/>
    <w:link w:val="17"/>
    <w:qFormat/>
    <w:locked/>
    <w:uiPriority w:val="99"/>
    <w:rPr>
      <w:rFonts w:ascii="楷体_GB2312" w:hAnsi="楷体_GB2312" w:eastAsia="宋体" w:cs="Times New Roman"/>
      <w:sz w:val="24"/>
      <w:szCs w:val="24"/>
    </w:rPr>
  </w:style>
  <w:style w:type="character" w:customStyle="1" w:styleId="52">
    <w:name w:val="正文文本缩进 2 Char"/>
    <w:link w:val="18"/>
    <w:qFormat/>
    <w:locked/>
    <w:uiPriority w:val="99"/>
    <w:rPr>
      <w:rFonts w:ascii="宋体" w:hAnsi="Times New Roman" w:eastAsia="宋体" w:cs="Times New Roman"/>
      <w:sz w:val="24"/>
      <w:szCs w:val="24"/>
    </w:rPr>
  </w:style>
  <w:style w:type="character" w:customStyle="1" w:styleId="53">
    <w:name w:val="批注框文本 Char"/>
    <w:link w:val="19"/>
    <w:qFormat/>
    <w:locked/>
    <w:uiPriority w:val="99"/>
    <w:rPr>
      <w:rFonts w:ascii="Times New Roman" w:hAnsi="Times New Roman" w:eastAsia="宋体" w:cs="Times New Roman"/>
      <w:sz w:val="18"/>
      <w:szCs w:val="18"/>
    </w:rPr>
  </w:style>
  <w:style w:type="character" w:customStyle="1" w:styleId="54">
    <w:name w:val="页脚 Char"/>
    <w:link w:val="20"/>
    <w:qFormat/>
    <w:locked/>
    <w:uiPriority w:val="99"/>
    <w:rPr>
      <w:rFonts w:ascii="Times New Roman" w:hAnsi="Times New Roman" w:eastAsia="宋体" w:cs="Times New Roman"/>
      <w:sz w:val="20"/>
      <w:szCs w:val="20"/>
    </w:rPr>
  </w:style>
  <w:style w:type="character" w:customStyle="1" w:styleId="55">
    <w:name w:val="页眉 Char"/>
    <w:link w:val="21"/>
    <w:qFormat/>
    <w:locked/>
    <w:uiPriority w:val="99"/>
    <w:rPr>
      <w:rFonts w:ascii="Times New Roman" w:hAnsi="Times New Roman" w:eastAsia="宋体" w:cs="Times New Roman"/>
      <w:sz w:val="20"/>
      <w:szCs w:val="20"/>
    </w:rPr>
  </w:style>
  <w:style w:type="character" w:customStyle="1" w:styleId="56">
    <w:name w:val="副标题 Char"/>
    <w:link w:val="24"/>
    <w:qFormat/>
    <w:locked/>
    <w:uiPriority w:val="99"/>
    <w:rPr>
      <w:rFonts w:ascii="Calibri Light" w:hAnsi="Calibri Light" w:cs="Times New Roman"/>
      <w:b/>
      <w:kern w:val="28"/>
      <w:sz w:val="32"/>
    </w:rPr>
  </w:style>
  <w:style w:type="character" w:customStyle="1" w:styleId="57">
    <w:name w:val="正文文本缩进 3 Char"/>
    <w:link w:val="26"/>
    <w:qFormat/>
    <w:locked/>
    <w:uiPriority w:val="99"/>
    <w:rPr>
      <w:rFonts w:ascii="宋体" w:hAnsi="Times New Roman" w:eastAsia="宋体" w:cs="Times New Roman"/>
      <w:sz w:val="20"/>
      <w:szCs w:val="20"/>
    </w:rPr>
  </w:style>
  <w:style w:type="character" w:customStyle="1" w:styleId="58">
    <w:name w:val="正文文本 2 Char"/>
    <w:link w:val="29"/>
    <w:qFormat/>
    <w:locked/>
    <w:uiPriority w:val="99"/>
    <w:rPr>
      <w:rFonts w:ascii="宋体" w:hAnsi="Times New Roman" w:eastAsia="宋体" w:cs="Times New Roman"/>
      <w:sz w:val="20"/>
      <w:szCs w:val="20"/>
    </w:rPr>
  </w:style>
  <w:style w:type="character" w:customStyle="1" w:styleId="59">
    <w:name w:val="标题 Char"/>
    <w:link w:val="31"/>
    <w:qFormat/>
    <w:locked/>
    <w:uiPriority w:val="99"/>
    <w:rPr>
      <w:rFonts w:ascii="Cambria" w:hAnsi="Cambria" w:cs="Times New Roman"/>
      <w:b/>
      <w:sz w:val="32"/>
    </w:rPr>
  </w:style>
  <w:style w:type="paragraph" w:customStyle="1" w:styleId="60">
    <w:name w:val="表格标题"/>
    <w:basedOn w:val="1"/>
    <w:qFormat/>
    <w:uiPriority w:val="99"/>
    <w:pPr>
      <w:suppressLineNumbers/>
      <w:suppressAutoHyphens/>
    </w:pPr>
    <w:rPr>
      <w:szCs w:val="24"/>
    </w:rPr>
  </w:style>
  <w:style w:type="paragraph" w:customStyle="1" w:styleId="61">
    <w:name w:val="Definition Term"/>
    <w:basedOn w:val="1"/>
    <w:next w:val="1"/>
    <w:qFormat/>
    <w:uiPriority w:val="99"/>
    <w:pPr>
      <w:numPr>
        <w:ilvl w:val="0"/>
        <w:numId w:val="2"/>
      </w:numPr>
      <w:spacing w:line="288" w:lineRule="auto"/>
    </w:pPr>
  </w:style>
  <w:style w:type="paragraph" w:customStyle="1" w:styleId="62">
    <w:name w:val="WW-表格标题"/>
    <w:basedOn w:val="63"/>
    <w:qFormat/>
    <w:uiPriority w:val="99"/>
  </w:style>
  <w:style w:type="paragraph" w:customStyle="1" w:styleId="63">
    <w:name w:val="WW-表格内容"/>
    <w:basedOn w:val="1"/>
    <w:qFormat/>
    <w:uiPriority w:val="99"/>
    <w:pPr>
      <w:suppressLineNumbers/>
      <w:suppressAutoHyphens/>
    </w:pPr>
    <w:rPr>
      <w:szCs w:val="24"/>
    </w:rPr>
  </w:style>
  <w:style w:type="paragraph" w:customStyle="1" w:styleId="64">
    <w:name w:val="Char Char Char Char"/>
    <w:basedOn w:val="1"/>
    <w:qFormat/>
    <w:uiPriority w:val="99"/>
    <w:rPr>
      <w:szCs w:val="24"/>
    </w:rPr>
  </w:style>
  <w:style w:type="paragraph" w:customStyle="1" w:styleId="65">
    <w:name w:val="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66">
    <w:name w:val="标题2+"/>
    <w:basedOn w:val="4"/>
    <w:qFormat/>
    <w:uiPriority w:val="99"/>
    <w:pPr>
      <w:numPr>
        <w:numId w:val="0"/>
      </w:numPr>
      <w:tabs>
        <w:tab w:val="left" w:pos="1080"/>
        <w:tab w:val="clear" w:pos="1260"/>
        <w:tab w:val="clear" w:pos="1380"/>
      </w:tabs>
      <w:snapToGrid w:val="0"/>
      <w:spacing w:beforeLines="50" w:afterLines="50" w:line="360" w:lineRule="auto"/>
      <w:jc w:val="both"/>
      <w:textAlignment w:val="auto"/>
    </w:pPr>
    <w:rPr>
      <w:rFonts w:cs="Arial"/>
      <w:b w:val="0"/>
      <w:bCs w:val="0"/>
      <w:w w:val="100"/>
      <w:sz w:val="24"/>
      <w:szCs w:val="24"/>
    </w:rPr>
  </w:style>
  <w:style w:type="paragraph" w:customStyle="1" w:styleId="67">
    <w:name w:val="列出段落1"/>
    <w:basedOn w:val="1"/>
    <w:qFormat/>
    <w:uiPriority w:val="99"/>
    <w:pPr>
      <w:ind w:firstLine="200" w:firstLineChars="200"/>
    </w:pPr>
    <w:rPr>
      <w:rFonts w:cs="Calibri"/>
      <w:szCs w:val="21"/>
    </w:rPr>
  </w:style>
  <w:style w:type="paragraph" w:customStyle="1" w:styleId="68">
    <w:name w:val="文档正文"/>
    <w:basedOn w:val="1"/>
    <w:qFormat/>
    <w:uiPriority w:val="99"/>
    <w:pPr>
      <w:suppressAutoHyphens/>
      <w:spacing w:line="312" w:lineRule="atLeast"/>
      <w:ind w:firstLine="567"/>
      <w:jc w:val="left"/>
      <w:textAlignment w:val="baseline"/>
    </w:pPr>
    <w:rPr>
      <w:rFonts w:ascii="长城仿宋" w:eastAsia="长城仿宋" w:cs="Tahoma"/>
      <w:b/>
      <w:w w:val="80"/>
      <w:sz w:val="28"/>
    </w:rPr>
  </w:style>
  <w:style w:type="paragraph" w:customStyle="1" w:styleId="69">
    <w:name w:val="Default Text"/>
    <w:link w:val="7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0">
    <w:name w:val="节"/>
    <w:basedOn w:val="4"/>
    <w:qFormat/>
    <w:uiPriority w:val="99"/>
    <w:pPr>
      <w:numPr>
        <w:ilvl w:val="0"/>
        <w:numId w:val="3"/>
      </w:numPr>
      <w:tabs>
        <w:tab w:val="left" w:pos="576"/>
        <w:tab w:val="clear" w:pos="1260"/>
        <w:tab w:val="clear" w:pos="1380"/>
      </w:tabs>
      <w:spacing w:line="240" w:lineRule="auto"/>
    </w:pPr>
    <w:rPr>
      <w:rFonts w:ascii="黑体"/>
      <w:b w:val="0"/>
      <w:sz w:val="28"/>
      <w:szCs w:val="28"/>
    </w:rPr>
  </w:style>
  <w:style w:type="paragraph" w:customStyle="1" w:styleId="71">
    <w:name w:val="zhang"/>
    <w:basedOn w:val="1"/>
    <w:qFormat/>
    <w:uiPriority w:val="99"/>
    <w:pPr>
      <w:spacing w:before="100" w:beforeAutospacing="1" w:after="100" w:afterAutospacing="1"/>
    </w:pPr>
    <w:rPr>
      <w:b/>
      <w:bCs/>
      <w:smallCaps/>
      <w:color w:val="000000"/>
      <w:sz w:val="20"/>
    </w:rPr>
  </w:style>
  <w:style w:type="paragraph" w:customStyle="1" w:styleId="72">
    <w:name w:val="_Style 4"/>
    <w:basedOn w:val="3"/>
    <w:next w:val="1"/>
    <w:qFormat/>
    <w:uiPriority w:val="99"/>
    <w:pPr>
      <w:spacing w:line="576" w:lineRule="auto"/>
      <w:outlineLvl w:val="9"/>
    </w:pPr>
    <w:rPr>
      <w:rFonts w:ascii="Calibri" w:hAnsi="Calibri"/>
    </w:rPr>
  </w:style>
  <w:style w:type="paragraph" w:customStyle="1" w:styleId="73">
    <w:name w:val="p0"/>
    <w:basedOn w:val="1"/>
    <w:qFormat/>
    <w:uiPriority w:val="99"/>
    <w:rPr>
      <w:szCs w:val="21"/>
    </w:rPr>
  </w:style>
  <w:style w:type="character" w:customStyle="1" w:styleId="74">
    <w:name w:val="15"/>
    <w:qFormat/>
    <w:uiPriority w:val="99"/>
    <w:rPr>
      <w:rFonts w:ascii="Times New Roman" w:hAnsi="Times New Roman"/>
      <w:color w:val="464445"/>
      <w:u w:val="none"/>
    </w:rPr>
  </w:style>
  <w:style w:type="paragraph" w:customStyle="1" w:styleId="7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rPr>
  </w:style>
  <w:style w:type="character" w:customStyle="1" w:styleId="77">
    <w:name w:val="Default Text Char"/>
    <w:link w:val="69"/>
    <w:qFormat/>
    <w:uiPriority w:val="0"/>
    <w:rPr>
      <w:rFonts w:ascii="Times New Roman" w:hAnsi="Times New Roman" w:eastAsia="宋体" w:cs="Times New Roman"/>
      <w:color w:val="000000"/>
      <w:sz w:val="24"/>
      <w:szCs w:val="24"/>
    </w:rPr>
  </w:style>
  <w:style w:type="paragraph" w:styleId="78">
    <w:name w:val="List Paragraph"/>
    <w:basedOn w:val="1"/>
    <w:qFormat/>
    <w:uiPriority w:val="34"/>
    <w:pPr>
      <w:ind w:firstLine="420" w:firstLineChars="200"/>
    </w:pPr>
    <w:rPr>
      <w:rFonts w:ascii="Calibri" w:hAnsi="Calibri"/>
      <w:szCs w:val="22"/>
    </w:rPr>
  </w:style>
  <w:style w:type="character" w:customStyle="1" w:styleId="79">
    <w:name w:val="font41"/>
    <w:basedOn w:val="35"/>
    <w:qFormat/>
    <w:uiPriority w:val="0"/>
    <w:rPr>
      <w:rFonts w:hint="eastAsia" w:ascii="仿宋" w:hAnsi="仿宋" w:eastAsia="仿宋" w:cs="仿宋"/>
      <w:color w:val="000000"/>
      <w:sz w:val="24"/>
      <w:szCs w:val="24"/>
      <w:u w:val="none"/>
    </w:rPr>
  </w:style>
  <w:style w:type="paragraph" w:customStyle="1" w:styleId="80">
    <w:name w:val="列出段落2"/>
    <w:basedOn w:val="1"/>
    <w:unhideWhenUsed/>
    <w:qFormat/>
    <w:uiPriority w:val="34"/>
    <w:pPr>
      <w:ind w:firstLine="420" w:firstLineChars="200"/>
    </w:pPr>
  </w:style>
  <w:style w:type="paragraph" w:customStyle="1" w:styleId="81">
    <w:name w:val="Table Paragraph"/>
    <w:basedOn w:val="1"/>
    <w:qFormat/>
    <w:uiPriority w:val="0"/>
    <w:rPr>
      <w:rFonts w:ascii="宋体" w:hAnsi="宋体" w:cs="宋体"/>
      <w:lang w:val="zh-CN" w:bidi="zh-CN"/>
    </w:rPr>
  </w:style>
  <w:style w:type="paragraph" w:customStyle="1" w:styleId="82">
    <w:name w:val="WPSOffice手动目录 1"/>
    <w:uiPriority w:val="0"/>
    <w:pPr>
      <w:ind w:leftChars="0"/>
    </w:pPr>
    <w:rPr>
      <w:rFonts w:ascii="Times New Roman" w:hAnsi="Times New Roman" w:eastAsia="宋体" w:cs="Times New Roman"/>
      <w:sz w:val="20"/>
      <w:szCs w:val="20"/>
    </w:rPr>
  </w:style>
  <w:style w:type="paragraph" w:customStyle="1" w:styleId="83">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textRotate="1"/>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D74F9-55BA-4EEC-9DFE-3A896CCA8CD6}">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42</Pages>
  <Words>15289</Words>
  <Characters>16269</Characters>
  <Lines>118</Lines>
  <Paragraphs>33</Paragraphs>
  <TotalTime>1</TotalTime>
  <ScaleCrop>false</ScaleCrop>
  <LinksUpToDate>false</LinksUpToDate>
  <CharactersWithSpaces>17285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2020-04-15T06:37:00Z</dcterms:created>
  <dc:creator>Administrator</dc:creator>
  <cp:lastModifiedBy>         </cp:lastModifiedBy>
  <cp:lastPrinted>2018-11-20T10:58:00Z</cp:lastPrinted>
  <dcterms:modified xsi:type="dcterms:W3CDTF">2023-02-27T11:22:37Z</dcterms:modified>
  <dc:title>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C8FC1754EF964970BA94A9817C172E4A</vt:lpwstr>
  </property>
</Properties>
</file>