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80" w:leftChars="257" w:hanging="540"/>
        <w:jc w:val="center"/>
        <w:rPr>
          <w:rFonts w:ascii="仿宋" w:hAnsi="仿宋" w:eastAsia="仿宋" w:cs="仿宋"/>
          <w:color w:val="auto"/>
          <w:sz w:val="24"/>
        </w:rPr>
      </w:pPr>
      <w:r>
        <w:rPr>
          <w:rFonts w:hint="eastAsia" w:ascii="仿宋" w:hAnsi="仿宋" w:eastAsia="仿宋" w:cs="仿宋"/>
          <w:bCs/>
          <w:color w:val="auto"/>
          <w:sz w:val="28"/>
          <w:szCs w:val="28"/>
        </w:rPr>
        <w:t xml:space="preserve">                   </w:t>
      </w:r>
    </w:p>
    <w:p>
      <w:pPr>
        <w:spacing w:line="240" w:lineRule="atLeast"/>
        <w:ind w:left="1080" w:leftChars="257" w:hanging="540"/>
        <w:jc w:val="center"/>
        <w:rPr>
          <w:rFonts w:ascii="仿宋" w:hAnsi="仿宋" w:eastAsia="仿宋" w:cs="仿宋"/>
          <w:color w:val="auto"/>
          <w:sz w:val="24"/>
        </w:rPr>
      </w:pPr>
    </w:p>
    <w:p>
      <w:pPr>
        <w:spacing w:line="240" w:lineRule="atLeast"/>
        <w:ind w:left="1080" w:leftChars="257" w:hanging="540"/>
        <w:jc w:val="center"/>
        <w:rPr>
          <w:rFonts w:ascii="仿宋" w:hAnsi="仿宋" w:eastAsia="仿宋" w:cs="仿宋"/>
          <w:color w:val="auto"/>
          <w:sz w:val="24"/>
        </w:rPr>
      </w:pPr>
    </w:p>
    <w:p>
      <w:pPr>
        <w:spacing w:line="240" w:lineRule="atLeast"/>
        <w:ind w:left="1080" w:leftChars="257" w:hanging="540"/>
        <w:jc w:val="center"/>
        <w:rPr>
          <w:rFonts w:ascii="仿宋" w:hAnsi="仿宋" w:eastAsia="仿宋" w:cs="仿宋"/>
          <w:color w:val="auto"/>
          <w:sz w:val="24"/>
        </w:rPr>
      </w:pPr>
    </w:p>
    <w:p>
      <w:pPr>
        <w:widowControl/>
        <w:jc w:val="center"/>
        <w:outlineLvl w:val="0"/>
        <w:rPr>
          <w:rFonts w:hint="eastAsia" w:ascii="仿宋" w:hAnsi="仿宋" w:eastAsia="仿宋" w:cs="仿宋"/>
          <w:b/>
          <w:color w:val="auto"/>
          <w:sz w:val="44"/>
          <w:szCs w:val="44"/>
        </w:rPr>
      </w:pPr>
      <w:bookmarkStart w:id="0" w:name="_Toc25604"/>
      <w:r>
        <w:rPr>
          <w:rFonts w:hint="eastAsia" w:ascii="仿宋" w:hAnsi="仿宋" w:eastAsia="仿宋" w:cs="仿宋"/>
          <w:b/>
          <w:color w:val="auto"/>
          <w:sz w:val="44"/>
          <w:szCs w:val="44"/>
          <w:lang w:val="en-US" w:eastAsia="zh-CN"/>
        </w:rPr>
        <w:t>克州</w:t>
      </w:r>
      <w:r>
        <w:rPr>
          <w:rFonts w:hint="eastAsia" w:ascii="仿宋" w:hAnsi="仿宋" w:eastAsia="仿宋" w:cs="仿宋"/>
          <w:b/>
          <w:color w:val="auto"/>
          <w:sz w:val="44"/>
          <w:szCs w:val="44"/>
        </w:rPr>
        <w:t>2023年</w:t>
      </w:r>
      <w:r>
        <w:rPr>
          <w:rFonts w:hint="eastAsia" w:ascii="仿宋" w:hAnsi="仿宋" w:eastAsia="仿宋" w:cs="仿宋"/>
          <w:b/>
          <w:color w:val="auto"/>
          <w:sz w:val="44"/>
          <w:szCs w:val="44"/>
          <w:lang w:val="en-US" w:eastAsia="zh-CN"/>
        </w:rPr>
        <w:t>自然</w:t>
      </w:r>
      <w:r>
        <w:rPr>
          <w:rFonts w:hint="eastAsia" w:ascii="仿宋" w:hAnsi="仿宋" w:eastAsia="仿宋" w:cs="仿宋"/>
          <w:b/>
          <w:color w:val="auto"/>
          <w:sz w:val="44"/>
          <w:szCs w:val="44"/>
        </w:rPr>
        <w:t>灾害防治体系建设</w:t>
      </w:r>
      <w:bookmarkEnd w:id="0"/>
    </w:p>
    <w:p>
      <w:pPr>
        <w:widowControl/>
        <w:jc w:val="center"/>
        <w:outlineLvl w:val="0"/>
        <w:rPr>
          <w:rFonts w:hint="eastAsia" w:ascii="仿宋" w:hAnsi="仿宋" w:eastAsia="仿宋" w:cs="仿宋"/>
          <w:b/>
          <w:color w:val="auto"/>
          <w:sz w:val="44"/>
          <w:szCs w:val="44"/>
        </w:rPr>
      </w:pPr>
      <w:bookmarkStart w:id="1" w:name="_Toc5502"/>
      <w:r>
        <w:rPr>
          <w:rFonts w:hint="eastAsia" w:ascii="仿宋" w:hAnsi="仿宋" w:eastAsia="仿宋" w:cs="仿宋"/>
          <w:b/>
          <w:color w:val="auto"/>
          <w:sz w:val="44"/>
          <w:szCs w:val="44"/>
          <w:lang w:val="en-US" w:eastAsia="zh-CN"/>
        </w:rPr>
        <w:t>补助资金</w:t>
      </w:r>
      <w:r>
        <w:rPr>
          <w:rFonts w:hint="eastAsia" w:ascii="仿宋" w:hAnsi="仿宋" w:eastAsia="仿宋" w:cs="仿宋"/>
          <w:b/>
          <w:color w:val="auto"/>
          <w:sz w:val="44"/>
          <w:szCs w:val="44"/>
        </w:rPr>
        <w:t>项目</w:t>
      </w:r>
      <w:bookmarkEnd w:id="1"/>
    </w:p>
    <w:p>
      <w:pPr>
        <w:pStyle w:val="27"/>
        <w:rPr>
          <w:rFonts w:ascii="仿宋" w:hAnsi="仿宋" w:eastAsia="仿宋" w:cs="仿宋"/>
          <w:b/>
          <w:color w:val="auto"/>
          <w:sz w:val="48"/>
          <w:szCs w:val="48"/>
        </w:rPr>
      </w:pPr>
    </w:p>
    <w:p>
      <w:pPr>
        <w:widowControl/>
        <w:jc w:val="left"/>
        <w:rPr>
          <w:rFonts w:ascii="仿宋" w:hAnsi="仿宋" w:eastAsia="仿宋" w:cs="仿宋"/>
          <w:color w:val="auto"/>
        </w:rPr>
      </w:pPr>
    </w:p>
    <w:p>
      <w:pPr>
        <w:pStyle w:val="4"/>
        <w:ind w:firstLine="480"/>
        <w:rPr>
          <w:color w:val="auto"/>
        </w:rPr>
      </w:pPr>
    </w:p>
    <w:p>
      <w:pPr>
        <w:spacing w:line="240" w:lineRule="atLeast"/>
        <w:jc w:val="center"/>
        <w:rPr>
          <w:rFonts w:ascii="仿宋" w:hAnsi="仿宋" w:eastAsia="仿宋" w:cs="仿宋"/>
          <w:bCs/>
          <w:color w:val="auto"/>
          <w:sz w:val="52"/>
          <w:szCs w:val="52"/>
        </w:rPr>
      </w:pPr>
      <w:r>
        <w:rPr>
          <w:rFonts w:hint="eastAsia" w:ascii="仿宋" w:hAnsi="仿宋" w:eastAsia="仿宋" w:cs="仿宋"/>
          <w:bCs/>
          <w:color w:val="auto"/>
          <w:sz w:val="52"/>
          <w:szCs w:val="52"/>
        </w:rPr>
        <w:t xml:space="preserve"> </w:t>
      </w:r>
      <w:r>
        <w:rPr>
          <w:rFonts w:hint="eastAsia" w:ascii="仿宋" w:hAnsi="仿宋" w:eastAsia="仿宋" w:cs="仿宋"/>
          <w:b/>
          <w:color w:val="auto"/>
          <w:sz w:val="52"/>
          <w:szCs w:val="52"/>
        </w:rPr>
        <w:t>采购文件</w:t>
      </w:r>
    </w:p>
    <w:p>
      <w:pPr>
        <w:spacing w:line="240" w:lineRule="atLeast"/>
        <w:ind w:left="1080" w:leftChars="257" w:hanging="540"/>
        <w:jc w:val="center"/>
        <w:rPr>
          <w:rFonts w:ascii="仿宋" w:hAnsi="仿宋" w:eastAsia="仿宋" w:cs="仿宋"/>
          <w:bCs/>
          <w:color w:val="auto"/>
          <w:sz w:val="52"/>
          <w:szCs w:val="52"/>
        </w:rPr>
      </w:pPr>
    </w:p>
    <w:p>
      <w:pPr>
        <w:spacing w:line="240" w:lineRule="atLeast"/>
        <w:ind w:left="1080" w:leftChars="257" w:hanging="540"/>
        <w:jc w:val="center"/>
        <w:rPr>
          <w:rFonts w:ascii="仿宋" w:hAnsi="仿宋" w:eastAsia="仿宋" w:cs="仿宋"/>
          <w:bCs/>
          <w:color w:val="auto"/>
          <w:sz w:val="32"/>
          <w:szCs w:val="32"/>
        </w:rPr>
      </w:pPr>
      <w:r>
        <w:rPr>
          <w:rFonts w:hint="eastAsia" w:ascii="仿宋" w:hAnsi="仿宋" w:eastAsia="仿宋" w:cs="仿宋"/>
          <w:bCs/>
          <w:color w:val="auto"/>
          <w:sz w:val="32"/>
          <w:szCs w:val="32"/>
        </w:rPr>
        <w:t>（项目编号：</w:t>
      </w:r>
      <w:r>
        <w:rPr>
          <w:rFonts w:hint="eastAsia" w:ascii="仿宋" w:hAnsi="仿宋" w:eastAsia="仿宋" w:cs="仿宋"/>
          <w:bCs/>
          <w:color w:val="auto"/>
          <w:sz w:val="32"/>
          <w:szCs w:val="32"/>
          <w:lang w:eastAsia="zh-CN"/>
        </w:rPr>
        <w:t>GYZB-KZDZFZ2023</w:t>
      </w:r>
      <w:r>
        <w:rPr>
          <w:rFonts w:hint="eastAsia" w:ascii="仿宋" w:hAnsi="仿宋" w:eastAsia="仿宋" w:cs="仿宋"/>
          <w:bCs/>
          <w:color w:val="auto"/>
          <w:sz w:val="32"/>
          <w:szCs w:val="32"/>
          <w:lang w:val="en-US" w:eastAsia="zh-CN"/>
        </w:rPr>
        <w:t>-01</w:t>
      </w:r>
      <w:r>
        <w:rPr>
          <w:rFonts w:hint="eastAsia" w:ascii="仿宋" w:hAnsi="仿宋" w:eastAsia="仿宋" w:cs="仿宋"/>
          <w:bCs/>
          <w:color w:val="auto"/>
          <w:sz w:val="32"/>
          <w:szCs w:val="32"/>
        </w:rPr>
        <w:t>）</w:t>
      </w:r>
    </w:p>
    <w:p>
      <w:pPr>
        <w:pStyle w:val="11"/>
        <w:ind w:firstLine="0"/>
        <w:rPr>
          <w:color w:val="auto"/>
        </w:rPr>
      </w:pPr>
    </w:p>
    <w:p>
      <w:pPr>
        <w:spacing w:line="240" w:lineRule="atLeast"/>
        <w:ind w:left="1080" w:leftChars="257" w:hanging="540"/>
        <w:jc w:val="center"/>
        <w:rPr>
          <w:rFonts w:ascii="仿宋" w:hAnsi="仿宋" w:eastAsia="仿宋" w:cs="仿宋"/>
          <w:b/>
          <w:color w:val="auto"/>
          <w:sz w:val="52"/>
        </w:rPr>
      </w:pPr>
    </w:p>
    <w:p>
      <w:pPr>
        <w:spacing w:line="240" w:lineRule="atLeast"/>
        <w:ind w:left="1079" w:leftChars="257" w:hanging="539"/>
        <w:jc w:val="center"/>
        <w:outlineLvl w:val="0"/>
        <w:rPr>
          <w:rFonts w:ascii="仿宋" w:hAnsi="仿宋" w:eastAsia="仿宋" w:cs="仿宋"/>
          <w:b/>
          <w:color w:val="auto"/>
          <w:sz w:val="36"/>
          <w:szCs w:val="36"/>
        </w:rPr>
      </w:pPr>
      <w:bookmarkStart w:id="2" w:name="_Toc20713"/>
      <w:bookmarkStart w:id="3" w:name="_Toc2764"/>
      <w:r>
        <w:rPr>
          <w:rFonts w:hint="eastAsia" w:ascii="仿宋" w:hAnsi="仿宋" w:eastAsia="仿宋" w:cs="仿宋"/>
          <w:b/>
          <w:color w:val="auto"/>
          <w:sz w:val="36"/>
          <w:szCs w:val="36"/>
        </w:rPr>
        <w:t>第</w:t>
      </w:r>
      <w:r>
        <w:rPr>
          <w:rFonts w:hint="eastAsia" w:ascii="仿宋" w:hAnsi="仿宋" w:eastAsia="仿宋" w:cs="仿宋"/>
          <w:b/>
          <w:color w:val="auto"/>
          <w:sz w:val="36"/>
          <w:szCs w:val="36"/>
          <w:lang w:eastAsia="zh-CN"/>
        </w:rPr>
        <w:t>一</w:t>
      </w:r>
      <w:r>
        <w:rPr>
          <w:rFonts w:hint="eastAsia" w:ascii="仿宋" w:hAnsi="仿宋" w:eastAsia="仿宋" w:cs="仿宋"/>
          <w:b/>
          <w:color w:val="auto"/>
          <w:sz w:val="36"/>
          <w:szCs w:val="36"/>
        </w:rPr>
        <w:t>册</w:t>
      </w:r>
      <w:bookmarkEnd w:id="2"/>
      <w:bookmarkEnd w:id="3"/>
    </w:p>
    <w:p>
      <w:pPr>
        <w:pStyle w:val="3"/>
        <w:ind w:firstLine="1044"/>
        <w:rPr>
          <w:rFonts w:ascii="仿宋" w:hAnsi="仿宋" w:eastAsia="仿宋" w:cs="仿宋"/>
          <w:b/>
          <w:color w:val="auto"/>
          <w:sz w:val="52"/>
        </w:rPr>
      </w:pPr>
    </w:p>
    <w:p>
      <w:pPr>
        <w:pStyle w:val="4"/>
        <w:ind w:firstLine="480"/>
        <w:rPr>
          <w:color w:val="auto"/>
        </w:rPr>
      </w:pPr>
    </w:p>
    <w:p>
      <w:pPr>
        <w:spacing w:line="360" w:lineRule="auto"/>
        <w:ind w:firstLine="837" w:firstLineChars="299"/>
        <w:jc w:val="left"/>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采 购 人：</w:t>
      </w:r>
      <w:r>
        <w:rPr>
          <w:rFonts w:hint="eastAsia" w:ascii="仿宋" w:hAnsi="仿宋" w:eastAsia="仿宋" w:cs="仿宋"/>
          <w:color w:val="auto"/>
          <w:sz w:val="28"/>
          <w:szCs w:val="28"/>
          <w:u w:val="single"/>
          <w:lang w:eastAsia="zh-CN"/>
        </w:rPr>
        <w:t>克孜勒苏柯尔克孜自治州自然资源局</w:t>
      </w:r>
    </w:p>
    <w:p>
      <w:pPr>
        <w:spacing w:line="600" w:lineRule="exact"/>
        <w:ind w:firstLine="837" w:firstLineChars="299"/>
        <w:rPr>
          <w:rFonts w:ascii="仿宋" w:hAnsi="仿宋" w:eastAsia="仿宋" w:cs="仿宋"/>
          <w:color w:val="auto"/>
          <w:sz w:val="28"/>
          <w:szCs w:val="28"/>
        </w:rPr>
      </w:pPr>
      <w:r>
        <w:rPr>
          <w:rFonts w:hint="eastAsia" w:ascii="仿宋" w:hAnsi="仿宋" w:eastAsia="仿宋" w:cs="仿宋"/>
          <w:color w:val="auto"/>
          <w:sz w:val="28"/>
          <w:szCs w:val="28"/>
        </w:rPr>
        <w:t>采购机构：</w:t>
      </w:r>
      <w:r>
        <w:rPr>
          <w:rFonts w:hint="eastAsia" w:ascii="仿宋" w:hAnsi="仿宋" w:eastAsia="仿宋" w:cs="仿宋"/>
          <w:color w:val="auto"/>
          <w:sz w:val="28"/>
          <w:szCs w:val="28"/>
          <w:u w:val="single"/>
        </w:rPr>
        <w:t>新疆国源土地矿产资源交易中心（有限公司）</w:t>
      </w:r>
      <w:r>
        <w:rPr>
          <w:rFonts w:hint="eastAsia" w:ascii="仿宋" w:hAnsi="仿宋" w:eastAsia="仿宋" w:cs="仿宋"/>
          <w:color w:val="auto"/>
          <w:sz w:val="28"/>
          <w:szCs w:val="28"/>
        </w:rPr>
        <w:t xml:space="preserve"> </w:t>
      </w:r>
    </w:p>
    <w:p>
      <w:pPr>
        <w:spacing w:line="600" w:lineRule="exact"/>
        <w:ind w:firstLine="837" w:firstLineChars="299"/>
        <w:rPr>
          <w:rFonts w:ascii="仿宋" w:hAnsi="仿宋" w:eastAsia="仿宋" w:cs="仿宋"/>
          <w:color w:val="auto"/>
          <w:sz w:val="28"/>
          <w:szCs w:val="28"/>
          <w:u w:val="single"/>
        </w:rPr>
      </w:pPr>
      <w:r>
        <w:rPr>
          <w:rFonts w:hint="eastAsia" w:ascii="仿宋" w:hAnsi="仿宋" w:eastAsia="仿宋" w:cs="仿宋"/>
          <w:color w:val="auto"/>
          <w:sz w:val="28"/>
          <w:szCs w:val="28"/>
        </w:rPr>
        <w:t>发出日期：</w:t>
      </w:r>
      <w:r>
        <w:rPr>
          <w:rFonts w:hint="eastAsia" w:ascii="仿宋" w:hAnsi="仿宋" w:eastAsia="仿宋" w:cs="仿宋"/>
          <w:color w:val="auto"/>
          <w:sz w:val="28"/>
          <w:szCs w:val="28"/>
          <w:u w:val="single"/>
        </w:rPr>
        <w:t>2023年2月</w:t>
      </w:r>
    </w:p>
    <w:p>
      <w:pPr>
        <w:spacing w:before="0" w:beforeLines="0" w:after="0" w:afterLines="0" w:line="240" w:lineRule="auto"/>
        <w:ind w:left="0" w:leftChars="0" w:right="0" w:rightChars="0" w:firstLine="0" w:firstLineChars="0"/>
        <w:jc w:val="center"/>
        <w:rPr>
          <w:rFonts w:hint="eastAsia" w:ascii="仿宋" w:hAnsi="仿宋" w:eastAsia="仿宋" w:cs="仿宋"/>
          <w:b/>
          <w:bCs/>
          <w:color w:val="auto"/>
          <w:kern w:val="2"/>
          <w:sz w:val="32"/>
          <w:szCs w:val="32"/>
          <w:lang w:val="en-US" w:eastAsia="zh-CN" w:bidi="ar-SA"/>
        </w:rPr>
        <w:sectPr>
          <w:headerReference r:id="rId3" w:type="default"/>
          <w:headerReference r:id="rId4" w:type="even"/>
          <w:footerReference r:id="rId5" w:type="even"/>
          <w:pgSz w:w="11906" w:h="16838"/>
          <w:pgMar w:top="1440" w:right="1797" w:bottom="1318" w:left="1797" w:header="851" w:footer="992" w:gutter="0"/>
          <w:pgBorders>
            <w:top w:val="none" w:sz="0" w:space="0"/>
            <w:left w:val="none" w:sz="0" w:space="0"/>
            <w:bottom w:val="none" w:sz="0" w:space="0"/>
            <w:right w:val="none" w:sz="0" w:space="0"/>
          </w:pgBorders>
          <w:pgNumType w:start="1"/>
          <w:cols w:space="720" w:num="1"/>
          <w:docGrid w:linePitch="312" w:charSpace="0"/>
        </w:sectPr>
      </w:pPr>
      <w:bookmarkStart w:id="4" w:name="_Toc507399902"/>
      <w:bookmarkStart w:id="5" w:name="_Toc216582822"/>
      <w:bookmarkStart w:id="6" w:name="_Toc218935350"/>
      <w:bookmarkStart w:id="7" w:name="_Toc219175634"/>
      <w:bookmarkStart w:id="8" w:name="_Toc518923124"/>
      <w:bookmarkStart w:id="9" w:name="_Toc8251"/>
    </w:p>
    <w:sdt>
      <w:sdtPr>
        <w:rPr>
          <w:rFonts w:hint="eastAsia" w:ascii="仿宋" w:hAnsi="仿宋" w:eastAsia="仿宋" w:cs="仿宋"/>
          <w:b/>
          <w:bCs/>
          <w:color w:val="auto"/>
          <w:kern w:val="2"/>
          <w:sz w:val="32"/>
          <w:szCs w:val="32"/>
          <w:lang w:val="en-US" w:eastAsia="zh-CN" w:bidi="ar-SA"/>
        </w:rPr>
        <w:id w:val="147461277"/>
        <w15:color w:val="DBDBDB"/>
        <w:docPartObj>
          <w:docPartGallery w:val="Table of Contents"/>
          <w:docPartUnique/>
        </w:docPartObj>
      </w:sdtPr>
      <w:sdtEndPr>
        <w:rPr>
          <w:rFonts w:hint="eastAsia" w:ascii="仿宋" w:hAnsi="仿宋" w:eastAsia="仿宋" w:cs="仿宋"/>
          <w:b/>
          <w:bCs/>
          <w:color w:val="auto"/>
          <w:kern w:val="0"/>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目录</w:t>
          </w:r>
        </w:p>
        <w:p>
          <w:pPr>
            <w:pStyle w:val="76"/>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b/>
              <w:color w:val="auto"/>
              <w:sz w:val="24"/>
              <w:szCs w:val="24"/>
            </w:rPr>
          </w:pPr>
          <w:r>
            <w:rPr>
              <w:rFonts w:hint="eastAsia" w:ascii="仿宋" w:hAnsi="仿宋" w:eastAsia="仿宋" w:cs="仿宋"/>
              <w:color w:val="auto"/>
              <w:kern w:val="0"/>
              <w:sz w:val="24"/>
              <w:szCs w:val="24"/>
            </w:rPr>
            <w:fldChar w:fldCharType="begin"/>
          </w:r>
          <w:r>
            <w:rPr>
              <w:rFonts w:hint="eastAsia" w:ascii="仿宋" w:hAnsi="仿宋" w:eastAsia="仿宋" w:cs="仿宋"/>
              <w:color w:val="auto"/>
              <w:kern w:val="0"/>
              <w:sz w:val="24"/>
              <w:szCs w:val="24"/>
            </w:rPr>
            <w:instrText xml:space="preserve">TOC \o "1-2" \h \u </w:instrText>
          </w:r>
          <w:r>
            <w:rPr>
              <w:rFonts w:hint="eastAsia" w:ascii="仿宋" w:hAnsi="仿宋" w:eastAsia="仿宋" w:cs="仿宋"/>
              <w:color w:val="auto"/>
              <w:kern w:val="0"/>
              <w:sz w:val="24"/>
              <w:szCs w:val="24"/>
            </w:rPr>
            <w:fldChar w:fldCharType="separate"/>
          </w:r>
        </w:p>
        <w:p>
          <w:pPr>
            <w:pStyle w:val="76"/>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b/>
              <w:color w:val="auto"/>
              <w:sz w:val="28"/>
              <w:szCs w:val="28"/>
            </w:rPr>
          </w:pPr>
          <w:r>
            <w:rPr>
              <w:rFonts w:hint="eastAsia" w:ascii="仿宋" w:hAnsi="仿宋" w:eastAsia="仿宋" w:cs="仿宋"/>
              <w:b/>
              <w:color w:val="auto"/>
              <w:kern w:val="0"/>
              <w:sz w:val="28"/>
              <w:szCs w:val="28"/>
            </w:rPr>
            <w:fldChar w:fldCharType="begin"/>
          </w:r>
          <w:r>
            <w:rPr>
              <w:rFonts w:hint="eastAsia" w:ascii="仿宋" w:hAnsi="仿宋" w:eastAsia="仿宋" w:cs="仿宋"/>
              <w:b/>
              <w:color w:val="auto"/>
              <w:kern w:val="0"/>
              <w:sz w:val="28"/>
              <w:szCs w:val="28"/>
            </w:rPr>
            <w:instrText xml:space="preserve"> HYPERLINK \l _Toc13413 </w:instrText>
          </w:r>
          <w:r>
            <w:rPr>
              <w:rFonts w:hint="eastAsia" w:ascii="仿宋" w:hAnsi="仿宋" w:eastAsia="仿宋" w:cs="仿宋"/>
              <w:b/>
              <w:color w:val="auto"/>
              <w:kern w:val="0"/>
              <w:sz w:val="28"/>
              <w:szCs w:val="28"/>
            </w:rPr>
            <w:fldChar w:fldCharType="separate"/>
          </w:r>
          <w:r>
            <w:rPr>
              <w:rFonts w:hint="eastAsia" w:ascii="仿宋" w:hAnsi="仿宋" w:eastAsia="仿宋" w:cs="仿宋"/>
              <w:b/>
              <w:color w:val="auto"/>
              <w:kern w:val="44"/>
              <w:sz w:val="28"/>
              <w:szCs w:val="28"/>
            </w:rPr>
            <w:t>第</w:t>
          </w:r>
          <w:r>
            <w:rPr>
              <w:rFonts w:hint="eastAsia" w:ascii="仿宋" w:hAnsi="仿宋" w:eastAsia="仿宋" w:cs="仿宋"/>
              <w:b/>
              <w:color w:val="auto"/>
              <w:kern w:val="44"/>
              <w:sz w:val="28"/>
              <w:szCs w:val="28"/>
              <w:lang w:val="en-US" w:eastAsia="zh-CN"/>
            </w:rPr>
            <w:t>1</w:t>
          </w:r>
          <w:r>
            <w:rPr>
              <w:rFonts w:hint="eastAsia" w:ascii="仿宋" w:hAnsi="仿宋" w:eastAsia="仿宋" w:cs="仿宋"/>
              <w:b/>
              <w:color w:val="auto"/>
              <w:kern w:val="44"/>
              <w:sz w:val="28"/>
              <w:szCs w:val="28"/>
            </w:rPr>
            <w:t>章  招标公告</w:t>
          </w:r>
          <w:r>
            <w:rPr>
              <w:rFonts w:hint="eastAsia" w:ascii="仿宋" w:hAnsi="仿宋" w:eastAsia="仿宋" w:cs="仿宋"/>
              <w:b/>
              <w:color w:val="auto"/>
              <w:sz w:val="28"/>
              <w:szCs w:val="28"/>
            </w:rPr>
            <w:tab/>
          </w:r>
          <w:r>
            <w:rPr>
              <w:rFonts w:hint="eastAsia" w:ascii="仿宋" w:hAnsi="仿宋" w:eastAsia="仿宋" w:cs="仿宋"/>
              <w:b/>
              <w:color w:val="auto"/>
              <w:sz w:val="28"/>
              <w:szCs w:val="28"/>
            </w:rPr>
            <w:fldChar w:fldCharType="begin"/>
          </w:r>
          <w:r>
            <w:rPr>
              <w:rFonts w:hint="eastAsia" w:ascii="仿宋" w:hAnsi="仿宋" w:eastAsia="仿宋" w:cs="仿宋"/>
              <w:b/>
              <w:color w:val="auto"/>
              <w:sz w:val="28"/>
              <w:szCs w:val="28"/>
            </w:rPr>
            <w:instrText xml:space="preserve"> PAGEREF _Toc13413 \h </w:instrText>
          </w:r>
          <w:r>
            <w:rPr>
              <w:rFonts w:hint="eastAsia" w:ascii="仿宋" w:hAnsi="仿宋" w:eastAsia="仿宋" w:cs="仿宋"/>
              <w:b/>
              <w:color w:val="auto"/>
              <w:sz w:val="28"/>
              <w:szCs w:val="28"/>
            </w:rPr>
            <w:fldChar w:fldCharType="separate"/>
          </w:r>
          <w:r>
            <w:rPr>
              <w:rFonts w:hint="eastAsia" w:ascii="仿宋" w:hAnsi="仿宋" w:eastAsia="仿宋" w:cs="仿宋"/>
              <w:b/>
              <w:color w:val="auto"/>
              <w:sz w:val="28"/>
              <w:szCs w:val="28"/>
            </w:rPr>
            <w:t>1</w:t>
          </w:r>
          <w:r>
            <w:rPr>
              <w:rFonts w:hint="eastAsia" w:ascii="仿宋" w:hAnsi="仿宋" w:eastAsia="仿宋" w:cs="仿宋"/>
              <w:b/>
              <w:color w:val="auto"/>
              <w:sz w:val="28"/>
              <w:szCs w:val="28"/>
            </w:rPr>
            <w:fldChar w:fldCharType="end"/>
          </w:r>
          <w:r>
            <w:rPr>
              <w:rFonts w:hint="eastAsia" w:ascii="仿宋" w:hAnsi="仿宋" w:eastAsia="仿宋" w:cs="仿宋"/>
              <w:b/>
              <w:color w:val="auto"/>
              <w:kern w:val="0"/>
              <w:sz w:val="28"/>
              <w:szCs w:val="28"/>
            </w:rPr>
            <w:fldChar w:fldCharType="end"/>
          </w:r>
        </w:p>
        <w:p>
          <w:pPr>
            <w:pStyle w:val="76"/>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b/>
              <w:color w:val="auto"/>
              <w:sz w:val="28"/>
              <w:szCs w:val="28"/>
            </w:rPr>
          </w:pPr>
          <w:r>
            <w:rPr>
              <w:rFonts w:hint="eastAsia" w:ascii="仿宋" w:hAnsi="仿宋" w:eastAsia="仿宋" w:cs="仿宋"/>
              <w:b/>
              <w:color w:val="auto"/>
              <w:kern w:val="0"/>
              <w:sz w:val="28"/>
              <w:szCs w:val="28"/>
            </w:rPr>
            <w:fldChar w:fldCharType="begin"/>
          </w:r>
          <w:r>
            <w:rPr>
              <w:rFonts w:hint="eastAsia" w:ascii="仿宋" w:hAnsi="仿宋" w:eastAsia="仿宋" w:cs="仿宋"/>
              <w:b/>
              <w:color w:val="auto"/>
              <w:kern w:val="0"/>
              <w:sz w:val="28"/>
              <w:szCs w:val="28"/>
            </w:rPr>
            <w:instrText xml:space="preserve"> HYPERLINK \l _Toc19797 </w:instrText>
          </w:r>
          <w:r>
            <w:rPr>
              <w:rFonts w:hint="eastAsia" w:ascii="仿宋" w:hAnsi="仿宋" w:eastAsia="仿宋" w:cs="仿宋"/>
              <w:b/>
              <w:color w:val="auto"/>
              <w:kern w:val="0"/>
              <w:sz w:val="28"/>
              <w:szCs w:val="28"/>
            </w:rPr>
            <w:fldChar w:fldCharType="separate"/>
          </w:r>
          <w:r>
            <w:rPr>
              <w:rFonts w:hint="eastAsia" w:ascii="仿宋" w:hAnsi="仿宋" w:eastAsia="仿宋" w:cs="仿宋"/>
              <w:b/>
              <w:color w:val="auto"/>
              <w:sz w:val="28"/>
              <w:szCs w:val="28"/>
            </w:rPr>
            <w:t>第</w:t>
          </w:r>
          <w:r>
            <w:rPr>
              <w:rFonts w:hint="eastAsia" w:ascii="仿宋" w:hAnsi="仿宋" w:eastAsia="仿宋" w:cs="仿宋"/>
              <w:b/>
              <w:color w:val="auto"/>
              <w:sz w:val="28"/>
              <w:szCs w:val="28"/>
              <w:lang w:val="en-US" w:eastAsia="zh-CN"/>
            </w:rPr>
            <w:t>2</w:t>
          </w:r>
          <w:r>
            <w:rPr>
              <w:rFonts w:hint="eastAsia" w:ascii="仿宋" w:hAnsi="仿宋" w:eastAsia="仿宋" w:cs="仿宋"/>
              <w:b/>
              <w:color w:val="auto"/>
              <w:sz w:val="28"/>
              <w:szCs w:val="28"/>
            </w:rPr>
            <w:t>章  供应商须知资料表</w:t>
          </w:r>
          <w:r>
            <w:rPr>
              <w:rFonts w:hint="eastAsia" w:ascii="仿宋" w:hAnsi="仿宋" w:eastAsia="仿宋" w:cs="仿宋"/>
              <w:b/>
              <w:color w:val="auto"/>
              <w:sz w:val="28"/>
              <w:szCs w:val="28"/>
            </w:rPr>
            <w:tab/>
          </w:r>
          <w:r>
            <w:rPr>
              <w:rFonts w:hint="eastAsia" w:ascii="仿宋" w:hAnsi="仿宋" w:eastAsia="仿宋" w:cs="仿宋"/>
              <w:b/>
              <w:color w:val="auto"/>
              <w:sz w:val="28"/>
              <w:szCs w:val="28"/>
            </w:rPr>
            <w:fldChar w:fldCharType="begin"/>
          </w:r>
          <w:r>
            <w:rPr>
              <w:rFonts w:hint="eastAsia" w:ascii="仿宋" w:hAnsi="仿宋" w:eastAsia="仿宋" w:cs="仿宋"/>
              <w:b/>
              <w:color w:val="auto"/>
              <w:sz w:val="28"/>
              <w:szCs w:val="28"/>
            </w:rPr>
            <w:instrText xml:space="preserve"> PAGEREF _Toc19797 \h </w:instrText>
          </w:r>
          <w:r>
            <w:rPr>
              <w:rFonts w:hint="eastAsia" w:ascii="仿宋" w:hAnsi="仿宋" w:eastAsia="仿宋" w:cs="仿宋"/>
              <w:b/>
              <w:color w:val="auto"/>
              <w:sz w:val="28"/>
              <w:szCs w:val="28"/>
            </w:rPr>
            <w:fldChar w:fldCharType="separate"/>
          </w:r>
          <w:r>
            <w:rPr>
              <w:rFonts w:hint="eastAsia" w:ascii="仿宋" w:hAnsi="仿宋" w:eastAsia="仿宋" w:cs="仿宋"/>
              <w:b/>
              <w:color w:val="auto"/>
              <w:sz w:val="28"/>
              <w:szCs w:val="28"/>
            </w:rPr>
            <w:t>4</w:t>
          </w:r>
          <w:r>
            <w:rPr>
              <w:rFonts w:hint="eastAsia" w:ascii="仿宋" w:hAnsi="仿宋" w:eastAsia="仿宋" w:cs="仿宋"/>
              <w:b/>
              <w:color w:val="auto"/>
              <w:sz w:val="28"/>
              <w:szCs w:val="28"/>
            </w:rPr>
            <w:fldChar w:fldCharType="end"/>
          </w:r>
          <w:r>
            <w:rPr>
              <w:rFonts w:hint="eastAsia" w:ascii="仿宋" w:hAnsi="仿宋" w:eastAsia="仿宋" w:cs="仿宋"/>
              <w:b/>
              <w:color w:val="auto"/>
              <w:kern w:val="0"/>
              <w:sz w:val="28"/>
              <w:szCs w:val="28"/>
            </w:rPr>
            <w:fldChar w:fldCharType="end"/>
          </w:r>
        </w:p>
        <w:p>
          <w:pPr>
            <w:pStyle w:val="76"/>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b/>
              <w:color w:val="auto"/>
              <w:sz w:val="28"/>
              <w:szCs w:val="28"/>
            </w:rPr>
          </w:pPr>
          <w:r>
            <w:rPr>
              <w:rFonts w:hint="eastAsia" w:ascii="仿宋" w:hAnsi="仿宋" w:eastAsia="仿宋" w:cs="仿宋"/>
              <w:b/>
              <w:color w:val="auto"/>
              <w:kern w:val="0"/>
              <w:sz w:val="28"/>
              <w:szCs w:val="28"/>
            </w:rPr>
            <w:fldChar w:fldCharType="begin"/>
          </w:r>
          <w:r>
            <w:rPr>
              <w:rFonts w:hint="eastAsia" w:ascii="仿宋" w:hAnsi="仿宋" w:eastAsia="仿宋" w:cs="仿宋"/>
              <w:b/>
              <w:color w:val="auto"/>
              <w:kern w:val="0"/>
              <w:sz w:val="28"/>
              <w:szCs w:val="28"/>
            </w:rPr>
            <w:instrText xml:space="preserve"> HYPERLINK \l _Toc18934 </w:instrText>
          </w:r>
          <w:r>
            <w:rPr>
              <w:rFonts w:hint="eastAsia" w:ascii="仿宋" w:hAnsi="仿宋" w:eastAsia="仿宋" w:cs="仿宋"/>
              <w:b/>
              <w:color w:val="auto"/>
              <w:kern w:val="0"/>
              <w:sz w:val="28"/>
              <w:szCs w:val="28"/>
            </w:rPr>
            <w:fldChar w:fldCharType="separate"/>
          </w:r>
          <w:r>
            <w:rPr>
              <w:rFonts w:hint="eastAsia" w:ascii="仿宋" w:hAnsi="仿宋" w:eastAsia="仿宋" w:cs="仿宋"/>
              <w:b/>
              <w:color w:val="auto"/>
              <w:sz w:val="28"/>
              <w:szCs w:val="28"/>
            </w:rPr>
            <w:t>第</w:t>
          </w:r>
          <w:r>
            <w:rPr>
              <w:rFonts w:hint="eastAsia" w:ascii="仿宋" w:hAnsi="仿宋" w:eastAsia="仿宋" w:cs="仿宋"/>
              <w:b/>
              <w:color w:val="auto"/>
              <w:sz w:val="28"/>
              <w:szCs w:val="28"/>
              <w:lang w:val="en-US" w:eastAsia="zh-CN"/>
            </w:rPr>
            <w:t>3</w:t>
          </w:r>
          <w:r>
            <w:rPr>
              <w:rFonts w:hint="eastAsia" w:ascii="仿宋" w:hAnsi="仿宋" w:eastAsia="仿宋" w:cs="仿宋"/>
              <w:b/>
              <w:color w:val="auto"/>
              <w:sz w:val="28"/>
              <w:szCs w:val="28"/>
            </w:rPr>
            <w:t>章 供应商须知</w:t>
          </w:r>
          <w:r>
            <w:rPr>
              <w:rFonts w:hint="eastAsia" w:ascii="仿宋" w:hAnsi="仿宋" w:eastAsia="仿宋" w:cs="仿宋"/>
              <w:b/>
              <w:color w:val="auto"/>
              <w:sz w:val="28"/>
              <w:szCs w:val="28"/>
            </w:rPr>
            <w:tab/>
          </w:r>
          <w:r>
            <w:rPr>
              <w:rFonts w:hint="eastAsia" w:ascii="仿宋" w:hAnsi="仿宋" w:eastAsia="仿宋" w:cs="仿宋"/>
              <w:b/>
              <w:color w:val="auto"/>
              <w:sz w:val="28"/>
              <w:szCs w:val="28"/>
            </w:rPr>
            <w:fldChar w:fldCharType="begin"/>
          </w:r>
          <w:r>
            <w:rPr>
              <w:rFonts w:hint="eastAsia" w:ascii="仿宋" w:hAnsi="仿宋" w:eastAsia="仿宋" w:cs="仿宋"/>
              <w:b/>
              <w:color w:val="auto"/>
              <w:sz w:val="28"/>
              <w:szCs w:val="28"/>
            </w:rPr>
            <w:instrText xml:space="preserve"> PAGEREF _Toc18934 \h </w:instrText>
          </w:r>
          <w:r>
            <w:rPr>
              <w:rFonts w:hint="eastAsia" w:ascii="仿宋" w:hAnsi="仿宋" w:eastAsia="仿宋" w:cs="仿宋"/>
              <w:b/>
              <w:color w:val="auto"/>
              <w:sz w:val="28"/>
              <w:szCs w:val="28"/>
            </w:rPr>
            <w:fldChar w:fldCharType="separate"/>
          </w:r>
          <w:r>
            <w:rPr>
              <w:rFonts w:hint="eastAsia" w:ascii="仿宋" w:hAnsi="仿宋" w:eastAsia="仿宋" w:cs="仿宋"/>
              <w:b/>
              <w:color w:val="auto"/>
              <w:sz w:val="28"/>
              <w:szCs w:val="28"/>
            </w:rPr>
            <w:t>8</w:t>
          </w:r>
          <w:r>
            <w:rPr>
              <w:rFonts w:hint="eastAsia" w:ascii="仿宋" w:hAnsi="仿宋" w:eastAsia="仿宋" w:cs="仿宋"/>
              <w:b/>
              <w:color w:val="auto"/>
              <w:sz w:val="28"/>
              <w:szCs w:val="28"/>
            </w:rPr>
            <w:fldChar w:fldCharType="end"/>
          </w:r>
          <w:r>
            <w:rPr>
              <w:rFonts w:hint="eastAsia" w:ascii="仿宋" w:hAnsi="仿宋" w:eastAsia="仿宋" w:cs="仿宋"/>
              <w:b/>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_Toc7381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一   总  则</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_Toc7381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_Toc23252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二   采购文件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_Toc23252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_Toc6762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三   投标文件的编制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_Toc6762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_Toc4706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四   投标文件的递交</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_Toc4706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11</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_Toc13158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五   开标及评标</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_Toc13158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12</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_Toc8947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六   确定中标</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_Toc8947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14</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6"/>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b/>
              <w:color w:val="auto"/>
              <w:sz w:val="28"/>
              <w:szCs w:val="28"/>
            </w:rPr>
          </w:pPr>
          <w:r>
            <w:rPr>
              <w:rFonts w:hint="eastAsia" w:ascii="仿宋" w:hAnsi="仿宋" w:eastAsia="仿宋" w:cs="仿宋"/>
              <w:b/>
              <w:color w:val="auto"/>
              <w:kern w:val="0"/>
              <w:sz w:val="28"/>
              <w:szCs w:val="28"/>
            </w:rPr>
            <w:fldChar w:fldCharType="begin"/>
          </w:r>
          <w:r>
            <w:rPr>
              <w:rFonts w:hint="eastAsia" w:ascii="仿宋" w:hAnsi="仿宋" w:eastAsia="仿宋" w:cs="仿宋"/>
              <w:b/>
              <w:color w:val="auto"/>
              <w:kern w:val="0"/>
              <w:sz w:val="28"/>
              <w:szCs w:val="28"/>
            </w:rPr>
            <w:instrText xml:space="preserve"> HYPERLINK \l _Toc29148 </w:instrText>
          </w:r>
          <w:r>
            <w:rPr>
              <w:rFonts w:hint="eastAsia" w:ascii="仿宋" w:hAnsi="仿宋" w:eastAsia="仿宋" w:cs="仿宋"/>
              <w:b/>
              <w:color w:val="auto"/>
              <w:kern w:val="0"/>
              <w:sz w:val="28"/>
              <w:szCs w:val="28"/>
            </w:rPr>
            <w:fldChar w:fldCharType="separate"/>
          </w:r>
          <w:r>
            <w:rPr>
              <w:rFonts w:hint="eastAsia" w:ascii="仿宋" w:hAnsi="仿宋" w:eastAsia="仿宋" w:cs="仿宋"/>
              <w:b/>
              <w:color w:val="auto"/>
              <w:kern w:val="44"/>
              <w:sz w:val="28"/>
              <w:szCs w:val="28"/>
              <w:lang w:eastAsia="zh-CN"/>
            </w:rPr>
            <w:t>第</w:t>
          </w:r>
          <w:r>
            <w:rPr>
              <w:rFonts w:hint="eastAsia" w:ascii="仿宋" w:hAnsi="仿宋" w:eastAsia="仿宋" w:cs="仿宋"/>
              <w:b/>
              <w:color w:val="auto"/>
              <w:kern w:val="44"/>
              <w:sz w:val="28"/>
              <w:szCs w:val="28"/>
              <w:lang w:val="en-US" w:eastAsia="zh-CN"/>
            </w:rPr>
            <w:t xml:space="preserve">4章 </w:t>
          </w:r>
          <w:r>
            <w:rPr>
              <w:rFonts w:hint="eastAsia" w:ascii="仿宋" w:hAnsi="仿宋" w:eastAsia="仿宋" w:cs="仿宋"/>
              <w:b/>
              <w:color w:val="auto"/>
              <w:kern w:val="44"/>
              <w:sz w:val="28"/>
              <w:szCs w:val="28"/>
            </w:rPr>
            <w:t xml:space="preserve"> 投标文件格式</w:t>
          </w:r>
          <w:r>
            <w:rPr>
              <w:rFonts w:hint="eastAsia" w:ascii="仿宋" w:hAnsi="仿宋" w:eastAsia="仿宋" w:cs="仿宋"/>
              <w:b/>
              <w:color w:val="auto"/>
              <w:sz w:val="28"/>
              <w:szCs w:val="28"/>
            </w:rPr>
            <w:tab/>
          </w:r>
          <w:r>
            <w:rPr>
              <w:rFonts w:hint="eastAsia" w:ascii="仿宋" w:hAnsi="仿宋" w:eastAsia="仿宋" w:cs="仿宋"/>
              <w:b/>
              <w:color w:val="auto"/>
              <w:sz w:val="28"/>
              <w:szCs w:val="28"/>
            </w:rPr>
            <w:fldChar w:fldCharType="begin"/>
          </w:r>
          <w:r>
            <w:rPr>
              <w:rFonts w:hint="eastAsia" w:ascii="仿宋" w:hAnsi="仿宋" w:eastAsia="仿宋" w:cs="仿宋"/>
              <w:b/>
              <w:color w:val="auto"/>
              <w:sz w:val="28"/>
              <w:szCs w:val="28"/>
            </w:rPr>
            <w:instrText xml:space="preserve"> PAGEREF _Toc29148 \h </w:instrText>
          </w:r>
          <w:r>
            <w:rPr>
              <w:rFonts w:hint="eastAsia" w:ascii="仿宋" w:hAnsi="仿宋" w:eastAsia="仿宋" w:cs="仿宋"/>
              <w:b/>
              <w:color w:val="auto"/>
              <w:sz w:val="28"/>
              <w:szCs w:val="28"/>
            </w:rPr>
            <w:fldChar w:fldCharType="separate"/>
          </w:r>
          <w:r>
            <w:rPr>
              <w:rFonts w:hint="eastAsia" w:ascii="仿宋" w:hAnsi="仿宋" w:eastAsia="仿宋" w:cs="仿宋"/>
              <w:b/>
              <w:color w:val="auto"/>
              <w:sz w:val="28"/>
              <w:szCs w:val="28"/>
            </w:rPr>
            <w:t>21</w:t>
          </w:r>
          <w:r>
            <w:rPr>
              <w:rFonts w:hint="eastAsia" w:ascii="仿宋" w:hAnsi="仿宋" w:eastAsia="仿宋" w:cs="仿宋"/>
              <w:b/>
              <w:color w:val="auto"/>
              <w:sz w:val="28"/>
              <w:szCs w:val="28"/>
            </w:rPr>
            <w:fldChar w:fldCharType="end"/>
          </w:r>
          <w:r>
            <w:rPr>
              <w:rFonts w:hint="eastAsia" w:ascii="仿宋" w:hAnsi="仿宋" w:eastAsia="仿宋" w:cs="仿宋"/>
              <w:b/>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_Toc8517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第一部分 各部分封面格式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_Toc8517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_Toc6532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第二部分 报价单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_Toc6532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_Toc15428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第三部分  商务资信投标文件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_Toc15428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23</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_Toc16598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第四部分  技术投标方案</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_Toc16598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33</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6"/>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b/>
              <w:color w:val="auto"/>
              <w:sz w:val="28"/>
              <w:szCs w:val="28"/>
            </w:rPr>
          </w:pPr>
          <w:r>
            <w:rPr>
              <w:rFonts w:hint="eastAsia" w:ascii="仿宋" w:hAnsi="仿宋" w:eastAsia="仿宋" w:cs="仿宋"/>
              <w:b/>
              <w:color w:val="auto"/>
              <w:kern w:val="0"/>
              <w:sz w:val="28"/>
              <w:szCs w:val="28"/>
            </w:rPr>
            <w:fldChar w:fldCharType="begin"/>
          </w:r>
          <w:r>
            <w:rPr>
              <w:rFonts w:hint="eastAsia" w:ascii="仿宋" w:hAnsi="仿宋" w:eastAsia="仿宋" w:cs="仿宋"/>
              <w:b/>
              <w:color w:val="auto"/>
              <w:kern w:val="0"/>
              <w:sz w:val="28"/>
              <w:szCs w:val="28"/>
            </w:rPr>
            <w:instrText xml:space="preserve"> HYPERLINK \l _Toc27701 </w:instrText>
          </w:r>
          <w:r>
            <w:rPr>
              <w:rFonts w:hint="eastAsia" w:ascii="仿宋" w:hAnsi="仿宋" w:eastAsia="仿宋" w:cs="仿宋"/>
              <w:b/>
              <w:color w:val="auto"/>
              <w:kern w:val="0"/>
              <w:sz w:val="28"/>
              <w:szCs w:val="28"/>
            </w:rPr>
            <w:fldChar w:fldCharType="separate"/>
          </w:r>
          <w:r>
            <w:rPr>
              <w:rFonts w:hint="eastAsia" w:ascii="仿宋" w:hAnsi="仿宋" w:eastAsia="仿宋" w:cs="仿宋"/>
              <w:b/>
              <w:color w:val="auto"/>
              <w:sz w:val="28"/>
              <w:szCs w:val="28"/>
            </w:rPr>
            <w:t>第5章   采购需求</w:t>
          </w:r>
          <w:r>
            <w:rPr>
              <w:rFonts w:hint="eastAsia" w:ascii="仿宋" w:hAnsi="仿宋" w:eastAsia="仿宋" w:cs="仿宋"/>
              <w:b/>
              <w:color w:val="auto"/>
              <w:sz w:val="28"/>
              <w:szCs w:val="28"/>
            </w:rPr>
            <w:tab/>
          </w:r>
          <w:r>
            <w:rPr>
              <w:rFonts w:hint="eastAsia" w:ascii="仿宋" w:hAnsi="仿宋" w:eastAsia="仿宋" w:cs="仿宋"/>
              <w:b/>
              <w:color w:val="auto"/>
              <w:sz w:val="28"/>
              <w:szCs w:val="28"/>
            </w:rPr>
            <w:fldChar w:fldCharType="begin"/>
          </w:r>
          <w:r>
            <w:rPr>
              <w:rFonts w:hint="eastAsia" w:ascii="仿宋" w:hAnsi="仿宋" w:eastAsia="仿宋" w:cs="仿宋"/>
              <w:b/>
              <w:color w:val="auto"/>
              <w:sz w:val="28"/>
              <w:szCs w:val="28"/>
            </w:rPr>
            <w:instrText xml:space="preserve"> PAGEREF _Toc27701 \h </w:instrText>
          </w:r>
          <w:r>
            <w:rPr>
              <w:rFonts w:hint="eastAsia" w:ascii="仿宋" w:hAnsi="仿宋" w:eastAsia="仿宋" w:cs="仿宋"/>
              <w:b/>
              <w:color w:val="auto"/>
              <w:sz w:val="28"/>
              <w:szCs w:val="28"/>
            </w:rPr>
            <w:fldChar w:fldCharType="separate"/>
          </w:r>
          <w:r>
            <w:rPr>
              <w:rFonts w:hint="eastAsia" w:ascii="仿宋" w:hAnsi="仿宋" w:eastAsia="仿宋" w:cs="仿宋"/>
              <w:b/>
              <w:color w:val="auto"/>
              <w:sz w:val="28"/>
              <w:szCs w:val="28"/>
            </w:rPr>
            <w:t>34</w:t>
          </w:r>
          <w:r>
            <w:rPr>
              <w:rFonts w:hint="eastAsia" w:ascii="仿宋" w:hAnsi="仿宋" w:eastAsia="仿宋" w:cs="仿宋"/>
              <w:b/>
              <w:color w:val="auto"/>
              <w:sz w:val="28"/>
              <w:szCs w:val="28"/>
            </w:rPr>
            <w:fldChar w:fldCharType="end"/>
          </w:r>
          <w:r>
            <w:rPr>
              <w:rFonts w:hint="eastAsia" w:ascii="仿宋" w:hAnsi="仿宋" w:eastAsia="仿宋" w:cs="仿宋"/>
              <w:b/>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_Toc25120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kern w:val="0"/>
              <w:sz w:val="28"/>
              <w:szCs w:val="28"/>
            </w:rPr>
            <w:t>标项一：新疆</w:t>
          </w:r>
          <w:r>
            <w:rPr>
              <w:rFonts w:hint="eastAsia" w:ascii="仿宋" w:hAnsi="仿宋" w:eastAsia="仿宋" w:cs="仿宋"/>
              <w:bCs/>
              <w:color w:val="auto"/>
              <w:kern w:val="0"/>
              <w:sz w:val="28"/>
              <w:szCs w:val="28"/>
              <w:lang w:eastAsia="zh-CN"/>
            </w:rPr>
            <w:t>阿克陶县</w:t>
          </w:r>
          <w:r>
            <w:rPr>
              <w:rFonts w:hint="eastAsia" w:ascii="仿宋" w:hAnsi="仿宋" w:eastAsia="仿宋" w:cs="仿宋"/>
              <w:bCs/>
              <w:color w:val="auto"/>
              <w:kern w:val="0"/>
              <w:sz w:val="28"/>
              <w:szCs w:val="28"/>
            </w:rPr>
            <w:t>地质灾害风险调查评价</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_Toc25120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34</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_Toc28995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sz w:val="28"/>
              <w:szCs w:val="28"/>
            </w:rPr>
            <w:t>标项二：</w:t>
          </w:r>
          <w:r>
            <w:rPr>
              <w:rFonts w:hint="eastAsia" w:ascii="仿宋" w:hAnsi="仿宋" w:eastAsia="仿宋" w:cs="仿宋"/>
              <w:bCs/>
              <w:color w:val="auto"/>
              <w:sz w:val="28"/>
              <w:szCs w:val="28"/>
              <w:lang w:eastAsia="zh-CN"/>
            </w:rPr>
            <w:t>新疆乌恰县地质灾害风险调查评价</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_Toc28995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40</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_Toc5429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sz w:val="28"/>
              <w:szCs w:val="28"/>
            </w:rPr>
            <w:t>标项三：</w:t>
          </w:r>
          <w:r>
            <w:rPr>
              <w:rFonts w:hint="eastAsia" w:ascii="仿宋" w:hAnsi="仿宋" w:eastAsia="仿宋" w:cs="仿宋"/>
              <w:bCs/>
              <w:color w:val="auto"/>
              <w:sz w:val="28"/>
              <w:szCs w:val="28"/>
              <w:lang w:eastAsia="zh-CN"/>
            </w:rPr>
            <w:t>新疆乌恰县吾合沙鲁乡政府、小学泥石流</w:t>
          </w:r>
          <w:r>
            <w:rPr>
              <w:rFonts w:hint="eastAsia" w:ascii="仿宋" w:hAnsi="仿宋" w:eastAsia="仿宋" w:cs="仿宋"/>
              <w:bCs/>
              <w:color w:val="auto"/>
              <w:sz w:val="28"/>
              <w:szCs w:val="28"/>
              <w:lang w:val="en-US" w:eastAsia="zh-CN"/>
            </w:rPr>
            <w:t>防治工程</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_Toc5429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46</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_Toc30161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sz w:val="28"/>
              <w:szCs w:val="28"/>
            </w:rPr>
            <w:t>标项</w:t>
          </w:r>
          <w:r>
            <w:rPr>
              <w:rFonts w:hint="eastAsia" w:ascii="仿宋" w:hAnsi="仿宋" w:eastAsia="仿宋" w:cs="仿宋"/>
              <w:bCs/>
              <w:color w:val="auto"/>
              <w:sz w:val="28"/>
              <w:szCs w:val="28"/>
              <w:lang w:val="en-US" w:eastAsia="zh-CN"/>
            </w:rPr>
            <w:t>四</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新疆阿克陶县阿克塔拉牧场2村泥石流防治工程</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_Toc30161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52</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_Toc1766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sz w:val="28"/>
              <w:szCs w:val="28"/>
            </w:rPr>
            <w:t>标项</w:t>
          </w:r>
          <w:r>
            <w:rPr>
              <w:rFonts w:hint="eastAsia" w:ascii="仿宋" w:hAnsi="仿宋" w:eastAsia="仿宋" w:cs="仿宋"/>
              <w:bCs/>
              <w:color w:val="auto"/>
              <w:sz w:val="28"/>
              <w:szCs w:val="28"/>
              <w:lang w:val="en-US" w:eastAsia="zh-CN"/>
            </w:rPr>
            <w:t>五</w:t>
          </w:r>
          <w:r>
            <w:rPr>
              <w:rFonts w:hint="eastAsia" w:ascii="仿宋" w:hAnsi="仿宋" w:eastAsia="仿宋" w:cs="仿宋"/>
              <w:bCs/>
              <w:color w:val="auto"/>
              <w:sz w:val="28"/>
              <w:szCs w:val="28"/>
            </w:rPr>
            <w:t>：新疆克州群专结合监测预警点建设（2023年度）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_Toc1766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58</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_Toc10168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sz w:val="28"/>
              <w:szCs w:val="28"/>
            </w:rPr>
            <w:t>标项</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克州2023年自然灾害防治体系建设补助资金项目</w:t>
          </w:r>
          <w:r>
            <w:rPr>
              <w:rFonts w:hint="eastAsia" w:ascii="仿宋" w:hAnsi="仿宋" w:eastAsia="仿宋" w:cs="仿宋"/>
              <w:bCs/>
              <w:color w:val="auto"/>
              <w:sz w:val="28"/>
              <w:szCs w:val="28"/>
            </w:rPr>
            <w:t>监理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_Toc10168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66</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6"/>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b/>
              <w:color w:val="auto"/>
              <w:sz w:val="28"/>
              <w:szCs w:val="28"/>
            </w:rPr>
          </w:pPr>
          <w:r>
            <w:rPr>
              <w:rFonts w:hint="eastAsia" w:ascii="仿宋" w:hAnsi="仿宋" w:eastAsia="仿宋" w:cs="仿宋"/>
              <w:b/>
              <w:color w:val="auto"/>
              <w:kern w:val="0"/>
              <w:sz w:val="28"/>
              <w:szCs w:val="28"/>
            </w:rPr>
            <w:fldChar w:fldCharType="begin"/>
          </w:r>
          <w:r>
            <w:rPr>
              <w:rFonts w:hint="eastAsia" w:ascii="仿宋" w:hAnsi="仿宋" w:eastAsia="仿宋" w:cs="仿宋"/>
              <w:b/>
              <w:color w:val="auto"/>
              <w:kern w:val="0"/>
              <w:sz w:val="28"/>
              <w:szCs w:val="28"/>
            </w:rPr>
            <w:instrText xml:space="preserve"> HYPERLINK \l _Toc16210 </w:instrText>
          </w:r>
          <w:r>
            <w:rPr>
              <w:rFonts w:hint="eastAsia" w:ascii="仿宋" w:hAnsi="仿宋" w:eastAsia="仿宋" w:cs="仿宋"/>
              <w:b/>
              <w:color w:val="auto"/>
              <w:kern w:val="0"/>
              <w:sz w:val="28"/>
              <w:szCs w:val="28"/>
            </w:rPr>
            <w:fldChar w:fldCharType="separate"/>
          </w:r>
          <w:r>
            <w:rPr>
              <w:rFonts w:hint="eastAsia" w:ascii="仿宋" w:hAnsi="仿宋" w:eastAsia="仿宋" w:cs="仿宋"/>
              <w:b/>
              <w:bCs/>
              <w:color w:val="auto"/>
              <w:sz w:val="28"/>
              <w:szCs w:val="28"/>
            </w:rPr>
            <w:t>第6章</w:t>
          </w:r>
          <w:r>
            <w:rPr>
              <w:rFonts w:hint="eastAsia" w:ascii="仿宋" w:hAnsi="仿宋" w:eastAsia="仿宋" w:cs="仿宋"/>
              <w:b/>
              <w:color w:val="auto"/>
              <w:sz w:val="28"/>
              <w:szCs w:val="28"/>
            </w:rPr>
            <w:t xml:space="preserve"> </w:t>
          </w:r>
          <w:r>
            <w:rPr>
              <w:rFonts w:hint="eastAsia" w:ascii="仿宋" w:hAnsi="仿宋" w:eastAsia="仿宋" w:cs="仿宋"/>
              <w:b/>
              <w:bCs/>
              <w:color w:val="auto"/>
              <w:sz w:val="28"/>
              <w:szCs w:val="28"/>
            </w:rPr>
            <w:t xml:space="preserve"> 评标方法和标准</w:t>
          </w:r>
          <w:r>
            <w:rPr>
              <w:rFonts w:hint="eastAsia" w:ascii="仿宋" w:hAnsi="仿宋" w:eastAsia="仿宋" w:cs="仿宋"/>
              <w:b/>
              <w:color w:val="auto"/>
              <w:sz w:val="28"/>
              <w:szCs w:val="28"/>
            </w:rPr>
            <w:tab/>
          </w:r>
          <w:r>
            <w:rPr>
              <w:rFonts w:hint="eastAsia" w:ascii="仿宋" w:hAnsi="仿宋" w:eastAsia="仿宋" w:cs="仿宋"/>
              <w:b/>
              <w:color w:val="auto"/>
              <w:sz w:val="28"/>
              <w:szCs w:val="28"/>
            </w:rPr>
            <w:fldChar w:fldCharType="begin"/>
          </w:r>
          <w:r>
            <w:rPr>
              <w:rFonts w:hint="eastAsia" w:ascii="仿宋" w:hAnsi="仿宋" w:eastAsia="仿宋" w:cs="仿宋"/>
              <w:b/>
              <w:color w:val="auto"/>
              <w:sz w:val="28"/>
              <w:szCs w:val="28"/>
            </w:rPr>
            <w:instrText xml:space="preserve"> PAGEREF _Toc16210 \h </w:instrText>
          </w:r>
          <w:r>
            <w:rPr>
              <w:rFonts w:hint="eastAsia" w:ascii="仿宋" w:hAnsi="仿宋" w:eastAsia="仿宋" w:cs="仿宋"/>
              <w:b/>
              <w:color w:val="auto"/>
              <w:sz w:val="28"/>
              <w:szCs w:val="28"/>
            </w:rPr>
            <w:fldChar w:fldCharType="separate"/>
          </w:r>
          <w:r>
            <w:rPr>
              <w:rFonts w:hint="eastAsia" w:ascii="仿宋" w:hAnsi="仿宋" w:eastAsia="仿宋" w:cs="仿宋"/>
              <w:b/>
              <w:color w:val="auto"/>
              <w:sz w:val="28"/>
              <w:szCs w:val="28"/>
            </w:rPr>
            <w:t>69</w:t>
          </w:r>
          <w:r>
            <w:rPr>
              <w:rFonts w:hint="eastAsia" w:ascii="仿宋" w:hAnsi="仿宋" w:eastAsia="仿宋" w:cs="仿宋"/>
              <w:b/>
              <w:color w:val="auto"/>
              <w:sz w:val="28"/>
              <w:szCs w:val="28"/>
            </w:rPr>
            <w:fldChar w:fldCharType="end"/>
          </w:r>
          <w:r>
            <w:rPr>
              <w:rFonts w:hint="eastAsia" w:ascii="仿宋" w:hAnsi="仿宋" w:eastAsia="仿宋" w:cs="仿宋"/>
              <w:b/>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_Toc11554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kern w:val="0"/>
              <w:sz w:val="28"/>
              <w:szCs w:val="28"/>
            </w:rPr>
            <w:t>1. 总则</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_Toc11554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69</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_Toc20547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kern w:val="0"/>
              <w:sz w:val="28"/>
              <w:szCs w:val="28"/>
            </w:rPr>
            <w:t>2.评标方法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_Toc20547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70</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_Toc16162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kern w:val="0"/>
              <w:sz w:val="28"/>
              <w:szCs w:val="28"/>
            </w:rPr>
            <w:t>3.评标程序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_Toc16162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70</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_Toc29806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kern w:val="0"/>
              <w:sz w:val="28"/>
              <w:szCs w:val="28"/>
            </w:rPr>
            <w:t>4.废标</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_Toc29806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73</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_Toc28357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kern w:val="0"/>
              <w:sz w:val="28"/>
              <w:szCs w:val="28"/>
            </w:rPr>
            <w:t>5.定标</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_Toc28357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74</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_Toc4417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kern w:val="0"/>
              <w:sz w:val="28"/>
              <w:szCs w:val="28"/>
            </w:rPr>
            <w:t>6.详细的评标标准：（具体内容详见综合评分表）</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_Toc4417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74</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_Toc8159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详细评审表：</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_Toc8159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77</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_Toc2196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标项一、二评分标准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_Toc2196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77</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_Toc27928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标项三、四评分标准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_Toc27928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80</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_Toc3641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标项</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评分标准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_Toc3641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83</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_Toc22517 </w:instrText>
          </w:r>
          <w:r>
            <w:rPr>
              <w:rFonts w:hint="eastAsia" w:ascii="仿宋" w:hAnsi="仿宋" w:eastAsia="仿宋" w:cs="仿宋"/>
              <w:color w:val="auto"/>
              <w:kern w:val="0"/>
              <w:sz w:val="28"/>
              <w:szCs w:val="28"/>
            </w:rPr>
            <w:fldChar w:fldCharType="separate"/>
          </w:r>
          <w:r>
            <w:rPr>
              <w:rFonts w:hint="eastAsia" w:ascii="仿宋" w:hAnsi="仿宋" w:eastAsia="仿宋" w:cs="仿宋"/>
              <w:color w:val="auto"/>
              <w:sz w:val="28"/>
              <w:szCs w:val="28"/>
            </w:rPr>
            <w:t>标项</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评分标准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_Toc22517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86</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6"/>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b/>
              <w:color w:val="auto"/>
              <w:sz w:val="28"/>
              <w:szCs w:val="28"/>
            </w:rPr>
          </w:pPr>
          <w:r>
            <w:rPr>
              <w:rFonts w:hint="eastAsia" w:ascii="仿宋" w:hAnsi="仿宋" w:eastAsia="仿宋" w:cs="仿宋"/>
              <w:b/>
              <w:color w:val="auto"/>
              <w:kern w:val="0"/>
              <w:sz w:val="28"/>
              <w:szCs w:val="28"/>
            </w:rPr>
            <w:fldChar w:fldCharType="begin"/>
          </w:r>
          <w:r>
            <w:rPr>
              <w:rFonts w:hint="eastAsia" w:ascii="仿宋" w:hAnsi="仿宋" w:eastAsia="仿宋" w:cs="仿宋"/>
              <w:b/>
              <w:color w:val="auto"/>
              <w:kern w:val="0"/>
              <w:sz w:val="28"/>
              <w:szCs w:val="28"/>
            </w:rPr>
            <w:instrText xml:space="preserve"> HYPERLINK \l _Toc3667 </w:instrText>
          </w:r>
          <w:r>
            <w:rPr>
              <w:rFonts w:hint="eastAsia" w:ascii="仿宋" w:hAnsi="仿宋" w:eastAsia="仿宋" w:cs="仿宋"/>
              <w:b/>
              <w:color w:val="auto"/>
              <w:kern w:val="0"/>
              <w:sz w:val="28"/>
              <w:szCs w:val="28"/>
            </w:rPr>
            <w:fldChar w:fldCharType="separate"/>
          </w:r>
          <w:r>
            <w:rPr>
              <w:rFonts w:hint="eastAsia" w:ascii="仿宋" w:hAnsi="仿宋" w:eastAsia="仿宋" w:cs="仿宋"/>
              <w:b/>
              <w:color w:val="auto"/>
              <w:sz w:val="28"/>
              <w:szCs w:val="28"/>
            </w:rPr>
            <w:t>第7章  政府采购合同</w:t>
          </w:r>
          <w:r>
            <w:rPr>
              <w:rFonts w:hint="eastAsia" w:ascii="仿宋" w:hAnsi="仿宋" w:eastAsia="仿宋" w:cs="仿宋"/>
              <w:b/>
              <w:color w:val="auto"/>
              <w:sz w:val="28"/>
              <w:szCs w:val="28"/>
            </w:rPr>
            <w:tab/>
          </w:r>
          <w:r>
            <w:rPr>
              <w:rFonts w:hint="eastAsia" w:ascii="仿宋" w:hAnsi="仿宋" w:eastAsia="仿宋" w:cs="仿宋"/>
              <w:b/>
              <w:color w:val="auto"/>
              <w:sz w:val="28"/>
              <w:szCs w:val="28"/>
            </w:rPr>
            <w:fldChar w:fldCharType="begin"/>
          </w:r>
          <w:r>
            <w:rPr>
              <w:rFonts w:hint="eastAsia" w:ascii="仿宋" w:hAnsi="仿宋" w:eastAsia="仿宋" w:cs="仿宋"/>
              <w:b/>
              <w:color w:val="auto"/>
              <w:sz w:val="28"/>
              <w:szCs w:val="28"/>
            </w:rPr>
            <w:instrText xml:space="preserve"> PAGEREF _Toc3667 \h </w:instrText>
          </w:r>
          <w:r>
            <w:rPr>
              <w:rFonts w:hint="eastAsia" w:ascii="仿宋" w:hAnsi="仿宋" w:eastAsia="仿宋" w:cs="仿宋"/>
              <w:b/>
              <w:color w:val="auto"/>
              <w:sz w:val="28"/>
              <w:szCs w:val="28"/>
            </w:rPr>
            <w:fldChar w:fldCharType="separate"/>
          </w:r>
          <w:r>
            <w:rPr>
              <w:rFonts w:hint="eastAsia" w:ascii="仿宋" w:hAnsi="仿宋" w:eastAsia="仿宋" w:cs="仿宋"/>
              <w:b/>
              <w:color w:val="auto"/>
              <w:sz w:val="28"/>
              <w:szCs w:val="28"/>
            </w:rPr>
            <w:t>90</w:t>
          </w:r>
          <w:r>
            <w:rPr>
              <w:rFonts w:hint="eastAsia" w:ascii="仿宋" w:hAnsi="仿宋" w:eastAsia="仿宋" w:cs="仿宋"/>
              <w:b/>
              <w:color w:val="auto"/>
              <w:sz w:val="28"/>
              <w:szCs w:val="28"/>
            </w:rPr>
            <w:fldChar w:fldCharType="end"/>
          </w:r>
          <w:r>
            <w:rPr>
              <w:rFonts w:hint="eastAsia" w:ascii="仿宋" w:hAnsi="仿宋" w:eastAsia="仿宋" w:cs="仿宋"/>
              <w:b/>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_Toc11090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sz w:val="28"/>
              <w:szCs w:val="28"/>
            </w:rPr>
            <w:t>第一部分 合同书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_Toc11090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90</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pStyle w:val="77"/>
            <w:keepNext w:val="0"/>
            <w:keepLines w:val="0"/>
            <w:pageBreakBefore w:val="0"/>
            <w:tabs>
              <w:tab w:val="right" w:leader="dot" w:pos="8312"/>
            </w:tabs>
            <w:kinsoku/>
            <w:wordWrap/>
            <w:overflowPunct/>
            <w:topLinePunct w:val="0"/>
            <w:autoSpaceDE/>
            <w:autoSpaceDN/>
            <w:bidi w:val="0"/>
            <w:adjustRightInd/>
            <w:snapToGrid/>
            <w:spacing w:line="220" w:lineRule="atLeas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\l _Toc21108 </w:instrText>
          </w:r>
          <w:r>
            <w:rPr>
              <w:rFonts w:hint="eastAsia" w:ascii="仿宋" w:hAnsi="仿宋" w:eastAsia="仿宋" w:cs="仿宋"/>
              <w:color w:val="auto"/>
              <w:kern w:val="0"/>
              <w:sz w:val="28"/>
              <w:szCs w:val="28"/>
            </w:rPr>
            <w:fldChar w:fldCharType="separate"/>
          </w:r>
          <w:r>
            <w:rPr>
              <w:rFonts w:hint="eastAsia" w:ascii="仿宋" w:hAnsi="仿宋" w:eastAsia="仿宋" w:cs="仿宋"/>
              <w:bCs/>
              <w:color w:val="auto"/>
              <w:sz w:val="28"/>
              <w:szCs w:val="28"/>
            </w:rPr>
            <w:t>第二部分 合同一般条款</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_Toc21108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94</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rPr>
            <w:fldChar w:fldCharType="end"/>
          </w:r>
        </w:p>
        <w:p>
          <w:pPr>
            <w:keepNext w:val="0"/>
            <w:keepLines w:val="0"/>
            <w:pageBreakBefore w:val="0"/>
            <w:kinsoku/>
            <w:wordWrap/>
            <w:overflowPunct/>
            <w:topLinePunct w:val="0"/>
            <w:autoSpaceDE/>
            <w:autoSpaceDN/>
            <w:bidi w:val="0"/>
            <w:adjustRightInd/>
            <w:snapToGrid/>
            <w:spacing w:line="220" w:lineRule="atLeast"/>
            <w:jc w:val="both"/>
            <w:textAlignment w:val="auto"/>
            <w:outlineLvl w:val="9"/>
            <w:rPr>
              <w:rFonts w:hint="eastAsia" w:ascii="仿宋" w:hAnsi="仿宋" w:eastAsia="仿宋" w:cs="仿宋"/>
              <w:b/>
              <w:color w:val="auto"/>
              <w:kern w:val="0"/>
              <w:sz w:val="21"/>
              <w:szCs w:val="21"/>
              <w:lang w:val="en-US" w:eastAsia="zh-CN" w:bidi="ar-SA"/>
            </w:rPr>
            <w:sectPr>
              <w:footerReference r:id="rId6" w:type="default"/>
              <w:pgSz w:w="11906" w:h="16838"/>
              <w:pgMar w:top="1440" w:right="1797" w:bottom="1318" w:left="1797" w:header="851" w:footer="992" w:gutter="0"/>
              <w:pgBorders>
                <w:top w:val="none" w:sz="0" w:space="0"/>
                <w:left w:val="none" w:sz="0" w:space="0"/>
                <w:bottom w:val="none" w:sz="0" w:space="0"/>
                <w:right w:val="none" w:sz="0" w:space="0"/>
              </w:pgBorders>
              <w:pgNumType w:start="1"/>
              <w:cols w:space="720" w:num="1"/>
              <w:docGrid w:linePitch="312" w:charSpace="0"/>
            </w:sectPr>
          </w:pPr>
          <w:r>
            <w:rPr>
              <w:rFonts w:hint="eastAsia" w:ascii="仿宋" w:hAnsi="仿宋" w:eastAsia="仿宋" w:cs="仿宋"/>
              <w:b/>
              <w:color w:val="auto"/>
              <w:kern w:val="0"/>
              <w:sz w:val="24"/>
              <w:szCs w:val="24"/>
            </w:rPr>
            <w:fldChar w:fldCharType="end"/>
          </w:r>
        </w:p>
      </w:sdtContent>
    </w:sdt>
    <w:p>
      <w:pPr>
        <w:rPr>
          <w:rFonts w:hint="eastAsia" w:ascii="仿宋" w:hAnsi="仿宋" w:eastAsia="仿宋" w:cs="仿宋"/>
          <w:color w:val="auto"/>
          <w:kern w:val="0"/>
          <w:szCs w:val="21"/>
        </w:rPr>
      </w:pPr>
    </w:p>
    <w:p>
      <w:pPr>
        <w:spacing w:line="600" w:lineRule="exact"/>
        <w:jc w:val="center"/>
        <w:outlineLvl w:val="0"/>
        <w:rPr>
          <w:rFonts w:ascii="仿宋" w:hAnsi="仿宋" w:eastAsia="仿宋" w:cs="仿宋"/>
          <w:color w:val="auto"/>
        </w:rPr>
      </w:pPr>
      <w:bookmarkStart w:id="10" w:name="_Toc13413"/>
      <w:r>
        <w:rPr>
          <w:rFonts w:hint="eastAsia" w:ascii="仿宋" w:hAnsi="仿宋" w:eastAsia="仿宋" w:cs="仿宋"/>
          <w:b/>
          <w:color w:val="auto"/>
          <w:kern w:val="44"/>
          <w:sz w:val="32"/>
          <w:szCs w:val="20"/>
        </w:rPr>
        <w:t>第</w:t>
      </w:r>
      <w:r>
        <w:rPr>
          <w:rFonts w:hint="eastAsia" w:ascii="仿宋" w:hAnsi="仿宋" w:eastAsia="仿宋" w:cs="仿宋"/>
          <w:b/>
          <w:color w:val="auto"/>
          <w:kern w:val="44"/>
          <w:sz w:val="32"/>
          <w:szCs w:val="20"/>
          <w:lang w:val="en-US" w:eastAsia="zh-CN"/>
        </w:rPr>
        <w:t>1</w:t>
      </w:r>
      <w:r>
        <w:rPr>
          <w:rFonts w:hint="eastAsia" w:ascii="仿宋" w:hAnsi="仿宋" w:eastAsia="仿宋" w:cs="仿宋"/>
          <w:b/>
          <w:color w:val="auto"/>
          <w:kern w:val="44"/>
          <w:sz w:val="32"/>
          <w:szCs w:val="20"/>
        </w:rPr>
        <w:t xml:space="preserve">章  </w:t>
      </w:r>
      <w:bookmarkEnd w:id="4"/>
      <w:bookmarkEnd w:id="5"/>
      <w:bookmarkEnd w:id="6"/>
      <w:bookmarkEnd w:id="7"/>
      <w:bookmarkEnd w:id="8"/>
      <w:r>
        <w:rPr>
          <w:rFonts w:hint="eastAsia" w:ascii="仿宋" w:hAnsi="仿宋" w:eastAsia="仿宋" w:cs="仿宋"/>
          <w:b/>
          <w:color w:val="auto"/>
          <w:kern w:val="44"/>
          <w:sz w:val="32"/>
          <w:szCs w:val="20"/>
        </w:rPr>
        <w:t>招标公告</w:t>
      </w:r>
      <w:bookmarkEnd w:id="9"/>
      <w:bookmarkEnd w:id="10"/>
    </w:p>
    <w:p>
      <w:pPr>
        <w:rPr>
          <w:rFonts w:ascii="仿宋" w:hAnsi="仿宋" w:eastAsia="仿宋" w:cs="仿宋"/>
          <w:color w:val="auto"/>
        </w:rPr>
      </w:pPr>
    </w:p>
    <w:p>
      <w:pPr>
        <w:pStyle w:val="11"/>
        <w:ind w:firstLine="480" w:firstLineChars="200"/>
        <w:rPr>
          <w:rFonts w:ascii="仿宋" w:hAnsi="仿宋" w:eastAsia="仿宋" w:cs="仿宋"/>
          <w:color w:val="auto"/>
        </w:rPr>
      </w:pPr>
      <w:bookmarkStart w:id="11" w:name="_Toc512937850"/>
      <w:r>
        <w:rPr>
          <w:rFonts w:hint="eastAsia" w:ascii="仿宋" w:hAnsi="仿宋" w:eastAsia="仿宋" w:cs="仿宋"/>
          <w:color w:val="auto"/>
        </w:rPr>
        <w:t>项目概况</w:t>
      </w:r>
    </w:p>
    <w:tbl>
      <w:tblPr>
        <w:tblStyle w:val="3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8" w:type="dxa"/>
          </w:tcPr>
          <w:p>
            <w:pPr>
              <w:pStyle w:val="1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仿宋" w:hAnsi="仿宋" w:eastAsia="仿宋" w:cs="仿宋"/>
                <w:color w:val="auto"/>
              </w:rPr>
            </w:pPr>
            <w:r>
              <w:rPr>
                <w:rFonts w:hint="eastAsia" w:ascii="仿宋" w:hAnsi="仿宋" w:eastAsia="仿宋"/>
                <w:color w:val="auto"/>
                <w:kern w:val="2"/>
                <w:szCs w:val="24"/>
                <w:lang w:eastAsia="zh-CN"/>
              </w:rPr>
              <w:t>克州2023年自然灾害防治体系建设补助资金项目</w:t>
            </w:r>
            <w:r>
              <w:rPr>
                <w:rFonts w:hint="eastAsia" w:ascii="仿宋" w:hAnsi="仿宋" w:eastAsia="仿宋"/>
                <w:color w:val="auto"/>
                <w:kern w:val="2"/>
                <w:szCs w:val="24"/>
              </w:rPr>
              <w:t>的潜在供应商应在新疆政府采购网自行下载获取采购文件，并于2023年</w:t>
            </w:r>
            <w:r>
              <w:rPr>
                <w:rFonts w:hint="eastAsia" w:ascii="仿宋" w:hAnsi="仿宋" w:eastAsia="仿宋"/>
                <w:color w:val="auto"/>
                <w:kern w:val="2"/>
                <w:szCs w:val="24"/>
                <w:lang w:val="en-US" w:eastAsia="zh-CN"/>
              </w:rPr>
              <w:t>3月7日</w:t>
            </w:r>
            <w:r>
              <w:rPr>
                <w:rFonts w:hint="eastAsia" w:ascii="仿宋" w:hAnsi="仿宋" w:eastAsia="仿宋"/>
                <w:color w:val="auto"/>
                <w:kern w:val="2"/>
                <w:szCs w:val="24"/>
              </w:rPr>
              <w:t>11:00（北京时间）前递交投标文件。</w:t>
            </w:r>
          </w:p>
        </w:tc>
      </w:tr>
    </w:tbl>
    <w:p>
      <w:pPr>
        <w:spacing w:line="360" w:lineRule="auto"/>
        <w:ind w:firstLine="480" w:firstLineChars="200"/>
        <w:outlineLvl w:val="1"/>
        <w:rPr>
          <w:rFonts w:ascii="仿宋" w:hAnsi="仿宋" w:eastAsia="仿宋"/>
          <w:color w:val="auto"/>
          <w:sz w:val="24"/>
        </w:rPr>
      </w:pPr>
      <w:bookmarkStart w:id="12" w:name="_Toc26370"/>
      <w:r>
        <w:rPr>
          <w:rFonts w:hint="eastAsia" w:ascii="仿宋" w:hAnsi="仿宋" w:eastAsia="仿宋"/>
          <w:color w:val="auto"/>
          <w:sz w:val="24"/>
        </w:rPr>
        <w:t>一、项目基本情况</w:t>
      </w:r>
      <w:bookmarkEnd w:id="12"/>
    </w:p>
    <w:p>
      <w:pPr>
        <w:spacing w:line="360" w:lineRule="auto"/>
        <w:ind w:firstLine="480" w:firstLineChars="200"/>
        <w:rPr>
          <w:rFonts w:hint="default" w:ascii="仿宋" w:hAnsi="仿宋" w:eastAsia="仿宋"/>
          <w:color w:val="auto"/>
          <w:sz w:val="24"/>
          <w:lang w:val="en-US" w:eastAsia="zh-CN"/>
        </w:rPr>
      </w:pPr>
      <w:r>
        <w:rPr>
          <w:rFonts w:hint="eastAsia" w:ascii="仿宋" w:hAnsi="仿宋" w:eastAsia="仿宋"/>
          <w:color w:val="auto"/>
          <w:sz w:val="24"/>
        </w:rPr>
        <w:t>项目编号：</w:t>
      </w:r>
      <w:r>
        <w:rPr>
          <w:rFonts w:hint="eastAsia" w:ascii="仿宋" w:hAnsi="仿宋" w:eastAsia="仿宋"/>
          <w:color w:val="auto"/>
          <w:sz w:val="24"/>
          <w:lang w:eastAsia="zh-CN"/>
        </w:rPr>
        <w:t>GYZB-KZDZFZ2023</w:t>
      </w:r>
      <w:r>
        <w:rPr>
          <w:rFonts w:hint="eastAsia" w:ascii="仿宋" w:hAnsi="仿宋" w:eastAsia="仿宋"/>
          <w:color w:val="auto"/>
          <w:sz w:val="24"/>
          <w:lang w:val="en-US" w:eastAsia="zh-CN"/>
        </w:rPr>
        <w:t>-01</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项目名称：</w:t>
      </w:r>
      <w:r>
        <w:rPr>
          <w:rFonts w:hint="eastAsia" w:ascii="仿宋" w:hAnsi="仿宋" w:eastAsia="仿宋"/>
          <w:color w:val="auto"/>
          <w:sz w:val="24"/>
          <w:lang w:eastAsia="zh-CN"/>
        </w:rPr>
        <w:t>克州2023年自然灾害防治体系建设补助资金项目</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采购方式：公开招标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预算金额（元）：</w:t>
      </w:r>
      <w:r>
        <w:rPr>
          <w:rFonts w:hint="eastAsia" w:ascii="仿宋" w:hAnsi="仿宋" w:eastAsia="仿宋"/>
          <w:color w:val="auto"/>
          <w:sz w:val="24"/>
          <w:lang w:val="en-US" w:eastAsia="zh-CN"/>
        </w:rPr>
        <w:t>123</w:t>
      </w:r>
      <w:r>
        <w:rPr>
          <w:rFonts w:hint="eastAsia" w:ascii="仿宋" w:hAnsi="仿宋" w:eastAsia="仿宋"/>
          <w:color w:val="auto"/>
          <w:sz w:val="24"/>
        </w:rPr>
        <w:t>00000.00</w:t>
      </w:r>
    </w:p>
    <w:p>
      <w:pPr>
        <w:spacing w:line="360" w:lineRule="auto"/>
        <w:ind w:firstLine="480" w:firstLineChars="200"/>
        <w:rPr>
          <w:rFonts w:hint="default" w:ascii="仿宋" w:hAnsi="仿宋" w:eastAsia="仿宋"/>
          <w:color w:val="auto"/>
          <w:sz w:val="24"/>
          <w:lang w:val="en-US" w:eastAsia="zh-CN"/>
        </w:rPr>
      </w:pPr>
      <w:r>
        <w:rPr>
          <w:rFonts w:hint="eastAsia" w:ascii="仿宋" w:hAnsi="仿宋" w:eastAsia="仿宋"/>
          <w:color w:val="auto"/>
          <w:sz w:val="24"/>
        </w:rPr>
        <w:t>最高限价（元）：</w:t>
      </w:r>
      <w:r>
        <w:rPr>
          <w:rFonts w:hint="eastAsia" w:ascii="仿宋" w:hAnsi="仿宋" w:eastAsia="仿宋"/>
          <w:color w:val="auto"/>
          <w:sz w:val="24"/>
          <w:lang w:val="en-US" w:eastAsia="zh-CN"/>
        </w:rPr>
        <w:t>1300000.00，1300000.00，4447000.00，3962000.00，950000.00，341000.00</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 xml:space="preserve">采购需求：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标项一：</w:t>
      </w:r>
      <w:r>
        <w:rPr>
          <w:rFonts w:hint="eastAsia" w:ascii="仿宋" w:hAnsi="仿宋" w:eastAsia="仿宋"/>
          <w:color w:val="auto"/>
          <w:sz w:val="24"/>
          <w:lang w:eastAsia="zh-CN"/>
        </w:rPr>
        <w:t>GYZB-KZDZFZ2023</w:t>
      </w:r>
      <w:r>
        <w:rPr>
          <w:rFonts w:hint="eastAsia" w:ascii="仿宋" w:hAnsi="仿宋" w:eastAsia="仿宋"/>
          <w:color w:val="auto"/>
          <w:sz w:val="24"/>
        </w:rPr>
        <w:t>-01</w:t>
      </w:r>
      <w:r>
        <w:rPr>
          <w:rFonts w:hint="eastAsia" w:ascii="仿宋" w:hAnsi="仿宋" w:eastAsia="仿宋"/>
          <w:color w:val="auto"/>
          <w:sz w:val="24"/>
          <w:lang w:val="en-US" w:eastAsia="zh-CN"/>
        </w:rPr>
        <w:t>-01</w:t>
      </w:r>
      <w:r>
        <w:rPr>
          <w:rFonts w:hint="eastAsia" w:ascii="仿宋" w:hAnsi="仿宋" w:eastAsia="仿宋"/>
          <w:color w:val="auto"/>
          <w:sz w:val="24"/>
        </w:rPr>
        <w:t>；新疆</w:t>
      </w:r>
      <w:r>
        <w:rPr>
          <w:rFonts w:hint="eastAsia" w:ascii="仿宋" w:hAnsi="仿宋" w:eastAsia="仿宋"/>
          <w:color w:val="auto"/>
          <w:sz w:val="24"/>
          <w:lang w:val="en-US" w:eastAsia="zh-CN"/>
        </w:rPr>
        <w:t>阿克陶县</w:t>
      </w:r>
      <w:r>
        <w:rPr>
          <w:rFonts w:hint="eastAsia" w:ascii="仿宋" w:hAnsi="仿宋" w:eastAsia="仿宋"/>
          <w:color w:val="auto"/>
          <w:sz w:val="24"/>
        </w:rPr>
        <w:t>地质灾害风险调查评价项目；预算金额：130万元；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标项二：</w:t>
      </w:r>
      <w:r>
        <w:rPr>
          <w:rFonts w:hint="eastAsia" w:ascii="仿宋" w:hAnsi="仿宋" w:eastAsia="仿宋"/>
          <w:color w:val="auto"/>
          <w:sz w:val="24"/>
          <w:lang w:eastAsia="zh-CN"/>
        </w:rPr>
        <w:t>GYZB-KZDZFZ2023</w:t>
      </w:r>
      <w:r>
        <w:rPr>
          <w:rFonts w:hint="eastAsia" w:ascii="仿宋" w:hAnsi="仿宋" w:eastAsia="仿宋"/>
          <w:color w:val="auto"/>
          <w:sz w:val="24"/>
        </w:rPr>
        <w:t>-0</w:t>
      </w:r>
      <w:r>
        <w:rPr>
          <w:rFonts w:hint="eastAsia" w:ascii="仿宋" w:hAnsi="仿宋" w:eastAsia="仿宋"/>
          <w:color w:val="auto"/>
          <w:sz w:val="24"/>
          <w:lang w:val="en-US" w:eastAsia="zh-CN"/>
        </w:rPr>
        <w:t>1-02</w:t>
      </w:r>
      <w:r>
        <w:rPr>
          <w:rFonts w:hint="eastAsia" w:ascii="仿宋" w:hAnsi="仿宋" w:eastAsia="仿宋"/>
          <w:color w:val="auto"/>
          <w:sz w:val="24"/>
        </w:rPr>
        <w:t>；新疆</w:t>
      </w:r>
      <w:r>
        <w:rPr>
          <w:rFonts w:hint="eastAsia" w:ascii="仿宋" w:hAnsi="仿宋" w:eastAsia="仿宋"/>
          <w:color w:val="auto"/>
          <w:sz w:val="24"/>
          <w:lang w:val="en-US" w:eastAsia="zh-CN"/>
        </w:rPr>
        <w:t>乌恰</w:t>
      </w:r>
      <w:r>
        <w:rPr>
          <w:rFonts w:hint="eastAsia" w:ascii="仿宋" w:hAnsi="仿宋" w:eastAsia="仿宋"/>
          <w:color w:val="auto"/>
          <w:sz w:val="24"/>
        </w:rPr>
        <w:t>县地质灾害风险调查评价项目；预算金额：1</w:t>
      </w:r>
      <w:r>
        <w:rPr>
          <w:rFonts w:hint="eastAsia" w:ascii="仿宋" w:hAnsi="仿宋" w:eastAsia="仿宋"/>
          <w:color w:val="auto"/>
          <w:sz w:val="24"/>
          <w:lang w:val="en-US" w:eastAsia="zh-CN"/>
        </w:rPr>
        <w:t>30</w:t>
      </w:r>
      <w:r>
        <w:rPr>
          <w:rFonts w:hint="eastAsia" w:ascii="仿宋" w:hAnsi="仿宋" w:eastAsia="仿宋"/>
          <w:color w:val="auto"/>
          <w:sz w:val="24"/>
        </w:rPr>
        <w:t>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hint="default" w:ascii="仿宋" w:hAnsi="仿宋" w:eastAsia="仿宋"/>
          <w:color w:val="auto"/>
          <w:sz w:val="24"/>
          <w:lang w:val="en-US" w:eastAsia="zh-CN"/>
        </w:rPr>
      </w:pPr>
      <w:r>
        <w:rPr>
          <w:rFonts w:hint="eastAsia" w:ascii="仿宋" w:hAnsi="仿宋" w:eastAsia="仿宋"/>
          <w:color w:val="auto"/>
          <w:sz w:val="24"/>
        </w:rPr>
        <w:t>标项三：</w:t>
      </w:r>
      <w:r>
        <w:rPr>
          <w:rFonts w:hint="eastAsia" w:ascii="仿宋" w:hAnsi="仿宋" w:eastAsia="仿宋"/>
          <w:color w:val="auto"/>
          <w:sz w:val="24"/>
          <w:lang w:eastAsia="zh-CN"/>
        </w:rPr>
        <w:t>GYZB-KZDZFZ2023</w:t>
      </w:r>
      <w:r>
        <w:rPr>
          <w:rFonts w:hint="eastAsia" w:ascii="仿宋" w:hAnsi="仿宋" w:eastAsia="仿宋"/>
          <w:color w:val="auto"/>
          <w:sz w:val="24"/>
        </w:rPr>
        <w:t>-0</w:t>
      </w:r>
      <w:r>
        <w:rPr>
          <w:rFonts w:hint="eastAsia" w:ascii="仿宋" w:hAnsi="仿宋" w:eastAsia="仿宋"/>
          <w:color w:val="auto"/>
          <w:sz w:val="24"/>
          <w:lang w:val="en-US" w:eastAsia="zh-CN"/>
        </w:rPr>
        <w:t>1</w:t>
      </w:r>
      <w:r>
        <w:rPr>
          <w:rFonts w:hint="eastAsia" w:ascii="仿宋" w:hAnsi="仿宋" w:eastAsia="仿宋" w:cs="Times New Roman"/>
          <w:color w:val="auto"/>
          <w:sz w:val="24"/>
        </w:rPr>
        <w:t>-03；</w:t>
      </w:r>
      <w:r>
        <w:rPr>
          <w:rFonts w:hint="eastAsia" w:ascii="仿宋" w:hAnsi="仿宋" w:eastAsia="仿宋" w:cs="Times New Roman"/>
          <w:color w:val="auto"/>
          <w:sz w:val="24"/>
          <w:lang w:eastAsia="zh-CN"/>
        </w:rPr>
        <w:t>新疆乌恰县吾合沙鲁乡政府、小学泥石流</w:t>
      </w:r>
      <w:r>
        <w:rPr>
          <w:rFonts w:hint="eastAsia" w:ascii="仿宋" w:hAnsi="仿宋" w:eastAsia="仿宋" w:cs="Times New Roman"/>
          <w:color w:val="auto"/>
          <w:sz w:val="24"/>
          <w:lang w:val="en-US" w:eastAsia="zh-CN"/>
        </w:rPr>
        <w:t>防治工程</w:t>
      </w:r>
      <w:r>
        <w:rPr>
          <w:rFonts w:hint="eastAsia" w:ascii="仿宋" w:hAnsi="仿宋" w:eastAsia="仿宋" w:cs="Times New Roman"/>
          <w:color w:val="auto"/>
          <w:sz w:val="24"/>
        </w:rPr>
        <w:t>；预算金额：</w:t>
      </w:r>
      <w:r>
        <w:rPr>
          <w:rFonts w:hint="eastAsia" w:ascii="仿宋" w:hAnsi="仿宋" w:eastAsia="仿宋" w:cs="Times New Roman"/>
          <w:color w:val="auto"/>
          <w:sz w:val="24"/>
          <w:lang w:val="en-US" w:eastAsia="zh-CN"/>
        </w:rPr>
        <w:t>444.7</w:t>
      </w:r>
      <w:r>
        <w:rPr>
          <w:rFonts w:hint="eastAsia" w:ascii="仿宋" w:hAnsi="仿宋" w:eastAsia="仿宋" w:cs="Times New Roman"/>
          <w:color w:val="auto"/>
          <w:sz w:val="24"/>
        </w:rPr>
        <w:t>万元；</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本项目（是）接受联合体投标。</w:t>
      </w:r>
    </w:p>
    <w:p>
      <w:pPr>
        <w:spacing w:line="360" w:lineRule="auto"/>
        <w:ind w:firstLine="480" w:firstLineChars="200"/>
        <w:rPr>
          <w:rFonts w:hint="default" w:ascii="仿宋" w:hAnsi="仿宋" w:eastAsia="仿宋" w:cs="Times New Roman"/>
          <w:color w:val="auto"/>
          <w:sz w:val="24"/>
          <w:lang w:val="en-US" w:eastAsia="zh-CN"/>
        </w:rPr>
      </w:pPr>
      <w:r>
        <w:rPr>
          <w:rFonts w:hint="eastAsia" w:ascii="仿宋" w:hAnsi="仿宋" w:eastAsia="仿宋" w:cs="Times New Roman"/>
          <w:color w:val="auto"/>
          <w:sz w:val="24"/>
          <w:lang w:eastAsia="zh-CN"/>
        </w:rPr>
        <w:t>标项</w:t>
      </w:r>
      <w:r>
        <w:rPr>
          <w:rFonts w:hint="eastAsia" w:ascii="仿宋" w:hAnsi="仿宋" w:eastAsia="仿宋" w:cs="Times New Roman"/>
          <w:color w:val="auto"/>
          <w:sz w:val="24"/>
          <w:lang w:val="en-US" w:eastAsia="zh-CN"/>
        </w:rPr>
        <w:t>四</w:t>
      </w:r>
      <w:r>
        <w:rPr>
          <w:rFonts w:hint="eastAsia" w:ascii="仿宋" w:hAnsi="仿宋" w:eastAsia="仿宋" w:cs="Times New Roman"/>
          <w:color w:val="auto"/>
          <w:sz w:val="24"/>
          <w:lang w:eastAsia="zh-CN"/>
        </w:rPr>
        <w:t>：GYZB-KZDZFZ2023</w:t>
      </w:r>
      <w:r>
        <w:rPr>
          <w:rFonts w:hint="eastAsia" w:ascii="仿宋" w:hAnsi="仿宋" w:eastAsia="仿宋"/>
          <w:color w:val="auto"/>
          <w:sz w:val="24"/>
        </w:rPr>
        <w:t>-0</w:t>
      </w:r>
      <w:r>
        <w:rPr>
          <w:rFonts w:hint="eastAsia" w:ascii="仿宋" w:hAnsi="仿宋" w:eastAsia="仿宋"/>
          <w:color w:val="auto"/>
          <w:sz w:val="24"/>
          <w:lang w:val="en-US" w:eastAsia="zh-CN"/>
        </w:rPr>
        <w:t>1</w:t>
      </w:r>
      <w:r>
        <w:rPr>
          <w:rFonts w:hint="eastAsia" w:ascii="仿宋" w:hAnsi="仿宋" w:eastAsia="仿宋" w:cs="Times New Roman"/>
          <w:color w:val="auto"/>
          <w:sz w:val="24"/>
          <w:lang w:eastAsia="zh-CN"/>
        </w:rPr>
        <w:t>-0</w:t>
      </w:r>
      <w:r>
        <w:rPr>
          <w:rFonts w:hint="eastAsia" w:ascii="仿宋" w:hAnsi="仿宋" w:eastAsia="仿宋" w:cs="Times New Roman"/>
          <w:color w:val="auto"/>
          <w:sz w:val="24"/>
          <w:lang w:val="en-US" w:eastAsia="zh-CN"/>
        </w:rPr>
        <w:t>4</w:t>
      </w:r>
      <w:r>
        <w:rPr>
          <w:rFonts w:hint="eastAsia" w:ascii="仿宋" w:hAnsi="仿宋" w:eastAsia="仿宋" w:cs="Times New Roman"/>
          <w:color w:val="auto"/>
          <w:sz w:val="24"/>
          <w:lang w:eastAsia="zh-CN"/>
        </w:rPr>
        <w:t>；新疆阿克陶县阿克塔拉牧场2村泥石流防治工程；预算金额：</w:t>
      </w:r>
      <w:r>
        <w:rPr>
          <w:rFonts w:hint="eastAsia" w:ascii="仿宋" w:hAnsi="仿宋" w:eastAsia="仿宋" w:cs="Times New Roman"/>
          <w:color w:val="auto"/>
          <w:sz w:val="24"/>
          <w:lang w:val="en-US" w:eastAsia="zh-CN"/>
        </w:rPr>
        <w:t>396.2</w:t>
      </w:r>
      <w:r>
        <w:rPr>
          <w:rFonts w:hint="eastAsia" w:ascii="仿宋" w:hAnsi="仿宋" w:eastAsia="仿宋" w:cs="Times New Roman"/>
          <w:color w:val="auto"/>
          <w:sz w:val="24"/>
          <w:lang w:eastAsia="zh-CN"/>
        </w:rPr>
        <w:t>万元；</w:t>
      </w:r>
    </w:p>
    <w:p>
      <w:pPr>
        <w:spacing w:line="360" w:lineRule="auto"/>
        <w:ind w:firstLine="480" w:firstLineChars="200"/>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本项目（是）接受联合体投标。</w:t>
      </w:r>
    </w:p>
    <w:p>
      <w:pPr>
        <w:spacing w:line="360" w:lineRule="auto"/>
        <w:ind w:firstLine="480" w:firstLineChars="200"/>
        <w:rPr>
          <w:rFonts w:hint="default" w:ascii="仿宋" w:hAnsi="仿宋" w:eastAsia="仿宋" w:cs="Times New Roman"/>
          <w:color w:val="auto"/>
          <w:sz w:val="24"/>
          <w:lang w:val="en-US" w:eastAsia="zh-CN"/>
        </w:rPr>
      </w:pPr>
      <w:r>
        <w:rPr>
          <w:rFonts w:hint="eastAsia" w:ascii="仿宋" w:hAnsi="仿宋" w:eastAsia="仿宋" w:cs="Times New Roman"/>
          <w:color w:val="auto"/>
          <w:sz w:val="24"/>
          <w:lang w:eastAsia="zh-CN"/>
        </w:rPr>
        <w:t>标项</w:t>
      </w:r>
      <w:r>
        <w:rPr>
          <w:rFonts w:hint="eastAsia" w:ascii="仿宋" w:hAnsi="仿宋" w:eastAsia="仿宋" w:cs="Times New Roman"/>
          <w:color w:val="auto"/>
          <w:sz w:val="24"/>
          <w:lang w:val="en-US" w:eastAsia="zh-CN"/>
        </w:rPr>
        <w:t>五</w:t>
      </w:r>
      <w:r>
        <w:rPr>
          <w:rFonts w:hint="eastAsia" w:ascii="仿宋" w:hAnsi="仿宋" w:eastAsia="仿宋" w:cs="Times New Roman"/>
          <w:color w:val="auto"/>
          <w:sz w:val="24"/>
          <w:lang w:eastAsia="zh-CN"/>
        </w:rPr>
        <w:t>：GYZB-KZDZFZ2023</w:t>
      </w:r>
      <w:r>
        <w:rPr>
          <w:rFonts w:hint="eastAsia" w:ascii="仿宋" w:hAnsi="仿宋" w:eastAsia="仿宋"/>
          <w:color w:val="auto"/>
          <w:sz w:val="24"/>
        </w:rPr>
        <w:t>-0</w:t>
      </w:r>
      <w:r>
        <w:rPr>
          <w:rFonts w:hint="eastAsia" w:ascii="仿宋" w:hAnsi="仿宋" w:eastAsia="仿宋"/>
          <w:color w:val="auto"/>
          <w:sz w:val="24"/>
          <w:lang w:val="en-US" w:eastAsia="zh-CN"/>
        </w:rPr>
        <w:t>1</w:t>
      </w:r>
      <w:r>
        <w:rPr>
          <w:rFonts w:hint="eastAsia" w:ascii="仿宋" w:hAnsi="仿宋" w:eastAsia="仿宋" w:cs="Times New Roman"/>
          <w:color w:val="auto"/>
          <w:sz w:val="24"/>
          <w:lang w:eastAsia="zh-CN"/>
        </w:rPr>
        <w:t>-0</w:t>
      </w:r>
      <w:r>
        <w:rPr>
          <w:rFonts w:hint="eastAsia" w:ascii="仿宋" w:hAnsi="仿宋" w:eastAsia="仿宋" w:cs="Times New Roman"/>
          <w:color w:val="auto"/>
          <w:sz w:val="24"/>
          <w:lang w:val="en-US" w:eastAsia="zh-CN"/>
        </w:rPr>
        <w:t>5</w:t>
      </w:r>
      <w:r>
        <w:rPr>
          <w:rFonts w:hint="eastAsia" w:ascii="仿宋" w:hAnsi="仿宋" w:eastAsia="仿宋" w:cs="Times New Roman"/>
          <w:color w:val="auto"/>
          <w:sz w:val="24"/>
          <w:lang w:eastAsia="zh-CN"/>
        </w:rPr>
        <w:t>；新疆克州群专结合监测预警点建设（2023年度）；预算金额：</w:t>
      </w:r>
      <w:r>
        <w:rPr>
          <w:rFonts w:hint="eastAsia" w:ascii="仿宋" w:hAnsi="仿宋" w:eastAsia="仿宋" w:cs="Times New Roman"/>
          <w:color w:val="auto"/>
          <w:sz w:val="24"/>
          <w:lang w:val="en-US" w:eastAsia="zh-CN"/>
        </w:rPr>
        <w:t>95.0</w:t>
      </w:r>
      <w:r>
        <w:rPr>
          <w:rFonts w:hint="eastAsia" w:ascii="仿宋" w:hAnsi="仿宋" w:eastAsia="仿宋" w:cs="Times New Roman"/>
          <w:color w:val="auto"/>
          <w:sz w:val="24"/>
          <w:lang w:eastAsia="zh-CN"/>
        </w:rPr>
        <w:t>万元；</w:t>
      </w:r>
    </w:p>
    <w:p>
      <w:pPr>
        <w:spacing w:line="360" w:lineRule="auto"/>
        <w:ind w:firstLine="480" w:firstLineChars="200"/>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本项目（是）接受联合体投标。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w:t>
      </w:r>
      <w:r>
        <w:rPr>
          <w:rFonts w:hint="eastAsia" w:ascii="仿宋" w:hAnsi="仿宋" w:eastAsia="仿宋"/>
          <w:color w:val="auto"/>
          <w:sz w:val="24"/>
          <w:lang w:val="en-US" w:eastAsia="zh-CN"/>
        </w:rPr>
        <w:t>六</w:t>
      </w:r>
      <w:r>
        <w:rPr>
          <w:rFonts w:hint="eastAsia" w:ascii="仿宋" w:hAnsi="仿宋" w:eastAsia="仿宋"/>
          <w:color w:val="auto"/>
          <w:sz w:val="24"/>
        </w:rPr>
        <w:t>：</w:t>
      </w:r>
      <w:r>
        <w:rPr>
          <w:rFonts w:hint="eastAsia" w:ascii="仿宋" w:hAnsi="仿宋" w:eastAsia="仿宋"/>
          <w:color w:val="auto"/>
          <w:sz w:val="24"/>
          <w:lang w:eastAsia="zh-CN"/>
        </w:rPr>
        <w:t>GYZB-KZDZFZ2023</w:t>
      </w:r>
      <w:r>
        <w:rPr>
          <w:rFonts w:hint="eastAsia" w:ascii="仿宋" w:hAnsi="仿宋" w:eastAsia="仿宋"/>
          <w:color w:val="auto"/>
          <w:sz w:val="24"/>
        </w:rPr>
        <w:t>-0</w:t>
      </w:r>
      <w:r>
        <w:rPr>
          <w:rFonts w:hint="eastAsia" w:ascii="仿宋" w:hAnsi="仿宋" w:eastAsia="仿宋"/>
          <w:color w:val="auto"/>
          <w:sz w:val="24"/>
          <w:lang w:val="en-US" w:eastAsia="zh-CN"/>
        </w:rPr>
        <w:t>1</w:t>
      </w:r>
      <w:r>
        <w:rPr>
          <w:rFonts w:hint="eastAsia" w:ascii="仿宋" w:hAnsi="仿宋" w:eastAsia="仿宋"/>
          <w:color w:val="auto"/>
          <w:sz w:val="24"/>
        </w:rPr>
        <w:t>-0</w:t>
      </w:r>
      <w:r>
        <w:rPr>
          <w:rFonts w:hint="eastAsia" w:ascii="仿宋" w:hAnsi="仿宋" w:eastAsia="仿宋"/>
          <w:color w:val="auto"/>
          <w:sz w:val="24"/>
          <w:lang w:val="en-US" w:eastAsia="zh-CN"/>
        </w:rPr>
        <w:t>6</w:t>
      </w:r>
      <w:r>
        <w:rPr>
          <w:rFonts w:hint="eastAsia" w:ascii="仿宋" w:hAnsi="仿宋" w:eastAsia="仿宋"/>
          <w:color w:val="auto"/>
          <w:sz w:val="24"/>
        </w:rPr>
        <w:t>；</w:t>
      </w:r>
      <w:r>
        <w:rPr>
          <w:rFonts w:hint="eastAsia" w:ascii="仿宋" w:hAnsi="仿宋" w:eastAsia="仿宋"/>
          <w:color w:val="auto"/>
          <w:sz w:val="24"/>
          <w:lang w:eastAsia="zh-CN"/>
        </w:rPr>
        <w:t>克州2023年自然灾害防治体系建设补助资金项目</w:t>
      </w:r>
      <w:r>
        <w:rPr>
          <w:rFonts w:hint="eastAsia" w:ascii="仿宋" w:hAnsi="仿宋" w:eastAsia="仿宋"/>
          <w:color w:val="auto"/>
          <w:sz w:val="24"/>
        </w:rPr>
        <w:t>监理；预算金额：</w:t>
      </w:r>
      <w:r>
        <w:rPr>
          <w:rFonts w:hint="eastAsia" w:ascii="仿宋" w:hAnsi="仿宋" w:eastAsia="仿宋"/>
          <w:color w:val="auto"/>
          <w:sz w:val="24"/>
          <w:lang w:val="en-US" w:eastAsia="zh-CN"/>
        </w:rPr>
        <w:t>34.10</w:t>
      </w:r>
      <w:r>
        <w:rPr>
          <w:rFonts w:hint="eastAsia" w:ascii="仿宋" w:hAnsi="仿宋" w:eastAsia="仿宋"/>
          <w:color w:val="auto"/>
          <w:sz w:val="24"/>
        </w:rPr>
        <w:t>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合同履行期限：详见采购文件。</w:t>
      </w:r>
    </w:p>
    <w:p>
      <w:pPr>
        <w:numPr>
          <w:ilvl w:val="0"/>
          <w:numId w:val="2"/>
        </w:numPr>
        <w:spacing w:line="360" w:lineRule="auto"/>
        <w:ind w:firstLine="480" w:firstLineChars="200"/>
        <w:outlineLvl w:val="1"/>
        <w:rPr>
          <w:rFonts w:hint="eastAsia" w:ascii="仿宋" w:hAnsi="仿宋" w:eastAsia="仿宋"/>
          <w:color w:val="auto"/>
          <w:sz w:val="24"/>
        </w:rPr>
      </w:pPr>
      <w:bookmarkStart w:id="13" w:name="_Toc7454"/>
      <w:r>
        <w:rPr>
          <w:rFonts w:hint="eastAsia" w:ascii="仿宋" w:hAnsi="仿宋" w:eastAsia="仿宋"/>
          <w:color w:val="auto"/>
          <w:sz w:val="24"/>
        </w:rPr>
        <w:t>申请人的资格要求：</w:t>
      </w:r>
      <w:bookmarkEnd w:id="13"/>
    </w:p>
    <w:p>
      <w:pPr>
        <w:spacing w:line="360" w:lineRule="auto"/>
        <w:ind w:firstLine="482" w:firstLineChars="200"/>
        <w:rPr>
          <w:rFonts w:hint="eastAsia" w:ascii="仿宋" w:hAnsi="仿宋" w:eastAsia="仿宋" w:cs="Times New Roman"/>
          <w:b/>
          <w:bCs/>
          <w:color w:val="auto"/>
          <w:sz w:val="24"/>
          <w:lang w:val="en-US" w:eastAsia="zh-CN"/>
        </w:rPr>
      </w:pPr>
      <w:r>
        <w:rPr>
          <w:rFonts w:hint="eastAsia" w:ascii="仿宋" w:hAnsi="仿宋" w:eastAsia="仿宋" w:cs="Times New Roman"/>
          <w:b/>
          <w:bCs/>
          <w:color w:val="auto"/>
          <w:sz w:val="24"/>
          <w:lang w:val="en-US" w:eastAsia="zh-CN"/>
        </w:rPr>
        <w:t>1.满足《中华人民共和国政府采购法》第二十二条规定：</w:t>
      </w:r>
    </w:p>
    <w:p>
      <w:pPr>
        <w:tabs>
          <w:tab w:val="left" w:pos="5670"/>
        </w:tabs>
        <w:spacing w:line="360" w:lineRule="auto"/>
        <w:ind w:firstLine="480" w:firstLineChars="200"/>
        <w:rPr>
          <w:rFonts w:hint="eastAsia" w:ascii="仿宋" w:hAnsi="仿宋" w:eastAsia="仿宋" w:cs="Times New Roman"/>
          <w:color w:val="auto"/>
          <w:sz w:val="24"/>
          <w:lang w:eastAsia="zh-CN"/>
        </w:rPr>
      </w:pPr>
      <w:r>
        <w:rPr>
          <w:rFonts w:hint="eastAsia" w:ascii="仿宋" w:hAnsi="仿宋" w:eastAsia="仿宋" w:cs="Times New Roman"/>
          <w:color w:val="auto"/>
          <w:sz w:val="24"/>
          <w:lang w:val="en-US" w:eastAsia="zh-CN"/>
        </w:rPr>
        <w:t>(1)</w:t>
      </w:r>
      <w:r>
        <w:rPr>
          <w:rFonts w:hint="eastAsia" w:ascii="仿宋" w:hAnsi="仿宋" w:eastAsia="仿宋" w:cs="Times New Roman"/>
          <w:color w:val="auto"/>
          <w:sz w:val="24"/>
        </w:rPr>
        <w:t>有效的营业执照正本或副本</w:t>
      </w:r>
      <w:r>
        <w:rPr>
          <w:rFonts w:hint="eastAsia" w:ascii="仿宋" w:hAnsi="仿宋" w:eastAsia="仿宋" w:cs="Times New Roman"/>
          <w:color w:val="auto"/>
          <w:sz w:val="24"/>
          <w:lang w:eastAsia="zh-CN"/>
        </w:rPr>
        <w:t>；</w:t>
      </w:r>
    </w:p>
    <w:p>
      <w:pPr>
        <w:spacing w:line="36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(2)具有良好的商业信誉和健全的财务会计制度；</w:t>
      </w:r>
    </w:p>
    <w:p>
      <w:pPr>
        <w:spacing w:line="36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(3)具有履行合同所必需的设备和专业技术能力；</w:t>
      </w:r>
    </w:p>
    <w:p>
      <w:pPr>
        <w:spacing w:line="36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(4)</w:t>
      </w:r>
      <w:r>
        <w:rPr>
          <w:rFonts w:hint="eastAsia" w:ascii="仿宋" w:hAnsi="仿宋" w:eastAsia="仿宋" w:cs="仿宋"/>
          <w:color w:val="auto"/>
          <w:kern w:val="0"/>
          <w:sz w:val="22"/>
          <w:szCs w:val="22"/>
          <w:lang w:val="en-US" w:eastAsia="zh-CN"/>
        </w:rPr>
        <w:t>有依法缴纳税收和社会保障资金的良好记录；(需提供近期3个月社保部门出具的投标单位的缴纳社保证明和依法纳税的相关证明文件)</w:t>
      </w:r>
    </w:p>
    <w:p>
      <w:pPr>
        <w:spacing w:line="360" w:lineRule="auto"/>
        <w:ind w:firstLine="480" w:firstLineChars="200"/>
        <w:rPr>
          <w:rFonts w:hint="default"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(5)参加政府采购活动前三年内，在经营活动中没有重大违法记录承诺书；</w:t>
      </w:r>
    </w:p>
    <w:p>
      <w:pPr>
        <w:spacing w:line="360" w:lineRule="auto"/>
        <w:ind w:firstLine="482" w:firstLineChars="200"/>
        <w:rPr>
          <w:rFonts w:hint="eastAsia" w:ascii="仿宋" w:hAnsi="仿宋" w:eastAsia="仿宋" w:cs="Times New Roman"/>
          <w:b/>
          <w:bCs/>
          <w:color w:val="auto"/>
          <w:sz w:val="24"/>
          <w:lang w:val="en-US" w:eastAsia="zh-CN"/>
        </w:rPr>
      </w:pPr>
      <w:r>
        <w:rPr>
          <w:rFonts w:hint="eastAsia" w:ascii="仿宋" w:hAnsi="仿宋" w:eastAsia="仿宋" w:cs="Times New Roman"/>
          <w:b/>
          <w:bCs/>
          <w:color w:val="auto"/>
          <w:sz w:val="24"/>
          <w:lang w:val="en-US" w:eastAsia="zh-CN"/>
        </w:rPr>
        <w:t>2.落实政府采购政策需满足的资格要求：</w:t>
      </w:r>
    </w:p>
    <w:p>
      <w:pPr>
        <w:spacing w:line="36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(1)《政府采购促进中小企业发展管理办法》（财库﹝2020﹞46号）及《关于进一步加大政府采购支持中小企业力度的通知》（财库〔2022〕19号）；</w:t>
      </w:r>
    </w:p>
    <w:p>
      <w:pPr>
        <w:spacing w:line="36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(2)财政部、民政部、中国残疾人联合会《关于促进残疾人就业政府采购政策的通知》（财库[2017]141号）；</w:t>
      </w:r>
    </w:p>
    <w:p>
      <w:pPr>
        <w:spacing w:line="36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(3)财政部、司法部《关于政府采购支持监狱企业发展有关问题的通知》（财库[2014]68号）；</w:t>
      </w:r>
    </w:p>
    <w:p>
      <w:pPr>
        <w:spacing w:line="360" w:lineRule="auto"/>
        <w:ind w:firstLine="482" w:firstLineChars="200"/>
        <w:rPr>
          <w:rFonts w:hint="eastAsia" w:ascii="仿宋" w:hAnsi="仿宋" w:eastAsia="仿宋" w:cs="Times New Roman"/>
          <w:b/>
          <w:bCs/>
          <w:color w:val="auto"/>
          <w:sz w:val="24"/>
          <w:lang w:val="en-US" w:eastAsia="zh-CN"/>
        </w:rPr>
      </w:pPr>
      <w:r>
        <w:rPr>
          <w:rFonts w:hint="eastAsia" w:ascii="仿宋" w:hAnsi="仿宋" w:eastAsia="仿宋" w:cs="Times New Roman"/>
          <w:b/>
          <w:bCs/>
          <w:color w:val="auto"/>
          <w:sz w:val="24"/>
          <w:lang w:val="en-US" w:eastAsia="zh-CN"/>
        </w:rPr>
        <w:t>3.合格投标人的其他资格要求：</w:t>
      </w:r>
    </w:p>
    <w:p>
      <w:pPr>
        <w:spacing w:line="36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(1)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重大严重失信记录不得参加本项目（查询结果以代理公司开标现场核查为准）；</w:t>
      </w:r>
    </w:p>
    <w:p>
      <w:pPr>
        <w:spacing w:line="360" w:lineRule="auto"/>
        <w:ind w:firstLine="480" w:firstLineChars="200"/>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 xml:space="preserve"> (2)提供针对本次项目的反商业贿赂承诺书；</w:t>
      </w:r>
    </w:p>
    <w:p>
      <w:pPr>
        <w:spacing w:line="360" w:lineRule="auto"/>
        <w:ind w:left="0" w:leftChars="0" w:firstLine="638" w:firstLineChars="266"/>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(3)联合体协议书（如有）；</w:t>
      </w:r>
    </w:p>
    <w:p>
      <w:pPr>
        <w:spacing w:line="360" w:lineRule="auto"/>
        <w:ind w:firstLine="482" w:firstLineChars="200"/>
        <w:rPr>
          <w:rFonts w:hint="eastAsia"/>
          <w:color w:val="auto"/>
          <w:lang w:val="en-US" w:eastAsia="zh-CN"/>
        </w:rPr>
      </w:pPr>
      <w:r>
        <w:rPr>
          <w:rFonts w:hint="eastAsia" w:ascii="仿宋" w:hAnsi="仿宋" w:eastAsia="仿宋" w:cs="Times New Roman"/>
          <w:b/>
          <w:bCs/>
          <w:color w:val="auto"/>
          <w:sz w:val="24"/>
          <w:lang w:val="en-US" w:eastAsia="zh-CN"/>
        </w:rPr>
        <w:t>4.本项目的特定资格要求：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仿宋"/>
          <w:color w:val="auto"/>
          <w:lang w:val="en-US" w:eastAsia="zh-CN"/>
        </w:rPr>
      </w:pPr>
      <w:r>
        <w:rPr>
          <w:rFonts w:hint="eastAsia" w:ascii="仿宋" w:hAnsi="仿宋" w:eastAsia="仿宋" w:cs="Times New Roman"/>
          <w:color w:val="auto"/>
          <w:sz w:val="24"/>
          <w:lang w:val="en-US" w:eastAsia="zh-CN"/>
        </w:rPr>
        <w:t>供应商投标标项一、二提供地质灾害治理工程勘查乙级（含乙级）以上资质；标项三、四提供地质灾害治理工程设计和施工乙级（含乙级）以上资质；标项五提供地质灾害治理工程勘查乙级（含乙级）以上资质并与设备供应商（一家或多家）组成联合体投标,所采购设备技术参数应符合《地质灾害监测预警通讯技术要求》和《地质灾害群专结合监测预警技术指南（试行）》；标项六提供地质灾害防治工程监理乙级（含乙级）以上资质。</w:t>
      </w:r>
    </w:p>
    <w:p>
      <w:pPr>
        <w:spacing w:line="360" w:lineRule="auto"/>
        <w:ind w:firstLine="480" w:firstLineChars="200"/>
        <w:outlineLvl w:val="1"/>
        <w:rPr>
          <w:rFonts w:ascii="仿宋" w:hAnsi="仿宋" w:eastAsia="仿宋"/>
          <w:color w:val="auto"/>
          <w:sz w:val="24"/>
        </w:rPr>
      </w:pPr>
      <w:bookmarkStart w:id="14" w:name="_Toc15454"/>
      <w:r>
        <w:rPr>
          <w:rFonts w:hint="eastAsia" w:ascii="仿宋" w:hAnsi="仿宋" w:eastAsia="仿宋"/>
          <w:color w:val="auto"/>
          <w:sz w:val="24"/>
        </w:rPr>
        <w:t>三、获取采购文件</w:t>
      </w:r>
      <w:bookmarkEnd w:id="14"/>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时间：2023年2月</w:t>
      </w:r>
      <w:r>
        <w:rPr>
          <w:rFonts w:hint="eastAsia" w:ascii="仿宋" w:hAnsi="仿宋" w:eastAsia="仿宋"/>
          <w:color w:val="auto"/>
          <w:sz w:val="24"/>
          <w:lang w:val="en-US" w:eastAsia="zh-CN"/>
        </w:rPr>
        <w:t>15</w:t>
      </w:r>
      <w:r>
        <w:rPr>
          <w:rFonts w:hint="eastAsia" w:ascii="仿宋" w:hAnsi="仿宋" w:eastAsia="仿宋"/>
          <w:color w:val="auto"/>
          <w:sz w:val="24"/>
        </w:rPr>
        <w:t>日至2023年2月</w:t>
      </w:r>
      <w:r>
        <w:rPr>
          <w:rFonts w:hint="eastAsia" w:ascii="仿宋" w:hAnsi="仿宋" w:eastAsia="仿宋"/>
          <w:color w:val="auto"/>
          <w:sz w:val="24"/>
          <w:lang w:val="en-US" w:eastAsia="zh-CN"/>
        </w:rPr>
        <w:t>22</w:t>
      </w:r>
      <w:r>
        <w:rPr>
          <w:rFonts w:hint="eastAsia" w:ascii="仿宋" w:hAnsi="仿宋" w:eastAsia="仿宋"/>
          <w:color w:val="auto"/>
          <w:sz w:val="24"/>
        </w:rPr>
        <w:t>日</w:t>
      </w:r>
      <w:bookmarkStart w:id="590" w:name="_GoBack"/>
      <w:bookmarkEnd w:id="590"/>
      <w:r>
        <w:rPr>
          <w:rFonts w:hint="eastAsia" w:ascii="仿宋" w:hAnsi="仿宋" w:eastAsia="仿宋"/>
          <w:color w:val="auto"/>
          <w:sz w:val="24"/>
        </w:rPr>
        <w:t>，每天上午10:30至13:30，下午15:30至19:00（北京时间，法定节假日除外）.</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地点：新疆政府采购网自行下载</w:t>
      </w:r>
    </w:p>
    <w:p>
      <w:pPr>
        <w:spacing w:line="360" w:lineRule="auto"/>
        <w:ind w:firstLine="480" w:firstLineChars="200"/>
        <w:outlineLvl w:val="1"/>
        <w:rPr>
          <w:rFonts w:ascii="仿宋" w:hAnsi="仿宋" w:eastAsia="仿宋"/>
          <w:color w:val="auto"/>
          <w:sz w:val="24"/>
        </w:rPr>
      </w:pPr>
      <w:bookmarkStart w:id="15" w:name="_Toc22421"/>
      <w:r>
        <w:rPr>
          <w:rFonts w:hint="eastAsia" w:ascii="仿宋" w:hAnsi="仿宋" w:eastAsia="仿宋"/>
          <w:color w:val="auto"/>
          <w:sz w:val="24"/>
        </w:rPr>
        <w:t>四、提交投标文件截止时间、开标时间和地点</w:t>
      </w:r>
      <w:bookmarkEnd w:id="15"/>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提交投标文件截止时间：2023年</w:t>
      </w:r>
      <w:r>
        <w:rPr>
          <w:rFonts w:hint="eastAsia" w:ascii="仿宋" w:hAnsi="仿宋" w:eastAsia="仿宋"/>
          <w:color w:val="auto"/>
          <w:sz w:val="24"/>
          <w:lang w:val="en-US" w:eastAsia="zh-CN"/>
        </w:rPr>
        <w:t>3月7日</w:t>
      </w:r>
      <w:r>
        <w:rPr>
          <w:rFonts w:hint="eastAsia" w:ascii="仿宋" w:hAnsi="仿宋" w:eastAsia="仿宋"/>
          <w:color w:val="auto"/>
          <w:sz w:val="24"/>
        </w:rPr>
        <w:t xml:space="preserve"> 11:00（北京时间）</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投标地点：</w:t>
      </w:r>
      <w:r>
        <w:rPr>
          <w:rFonts w:hint="eastAsia" w:ascii="仿宋" w:hAnsi="仿宋" w:eastAsia="仿宋" w:cs="仿宋"/>
          <w:color w:val="auto"/>
          <w:kern w:val="0"/>
          <w:sz w:val="24"/>
        </w:rPr>
        <w:t>政采云投标客户端投标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开标时间：2023年</w:t>
      </w:r>
      <w:r>
        <w:rPr>
          <w:rFonts w:hint="eastAsia" w:ascii="仿宋" w:hAnsi="仿宋" w:eastAsia="仿宋"/>
          <w:color w:val="auto"/>
          <w:sz w:val="24"/>
          <w:lang w:val="en-US" w:eastAsia="zh-CN"/>
        </w:rPr>
        <w:t>3月7日</w:t>
      </w:r>
      <w:r>
        <w:rPr>
          <w:rFonts w:hint="eastAsia" w:ascii="仿宋" w:hAnsi="仿宋" w:eastAsia="仿宋"/>
          <w:color w:val="auto"/>
          <w:sz w:val="24"/>
        </w:rPr>
        <w:t xml:space="preserve"> 11:00（北京时间）</w:t>
      </w:r>
    </w:p>
    <w:p>
      <w:pPr>
        <w:spacing w:line="360" w:lineRule="auto"/>
        <w:ind w:firstLine="480" w:firstLineChars="200"/>
        <w:rPr>
          <w:rFonts w:hint="eastAsia" w:ascii="仿宋" w:hAnsi="仿宋" w:eastAsia="仿宋"/>
          <w:color w:val="auto"/>
          <w:sz w:val="24"/>
          <w:lang w:eastAsia="zh-CN"/>
        </w:rPr>
      </w:pPr>
      <w:r>
        <w:rPr>
          <w:rFonts w:hint="eastAsia" w:ascii="仿宋" w:hAnsi="仿宋" w:eastAsia="仿宋"/>
          <w:color w:val="auto"/>
          <w:sz w:val="24"/>
        </w:rPr>
        <w:t>开标地点：</w:t>
      </w:r>
      <w:r>
        <w:rPr>
          <w:rFonts w:hint="eastAsia" w:ascii="仿宋" w:hAnsi="仿宋" w:eastAsia="仿宋"/>
          <w:color w:val="auto"/>
          <w:sz w:val="24"/>
          <w:lang w:eastAsia="zh-CN"/>
        </w:rPr>
        <w:t>乌鲁木齐市新市区阜新街1号2号</w:t>
      </w:r>
      <w:r>
        <w:rPr>
          <w:rFonts w:hint="eastAsia" w:ascii="仿宋" w:hAnsi="仿宋" w:eastAsia="仿宋"/>
          <w:color w:val="auto"/>
          <w:sz w:val="24"/>
          <w:highlight w:val="none"/>
          <w:lang w:eastAsia="zh-CN"/>
        </w:rPr>
        <w:t>楼3楼开标厅</w:t>
      </w:r>
    </w:p>
    <w:p>
      <w:pPr>
        <w:spacing w:line="360" w:lineRule="auto"/>
        <w:ind w:firstLine="480" w:firstLineChars="200"/>
        <w:outlineLvl w:val="1"/>
        <w:rPr>
          <w:rFonts w:ascii="仿宋" w:hAnsi="仿宋" w:eastAsia="仿宋"/>
          <w:color w:val="auto"/>
          <w:sz w:val="24"/>
        </w:rPr>
      </w:pPr>
      <w:bookmarkStart w:id="16" w:name="_Toc8705"/>
      <w:r>
        <w:rPr>
          <w:rFonts w:hint="eastAsia" w:ascii="仿宋" w:hAnsi="仿宋" w:eastAsia="仿宋"/>
          <w:color w:val="auto"/>
          <w:sz w:val="24"/>
        </w:rPr>
        <w:t>五、公告期限</w:t>
      </w:r>
      <w:bookmarkEnd w:id="16"/>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自本公告发布之日起5个工作日。</w:t>
      </w:r>
    </w:p>
    <w:p>
      <w:pPr>
        <w:spacing w:line="360" w:lineRule="auto"/>
        <w:ind w:firstLine="480" w:firstLineChars="200"/>
        <w:outlineLvl w:val="1"/>
        <w:rPr>
          <w:rFonts w:hint="eastAsia" w:ascii="仿宋" w:hAnsi="仿宋" w:eastAsia="仿宋"/>
          <w:color w:val="auto"/>
          <w:sz w:val="24"/>
          <w:lang w:eastAsia="zh-CN"/>
        </w:rPr>
      </w:pPr>
      <w:bookmarkStart w:id="17" w:name="_Toc6584"/>
      <w:r>
        <w:rPr>
          <w:rFonts w:hint="eastAsia" w:ascii="仿宋" w:hAnsi="仿宋" w:eastAsia="仿宋"/>
          <w:color w:val="auto"/>
          <w:sz w:val="24"/>
          <w:lang w:val="en-US" w:eastAsia="zh-CN"/>
        </w:rPr>
        <w:t>六、</w:t>
      </w:r>
      <w:r>
        <w:rPr>
          <w:rFonts w:hint="eastAsia" w:ascii="仿宋" w:hAnsi="仿宋" w:eastAsia="仿宋"/>
          <w:color w:val="auto"/>
          <w:sz w:val="24"/>
          <w:lang w:eastAsia="zh-CN"/>
        </w:rPr>
        <w:t>其他补充事宜</w:t>
      </w:r>
      <w:bookmarkEnd w:id="17"/>
    </w:p>
    <w:p>
      <w:pPr>
        <w:spacing w:line="360" w:lineRule="auto"/>
        <w:ind w:firstLine="480" w:firstLineChars="200"/>
        <w:rPr>
          <w:rFonts w:hint="default" w:ascii="仿宋" w:hAnsi="仿宋" w:eastAsia="仿宋"/>
          <w:color w:val="auto"/>
          <w:sz w:val="24"/>
          <w:lang w:val="en-US" w:eastAsia="zh-CN"/>
        </w:rPr>
      </w:pPr>
      <w:r>
        <w:rPr>
          <w:rFonts w:hint="eastAsia" w:ascii="仿宋" w:hAnsi="仿宋" w:eastAsia="仿宋"/>
          <w:color w:val="auto"/>
          <w:sz w:val="24"/>
          <w:lang w:val="en-US" w:eastAsia="zh-CN"/>
        </w:rPr>
        <w:t>无</w:t>
      </w:r>
    </w:p>
    <w:p>
      <w:pPr>
        <w:spacing w:line="360" w:lineRule="auto"/>
        <w:ind w:firstLine="480" w:firstLineChars="200"/>
        <w:outlineLvl w:val="1"/>
        <w:rPr>
          <w:rFonts w:ascii="仿宋" w:hAnsi="仿宋" w:eastAsia="仿宋"/>
          <w:color w:val="auto"/>
          <w:sz w:val="24"/>
        </w:rPr>
      </w:pPr>
      <w:bookmarkStart w:id="18" w:name="_Toc27660"/>
      <w:r>
        <w:rPr>
          <w:rFonts w:hint="eastAsia" w:ascii="仿宋" w:hAnsi="仿宋" w:eastAsia="仿宋"/>
          <w:color w:val="auto"/>
          <w:sz w:val="24"/>
        </w:rPr>
        <w:t>七、对本次采购提出询问，请按以下方式联系</w:t>
      </w:r>
      <w:bookmarkEnd w:id="18"/>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1.采购人信息</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名称：</w:t>
      </w:r>
      <w:r>
        <w:rPr>
          <w:rFonts w:hint="eastAsia" w:ascii="仿宋" w:hAnsi="仿宋" w:eastAsia="仿宋"/>
          <w:color w:val="auto"/>
          <w:sz w:val="24"/>
          <w:lang w:eastAsia="zh-CN"/>
        </w:rPr>
        <w:t>克孜勒苏柯尔克孜自治州自然资源局</w:t>
      </w:r>
      <w:r>
        <w:rPr>
          <w:rFonts w:hint="eastAsia" w:ascii="仿宋" w:hAnsi="仿宋" w:eastAsia="仿宋"/>
          <w:color w:val="auto"/>
          <w:sz w:val="24"/>
        </w:rPr>
        <w:t>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地址：</w:t>
      </w:r>
      <w:r>
        <w:rPr>
          <w:rFonts w:hint="eastAsia" w:ascii="仿宋" w:hAnsi="仿宋" w:eastAsia="仿宋" w:cs="宋体"/>
          <w:color w:val="auto"/>
          <w:sz w:val="24"/>
          <w:szCs w:val="24"/>
        </w:rPr>
        <w:t>新疆阿图什市天山路东38号</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联系人</w:t>
      </w:r>
      <w:bookmarkStart w:id="19" w:name="_Toc28359009"/>
      <w:bookmarkStart w:id="20" w:name="_Toc28359086"/>
      <w:r>
        <w:rPr>
          <w:rFonts w:hint="eastAsia" w:ascii="仿宋" w:hAnsi="仿宋" w:eastAsia="仿宋"/>
          <w:color w:val="auto"/>
          <w:sz w:val="24"/>
        </w:rPr>
        <w:t>：</w:t>
      </w:r>
      <w:r>
        <w:rPr>
          <w:rFonts w:hint="eastAsia" w:ascii="仿宋" w:hAnsi="仿宋" w:eastAsia="仿宋" w:cs="Times New Roman"/>
          <w:color w:val="auto"/>
          <w:kern w:val="2"/>
          <w:sz w:val="24"/>
          <w:szCs w:val="24"/>
          <w:highlight w:val="none"/>
          <w:lang w:val="en-US" w:eastAsia="zh-CN" w:bidi="ar-SA"/>
        </w:rPr>
        <w:t>樊有军</w:t>
      </w: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联系电话：</w:t>
      </w:r>
      <w:r>
        <w:rPr>
          <w:rFonts w:hint="eastAsia" w:ascii="仿宋" w:hAnsi="仿宋" w:eastAsia="仿宋" w:cs="Times New Roman"/>
          <w:color w:val="auto"/>
          <w:kern w:val="2"/>
          <w:sz w:val="24"/>
          <w:szCs w:val="24"/>
          <w:highlight w:val="none"/>
          <w:lang w:val="en-US" w:eastAsia="zh-CN" w:bidi="ar-SA"/>
        </w:rPr>
        <w:t xml:space="preserve">0908-4225759 </w:t>
      </w:r>
    </w:p>
    <w:p>
      <w:pPr>
        <w:spacing w:line="360" w:lineRule="auto"/>
        <w:ind w:firstLine="480" w:firstLineChars="200"/>
        <w:rPr>
          <w:rFonts w:ascii="仿宋" w:hAnsi="仿宋" w:eastAsia="仿宋"/>
          <w:color w:val="auto"/>
          <w:sz w:val="24"/>
        </w:rPr>
      </w:pPr>
      <w:bookmarkStart w:id="21" w:name="_Toc472"/>
      <w:r>
        <w:rPr>
          <w:rFonts w:hint="eastAsia" w:ascii="仿宋" w:hAnsi="仿宋" w:eastAsia="仿宋"/>
          <w:color w:val="auto"/>
          <w:sz w:val="24"/>
        </w:rPr>
        <w:t>2.采购代理机构信息</w:t>
      </w:r>
      <w:bookmarkEnd w:id="19"/>
      <w:bookmarkEnd w:id="20"/>
      <w:bookmarkEnd w:id="21"/>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rPr>
        <w:t>名称：新疆国源土地矿产资源交易中心</w:t>
      </w:r>
      <w:r>
        <w:rPr>
          <w:rFonts w:hint="eastAsia" w:ascii="仿宋" w:hAnsi="仿宋" w:eastAsia="仿宋"/>
          <w:color w:val="auto"/>
          <w:sz w:val="24"/>
          <w:highlight w:val="none"/>
        </w:rPr>
        <w:t>　</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地址：</w:t>
      </w:r>
      <w:r>
        <w:rPr>
          <w:rFonts w:hint="eastAsia" w:ascii="仿宋" w:hAnsi="仿宋" w:eastAsia="仿宋"/>
          <w:color w:val="auto"/>
          <w:sz w:val="24"/>
          <w:highlight w:val="none"/>
          <w:lang w:eastAsia="zh-CN"/>
        </w:rPr>
        <w:t>乌鲁木齐市新市区阜新街1号2号楼3楼</w:t>
      </w:r>
      <w:r>
        <w:rPr>
          <w:rFonts w:hint="eastAsia" w:ascii="仿宋" w:hAnsi="仿宋" w:eastAsia="仿宋"/>
          <w:color w:val="auto"/>
          <w:sz w:val="24"/>
          <w:highlight w:val="none"/>
        </w:rPr>
        <w:t>　</w:t>
      </w:r>
    </w:p>
    <w:p>
      <w:pPr>
        <w:spacing w:line="360" w:lineRule="auto"/>
        <w:ind w:firstLine="480" w:firstLineChars="200"/>
        <w:rPr>
          <w:rFonts w:hint="default" w:ascii="仿宋" w:hAnsi="仿宋" w:eastAsia="仿宋"/>
          <w:color w:val="auto"/>
          <w:sz w:val="24"/>
          <w:lang w:val="en-US"/>
        </w:rPr>
      </w:pPr>
      <w:r>
        <w:rPr>
          <w:rFonts w:hint="eastAsia" w:ascii="仿宋" w:hAnsi="仿宋" w:eastAsia="仿宋"/>
          <w:color w:val="auto"/>
          <w:sz w:val="24"/>
        </w:rPr>
        <w:t>联系方式：</w:t>
      </w:r>
      <w:bookmarkStart w:id="22" w:name="_Toc28359010"/>
      <w:bookmarkStart w:id="23" w:name="_Toc28359087"/>
      <w:r>
        <w:rPr>
          <w:rFonts w:hint="eastAsia" w:ascii="仿宋" w:hAnsi="仿宋" w:eastAsia="仿宋"/>
          <w:color w:val="auto"/>
          <w:sz w:val="24"/>
          <w:lang w:eastAsia="zh-CN"/>
        </w:rPr>
        <w:t>孙</w:t>
      </w:r>
      <w:r>
        <w:rPr>
          <w:rFonts w:hint="eastAsia" w:ascii="仿宋" w:hAnsi="仿宋" w:eastAsia="仿宋"/>
          <w:color w:val="auto"/>
          <w:sz w:val="24"/>
          <w:lang w:val="en-US" w:eastAsia="zh-CN"/>
        </w:rPr>
        <w:t xml:space="preserve">  </w:t>
      </w:r>
      <w:r>
        <w:rPr>
          <w:rFonts w:hint="eastAsia" w:ascii="仿宋" w:hAnsi="仿宋" w:eastAsia="仿宋"/>
          <w:color w:val="auto"/>
          <w:sz w:val="24"/>
          <w:lang w:eastAsia="zh-CN"/>
        </w:rPr>
        <w:t>丽</w:t>
      </w:r>
      <w:r>
        <w:rPr>
          <w:rFonts w:hint="eastAsia" w:ascii="仿宋" w:hAnsi="仿宋" w:eastAsia="仿宋"/>
          <w:color w:val="auto"/>
          <w:sz w:val="24"/>
          <w:lang w:val="en-US" w:eastAsia="zh-CN"/>
        </w:rPr>
        <w:t>15160883519  王选问13579890451</w:t>
      </w:r>
    </w:p>
    <w:p>
      <w:pPr>
        <w:spacing w:line="360" w:lineRule="auto"/>
        <w:ind w:firstLine="480" w:firstLineChars="200"/>
        <w:rPr>
          <w:rFonts w:hint="eastAsia" w:ascii="仿宋" w:hAnsi="仿宋" w:eastAsia="仿宋"/>
          <w:color w:val="auto"/>
          <w:sz w:val="24"/>
        </w:rPr>
      </w:pPr>
      <w:bookmarkStart w:id="24" w:name="_Toc15500"/>
      <w:r>
        <w:rPr>
          <w:rFonts w:hint="eastAsia" w:ascii="仿宋" w:hAnsi="仿宋" w:eastAsia="仿宋"/>
          <w:color w:val="auto"/>
          <w:sz w:val="24"/>
        </w:rPr>
        <w:t>3.</w:t>
      </w:r>
      <w:bookmarkEnd w:id="22"/>
      <w:bookmarkEnd w:id="23"/>
      <w:bookmarkEnd w:id="24"/>
      <w:r>
        <w:rPr>
          <w:rFonts w:hint="eastAsia" w:ascii="仿宋" w:hAnsi="仿宋" w:eastAsia="仿宋"/>
          <w:color w:val="auto"/>
          <w:sz w:val="24"/>
        </w:rPr>
        <w:t>监管单位信息</w:t>
      </w:r>
    </w:p>
    <w:p>
      <w:pPr>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名称：克孜勒苏柯尔克孜自治州财政局</w:t>
      </w:r>
    </w:p>
    <w:p>
      <w:pPr>
        <w:spacing w:line="360" w:lineRule="auto"/>
        <w:ind w:firstLine="480" w:firstLineChars="200"/>
        <w:rPr>
          <w:rFonts w:hint="default" w:ascii="仿宋" w:hAnsi="仿宋" w:eastAsia="仿宋"/>
          <w:color w:val="auto"/>
          <w:sz w:val="24"/>
          <w:lang w:val="en-US" w:eastAsia="zh-CN"/>
        </w:rPr>
      </w:pPr>
      <w:r>
        <w:rPr>
          <w:rFonts w:hint="eastAsia" w:ascii="仿宋" w:hAnsi="仿宋" w:eastAsia="仿宋"/>
          <w:color w:val="auto"/>
          <w:sz w:val="24"/>
          <w:lang w:val="en-US" w:eastAsia="zh-CN"/>
        </w:rPr>
        <w:t>监督电话：0908-4230287</w:t>
      </w:r>
    </w:p>
    <w:p>
      <w:pPr>
        <w:rPr>
          <w:rFonts w:hint="eastAsia" w:ascii="仿宋" w:hAnsi="仿宋" w:eastAsia="仿宋" w:cs="仿宋"/>
          <w:color w:val="auto"/>
          <w:sz w:val="24"/>
        </w:rPr>
      </w:pPr>
      <w:r>
        <w:rPr>
          <w:rFonts w:hint="eastAsia" w:ascii="仿宋" w:hAnsi="仿宋" w:eastAsia="仿宋" w:cs="仿宋"/>
          <w:color w:val="auto"/>
          <w:sz w:val="24"/>
        </w:rPr>
        <w:br w:type="page"/>
      </w:r>
      <w:bookmarkStart w:id="25" w:name="_Toc518923125"/>
      <w:bookmarkStart w:id="26" w:name="_Toc507399903"/>
      <w:bookmarkStart w:id="27" w:name="_Toc17838"/>
      <w:bookmarkStart w:id="28" w:name="_Toc216582823"/>
    </w:p>
    <w:p>
      <w:pPr>
        <w:pStyle w:val="7"/>
        <w:bidi w:val="0"/>
        <w:rPr>
          <w:rFonts w:ascii="仿宋" w:hAnsi="仿宋" w:eastAsia="仿宋" w:cs="仿宋"/>
          <w:b w:val="0"/>
          <w:color w:val="auto"/>
          <w:szCs w:val="32"/>
        </w:rPr>
      </w:pPr>
      <w:bookmarkStart w:id="29" w:name="_Toc19797"/>
      <w:r>
        <w:rPr>
          <w:rStyle w:val="70"/>
          <w:rFonts w:hint="eastAsia"/>
          <w:b/>
          <w:color w:val="auto"/>
          <w:sz w:val="32"/>
          <w:szCs w:val="24"/>
        </w:rPr>
        <w:t>第</w:t>
      </w:r>
      <w:r>
        <w:rPr>
          <w:rStyle w:val="70"/>
          <w:rFonts w:hint="eastAsia"/>
          <w:b/>
          <w:color w:val="auto"/>
          <w:sz w:val="32"/>
          <w:szCs w:val="24"/>
          <w:lang w:val="en-US" w:eastAsia="zh-CN"/>
        </w:rPr>
        <w:t>2</w:t>
      </w:r>
      <w:r>
        <w:rPr>
          <w:rStyle w:val="70"/>
          <w:rFonts w:hint="eastAsia"/>
          <w:b/>
          <w:color w:val="auto"/>
          <w:sz w:val="32"/>
          <w:szCs w:val="24"/>
        </w:rPr>
        <w:t>章  供应商须知资料表</w:t>
      </w:r>
      <w:bookmarkEnd w:id="25"/>
      <w:bookmarkEnd w:id="26"/>
      <w:bookmarkEnd w:id="27"/>
      <w:bookmarkEnd w:id="28"/>
      <w:bookmarkEnd w:id="29"/>
    </w:p>
    <w:bookmarkEnd w:id="11"/>
    <w:p>
      <w:pPr>
        <w:spacing w:line="240" w:lineRule="atLeast"/>
        <w:ind w:left="1080" w:leftChars="257" w:hanging="540"/>
        <w:rPr>
          <w:rFonts w:ascii="仿宋" w:hAnsi="仿宋" w:eastAsia="仿宋" w:cs="仿宋"/>
          <w:color w:val="auto"/>
          <w:sz w:val="24"/>
        </w:rPr>
      </w:pPr>
    </w:p>
    <w:p>
      <w:pPr>
        <w:spacing w:line="240" w:lineRule="atLeast"/>
        <w:ind w:firstLine="360" w:firstLineChars="150"/>
        <w:rPr>
          <w:rFonts w:ascii="仿宋" w:hAnsi="仿宋" w:eastAsia="仿宋" w:cs="仿宋"/>
          <w:color w:val="auto"/>
          <w:sz w:val="24"/>
        </w:rPr>
      </w:pPr>
      <w:r>
        <w:rPr>
          <w:rFonts w:hint="eastAsia" w:ascii="仿宋" w:hAnsi="仿宋" w:eastAsia="仿宋" w:cs="仿宋"/>
          <w:color w:val="auto"/>
          <w:sz w:val="24"/>
        </w:rPr>
        <w:t xml:space="preserve"> 本表是本招标项目的具体资料，是对供应商须知的具体补充和修改，如有矛盾，应</w:t>
      </w:r>
      <w:r>
        <w:rPr>
          <w:rFonts w:hint="eastAsia" w:ascii="仿宋" w:hAnsi="仿宋" w:eastAsia="仿宋" w:cs="仿宋"/>
          <w:b/>
          <w:color w:val="auto"/>
          <w:sz w:val="24"/>
        </w:rPr>
        <w:t>以本资料表为准</w:t>
      </w:r>
      <w:r>
        <w:rPr>
          <w:rFonts w:hint="eastAsia" w:ascii="仿宋" w:hAnsi="仿宋" w:eastAsia="仿宋" w:cs="仿宋"/>
          <w:color w:val="auto"/>
          <w:sz w:val="24"/>
        </w:rPr>
        <w:t>。</w:t>
      </w:r>
    </w:p>
    <w:tbl>
      <w:tblPr>
        <w:tblStyle w:val="37"/>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条款号</w:t>
            </w:r>
          </w:p>
        </w:tc>
        <w:tc>
          <w:tcPr>
            <w:tcW w:w="6840" w:type="dxa"/>
            <w:vAlign w:val="center"/>
          </w:tcPr>
          <w:p>
            <w:pPr>
              <w:spacing w:line="240" w:lineRule="atLeast"/>
              <w:ind w:left="1080" w:leftChars="257" w:hanging="540"/>
              <w:rPr>
                <w:rFonts w:ascii="仿宋" w:hAnsi="仿宋" w:eastAsia="仿宋" w:cs="仿宋"/>
                <w:b/>
                <w:color w:val="auto"/>
                <w:sz w:val="24"/>
              </w:rPr>
            </w:pPr>
            <w:r>
              <w:rPr>
                <w:rFonts w:hint="eastAsia" w:ascii="仿宋" w:hAnsi="仿宋" w:eastAsia="仿宋" w:cs="仿宋"/>
                <w:b/>
                <w:color w:val="auto"/>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1.1</w:t>
            </w:r>
          </w:p>
        </w:tc>
        <w:tc>
          <w:tcPr>
            <w:tcW w:w="6840" w:type="dxa"/>
            <w:vAlign w:val="center"/>
          </w:tcPr>
          <w:p>
            <w:pPr>
              <w:spacing w:line="240" w:lineRule="atLeast"/>
              <w:rPr>
                <w:rFonts w:hint="eastAsia" w:ascii="仿宋" w:hAnsi="仿宋" w:eastAsia="仿宋" w:cs="仿宋"/>
                <w:color w:val="auto"/>
                <w:lang w:eastAsia="zh-CN"/>
              </w:rPr>
            </w:pPr>
            <w:r>
              <w:rPr>
                <w:rFonts w:hint="eastAsia" w:ascii="仿宋" w:hAnsi="仿宋" w:eastAsia="仿宋" w:cs="仿宋"/>
                <w:color w:val="auto"/>
              </w:rPr>
              <w:t>采购人：</w:t>
            </w:r>
            <w:r>
              <w:rPr>
                <w:rFonts w:hint="eastAsia" w:ascii="仿宋" w:hAnsi="仿宋" w:eastAsia="仿宋" w:cs="仿宋"/>
                <w:color w:val="auto"/>
                <w:lang w:eastAsia="zh-CN"/>
              </w:rPr>
              <w:t>克孜勒苏柯尔克孜自治州自然资源局</w:t>
            </w:r>
          </w:p>
          <w:p>
            <w:pPr>
              <w:spacing w:line="240" w:lineRule="atLeast"/>
              <w:rPr>
                <w:rFonts w:hint="eastAsia" w:ascii="仿宋" w:hAnsi="仿宋" w:eastAsia="仿宋" w:cs="仿宋"/>
                <w:color w:val="auto"/>
              </w:rPr>
            </w:pPr>
            <w:r>
              <w:rPr>
                <w:rFonts w:hint="eastAsia" w:ascii="仿宋" w:hAnsi="仿宋" w:eastAsia="仿宋" w:cs="仿宋"/>
                <w:color w:val="auto"/>
              </w:rPr>
              <w:t>联系人：</w:t>
            </w:r>
            <w:r>
              <w:rPr>
                <w:rFonts w:hint="eastAsia" w:ascii="仿宋" w:hAnsi="仿宋" w:eastAsia="仿宋" w:cs="仿宋"/>
                <w:color w:val="auto"/>
                <w:lang w:val="en-US" w:eastAsia="zh-CN"/>
              </w:rPr>
              <w:t>樊有军</w:t>
            </w:r>
            <w:r>
              <w:rPr>
                <w:rFonts w:hint="eastAsia" w:ascii="仿宋" w:hAnsi="仿宋" w:eastAsia="仿宋" w:cs="仿宋"/>
                <w:color w:val="auto"/>
              </w:rPr>
              <w:t xml:space="preserve">     </w:t>
            </w:r>
          </w:p>
          <w:p>
            <w:pPr>
              <w:spacing w:line="240" w:lineRule="atLeast"/>
              <w:rPr>
                <w:rFonts w:hint="eastAsia" w:ascii="仿宋" w:hAnsi="仿宋" w:eastAsia="仿宋" w:cs="仿宋"/>
                <w:color w:val="auto"/>
              </w:rPr>
            </w:pPr>
            <w:r>
              <w:rPr>
                <w:rFonts w:hint="eastAsia" w:ascii="仿宋" w:hAnsi="仿宋" w:eastAsia="仿宋" w:cs="仿宋"/>
                <w:color w:val="auto"/>
              </w:rPr>
              <w:t>联系电话：0908-4225759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1.2</w:t>
            </w:r>
          </w:p>
        </w:tc>
        <w:tc>
          <w:tcPr>
            <w:tcW w:w="6840" w:type="dxa"/>
            <w:vAlign w:val="center"/>
          </w:tcPr>
          <w:p>
            <w:pPr>
              <w:spacing w:line="240" w:lineRule="atLeast"/>
              <w:rPr>
                <w:rFonts w:hint="eastAsia" w:ascii="仿宋" w:hAnsi="仿宋" w:eastAsia="仿宋" w:cs="仿宋"/>
                <w:color w:val="auto"/>
              </w:rPr>
            </w:pPr>
            <w:r>
              <w:rPr>
                <w:rFonts w:hint="eastAsia" w:ascii="仿宋" w:hAnsi="仿宋" w:eastAsia="仿宋" w:cs="仿宋"/>
                <w:color w:val="auto"/>
              </w:rPr>
              <w:t>采购代理机构： 新疆国源土地矿产资源交易中心（有限公司）</w:t>
            </w:r>
          </w:p>
          <w:p>
            <w:pPr>
              <w:spacing w:line="240" w:lineRule="atLeast"/>
              <w:rPr>
                <w:rFonts w:hint="eastAsia" w:ascii="仿宋" w:hAnsi="仿宋" w:eastAsia="仿宋" w:cs="仿宋"/>
                <w:color w:val="auto"/>
                <w:lang w:eastAsia="zh-CN"/>
              </w:rPr>
            </w:pPr>
            <w:r>
              <w:rPr>
                <w:rFonts w:hint="eastAsia" w:ascii="仿宋" w:hAnsi="仿宋" w:eastAsia="仿宋" w:cs="仿宋"/>
                <w:color w:val="auto"/>
              </w:rPr>
              <w:t>地址：</w:t>
            </w:r>
            <w:r>
              <w:rPr>
                <w:rFonts w:hint="eastAsia" w:ascii="仿宋" w:hAnsi="仿宋" w:eastAsia="仿宋" w:cs="仿宋"/>
                <w:color w:val="auto"/>
                <w:lang w:eastAsia="zh-CN"/>
              </w:rPr>
              <w:t>乌鲁木齐市新市区阜新街1号2号楼3楼</w:t>
            </w:r>
          </w:p>
          <w:p>
            <w:pPr>
              <w:spacing w:line="240" w:lineRule="atLeast"/>
              <w:rPr>
                <w:rFonts w:hint="eastAsia" w:ascii="仿宋" w:hAnsi="仿宋" w:eastAsia="仿宋" w:cs="仿宋"/>
                <w:color w:val="auto"/>
              </w:rPr>
            </w:pPr>
            <w:r>
              <w:rPr>
                <w:rFonts w:hint="eastAsia" w:ascii="仿宋" w:hAnsi="仿宋" w:eastAsia="仿宋" w:cs="仿宋"/>
                <w:color w:val="auto"/>
              </w:rPr>
              <w:t>业务联系人：</w:t>
            </w:r>
            <w:r>
              <w:rPr>
                <w:rFonts w:hint="eastAsia" w:ascii="仿宋" w:hAnsi="仿宋" w:eastAsia="仿宋" w:cs="仿宋"/>
                <w:color w:val="auto"/>
                <w:lang w:val="en-US" w:eastAsia="zh-CN"/>
              </w:rPr>
              <w:t xml:space="preserve">孙  丽     </w:t>
            </w:r>
            <w:r>
              <w:rPr>
                <w:rFonts w:hint="eastAsia" w:ascii="仿宋" w:hAnsi="仿宋" w:eastAsia="仿宋" w:cs="仿宋"/>
                <w:color w:val="auto"/>
              </w:rPr>
              <w:t xml:space="preserve">  电话：</w:t>
            </w:r>
            <w:r>
              <w:rPr>
                <w:rFonts w:hint="eastAsia" w:ascii="仿宋" w:hAnsi="仿宋" w:eastAsia="仿宋" w:cs="仿宋"/>
                <w:color w:val="auto"/>
                <w:lang w:val="en-US" w:eastAsia="zh-CN"/>
              </w:rPr>
              <w:t>0991-4846078 13579890451</w:t>
            </w:r>
            <w:r>
              <w:rPr>
                <w:rFonts w:hint="eastAsia" w:ascii="仿宋" w:hAnsi="仿宋" w:eastAsia="仿宋" w:cs="仿宋"/>
                <w:color w:val="auto"/>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1.3.4</w:t>
            </w:r>
          </w:p>
        </w:tc>
        <w:tc>
          <w:tcPr>
            <w:tcW w:w="6840" w:type="dxa"/>
            <w:vAlign w:val="center"/>
          </w:tcPr>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1.满足《中华人民共和国政府采购法》第二十二条规定：</w:t>
            </w:r>
          </w:p>
          <w:p>
            <w:pPr>
              <w:numPr>
                <w:ilvl w:val="0"/>
                <w:numId w:val="0"/>
              </w:numPr>
              <w:spacing w:line="240" w:lineRule="atLeast"/>
              <w:rPr>
                <w:rFonts w:hint="eastAsia" w:ascii="仿宋" w:hAnsi="仿宋" w:eastAsia="仿宋" w:cs="仿宋"/>
                <w:color w:val="auto"/>
                <w:lang w:eastAsia="zh-CN"/>
              </w:rPr>
            </w:pPr>
            <w:r>
              <w:rPr>
                <w:rFonts w:hint="eastAsia" w:ascii="仿宋" w:hAnsi="仿宋" w:eastAsia="仿宋" w:cs="仿宋"/>
                <w:color w:val="auto"/>
                <w:lang w:val="en-US" w:eastAsia="zh-CN"/>
              </w:rPr>
              <w:t>(1)</w:t>
            </w:r>
            <w:r>
              <w:rPr>
                <w:rFonts w:hint="eastAsia" w:ascii="仿宋" w:hAnsi="仿宋" w:eastAsia="仿宋" w:cs="仿宋"/>
                <w:color w:val="auto"/>
              </w:rPr>
              <w:t>有效的营业执照正本或副本</w:t>
            </w:r>
            <w:r>
              <w:rPr>
                <w:rFonts w:hint="eastAsia" w:ascii="仿宋" w:hAnsi="仿宋" w:eastAsia="仿宋" w:cs="仿宋"/>
                <w:color w:val="auto"/>
                <w:lang w:eastAsia="zh-CN"/>
              </w:rPr>
              <w:t>；</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(2)具有良好的商业信誉和健全的财务会计制度；</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(3)具有履行合同所必需的设备和专业技术能力；</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(4)</w:t>
            </w:r>
            <w:r>
              <w:rPr>
                <w:rFonts w:hint="eastAsia" w:ascii="仿宋" w:hAnsi="仿宋" w:eastAsia="仿宋" w:cs="仿宋"/>
                <w:color w:val="auto"/>
                <w:kern w:val="0"/>
                <w:sz w:val="22"/>
                <w:szCs w:val="22"/>
                <w:lang w:val="en-US" w:eastAsia="zh-CN"/>
              </w:rPr>
              <w:t>有依法缴纳税收和社会保障资金的良好记录；(需提供近期3个月社保部门出具的投标单位的缴纳社保证明和依法纳税的相关证明文件)</w:t>
            </w:r>
          </w:p>
          <w:p>
            <w:pPr>
              <w:numPr>
                <w:ilvl w:val="0"/>
                <w:numId w:val="0"/>
              </w:numPr>
              <w:spacing w:line="240" w:lineRule="atLeast"/>
              <w:rPr>
                <w:rFonts w:hint="default" w:ascii="仿宋" w:hAnsi="仿宋" w:eastAsia="仿宋" w:cs="仿宋"/>
                <w:color w:val="auto"/>
                <w:lang w:val="en-US" w:eastAsia="zh-CN"/>
              </w:rPr>
            </w:pPr>
            <w:r>
              <w:rPr>
                <w:rFonts w:hint="eastAsia" w:ascii="仿宋" w:hAnsi="仿宋" w:eastAsia="仿宋" w:cs="仿宋"/>
                <w:color w:val="auto"/>
                <w:lang w:val="en-US" w:eastAsia="zh-CN"/>
              </w:rPr>
              <w:t>(5)参加政府采购活动前三年内，在经营活动中没有重大违法记录承诺书</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2.落实政府采购政策需满足的资格要求：</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(1)《政府采购促进中小企业发展管理办法》（财库﹝2020﹞46号）及《关于进一步加大政府采购支持中小企业力度的通知》（财库〔2022〕19号）；</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(2)财政部、民政部、中国残疾人联合会《关于促进残疾人就业政府采购政策的通知》（财库[2017]141号）；</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(3)财政部、司法部《关于政府采购支持监狱企业发展有关问题的通知》（财库[2014]68号）；</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3.合格投标人的其他资格要求：</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(1)供应商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重大严重失信记录不得参加本项目（查询结果以代理公司开标现场核查为准）；</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(2)提供针对本次项目的反商业贿赂承诺书；</w:t>
            </w:r>
          </w:p>
          <w:p>
            <w:pPr>
              <w:numPr>
                <w:ilvl w:val="0"/>
                <w:numId w:val="0"/>
              </w:numPr>
              <w:spacing w:line="240" w:lineRule="atLeast"/>
              <w:rPr>
                <w:rFonts w:hint="default" w:ascii="仿宋" w:hAnsi="仿宋" w:eastAsia="仿宋" w:cs="仿宋"/>
                <w:color w:val="auto"/>
                <w:lang w:val="en-US" w:eastAsia="zh-CN"/>
              </w:rPr>
            </w:pPr>
            <w:r>
              <w:rPr>
                <w:rFonts w:hint="eastAsia" w:ascii="仿宋" w:hAnsi="仿宋" w:eastAsia="仿宋" w:cs="仿宋"/>
                <w:color w:val="auto"/>
                <w:lang w:val="en-US" w:eastAsia="zh-CN"/>
              </w:rPr>
              <w:t>(3)联合体协议书（如有）。</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4.本项目的特定资格要求：</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供应商投标标项一、二提供地质灾害治理工程勘查乙级（含乙级）以上资质；标项三、四提供地质灾害治理工程设计和施工乙级（含乙级）以上资质；标项五提供地质灾害治理工程勘查乙级（含乙级）以上资质并与设备供应商（一家或多家）组成联合体投标,所采购设备技术参数应符合《地质灾害监测预警通讯技术要求》和《地质灾害群专结合监测预警技术指南（试行）》；标项六提供地质灾害防治工程监理乙级（含乙级）以上资质。</w:t>
            </w:r>
          </w:p>
          <w:p>
            <w:pPr>
              <w:numPr>
                <w:ilvl w:val="0"/>
                <w:numId w:val="0"/>
              </w:numPr>
              <w:spacing w:line="240" w:lineRule="atLeast"/>
              <w:rPr>
                <w:color w:val="auto"/>
              </w:rPr>
            </w:pPr>
            <w:r>
              <w:rPr>
                <w:rFonts w:hint="eastAsia" w:ascii="仿宋" w:hAnsi="仿宋" w:eastAsia="仿宋" w:cs="仿宋"/>
                <w:color w:val="auto"/>
                <w:lang w:val="en-US" w:eastAsia="zh-CN"/>
              </w:rPr>
              <w:t>5.投标保证金缴纳凭证。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1.3.5</w:t>
            </w:r>
          </w:p>
        </w:tc>
        <w:tc>
          <w:tcPr>
            <w:tcW w:w="6840" w:type="dxa"/>
            <w:vAlign w:val="center"/>
          </w:tcPr>
          <w:p>
            <w:pPr>
              <w:spacing w:line="240" w:lineRule="atLeast"/>
              <w:rPr>
                <w:rFonts w:hint="default" w:ascii="仿宋" w:hAnsi="仿宋" w:eastAsia="仿宋" w:cs="仿宋"/>
                <w:color w:val="auto"/>
                <w:sz w:val="24"/>
                <w:lang w:val="en-US" w:eastAsia="zh-CN"/>
              </w:rPr>
            </w:pPr>
            <w:r>
              <w:rPr>
                <w:rFonts w:hint="eastAsia" w:ascii="仿宋" w:hAnsi="仿宋" w:eastAsia="仿宋" w:cs="仿宋"/>
                <w:color w:val="auto"/>
                <w:lang w:val="en-US" w:eastAsia="zh-CN"/>
              </w:rPr>
              <w:t xml:space="preserve">是否为专门面向中小企业采购： </w:t>
            </w:r>
            <w:r>
              <w:rPr>
                <w:rFonts w:hint="eastAsia" w:ascii="仿宋" w:hAnsi="仿宋" w:eastAsia="仿宋" w:cs="仿宋"/>
                <w:color w:val="auto"/>
                <w:u w:val="single"/>
              </w:rPr>
              <w:t>标项一</w:t>
            </w:r>
            <w:r>
              <w:rPr>
                <w:rFonts w:hint="eastAsia" w:ascii="仿宋" w:hAnsi="仿宋" w:eastAsia="仿宋" w:cs="仿宋"/>
                <w:color w:val="auto"/>
                <w:u w:val="single"/>
                <w:lang w:val="en-US" w:eastAsia="zh-CN"/>
              </w:rPr>
              <w:t>至标项五专门面向中小企业采购，标项六不专门面向中小企业采购。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1.4</w:t>
            </w:r>
          </w:p>
        </w:tc>
        <w:tc>
          <w:tcPr>
            <w:tcW w:w="6840" w:type="dxa"/>
            <w:vAlign w:val="center"/>
          </w:tcPr>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是否允许联合体投标：</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标项一、二、六</w:t>
            </w:r>
            <w:r>
              <w:rPr>
                <w:rFonts w:hint="eastAsia" w:ascii="仿宋" w:hAnsi="仿宋" w:eastAsia="仿宋" w:cs="仿宋"/>
                <w:color w:val="auto"/>
                <w:u w:val="single"/>
                <w:lang w:val="en-US" w:eastAsia="zh-CN"/>
              </w:rPr>
              <w:t>否</w:t>
            </w:r>
            <w:r>
              <w:rPr>
                <w:rFonts w:hint="eastAsia" w:ascii="仿宋" w:hAnsi="仿宋" w:eastAsia="仿宋" w:cs="仿宋"/>
                <w:color w:val="auto"/>
                <w:lang w:val="en-US" w:eastAsia="zh-CN"/>
              </w:rPr>
              <w:t>联合体投标，标项三、四、五</w:t>
            </w:r>
            <w:r>
              <w:rPr>
                <w:rFonts w:hint="eastAsia" w:ascii="仿宋" w:hAnsi="仿宋" w:eastAsia="仿宋" w:cs="仿宋"/>
                <w:color w:val="auto"/>
                <w:u w:val="single"/>
                <w:lang w:val="en-US" w:eastAsia="zh-CN"/>
              </w:rPr>
              <w:t>允许</w:t>
            </w:r>
            <w:r>
              <w:rPr>
                <w:rFonts w:hint="eastAsia" w:ascii="仿宋" w:hAnsi="仿宋" w:eastAsia="仿宋" w:cs="仿宋"/>
                <w:color w:val="auto"/>
                <w:lang w:val="en-US" w:eastAsia="zh-CN"/>
              </w:rPr>
              <w:t>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1.4.8</w:t>
            </w:r>
          </w:p>
        </w:tc>
        <w:tc>
          <w:tcPr>
            <w:tcW w:w="6840" w:type="dxa"/>
            <w:vAlign w:val="center"/>
          </w:tcPr>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联合体的其他资格要求：</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1.联合体投标的，应签订联合体投标协议书，确定联合牵头人并确定各方的权利和义务；项目牵头供应商为专业地质类单位；</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2.联合体需提供联合投标协议，明确各方分工。联合体各方均应当具备承担招标项目的相应能力，均应当具备规定的相应资格条件。联合体中标的，联合体各方应当共同与招标人签订合同，就中标项目向招标人承担连带责任。</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3.联合体成员签订联合体协议书后，不得再以自己的名义单独投标，也不得组成新的联合体或参加其他联合体在本项目中投标。</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4.组成联合体或者接受分包合同的中小企业与联合体内其他企业、分包企业之间不得存在直接控股、管理关系。</w:t>
            </w:r>
          </w:p>
          <w:p>
            <w:pPr>
              <w:numPr>
                <w:ilvl w:val="0"/>
                <w:numId w:val="0"/>
              </w:numPr>
              <w:spacing w:line="240" w:lineRule="atLeast"/>
              <w:rPr>
                <w:rFonts w:hint="eastAsia" w:ascii="仿宋" w:hAnsi="仿宋" w:eastAsia="仿宋" w:cs="仿宋"/>
                <w:color w:val="auto"/>
                <w:lang w:val="en-US" w:eastAsia="zh-CN"/>
              </w:rPr>
            </w:pPr>
            <w:r>
              <w:rPr>
                <w:rFonts w:hint="eastAsia" w:ascii="仿宋" w:hAnsi="仿宋" w:eastAsia="仿宋" w:cs="仿宋"/>
                <w:color w:val="auto"/>
                <w:lang w:val="en-US" w:eastAsia="zh-CN"/>
              </w:rPr>
              <w:t>5.以联合体形式参加政府采购活动，联合体各方均为中小企业的，联合体视同中小企业。其中联合体各方均为小微企业的，联合体视同小微企业。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2.2</w:t>
            </w:r>
          </w:p>
        </w:tc>
        <w:tc>
          <w:tcPr>
            <w:tcW w:w="6840" w:type="dxa"/>
            <w:vAlign w:val="center"/>
          </w:tcPr>
          <w:p>
            <w:pPr>
              <w:spacing w:line="240" w:lineRule="atLeast"/>
              <w:rPr>
                <w:rFonts w:hint="eastAsia" w:ascii="仿宋" w:hAnsi="仿宋" w:eastAsia="仿宋" w:cs="仿宋"/>
                <w:color w:val="auto"/>
              </w:rPr>
            </w:pPr>
            <w:r>
              <w:rPr>
                <w:rFonts w:hint="eastAsia" w:ascii="仿宋" w:hAnsi="仿宋" w:eastAsia="仿宋" w:cs="仿宋"/>
                <w:color w:val="auto"/>
              </w:rPr>
              <w:t>项目总预算金额</w:t>
            </w:r>
            <w:r>
              <w:rPr>
                <w:rFonts w:hint="eastAsia" w:ascii="仿宋" w:hAnsi="仿宋" w:eastAsia="仿宋" w:cs="仿宋"/>
                <w:color w:val="auto"/>
                <w:lang w:val="en-US" w:eastAsia="zh-CN"/>
              </w:rPr>
              <w:t>人民币</w:t>
            </w:r>
            <w:r>
              <w:rPr>
                <w:rFonts w:hint="eastAsia" w:ascii="仿宋" w:hAnsi="仿宋" w:eastAsia="仿宋" w:cs="仿宋"/>
                <w:color w:val="auto"/>
              </w:rPr>
              <w:t>：12300000万元；</w:t>
            </w:r>
          </w:p>
          <w:p>
            <w:pPr>
              <w:spacing w:line="240" w:lineRule="atLeast"/>
              <w:rPr>
                <w:rFonts w:hint="eastAsia" w:ascii="仿宋" w:hAnsi="仿宋" w:eastAsia="仿宋" w:cs="仿宋"/>
                <w:color w:val="auto"/>
              </w:rPr>
            </w:pPr>
            <w:r>
              <w:rPr>
                <w:rFonts w:hint="eastAsia" w:ascii="仿宋" w:hAnsi="仿宋" w:eastAsia="仿宋" w:cs="仿宋"/>
                <w:color w:val="auto"/>
              </w:rPr>
              <w:t>标项一：预算金额</w:t>
            </w:r>
            <w:r>
              <w:rPr>
                <w:rFonts w:hint="eastAsia" w:ascii="仿宋" w:hAnsi="仿宋" w:eastAsia="仿宋" w:cs="仿宋"/>
                <w:color w:val="auto"/>
                <w:lang w:val="en-US" w:eastAsia="zh-CN"/>
              </w:rPr>
              <w:t>人民币</w:t>
            </w:r>
            <w:r>
              <w:rPr>
                <w:rFonts w:hint="eastAsia" w:ascii="仿宋" w:hAnsi="仿宋" w:eastAsia="仿宋" w:cs="仿宋"/>
                <w:color w:val="auto"/>
              </w:rPr>
              <w:t>：130万元；最高限价</w:t>
            </w:r>
            <w:r>
              <w:rPr>
                <w:rFonts w:hint="eastAsia" w:ascii="仿宋" w:hAnsi="仿宋" w:eastAsia="仿宋" w:cs="仿宋"/>
                <w:color w:val="auto"/>
                <w:lang w:val="en-US" w:eastAsia="zh-CN"/>
              </w:rPr>
              <w:t>人民币</w:t>
            </w:r>
            <w:r>
              <w:rPr>
                <w:rFonts w:hint="eastAsia" w:ascii="仿宋" w:hAnsi="仿宋" w:eastAsia="仿宋" w:cs="仿宋"/>
                <w:color w:val="auto"/>
              </w:rPr>
              <w:t>：130万元</w:t>
            </w:r>
          </w:p>
          <w:p>
            <w:pPr>
              <w:spacing w:line="240" w:lineRule="atLeast"/>
              <w:rPr>
                <w:rFonts w:hint="eastAsia" w:ascii="仿宋" w:hAnsi="仿宋" w:eastAsia="仿宋" w:cs="仿宋"/>
                <w:color w:val="auto"/>
              </w:rPr>
            </w:pPr>
            <w:r>
              <w:rPr>
                <w:rFonts w:hint="eastAsia" w:ascii="仿宋" w:hAnsi="仿宋" w:eastAsia="仿宋" w:cs="仿宋"/>
                <w:color w:val="auto"/>
              </w:rPr>
              <w:t>标项二：预算金额</w:t>
            </w:r>
            <w:r>
              <w:rPr>
                <w:rFonts w:hint="eastAsia" w:ascii="仿宋" w:hAnsi="仿宋" w:eastAsia="仿宋" w:cs="仿宋"/>
                <w:color w:val="auto"/>
                <w:lang w:val="en-US" w:eastAsia="zh-CN"/>
              </w:rPr>
              <w:t>人民币</w:t>
            </w:r>
            <w:r>
              <w:rPr>
                <w:rFonts w:hint="eastAsia" w:ascii="仿宋" w:hAnsi="仿宋" w:eastAsia="仿宋" w:cs="仿宋"/>
                <w:color w:val="auto"/>
              </w:rPr>
              <w:t>：1</w:t>
            </w:r>
            <w:r>
              <w:rPr>
                <w:rFonts w:hint="eastAsia" w:ascii="仿宋" w:hAnsi="仿宋" w:eastAsia="仿宋" w:cs="仿宋"/>
                <w:color w:val="auto"/>
                <w:lang w:val="en-US" w:eastAsia="zh-CN"/>
              </w:rPr>
              <w:t>3</w:t>
            </w:r>
            <w:r>
              <w:rPr>
                <w:rFonts w:hint="eastAsia" w:ascii="仿宋" w:hAnsi="仿宋" w:eastAsia="仿宋" w:cs="仿宋"/>
                <w:color w:val="auto"/>
              </w:rPr>
              <w:t>0万元；最高限价</w:t>
            </w:r>
            <w:r>
              <w:rPr>
                <w:rFonts w:hint="eastAsia" w:ascii="仿宋" w:hAnsi="仿宋" w:eastAsia="仿宋" w:cs="仿宋"/>
                <w:color w:val="auto"/>
                <w:lang w:val="en-US" w:eastAsia="zh-CN"/>
              </w:rPr>
              <w:t>人民币</w:t>
            </w:r>
            <w:r>
              <w:rPr>
                <w:rFonts w:hint="eastAsia" w:ascii="仿宋" w:hAnsi="仿宋" w:eastAsia="仿宋" w:cs="仿宋"/>
                <w:color w:val="auto"/>
              </w:rPr>
              <w:t>：1</w:t>
            </w:r>
            <w:r>
              <w:rPr>
                <w:rFonts w:hint="eastAsia" w:ascii="仿宋" w:hAnsi="仿宋" w:eastAsia="仿宋" w:cs="仿宋"/>
                <w:color w:val="auto"/>
                <w:lang w:val="en-US" w:eastAsia="zh-CN"/>
              </w:rPr>
              <w:t>3</w:t>
            </w:r>
            <w:r>
              <w:rPr>
                <w:rFonts w:hint="eastAsia" w:ascii="仿宋" w:hAnsi="仿宋" w:eastAsia="仿宋" w:cs="仿宋"/>
                <w:color w:val="auto"/>
              </w:rPr>
              <w:t>0万元</w:t>
            </w:r>
          </w:p>
          <w:p>
            <w:pPr>
              <w:spacing w:line="240" w:lineRule="atLeast"/>
              <w:rPr>
                <w:rFonts w:hint="eastAsia" w:ascii="仿宋" w:hAnsi="仿宋" w:eastAsia="仿宋" w:cs="仿宋"/>
                <w:color w:val="auto"/>
              </w:rPr>
            </w:pPr>
            <w:r>
              <w:rPr>
                <w:rFonts w:hint="eastAsia" w:ascii="仿宋" w:hAnsi="仿宋" w:eastAsia="仿宋" w:cs="仿宋"/>
                <w:color w:val="auto"/>
              </w:rPr>
              <w:t>标项三：预算金额</w:t>
            </w:r>
            <w:r>
              <w:rPr>
                <w:rFonts w:hint="eastAsia" w:ascii="仿宋" w:hAnsi="仿宋" w:eastAsia="仿宋" w:cs="仿宋"/>
                <w:color w:val="auto"/>
                <w:lang w:val="en-US" w:eastAsia="zh-CN"/>
              </w:rPr>
              <w:t>人民币</w:t>
            </w:r>
            <w:r>
              <w:rPr>
                <w:rFonts w:hint="eastAsia" w:ascii="仿宋" w:hAnsi="仿宋" w:eastAsia="仿宋" w:cs="仿宋"/>
                <w:color w:val="auto"/>
              </w:rPr>
              <w:t>：</w:t>
            </w:r>
            <w:r>
              <w:rPr>
                <w:rFonts w:hint="eastAsia" w:ascii="仿宋" w:hAnsi="仿宋" w:eastAsia="仿宋" w:cs="仿宋"/>
                <w:color w:val="auto"/>
                <w:lang w:val="en-US" w:eastAsia="zh-CN"/>
              </w:rPr>
              <w:t>444.7</w:t>
            </w:r>
            <w:r>
              <w:rPr>
                <w:rFonts w:hint="eastAsia" w:ascii="仿宋" w:hAnsi="仿宋" w:eastAsia="仿宋" w:cs="仿宋"/>
                <w:color w:val="auto"/>
              </w:rPr>
              <w:t>万元；最高限价</w:t>
            </w:r>
            <w:r>
              <w:rPr>
                <w:rFonts w:hint="eastAsia" w:ascii="仿宋" w:hAnsi="仿宋" w:eastAsia="仿宋" w:cs="仿宋"/>
                <w:color w:val="auto"/>
                <w:lang w:val="en-US" w:eastAsia="zh-CN"/>
              </w:rPr>
              <w:t>人民币</w:t>
            </w:r>
            <w:r>
              <w:rPr>
                <w:rFonts w:hint="eastAsia" w:ascii="仿宋" w:hAnsi="仿宋" w:eastAsia="仿宋" w:cs="仿宋"/>
                <w:color w:val="auto"/>
              </w:rPr>
              <w:t>：</w:t>
            </w:r>
            <w:r>
              <w:rPr>
                <w:rFonts w:hint="eastAsia" w:ascii="仿宋" w:hAnsi="仿宋" w:eastAsia="仿宋" w:cs="仿宋"/>
                <w:color w:val="auto"/>
                <w:lang w:val="en-US" w:eastAsia="zh-CN"/>
              </w:rPr>
              <w:t>444.7</w:t>
            </w:r>
            <w:r>
              <w:rPr>
                <w:rFonts w:hint="eastAsia" w:ascii="仿宋" w:hAnsi="仿宋" w:eastAsia="仿宋" w:cs="仿宋"/>
                <w:color w:val="auto"/>
              </w:rPr>
              <w:t>万元</w:t>
            </w:r>
          </w:p>
          <w:p>
            <w:pPr>
              <w:spacing w:line="240" w:lineRule="atLeast"/>
              <w:rPr>
                <w:rFonts w:hint="eastAsia" w:ascii="仿宋" w:hAnsi="仿宋" w:eastAsia="仿宋" w:cs="仿宋"/>
                <w:color w:val="auto"/>
              </w:rPr>
            </w:pPr>
            <w:r>
              <w:rPr>
                <w:rFonts w:hint="eastAsia" w:ascii="仿宋" w:hAnsi="仿宋" w:eastAsia="仿宋" w:cs="仿宋"/>
                <w:color w:val="auto"/>
              </w:rPr>
              <w:t>标项四：预算金额</w:t>
            </w:r>
            <w:r>
              <w:rPr>
                <w:rFonts w:hint="eastAsia" w:ascii="仿宋" w:hAnsi="仿宋" w:eastAsia="仿宋" w:cs="仿宋"/>
                <w:color w:val="auto"/>
                <w:lang w:val="en-US" w:eastAsia="zh-CN"/>
              </w:rPr>
              <w:t>人民币</w:t>
            </w:r>
            <w:r>
              <w:rPr>
                <w:rFonts w:hint="eastAsia" w:ascii="仿宋" w:hAnsi="仿宋" w:eastAsia="仿宋" w:cs="仿宋"/>
                <w:color w:val="auto"/>
              </w:rPr>
              <w:t>：</w:t>
            </w:r>
            <w:r>
              <w:rPr>
                <w:rFonts w:hint="eastAsia" w:ascii="仿宋" w:hAnsi="仿宋" w:eastAsia="仿宋" w:cs="仿宋"/>
                <w:color w:val="auto"/>
                <w:lang w:val="en-US" w:eastAsia="zh-CN"/>
              </w:rPr>
              <w:t>396.2</w:t>
            </w:r>
            <w:r>
              <w:rPr>
                <w:rFonts w:hint="eastAsia" w:ascii="仿宋" w:hAnsi="仿宋" w:eastAsia="仿宋" w:cs="仿宋"/>
                <w:color w:val="auto"/>
              </w:rPr>
              <w:t>万元；最高限价</w:t>
            </w:r>
            <w:r>
              <w:rPr>
                <w:rFonts w:hint="eastAsia" w:ascii="仿宋" w:hAnsi="仿宋" w:eastAsia="仿宋" w:cs="仿宋"/>
                <w:color w:val="auto"/>
                <w:lang w:val="en-US" w:eastAsia="zh-CN"/>
              </w:rPr>
              <w:t>人民币</w:t>
            </w:r>
            <w:r>
              <w:rPr>
                <w:rFonts w:hint="eastAsia" w:ascii="仿宋" w:hAnsi="仿宋" w:eastAsia="仿宋" w:cs="仿宋"/>
                <w:color w:val="auto"/>
              </w:rPr>
              <w:t>：</w:t>
            </w:r>
            <w:r>
              <w:rPr>
                <w:rFonts w:hint="eastAsia" w:ascii="仿宋" w:hAnsi="仿宋" w:eastAsia="仿宋" w:cs="仿宋"/>
                <w:color w:val="auto"/>
                <w:lang w:val="en-US" w:eastAsia="zh-CN"/>
              </w:rPr>
              <w:t>396.2</w:t>
            </w:r>
            <w:r>
              <w:rPr>
                <w:rFonts w:hint="eastAsia" w:ascii="仿宋" w:hAnsi="仿宋" w:eastAsia="仿宋" w:cs="仿宋"/>
                <w:color w:val="auto"/>
              </w:rPr>
              <w:t>万元</w:t>
            </w:r>
          </w:p>
          <w:p>
            <w:pPr>
              <w:spacing w:line="240" w:lineRule="atLeast"/>
              <w:rPr>
                <w:rFonts w:hint="eastAsia" w:ascii="仿宋" w:hAnsi="仿宋" w:eastAsia="仿宋" w:cs="仿宋"/>
                <w:color w:val="auto"/>
              </w:rPr>
            </w:pPr>
            <w:r>
              <w:rPr>
                <w:rFonts w:hint="eastAsia" w:ascii="仿宋" w:hAnsi="仿宋" w:eastAsia="仿宋" w:cs="仿宋"/>
                <w:color w:val="auto"/>
              </w:rPr>
              <w:t>标项</w:t>
            </w:r>
            <w:r>
              <w:rPr>
                <w:rFonts w:hint="eastAsia" w:ascii="仿宋" w:hAnsi="仿宋" w:eastAsia="仿宋" w:cs="仿宋"/>
                <w:color w:val="auto"/>
                <w:lang w:val="en-US" w:eastAsia="zh-CN"/>
              </w:rPr>
              <w:t>五</w:t>
            </w:r>
            <w:r>
              <w:rPr>
                <w:rFonts w:hint="eastAsia" w:ascii="仿宋" w:hAnsi="仿宋" w:eastAsia="仿宋" w:cs="仿宋"/>
                <w:color w:val="auto"/>
              </w:rPr>
              <w:t>：预算金额</w:t>
            </w:r>
            <w:r>
              <w:rPr>
                <w:rFonts w:hint="eastAsia" w:ascii="仿宋" w:hAnsi="仿宋" w:eastAsia="仿宋" w:cs="仿宋"/>
                <w:color w:val="auto"/>
                <w:lang w:val="en-US" w:eastAsia="zh-CN"/>
              </w:rPr>
              <w:t>人民币</w:t>
            </w:r>
            <w:r>
              <w:rPr>
                <w:rFonts w:hint="eastAsia" w:ascii="仿宋" w:hAnsi="仿宋" w:eastAsia="仿宋" w:cs="仿宋"/>
                <w:color w:val="auto"/>
              </w:rPr>
              <w:t>：</w:t>
            </w:r>
            <w:r>
              <w:rPr>
                <w:rFonts w:hint="eastAsia" w:ascii="仿宋" w:hAnsi="仿宋" w:eastAsia="仿宋" w:cs="仿宋"/>
                <w:color w:val="auto"/>
                <w:lang w:val="en-US" w:eastAsia="zh-CN"/>
              </w:rPr>
              <w:t>95.0</w:t>
            </w:r>
            <w:r>
              <w:rPr>
                <w:rFonts w:hint="eastAsia" w:ascii="仿宋" w:hAnsi="仿宋" w:eastAsia="仿宋" w:cs="仿宋"/>
                <w:color w:val="auto"/>
              </w:rPr>
              <w:t>万元；最高限价</w:t>
            </w:r>
            <w:r>
              <w:rPr>
                <w:rFonts w:hint="eastAsia" w:ascii="仿宋" w:hAnsi="仿宋" w:eastAsia="仿宋" w:cs="仿宋"/>
                <w:color w:val="auto"/>
                <w:lang w:val="en-US" w:eastAsia="zh-CN"/>
              </w:rPr>
              <w:t>人民币</w:t>
            </w:r>
            <w:r>
              <w:rPr>
                <w:rFonts w:hint="eastAsia" w:ascii="仿宋" w:hAnsi="仿宋" w:eastAsia="仿宋" w:cs="仿宋"/>
                <w:color w:val="auto"/>
              </w:rPr>
              <w:t>：</w:t>
            </w:r>
            <w:r>
              <w:rPr>
                <w:rFonts w:hint="eastAsia" w:ascii="仿宋" w:hAnsi="仿宋" w:eastAsia="仿宋" w:cs="仿宋"/>
                <w:color w:val="auto"/>
                <w:lang w:val="en-US" w:eastAsia="zh-CN"/>
              </w:rPr>
              <w:t>95.0</w:t>
            </w:r>
            <w:r>
              <w:rPr>
                <w:rFonts w:hint="eastAsia" w:ascii="仿宋" w:hAnsi="仿宋" w:eastAsia="仿宋" w:cs="仿宋"/>
                <w:color w:val="auto"/>
              </w:rPr>
              <w:t>万元</w:t>
            </w:r>
          </w:p>
          <w:p>
            <w:pPr>
              <w:spacing w:line="240" w:lineRule="atLeast"/>
              <w:rPr>
                <w:rFonts w:hint="eastAsia" w:ascii="仿宋" w:hAnsi="仿宋" w:eastAsia="仿宋" w:cs="仿宋"/>
                <w:color w:val="auto"/>
              </w:rPr>
            </w:pPr>
            <w:r>
              <w:rPr>
                <w:rFonts w:hint="eastAsia" w:ascii="仿宋" w:hAnsi="仿宋" w:eastAsia="仿宋" w:cs="仿宋"/>
                <w:color w:val="auto"/>
              </w:rPr>
              <w:t>标项</w:t>
            </w:r>
            <w:r>
              <w:rPr>
                <w:rFonts w:hint="eastAsia" w:ascii="仿宋" w:hAnsi="仿宋" w:eastAsia="仿宋" w:cs="仿宋"/>
                <w:color w:val="auto"/>
                <w:lang w:val="en-US" w:eastAsia="zh-CN"/>
              </w:rPr>
              <w:t>六</w:t>
            </w:r>
            <w:r>
              <w:rPr>
                <w:rFonts w:hint="eastAsia" w:ascii="仿宋" w:hAnsi="仿宋" w:eastAsia="仿宋" w:cs="仿宋"/>
                <w:color w:val="auto"/>
              </w:rPr>
              <w:t>：预算金额</w:t>
            </w:r>
            <w:r>
              <w:rPr>
                <w:rFonts w:hint="eastAsia" w:ascii="仿宋" w:hAnsi="仿宋" w:eastAsia="仿宋" w:cs="仿宋"/>
                <w:color w:val="auto"/>
                <w:lang w:val="en-US" w:eastAsia="zh-CN"/>
              </w:rPr>
              <w:t>人民币</w:t>
            </w:r>
            <w:r>
              <w:rPr>
                <w:rFonts w:hint="eastAsia" w:ascii="仿宋" w:hAnsi="仿宋" w:eastAsia="仿宋" w:cs="仿宋"/>
                <w:color w:val="auto"/>
              </w:rPr>
              <w:t>：</w:t>
            </w:r>
            <w:r>
              <w:rPr>
                <w:rFonts w:hint="eastAsia" w:ascii="仿宋" w:hAnsi="仿宋" w:eastAsia="仿宋" w:cs="仿宋"/>
                <w:color w:val="auto"/>
                <w:lang w:val="en-US" w:eastAsia="zh-CN"/>
              </w:rPr>
              <w:t>34.10</w:t>
            </w:r>
            <w:r>
              <w:rPr>
                <w:rFonts w:hint="eastAsia" w:ascii="仿宋" w:hAnsi="仿宋" w:eastAsia="仿宋" w:cs="仿宋"/>
                <w:color w:val="auto"/>
              </w:rPr>
              <w:t>万元；最高限价</w:t>
            </w:r>
            <w:r>
              <w:rPr>
                <w:rFonts w:hint="eastAsia" w:ascii="仿宋" w:hAnsi="仿宋" w:eastAsia="仿宋" w:cs="仿宋"/>
                <w:color w:val="auto"/>
                <w:lang w:val="en-US" w:eastAsia="zh-CN"/>
              </w:rPr>
              <w:t>人民币</w:t>
            </w:r>
            <w:r>
              <w:rPr>
                <w:rFonts w:hint="eastAsia" w:ascii="仿宋" w:hAnsi="仿宋" w:eastAsia="仿宋" w:cs="仿宋"/>
                <w:color w:val="auto"/>
              </w:rPr>
              <w:t>：</w:t>
            </w:r>
            <w:r>
              <w:rPr>
                <w:rFonts w:hint="eastAsia" w:ascii="仿宋" w:hAnsi="仿宋" w:eastAsia="仿宋" w:cs="仿宋"/>
                <w:color w:val="auto"/>
                <w:lang w:val="en-US" w:eastAsia="zh-CN"/>
              </w:rPr>
              <w:t>34.10</w:t>
            </w:r>
            <w:r>
              <w:rPr>
                <w:rFonts w:hint="eastAsia" w:ascii="仿宋" w:hAnsi="仿宋" w:eastAsia="仿宋" w:cs="仿宋"/>
                <w:color w:val="auto"/>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12</w:t>
            </w:r>
          </w:p>
        </w:tc>
        <w:tc>
          <w:tcPr>
            <w:tcW w:w="6840" w:type="dxa"/>
            <w:vAlign w:val="center"/>
          </w:tcPr>
          <w:p>
            <w:pPr>
              <w:pStyle w:val="11"/>
              <w:ind w:firstLine="0"/>
              <w:rPr>
                <w:rFonts w:ascii="仿宋" w:hAnsi="仿宋" w:eastAsia="仿宋" w:cs="仿宋"/>
                <w:color w:val="auto"/>
                <w:kern w:val="2"/>
                <w:szCs w:val="24"/>
              </w:rPr>
            </w:pPr>
            <w:r>
              <w:rPr>
                <w:rFonts w:hint="eastAsia" w:ascii="仿宋" w:hAnsi="仿宋" w:eastAsia="仿宋" w:cs="仿宋"/>
                <w:color w:val="auto"/>
                <w:kern w:val="2"/>
                <w:szCs w:val="24"/>
              </w:rPr>
              <w:t>投标保证金形式：</w:t>
            </w:r>
            <w:r>
              <w:rPr>
                <w:rFonts w:hint="eastAsia" w:ascii="仿宋" w:hAnsi="仿宋" w:eastAsia="仿宋" w:cs="仿宋"/>
                <w:color w:val="auto"/>
              </w:rPr>
              <w:t>☑对公转账☑保函  ☑保单☑电汇</w:t>
            </w:r>
          </w:p>
          <w:p>
            <w:pPr>
              <w:rPr>
                <w:rFonts w:hint="eastAsia" w:ascii="仿宋" w:hAnsi="仿宋" w:eastAsia="仿宋" w:cs="仿宋"/>
                <w:color w:val="auto"/>
                <w:sz w:val="24"/>
              </w:rPr>
            </w:pPr>
            <w:r>
              <w:rPr>
                <w:rFonts w:hint="eastAsia" w:ascii="仿宋" w:hAnsi="仿宋" w:eastAsia="仿宋" w:cs="仿宋"/>
                <w:color w:val="auto"/>
                <w:sz w:val="24"/>
              </w:rPr>
              <w:t>保证金数额：标项一：</w:t>
            </w:r>
            <w:r>
              <w:rPr>
                <w:rFonts w:hint="eastAsia" w:ascii="仿宋" w:hAnsi="仿宋" w:eastAsia="仿宋" w:cs="仿宋"/>
                <w:color w:val="auto"/>
                <w:sz w:val="24"/>
                <w:lang w:val="en-US" w:eastAsia="zh-CN"/>
              </w:rPr>
              <w:t>人民币</w:t>
            </w:r>
            <w:r>
              <w:rPr>
                <w:rFonts w:hint="eastAsia" w:ascii="仿宋" w:hAnsi="仿宋" w:eastAsia="仿宋" w:cs="仿宋"/>
                <w:color w:val="auto"/>
                <w:sz w:val="24"/>
              </w:rPr>
              <w:t>2.</w:t>
            </w:r>
            <w:r>
              <w:rPr>
                <w:rFonts w:hint="eastAsia" w:ascii="仿宋" w:hAnsi="仿宋" w:eastAsia="仿宋" w:cs="仿宋"/>
                <w:color w:val="auto"/>
                <w:sz w:val="24"/>
                <w:lang w:val="en-US" w:eastAsia="zh-CN"/>
              </w:rPr>
              <w:t>5</w:t>
            </w:r>
            <w:r>
              <w:rPr>
                <w:rFonts w:hint="eastAsia" w:ascii="仿宋" w:hAnsi="仿宋" w:eastAsia="仿宋" w:cs="仿宋"/>
                <w:color w:val="auto"/>
                <w:sz w:val="24"/>
              </w:rPr>
              <w:t>万元；标项二：</w:t>
            </w:r>
            <w:r>
              <w:rPr>
                <w:rFonts w:hint="eastAsia" w:ascii="仿宋" w:hAnsi="仿宋" w:eastAsia="仿宋" w:cs="仿宋"/>
                <w:color w:val="auto"/>
                <w:sz w:val="24"/>
                <w:lang w:val="en-US" w:eastAsia="zh-CN"/>
              </w:rPr>
              <w:t>人民币</w:t>
            </w:r>
            <w:r>
              <w:rPr>
                <w:rFonts w:hint="eastAsia" w:ascii="仿宋" w:hAnsi="仿宋" w:eastAsia="仿宋" w:cs="仿宋"/>
                <w:color w:val="auto"/>
                <w:sz w:val="24"/>
              </w:rPr>
              <w:t>2.</w:t>
            </w:r>
            <w:r>
              <w:rPr>
                <w:rFonts w:hint="eastAsia" w:ascii="仿宋" w:hAnsi="仿宋" w:eastAsia="仿宋" w:cs="仿宋"/>
                <w:color w:val="auto"/>
                <w:sz w:val="24"/>
                <w:lang w:val="en-US" w:eastAsia="zh-CN"/>
              </w:rPr>
              <w:t>5</w:t>
            </w:r>
            <w:r>
              <w:rPr>
                <w:rFonts w:hint="eastAsia" w:ascii="仿宋" w:hAnsi="仿宋" w:eastAsia="仿宋" w:cs="仿宋"/>
                <w:color w:val="auto"/>
                <w:sz w:val="24"/>
              </w:rPr>
              <w:t>万元；标项三：</w:t>
            </w:r>
            <w:r>
              <w:rPr>
                <w:rFonts w:hint="eastAsia" w:ascii="仿宋" w:hAnsi="仿宋" w:eastAsia="仿宋" w:cs="仿宋"/>
                <w:color w:val="auto"/>
                <w:sz w:val="24"/>
                <w:lang w:val="en-US" w:eastAsia="zh-CN"/>
              </w:rPr>
              <w:t>人民币8.5</w:t>
            </w:r>
            <w:r>
              <w:rPr>
                <w:rFonts w:hint="eastAsia" w:ascii="仿宋" w:hAnsi="仿宋" w:eastAsia="仿宋" w:cs="仿宋"/>
                <w:color w:val="auto"/>
                <w:sz w:val="24"/>
              </w:rPr>
              <w:t>万元；标项四：</w:t>
            </w:r>
            <w:r>
              <w:rPr>
                <w:rFonts w:hint="eastAsia" w:ascii="仿宋" w:hAnsi="仿宋" w:eastAsia="仿宋" w:cs="仿宋"/>
                <w:color w:val="auto"/>
                <w:sz w:val="24"/>
                <w:lang w:val="en-US" w:eastAsia="zh-CN"/>
              </w:rPr>
              <w:t>人民币7.5</w:t>
            </w:r>
            <w:r>
              <w:rPr>
                <w:rFonts w:hint="eastAsia" w:ascii="仿宋" w:hAnsi="仿宋" w:eastAsia="仿宋" w:cs="仿宋"/>
                <w:color w:val="auto"/>
                <w:sz w:val="24"/>
              </w:rPr>
              <w:t>万元</w:t>
            </w:r>
            <w:r>
              <w:rPr>
                <w:rFonts w:hint="eastAsia" w:ascii="仿宋" w:hAnsi="仿宋" w:eastAsia="仿宋" w:cs="仿宋"/>
                <w:color w:val="auto"/>
                <w:sz w:val="24"/>
                <w:lang w:eastAsia="zh-CN"/>
              </w:rPr>
              <w:t>；</w:t>
            </w:r>
            <w:r>
              <w:rPr>
                <w:rFonts w:hint="eastAsia" w:ascii="仿宋" w:hAnsi="仿宋" w:eastAsia="仿宋" w:cs="仿宋"/>
                <w:color w:val="auto"/>
                <w:sz w:val="24"/>
              </w:rPr>
              <w:t>标项</w:t>
            </w:r>
            <w:r>
              <w:rPr>
                <w:rFonts w:hint="eastAsia" w:ascii="仿宋" w:hAnsi="仿宋" w:eastAsia="仿宋" w:cs="仿宋"/>
                <w:color w:val="auto"/>
                <w:sz w:val="24"/>
                <w:lang w:val="en-US" w:eastAsia="zh-CN"/>
              </w:rPr>
              <w:t>五</w:t>
            </w:r>
            <w:r>
              <w:rPr>
                <w:rFonts w:hint="eastAsia" w:ascii="仿宋" w:hAnsi="仿宋" w:eastAsia="仿宋" w:cs="仿宋"/>
                <w:color w:val="auto"/>
                <w:sz w:val="24"/>
              </w:rPr>
              <w:t>：</w:t>
            </w:r>
            <w:r>
              <w:rPr>
                <w:rFonts w:hint="eastAsia" w:ascii="仿宋" w:hAnsi="仿宋" w:eastAsia="仿宋" w:cs="仿宋"/>
                <w:color w:val="auto"/>
                <w:sz w:val="24"/>
                <w:lang w:val="en-US" w:eastAsia="zh-CN"/>
              </w:rPr>
              <w:t>人民币1.5</w:t>
            </w:r>
            <w:r>
              <w:rPr>
                <w:rFonts w:hint="eastAsia" w:ascii="仿宋" w:hAnsi="仿宋" w:eastAsia="仿宋" w:cs="仿宋"/>
                <w:color w:val="auto"/>
                <w:sz w:val="24"/>
              </w:rPr>
              <w:t>万元</w:t>
            </w:r>
            <w:r>
              <w:rPr>
                <w:rFonts w:hint="eastAsia" w:ascii="仿宋" w:hAnsi="仿宋" w:eastAsia="仿宋" w:cs="仿宋"/>
                <w:color w:val="auto"/>
                <w:sz w:val="24"/>
                <w:lang w:eastAsia="zh-CN"/>
              </w:rPr>
              <w:t>；</w:t>
            </w:r>
            <w:r>
              <w:rPr>
                <w:rFonts w:hint="eastAsia" w:ascii="仿宋" w:hAnsi="仿宋" w:eastAsia="仿宋" w:cs="仿宋"/>
                <w:color w:val="auto"/>
                <w:sz w:val="24"/>
              </w:rPr>
              <w:t>标项</w:t>
            </w:r>
            <w:r>
              <w:rPr>
                <w:rFonts w:hint="eastAsia" w:ascii="仿宋" w:hAnsi="仿宋" w:eastAsia="仿宋" w:cs="仿宋"/>
                <w:color w:val="auto"/>
                <w:sz w:val="24"/>
                <w:lang w:val="en-US" w:eastAsia="zh-CN"/>
              </w:rPr>
              <w:t>六</w:t>
            </w:r>
            <w:r>
              <w:rPr>
                <w:rFonts w:hint="eastAsia" w:ascii="仿宋" w:hAnsi="仿宋" w:eastAsia="仿宋" w:cs="仿宋"/>
                <w:color w:val="auto"/>
                <w:sz w:val="24"/>
              </w:rPr>
              <w:t>：</w:t>
            </w:r>
            <w:r>
              <w:rPr>
                <w:rFonts w:hint="eastAsia" w:ascii="仿宋" w:hAnsi="仿宋" w:eastAsia="仿宋" w:cs="仿宋"/>
                <w:color w:val="auto"/>
                <w:sz w:val="24"/>
                <w:lang w:val="en-US" w:eastAsia="zh-CN"/>
              </w:rPr>
              <w:t>人民币0.6</w:t>
            </w:r>
            <w:r>
              <w:rPr>
                <w:rFonts w:hint="eastAsia" w:ascii="仿宋" w:hAnsi="仿宋" w:eastAsia="仿宋" w:cs="仿宋"/>
                <w:color w:val="auto"/>
                <w:sz w:val="24"/>
              </w:rPr>
              <w:t>万元。</w:t>
            </w:r>
          </w:p>
          <w:p>
            <w:pPr>
              <w:rPr>
                <w:rFonts w:ascii="仿宋" w:hAnsi="仿宋" w:eastAsia="仿宋" w:cs="仿宋"/>
                <w:color w:val="auto"/>
                <w:sz w:val="24"/>
              </w:rPr>
            </w:pPr>
            <w:r>
              <w:rPr>
                <w:rFonts w:hint="eastAsia" w:ascii="仿宋" w:hAnsi="仿宋" w:eastAsia="仿宋" w:cs="仿宋"/>
                <w:color w:val="auto"/>
                <w:sz w:val="24"/>
              </w:rPr>
              <w:t xml:space="preserve">投标保证金收款人：新疆国源土地矿产资源交易中心（有限公司）            </w:t>
            </w:r>
          </w:p>
          <w:p>
            <w:pPr>
              <w:spacing w:line="240" w:lineRule="atLeast"/>
              <w:rPr>
                <w:rFonts w:ascii="仿宋" w:hAnsi="仿宋" w:eastAsia="仿宋" w:cs="仿宋"/>
                <w:color w:val="auto"/>
                <w:sz w:val="24"/>
                <w:u w:val="single"/>
              </w:rPr>
            </w:pPr>
            <w:r>
              <w:rPr>
                <w:rFonts w:hint="eastAsia" w:ascii="仿宋" w:hAnsi="仿宋" w:eastAsia="仿宋" w:cs="仿宋"/>
                <w:color w:val="auto"/>
                <w:sz w:val="24"/>
              </w:rPr>
              <w:t>开 户 行：兴业银行股份有限公司乌鲁木齐友好路支行</w:t>
            </w:r>
          </w:p>
          <w:p>
            <w:pPr>
              <w:spacing w:line="240" w:lineRule="atLeast"/>
              <w:rPr>
                <w:rFonts w:ascii="仿宋" w:hAnsi="仿宋" w:eastAsia="仿宋" w:cs="仿宋"/>
                <w:color w:val="auto"/>
                <w:sz w:val="24"/>
              </w:rPr>
            </w:pPr>
            <w:r>
              <w:rPr>
                <w:rFonts w:hint="eastAsia" w:ascii="仿宋" w:hAnsi="仿宋" w:eastAsia="仿宋" w:cs="仿宋"/>
                <w:color w:val="auto"/>
                <w:sz w:val="24"/>
              </w:rPr>
              <w:t xml:space="preserve">账    号：512050100100003684 </w:t>
            </w:r>
          </w:p>
          <w:p>
            <w:pPr>
              <w:spacing w:line="240" w:lineRule="atLeast"/>
              <w:rPr>
                <w:rFonts w:ascii="仿宋_GB2312" w:eastAsia="仿宋_GB2312"/>
                <w:color w:val="auto"/>
                <w:sz w:val="24"/>
                <w:u w:val="single"/>
              </w:rPr>
            </w:pPr>
            <w:r>
              <w:rPr>
                <w:rFonts w:hint="eastAsia" w:ascii="仿宋" w:hAnsi="仿宋" w:eastAsia="仿宋" w:cs="仿宋"/>
                <w:b/>
                <w:bCs/>
                <w:color w:val="auto"/>
                <w:sz w:val="24"/>
              </w:rPr>
              <w:t>★保证金缴纳要求：保证金须在开标前从投标供应商的基本账户一次性汇入指定账户，不接受现金、支票及任何个人、分公司汇款。若没有在规定时间内汇入指定账户，视为自动放弃本项目投标。</w:t>
            </w:r>
            <w:r>
              <w:rPr>
                <w:rFonts w:hint="eastAsia" w:ascii="仿宋" w:hAnsi="仿宋" w:eastAsia="仿宋" w:cs="仿宋"/>
                <w:color w:val="auto"/>
                <w:sz w:val="24"/>
                <w:u w:val="single"/>
              </w:rPr>
              <w:t>打款时注明投标保证金项目名称、包号。</w:t>
            </w:r>
          </w:p>
          <w:p>
            <w:pPr>
              <w:rPr>
                <w:rFonts w:ascii="仿宋" w:hAnsi="仿宋" w:eastAsia="仿宋" w:cs="仿宋"/>
                <w:color w:val="auto"/>
                <w:sz w:val="24"/>
              </w:rPr>
            </w:pPr>
            <w:r>
              <w:rPr>
                <w:rFonts w:hint="eastAsia" w:ascii="仿宋" w:hAnsi="仿宋" w:eastAsia="仿宋" w:cs="仿宋"/>
                <w:color w:val="auto"/>
                <w:sz w:val="24"/>
              </w:rPr>
              <w:t>投标保证金的退还：</w:t>
            </w:r>
          </w:p>
          <w:p>
            <w:pPr>
              <w:rPr>
                <w:rFonts w:ascii="仿宋" w:hAnsi="仿宋" w:eastAsia="仿宋" w:cs="仿宋"/>
                <w:color w:val="auto"/>
                <w:sz w:val="24"/>
              </w:rPr>
            </w:pPr>
            <w:r>
              <w:rPr>
                <w:rFonts w:hint="eastAsia" w:ascii="仿宋" w:hAnsi="仿宋" w:eastAsia="仿宋" w:cs="仿宋"/>
                <w:color w:val="auto"/>
                <w:sz w:val="24"/>
              </w:rPr>
              <w:t>中标通知书发出之日起5个工作日内退还未中标人的投标保证金，中标单位投标保证金在与采购单位签订合同后，5个工作日内，无息退还保证金。中标人退还保证金需提交保证金收据（请注明：今收到新疆国源土地矿产资源交易中心（有限公司）退还</w:t>
            </w:r>
            <w:r>
              <w:rPr>
                <w:rFonts w:hint="eastAsia" w:ascii="仿宋" w:hAnsi="仿宋" w:eastAsia="仿宋" w:cs="仿宋"/>
                <w:color w:val="auto"/>
                <w:sz w:val="24"/>
                <w:u w:val="single"/>
              </w:rPr>
              <w:t xml:space="preserve">  ×××项目  </w:t>
            </w:r>
            <w:r>
              <w:rPr>
                <w:rFonts w:hint="eastAsia" w:ascii="仿宋" w:hAnsi="仿宋" w:eastAsia="仿宋" w:cs="仿宋"/>
                <w:color w:val="auto"/>
                <w:sz w:val="24"/>
              </w:rPr>
              <w:t>投标保证金</w:t>
            </w:r>
            <w:r>
              <w:rPr>
                <w:rFonts w:hint="eastAsia" w:ascii="仿宋" w:hAnsi="仿宋" w:eastAsia="仿宋" w:cs="仿宋"/>
                <w:color w:val="auto"/>
                <w:sz w:val="24"/>
                <w:u w:val="single"/>
              </w:rPr>
              <w:t xml:space="preserve">       </w:t>
            </w:r>
            <w:r>
              <w:rPr>
                <w:rFonts w:hint="eastAsia" w:ascii="仿宋" w:hAnsi="仿宋" w:eastAsia="仿宋" w:cs="仿宋"/>
                <w:color w:val="auto"/>
                <w:sz w:val="24"/>
              </w:rPr>
              <w:t>元），收据需加盖财务专用章。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13.1</w:t>
            </w:r>
          </w:p>
        </w:tc>
        <w:tc>
          <w:tcPr>
            <w:tcW w:w="6840" w:type="dxa"/>
            <w:vAlign w:val="center"/>
          </w:tcPr>
          <w:p>
            <w:pPr>
              <w:spacing w:line="240" w:lineRule="atLeast"/>
              <w:rPr>
                <w:rFonts w:ascii="仿宋" w:hAnsi="仿宋" w:eastAsia="仿宋" w:cs="仿宋"/>
                <w:color w:val="auto"/>
                <w:sz w:val="24"/>
                <w:u w:val="single"/>
              </w:rPr>
            </w:pPr>
            <w:r>
              <w:rPr>
                <w:rFonts w:hint="eastAsia" w:ascii="仿宋" w:hAnsi="仿宋" w:eastAsia="仿宋" w:cs="仿宋"/>
                <w:color w:val="auto"/>
                <w:sz w:val="24"/>
              </w:rPr>
              <w:t>投标有效期：</w:t>
            </w:r>
            <w:r>
              <w:rPr>
                <w:rFonts w:hint="eastAsia" w:ascii="仿宋" w:hAnsi="仿宋" w:eastAsia="仿宋" w:cs="仿宋"/>
                <w:color w:val="auto"/>
                <w:sz w:val="24"/>
                <w:u w:val="single"/>
              </w:rPr>
              <w:t>　90</w:t>
            </w:r>
            <w:r>
              <w:rPr>
                <w:rFonts w:hint="eastAsia" w:ascii="仿宋" w:hAnsi="仿宋" w:eastAsia="仿宋" w:cs="仿宋"/>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14.1</w:t>
            </w:r>
          </w:p>
        </w:tc>
        <w:tc>
          <w:tcPr>
            <w:tcW w:w="6840" w:type="dxa"/>
            <w:vAlign w:val="center"/>
          </w:tcPr>
          <w:p>
            <w:pPr>
              <w:rPr>
                <w:rFonts w:hint="eastAsia" w:ascii="仿宋" w:hAnsi="仿宋" w:eastAsia="仿宋" w:cs="仿宋"/>
                <w:color w:val="auto"/>
                <w:sz w:val="24"/>
              </w:rPr>
            </w:pPr>
            <w:r>
              <w:rPr>
                <w:rFonts w:hint="eastAsia" w:ascii="仿宋" w:hAnsi="仿宋" w:eastAsia="仿宋" w:cs="仿宋"/>
                <w:color w:val="auto"/>
                <w:sz w:val="24"/>
              </w:rPr>
              <w:t>投标文件包括“报价单”“商务资信投标文件”和“技术投标方案”三部分。</w:t>
            </w:r>
          </w:p>
          <w:p>
            <w:pPr>
              <w:rPr>
                <w:rFonts w:hint="eastAsia" w:ascii="仿宋" w:hAnsi="仿宋" w:eastAsia="仿宋" w:cs="仿宋"/>
                <w:color w:val="auto"/>
                <w:sz w:val="24"/>
              </w:rPr>
            </w:pPr>
            <w:r>
              <w:rPr>
                <w:rFonts w:hint="eastAsia" w:ascii="仿宋" w:hAnsi="仿宋" w:eastAsia="仿宋" w:cs="仿宋"/>
                <w:color w:val="auto"/>
                <w:sz w:val="24"/>
              </w:rPr>
              <w:t>投标文件的签署及规定：供应商应按供应商须知资料表中的规定，准备和上传投标文件。</w:t>
            </w:r>
          </w:p>
          <w:p>
            <w:pPr>
              <w:rPr>
                <w:rFonts w:hint="eastAsia" w:ascii="仿宋" w:hAnsi="仿宋" w:eastAsia="仿宋" w:cs="仿宋"/>
                <w:color w:val="auto"/>
                <w:sz w:val="24"/>
              </w:rPr>
            </w:pPr>
            <w:r>
              <w:rPr>
                <w:rFonts w:hint="eastAsia" w:ascii="仿宋" w:hAnsi="仿宋" w:eastAsia="仿宋" w:cs="仿宋"/>
                <w:color w:val="auto"/>
                <w:sz w:val="24"/>
              </w:rPr>
              <w:t>投标文件由供应商的法定代表人或委托代理人按采购文件规定在投标文件上签字并加盖单位印章。</w:t>
            </w:r>
          </w:p>
          <w:p>
            <w:r>
              <w:rPr>
                <w:rFonts w:hint="eastAsia" w:ascii="仿宋" w:hAnsi="仿宋" w:eastAsia="仿宋" w:cs="仿宋"/>
                <w:color w:val="auto"/>
                <w:sz w:val="24"/>
              </w:rPr>
              <w:t>供应商无论中标与否，开标后三天内向代理机构提交纸质版胶装成册的投标文件</w:t>
            </w:r>
            <w:r>
              <w:rPr>
                <w:rFonts w:hint="eastAsia" w:ascii="仿宋" w:hAnsi="仿宋" w:eastAsia="仿宋" w:cs="仿宋"/>
                <w:color w:val="auto"/>
                <w:sz w:val="24"/>
                <w:lang w:val="en-US" w:eastAsia="zh-CN"/>
              </w:rPr>
              <w:t>壹</w:t>
            </w:r>
            <w:r>
              <w:rPr>
                <w:rFonts w:hint="eastAsia" w:ascii="仿宋" w:hAnsi="仿宋" w:eastAsia="仿宋" w:cs="仿宋"/>
                <w:color w:val="auto"/>
                <w:sz w:val="24"/>
              </w:rPr>
              <w:t>份，（须与招标文件中编制电子投标文件的格式一致）。（地址：乌鲁木齐市新市区阜新街1号智慧城2号楼3楼，收件人：孙丽  15160883519）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16．1</w:t>
            </w:r>
          </w:p>
        </w:tc>
        <w:tc>
          <w:tcPr>
            <w:tcW w:w="6840"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投标截止时间：</w:t>
            </w:r>
            <w:r>
              <w:rPr>
                <w:rFonts w:hint="eastAsia" w:ascii="仿宋" w:hAnsi="仿宋" w:eastAsia="仿宋"/>
                <w:color w:val="auto"/>
                <w:sz w:val="24"/>
              </w:rPr>
              <w:t>2023年</w:t>
            </w:r>
            <w:r>
              <w:rPr>
                <w:rFonts w:hint="eastAsia" w:ascii="仿宋" w:hAnsi="仿宋" w:eastAsia="仿宋"/>
                <w:color w:val="auto"/>
                <w:sz w:val="24"/>
                <w:lang w:val="en-US" w:eastAsia="zh-CN"/>
              </w:rPr>
              <w:t>3月7日</w:t>
            </w:r>
            <w:r>
              <w:rPr>
                <w:rFonts w:hint="eastAsia" w:ascii="仿宋" w:hAnsi="仿宋" w:eastAsia="仿宋"/>
                <w:color w:val="auto"/>
                <w:sz w:val="24"/>
              </w:rPr>
              <w:t xml:space="preserve"> 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18.1</w:t>
            </w:r>
          </w:p>
        </w:tc>
        <w:tc>
          <w:tcPr>
            <w:tcW w:w="6840" w:type="dxa"/>
            <w:vAlign w:val="center"/>
          </w:tcPr>
          <w:p>
            <w:pPr>
              <w:spacing w:line="240" w:lineRule="atLeast"/>
              <w:rPr>
                <w:rFonts w:ascii="仿宋" w:hAnsi="仿宋" w:eastAsia="仿宋" w:cs="仿宋"/>
                <w:color w:val="auto"/>
                <w:sz w:val="24"/>
                <w:highlight w:val="red"/>
                <w:u w:val="single"/>
              </w:rPr>
            </w:pPr>
            <w:r>
              <w:rPr>
                <w:rFonts w:hint="eastAsia" w:ascii="仿宋" w:hAnsi="仿宋" w:eastAsia="仿宋" w:cs="仿宋"/>
                <w:color w:val="auto"/>
                <w:sz w:val="24"/>
              </w:rPr>
              <w:t>开标时间：</w:t>
            </w:r>
            <w:r>
              <w:rPr>
                <w:rFonts w:hint="eastAsia" w:ascii="仿宋" w:hAnsi="仿宋" w:eastAsia="仿宋"/>
                <w:color w:val="auto"/>
                <w:sz w:val="24"/>
              </w:rPr>
              <w:t>2023年</w:t>
            </w:r>
            <w:r>
              <w:rPr>
                <w:rFonts w:hint="eastAsia" w:ascii="仿宋" w:hAnsi="仿宋" w:eastAsia="仿宋"/>
                <w:color w:val="auto"/>
                <w:sz w:val="24"/>
                <w:lang w:val="en-US" w:eastAsia="zh-CN"/>
              </w:rPr>
              <w:t>3月7日</w:t>
            </w:r>
            <w:r>
              <w:rPr>
                <w:rFonts w:hint="eastAsia" w:ascii="仿宋" w:hAnsi="仿宋" w:eastAsia="仿宋"/>
                <w:color w:val="auto"/>
                <w:sz w:val="24"/>
              </w:rPr>
              <w:t xml:space="preserve"> 11:00（北京时间）</w:t>
            </w:r>
          </w:p>
          <w:p>
            <w:pPr>
              <w:spacing w:line="240" w:lineRule="atLeast"/>
              <w:rPr>
                <w:rFonts w:ascii="仿宋" w:hAnsi="仿宋" w:eastAsia="仿宋" w:cs="仿宋"/>
                <w:color w:val="auto"/>
                <w:sz w:val="24"/>
              </w:rPr>
            </w:pPr>
            <w:r>
              <w:rPr>
                <w:rFonts w:hint="eastAsia" w:ascii="仿宋" w:hAnsi="仿宋" w:eastAsia="仿宋" w:cs="仿宋"/>
                <w:color w:val="auto"/>
                <w:sz w:val="24"/>
              </w:rPr>
              <w:t>开标地点：</w:t>
            </w:r>
            <w:r>
              <w:rPr>
                <w:rFonts w:hint="eastAsia" w:ascii="仿宋" w:hAnsi="仿宋" w:eastAsia="仿宋"/>
                <w:color w:val="auto"/>
                <w:sz w:val="24"/>
                <w:lang w:eastAsia="zh-CN"/>
              </w:rPr>
              <w:t>乌鲁木齐市新市区阜新街1号2号楼3楼开标厅。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23.2</w:t>
            </w:r>
          </w:p>
        </w:tc>
        <w:tc>
          <w:tcPr>
            <w:tcW w:w="6840" w:type="dxa"/>
            <w:vAlign w:val="center"/>
          </w:tcPr>
          <w:p>
            <w:pPr>
              <w:spacing w:line="240" w:lineRule="atLeast"/>
              <w:rPr>
                <w:rFonts w:ascii="仿宋" w:hAnsi="仿宋" w:eastAsia="仿宋" w:cs="仿宋"/>
                <w:i/>
                <w:color w:val="auto"/>
                <w:sz w:val="24"/>
              </w:rPr>
            </w:pPr>
            <w:r>
              <w:rPr>
                <w:rFonts w:hint="eastAsia" w:ascii="仿宋" w:hAnsi="仿宋" w:eastAsia="仿宋" w:cs="仿宋"/>
                <w:color w:val="auto"/>
                <w:sz w:val="24"/>
              </w:rPr>
              <w:t>评标方法：适用</w:t>
            </w:r>
            <w:r>
              <w:rPr>
                <w:rFonts w:hint="eastAsia" w:ascii="仿宋" w:hAnsi="仿宋" w:eastAsia="仿宋" w:cs="仿宋"/>
                <w:color w:val="auto"/>
                <w:sz w:val="24"/>
                <w:u w:val="single"/>
              </w:rPr>
              <w:t>综合评分法</w:t>
            </w:r>
            <w:r>
              <w:rPr>
                <w:rFonts w:hint="eastAsia" w:ascii="仿宋" w:hAnsi="仿宋" w:eastAsia="仿宋" w:cs="仿宋"/>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27</w:t>
            </w:r>
          </w:p>
        </w:tc>
        <w:tc>
          <w:tcPr>
            <w:tcW w:w="6840"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推荐中标候选供应商的数量：</w:t>
            </w:r>
            <w:r>
              <w:rPr>
                <w:rFonts w:hint="eastAsia" w:ascii="仿宋" w:hAnsi="仿宋" w:eastAsia="仿宋" w:cs="仿宋"/>
                <w:color w:val="auto"/>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27</w:t>
            </w:r>
          </w:p>
        </w:tc>
        <w:tc>
          <w:tcPr>
            <w:tcW w:w="6840"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招标人是否委托评标委员会直接确定中标人：</w:t>
            </w:r>
            <w:r>
              <w:rPr>
                <w:rFonts w:hint="eastAsia" w:ascii="仿宋" w:hAnsi="仿宋" w:eastAsia="仿宋" w:cs="仿宋"/>
                <w:color w:val="auto"/>
                <w:sz w:val="24"/>
                <w:u w:val="single"/>
              </w:rPr>
              <w:t xml:space="preserve">否 </w:t>
            </w:r>
            <w:r>
              <w:rPr>
                <w:rFonts w:hint="eastAsia" w:ascii="仿宋" w:hAnsi="仿宋" w:eastAsia="仿宋" w:cs="仿宋"/>
                <w:color w:val="auto"/>
                <w:sz w:val="24"/>
              </w:rPr>
              <w:t xml:space="preserve"> </w:t>
            </w:r>
            <w:r>
              <w:rPr>
                <w:rFonts w:hint="eastAsia" w:ascii="仿宋" w:hAnsi="仿宋" w:eastAsia="仿宋" w:cs="仿宋"/>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31.1</w:t>
            </w:r>
          </w:p>
        </w:tc>
        <w:tc>
          <w:tcPr>
            <w:tcW w:w="6840"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履约保证金金额：10%（不得超过政府采购合同金额的10%）。</w:t>
            </w:r>
          </w:p>
          <w:p>
            <w:pPr>
              <w:spacing w:line="240" w:lineRule="atLeast"/>
              <w:rPr>
                <w:rFonts w:ascii="仿宋" w:hAnsi="仿宋" w:eastAsia="仿宋" w:cs="仿宋"/>
                <w:color w:val="auto"/>
                <w:sz w:val="24"/>
              </w:rPr>
            </w:pPr>
            <w:r>
              <w:rPr>
                <w:rFonts w:hint="eastAsia" w:ascii="仿宋" w:hAnsi="仿宋" w:eastAsia="仿宋" w:cs="仿宋"/>
                <w:color w:val="auto"/>
                <w:sz w:val="24"/>
              </w:rPr>
              <w:t xml:space="preserve">履约保证金形式： </w:t>
            </w:r>
            <w:bookmarkStart w:id="30" w:name="_Hlk22725541"/>
            <w:r>
              <w:rPr>
                <w:rFonts w:hint="eastAsia" w:ascii="仿宋" w:hAnsi="仿宋" w:eastAsia="仿宋" w:cs="仿宋"/>
                <w:color w:val="auto"/>
                <w:sz w:val="24"/>
              </w:rPr>
              <w:t>电汇或企业账户网银汇款</w:t>
            </w:r>
            <w:bookmarkEnd w:id="30"/>
            <w:r>
              <w:rPr>
                <w:rFonts w:hint="eastAsia" w:ascii="仿宋" w:hAnsi="仿宋" w:eastAsia="仿宋" w:cs="仿宋"/>
                <w:color w:val="auto"/>
                <w:sz w:val="24"/>
              </w:rPr>
              <w:t xml:space="preserve">。 </w:t>
            </w:r>
          </w:p>
          <w:p>
            <w:pPr>
              <w:spacing w:line="240" w:lineRule="atLeast"/>
              <w:rPr>
                <w:rFonts w:ascii="仿宋" w:hAnsi="仿宋" w:eastAsia="仿宋" w:cs="仿宋"/>
                <w:color w:val="auto"/>
                <w:sz w:val="24"/>
              </w:rPr>
            </w:pPr>
            <w:r>
              <w:rPr>
                <w:rFonts w:hint="eastAsia" w:ascii="仿宋" w:hAnsi="仿宋" w:eastAsia="仿宋" w:cs="仿宋"/>
                <w:color w:val="auto"/>
                <w:sz w:val="24"/>
              </w:rPr>
              <w:t>提交履约保证金的时间： 在中标通知书发出后</w:t>
            </w:r>
            <w:r>
              <w:rPr>
                <w:rFonts w:hint="eastAsia" w:ascii="仿宋" w:hAnsi="仿宋" w:eastAsia="仿宋" w:cs="仿宋"/>
                <w:color w:val="auto"/>
                <w:sz w:val="24"/>
                <w:u w:val="single"/>
              </w:rPr>
              <w:t xml:space="preserve">  3  </w:t>
            </w:r>
            <w:r>
              <w:rPr>
                <w:rFonts w:hint="eastAsia" w:ascii="仿宋" w:hAnsi="仿宋" w:eastAsia="仿宋" w:cs="仿宋"/>
                <w:color w:val="auto"/>
                <w:sz w:val="24"/>
              </w:rPr>
              <w:t>日历日内。</w:t>
            </w:r>
          </w:p>
          <w:p>
            <w:pPr>
              <w:spacing w:line="240" w:lineRule="atLeast"/>
              <w:rPr>
                <w:rFonts w:hint="eastAsia" w:ascii="仿宋" w:hAnsi="仿宋" w:eastAsia="仿宋" w:cs="仿宋"/>
                <w:color w:val="auto"/>
                <w:sz w:val="24"/>
                <w:u w:val="single"/>
                <w:lang w:eastAsia="zh-CN"/>
              </w:rPr>
            </w:pPr>
            <w:r>
              <w:rPr>
                <w:rFonts w:hint="eastAsia" w:ascii="仿宋" w:hAnsi="仿宋" w:eastAsia="仿宋" w:cs="仿宋"/>
                <w:color w:val="auto"/>
                <w:sz w:val="24"/>
              </w:rPr>
              <w:t>履约保证金收款人：</w:t>
            </w:r>
            <w:r>
              <w:rPr>
                <w:rFonts w:hint="eastAsia" w:ascii="仿宋" w:hAnsi="仿宋" w:eastAsia="仿宋" w:cs="仿宋"/>
                <w:color w:val="auto"/>
                <w:sz w:val="24"/>
                <w:lang w:eastAsia="zh-CN"/>
              </w:rPr>
              <w:t>克孜勒苏柯尔克孜自治州自然资源局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32</w:t>
            </w:r>
          </w:p>
        </w:tc>
        <w:tc>
          <w:tcPr>
            <w:tcW w:w="6840" w:type="dxa"/>
            <w:vAlign w:val="center"/>
          </w:tcPr>
          <w:p>
            <w:pPr>
              <w:spacing w:line="240" w:lineRule="atLeast"/>
              <w:rPr>
                <w:rFonts w:hint="eastAsia" w:ascii="仿宋" w:hAnsi="仿宋" w:eastAsia="仿宋" w:cs="仿宋"/>
                <w:b/>
                <w:bCs/>
                <w:color w:val="auto"/>
                <w:sz w:val="24"/>
              </w:rPr>
            </w:pPr>
            <w:r>
              <w:rPr>
                <w:rFonts w:hint="eastAsia" w:ascii="仿宋" w:hAnsi="仿宋" w:eastAsia="仿宋" w:cs="仿宋"/>
                <w:color w:val="auto"/>
                <w:sz w:val="24"/>
              </w:rPr>
              <w:t>中标服务费：</w:t>
            </w:r>
            <w:r>
              <w:rPr>
                <w:rFonts w:hint="eastAsia" w:ascii="仿宋" w:hAnsi="仿宋" w:eastAsia="仿宋" w:cs="仿宋"/>
                <w:b/>
                <w:bCs/>
                <w:color w:val="auto"/>
                <w:sz w:val="24"/>
              </w:rPr>
              <w:t>收费标准依据《国家发展改革委关于进一步开放建设项目专业服务价格的通知》（发改价格[2015]299号）执行，代理服务费按中标价的1.5%收取。由中标单位向招标代理机构支付本项目的代理费。</w:t>
            </w:r>
          </w:p>
          <w:p>
            <w:pPr>
              <w:spacing w:line="240" w:lineRule="atLeast"/>
              <w:rPr>
                <w:rFonts w:ascii="仿宋" w:hAnsi="仿宋" w:eastAsia="仿宋" w:cs="仿宋"/>
                <w:color w:val="auto"/>
                <w:sz w:val="24"/>
              </w:rPr>
            </w:pPr>
            <w:r>
              <w:rPr>
                <w:rFonts w:hint="eastAsia" w:ascii="仿宋" w:hAnsi="仿宋" w:eastAsia="仿宋" w:cs="仿宋"/>
                <w:color w:val="auto"/>
                <w:sz w:val="24"/>
              </w:rPr>
              <w:t>支 付 方：由中标人支付</w:t>
            </w:r>
          </w:p>
          <w:p>
            <w:pPr>
              <w:spacing w:line="240" w:lineRule="atLeast"/>
              <w:rPr>
                <w:rFonts w:ascii="仿宋" w:hAnsi="仿宋" w:eastAsia="仿宋" w:cs="仿宋"/>
                <w:color w:val="auto"/>
                <w:sz w:val="24"/>
              </w:rPr>
            </w:pPr>
            <w:r>
              <w:rPr>
                <w:rFonts w:hint="eastAsia" w:ascii="仿宋" w:hAnsi="仿宋" w:eastAsia="仿宋" w:cs="仿宋"/>
                <w:color w:val="auto"/>
                <w:sz w:val="24"/>
              </w:rPr>
              <w:t xml:space="preserve">支付形式：对公转账 </w:t>
            </w:r>
          </w:p>
          <w:p>
            <w:pPr>
              <w:spacing w:line="240" w:lineRule="atLeast"/>
              <w:rPr>
                <w:rFonts w:ascii="仿宋" w:hAnsi="仿宋" w:eastAsia="仿宋" w:cs="仿宋"/>
                <w:color w:val="auto"/>
              </w:rPr>
            </w:pPr>
            <w:r>
              <w:rPr>
                <w:rFonts w:hint="eastAsia" w:ascii="仿宋" w:hAnsi="仿宋" w:eastAsia="仿宋" w:cs="仿宋"/>
                <w:color w:val="auto"/>
                <w:sz w:val="24"/>
              </w:rPr>
              <w:t>支付时间：领取中标通知书时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33</w:t>
            </w:r>
          </w:p>
        </w:tc>
        <w:tc>
          <w:tcPr>
            <w:tcW w:w="6840"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本项目是否属于信用担保试点范围：</w:t>
            </w:r>
            <w:r>
              <w:rPr>
                <w:rFonts w:hint="eastAsia" w:ascii="仿宋" w:hAnsi="仿宋" w:eastAsia="仿宋" w:cs="仿宋"/>
                <w:color w:val="auto"/>
                <w:sz w:val="24"/>
                <w:u w:val="single"/>
              </w:rPr>
              <w:t xml:space="preserve"> 否</w:t>
            </w:r>
            <w:r>
              <w:rPr>
                <w:rFonts w:hint="eastAsia" w:ascii="仿宋" w:hAnsi="仿宋" w:eastAsia="仿宋" w:cs="仿宋"/>
                <w:color w:val="auto"/>
                <w:sz w:val="24"/>
              </w:rPr>
              <w:t xml:space="preserve"> </w:t>
            </w:r>
            <w:r>
              <w:rPr>
                <w:rFonts w:hint="eastAsia" w:ascii="仿宋" w:hAnsi="仿宋" w:eastAsia="仿宋" w:cs="仿宋"/>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34</w:t>
            </w:r>
          </w:p>
        </w:tc>
        <w:tc>
          <w:tcPr>
            <w:tcW w:w="6840" w:type="dxa"/>
            <w:vAlign w:val="center"/>
          </w:tcPr>
          <w:p>
            <w:pPr>
              <w:rPr>
                <w:rFonts w:hint="default" w:ascii="仿宋" w:hAnsi="仿宋" w:eastAsia="仿宋" w:cs="仿宋"/>
                <w:color w:val="auto"/>
                <w:sz w:val="24"/>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中小微企业划分标准》</w:t>
            </w:r>
          </w:p>
          <w:p>
            <w:pPr>
              <w:rPr>
                <w:rFonts w:hint="default" w:ascii="仿宋" w:hAnsi="仿宋" w:eastAsia="仿宋" w:cs="仿宋"/>
                <w:color w:val="auto"/>
                <w:sz w:val="24"/>
                <w:lang w:val="en-US" w:eastAsia="zh-CN"/>
              </w:rPr>
            </w:pPr>
            <w:r>
              <w:rPr>
                <w:rFonts w:hint="eastAsia" w:ascii="仿宋" w:hAnsi="仿宋" w:eastAsia="仿宋" w:cs="仿宋"/>
                <w:color w:val="auto"/>
                <w:sz w:val="24"/>
                <w:lang w:eastAsia="zh-CN"/>
              </w:rPr>
              <w:t>1.根据《中华人民共和国中小企业促进法》和《国务院关于进一步促进中小企业发展的若干意见》(国发[2009]36号)，</w:t>
            </w:r>
            <w:r>
              <w:rPr>
                <w:rFonts w:hint="eastAsia" w:ascii="仿宋" w:hAnsi="仿宋" w:eastAsia="仿宋" w:cs="仿宋"/>
                <w:color w:val="auto"/>
                <w:sz w:val="24"/>
                <w:lang w:val="en-US" w:eastAsia="zh-CN"/>
              </w:rPr>
              <w:t>制定本规定。</w:t>
            </w:r>
          </w:p>
          <w:p>
            <w:pPr>
              <w:rPr>
                <w:rFonts w:hint="eastAsia" w:ascii="仿宋" w:hAnsi="仿宋" w:eastAsia="仿宋" w:cs="仿宋"/>
                <w:color w:val="auto"/>
                <w:sz w:val="24"/>
                <w:lang w:eastAsia="zh-CN"/>
              </w:rPr>
            </w:pPr>
            <w:r>
              <w:rPr>
                <w:rFonts w:hint="eastAsia" w:ascii="仿宋" w:hAnsi="仿宋" w:eastAsia="仿宋" w:cs="仿宋"/>
                <w:color w:val="auto"/>
                <w:sz w:val="24"/>
                <w:lang w:eastAsia="zh-CN"/>
              </w:rPr>
              <w:t>2.中小企业划分为中型、小型、微型三种类型，具体标准根据企业从业人员、营业收入、资产总额等指标，结合行业特点制定。</w:t>
            </w:r>
          </w:p>
          <w:p>
            <w:pPr>
              <w:rPr>
                <w:rFonts w:hint="default" w:ascii="仿宋" w:hAnsi="仿宋" w:eastAsia="仿宋" w:cs="仿宋"/>
                <w:color w:val="auto"/>
                <w:sz w:val="24"/>
                <w:lang w:val="en-US"/>
              </w:rPr>
            </w:pPr>
            <w:r>
              <w:rPr>
                <w:rFonts w:hint="eastAsia" w:ascii="仿宋" w:hAnsi="仿宋" w:eastAsia="仿宋" w:cs="仿宋"/>
                <w:color w:val="auto"/>
                <w:sz w:val="24"/>
                <w:lang w:val="en-US" w:eastAsia="zh-CN"/>
              </w:rPr>
              <w:t>3.本项目所适用行业：</w:t>
            </w:r>
            <w:r>
              <w:rPr>
                <w:rFonts w:hint="eastAsia" w:ascii="仿宋" w:hAnsi="仿宋" w:eastAsia="仿宋" w:cs="仿宋"/>
                <w:b/>
                <w:bCs/>
                <w:color w:val="auto"/>
                <w:sz w:val="24"/>
                <w:lang w:eastAsia="zh-CN"/>
              </w:rPr>
              <w:t>其他未列明行业。</w:t>
            </w:r>
          </w:p>
        </w:tc>
      </w:tr>
    </w:tbl>
    <w:p>
      <w:pPr>
        <w:spacing w:line="240" w:lineRule="atLeast"/>
        <w:ind w:left="1080" w:leftChars="257" w:hanging="540"/>
        <w:rPr>
          <w:rFonts w:ascii="仿宋" w:hAnsi="仿宋" w:eastAsia="仿宋" w:cs="仿宋"/>
          <w:color w:val="auto"/>
          <w:sz w:val="24"/>
        </w:rPr>
        <w:sectPr>
          <w:footerReference r:id="rId7" w:type="default"/>
          <w:pgSz w:w="11906" w:h="16838"/>
          <w:pgMar w:top="1440" w:right="1797" w:bottom="1318" w:left="1797" w:header="851" w:footer="992" w:gutter="0"/>
          <w:pgBorders>
            <w:top w:val="none" w:sz="0" w:space="0"/>
            <w:left w:val="none" w:sz="0" w:space="0"/>
            <w:bottom w:val="none" w:sz="0" w:space="0"/>
            <w:right w:val="none" w:sz="0" w:space="0"/>
          </w:pgBorders>
          <w:pgNumType w:start="1"/>
          <w:cols w:space="720" w:num="1"/>
          <w:docGrid w:linePitch="312" w:charSpace="0"/>
        </w:sectPr>
      </w:pPr>
    </w:p>
    <w:p>
      <w:pPr>
        <w:spacing w:line="240" w:lineRule="atLeast"/>
        <w:rPr>
          <w:rFonts w:ascii="仿宋" w:hAnsi="仿宋" w:eastAsia="仿宋" w:cs="仿宋"/>
          <w:bCs/>
          <w:color w:val="auto"/>
          <w:sz w:val="28"/>
          <w:szCs w:val="28"/>
        </w:rPr>
      </w:pPr>
    </w:p>
    <w:p>
      <w:pPr>
        <w:spacing w:line="240" w:lineRule="atLeast"/>
        <w:jc w:val="left"/>
        <w:rPr>
          <w:rFonts w:ascii="仿宋" w:hAnsi="仿宋" w:eastAsia="仿宋" w:cs="仿宋"/>
          <w:b/>
          <w:color w:val="auto"/>
          <w:sz w:val="52"/>
          <w:szCs w:val="52"/>
        </w:rPr>
      </w:pPr>
    </w:p>
    <w:p>
      <w:pPr>
        <w:widowControl/>
        <w:jc w:val="center"/>
        <w:outlineLvl w:val="1"/>
        <w:rPr>
          <w:rFonts w:hint="eastAsia" w:ascii="仿宋" w:hAnsi="仿宋" w:eastAsia="仿宋" w:cs="仿宋"/>
          <w:b/>
          <w:color w:val="auto"/>
          <w:sz w:val="44"/>
          <w:szCs w:val="44"/>
        </w:rPr>
      </w:pPr>
      <w:bookmarkStart w:id="31" w:name="_Toc21149"/>
      <w:r>
        <w:rPr>
          <w:rFonts w:hint="eastAsia" w:ascii="仿宋" w:hAnsi="仿宋" w:eastAsia="仿宋" w:cs="仿宋"/>
          <w:b/>
          <w:color w:val="auto"/>
          <w:sz w:val="44"/>
          <w:szCs w:val="44"/>
          <w:lang w:val="en-US" w:eastAsia="zh-CN"/>
        </w:rPr>
        <w:t>克州</w:t>
      </w:r>
      <w:r>
        <w:rPr>
          <w:rFonts w:hint="eastAsia" w:ascii="仿宋" w:hAnsi="仿宋" w:eastAsia="仿宋" w:cs="仿宋"/>
          <w:b/>
          <w:color w:val="auto"/>
          <w:sz w:val="44"/>
          <w:szCs w:val="44"/>
        </w:rPr>
        <w:t>2023年</w:t>
      </w:r>
      <w:r>
        <w:rPr>
          <w:rFonts w:hint="eastAsia" w:ascii="仿宋" w:hAnsi="仿宋" w:eastAsia="仿宋" w:cs="仿宋"/>
          <w:b/>
          <w:color w:val="auto"/>
          <w:sz w:val="44"/>
          <w:szCs w:val="44"/>
          <w:lang w:val="en-US" w:eastAsia="zh-CN"/>
        </w:rPr>
        <w:t>自然</w:t>
      </w:r>
      <w:r>
        <w:rPr>
          <w:rFonts w:hint="eastAsia" w:ascii="仿宋" w:hAnsi="仿宋" w:eastAsia="仿宋" w:cs="仿宋"/>
          <w:b/>
          <w:color w:val="auto"/>
          <w:sz w:val="44"/>
          <w:szCs w:val="44"/>
        </w:rPr>
        <w:t>灾害防治体系建设</w:t>
      </w:r>
      <w:bookmarkEnd w:id="31"/>
    </w:p>
    <w:p>
      <w:pPr>
        <w:widowControl/>
        <w:jc w:val="center"/>
        <w:rPr>
          <w:rFonts w:hint="eastAsia" w:ascii="仿宋" w:hAnsi="仿宋" w:eastAsia="仿宋" w:cs="仿宋"/>
          <w:b/>
          <w:color w:val="auto"/>
          <w:sz w:val="44"/>
          <w:szCs w:val="44"/>
        </w:rPr>
      </w:pPr>
      <w:r>
        <w:rPr>
          <w:rFonts w:hint="eastAsia" w:ascii="仿宋" w:hAnsi="仿宋" w:eastAsia="仿宋" w:cs="仿宋"/>
          <w:b/>
          <w:color w:val="auto"/>
          <w:sz w:val="44"/>
          <w:szCs w:val="44"/>
          <w:lang w:val="en-US" w:eastAsia="zh-CN"/>
        </w:rPr>
        <w:t>补助资金</w:t>
      </w:r>
      <w:r>
        <w:rPr>
          <w:rFonts w:hint="eastAsia" w:ascii="仿宋" w:hAnsi="仿宋" w:eastAsia="仿宋" w:cs="仿宋"/>
          <w:b/>
          <w:color w:val="auto"/>
          <w:sz w:val="44"/>
          <w:szCs w:val="44"/>
        </w:rPr>
        <w:t>项目</w:t>
      </w:r>
    </w:p>
    <w:p>
      <w:pPr>
        <w:widowControl/>
        <w:jc w:val="left"/>
        <w:rPr>
          <w:rFonts w:ascii="仿宋" w:hAnsi="仿宋" w:eastAsia="仿宋" w:cs="仿宋"/>
          <w:color w:val="auto"/>
        </w:rPr>
      </w:pPr>
    </w:p>
    <w:p>
      <w:pPr>
        <w:pStyle w:val="4"/>
        <w:ind w:firstLine="480"/>
        <w:rPr>
          <w:color w:val="auto"/>
        </w:rPr>
      </w:pPr>
    </w:p>
    <w:p>
      <w:pPr>
        <w:spacing w:line="240" w:lineRule="atLeast"/>
        <w:jc w:val="center"/>
        <w:rPr>
          <w:rFonts w:ascii="仿宋" w:hAnsi="仿宋" w:eastAsia="仿宋" w:cs="仿宋"/>
          <w:bCs/>
          <w:color w:val="auto"/>
          <w:sz w:val="52"/>
          <w:szCs w:val="52"/>
        </w:rPr>
      </w:pPr>
      <w:r>
        <w:rPr>
          <w:rFonts w:hint="eastAsia" w:ascii="仿宋" w:hAnsi="仿宋" w:eastAsia="仿宋" w:cs="仿宋"/>
          <w:bCs/>
          <w:color w:val="auto"/>
          <w:sz w:val="52"/>
          <w:szCs w:val="52"/>
        </w:rPr>
        <w:t xml:space="preserve"> </w:t>
      </w:r>
      <w:r>
        <w:rPr>
          <w:rFonts w:hint="eastAsia" w:ascii="仿宋" w:hAnsi="仿宋" w:eastAsia="仿宋" w:cs="仿宋"/>
          <w:b/>
          <w:color w:val="auto"/>
          <w:sz w:val="52"/>
          <w:szCs w:val="52"/>
        </w:rPr>
        <w:t>采购文件</w:t>
      </w:r>
    </w:p>
    <w:p>
      <w:pPr>
        <w:spacing w:line="240" w:lineRule="atLeast"/>
        <w:ind w:left="1080" w:leftChars="257" w:hanging="540"/>
        <w:jc w:val="center"/>
        <w:rPr>
          <w:rFonts w:ascii="仿宋" w:hAnsi="仿宋" w:eastAsia="仿宋" w:cs="仿宋"/>
          <w:bCs/>
          <w:color w:val="auto"/>
          <w:sz w:val="52"/>
          <w:szCs w:val="52"/>
        </w:rPr>
      </w:pPr>
    </w:p>
    <w:p>
      <w:pPr>
        <w:spacing w:line="240" w:lineRule="atLeast"/>
        <w:ind w:left="1080" w:leftChars="257" w:hanging="540"/>
        <w:jc w:val="center"/>
        <w:rPr>
          <w:rFonts w:ascii="仿宋" w:hAnsi="仿宋" w:eastAsia="仿宋" w:cs="仿宋"/>
          <w:bCs/>
          <w:color w:val="auto"/>
          <w:sz w:val="32"/>
          <w:szCs w:val="32"/>
        </w:rPr>
      </w:pPr>
      <w:r>
        <w:rPr>
          <w:rFonts w:hint="eastAsia" w:ascii="仿宋" w:hAnsi="仿宋" w:eastAsia="仿宋" w:cs="仿宋"/>
          <w:bCs/>
          <w:color w:val="auto"/>
          <w:sz w:val="32"/>
          <w:szCs w:val="32"/>
        </w:rPr>
        <w:t>（项目编号：</w:t>
      </w:r>
      <w:r>
        <w:rPr>
          <w:rFonts w:hint="eastAsia" w:ascii="仿宋" w:hAnsi="仿宋" w:eastAsia="仿宋" w:cs="仿宋"/>
          <w:bCs/>
          <w:color w:val="auto"/>
          <w:sz w:val="32"/>
          <w:szCs w:val="32"/>
          <w:lang w:eastAsia="zh-CN"/>
        </w:rPr>
        <w:t>GYZB-KZDZFZ2023</w:t>
      </w:r>
      <w:r>
        <w:rPr>
          <w:rFonts w:hint="eastAsia" w:ascii="仿宋" w:hAnsi="仿宋" w:eastAsia="仿宋" w:cs="仿宋"/>
          <w:bCs/>
          <w:color w:val="auto"/>
          <w:sz w:val="32"/>
          <w:szCs w:val="32"/>
          <w:lang w:val="en-US" w:eastAsia="zh-CN"/>
        </w:rPr>
        <w:t>-01</w:t>
      </w:r>
      <w:r>
        <w:rPr>
          <w:rFonts w:hint="eastAsia" w:ascii="仿宋" w:hAnsi="仿宋" w:eastAsia="仿宋" w:cs="仿宋"/>
          <w:bCs/>
          <w:color w:val="auto"/>
          <w:sz w:val="32"/>
          <w:szCs w:val="32"/>
        </w:rPr>
        <w:t>）</w:t>
      </w:r>
    </w:p>
    <w:p>
      <w:pPr>
        <w:spacing w:line="240" w:lineRule="atLeast"/>
        <w:ind w:left="1080" w:leftChars="257" w:hanging="540"/>
        <w:jc w:val="center"/>
        <w:rPr>
          <w:rFonts w:ascii="仿宋" w:hAnsi="仿宋" w:eastAsia="仿宋" w:cs="仿宋"/>
          <w:b/>
          <w:color w:val="auto"/>
          <w:sz w:val="32"/>
          <w:szCs w:val="32"/>
        </w:rPr>
      </w:pPr>
    </w:p>
    <w:p>
      <w:pPr>
        <w:spacing w:line="240" w:lineRule="atLeast"/>
        <w:ind w:left="1079" w:leftChars="257" w:hanging="539"/>
        <w:jc w:val="center"/>
        <w:outlineLvl w:val="0"/>
        <w:rPr>
          <w:rFonts w:ascii="仿宋" w:hAnsi="仿宋" w:eastAsia="仿宋" w:cs="仿宋"/>
          <w:b/>
          <w:color w:val="auto"/>
          <w:sz w:val="36"/>
          <w:szCs w:val="36"/>
        </w:rPr>
      </w:pPr>
      <w:bookmarkStart w:id="32" w:name="_Toc29063"/>
      <w:bookmarkStart w:id="33" w:name="_Toc1099"/>
      <w:r>
        <w:rPr>
          <w:rFonts w:hint="eastAsia" w:ascii="仿宋" w:hAnsi="仿宋" w:eastAsia="仿宋" w:cs="仿宋"/>
          <w:b/>
          <w:color w:val="auto"/>
          <w:sz w:val="36"/>
          <w:szCs w:val="36"/>
        </w:rPr>
        <w:t>第</w:t>
      </w:r>
      <w:r>
        <w:rPr>
          <w:rFonts w:hint="eastAsia" w:ascii="仿宋" w:hAnsi="仿宋" w:eastAsia="仿宋" w:cs="仿宋"/>
          <w:b/>
          <w:color w:val="auto"/>
          <w:sz w:val="36"/>
          <w:szCs w:val="36"/>
          <w:lang w:eastAsia="zh-CN"/>
        </w:rPr>
        <w:t>二</w:t>
      </w:r>
      <w:r>
        <w:rPr>
          <w:rFonts w:hint="eastAsia" w:ascii="仿宋" w:hAnsi="仿宋" w:eastAsia="仿宋" w:cs="仿宋"/>
          <w:b/>
          <w:color w:val="auto"/>
          <w:sz w:val="36"/>
          <w:szCs w:val="36"/>
        </w:rPr>
        <w:t>册</w:t>
      </w:r>
      <w:bookmarkEnd w:id="32"/>
      <w:bookmarkEnd w:id="33"/>
    </w:p>
    <w:p>
      <w:pPr>
        <w:spacing w:line="240" w:lineRule="atLeast"/>
        <w:ind w:left="1080" w:leftChars="257" w:hanging="540"/>
        <w:jc w:val="center"/>
        <w:rPr>
          <w:rFonts w:ascii="仿宋" w:hAnsi="仿宋" w:eastAsia="仿宋" w:cs="仿宋"/>
          <w:b/>
          <w:color w:val="auto"/>
          <w:sz w:val="52"/>
        </w:rPr>
      </w:pPr>
    </w:p>
    <w:p>
      <w:pPr>
        <w:spacing w:line="360" w:lineRule="auto"/>
        <w:ind w:firstLine="837" w:firstLineChars="299"/>
        <w:jc w:val="left"/>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采 购 人：</w:t>
      </w:r>
      <w:r>
        <w:rPr>
          <w:rFonts w:hint="eastAsia" w:ascii="仿宋" w:hAnsi="仿宋" w:eastAsia="仿宋" w:cs="仿宋"/>
          <w:color w:val="auto"/>
          <w:sz w:val="28"/>
          <w:szCs w:val="28"/>
          <w:u w:val="single"/>
          <w:lang w:eastAsia="zh-CN"/>
        </w:rPr>
        <w:t>克孜勒苏柯尔克孜自治州自然资源局</w:t>
      </w:r>
    </w:p>
    <w:p>
      <w:pPr>
        <w:spacing w:line="600" w:lineRule="exact"/>
        <w:ind w:firstLine="837" w:firstLineChars="299"/>
        <w:rPr>
          <w:rFonts w:ascii="仿宋" w:hAnsi="仿宋" w:eastAsia="仿宋" w:cs="仿宋"/>
          <w:color w:val="auto"/>
          <w:sz w:val="28"/>
          <w:szCs w:val="28"/>
        </w:rPr>
      </w:pPr>
      <w:r>
        <w:rPr>
          <w:rFonts w:hint="eastAsia" w:ascii="仿宋" w:hAnsi="仿宋" w:eastAsia="仿宋" w:cs="仿宋"/>
          <w:color w:val="auto"/>
          <w:sz w:val="28"/>
          <w:szCs w:val="28"/>
        </w:rPr>
        <w:t>采购机构：</w:t>
      </w:r>
      <w:r>
        <w:rPr>
          <w:rFonts w:hint="eastAsia" w:ascii="仿宋" w:hAnsi="仿宋" w:eastAsia="仿宋" w:cs="仿宋"/>
          <w:color w:val="auto"/>
          <w:sz w:val="28"/>
          <w:szCs w:val="28"/>
          <w:u w:val="single"/>
        </w:rPr>
        <w:t>新疆国源土地矿产资源交易中心（有限公司）</w:t>
      </w:r>
      <w:r>
        <w:rPr>
          <w:rFonts w:hint="eastAsia" w:ascii="仿宋" w:hAnsi="仿宋" w:eastAsia="仿宋" w:cs="仿宋"/>
          <w:color w:val="auto"/>
          <w:sz w:val="28"/>
          <w:szCs w:val="28"/>
        </w:rPr>
        <w:t xml:space="preserve"> </w:t>
      </w:r>
    </w:p>
    <w:p>
      <w:pPr>
        <w:spacing w:line="600" w:lineRule="exact"/>
        <w:ind w:firstLine="837" w:firstLineChars="299"/>
        <w:rPr>
          <w:rFonts w:ascii="仿宋" w:hAnsi="仿宋" w:eastAsia="仿宋" w:cs="仿宋"/>
          <w:b/>
          <w:color w:val="auto"/>
          <w:sz w:val="28"/>
          <w:szCs w:val="28"/>
        </w:rPr>
      </w:pPr>
      <w:r>
        <w:rPr>
          <w:rFonts w:hint="eastAsia" w:ascii="仿宋" w:hAnsi="仿宋" w:eastAsia="仿宋" w:cs="仿宋"/>
          <w:color w:val="auto"/>
          <w:sz w:val="28"/>
          <w:szCs w:val="28"/>
        </w:rPr>
        <w:t>发出日期：</w:t>
      </w:r>
      <w:r>
        <w:rPr>
          <w:rFonts w:hint="eastAsia" w:ascii="仿宋" w:hAnsi="仿宋" w:eastAsia="仿宋" w:cs="仿宋"/>
          <w:color w:val="auto"/>
          <w:sz w:val="28"/>
          <w:szCs w:val="28"/>
          <w:u w:val="single"/>
        </w:rPr>
        <w:t>2023年2月</w:t>
      </w:r>
    </w:p>
    <w:p>
      <w:pPr>
        <w:spacing w:line="240" w:lineRule="atLeast"/>
        <w:ind w:left="1080" w:leftChars="257" w:hanging="540"/>
        <w:rPr>
          <w:rFonts w:ascii="仿宋" w:hAnsi="仿宋" w:eastAsia="仿宋" w:cs="仿宋"/>
          <w:b/>
          <w:color w:val="auto"/>
          <w:szCs w:val="21"/>
        </w:rPr>
      </w:pPr>
    </w:p>
    <w:p>
      <w:pPr>
        <w:pStyle w:val="7"/>
        <w:tabs>
          <w:tab w:val="left" w:pos="0"/>
        </w:tabs>
        <w:spacing w:before="0" w:after="0" w:line="240" w:lineRule="atLeast"/>
        <w:rPr>
          <w:rFonts w:ascii="仿宋" w:hAnsi="仿宋" w:eastAsia="仿宋" w:cs="仿宋"/>
          <w:color w:val="auto"/>
        </w:rPr>
      </w:pPr>
      <w:r>
        <w:rPr>
          <w:rFonts w:hint="eastAsia" w:ascii="仿宋" w:hAnsi="仿宋" w:eastAsia="仿宋" w:cs="仿宋"/>
          <w:b/>
          <w:color w:val="auto"/>
          <w:sz w:val="52"/>
        </w:rPr>
        <w:br w:type="page"/>
      </w:r>
      <w:bookmarkStart w:id="34" w:name="_Toc18934"/>
      <w:bookmarkStart w:id="35" w:name="_Toc216582804"/>
      <w:bookmarkStart w:id="36" w:name="_Toc16386"/>
      <w:r>
        <w:rPr>
          <w:rFonts w:hint="eastAsia" w:ascii="仿宋" w:hAnsi="仿宋" w:eastAsia="仿宋" w:cs="仿宋"/>
          <w:color w:val="auto"/>
        </w:rPr>
        <w:t>第</w:t>
      </w:r>
      <w:r>
        <w:rPr>
          <w:rFonts w:hint="eastAsia" w:ascii="仿宋" w:hAnsi="仿宋" w:eastAsia="仿宋" w:cs="仿宋"/>
          <w:color w:val="auto"/>
          <w:lang w:val="en-US" w:eastAsia="zh-CN"/>
        </w:rPr>
        <w:t>3</w:t>
      </w:r>
      <w:r>
        <w:rPr>
          <w:rFonts w:hint="eastAsia" w:ascii="仿宋" w:hAnsi="仿宋" w:eastAsia="仿宋" w:cs="仿宋"/>
          <w:color w:val="auto"/>
        </w:rPr>
        <w:t xml:space="preserve">章 </w:t>
      </w:r>
      <w:bookmarkStart w:id="37" w:name="_Toc518923059"/>
      <w:r>
        <w:rPr>
          <w:rFonts w:hint="eastAsia" w:ascii="仿宋" w:hAnsi="仿宋" w:eastAsia="仿宋" w:cs="仿宋"/>
          <w:color w:val="auto"/>
        </w:rPr>
        <w:t>供应商须知</w:t>
      </w:r>
      <w:bookmarkEnd w:id="34"/>
      <w:bookmarkEnd w:id="35"/>
      <w:bookmarkEnd w:id="36"/>
      <w:bookmarkEnd w:id="37"/>
    </w:p>
    <w:p>
      <w:pPr>
        <w:rPr>
          <w:rFonts w:ascii="仿宋" w:hAnsi="仿宋" w:eastAsia="仿宋" w:cs="仿宋"/>
          <w:color w:val="auto"/>
        </w:rPr>
      </w:pPr>
    </w:p>
    <w:p>
      <w:pPr>
        <w:pStyle w:val="8"/>
        <w:spacing w:before="0" w:line="240" w:lineRule="atLeast"/>
        <w:ind w:left="1080" w:leftChars="257" w:hanging="540"/>
        <w:rPr>
          <w:rFonts w:ascii="仿宋" w:hAnsi="仿宋" w:eastAsia="仿宋" w:cs="仿宋"/>
          <w:color w:val="auto"/>
          <w:sz w:val="28"/>
        </w:rPr>
      </w:pPr>
      <w:bookmarkStart w:id="38" w:name="_Toc520356143"/>
      <w:bookmarkStart w:id="39" w:name="_Toc216582805"/>
      <w:bookmarkStart w:id="40" w:name="_Toc22759"/>
      <w:bookmarkStart w:id="41" w:name="_Toc7381"/>
      <w:bookmarkStart w:id="42" w:name="_Toc518923060"/>
      <w:r>
        <w:rPr>
          <w:rFonts w:hint="eastAsia" w:ascii="仿宋" w:hAnsi="仿宋" w:eastAsia="仿宋" w:cs="仿宋"/>
          <w:color w:val="auto"/>
          <w:sz w:val="28"/>
        </w:rPr>
        <w:t xml:space="preserve">一   </w:t>
      </w:r>
      <w:bookmarkEnd w:id="38"/>
      <w:bookmarkEnd w:id="39"/>
      <w:r>
        <w:rPr>
          <w:rFonts w:hint="eastAsia" w:ascii="仿宋" w:hAnsi="仿宋" w:eastAsia="仿宋" w:cs="仿宋"/>
          <w:color w:val="auto"/>
          <w:sz w:val="28"/>
        </w:rPr>
        <w:t>总  则</w:t>
      </w:r>
      <w:bookmarkEnd w:id="40"/>
      <w:bookmarkEnd w:id="41"/>
      <w:bookmarkEnd w:id="42"/>
    </w:p>
    <w:p>
      <w:pPr>
        <w:pStyle w:val="11"/>
        <w:rPr>
          <w:rFonts w:ascii="仿宋" w:hAnsi="仿宋" w:eastAsia="仿宋" w:cs="仿宋"/>
          <w:color w:val="auto"/>
        </w:rPr>
      </w:pPr>
    </w:p>
    <w:p>
      <w:pPr>
        <w:pStyle w:val="9"/>
        <w:spacing w:before="0" w:after="0" w:line="240" w:lineRule="atLeast"/>
        <w:outlineLvl w:val="1"/>
        <w:rPr>
          <w:rFonts w:ascii="仿宋" w:hAnsi="仿宋" w:eastAsia="仿宋" w:cs="仿宋"/>
          <w:color w:val="auto"/>
          <w:u w:val="none"/>
        </w:rPr>
      </w:pPr>
      <w:bookmarkStart w:id="43" w:name="_Toc520356144"/>
      <w:bookmarkStart w:id="44" w:name="_Toc518923061"/>
      <w:bookmarkStart w:id="45" w:name="_Toc21003"/>
      <w:bookmarkStart w:id="46" w:name="_Toc23709"/>
      <w:r>
        <w:rPr>
          <w:rFonts w:hint="eastAsia" w:ascii="仿宋" w:hAnsi="仿宋" w:eastAsia="仿宋" w:cs="仿宋"/>
          <w:color w:val="auto"/>
          <w:u w:val="none"/>
        </w:rPr>
        <w:t>1.采购人、采购代理机构及</w:t>
      </w:r>
      <w:bookmarkEnd w:id="43"/>
      <w:bookmarkEnd w:id="44"/>
      <w:r>
        <w:rPr>
          <w:rFonts w:hint="eastAsia" w:ascii="仿宋" w:hAnsi="仿宋" w:eastAsia="仿宋" w:cs="仿宋"/>
          <w:color w:val="auto"/>
          <w:u w:val="none"/>
        </w:rPr>
        <w:t>供应商</w:t>
      </w:r>
      <w:bookmarkEnd w:id="45"/>
      <w:bookmarkEnd w:id="46"/>
    </w:p>
    <w:p>
      <w:pPr>
        <w:numPr>
          <w:ilvl w:val="1"/>
          <w:numId w:val="3"/>
        </w:numPr>
        <w:tabs>
          <w:tab w:val="left" w:pos="0"/>
          <w:tab w:val="clear" w:pos="900"/>
        </w:tabs>
        <w:spacing w:line="240" w:lineRule="atLeast"/>
        <w:ind w:hanging="898"/>
        <w:rPr>
          <w:rFonts w:ascii="仿宋" w:hAnsi="仿宋" w:eastAsia="仿宋" w:cs="仿宋"/>
          <w:color w:val="auto"/>
          <w:sz w:val="24"/>
        </w:rPr>
      </w:pPr>
      <w:r>
        <w:rPr>
          <w:rFonts w:hint="eastAsia" w:ascii="仿宋" w:hAnsi="仿宋" w:eastAsia="仿宋" w:cs="仿宋"/>
          <w:color w:val="auto"/>
          <w:sz w:val="24"/>
        </w:rPr>
        <w:t>采购人：是指依法开展政府采购活动的国家机关、事业单位、团体组织。</w:t>
      </w:r>
    </w:p>
    <w:p>
      <w:pPr>
        <w:tabs>
          <w:tab w:val="left" w:pos="0"/>
        </w:tabs>
        <w:spacing w:line="240" w:lineRule="atLeast"/>
        <w:ind w:left="900"/>
        <w:rPr>
          <w:rFonts w:ascii="仿宋" w:hAnsi="仿宋" w:eastAsia="仿宋" w:cs="仿宋"/>
          <w:color w:val="auto"/>
          <w:sz w:val="24"/>
        </w:rPr>
      </w:pPr>
      <w:r>
        <w:rPr>
          <w:rFonts w:hint="eastAsia" w:ascii="仿宋" w:hAnsi="仿宋" w:eastAsia="仿宋" w:cs="仿宋"/>
          <w:color w:val="auto"/>
          <w:sz w:val="24"/>
        </w:rPr>
        <w:t>本项目的采购人见</w:t>
      </w:r>
      <w:r>
        <w:rPr>
          <w:rFonts w:hint="eastAsia" w:ascii="仿宋" w:hAnsi="仿宋" w:eastAsia="仿宋" w:cs="仿宋"/>
          <w:b/>
          <w:bCs/>
          <w:color w:val="auto"/>
          <w:sz w:val="24"/>
          <w:u w:val="single"/>
        </w:rPr>
        <w:t>供应商须知资料表</w:t>
      </w:r>
      <w:r>
        <w:rPr>
          <w:rFonts w:hint="eastAsia" w:ascii="仿宋" w:hAnsi="仿宋" w:eastAsia="仿宋" w:cs="仿宋"/>
          <w:color w:val="auto"/>
          <w:sz w:val="24"/>
        </w:rPr>
        <w:t>。</w:t>
      </w:r>
    </w:p>
    <w:p>
      <w:pPr>
        <w:numPr>
          <w:ilvl w:val="1"/>
          <w:numId w:val="3"/>
        </w:numPr>
        <w:tabs>
          <w:tab w:val="left" w:pos="0"/>
          <w:tab w:val="clear" w:pos="900"/>
        </w:tabs>
        <w:spacing w:line="240" w:lineRule="atLeast"/>
        <w:ind w:hanging="898"/>
        <w:rPr>
          <w:rFonts w:ascii="仿宋" w:hAnsi="仿宋" w:eastAsia="仿宋" w:cs="仿宋"/>
          <w:color w:val="auto"/>
          <w:sz w:val="24"/>
        </w:rPr>
      </w:pPr>
      <w:r>
        <w:rPr>
          <w:rFonts w:hint="eastAsia" w:ascii="仿宋" w:hAnsi="仿宋" w:eastAsia="仿宋" w:cs="仿宋"/>
          <w:color w:val="auto"/>
          <w:sz w:val="24"/>
        </w:rPr>
        <w:t>采购代理机构：是指集中采购机构或从事采购代理业务的社会中介机构。本项目的采购代理机构见</w:t>
      </w:r>
      <w:r>
        <w:rPr>
          <w:rFonts w:hint="eastAsia" w:ascii="仿宋" w:hAnsi="仿宋" w:eastAsia="仿宋" w:cs="仿宋"/>
          <w:b/>
          <w:bCs/>
          <w:color w:val="auto"/>
          <w:sz w:val="24"/>
          <w:u w:val="single"/>
        </w:rPr>
        <w:t>供应商须知资料表</w:t>
      </w:r>
      <w:r>
        <w:rPr>
          <w:rFonts w:hint="eastAsia" w:ascii="仿宋" w:hAnsi="仿宋" w:eastAsia="仿宋" w:cs="仿宋"/>
          <w:color w:val="auto"/>
          <w:sz w:val="24"/>
        </w:rPr>
        <w:t>。</w:t>
      </w:r>
    </w:p>
    <w:p>
      <w:pPr>
        <w:numPr>
          <w:ilvl w:val="1"/>
          <w:numId w:val="3"/>
        </w:numPr>
        <w:spacing w:line="240" w:lineRule="atLeast"/>
        <w:ind w:hangingChars="375"/>
        <w:rPr>
          <w:rFonts w:ascii="仿宋" w:hAnsi="仿宋" w:eastAsia="仿宋" w:cs="仿宋"/>
          <w:color w:val="auto"/>
          <w:sz w:val="24"/>
        </w:rPr>
      </w:pPr>
      <w:r>
        <w:rPr>
          <w:rFonts w:hint="eastAsia" w:ascii="仿宋" w:hAnsi="仿宋" w:eastAsia="仿宋" w:cs="仿宋"/>
          <w:color w:val="auto"/>
          <w:sz w:val="24"/>
        </w:rPr>
        <w:t>供应商：是指向采购人提供货物、工程或者服务的法人、非法人组织或者自然人。本项目的供应商须满足以下条件：</w:t>
      </w:r>
    </w:p>
    <w:p>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1.3.1</w:t>
      </w:r>
      <w:r>
        <w:rPr>
          <w:rFonts w:hint="eastAsia" w:ascii="仿宋" w:hAnsi="仿宋" w:eastAsia="仿宋" w:cs="仿宋"/>
          <w:color w:val="auto"/>
          <w:sz w:val="24"/>
        </w:rPr>
        <w:tab/>
      </w:r>
      <w:r>
        <w:rPr>
          <w:rFonts w:hint="eastAsia" w:ascii="仿宋" w:hAnsi="仿宋" w:eastAsia="仿宋" w:cs="仿宋"/>
          <w:color w:val="auto"/>
          <w:sz w:val="24"/>
        </w:rPr>
        <w:t>在中华人民共和国境内注册，能够独立承担民事责任，有生产或供应能力的本国供应商。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1.3.3   以采购代理机构认可的方式获得了本项目的采购文件。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1.3.4   符合</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中规定的其他要求。</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1.3.5   若</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中写明专门面向中小企业采购的，如供应商为非中小企业，其投标将被认定为投标无效。</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     如</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中允许联合体投标，对联合体规定如下：</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1.4.1   两个以上供应商可以组成一个投标联合体，以一个供应商的身份投标。</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1.4.2   联合体各方均应符合《中华人民共和国政府采购法》第二十二条规定的条件。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1.4.3   采购人根据采购项目对供应商的特殊要求，联合体中至少应当有一方符合相关规定。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1.4.6  联合体中有同类资质的供应商按照联合体分工承担相同工作的，按照资质等级较低的供应商确定资质等级。</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1.4.8  对联合体投标的其他资格要求见</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    单位负责人为同一人或者存在直接控股、管理关系的不同供应商，其相关投标将被认定为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w:t>
      </w:r>
      <w:r>
        <w:rPr>
          <w:rFonts w:hint="eastAsia" w:ascii="仿宋" w:hAnsi="仿宋" w:eastAsia="仿宋" w:cs="仿宋"/>
          <w:color w:val="auto"/>
          <w:sz w:val="24"/>
        </w:rPr>
        <w:tab/>
      </w:r>
      <w:r>
        <w:rPr>
          <w:rFonts w:hint="eastAsia" w:ascii="仿宋" w:hAnsi="仿宋" w:eastAsia="仿宋" w:cs="仿宋"/>
          <w:color w:val="auto"/>
          <w:sz w:val="24"/>
        </w:rPr>
        <w:t>供应商在投标过程中不得向采购人提供或给予影响其正常决策行为的任何有价值物品或服务。一经发现，其投标将被认定为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pStyle w:val="9"/>
        <w:spacing w:before="0" w:after="0" w:line="240" w:lineRule="atLeast"/>
        <w:outlineLvl w:val="1"/>
        <w:rPr>
          <w:rFonts w:ascii="仿宋" w:hAnsi="仿宋" w:eastAsia="仿宋" w:cs="仿宋"/>
          <w:color w:val="auto"/>
          <w:u w:val="none"/>
        </w:rPr>
      </w:pPr>
      <w:bookmarkStart w:id="47" w:name="_Toc518923062"/>
      <w:bookmarkStart w:id="48" w:name="_Toc19784"/>
      <w:bookmarkStart w:id="49" w:name="_Toc25426"/>
      <w:r>
        <w:rPr>
          <w:rFonts w:hint="eastAsia" w:ascii="仿宋" w:hAnsi="仿宋" w:eastAsia="仿宋" w:cs="仿宋"/>
          <w:color w:val="auto"/>
          <w:u w:val="none"/>
        </w:rPr>
        <w:t>2.资金来源</w:t>
      </w:r>
      <w:bookmarkEnd w:id="47"/>
      <w:bookmarkEnd w:id="48"/>
      <w:bookmarkEnd w:id="4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rPr>
        <w:tab/>
      </w:r>
      <w:r>
        <w:rPr>
          <w:rFonts w:hint="eastAsia" w:ascii="仿宋" w:hAnsi="仿宋" w:eastAsia="仿宋" w:cs="仿宋"/>
          <w:color w:val="auto"/>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2.2    项目预算金额和分项或分包最高限价</w:t>
      </w:r>
      <w:r>
        <w:rPr>
          <w:rFonts w:hint="eastAsia" w:ascii="仿宋" w:hAnsi="仿宋" w:eastAsia="仿宋" w:cs="仿宋"/>
          <w:b/>
          <w:bCs/>
          <w:color w:val="auto"/>
          <w:sz w:val="24"/>
          <w:u w:val="single"/>
        </w:rPr>
        <w:t>见供应商须知资料表</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2.3    供应商报价超过采购文件规定的预算金额或者分项、分包最高限价的，其投标将被认定为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pStyle w:val="9"/>
        <w:spacing w:before="0" w:after="0" w:line="240" w:lineRule="atLeast"/>
        <w:outlineLvl w:val="1"/>
        <w:rPr>
          <w:rFonts w:ascii="仿宋" w:hAnsi="仿宋" w:eastAsia="仿宋" w:cs="仿宋"/>
          <w:color w:val="auto"/>
          <w:u w:val="none"/>
        </w:rPr>
      </w:pPr>
      <w:bookmarkStart w:id="50" w:name="_Toc518923063"/>
      <w:bookmarkStart w:id="51" w:name="_Toc8114"/>
      <w:bookmarkStart w:id="52" w:name="_Toc8404"/>
      <w:bookmarkStart w:id="53" w:name="_Toc520356145"/>
      <w:r>
        <w:rPr>
          <w:rFonts w:hint="eastAsia" w:ascii="仿宋" w:hAnsi="仿宋" w:eastAsia="仿宋" w:cs="仿宋"/>
          <w:color w:val="auto"/>
          <w:u w:val="none"/>
        </w:rPr>
        <w:t>3.投标费用</w:t>
      </w:r>
      <w:bookmarkEnd w:id="50"/>
      <w:bookmarkEnd w:id="51"/>
      <w:bookmarkEnd w:id="52"/>
      <w:bookmarkEnd w:id="53"/>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不论投标的结果如何，供应商应承担所有与准备和参加投标有关的费用。</w:t>
      </w:r>
    </w:p>
    <w:p>
      <w:pPr>
        <w:pStyle w:val="9"/>
        <w:spacing w:before="0" w:after="0" w:line="240" w:lineRule="atLeast"/>
        <w:outlineLvl w:val="1"/>
        <w:rPr>
          <w:rFonts w:ascii="仿宋" w:hAnsi="仿宋" w:eastAsia="仿宋" w:cs="仿宋"/>
          <w:color w:val="auto"/>
          <w:u w:val="none"/>
        </w:rPr>
      </w:pPr>
      <w:bookmarkStart w:id="54" w:name="_Toc24041"/>
      <w:bookmarkStart w:id="55" w:name="_Toc518923064"/>
      <w:bookmarkStart w:id="56" w:name="_Toc7676"/>
      <w:r>
        <w:rPr>
          <w:rFonts w:hint="eastAsia" w:ascii="仿宋" w:hAnsi="仿宋" w:eastAsia="仿宋" w:cs="仿宋"/>
          <w:color w:val="auto"/>
          <w:u w:val="none"/>
        </w:rPr>
        <w:t>4.适用法律</w:t>
      </w:r>
      <w:bookmarkEnd w:id="54"/>
      <w:bookmarkEnd w:id="55"/>
      <w:bookmarkEnd w:id="56"/>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ascii="仿宋" w:hAnsi="仿宋" w:eastAsia="仿宋" w:cs="仿宋"/>
          <w:color w:val="auto"/>
          <w:sz w:val="24"/>
        </w:rPr>
      </w:pPr>
    </w:p>
    <w:p>
      <w:pPr>
        <w:pStyle w:val="8"/>
        <w:spacing w:before="0" w:line="240" w:lineRule="atLeast"/>
        <w:ind w:left="1080" w:leftChars="257" w:hanging="540"/>
        <w:rPr>
          <w:rFonts w:ascii="仿宋" w:hAnsi="仿宋" w:eastAsia="仿宋" w:cs="仿宋"/>
          <w:color w:val="auto"/>
          <w:sz w:val="28"/>
        </w:rPr>
      </w:pPr>
      <w:bookmarkStart w:id="57" w:name="_Toc518923065"/>
      <w:bookmarkStart w:id="58" w:name="_Toc216582806"/>
      <w:bookmarkStart w:id="59" w:name="_Toc520356146"/>
      <w:bookmarkStart w:id="60" w:name="_Toc23252"/>
      <w:bookmarkStart w:id="61" w:name="_Toc10350"/>
      <w:r>
        <w:rPr>
          <w:rFonts w:hint="eastAsia" w:ascii="仿宋" w:hAnsi="仿宋" w:eastAsia="仿宋" w:cs="仿宋"/>
          <w:color w:val="auto"/>
          <w:sz w:val="28"/>
        </w:rPr>
        <w:t xml:space="preserve">二   </w:t>
      </w:r>
      <w:bookmarkEnd w:id="57"/>
      <w:bookmarkEnd w:id="58"/>
      <w:bookmarkEnd w:id="59"/>
      <w:r>
        <w:rPr>
          <w:rFonts w:hint="eastAsia" w:ascii="仿宋" w:hAnsi="仿宋" w:eastAsia="仿宋" w:cs="仿宋"/>
          <w:color w:val="auto"/>
          <w:sz w:val="28"/>
        </w:rPr>
        <w:t>采购文件</w:t>
      </w:r>
      <w:bookmarkEnd w:id="60"/>
      <w:bookmarkEnd w:id="61"/>
    </w:p>
    <w:p>
      <w:pPr>
        <w:pStyle w:val="11"/>
        <w:rPr>
          <w:rFonts w:ascii="仿宋" w:hAnsi="仿宋" w:eastAsia="仿宋" w:cs="仿宋"/>
          <w:color w:val="auto"/>
        </w:rPr>
      </w:pPr>
    </w:p>
    <w:p>
      <w:pPr>
        <w:pStyle w:val="9"/>
        <w:spacing w:before="0" w:after="0" w:line="240" w:lineRule="atLeast"/>
        <w:outlineLvl w:val="1"/>
        <w:rPr>
          <w:rFonts w:ascii="仿宋" w:hAnsi="仿宋" w:eastAsia="仿宋" w:cs="仿宋"/>
          <w:color w:val="auto"/>
          <w:u w:val="none"/>
        </w:rPr>
      </w:pPr>
      <w:bookmarkStart w:id="62" w:name="_Toc520356147"/>
      <w:bookmarkStart w:id="63" w:name="_Toc23171"/>
      <w:bookmarkStart w:id="64" w:name="_Toc518923066"/>
      <w:bookmarkStart w:id="65" w:name="_Toc30098"/>
      <w:r>
        <w:rPr>
          <w:rFonts w:hint="eastAsia" w:ascii="仿宋" w:hAnsi="仿宋" w:eastAsia="仿宋" w:cs="仿宋"/>
          <w:color w:val="auto"/>
          <w:u w:val="none"/>
        </w:rPr>
        <w:t>5.采购文件构成</w:t>
      </w:r>
      <w:bookmarkEnd w:id="62"/>
      <w:bookmarkEnd w:id="63"/>
      <w:bookmarkEnd w:id="64"/>
      <w:bookmarkEnd w:id="65"/>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5.1</w:t>
      </w:r>
      <w:r>
        <w:rPr>
          <w:rFonts w:hint="eastAsia" w:ascii="仿宋" w:hAnsi="仿宋" w:eastAsia="仿宋" w:cs="仿宋"/>
          <w:color w:val="auto"/>
          <w:sz w:val="24"/>
        </w:rPr>
        <w:tab/>
      </w:r>
      <w:r>
        <w:rPr>
          <w:rFonts w:hint="eastAsia" w:ascii="仿宋" w:hAnsi="仿宋" w:eastAsia="仿宋" w:cs="仿宋"/>
          <w:color w:val="auto"/>
          <w:sz w:val="24"/>
        </w:rPr>
        <w:t>采购文件分为三册共7章，内容如下：</w:t>
      </w:r>
    </w:p>
    <w:p>
      <w:pPr>
        <w:spacing w:line="240" w:lineRule="atLeast"/>
        <w:ind w:left="1079" w:leftChars="428" w:hanging="180" w:hangingChars="75"/>
        <w:rPr>
          <w:rFonts w:ascii="仿宋" w:hAnsi="仿宋" w:eastAsia="仿宋" w:cs="仿宋"/>
          <w:color w:val="auto"/>
          <w:sz w:val="24"/>
        </w:rPr>
      </w:pPr>
      <w:r>
        <w:rPr>
          <w:rFonts w:hint="eastAsia" w:ascii="仿宋" w:hAnsi="仿宋" w:eastAsia="仿宋" w:cs="仿宋"/>
          <w:color w:val="auto"/>
          <w:sz w:val="24"/>
        </w:rPr>
        <w:t xml:space="preserve">第一册 </w:t>
      </w:r>
    </w:p>
    <w:p>
      <w:pPr>
        <w:spacing w:line="240" w:lineRule="atLeast"/>
        <w:ind w:left="1079" w:leftChars="428" w:hanging="180" w:hangingChars="75"/>
        <w:rPr>
          <w:rFonts w:hint="default" w:ascii="仿宋" w:hAnsi="仿宋" w:eastAsia="仿宋" w:cs="仿宋"/>
          <w:color w:val="auto"/>
          <w:sz w:val="24"/>
          <w:lang w:val="en-US" w:eastAsia="zh-CN"/>
        </w:rPr>
      </w:pPr>
      <w:r>
        <w:rPr>
          <w:rFonts w:hint="eastAsia" w:ascii="仿宋" w:hAnsi="仿宋" w:eastAsia="仿宋" w:cs="仿宋"/>
          <w:color w:val="auto"/>
          <w:sz w:val="24"/>
        </w:rPr>
        <w:t xml:space="preserve">第1章  </w:t>
      </w:r>
      <w:r>
        <w:rPr>
          <w:rFonts w:hint="eastAsia" w:ascii="仿宋" w:hAnsi="仿宋" w:eastAsia="仿宋" w:cs="仿宋"/>
          <w:color w:val="auto"/>
          <w:sz w:val="24"/>
          <w:lang w:val="en-US" w:eastAsia="zh-CN"/>
        </w:rPr>
        <w:t>招标公告</w:t>
      </w:r>
    </w:p>
    <w:p>
      <w:pPr>
        <w:spacing w:line="240" w:lineRule="atLeast"/>
        <w:ind w:left="901"/>
        <w:rPr>
          <w:rFonts w:ascii="仿宋" w:hAnsi="仿宋" w:eastAsia="仿宋" w:cs="仿宋"/>
          <w:color w:val="auto"/>
          <w:sz w:val="24"/>
        </w:rPr>
      </w:pPr>
      <w:r>
        <w:rPr>
          <w:rFonts w:hint="eastAsia" w:ascii="仿宋" w:hAnsi="仿宋" w:eastAsia="仿宋" w:cs="仿宋"/>
          <w:color w:val="auto"/>
          <w:sz w:val="24"/>
        </w:rPr>
        <w:t>第2章　供应商须知资料表</w:t>
      </w:r>
    </w:p>
    <w:p>
      <w:pPr>
        <w:spacing w:line="240" w:lineRule="atLeast"/>
        <w:ind w:left="1081" w:leftChars="429" w:hanging="180"/>
        <w:outlineLvl w:val="0"/>
        <w:rPr>
          <w:rFonts w:ascii="仿宋" w:hAnsi="仿宋" w:eastAsia="仿宋" w:cs="仿宋"/>
          <w:color w:val="auto"/>
          <w:sz w:val="24"/>
        </w:rPr>
      </w:pPr>
      <w:bookmarkStart w:id="66" w:name="_Toc2120"/>
      <w:r>
        <w:rPr>
          <w:rFonts w:hint="eastAsia" w:ascii="仿宋" w:hAnsi="仿宋" w:eastAsia="仿宋" w:cs="仿宋"/>
          <w:color w:val="auto"/>
          <w:sz w:val="24"/>
        </w:rPr>
        <w:t>第二册</w:t>
      </w:r>
      <w:bookmarkEnd w:id="66"/>
    </w:p>
    <w:p>
      <w:pPr>
        <w:spacing w:line="240" w:lineRule="atLeast"/>
        <w:ind w:left="901" w:leftChars="429"/>
        <w:rPr>
          <w:rFonts w:ascii="仿宋" w:hAnsi="仿宋" w:eastAsia="仿宋" w:cs="仿宋"/>
          <w:color w:val="auto"/>
          <w:sz w:val="24"/>
        </w:rPr>
      </w:pPr>
      <w:r>
        <w:rPr>
          <w:rFonts w:hint="eastAsia" w:ascii="仿宋" w:hAnsi="仿宋" w:eastAsia="仿宋" w:cs="仿宋"/>
          <w:color w:val="auto"/>
          <w:sz w:val="24"/>
        </w:rPr>
        <w:t xml:space="preserve">第3章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供应商须知</w:t>
      </w:r>
    </w:p>
    <w:p>
      <w:pPr>
        <w:spacing w:line="240" w:lineRule="atLeast"/>
        <w:ind w:left="901" w:leftChars="429"/>
        <w:rPr>
          <w:rFonts w:ascii="仿宋" w:hAnsi="仿宋" w:eastAsia="仿宋" w:cs="仿宋"/>
          <w:color w:val="auto"/>
          <w:sz w:val="24"/>
        </w:rPr>
      </w:pPr>
      <w:r>
        <w:rPr>
          <w:rFonts w:hint="eastAsia" w:ascii="仿宋" w:hAnsi="仿宋" w:eastAsia="仿宋" w:cs="仿宋"/>
          <w:color w:val="auto"/>
          <w:sz w:val="24"/>
        </w:rPr>
        <w:t>第4章  投标文件格式</w:t>
      </w:r>
    </w:p>
    <w:p>
      <w:pPr>
        <w:spacing w:line="240" w:lineRule="atLeast"/>
        <w:ind w:left="901" w:leftChars="429"/>
        <w:rPr>
          <w:rFonts w:ascii="仿宋" w:hAnsi="仿宋" w:eastAsia="仿宋" w:cs="仿宋"/>
          <w:color w:val="auto"/>
          <w:sz w:val="24"/>
        </w:rPr>
      </w:pPr>
      <w:r>
        <w:rPr>
          <w:rFonts w:hint="eastAsia" w:ascii="仿宋" w:hAnsi="仿宋" w:eastAsia="仿宋" w:cs="仿宋"/>
          <w:color w:val="auto"/>
          <w:sz w:val="24"/>
        </w:rPr>
        <w:t>第5章  采购需求</w:t>
      </w:r>
    </w:p>
    <w:p>
      <w:pPr>
        <w:spacing w:line="240" w:lineRule="atLeast"/>
        <w:ind w:left="901" w:leftChars="429"/>
        <w:rPr>
          <w:rFonts w:ascii="仿宋" w:hAnsi="仿宋" w:eastAsia="仿宋" w:cs="仿宋"/>
          <w:color w:val="auto"/>
          <w:sz w:val="24"/>
        </w:rPr>
      </w:pPr>
      <w:r>
        <w:rPr>
          <w:rFonts w:hint="eastAsia" w:ascii="仿宋" w:hAnsi="仿宋" w:eastAsia="仿宋" w:cs="仿宋"/>
          <w:color w:val="auto"/>
          <w:sz w:val="24"/>
        </w:rPr>
        <w:t>第6章  评标方法和标准</w:t>
      </w:r>
    </w:p>
    <w:p>
      <w:pPr>
        <w:spacing w:line="240" w:lineRule="atLeast"/>
        <w:ind w:left="901"/>
        <w:rPr>
          <w:rFonts w:ascii="仿宋" w:hAnsi="仿宋" w:eastAsia="仿宋" w:cs="仿宋"/>
          <w:color w:val="auto"/>
          <w:sz w:val="24"/>
        </w:rPr>
      </w:pPr>
      <w:r>
        <w:rPr>
          <w:rFonts w:hint="eastAsia" w:ascii="仿宋" w:hAnsi="仿宋" w:eastAsia="仿宋" w:cs="仿宋"/>
          <w:color w:val="auto"/>
          <w:sz w:val="24"/>
        </w:rPr>
        <w:t>第三册</w:t>
      </w:r>
    </w:p>
    <w:p>
      <w:pPr>
        <w:spacing w:line="240" w:lineRule="atLeast"/>
        <w:ind w:left="901" w:leftChars="429"/>
        <w:outlineLvl w:val="0"/>
        <w:rPr>
          <w:rFonts w:ascii="仿宋" w:hAnsi="仿宋" w:eastAsia="仿宋" w:cs="仿宋"/>
          <w:color w:val="auto"/>
          <w:sz w:val="24"/>
        </w:rPr>
      </w:pPr>
      <w:bookmarkStart w:id="67" w:name="_Toc8446"/>
      <w:r>
        <w:rPr>
          <w:rFonts w:hint="eastAsia" w:ascii="仿宋" w:hAnsi="仿宋" w:eastAsia="仿宋" w:cs="仿宋"/>
          <w:color w:val="auto"/>
          <w:sz w:val="24"/>
        </w:rPr>
        <w:t>第7章  政府采购合同</w:t>
      </w:r>
      <w:bookmarkEnd w:id="67"/>
    </w:p>
    <w:p>
      <w:pPr>
        <w:spacing w:line="240" w:lineRule="atLeast"/>
        <w:outlineLvl w:val="1"/>
        <w:rPr>
          <w:rFonts w:ascii="仿宋" w:hAnsi="仿宋" w:eastAsia="仿宋" w:cs="仿宋"/>
          <w:color w:val="auto"/>
          <w:sz w:val="24"/>
        </w:rPr>
      </w:pPr>
      <w:bookmarkStart w:id="68" w:name="_Toc14148"/>
      <w:r>
        <w:rPr>
          <w:rFonts w:hint="eastAsia" w:ascii="仿宋" w:hAnsi="仿宋" w:eastAsia="仿宋" w:cs="仿宋"/>
          <w:color w:val="auto"/>
          <w:sz w:val="24"/>
        </w:rPr>
        <w:t>5.2</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如本文件的前后内容不一致，以最后描述为准。</w:t>
      </w:r>
      <w:bookmarkEnd w:id="6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5.3    供应商应认真阅读采购文件所有的事项、格式、条款和技术规范等。如供应商没有按照采购文件要求提交全部资料，或者投标文件没有对采购文件在各方面都做出实质性响应，可能导致其投标被认定为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pStyle w:val="9"/>
        <w:spacing w:before="0" w:after="0" w:line="240" w:lineRule="atLeast"/>
        <w:rPr>
          <w:rFonts w:ascii="仿宋" w:hAnsi="仿宋" w:eastAsia="仿宋" w:cs="仿宋"/>
          <w:b w:val="0"/>
          <w:color w:val="auto"/>
          <w:u w:val="none"/>
        </w:rPr>
      </w:pPr>
      <w:bookmarkStart w:id="69" w:name="_Toc520356148"/>
      <w:bookmarkStart w:id="70" w:name="_Toc518923067"/>
      <w:bookmarkStart w:id="71" w:name="_Toc2673"/>
      <w:r>
        <w:rPr>
          <w:rFonts w:hint="eastAsia" w:ascii="仿宋" w:hAnsi="仿宋" w:eastAsia="仿宋" w:cs="仿宋"/>
          <w:color w:val="auto"/>
          <w:u w:val="none"/>
        </w:rPr>
        <w:t>6.采购文件的澄清</w:t>
      </w:r>
      <w:bookmarkEnd w:id="69"/>
      <w:r>
        <w:rPr>
          <w:rFonts w:hint="eastAsia" w:ascii="仿宋" w:hAnsi="仿宋" w:eastAsia="仿宋" w:cs="仿宋"/>
          <w:color w:val="auto"/>
          <w:u w:val="none"/>
        </w:rPr>
        <w:t>与修改</w:t>
      </w:r>
      <w:bookmarkEnd w:id="70"/>
      <w:bookmarkEnd w:id="71"/>
    </w:p>
    <w:p>
      <w:pPr>
        <w:pStyle w:val="11"/>
        <w:ind w:left="840" w:hanging="840" w:hangingChars="350"/>
        <w:rPr>
          <w:rFonts w:ascii="仿宋" w:hAnsi="仿宋" w:eastAsia="仿宋" w:cs="仿宋"/>
          <w:color w:val="auto"/>
          <w:szCs w:val="24"/>
        </w:rPr>
      </w:pPr>
      <w:r>
        <w:rPr>
          <w:rFonts w:hint="eastAsia" w:ascii="仿宋" w:hAnsi="仿宋" w:eastAsia="仿宋" w:cs="仿宋"/>
          <w:color w:val="auto"/>
          <w:szCs w:val="24"/>
        </w:rPr>
        <w:t>6.1    为了保证对采购文件的澄清和修改满足法律的时限要求，任何要求对采购文件进行澄清的供应商，均应在投标截止期十五日前，以书面形式将澄清要求通知采购人或采购代理机构。</w:t>
      </w:r>
    </w:p>
    <w:p>
      <w:pPr>
        <w:pStyle w:val="11"/>
        <w:ind w:left="840" w:hanging="840" w:hangingChars="350"/>
        <w:rPr>
          <w:rFonts w:ascii="仿宋" w:hAnsi="仿宋" w:eastAsia="仿宋" w:cs="仿宋"/>
          <w:color w:val="auto"/>
          <w:szCs w:val="24"/>
        </w:rPr>
      </w:pPr>
      <w:bookmarkStart w:id="72" w:name="_Toc520356149"/>
      <w:bookmarkStart w:id="73" w:name="_Ref467378678"/>
      <w:r>
        <w:rPr>
          <w:rFonts w:hint="eastAsia" w:ascii="仿宋" w:hAnsi="仿宋" w:eastAsia="仿宋" w:cs="仿宋"/>
          <w:color w:val="auto"/>
          <w:szCs w:val="24"/>
        </w:rPr>
        <w:t>6.2</w:t>
      </w:r>
      <w:r>
        <w:rPr>
          <w:rFonts w:hint="eastAsia" w:ascii="仿宋" w:hAnsi="仿宋" w:eastAsia="仿宋" w:cs="仿宋"/>
          <w:color w:val="auto"/>
          <w:szCs w:val="24"/>
        </w:rPr>
        <w:tab/>
      </w:r>
      <w:r>
        <w:rPr>
          <w:rFonts w:hint="eastAsia" w:ascii="仿宋" w:hAnsi="仿宋" w:eastAsia="仿宋" w:cs="仿宋"/>
          <w:color w:val="auto"/>
          <w:szCs w:val="24"/>
        </w:rPr>
        <w:t>采购人可主动地或在解答供应商提出的澄清问题时对采购文件澄清或修改。采购代理机构将以发布澄清（更正）公告的方式，澄清或修改采购文件，澄清或修改内容作为采购文件的组成部分。</w:t>
      </w:r>
    </w:p>
    <w:p>
      <w:pPr>
        <w:pStyle w:val="11"/>
        <w:ind w:left="840" w:hanging="840" w:hangingChars="350"/>
        <w:rPr>
          <w:rFonts w:ascii="仿宋" w:hAnsi="仿宋" w:eastAsia="仿宋" w:cs="仿宋"/>
          <w:color w:val="auto"/>
          <w:szCs w:val="24"/>
        </w:rPr>
      </w:pPr>
      <w:r>
        <w:rPr>
          <w:rFonts w:hint="eastAsia" w:ascii="仿宋" w:hAnsi="仿宋" w:eastAsia="仿宋" w:cs="仿宋"/>
          <w:color w:val="auto"/>
          <w:szCs w:val="24"/>
        </w:rPr>
        <w:t>6.3</w:t>
      </w:r>
      <w:r>
        <w:rPr>
          <w:rFonts w:hint="eastAsia" w:ascii="仿宋" w:hAnsi="仿宋" w:eastAsia="仿宋" w:cs="仿宋"/>
          <w:color w:val="auto"/>
          <w:szCs w:val="24"/>
        </w:rPr>
        <w:tab/>
      </w:r>
      <w:r>
        <w:rPr>
          <w:rFonts w:hint="eastAsia" w:ascii="仿宋" w:hAnsi="仿宋" w:eastAsia="仿宋" w:cs="仿宋"/>
          <w:color w:val="auto"/>
          <w:szCs w:val="24"/>
        </w:rPr>
        <w:t>澄清或者修改的内容可能影响投标文件编制的，采购代理机构将以发布澄清（更正）公告的方式告知所有潜在供应商，并对其具有约束力。</w:t>
      </w:r>
    </w:p>
    <w:p>
      <w:pPr>
        <w:pStyle w:val="9"/>
        <w:tabs>
          <w:tab w:val="left" w:pos="900"/>
        </w:tabs>
        <w:spacing w:before="0" w:after="0" w:line="240" w:lineRule="atLeast"/>
        <w:rPr>
          <w:rFonts w:ascii="仿宋" w:hAnsi="仿宋" w:eastAsia="仿宋" w:cs="仿宋"/>
          <w:color w:val="auto"/>
          <w:u w:val="none"/>
        </w:rPr>
      </w:pPr>
      <w:bookmarkStart w:id="74" w:name="_Toc518923068"/>
      <w:bookmarkStart w:id="75" w:name="_Toc14547"/>
      <w:r>
        <w:rPr>
          <w:rFonts w:hint="eastAsia" w:ascii="仿宋" w:hAnsi="仿宋" w:eastAsia="仿宋" w:cs="仿宋"/>
          <w:color w:val="auto"/>
          <w:u w:val="none"/>
        </w:rPr>
        <w:t>7</w:t>
      </w:r>
      <w:bookmarkEnd w:id="72"/>
      <w:bookmarkEnd w:id="73"/>
      <w:r>
        <w:rPr>
          <w:rFonts w:hint="eastAsia" w:ascii="仿宋" w:hAnsi="仿宋" w:eastAsia="仿宋" w:cs="仿宋"/>
          <w:color w:val="auto"/>
          <w:u w:val="none"/>
        </w:rPr>
        <w:t>.投标截止时间的顺延</w:t>
      </w:r>
      <w:bookmarkEnd w:id="74"/>
      <w:bookmarkEnd w:id="75"/>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为使供应商准备投标时有足够的时间对采购文件的澄清或者修改部分进行研究，采购人将依法决定是否顺延投标截止时间。</w:t>
      </w:r>
    </w:p>
    <w:p>
      <w:pPr>
        <w:spacing w:line="240" w:lineRule="atLeast"/>
        <w:ind w:left="900" w:hanging="900" w:hangingChars="375"/>
        <w:rPr>
          <w:rFonts w:ascii="仿宋" w:hAnsi="仿宋" w:eastAsia="仿宋" w:cs="仿宋"/>
          <w:color w:val="auto"/>
          <w:sz w:val="24"/>
        </w:rPr>
      </w:pPr>
    </w:p>
    <w:p>
      <w:pPr>
        <w:pStyle w:val="8"/>
        <w:tabs>
          <w:tab w:val="left" w:pos="900"/>
        </w:tabs>
        <w:spacing w:before="0" w:line="240" w:lineRule="atLeast"/>
        <w:ind w:left="1080" w:leftChars="257" w:hanging="540"/>
        <w:rPr>
          <w:rFonts w:ascii="仿宋" w:hAnsi="仿宋" w:eastAsia="仿宋" w:cs="仿宋"/>
          <w:color w:val="auto"/>
          <w:sz w:val="28"/>
        </w:rPr>
      </w:pPr>
      <w:bookmarkStart w:id="76" w:name="_Toc516367020"/>
      <w:bookmarkStart w:id="77" w:name="_Toc518923069"/>
      <w:bookmarkStart w:id="78" w:name="_Toc6762"/>
      <w:bookmarkStart w:id="79" w:name="_Toc286"/>
      <w:bookmarkStart w:id="80" w:name="_Toc216582807"/>
      <w:bookmarkStart w:id="81" w:name="_Toc520356150"/>
      <w:r>
        <w:rPr>
          <w:rFonts w:hint="eastAsia" w:ascii="仿宋" w:hAnsi="仿宋" w:eastAsia="仿宋" w:cs="仿宋"/>
          <w:color w:val="auto"/>
          <w:sz w:val="28"/>
        </w:rPr>
        <w:t>三   投标文件</w:t>
      </w:r>
      <w:bookmarkEnd w:id="76"/>
      <w:r>
        <w:rPr>
          <w:rFonts w:hint="eastAsia" w:ascii="仿宋" w:hAnsi="仿宋" w:eastAsia="仿宋" w:cs="仿宋"/>
          <w:color w:val="auto"/>
          <w:sz w:val="28"/>
        </w:rPr>
        <w:t>的编制</w:t>
      </w:r>
      <w:bookmarkEnd w:id="77"/>
      <w:bookmarkEnd w:id="78"/>
      <w:bookmarkEnd w:id="79"/>
      <w:bookmarkEnd w:id="80"/>
      <w:bookmarkEnd w:id="81"/>
    </w:p>
    <w:p>
      <w:pPr>
        <w:pStyle w:val="11"/>
        <w:rPr>
          <w:rFonts w:ascii="仿宋" w:hAnsi="仿宋" w:eastAsia="仿宋" w:cs="仿宋"/>
          <w:color w:val="auto"/>
        </w:rPr>
      </w:pPr>
    </w:p>
    <w:p>
      <w:pPr>
        <w:pStyle w:val="9"/>
        <w:tabs>
          <w:tab w:val="left" w:pos="900"/>
        </w:tabs>
        <w:spacing w:before="0" w:after="0" w:line="240" w:lineRule="atLeast"/>
        <w:rPr>
          <w:rFonts w:ascii="仿宋" w:hAnsi="仿宋" w:eastAsia="仿宋" w:cs="仿宋"/>
          <w:color w:val="auto"/>
          <w:u w:val="none"/>
        </w:rPr>
      </w:pPr>
      <w:bookmarkStart w:id="82" w:name="_Toc17437"/>
      <w:bookmarkStart w:id="83" w:name="_Toc516367021"/>
      <w:bookmarkStart w:id="84" w:name="_Toc518923070"/>
      <w:bookmarkStart w:id="85" w:name="_Toc520356151"/>
      <w:r>
        <w:rPr>
          <w:rFonts w:hint="eastAsia" w:ascii="仿宋" w:hAnsi="仿宋" w:eastAsia="仿宋" w:cs="仿宋"/>
          <w:color w:val="auto"/>
          <w:u w:val="none"/>
        </w:rPr>
        <w:t>8.投标范围及投标文件中标准和计量单位的使用</w:t>
      </w:r>
      <w:bookmarkEnd w:id="82"/>
      <w:bookmarkEnd w:id="83"/>
      <w:bookmarkEnd w:id="84"/>
      <w:bookmarkEnd w:id="85"/>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8.1</w:t>
      </w:r>
      <w:r>
        <w:rPr>
          <w:rFonts w:hint="eastAsia" w:ascii="仿宋" w:hAnsi="仿宋" w:eastAsia="仿宋" w:cs="仿宋"/>
          <w:color w:val="auto"/>
          <w:sz w:val="24"/>
        </w:rPr>
        <w:tab/>
      </w:r>
      <w:r>
        <w:rPr>
          <w:rFonts w:hint="eastAsia" w:ascii="仿宋" w:hAnsi="仿宋" w:eastAsia="仿宋" w:cs="仿宋"/>
          <w:color w:val="auto"/>
          <w:sz w:val="24"/>
        </w:rPr>
        <w:t>项目有分包的，供应商可对采购文件其中一个或几个分包进行投标，除非在</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中另有规定。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8.2    供应商应当对所投分包采购文件中“采购需求”所列的所有服务内容进行投标，如仅响应分包中的部分内容，其投标将被认定为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8.3     无论采购文件第5章采购需求中是否要求，供应商所投服务均应符合国家强制性标准。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8.4     除采购文件中有特殊要求外，投标文件中所使用的计量单位，应采用中华人民共和国法定计量单位。</w:t>
      </w:r>
    </w:p>
    <w:p>
      <w:pPr>
        <w:pStyle w:val="9"/>
        <w:tabs>
          <w:tab w:val="left" w:pos="900"/>
        </w:tabs>
        <w:spacing w:before="0" w:after="0" w:line="240" w:lineRule="atLeast"/>
        <w:rPr>
          <w:rFonts w:ascii="仿宋" w:hAnsi="仿宋" w:eastAsia="仿宋" w:cs="仿宋"/>
          <w:color w:val="auto"/>
          <w:u w:val="none"/>
        </w:rPr>
      </w:pPr>
      <w:bookmarkStart w:id="86" w:name="_Ref467306195"/>
      <w:bookmarkStart w:id="87" w:name="_Toc516367022"/>
      <w:bookmarkStart w:id="88" w:name="_Ref467306676"/>
      <w:bookmarkStart w:id="89" w:name="_Toc518923071"/>
      <w:bookmarkStart w:id="90" w:name="_Toc520356152"/>
      <w:bookmarkStart w:id="91" w:name="_Toc9452"/>
      <w:r>
        <w:rPr>
          <w:rFonts w:hint="eastAsia" w:ascii="仿宋" w:hAnsi="仿宋" w:eastAsia="仿宋" w:cs="仿宋"/>
          <w:color w:val="auto"/>
          <w:u w:val="none"/>
        </w:rPr>
        <w:t>9.投标文件</w:t>
      </w:r>
      <w:bookmarkEnd w:id="86"/>
      <w:bookmarkEnd w:id="87"/>
      <w:bookmarkEnd w:id="88"/>
      <w:r>
        <w:rPr>
          <w:rFonts w:hint="eastAsia" w:ascii="仿宋" w:hAnsi="仿宋" w:eastAsia="仿宋" w:cs="仿宋"/>
          <w:color w:val="auto"/>
          <w:u w:val="none"/>
        </w:rPr>
        <w:t>构成</w:t>
      </w:r>
      <w:bookmarkEnd w:id="89"/>
      <w:bookmarkEnd w:id="90"/>
      <w:bookmarkEnd w:id="91"/>
    </w:p>
    <w:p>
      <w:pPr>
        <w:tabs>
          <w:tab w:val="left" w:pos="900"/>
          <w:tab w:val="left" w:pos="5580"/>
        </w:tabs>
        <w:spacing w:line="240" w:lineRule="atLeast"/>
        <w:ind w:left="960" w:hanging="960" w:hangingChars="400"/>
        <w:jc w:val="left"/>
        <w:rPr>
          <w:rFonts w:ascii="仿宋" w:hAnsi="仿宋" w:eastAsia="仿宋" w:cs="仿宋"/>
          <w:color w:val="auto"/>
          <w:sz w:val="24"/>
          <w:u w:val="single"/>
        </w:rPr>
      </w:pPr>
      <w:bookmarkStart w:id="92" w:name="_Ref467052588"/>
      <w:r>
        <w:rPr>
          <w:rFonts w:hint="eastAsia" w:ascii="仿宋" w:hAnsi="仿宋" w:eastAsia="仿宋" w:cs="仿宋"/>
          <w:color w:val="auto"/>
          <w:sz w:val="24"/>
        </w:rPr>
        <w:t xml:space="preserve">9.1    </w:t>
      </w:r>
      <w:r>
        <w:rPr>
          <w:rFonts w:hint="eastAsia" w:ascii="仿宋" w:hAnsi="仿宋" w:eastAsia="仿宋" w:cs="仿宋"/>
          <w:color w:val="auto"/>
          <w:sz w:val="24"/>
          <w:u w:val="single"/>
        </w:rPr>
        <w:t xml:space="preserve"> </w:t>
      </w:r>
      <w:r>
        <w:rPr>
          <w:rFonts w:hint="eastAsia" w:ascii="仿宋" w:hAnsi="仿宋" w:eastAsia="仿宋" w:cs="仿宋"/>
          <w:b/>
          <w:bCs/>
          <w:color w:val="auto"/>
          <w:sz w:val="24"/>
          <w:u w:val="single"/>
        </w:rPr>
        <w:t>供应商应完整地按采购文件提供的投标文件格式及要求编写投标文件，投标文件应包括</w:t>
      </w:r>
      <w:bookmarkEnd w:id="92"/>
      <w:r>
        <w:rPr>
          <w:rFonts w:hint="eastAsia" w:ascii="仿宋" w:hAnsi="仿宋" w:eastAsia="仿宋" w:cs="仿宋"/>
          <w:b/>
          <w:bCs/>
          <w:color w:val="auto"/>
          <w:sz w:val="24"/>
          <w:u w:val="single"/>
        </w:rPr>
        <w:t>“报价单”、“商务资信投标文件”和“技术投标方案”三部分。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9.2    上述文件应按照采购文件规定的格式填写、签署和盖章。若供应商未依照要求制作投标文件的，则视为不响应采购文件编制投标文件的要求，</w:t>
      </w:r>
      <w:r>
        <w:rPr>
          <w:rFonts w:hint="eastAsia" w:ascii="仿宋" w:hAnsi="仿宋" w:eastAsia="仿宋" w:cs="仿宋"/>
          <w:b/>
          <w:bCs/>
          <w:color w:val="auto"/>
          <w:sz w:val="24"/>
        </w:rPr>
        <w:t>为无效投标。</w:t>
      </w:r>
    </w:p>
    <w:p>
      <w:pPr>
        <w:pStyle w:val="9"/>
        <w:tabs>
          <w:tab w:val="left" w:pos="900"/>
        </w:tabs>
        <w:spacing w:before="0" w:after="0" w:line="240" w:lineRule="atLeast"/>
        <w:rPr>
          <w:rFonts w:ascii="仿宋" w:hAnsi="仿宋" w:eastAsia="仿宋" w:cs="仿宋"/>
          <w:bCs/>
          <w:color w:val="auto"/>
          <w:kern w:val="2"/>
          <w:szCs w:val="24"/>
          <w:u w:val="none"/>
        </w:rPr>
      </w:pPr>
      <w:bookmarkStart w:id="93" w:name="_Toc508185920"/>
      <w:bookmarkStart w:id="94" w:name="_Toc520356153"/>
      <w:bookmarkStart w:id="95" w:name="_Toc518923072"/>
      <w:bookmarkStart w:id="96" w:name="_Toc516367023"/>
      <w:bookmarkStart w:id="97" w:name="_Toc19654"/>
      <w:bookmarkStart w:id="98" w:name="_Toc520356155"/>
      <w:r>
        <w:rPr>
          <w:rFonts w:hint="eastAsia" w:ascii="仿宋" w:hAnsi="仿宋" w:eastAsia="仿宋" w:cs="仿宋"/>
          <w:color w:val="auto"/>
          <w:u w:val="none"/>
        </w:rPr>
        <w:t>10.</w:t>
      </w:r>
      <w:bookmarkEnd w:id="93"/>
      <w:bookmarkEnd w:id="94"/>
      <w:bookmarkEnd w:id="95"/>
      <w:bookmarkEnd w:id="96"/>
      <w:r>
        <w:rPr>
          <w:rFonts w:hint="eastAsia" w:ascii="仿宋" w:hAnsi="仿宋" w:eastAsia="仿宋" w:cs="仿宋"/>
          <w:bCs/>
          <w:color w:val="auto"/>
          <w:kern w:val="2"/>
          <w:szCs w:val="24"/>
          <w:u w:val="none"/>
        </w:rPr>
        <w:t>证明投标标的的合格性和符合采购文件规定的技术文件</w:t>
      </w:r>
      <w:bookmarkEnd w:id="97"/>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10.1</w:t>
      </w:r>
      <w:r>
        <w:rPr>
          <w:rFonts w:hint="eastAsia" w:ascii="仿宋" w:hAnsi="仿宋" w:eastAsia="仿宋" w:cs="仿宋"/>
          <w:color w:val="auto"/>
          <w:sz w:val="24"/>
        </w:rPr>
        <w:tab/>
      </w:r>
      <w:r>
        <w:rPr>
          <w:rFonts w:hint="eastAsia" w:ascii="仿宋" w:hAnsi="仿宋" w:eastAsia="仿宋" w:cs="仿宋"/>
          <w:color w:val="auto"/>
          <w:sz w:val="24"/>
        </w:rPr>
        <w:t>供应商应提交证明文件，证明其投标内容符合采购文件规定。该证明文件是投标文件的一部分。</w:t>
      </w:r>
    </w:p>
    <w:p>
      <w:pPr>
        <w:spacing w:line="240" w:lineRule="atLeast"/>
        <w:ind w:left="900" w:hanging="900" w:hangingChars="375"/>
        <w:outlineLvl w:val="1"/>
        <w:rPr>
          <w:rFonts w:ascii="仿宋" w:hAnsi="仿宋" w:eastAsia="仿宋" w:cs="仿宋"/>
          <w:color w:val="auto"/>
          <w:sz w:val="24"/>
        </w:rPr>
      </w:pPr>
      <w:bookmarkStart w:id="99" w:name="_Ref467306244"/>
      <w:bookmarkStart w:id="100" w:name="_Toc27009"/>
      <w:r>
        <w:rPr>
          <w:rFonts w:hint="eastAsia" w:ascii="仿宋" w:hAnsi="仿宋" w:eastAsia="仿宋" w:cs="仿宋"/>
          <w:color w:val="auto"/>
          <w:sz w:val="24"/>
        </w:rPr>
        <w:t>10.2</w:t>
      </w:r>
      <w:r>
        <w:rPr>
          <w:rFonts w:hint="eastAsia" w:ascii="仿宋" w:hAnsi="仿宋" w:eastAsia="仿宋" w:cs="仿宋"/>
          <w:color w:val="auto"/>
          <w:sz w:val="24"/>
        </w:rPr>
        <w:tab/>
      </w:r>
      <w:r>
        <w:rPr>
          <w:rFonts w:hint="eastAsia" w:ascii="仿宋" w:hAnsi="仿宋" w:eastAsia="仿宋" w:cs="仿宋"/>
          <w:color w:val="auto"/>
          <w:sz w:val="24"/>
        </w:rPr>
        <w:t>上款所述的证明文件，可以是文字资料、图纸和数据</w:t>
      </w:r>
      <w:bookmarkEnd w:id="99"/>
      <w:r>
        <w:rPr>
          <w:rFonts w:hint="eastAsia" w:ascii="仿宋" w:hAnsi="仿宋" w:eastAsia="仿宋" w:cs="仿宋"/>
          <w:color w:val="auto"/>
          <w:sz w:val="24"/>
        </w:rPr>
        <w:t>。</w:t>
      </w:r>
      <w:bookmarkEnd w:id="100"/>
    </w:p>
    <w:p>
      <w:pPr>
        <w:pStyle w:val="9"/>
        <w:spacing w:before="0" w:after="0" w:line="240" w:lineRule="atLeast"/>
        <w:rPr>
          <w:rFonts w:ascii="仿宋" w:hAnsi="仿宋" w:eastAsia="仿宋" w:cs="仿宋"/>
          <w:color w:val="auto"/>
          <w:u w:val="none"/>
        </w:rPr>
      </w:pPr>
      <w:bookmarkStart w:id="101" w:name="_Toc24407"/>
      <w:bookmarkStart w:id="102" w:name="_Toc518923073"/>
      <w:r>
        <w:rPr>
          <w:rFonts w:hint="eastAsia" w:ascii="仿宋" w:hAnsi="仿宋" w:eastAsia="仿宋" w:cs="仿宋"/>
          <w:color w:val="auto"/>
          <w:u w:val="none"/>
        </w:rPr>
        <w:t>11.投标报价</w:t>
      </w:r>
      <w:bookmarkEnd w:id="98"/>
      <w:bookmarkEnd w:id="101"/>
      <w:bookmarkEnd w:id="102"/>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11.1</w:t>
      </w:r>
      <w:r>
        <w:rPr>
          <w:rFonts w:hint="eastAsia" w:ascii="仿宋" w:hAnsi="仿宋" w:eastAsia="仿宋" w:cs="仿宋"/>
          <w:color w:val="auto"/>
          <w:sz w:val="24"/>
        </w:rPr>
        <w:tab/>
      </w:r>
      <w:r>
        <w:rPr>
          <w:rFonts w:hint="eastAsia" w:ascii="仿宋" w:hAnsi="仿宋" w:eastAsia="仿宋" w:cs="仿宋"/>
          <w:color w:val="auto"/>
          <w:sz w:val="24"/>
        </w:rPr>
        <w:t>所有投标均以人民币报价。供应商的投标报价应遵守《中华人民共和国价格法》</w:t>
      </w:r>
      <w:r>
        <w:rPr>
          <w:rFonts w:hint="eastAsia" w:ascii="仿宋" w:hAnsi="仿宋" w:eastAsia="仿宋" w:cs="仿宋"/>
          <w:color w:val="auto"/>
          <w:sz w:val="24"/>
          <w:lang w:eastAsia="zh-CN"/>
        </w:rPr>
        <w:t>；</w:t>
      </w:r>
      <w:r>
        <w:rPr>
          <w:rFonts w:hint="eastAsia" w:ascii="仿宋" w:hAnsi="仿宋" w:eastAsia="仿宋" w:cs="仿宋"/>
          <w:color w:val="auto"/>
          <w:sz w:val="24"/>
        </w:rPr>
        <w:t>同时，根据《中华人民共和国政府采购法》第二条的规定，为保证公平竞争，如有主体投标标的的赠与行为，其投标将被认定为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11.2</w:t>
      </w:r>
      <w:r>
        <w:rPr>
          <w:rFonts w:hint="eastAsia" w:ascii="仿宋" w:hAnsi="仿宋" w:eastAsia="仿宋" w:cs="仿宋"/>
          <w:color w:val="auto"/>
          <w:sz w:val="24"/>
        </w:rPr>
        <w:tab/>
      </w:r>
      <w:r>
        <w:rPr>
          <w:rFonts w:hint="eastAsia" w:ascii="仿宋" w:hAnsi="仿宋" w:eastAsia="仿宋" w:cs="仿宋"/>
          <w:color w:val="auto"/>
          <w:sz w:val="24"/>
        </w:rPr>
        <w:t>供应商应在投标分项报价表上标明招标项目的总价，并由法定代表人或其委托代理人签署。</w:t>
      </w:r>
    </w:p>
    <w:p>
      <w:pPr>
        <w:spacing w:line="240" w:lineRule="atLeast"/>
        <w:ind w:left="900" w:hanging="900" w:hangingChars="375"/>
        <w:outlineLvl w:val="1"/>
        <w:rPr>
          <w:rFonts w:ascii="仿宋" w:hAnsi="仿宋" w:eastAsia="仿宋" w:cs="仿宋"/>
          <w:color w:val="auto"/>
          <w:sz w:val="24"/>
        </w:rPr>
      </w:pPr>
      <w:bookmarkStart w:id="103" w:name="_Toc4947"/>
      <w:r>
        <w:rPr>
          <w:rFonts w:hint="eastAsia" w:ascii="仿宋" w:hAnsi="仿宋" w:eastAsia="仿宋" w:cs="仿宋"/>
          <w:color w:val="auto"/>
          <w:sz w:val="24"/>
        </w:rPr>
        <w:t>11.3</w:t>
      </w:r>
      <w:r>
        <w:rPr>
          <w:rFonts w:hint="eastAsia" w:ascii="仿宋" w:hAnsi="仿宋" w:eastAsia="仿宋" w:cs="仿宋"/>
          <w:color w:val="auto"/>
          <w:sz w:val="24"/>
        </w:rPr>
        <w:tab/>
      </w:r>
      <w:r>
        <w:rPr>
          <w:rFonts w:hint="eastAsia" w:ascii="仿宋" w:hAnsi="仿宋" w:eastAsia="仿宋" w:cs="仿宋"/>
          <w:color w:val="auto"/>
          <w:sz w:val="24"/>
        </w:rPr>
        <w:t>采购人不接受具有附加条件的报价。</w:t>
      </w:r>
      <w:bookmarkEnd w:id="103"/>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11.4</w:t>
      </w:r>
      <w:r>
        <w:rPr>
          <w:rFonts w:hint="eastAsia" w:ascii="仿宋" w:hAnsi="仿宋" w:eastAsia="仿宋" w:cs="仿宋"/>
          <w:color w:val="auto"/>
          <w:sz w:val="24"/>
        </w:rPr>
        <w:tab/>
      </w:r>
      <w:r>
        <w:rPr>
          <w:rFonts w:hint="eastAsia" w:ascii="仿宋" w:hAnsi="仿宋" w:eastAsia="仿宋" w:cs="仿宋"/>
          <w:color w:val="auto"/>
          <w:sz w:val="24"/>
        </w:rPr>
        <w:t>供应商所报的投标报价在合同履行过程中是固定不变的，不得以任何理由予以变更。任何包含价格调整要求的投标，将被认定为投标无效。</w:t>
      </w:r>
    </w:p>
    <w:p>
      <w:pPr>
        <w:pStyle w:val="9"/>
        <w:spacing w:before="0" w:after="0" w:line="240" w:lineRule="atLeast"/>
        <w:rPr>
          <w:rFonts w:ascii="仿宋" w:hAnsi="仿宋" w:eastAsia="仿宋" w:cs="仿宋"/>
          <w:color w:val="auto"/>
          <w:u w:val="none"/>
        </w:rPr>
      </w:pPr>
      <w:bookmarkStart w:id="104" w:name="_Toc518923074"/>
      <w:bookmarkStart w:id="105" w:name="_Toc3701"/>
      <w:bookmarkStart w:id="106" w:name="_Toc520356156"/>
      <w:bookmarkStart w:id="107" w:name="_Ref467306513"/>
      <w:r>
        <w:rPr>
          <w:rFonts w:hint="eastAsia" w:ascii="仿宋" w:hAnsi="仿宋" w:eastAsia="仿宋" w:cs="仿宋"/>
          <w:color w:val="auto"/>
          <w:u w:val="none"/>
        </w:rPr>
        <w:t>12.投标保证金</w:t>
      </w:r>
      <w:bookmarkEnd w:id="104"/>
      <w:bookmarkEnd w:id="105"/>
      <w:bookmarkEnd w:id="106"/>
      <w:bookmarkEnd w:id="107"/>
    </w:p>
    <w:p>
      <w:pPr>
        <w:spacing w:line="240" w:lineRule="atLeast"/>
        <w:ind w:left="900" w:hanging="900" w:hangingChars="375"/>
        <w:rPr>
          <w:rFonts w:ascii="仿宋" w:hAnsi="仿宋" w:eastAsia="仿宋" w:cs="仿宋"/>
          <w:color w:val="auto"/>
          <w:sz w:val="24"/>
        </w:rPr>
      </w:pPr>
      <w:bookmarkStart w:id="108" w:name="_Ref467306302"/>
      <w:r>
        <w:rPr>
          <w:rFonts w:hint="eastAsia" w:ascii="仿宋" w:hAnsi="仿宋" w:eastAsia="仿宋" w:cs="仿宋"/>
          <w:color w:val="auto"/>
          <w:sz w:val="24"/>
        </w:rPr>
        <w:t>12.1</w:t>
      </w:r>
      <w:r>
        <w:rPr>
          <w:rFonts w:hint="eastAsia" w:ascii="仿宋" w:hAnsi="仿宋" w:eastAsia="仿宋" w:cs="仿宋"/>
          <w:color w:val="auto"/>
          <w:sz w:val="24"/>
        </w:rPr>
        <w:tab/>
      </w:r>
      <w:r>
        <w:rPr>
          <w:rFonts w:hint="eastAsia" w:ascii="仿宋" w:hAnsi="仿宋" w:eastAsia="仿宋" w:cs="仿宋"/>
          <w:color w:val="auto"/>
          <w:sz w:val="24"/>
        </w:rPr>
        <w:t>供应商应提交</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中规定的投标保证金</w:t>
      </w:r>
      <w:bookmarkEnd w:id="108"/>
      <w:r>
        <w:rPr>
          <w:rFonts w:hint="eastAsia" w:ascii="仿宋" w:hAnsi="仿宋" w:eastAsia="仿宋" w:cs="仿宋"/>
          <w:color w:val="auto"/>
          <w:sz w:val="24"/>
        </w:rPr>
        <w:t>，并作为其投标的一部分。</w:t>
      </w:r>
    </w:p>
    <w:p>
      <w:pPr>
        <w:spacing w:line="240" w:lineRule="atLeast"/>
        <w:ind w:left="900" w:hanging="900" w:hangingChars="375"/>
        <w:outlineLvl w:val="1"/>
        <w:rPr>
          <w:rFonts w:ascii="仿宋" w:hAnsi="仿宋" w:eastAsia="仿宋" w:cs="仿宋"/>
          <w:color w:val="auto"/>
          <w:sz w:val="24"/>
        </w:rPr>
      </w:pPr>
      <w:bookmarkStart w:id="109" w:name="_Toc3722"/>
      <w:r>
        <w:rPr>
          <w:rFonts w:hint="eastAsia" w:ascii="仿宋" w:hAnsi="仿宋" w:eastAsia="仿宋" w:cs="仿宋"/>
          <w:color w:val="auto"/>
          <w:sz w:val="24"/>
        </w:rPr>
        <w:t>12.2</w:t>
      </w:r>
      <w:r>
        <w:rPr>
          <w:rFonts w:hint="eastAsia" w:ascii="仿宋" w:hAnsi="仿宋" w:eastAsia="仿宋" w:cs="仿宋"/>
          <w:color w:val="auto"/>
          <w:sz w:val="24"/>
        </w:rPr>
        <w:tab/>
      </w:r>
      <w:r>
        <w:rPr>
          <w:rFonts w:hint="eastAsia" w:ascii="仿宋" w:hAnsi="仿宋" w:eastAsia="仿宋" w:cs="仿宋"/>
          <w:color w:val="auto"/>
          <w:sz w:val="24"/>
        </w:rPr>
        <w:t>供应商存在下列情形的，投标保证金不予退还：</w:t>
      </w:r>
      <w:bookmarkEnd w:id="10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（1）在投标有效期内，撤销投标的；</w:t>
      </w:r>
    </w:p>
    <w:p>
      <w:pPr>
        <w:pStyle w:val="17"/>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（2）中标后不按本须知第30条的规定与采购人签订合同的；</w:t>
      </w:r>
    </w:p>
    <w:p>
      <w:pPr>
        <w:pStyle w:val="17"/>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（3）中标后不按本须知第31条的规定提交履约保证金的；</w:t>
      </w:r>
    </w:p>
    <w:p>
      <w:pPr>
        <w:pStyle w:val="17"/>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（4）中标后不按本须知第32条的规定缴纳中标服务费的；</w:t>
      </w:r>
    </w:p>
    <w:p>
      <w:pPr>
        <w:pStyle w:val="17"/>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（5）存在其他违法违规行为的。</w:t>
      </w:r>
    </w:p>
    <w:p>
      <w:pPr>
        <w:spacing w:line="240" w:lineRule="atLeast"/>
        <w:ind w:left="900" w:hanging="900" w:hangingChars="375"/>
        <w:rPr>
          <w:rFonts w:ascii="仿宋" w:hAnsi="仿宋" w:eastAsia="仿宋" w:cs="仿宋"/>
          <w:color w:val="auto"/>
          <w:sz w:val="24"/>
        </w:rPr>
      </w:pPr>
      <w:bookmarkStart w:id="110" w:name="_Ref467306336"/>
      <w:r>
        <w:rPr>
          <w:rFonts w:hint="eastAsia" w:ascii="仿宋" w:hAnsi="仿宋" w:eastAsia="仿宋" w:cs="仿宋"/>
          <w:color w:val="auto"/>
          <w:sz w:val="24"/>
        </w:rPr>
        <w:t>12.3</w:t>
      </w:r>
      <w:r>
        <w:rPr>
          <w:rFonts w:hint="eastAsia" w:ascii="仿宋" w:hAnsi="仿宋" w:eastAsia="仿宋" w:cs="仿宋"/>
          <w:color w:val="auto"/>
          <w:sz w:val="24"/>
        </w:rPr>
        <w:tab/>
      </w:r>
      <w:bookmarkEnd w:id="110"/>
      <w:r>
        <w:rPr>
          <w:rFonts w:hint="eastAsia" w:ascii="仿宋" w:hAnsi="仿宋" w:eastAsia="仿宋" w:cs="仿宋"/>
          <w:color w:val="auto"/>
          <w:sz w:val="24"/>
        </w:rPr>
        <w:t>政府采购信用担保试点范围内的项目，接受符合财政部门规定的政府采购投标担保函原件。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12.4</w:t>
      </w:r>
      <w:r>
        <w:rPr>
          <w:rFonts w:hint="eastAsia" w:ascii="仿宋" w:hAnsi="仿宋" w:eastAsia="仿宋" w:cs="仿宋"/>
          <w:color w:val="auto"/>
          <w:sz w:val="24"/>
        </w:rPr>
        <w:tab/>
      </w:r>
      <w:r>
        <w:rPr>
          <w:rFonts w:hint="eastAsia" w:ascii="仿宋" w:hAnsi="仿宋" w:eastAsia="仿宋" w:cs="仿宋"/>
          <w:color w:val="auto"/>
          <w:sz w:val="24"/>
        </w:rPr>
        <w:t>供应商未按本须知第12.1和12.3条规定提交投标保证金的，其投标将被认定为</w:t>
      </w:r>
      <w:r>
        <w:rPr>
          <w:rFonts w:hint="eastAsia" w:ascii="仿宋" w:hAnsi="仿宋" w:eastAsia="仿宋" w:cs="仿宋"/>
          <w:b/>
          <w:color w:val="auto"/>
          <w:sz w:val="24"/>
        </w:rPr>
        <w:t>投标无效</w:t>
      </w:r>
      <w:r>
        <w:rPr>
          <w:rFonts w:hint="eastAsia" w:ascii="仿宋" w:hAnsi="仿宋" w:eastAsia="仿宋" w:cs="仿宋"/>
          <w:color w:val="auto"/>
          <w:sz w:val="24"/>
        </w:rPr>
        <w:t>。</w:t>
      </w:r>
    </w:p>
    <w:p>
      <w:pPr>
        <w:spacing w:line="240" w:lineRule="atLeast"/>
        <w:rPr>
          <w:rFonts w:ascii="仿宋" w:hAnsi="仿宋" w:eastAsia="仿宋" w:cs="仿宋"/>
          <w:color w:val="auto"/>
          <w:sz w:val="24"/>
        </w:rPr>
      </w:pPr>
      <w:r>
        <w:rPr>
          <w:rFonts w:hint="eastAsia" w:ascii="仿宋" w:hAnsi="仿宋" w:eastAsia="仿宋" w:cs="仿宋"/>
          <w:color w:val="auto"/>
          <w:sz w:val="24"/>
        </w:rPr>
        <w:t>12.4.1  采用电汇、对公转账形式的，一般可以实时入账；</w:t>
      </w:r>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采购文件的第22.2条相关规定处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12.5    联合体投标的，可以由联合体中的一方或者共同提交投标保证金。以一方名义提交投标保证金的，对联合体各方均具有约束力。</w:t>
      </w:r>
    </w:p>
    <w:p>
      <w:pPr>
        <w:spacing w:line="240" w:lineRule="atLeast"/>
        <w:ind w:left="900" w:hanging="900" w:hangingChars="375"/>
        <w:outlineLvl w:val="1"/>
        <w:rPr>
          <w:rFonts w:ascii="仿宋" w:hAnsi="仿宋" w:eastAsia="仿宋" w:cs="仿宋"/>
          <w:color w:val="auto"/>
          <w:sz w:val="24"/>
        </w:rPr>
      </w:pPr>
      <w:bookmarkStart w:id="111" w:name="_Toc14611"/>
      <w:r>
        <w:rPr>
          <w:rFonts w:hint="eastAsia" w:ascii="仿宋" w:hAnsi="仿宋" w:eastAsia="仿宋" w:cs="仿宋"/>
          <w:color w:val="auto"/>
          <w:sz w:val="24"/>
        </w:rPr>
        <w:t>12.6</w:t>
      </w:r>
      <w:r>
        <w:rPr>
          <w:rFonts w:hint="eastAsia" w:ascii="仿宋" w:hAnsi="仿宋" w:eastAsia="仿宋" w:cs="仿宋"/>
          <w:color w:val="auto"/>
          <w:sz w:val="24"/>
        </w:rPr>
        <w:tab/>
      </w:r>
      <w:r>
        <w:rPr>
          <w:rFonts w:hint="eastAsia" w:ascii="仿宋" w:hAnsi="仿宋" w:eastAsia="仿宋" w:cs="仿宋"/>
          <w:color w:val="auto"/>
          <w:sz w:val="24"/>
        </w:rPr>
        <w:t xml:space="preserve"> </w:t>
      </w:r>
      <w:r>
        <w:rPr>
          <w:rFonts w:hint="eastAsia" w:ascii="仿宋" w:hAnsi="仿宋" w:eastAsia="仿宋" w:cs="仿宋"/>
          <w:b/>
          <w:color w:val="auto"/>
          <w:sz w:val="24"/>
        </w:rPr>
        <w:t>投标保证金的退还</w:t>
      </w:r>
      <w:bookmarkEnd w:id="111"/>
    </w:p>
    <w:p>
      <w:pPr>
        <w:spacing w:line="2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12.6.1  中标人应在与采购人签订合同之日起5个工作日内，及时联系保证金收受机构办理投标保证金无息退还手续。</w:t>
      </w:r>
    </w:p>
    <w:p>
      <w:pPr>
        <w:ind w:left="1020" w:hanging="1020" w:hangingChars="425"/>
        <w:rPr>
          <w:rFonts w:ascii="仿宋" w:hAnsi="仿宋" w:eastAsia="仿宋" w:cs="仿宋"/>
          <w:color w:val="auto"/>
          <w:sz w:val="24"/>
        </w:rPr>
      </w:pPr>
      <w:r>
        <w:rPr>
          <w:rFonts w:hint="eastAsia" w:ascii="仿宋" w:hAnsi="仿宋" w:eastAsia="仿宋" w:cs="仿宋"/>
          <w:color w:val="auto"/>
          <w:sz w:val="24"/>
        </w:rPr>
        <w:t>12.6.2  未中标供应商的投标保证金将在中标通知书发出之日暨中标结果公告公布之日起5个工作日内无息退还。供应商及时联系保证金收受机构办理退还投标保证金手续。</w:t>
      </w:r>
      <w:bookmarkStart w:id="112" w:name="_Toc518923075"/>
    </w:p>
    <w:p>
      <w:pPr>
        <w:ind w:left="1020" w:hanging="1020" w:hangingChars="425"/>
        <w:rPr>
          <w:rFonts w:ascii="仿宋" w:hAnsi="仿宋" w:eastAsia="仿宋" w:cs="仿宋"/>
          <w:color w:val="auto"/>
          <w:sz w:val="24"/>
        </w:rPr>
      </w:pPr>
      <w:r>
        <w:rPr>
          <w:rFonts w:hint="eastAsia" w:ascii="仿宋" w:hAnsi="仿宋" w:eastAsia="仿宋" w:cs="仿宋"/>
          <w:color w:val="auto"/>
          <w:sz w:val="24"/>
        </w:rPr>
        <w:t>12.6.3  政府采购投标担保函不予退回。</w:t>
      </w:r>
      <w:bookmarkEnd w:id="112"/>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12.7    因供应商自身原因导致无法及时退还的，采购人或采购代理机构将不承担相应责任。</w:t>
      </w:r>
    </w:p>
    <w:p>
      <w:pPr>
        <w:pStyle w:val="9"/>
        <w:spacing w:before="0" w:after="0" w:line="240" w:lineRule="atLeast"/>
        <w:rPr>
          <w:rFonts w:ascii="仿宋" w:hAnsi="仿宋" w:eastAsia="仿宋" w:cs="仿宋"/>
          <w:color w:val="auto"/>
          <w:u w:val="none"/>
        </w:rPr>
      </w:pPr>
      <w:bookmarkStart w:id="113" w:name="_Toc520356157"/>
      <w:bookmarkStart w:id="114" w:name="_Toc32025"/>
      <w:bookmarkStart w:id="115" w:name="_Toc518923076"/>
      <w:r>
        <w:rPr>
          <w:rFonts w:hint="eastAsia" w:ascii="仿宋" w:hAnsi="仿宋" w:eastAsia="仿宋" w:cs="仿宋"/>
          <w:color w:val="auto"/>
          <w:u w:val="none"/>
        </w:rPr>
        <w:t>13.投标有效期</w:t>
      </w:r>
      <w:bookmarkEnd w:id="113"/>
      <w:bookmarkEnd w:id="114"/>
      <w:bookmarkEnd w:id="115"/>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13.1</w:t>
      </w:r>
      <w:r>
        <w:rPr>
          <w:rFonts w:hint="eastAsia" w:ascii="仿宋" w:hAnsi="仿宋" w:eastAsia="仿宋" w:cs="仿宋"/>
          <w:color w:val="auto"/>
          <w:sz w:val="24"/>
        </w:rPr>
        <w:tab/>
      </w:r>
      <w:r>
        <w:rPr>
          <w:rFonts w:hint="eastAsia" w:ascii="仿宋" w:hAnsi="仿宋" w:eastAsia="仿宋" w:cs="仿宋"/>
          <w:color w:val="auto"/>
          <w:sz w:val="24"/>
        </w:rPr>
        <w:t>投标应在</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中规定时间内保持有效。投标有效期不满足要求的投标，其投标将被认定为</w:t>
      </w:r>
      <w:r>
        <w:rPr>
          <w:rFonts w:hint="eastAsia" w:ascii="仿宋" w:hAnsi="仿宋" w:eastAsia="仿宋" w:cs="仿宋"/>
          <w:b/>
          <w:color w:val="auto"/>
          <w:sz w:val="24"/>
        </w:rPr>
        <w:t>投标无效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13.2</w:t>
      </w:r>
      <w:r>
        <w:rPr>
          <w:rFonts w:hint="eastAsia" w:ascii="仿宋" w:hAnsi="仿宋" w:eastAsia="仿宋" w:cs="仿宋"/>
          <w:color w:val="auto"/>
          <w:sz w:val="24"/>
        </w:rPr>
        <w:tab/>
      </w:r>
      <w:r>
        <w:rPr>
          <w:rFonts w:hint="eastAsia" w:ascii="仿宋" w:hAnsi="仿宋" w:eastAsia="仿宋" w:cs="仿宋"/>
          <w:color w:val="auto"/>
          <w:sz w:val="24"/>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按规定无息退还。上述要求和答复都应以书面形式提交。</w:t>
      </w:r>
    </w:p>
    <w:p>
      <w:pPr>
        <w:pStyle w:val="9"/>
        <w:spacing w:before="0" w:after="0" w:line="240" w:lineRule="atLeast"/>
        <w:rPr>
          <w:rFonts w:ascii="仿宋" w:hAnsi="仿宋" w:eastAsia="仿宋" w:cs="仿宋"/>
          <w:color w:val="auto"/>
          <w:u w:val="none"/>
        </w:rPr>
      </w:pPr>
      <w:bookmarkStart w:id="116" w:name="_Toc520356158"/>
      <w:bookmarkStart w:id="117" w:name="_Toc518923077"/>
      <w:bookmarkStart w:id="118" w:name="_Toc27623"/>
      <w:r>
        <w:rPr>
          <w:rFonts w:hint="eastAsia" w:ascii="仿宋" w:hAnsi="仿宋" w:eastAsia="仿宋" w:cs="仿宋"/>
          <w:color w:val="auto"/>
          <w:u w:val="none"/>
        </w:rPr>
        <w:t>14.投标文件的签署</w:t>
      </w:r>
      <w:bookmarkEnd w:id="116"/>
      <w:r>
        <w:rPr>
          <w:rFonts w:hint="eastAsia" w:ascii="仿宋" w:hAnsi="仿宋" w:eastAsia="仿宋" w:cs="仿宋"/>
          <w:color w:val="auto"/>
          <w:u w:val="none"/>
        </w:rPr>
        <w:t>及规定</w:t>
      </w:r>
      <w:bookmarkEnd w:id="117"/>
      <w:bookmarkEnd w:id="11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14.1</w:t>
      </w:r>
      <w:r>
        <w:rPr>
          <w:rFonts w:hint="eastAsia" w:ascii="仿宋" w:hAnsi="仿宋" w:eastAsia="仿宋" w:cs="仿宋"/>
          <w:color w:val="auto"/>
          <w:sz w:val="24"/>
        </w:rPr>
        <w:tab/>
      </w:r>
      <w:r>
        <w:rPr>
          <w:rFonts w:hint="eastAsia" w:ascii="仿宋" w:hAnsi="仿宋" w:eastAsia="仿宋" w:cs="仿宋"/>
          <w:color w:val="auto"/>
          <w:sz w:val="24"/>
        </w:rPr>
        <w:t>供应商应按</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中的规定，准备和上传投标文件。</w:t>
      </w:r>
    </w:p>
    <w:p>
      <w:pPr>
        <w:spacing w:line="240" w:lineRule="atLeast"/>
        <w:ind w:left="900" w:hanging="900" w:hangingChars="375"/>
        <w:rPr>
          <w:rFonts w:ascii="仿宋" w:hAnsi="仿宋" w:eastAsia="仿宋" w:cs="仿宋"/>
          <w:b/>
          <w:bCs/>
          <w:color w:val="auto"/>
          <w:sz w:val="24"/>
        </w:rPr>
      </w:pPr>
      <w:r>
        <w:rPr>
          <w:rFonts w:hint="eastAsia" w:ascii="仿宋" w:hAnsi="仿宋" w:eastAsia="仿宋" w:cs="仿宋"/>
          <w:color w:val="auto"/>
          <w:sz w:val="24"/>
        </w:rPr>
        <w:t>14.2</w:t>
      </w:r>
      <w:r>
        <w:rPr>
          <w:rFonts w:hint="eastAsia" w:ascii="仿宋" w:hAnsi="仿宋" w:eastAsia="仿宋" w:cs="仿宋"/>
          <w:color w:val="auto"/>
          <w:sz w:val="24"/>
        </w:rPr>
        <w:tab/>
      </w:r>
      <w:r>
        <w:rPr>
          <w:rFonts w:hint="eastAsia" w:ascii="仿宋" w:hAnsi="仿宋" w:eastAsia="仿宋" w:cs="仿宋"/>
          <w:b/>
          <w:bCs/>
          <w:color w:val="auto"/>
          <w:sz w:val="24"/>
        </w:rPr>
        <w:t>投标文件由供应商的法定代表人或其委托代理人按采购文件规定在投标文件上签字并加盖单位印章。</w:t>
      </w:r>
    </w:p>
    <w:p>
      <w:pPr>
        <w:spacing w:line="240" w:lineRule="atLeast"/>
        <w:ind w:left="900" w:hanging="900" w:hangingChars="375"/>
        <w:rPr>
          <w:rFonts w:ascii="仿宋" w:hAnsi="仿宋" w:eastAsia="仿宋" w:cs="仿宋"/>
          <w:color w:val="auto"/>
          <w:sz w:val="24"/>
        </w:rPr>
      </w:pPr>
    </w:p>
    <w:p>
      <w:pPr>
        <w:pStyle w:val="8"/>
        <w:spacing w:before="0" w:line="240" w:lineRule="atLeast"/>
        <w:ind w:left="1080" w:leftChars="257" w:hanging="540"/>
        <w:rPr>
          <w:rFonts w:ascii="仿宋" w:hAnsi="仿宋" w:eastAsia="仿宋" w:cs="仿宋"/>
          <w:color w:val="auto"/>
          <w:sz w:val="24"/>
        </w:rPr>
      </w:pPr>
      <w:bookmarkStart w:id="119" w:name="_Toc216582808"/>
      <w:bookmarkStart w:id="120" w:name="_Toc4706"/>
      <w:bookmarkStart w:id="121" w:name="_Toc518923078"/>
      <w:bookmarkStart w:id="122" w:name="_Toc9016"/>
      <w:bookmarkStart w:id="123" w:name="_Toc520356159"/>
      <w:r>
        <w:rPr>
          <w:rFonts w:hint="eastAsia" w:ascii="仿宋" w:hAnsi="仿宋" w:eastAsia="仿宋" w:cs="仿宋"/>
          <w:color w:val="auto"/>
          <w:sz w:val="24"/>
        </w:rPr>
        <w:t>四   投标文件的递交</w:t>
      </w:r>
      <w:bookmarkEnd w:id="119"/>
      <w:bookmarkEnd w:id="120"/>
      <w:bookmarkEnd w:id="121"/>
      <w:bookmarkEnd w:id="122"/>
      <w:bookmarkEnd w:id="123"/>
    </w:p>
    <w:p>
      <w:pPr>
        <w:pStyle w:val="11"/>
        <w:rPr>
          <w:rFonts w:ascii="仿宋" w:hAnsi="仿宋" w:eastAsia="仿宋" w:cs="仿宋"/>
          <w:color w:val="auto"/>
        </w:rPr>
      </w:pPr>
    </w:p>
    <w:p>
      <w:pPr>
        <w:pStyle w:val="9"/>
        <w:spacing w:before="0" w:after="0" w:line="240" w:lineRule="atLeast"/>
        <w:rPr>
          <w:rFonts w:ascii="仿宋" w:hAnsi="仿宋" w:eastAsia="仿宋" w:cs="仿宋"/>
          <w:color w:val="auto"/>
          <w:u w:val="none"/>
        </w:rPr>
      </w:pPr>
      <w:bookmarkStart w:id="124" w:name="_Toc520356160"/>
      <w:bookmarkStart w:id="125" w:name="_Toc518923079"/>
      <w:bookmarkStart w:id="126" w:name="_Toc5700"/>
      <w:r>
        <w:rPr>
          <w:rFonts w:hint="eastAsia" w:ascii="仿宋" w:hAnsi="仿宋" w:eastAsia="仿宋" w:cs="仿宋"/>
          <w:color w:val="auto"/>
          <w:u w:val="none"/>
        </w:rPr>
        <w:t>15.投标文件的</w:t>
      </w:r>
      <w:bookmarkEnd w:id="124"/>
      <w:bookmarkEnd w:id="125"/>
      <w:r>
        <w:rPr>
          <w:rFonts w:hint="eastAsia" w:ascii="仿宋" w:hAnsi="仿宋" w:eastAsia="仿宋" w:cs="仿宋"/>
          <w:color w:val="auto"/>
          <w:u w:val="none"/>
        </w:rPr>
        <w:t>编制</w:t>
      </w:r>
      <w:bookmarkEnd w:id="126"/>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15.1   投标文件三部分内容分别拟编。</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15.2   所有封面上均应：按照投标文件格式进行编制。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15.3   如果供应商未按上述要求编制，其投标文件将被认定为</w:t>
      </w:r>
      <w:r>
        <w:rPr>
          <w:rFonts w:hint="eastAsia" w:ascii="仿宋" w:hAnsi="仿宋" w:eastAsia="仿宋" w:cs="仿宋"/>
          <w:b/>
          <w:bCs/>
          <w:color w:val="auto"/>
          <w:sz w:val="24"/>
        </w:rPr>
        <w:t>投标无效。</w:t>
      </w:r>
    </w:p>
    <w:p>
      <w:pPr>
        <w:pStyle w:val="9"/>
        <w:spacing w:before="0" w:after="0" w:line="240" w:lineRule="atLeast"/>
        <w:rPr>
          <w:rFonts w:ascii="仿宋" w:hAnsi="仿宋" w:eastAsia="仿宋" w:cs="仿宋"/>
          <w:color w:val="auto"/>
          <w:u w:val="none"/>
        </w:rPr>
      </w:pPr>
      <w:bookmarkStart w:id="127" w:name="_Toc17813"/>
      <w:bookmarkStart w:id="128" w:name="_Toc520356161"/>
      <w:bookmarkStart w:id="129" w:name="_Toc518923080"/>
      <w:r>
        <w:rPr>
          <w:rFonts w:hint="eastAsia" w:ascii="仿宋" w:hAnsi="仿宋" w:eastAsia="仿宋" w:cs="仿宋"/>
          <w:color w:val="auto"/>
          <w:u w:val="none"/>
        </w:rPr>
        <w:t>16.投标截止</w:t>
      </w:r>
      <w:bookmarkEnd w:id="127"/>
      <w:bookmarkEnd w:id="128"/>
      <w:bookmarkEnd w:id="12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16.1</w:t>
      </w:r>
      <w:r>
        <w:rPr>
          <w:rFonts w:hint="eastAsia" w:ascii="仿宋" w:hAnsi="仿宋" w:eastAsia="仿宋" w:cs="仿宋"/>
          <w:color w:val="auto"/>
          <w:sz w:val="24"/>
        </w:rPr>
        <w:tab/>
      </w:r>
      <w:r>
        <w:rPr>
          <w:rFonts w:hint="eastAsia" w:ascii="仿宋" w:hAnsi="仿宋" w:eastAsia="仿宋" w:cs="仿宋"/>
          <w:color w:val="auto"/>
          <w:sz w:val="24"/>
        </w:rPr>
        <w:t>供应商应在</w:t>
      </w:r>
      <w:r>
        <w:rPr>
          <w:rFonts w:hint="eastAsia" w:ascii="仿宋" w:hAnsi="仿宋" w:eastAsia="仿宋" w:cs="仿宋"/>
          <w:b/>
          <w:bCs/>
          <w:color w:val="auto"/>
          <w:sz w:val="24"/>
          <w:u w:val="single"/>
        </w:rPr>
        <w:t>供应商须知资料表</w:t>
      </w:r>
      <w:r>
        <w:rPr>
          <w:rFonts w:hint="eastAsia" w:ascii="仿宋" w:hAnsi="仿宋" w:eastAsia="仿宋" w:cs="仿宋"/>
          <w:color w:val="auto"/>
          <w:sz w:val="24"/>
        </w:rPr>
        <w:t>中规定的截止时间前，将投标文件上传至招标公告中规定的平台中。</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16.2</w:t>
      </w:r>
      <w:r>
        <w:rPr>
          <w:rFonts w:hint="eastAsia" w:ascii="仿宋" w:hAnsi="仿宋" w:eastAsia="仿宋" w:cs="仿宋"/>
          <w:color w:val="auto"/>
          <w:sz w:val="24"/>
        </w:rPr>
        <w:tab/>
      </w:r>
      <w:r>
        <w:rPr>
          <w:rFonts w:hint="eastAsia" w:ascii="仿宋" w:hAnsi="仿宋" w:eastAsia="仿宋" w:cs="仿宋"/>
          <w:color w:val="auto"/>
          <w:sz w:val="24"/>
        </w:rPr>
        <w:t>采购人和采购代理机构有权按本须知的规定，延迟投标截止时间。在此情况下，采购人、采购代理机构和供应商受投标截止时间制约的所有权利和义务均应延长至新的截止时间。</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16.3</w:t>
      </w:r>
      <w:r>
        <w:rPr>
          <w:rFonts w:hint="eastAsia" w:ascii="仿宋" w:hAnsi="仿宋" w:eastAsia="仿宋" w:cs="仿宋"/>
          <w:color w:val="auto"/>
          <w:sz w:val="24"/>
        </w:rPr>
        <w:tab/>
      </w:r>
      <w:r>
        <w:rPr>
          <w:rFonts w:hint="eastAsia" w:ascii="仿宋" w:hAnsi="仿宋" w:eastAsia="仿宋" w:cs="仿宋"/>
          <w:color w:val="auto"/>
          <w:sz w:val="24"/>
        </w:rPr>
        <w:t>未按照公告时间内完成投标文件的上传，采购人和采购代理机构将拒绝接收在截止时间后的投标文件。</w:t>
      </w:r>
    </w:p>
    <w:p>
      <w:pPr>
        <w:pStyle w:val="9"/>
        <w:spacing w:before="0" w:after="0" w:line="240" w:lineRule="atLeast"/>
        <w:rPr>
          <w:rFonts w:ascii="仿宋" w:hAnsi="仿宋" w:eastAsia="仿宋" w:cs="仿宋"/>
          <w:color w:val="auto"/>
          <w:u w:val="none"/>
        </w:rPr>
      </w:pPr>
      <w:bookmarkStart w:id="130" w:name="_Toc25587"/>
      <w:bookmarkStart w:id="131" w:name="_Toc518923081"/>
      <w:bookmarkStart w:id="132" w:name="_Toc520356162"/>
      <w:r>
        <w:rPr>
          <w:rFonts w:hint="eastAsia" w:ascii="仿宋" w:hAnsi="仿宋" w:eastAsia="仿宋" w:cs="仿宋"/>
          <w:color w:val="auto"/>
          <w:u w:val="none"/>
        </w:rPr>
        <w:t>17.投标文件的接收、修改与撤回</w:t>
      </w:r>
      <w:bookmarkEnd w:id="130"/>
      <w:bookmarkEnd w:id="131"/>
      <w:bookmarkEnd w:id="132"/>
    </w:p>
    <w:p>
      <w:pPr>
        <w:spacing w:line="240" w:lineRule="atLeast"/>
        <w:ind w:left="900" w:hanging="900" w:hangingChars="375"/>
        <w:rPr>
          <w:rFonts w:ascii="仿宋" w:hAnsi="仿宋" w:eastAsia="仿宋" w:cs="仿宋"/>
          <w:b/>
          <w:color w:val="auto"/>
        </w:rPr>
      </w:pPr>
      <w:r>
        <w:rPr>
          <w:rFonts w:hint="eastAsia" w:ascii="仿宋" w:hAnsi="仿宋" w:eastAsia="仿宋" w:cs="仿宋"/>
          <w:color w:val="auto"/>
          <w:sz w:val="24"/>
        </w:rPr>
        <w:t>17.1   在解密时间截止后解密投标文件的，采购人和采购代理机构将拒绝接收。</w:t>
      </w:r>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17.2   在投标截止期之后，采购人和采购代理机构不接受供应商主动对其投标文件做任何修改。</w:t>
      </w:r>
    </w:p>
    <w:p>
      <w:pPr>
        <w:spacing w:line="240" w:lineRule="atLeast"/>
        <w:ind w:left="1080" w:leftChars="257" w:hanging="540"/>
        <w:rPr>
          <w:rFonts w:ascii="仿宋" w:hAnsi="仿宋" w:eastAsia="仿宋" w:cs="仿宋"/>
          <w:color w:val="auto"/>
          <w:sz w:val="24"/>
        </w:rPr>
      </w:pPr>
    </w:p>
    <w:p>
      <w:pPr>
        <w:pStyle w:val="8"/>
        <w:spacing w:before="0" w:line="240" w:lineRule="atLeast"/>
        <w:ind w:left="1080" w:leftChars="257" w:hanging="540"/>
        <w:rPr>
          <w:rFonts w:ascii="仿宋" w:hAnsi="仿宋" w:eastAsia="仿宋" w:cs="仿宋"/>
          <w:color w:val="auto"/>
          <w:sz w:val="24"/>
        </w:rPr>
      </w:pPr>
      <w:bookmarkStart w:id="133" w:name="_Toc520356163"/>
      <w:bookmarkStart w:id="134" w:name="_Toc29405"/>
      <w:bookmarkStart w:id="135" w:name="_Toc13158"/>
      <w:bookmarkStart w:id="136" w:name="_Toc518923082"/>
      <w:bookmarkStart w:id="137" w:name="_Toc216582809"/>
      <w:r>
        <w:rPr>
          <w:rFonts w:hint="eastAsia" w:ascii="仿宋" w:hAnsi="仿宋" w:eastAsia="仿宋" w:cs="仿宋"/>
          <w:color w:val="auto"/>
          <w:sz w:val="24"/>
        </w:rPr>
        <w:t>五   开标及评标</w:t>
      </w:r>
      <w:bookmarkEnd w:id="133"/>
      <w:bookmarkEnd w:id="134"/>
      <w:bookmarkEnd w:id="135"/>
      <w:bookmarkEnd w:id="136"/>
      <w:bookmarkEnd w:id="137"/>
    </w:p>
    <w:p>
      <w:pPr>
        <w:pStyle w:val="11"/>
        <w:rPr>
          <w:rFonts w:ascii="仿宋" w:hAnsi="仿宋" w:eastAsia="仿宋" w:cs="仿宋"/>
          <w:color w:val="auto"/>
        </w:rPr>
      </w:pPr>
    </w:p>
    <w:p>
      <w:pPr>
        <w:pStyle w:val="9"/>
        <w:spacing w:before="0" w:after="0" w:line="240" w:lineRule="atLeast"/>
        <w:rPr>
          <w:rFonts w:ascii="仿宋" w:hAnsi="仿宋" w:eastAsia="仿宋" w:cs="仿宋"/>
          <w:color w:val="auto"/>
          <w:u w:val="none"/>
        </w:rPr>
      </w:pPr>
      <w:bookmarkStart w:id="138" w:name="_Toc520356164"/>
      <w:bookmarkStart w:id="139" w:name="_Toc518923083"/>
      <w:bookmarkStart w:id="140" w:name="_Toc31557"/>
      <w:r>
        <w:rPr>
          <w:rFonts w:hint="eastAsia" w:ascii="仿宋" w:hAnsi="仿宋" w:eastAsia="仿宋" w:cs="仿宋"/>
          <w:color w:val="auto"/>
          <w:u w:val="none"/>
        </w:rPr>
        <w:t>18.开标</w:t>
      </w:r>
      <w:bookmarkEnd w:id="138"/>
      <w:bookmarkEnd w:id="139"/>
      <w:bookmarkEnd w:id="140"/>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18.1</w:t>
      </w:r>
      <w:r>
        <w:rPr>
          <w:rFonts w:hint="eastAsia" w:ascii="仿宋" w:hAnsi="仿宋" w:eastAsia="仿宋" w:cs="仿宋"/>
          <w:color w:val="auto"/>
          <w:sz w:val="24"/>
        </w:rPr>
        <w:tab/>
      </w:r>
      <w:r>
        <w:rPr>
          <w:rFonts w:hint="eastAsia" w:ascii="仿宋" w:hAnsi="仿宋" w:eastAsia="仿宋" w:cs="仿宋"/>
          <w:color w:val="auto"/>
          <w:sz w:val="24"/>
        </w:rPr>
        <w:t>采购人和采购代理机构将按</w:t>
      </w:r>
      <w:r>
        <w:rPr>
          <w:rFonts w:hint="eastAsia" w:ascii="仿宋" w:hAnsi="仿宋" w:eastAsia="仿宋" w:cs="仿宋"/>
          <w:b/>
          <w:bCs/>
          <w:color w:val="auto"/>
          <w:sz w:val="24"/>
          <w:u w:val="single"/>
        </w:rPr>
        <w:t>供应商须知资料表</w:t>
      </w:r>
      <w:r>
        <w:rPr>
          <w:rFonts w:hint="eastAsia" w:ascii="仿宋" w:hAnsi="仿宋" w:eastAsia="仿宋" w:cs="仿宋"/>
          <w:color w:val="auto"/>
          <w:sz w:val="24"/>
        </w:rPr>
        <w:t xml:space="preserve">中规定的开标时间和地点组织公开开标活动。  </w:t>
      </w:r>
    </w:p>
    <w:p>
      <w:pPr>
        <w:spacing w:line="240" w:lineRule="atLeast"/>
        <w:ind w:firstLine="964" w:firstLineChars="400"/>
        <w:rPr>
          <w:rFonts w:ascii="仿宋" w:hAnsi="仿宋" w:eastAsia="仿宋" w:cs="仿宋"/>
          <w:color w:val="auto"/>
          <w:sz w:val="24"/>
        </w:rPr>
      </w:pPr>
      <w:r>
        <w:rPr>
          <w:rFonts w:hint="eastAsia" w:ascii="仿宋" w:hAnsi="仿宋" w:eastAsia="仿宋" w:cs="仿宋"/>
          <w:b/>
          <w:bCs/>
          <w:color w:val="auto"/>
          <w:sz w:val="24"/>
        </w:rPr>
        <w:t>供应商不足3家的，不得开标</w:t>
      </w:r>
      <w:r>
        <w:rPr>
          <w:rFonts w:hint="eastAsia" w:ascii="仿宋" w:hAnsi="仿宋" w:eastAsia="仿宋" w:cs="仿宋"/>
          <w:color w:val="auto"/>
          <w:sz w:val="24"/>
        </w:rPr>
        <w:t>。</w:t>
      </w:r>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 xml:space="preserve">18.2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开标时，由采购人或采购代理机构当众宣读供应商名称、投标价格。</w:t>
      </w:r>
    </w:p>
    <w:p>
      <w:pPr>
        <w:spacing w:line="240" w:lineRule="atLeast"/>
        <w:ind w:left="1079" w:leftChars="428" w:hanging="180" w:hangingChars="75"/>
        <w:rPr>
          <w:rFonts w:ascii="仿宋" w:hAnsi="仿宋" w:eastAsia="仿宋" w:cs="仿宋"/>
          <w:color w:val="auto"/>
          <w:sz w:val="24"/>
        </w:rPr>
      </w:pPr>
      <w:r>
        <w:rPr>
          <w:rFonts w:hint="eastAsia" w:ascii="仿宋" w:hAnsi="仿宋" w:eastAsia="仿宋" w:cs="仿宋"/>
          <w:color w:val="auto"/>
          <w:sz w:val="24"/>
        </w:rPr>
        <w:t>未宣读投标价格等实质内容，评标时不予承认。</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18.3    采购人或采购代理机构将对开标过程进行记录</w:t>
      </w:r>
      <w:bookmarkStart w:id="141" w:name="_Toc520356165"/>
      <w:r>
        <w:rPr>
          <w:rFonts w:hint="eastAsia" w:ascii="仿宋" w:hAnsi="仿宋" w:eastAsia="仿宋" w:cs="仿宋"/>
          <w:color w:val="auto"/>
          <w:sz w:val="24"/>
        </w:rPr>
        <w:t>，由参加开标的采购人代表或监督人员和相关工作人员签字确认，并存档备查。</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18.4    供应商代表</w:t>
      </w:r>
      <w:r>
        <w:rPr>
          <w:rFonts w:hint="eastAsia" w:ascii="仿宋" w:hAnsi="仿宋" w:eastAsia="仿宋" w:cs="仿宋"/>
          <w:color w:val="auto"/>
          <w:kern w:val="0"/>
          <w:sz w:val="24"/>
        </w:rPr>
        <w:t>对开标记录有疑义，应在线上提出询问。</w:t>
      </w:r>
    </w:p>
    <w:p>
      <w:pPr>
        <w:pStyle w:val="9"/>
        <w:spacing w:before="0" w:after="0" w:line="240" w:lineRule="atLeast"/>
        <w:rPr>
          <w:rFonts w:ascii="仿宋" w:hAnsi="仿宋" w:eastAsia="仿宋" w:cs="仿宋"/>
          <w:color w:val="auto"/>
          <w:u w:val="none"/>
        </w:rPr>
      </w:pPr>
      <w:bookmarkStart w:id="142" w:name="_Toc518923084"/>
      <w:bookmarkStart w:id="143" w:name="_Toc10502"/>
      <w:r>
        <w:rPr>
          <w:rFonts w:hint="eastAsia" w:ascii="仿宋" w:hAnsi="仿宋" w:eastAsia="仿宋" w:cs="仿宋"/>
          <w:color w:val="auto"/>
          <w:u w:val="none"/>
        </w:rPr>
        <w:t>19</w:t>
      </w:r>
      <w:bookmarkEnd w:id="141"/>
      <w:r>
        <w:rPr>
          <w:rFonts w:hint="eastAsia" w:ascii="仿宋" w:hAnsi="仿宋" w:eastAsia="仿宋" w:cs="仿宋"/>
          <w:color w:val="auto"/>
          <w:u w:val="none"/>
        </w:rPr>
        <w:t>.资格审查及组建评标委员会</w:t>
      </w:r>
      <w:bookmarkEnd w:id="142"/>
      <w:bookmarkEnd w:id="143"/>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19.1    评标委员会依据法律法规和采购文件中规定的内容，对供应商的资格进行审查。未通过资格审查的供应商不进入评标；进入评标的供应商不足3家的，不得评标。</w:t>
      </w:r>
    </w:p>
    <w:p>
      <w:pPr>
        <w:spacing w:line="240" w:lineRule="atLeast"/>
        <w:ind w:firstLine="790" w:firstLineChars="328"/>
        <w:rPr>
          <w:rFonts w:ascii="仿宋" w:hAnsi="仿宋" w:eastAsia="仿宋" w:cs="仿宋"/>
          <w:color w:val="auto"/>
          <w:sz w:val="24"/>
        </w:rPr>
      </w:pPr>
      <w:r>
        <w:rPr>
          <w:rFonts w:hint="eastAsia" w:ascii="仿宋" w:hAnsi="仿宋" w:eastAsia="仿宋" w:cs="仿宋"/>
          <w:b/>
          <w:iCs/>
          <w:color w:val="auto"/>
          <w:sz w:val="24"/>
        </w:rPr>
        <w:t>通过资格审查的供应商不足三家的，不得评标。</w:t>
      </w:r>
    </w:p>
    <w:p>
      <w:pPr>
        <w:spacing w:line="240" w:lineRule="atLeast"/>
        <w:ind w:left="720" w:hanging="720" w:hangingChars="300"/>
        <w:rPr>
          <w:rFonts w:ascii="仿宋" w:hAnsi="仿宋" w:eastAsia="仿宋" w:cs="仿宋"/>
          <w:color w:val="auto"/>
          <w:sz w:val="24"/>
        </w:rPr>
      </w:pPr>
      <w:r>
        <w:rPr>
          <w:rFonts w:hint="eastAsia" w:ascii="仿宋" w:hAnsi="仿宋" w:eastAsia="仿宋" w:cs="仿宋"/>
          <w:color w:val="auto"/>
          <w:sz w:val="24"/>
        </w:rPr>
        <w:t>19.2  采购人或采购代理机构将在开标前1个工作日至投标截止后1小时的期间内查询供应商的信用记录。供应商存在不良信用记录的，其投标将被认定为投标无效。</w:t>
      </w:r>
    </w:p>
    <w:p>
      <w:pPr>
        <w:spacing w:line="240" w:lineRule="atLeast"/>
        <w:ind w:left="720" w:hanging="720" w:hangingChars="300"/>
        <w:rPr>
          <w:rFonts w:ascii="仿宋" w:hAnsi="仿宋" w:eastAsia="仿宋" w:cs="仿宋"/>
          <w:color w:val="auto"/>
          <w:sz w:val="24"/>
        </w:rPr>
      </w:pPr>
      <w:r>
        <w:rPr>
          <w:rFonts w:hint="eastAsia" w:ascii="仿宋" w:hAnsi="仿宋" w:eastAsia="仿宋" w:cs="仿宋"/>
          <w:color w:val="auto"/>
          <w:sz w:val="24"/>
        </w:rPr>
        <w:t>19.2.1  不良信用记录指：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查询结果以代理公司开标现场核查为准）</w:t>
      </w:r>
      <w:r>
        <w:rPr>
          <w:rFonts w:hint="eastAsia" w:ascii="仿宋" w:hAnsi="仿宋" w:eastAsia="仿宋" w:cs="仿宋"/>
          <w:color w:val="auto"/>
          <w:sz w:val="24"/>
          <w:lang w:eastAsia="zh-CN"/>
        </w:rPr>
        <w:t>，</w:t>
      </w:r>
      <w:r>
        <w:rPr>
          <w:rFonts w:hint="eastAsia" w:ascii="仿宋" w:hAnsi="仿宋" w:eastAsia="仿宋" w:cs="仿宋"/>
          <w:color w:val="auto"/>
          <w:sz w:val="24"/>
        </w:rPr>
        <w:t>以联合体形式参加投标的，联合体任何成员存在以上不良信用记录的，联合体投标将被认定为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pStyle w:val="11"/>
        <w:spacing w:line="240" w:lineRule="atLeast"/>
        <w:ind w:left="850" w:hanging="849" w:hangingChars="354"/>
        <w:jc w:val="both"/>
        <w:rPr>
          <w:rFonts w:ascii="仿宋" w:hAnsi="仿宋" w:eastAsia="仿宋" w:cs="仿宋"/>
          <w:color w:val="auto"/>
          <w:kern w:val="2"/>
          <w:szCs w:val="24"/>
        </w:rPr>
      </w:pPr>
      <w:r>
        <w:rPr>
          <w:rFonts w:hint="eastAsia" w:ascii="仿宋" w:hAnsi="仿宋" w:eastAsia="仿宋" w:cs="仿宋"/>
          <w:color w:val="auto"/>
        </w:rPr>
        <w:t xml:space="preserve">19.2.2 </w:t>
      </w:r>
      <w:r>
        <w:rPr>
          <w:rFonts w:hint="eastAsia" w:ascii="仿宋" w:hAnsi="仿宋" w:eastAsia="仿宋" w:cs="仿宋"/>
          <w:color w:val="auto"/>
          <w:kern w:val="2"/>
          <w:szCs w:val="24"/>
        </w:rPr>
        <w:t>查询及记录方式：采购人或采购代理机构经办人将查询网页打印、签字并存档备查。供应商不良信用记录以采购人或采购代理机构查询结果为准。</w:t>
      </w:r>
    </w:p>
    <w:p>
      <w:pPr>
        <w:pStyle w:val="11"/>
        <w:spacing w:line="240" w:lineRule="atLeast"/>
        <w:ind w:left="850" w:leftChars="405" w:firstLine="0"/>
        <w:jc w:val="both"/>
        <w:rPr>
          <w:rFonts w:ascii="仿宋" w:hAnsi="仿宋" w:eastAsia="仿宋" w:cs="仿宋"/>
          <w:color w:val="auto"/>
          <w:kern w:val="2"/>
          <w:szCs w:val="24"/>
        </w:rPr>
      </w:pPr>
      <w:r>
        <w:rPr>
          <w:rFonts w:hint="eastAsia" w:ascii="仿宋" w:hAnsi="仿宋" w:eastAsia="仿宋" w:cs="仿宋"/>
          <w:color w:val="auto"/>
          <w:kern w:val="2"/>
          <w:szCs w:val="24"/>
        </w:rPr>
        <w:t>在本采购文件规定的查询时间之后，网站信息发生的任何变更均不再作为评标依据。</w:t>
      </w:r>
    </w:p>
    <w:p>
      <w:pPr>
        <w:pStyle w:val="11"/>
        <w:spacing w:line="240" w:lineRule="atLeast"/>
        <w:ind w:left="850" w:leftChars="405" w:firstLine="0"/>
        <w:jc w:val="both"/>
        <w:rPr>
          <w:rFonts w:ascii="仿宋" w:hAnsi="仿宋" w:eastAsia="仿宋" w:cs="仿宋"/>
          <w:color w:val="auto"/>
        </w:rPr>
      </w:pPr>
      <w:r>
        <w:rPr>
          <w:rFonts w:hint="eastAsia" w:ascii="仿宋" w:hAnsi="仿宋" w:eastAsia="仿宋" w:cs="仿宋"/>
          <w:color w:val="auto"/>
          <w:kern w:val="2"/>
          <w:szCs w:val="24"/>
        </w:rPr>
        <w:t>供应商自行提供的与网站信</w:t>
      </w:r>
      <w:r>
        <w:rPr>
          <w:rFonts w:hint="eastAsia" w:ascii="仿宋" w:hAnsi="仿宋" w:eastAsia="仿宋" w:cs="仿宋"/>
          <w:color w:val="auto"/>
        </w:rPr>
        <w:t>息不一致的其他证明材料亦不作为资格审查的依据。</w:t>
      </w:r>
    </w:p>
    <w:p>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19.3   按照《中华人民共和国政府采购法》、《中华人民共和国政府采购法实施条例》及本项目本级和上级财政部门的有关规定依法组建的评标委员会，负责本项目评标工作。</w:t>
      </w:r>
      <w:bookmarkStart w:id="144" w:name="_Toc520356166"/>
      <w:r>
        <w:rPr>
          <w:rFonts w:hint="eastAsia" w:ascii="仿宋" w:hAnsi="仿宋" w:eastAsia="仿宋" w:cs="仿宋"/>
          <w:b/>
          <w:bCs/>
          <w:color w:val="auto"/>
          <w:sz w:val="24"/>
          <w:u w:val="single"/>
        </w:rPr>
        <w:t>本项目评标委员会成员</w:t>
      </w:r>
      <w:r>
        <w:rPr>
          <w:rFonts w:hint="eastAsia" w:ascii="仿宋" w:hAnsi="仿宋" w:eastAsia="仿宋" w:cs="仿宋"/>
          <w:b/>
          <w:bCs/>
          <w:color w:val="auto"/>
          <w:sz w:val="24"/>
          <w:u w:val="single"/>
          <w:lang w:val="en-US" w:eastAsia="zh-CN"/>
        </w:rPr>
        <w:t>7</w:t>
      </w:r>
      <w:r>
        <w:rPr>
          <w:rFonts w:hint="eastAsia" w:ascii="仿宋" w:hAnsi="仿宋" w:eastAsia="仿宋" w:cs="仿宋"/>
          <w:b/>
          <w:bCs/>
          <w:color w:val="auto"/>
          <w:sz w:val="24"/>
          <w:u w:val="single"/>
        </w:rPr>
        <w:t>名，在政府采购网自行组建按3:1比例随机抽取。</w:t>
      </w:r>
    </w:p>
    <w:p>
      <w:pPr>
        <w:pStyle w:val="9"/>
        <w:spacing w:before="0" w:after="0" w:line="240" w:lineRule="atLeast"/>
        <w:rPr>
          <w:rFonts w:ascii="仿宋" w:hAnsi="仿宋" w:eastAsia="仿宋" w:cs="仿宋"/>
          <w:b w:val="0"/>
          <w:bCs/>
          <w:color w:val="auto"/>
          <w:bdr w:val="single" w:color="auto" w:sz="4" w:space="0"/>
        </w:rPr>
      </w:pPr>
      <w:bookmarkStart w:id="145" w:name="_Toc22401"/>
      <w:bookmarkStart w:id="146" w:name="_Toc518923085"/>
      <w:r>
        <w:rPr>
          <w:rFonts w:hint="eastAsia" w:ascii="仿宋" w:hAnsi="仿宋" w:eastAsia="仿宋" w:cs="仿宋"/>
          <w:color w:val="auto"/>
          <w:u w:val="none"/>
        </w:rPr>
        <w:t>20.投标文件的</w:t>
      </w:r>
      <w:bookmarkEnd w:id="144"/>
      <w:r>
        <w:rPr>
          <w:rFonts w:hint="eastAsia" w:ascii="仿宋" w:hAnsi="仿宋" w:eastAsia="仿宋" w:cs="仿宋"/>
          <w:color w:val="auto"/>
          <w:u w:val="none"/>
        </w:rPr>
        <w:t>符合性审查与澄清</w:t>
      </w:r>
      <w:bookmarkEnd w:id="145"/>
      <w:bookmarkEnd w:id="146"/>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20.1   符合性审查是指依据采购文件的规定，从投标文件的有效性和完整性对采购文件的响应程度进行审查，以确定是否对采购文件的实质性要求做出响应。</w:t>
      </w:r>
      <w:bookmarkStart w:id="147" w:name="_Hlt522424701"/>
      <w:bookmarkEnd w:id="147"/>
      <w:bookmarkStart w:id="148" w:name="_Toc520356167"/>
    </w:p>
    <w:p>
      <w:pPr>
        <w:spacing w:line="240" w:lineRule="atLeast"/>
        <w:ind w:left="900" w:hanging="900" w:hangingChars="375"/>
        <w:outlineLvl w:val="1"/>
        <w:rPr>
          <w:rFonts w:ascii="仿宋" w:hAnsi="仿宋" w:eastAsia="仿宋" w:cs="仿宋"/>
          <w:color w:val="auto"/>
          <w:sz w:val="24"/>
        </w:rPr>
      </w:pPr>
      <w:bookmarkStart w:id="149" w:name="_Toc25206"/>
      <w:r>
        <w:rPr>
          <w:rFonts w:hint="eastAsia" w:ascii="仿宋" w:hAnsi="仿宋" w:eastAsia="仿宋" w:cs="仿宋"/>
          <w:color w:val="auto"/>
          <w:sz w:val="24"/>
        </w:rPr>
        <w:t>20.2</w:t>
      </w:r>
      <w:r>
        <w:rPr>
          <w:rFonts w:hint="eastAsia" w:ascii="仿宋" w:hAnsi="仿宋" w:eastAsia="仿宋" w:cs="仿宋"/>
          <w:color w:val="auto"/>
          <w:sz w:val="24"/>
        </w:rPr>
        <w:tab/>
      </w:r>
      <w:r>
        <w:rPr>
          <w:rFonts w:hint="eastAsia" w:ascii="仿宋" w:hAnsi="仿宋" w:eastAsia="仿宋" w:cs="仿宋"/>
          <w:color w:val="auto"/>
          <w:sz w:val="24"/>
        </w:rPr>
        <w:t>投标文件的澄清</w:t>
      </w:r>
      <w:bookmarkEnd w:id="14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澄清、说明或补正。应在评标委员会规定的时间内以书面方式进行，并不得超出投标文件范围或者改变投标文件的实质性内容。</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20.2.2  供应商的澄清、说明或补正将作为投标文件的一部分。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20.3   投标文件报价出现前后不一致的，按照下列规定修正：</w:t>
      </w:r>
    </w:p>
    <w:p>
      <w:pPr>
        <w:spacing w:line="2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　　   （一）投标文件中</w:t>
      </w:r>
      <w:r>
        <w:rPr>
          <w:rFonts w:hint="eastAsia" w:ascii="仿宋" w:hAnsi="仿宋" w:eastAsia="仿宋" w:cs="仿宋"/>
          <w:color w:val="auto"/>
          <w:sz w:val="24"/>
          <w:lang w:eastAsia="zh-CN"/>
        </w:rPr>
        <w:t>报价表</w:t>
      </w:r>
      <w:r>
        <w:rPr>
          <w:rFonts w:hint="eastAsia" w:ascii="仿宋" w:hAnsi="仿宋" w:eastAsia="仿宋" w:cs="仿宋"/>
          <w:color w:val="auto"/>
          <w:sz w:val="24"/>
        </w:rPr>
        <w:t>内容与投标文件中相应内容不一致的，以</w:t>
      </w:r>
      <w:r>
        <w:rPr>
          <w:rFonts w:hint="eastAsia" w:ascii="仿宋" w:hAnsi="仿宋" w:eastAsia="仿宋" w:cs="仿宋"/>
          <w:color w:val="auto"/>
          <w:sz w:val="24"/>
          <w:lang w:eastAsia="zh-CN"/>
        </w:rPr>
        <w:t>报价表</w:t>
      </w:r>
      <w:r>
        <w:rPr>
          <w:rFonts w:hint="eastAsia" w:ascii="仿宋" w:hAnsi="仿宋" w:eastAsia="仿宋" w:cs="仿宋"/>
          <w:color w:val="auto"/>
          <w:sz w:val="24"/>
        </w:rPr>
        <w:t>为准；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（二）大写金额和小写金额不一致的，以大写金额为准；</w:t>
      </w:r>
    </w:p>
    <w:p>
      <w:pPr>
        <w:spacing w:line="2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　   　（三）单价金额小数点或者百分比有明显错位的，以开标一览表的总价为准，并修改单价；</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（四）总价金额与按单价汇总金额不一致的，以单价金额计算结果为准。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同时出现两种以上不一致的，按照前款规定的顺序修正。修正后的报价按照第20.2条的规定经供应商确认后产生约束力，供应商不确认的，将被认定为投标无效。</w:t>
      </w:r>
    </w:p>
    <w:p>
      <w:pPr>
        <w:spacing w:line="240" w:lineRule="atLeast"/>
        <w:ind w:left="735" w:leftChars="350" w:firstLine="120" w:firstLineChars="50"/>
        <w:rPr>
          <w:rFonts w:ascii="仿宋" w:hAnsi="仿宋" w:eastAsia="仿宋" w:cs="仿宋"/>
          <w:color w:val="auto"/>
          <w:sz w:val="24"/>
        </w:rPr>
      </w:pPr>
      <w:r>
        <w:rPr>
          <w:rFonts w:hint="eastAsia" w:ascii="仿宋" w:hAnsi="仿宋" w:eastAsia="仿宋" w:cs="仿宋"/>
          <w:color w:val="auto"/>
          <w:sz w:val="24"/>
        </w:rPr>
        <w:t>对不同文字文本投标文件的解释发生异议的，以中文文本为准。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20.4   供应商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9"/>
        <w:spacing w:before="0" w:after="0" w:line="240" w:lineRule="atLeast"/>
        <w:rPr>
          <w:rFonts w:ascii="仿宋" w:hAnsi="仿宋" w:eastAsia="仿宋" w:cs="仿宋"/>
          <w:color w:val="auto"/>
          <w:u w:val="none"/>
        </w:rPr>
      </w:pPr>
      <w:bookmarkStart w:id="150" w:name="_Toc16072"/>
      <w:bookmarkStart w:id="151" w:name="_Toc518923086"/>
      <w:r>
        <w:rPr>
          <w:rFonts w:hint="eastAsia" w:ascii="仿宋" w:hAnsi="仿宋" w:eastAsia="仿宋" w:cs="仿宋"/>
          <w:color w:val="auto"/>
          <w:u w:val="none"/>
        </w:rPr>
        <w:t>21.投标偏离</w:t>
      </w:r>
      <w:bookmarkEnd w:id="150"/>
      <w:bookmarkEnd w:id="151"/>
    </w:p>
    <w:p>
      <w:pPr>
        <w:spacing w:line="240" w:lineRule="atLeast"/>
        <w:ind w:left="848" w:leftChars="99" w:hanging="640" w:hangingChars="267"/>
        <w:rPr>
          <w:rFonts w:ascii="仿宋" w:hAnsi="仿宋" w:eastAsia="仿宋" w:cs="仿宋"/>
          <w:color w:val="auto"/>
          <w:sz w:val="24"/>
        </w:rPr>
      </w:pPr>
      <w:r>
        <w:rPr>
          <w:rFonts w:hint="eastAsia" w:ascii="仿宋" w:hAnsi="仿宋" w:eastAsia="仿宋" w:cs="仿宋"/>
          <w:color w:val="auto"/>
          <w:sz w:val="24"/>
        </w:rPr>
        <w:t xml:space="preserve">     评标委员不接受投标文件中</w:t>
      </w:r>
      <w:r>
        <w:rPr>
          <w:rFonts w:hint="eastAsia" w:ascii="仿宋" w:hAnsi="仿宋" w:eastAsia="仿宋" w:cs="仿宋"/>
          <w:color w:val="auto"/>
          <w:sz w:val="24"/>
          <w:lang w:eastAsia="zh-CN"/>
        </w:rPr>
        <w:t>的</w:t>
      </w:r>
      <w:r>
        <w:rPr>
          <w:rFonts w:hint="eastAsia" w:ascii="仿宋" w:hAnsi="仿宋" w:eastAsia="仿宋" w:cs="仿宋"/>
          <w:color w:val="auto"/>
          <w:sz w:val="24"/>
        </w:rPr>
        <w:t>负偏离。</w:t>
      </w:r>
    </w:p>
    <w:p>
      <w:pPr>
        <w:pStyle w:val="9"/>
        <w:spacing w:before="0" w:after="0" w:line="240" w:lineRule="atLeast"/>
        <w:rPr>
          <w:rFonts w:ascii="仿宋" w:hAnsi="仿宋" w:eastAsia="仿宋" w:cs="仿宋"/>
          <w:color w:val="auto"/>
          <w:u w:val="none"/>
        </w:rPr>
      </w:pPr>
      <w:bookmarkStart w:id="152" w:name="_Toc518923087"/>
      <w:bookmarkStart w:id="153" w:name="_Toc8960"/>
      <w:r>
        <w:rPr>
          <w:rFonts w:hint="eastAsia" w:ascii="仿宋" w:hAnsi="仿宋" w:eastAsia="仿宋" w:cs="仿宋"/>
          <w:color w:val="auto"/>
          <w:u w:val="none"/>
        </w:rPr>
        <w:t>22.投标无效</w:t>
      </w:r>
      <w:bookmarkEnd w:id="152"/>
      <w:bookmarkEnd w:id="153"/>
    </w:p>
    <w:p>
      <w:pPr>
        <w:spacing w:line="240" w:lineRule="atLeast"/>
        <w:ind w:left="852" w:leftChars="-23" w:hanging="900" w:hangingChars="375"/>
        <w:rPr>
          <w:rFonts w:ascii="仿宋" w:hAnsi="仿宋" w:eastAsia="仿宋" w:cs="仿宋"/>
          <w:color w:val="auto"/>
          <w:sz w:val="24"/>
        </w:rPr>
      </w:pPr>
      <w:r>
        <w:rPr>
          <w:rFonts w:hint="eastAsia" w:ascii="仿宋" w:hAnsi="仿宋" w:eastAsia="仿宋" w:cs="仿宋"/>
          <w:color w:val="auto"/>
          <w:sz w:val="24"/>
        </w:rPr>
        <w:t>22.1   在比较与评价之前，根据本须知的规定，评标委员会要审查每份投标文件是否实质上响应了采购文件的要求。实质上响应的投标应该是与采购文件要求的全部条款、条件和规格相符，没有偏离的投标。对招标条款的偏离，将被认定为</w:t>
      </w:r>
      <w:r>
        <w:rPr>
          <w:rFonts w:hint="eastAsia" w:ascii="仿宋" w:hAnsi="仿宋" w:eastAsia="仿宋" w:cs="仿宋"/>
          <w:b/>
          <w:bCs/>
          <w:color w:val="auto"/>
          <w:sz w:val="24"/>
        </w:rPr>
        <w:t>投标无效</w:t>
      </w:r>
      <w:r>
        <w:rPr>
          <w:rFonts w:hint="eastAsia" w:ascii="仿宋" w:hAnsi="仿宋" w:eastAsia="仿宋" w:cs="仿宋"/>
          <w:color w:val="auto"/>
          <w:sz w:val="24"/>
        </w:rPr>
        <w:t>。供应商不得通过修正或撤销不符合要求的偏离从而使其投标成为实质上响应的投标。</w:t>
      </w:r>
    </w:p>
    <w:p>
      <w:pPr>
        <w:spacing w:line="240" w:lineRule="atLeast"/>
        <w:ind w:left="792" w:leftChars="377"/>
        <w:rPr>
          <w:rFonts w:ascii="仿宋" w:hAnsi="仿宋" w:eastAsia="仿宋" w:cs="仿宋"/>
          <w:color w:val="auto"/>
          <w:sz w:val="24"/>
        </w:rPr>
      </w:pPr>
      <w:r>
        <w:rPr>
          <w:rFonts w:hint="eastAsia" w:ascii="仿宋" w:hAnsi="仿宋" w:eastAsia="仿宋" w:cs="仿宋"/>
          <w:color w:val="auto"/>
          <w:sz w:val="24"/>
        </w:rPr>
        <w:t>评标委员会决定投标的响应性只根据采购文件要求、投标文件内容及财政主管部门指定相关信息发布媒体。</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22.2</w:t>
      </w:r>
      <w:r>
        <w:rPr>
          <w:rFonts w:hint="eastAsia" w:ascii="仿宋" w:hAnsi="仿宋" w:eastAsia="仿宋" w:cs="仿宋"/>
          <w:color w:val="auto"/>
          <w:sz w:val="24"/>
        </w:rPr>
        <w:tab/>
      </w:r>
      <w:r>
        <w:rPr>
          <w:rFonts w:hint="eastAsia" w:ascii="仿宋" w:hAnsi="仿宋" w:eastAsia="仿宋" w:cs="仿宋"/>
          <w:color w:val="auto"/>
          <w:sz w:val="24"/>
        </w:rPr>
        <w:t>如发现下列情况之一的，其投标将被认定为投标无效：（</w:t>
      </w:r>
      <w:r>
        <w:rPr>
          <w:rFonts w:hint="eastAsia" w:ascii="仿宋" w:hAnsi="仿宋" w:eastAsia="仿宋" w:cs="仿宋"/>
          <w:b/>
          <w:color w:val="auto"/>
          <w:sz w:val="24"/>
        </w:rPr>
        <w:t>以下情形应当在采购文件中规定，并以醒目的方式标明</w:t>
      </w:r>
      <w:r>
        <w:rPr>
          <w:rFonts w:hint="eastAsia" w:ascii="仿宋" w:hAnsi="仿宋" w:eastAsia="仿宋" w:cs="仿宋"/>
          <w:color w:val="auto"/>
          <w:sz w:val="24"/>
        </w:rPr>
        <w:t>）</w:t>
      </w:r>
    </w:p>
    <w:p>
      <w:pPr>
        <w:numPr>
          <w:ilvl w:val="0"/>
          <w:numId w:val="4"/>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未按采购文件规定的形式和金额提交投标保证金的；</w:t>
      </w:r>
    </w:p>
    <w:p>
      <w:pPr>
        <w:numPr>
          <w:ilvl w:val="0"/>
          <w:numId w:val="4"/>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未按照采购文件规定要求签署、盖章的；</w:t>
      </w:r>
    </w:p>
    <w:p>
      <w:pPr>
        <w:numPr>
          <w:ilvl w:val="0"/>
          <w:numId w:val="4"/>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未满足采购文件中技术条款的实质性要求；</w:t>
      </w:r>
    </w:p>
    <w:p>
      <w:pPr>
        <w:numPr>
          <w:ilvl w:val="0"/>
          <w:numId w:val="4"/>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与其他供应商串通投标，或者与招标人串通投标；</w:t>
      </w:r>
    </w:p>
    <w:p>
      <w:pPr>
        <w:numPr>
          <w:ilvl w:val="0"/>
          <w:numId w:val="4"/>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属于采购文件规定的其他投标无效情形；</w:t>
      </w:r>
    </w:p>
    <w:p>
      <w:pPr>
        <w:numPr>
          <w:ilvl w:val="0"/>
          <w:numId w:val="4"/>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评标委员会认为供应商的报价明显低于其他通过符合性检查供应商的报价，有可能影响履约的，且供应商未按照规定证明其报价合理性的；</w:t>
      </w:r>
    </w:p>
    <w:p>
      <w:pPr>
        <w:numPr>
          <w:ilvl w:val="0"/>
          <w:numId w:val="4"/>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投标文件含有采购人不能接受的附加条件的；</w:t>
      </w:r>
    </w:p>
    <w:p>
      <w:pPr>
        <w:numPr>
          <w:ilvl w:val="0"/>
          <w:numId w:val="4"/>
        </w:numPr>
        <w:tabs>
          <w:tab w:val="left" w:pos="0"/>
        </w:tabs>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不符合法规和采购文件中规定的其他实质性要求的。</w:t>
      </w:r>
    </w:p>
    <w:p>
      <w:pPr>
        <w:spacing w:line="240" w:lineRule="atLeast"/>
        <w:rPr>
          <w:rFonts w:ascii="仿宋" w:hAnsi="仿宋" w:eastAsia="仿宋" w:cs="仿宋"/>
          <w:color w:val="auto"/>
        </w:rPr>
      </w:pPr>
      <w:bookmarkStart w:id="154" w:name="_Toc518923088"/>
      <w:r>
        <w:rPr>
          <w:rFonts w:hint="eastAsia" w:ascii="仿宋" w:hAnsi="仿宋" w:eastAsia="仿宋" w:cs="仿宋"/>
          <w:b/>
          <w:color w:val="auto"/>
          <w:kern w:val="0"/>
          <w:sz w:val="24"/>
          <w:szCs w:val="20"/>
        </w:rPr>
        <w:t>23</w:t>
      </w:r>
      <w:bookmarkEnd w:id="148"/>
      <w:r>
        <w:rPr>
          <w:rFonts w:hint="eastAsia" w:ascii="仿宋" w:hAnsi="仿宋" w:eastAsia="仿宋" w:cs="仿宋"/>
          <w:b/>
          <w:color w:val="auto"/>
          <w:kern w:val="0"/>
          <w:sz w:val="24"/>
          <w:szCs w:val="20"/>
        </w:rPr>
        <w:t>.比较与评价</w:t>
      </w:r>
      <w:bookmarkEnd w:id="154"/>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23.1</w:t>
      </w:r>
      <w:r>
        <w:rPr>
          <w:rFonts w:hint="eastAsia" w:ascii="仿宋" w:hAnsi="仿宋" w:eastAsia="仿宋" w:cs="仿宋"/>
          <w:color w:val="auto"/>
          <w:sz w:val="24"/>
        </w:rPr>
        <w:tab/>
      </w:r>
      <w:r>
        <w:rPr>
          <w:rFonts w:hint="eastAsia" w:ascii="仿宋" w:hAnsi="仿宋" w:eastAsia="仿宋" w:cs="仿宋"/>
          <w:color w:val="auto"/>
          <w:sz w:val="24"/>
        </w:rPr>
        <w:t>经符合性审查合格的投标文件，评标委员会将根据采购文件确定的评标方法和标准，对其技术部分和商务部分作进一步的比较和评价。</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23.2  </w:t>
      </w:r>
      <w:r>
        <w:rPr>
          <w:rFonts w:hint="eastAsia" w:ascii="仿宋" w:hAnsi="仿宋" w:eastAsia="仿宋" w:cs="仿宋"/>
          <w:color w:val="auto"/>
          <w:sz w:val="24"/>
        </w:rPr>
        <w:tab/>
      </w:r>
      <w:r>
        <w:rPr>
          <w:rFonts w:hint="eastAsia" w:ascii="仿宋" w:hAnsi="仿宋" w:eastAsia="仿宋" w:cs="仿宋"/>
          <w:color w:val="auto"/>
          <w:sz w:val="24"/>
        </w:rPr>
        <w:t>评标严格按照采购文件的要求和条件进行。根据实际情况，在</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中规定采用下列一种评标方法，具体办法详见第6章评标方法和标准：</w:t>
      </w:r>
    </w:p>
    <w:p>
      <w:pPr>
        <w:pStyle w:val="17"/>
        <w:spacing w:line="240" w:lineRule="atLeast"/>
        <w:ind w:left="899" w:leftChars="342" w:hanging="181"/>
        <w:rPr>
          <w:rFonts w:ascii="仿宋" w:hAnsi="仿宋" w:eastAsia="仿宋" w:cs="仿宋"/>
          <w:color w:val="auto"/>
          <w:sz w:val="24"/>
          <w:szCs w:val="24"/>
        </w:rPr>
      </w:pPr>
      <w:r>
        <w:rPr>
          <w:rFonts w:hint="eastAsia" w:ascii="仿宋" w:hAnsi="仿宋" w:eastAsia="仿宋" w:cs="仿宋"/>
          <w:color w:val="auto"/>
          <w:sz w:val="24"/>
          <w:szCs w:val="24"/>
        </w:rPr>
        <w:t>（1） 最低评标价法，是指投标文件满足采购文件全部实质性要求，且投标报价最低的供应商为中标候选人的评标方法。</w:t>
      </w:r>
    </w:p>
    <w:p>
      <w:pPr>
        <w:pStyle w:val="17"/>
        <w:spacing w:line="240" w:lineRule="atLeast"/>
        <w:ind w:left="898" w:leftChars="342" w:hanging="180"/>
        <w:rPr>
          <w:rFonts w:ascii="仿宋" w:hAnsi="仿宋" w:eastAsia="仿宋" w:cs="仿宋"/>
          <w:color w:val="auto"/>
          <w:sz w:val="24"/>
          <w:szCs w:val="24"/>
        </w:rPr>
      </w:pPr>
      <w:r>
        <w:rPr>
          <w:rFonts w:hint="eastAsia" w:ascii="仿宋" w:hAnsi="仿宋" w:eastAsia="仿宋" w:cs="仿宋"/>
          <w:color w:val="auto"/>
          <w:sz w:val="24"/>
          <w:szCs w:val="24"/>
        </w:rPr>
        <w:t>（2） 综合评分法，是指投标文件满足采购文件全部实质性要求，且按照评审因素的量化指标评审得分最高的供应商为中标候选人的评标方法。</w:t>
      </w:r>
    </w:p>
    <w:p>
      <w:pPr>
        <w:pStyle w:val="17"/>
        <w:spacing w:line="240" w:lineRule="atLeast"/>
        <w:ind w:left="900" w:hanging="900" w:hangingChars="375"/>
        <w:rPr>
          <w:rFonts w:ascii="仿宋" w:hAnsi="仿宋" w:eastAsia="仿宋" w:cs="仿宋"/>
          <w:color w:val="auto"/>
          <w:sz w:val="24"/>
          <w:szCs w:val="24"/>
        </w:rPr>
      </w:pPr>
      <w:r>
        <w:rPr>
          <w:rFonts w:hint="eastAsia" w:ascii="仿宋" w:hAnsi="仿宋" w:eastAsia="仿宋" w:cs="仿宋"/>
          <w:color w:val="auto"/>
          <w:sz w:val="24"/>
          <w:szCs w:val="24"/>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55" w:name="sendNo"/>
      <w:r>
        <w:rPr>
          <w:rFonts w:hint="eastAsia" w:ascii="仿宋" w:hAnsi="仿宋" w:eastAsia="仿宋" w:cs="仿宋"/>
          <w:bCs/>
          <w:color w:val="auto"/>
          <w:sz w:val="24"/>
          <w:szCs w:val="24"/>
        </w:rPr>
        <w:t>财库〔</w:t>
      </w:r>
      <w:bookmarkEnd w:id="155"/>
      <w:r>
        <w:rPr>
          <w:rFonts w:hint="eastAsia" w:ascii="仿宋" w:hAnsi="仿宋" w:eastAsia="仿宋" w:cs="仿宋"/>
          <w:bCs/>
          <w:color w:val="auto"/>
          <w:sz w:val="24"/>
          <w:szCs w:val="24"/>
        </w:rPr>
        <w:t>2017〕141号</w:t>
      </w:r>
      <w:r>
        <w:rPr>
          <w:rFonts w:hint="eastAsia" w:ascii="仿宋" w:hAnsi="仿宋" w:eastAsia="仿宋" w:cs="仿宋"/>
          <w:color w:val="auto"/>
          <w:sz w:val="24"/>
          <w:szCs w:val="24"/>
        </w:rPr>
        <w:t>）的规定，对满足价格扣除条件且在投标文件中提交了《供应商企业类型声明函》或省级以上监狱管理局、戒毒管理局（含新疆生产建设兵团）出具的属于监狱企业的证明文件的供应商，其投标报价扣除6-10%后参与评审。具体办法详见采购文件</w:t>
      </w:r>
      <w:r>
        <w:rPr>
          <w:rFonts w:hint="eastAsia" w:ascii="仿宋" w:hAnsi="仿宋" w:eastAsia="仿宋" w:cs="仿宋"/>
          <w:color w:val="auto"/>
          <w:sz w:val="24"/>
        </w:rPr>
        <w:t>第6章评标方法和标准</w:t>
      </w:r>
      <w:r>
        <w:rPr>
          <w:rFonts w:hint="eastAsia" w:ascii="仿宋" w:hAnsi="仿宋" w:eastAsia="仿宋" w:cs="仿宋"/>
          <w:color w:val="auto"/>
          <w:sz w:val="24"/>
          <w:szCs w:val="24"/>
        </w:rPr>
        <w:t>。</w:t>
      </w:r>
    </w:p>
    <w:p>
      <w:pPr>
        <w:pStyle w:val="17"/>
        <w:spacing w:line="240" w:lineRule="atLeast"/>
        <w:ind w:left="900" w:hanging="900" w:hangingChars="375"/>
        <w:rPr>
          <w:rFonts w:ascii="仿宋" w:hAnsi="仿宋" w:eastAsia="仿宋" w:cs="仿宋"/>
          <w:b/>
          <w:b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本项目采用招标方式：公开招标，评分方法：综合评分法</w:t>
      </w:r>
    </w:p>
    <w:p>
      <w:pPr>
        <w:pStyle w:val="9"/>
        <w:spacing w:before="0" w:after="0" w:line="240" w:lineRule="atLeast"/>
        <w:rPr>
          <w:rFonts w:ascii="仿宋" w:hAnsi="仿宋" w:eastAsia="仿宋" w:cs="仿宋"/>
          <w:b w:val="0"/>
          <w:color w:val="auto"/>
          <w:kern w:val="2"/>
          <w:szCs w:val="24"/>
          <w:u w:val="none"/>
        </w:rPr>
      </w:pPr>
      <w:bookmarkStart w:id="156" w:name="_Toc520356168"/>
      <w:bookmarkStart w:id="157" w:name="_Toc4516"/>
      <w:bookmarkStart w:id="158" w:name="_Toc518923089"/>
      <w:r>
        <w:rPr>
          <w:rFonts w:hint="eastAsia" w:ascii="仿宋" w:hAnsi="仿宋" w:eastAsia="仿宋" w:cs="仿宋"/>
          <w:b w:val="0"/>
          <w:color w:val="auto"/>
          <w:kern w:val="2"/>
          <w:szCs w:val="24"/>
          <w:u w:val="none"/>
        </w:rPr>
        <w:t>24</w:t>
      </w:r>
      <w:bookmarkEnd w:id="156"/>
      <w:r>
        <w:rPr>
          <w:rFonts w:hint="eastAsia" w:ascii="仿宋" w:hAnsi="仿宋" w:eastAsia="仿宋" w:cs="仿宋"/>
          <w:b w:val="0"/>
          <w:color w:val="auto"/>
          <w:kern w:val="2"/>
          <w:szCs w:val="24"/>
          <w:u w:val="none"/>
        </w:rPr>
        <w:t>.废标</w:t>
      </w:r>
      <w:bookmarkEnd w:id="157"/>
      <w:bookmarkEnd w:id="158"/>
    </w:p>
    <w:p>
      <w:pPr>
        <w:spacing w:line="240" w:lineRule="atLeast"/>
        <w:ind w:left="898" w:leftChars="399" w:hanging="60" w:hangingChars="25"/>
        <w:rPr>
          <w:rFonts w:ascii="仿宋" w:hAnsi="仿宋" w:eastAsia="仿宋" w:cs="仿宋"/>
          <w:color w:val="auto"/>
          <w:sz w:val="24"/>
        </w:rPr>
      </w:pPr>
      <w:r>
        <w:rPr>
          <w:rFonts w:hint="eastAsia" w:ascii="仿宋" w:hAnsi="仿宋" w:eastAsia="仿宋" w:cs="仿宋"/>
          <w:color w:val="auto"/>
          <w:sz w:val="24"/>
        </w:rPr>
        <w:t xml:space="preserve">出现下列情形之一，将导致项目废标： </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（1）符合专业条件的供应商或者对采购文件做实质性响应的供应商不足三家；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（2）出现影响采购公正的违法、违规行为的；</w:t>
      </w:r>
    </w:p>
    <w:p>
      <w:pPr>
        <w:spacing w:line="240" w:lineRule="atLeast"/>
        <w:ind w:firstLine="840" w:firstLineChars="350"/>
        <w:rPr>
          <w:rFonts w:ascii="仿宋" w:hAnsi="仿宋" w:eastAsia="仿宋" w:cs="仿宋"/>
          <w:color w:val="auto"/>
          <w:sz w:val="24"/>
        </w:rPr>
      </w:pPr>
      <w:r>
        <w:rPr>
          <w:rFonts w:hint="eastAsia" w:ascii="仿宋" w:hAnsi="仿宋" w:eastAsia="仿宋" w:cs="仿宋"/>
          <w:color w:val="auto"/>
          <w:sz w:val="24"/>
        </w:rPr>
        <w:t>（3）供应商的报价均超过了采购预算，采购人不能支付的；</w:t>
      </w:r>
    </w:p>
    <w:p>
      <w:pPr>
        <w:spacing w:line="240" w:lineRule="atLeast"/>
        <w:ind w:firstLine="840" w:firstLineChars="350"/>
        <w:rPr>
          <w:rFonts w:ascii="仿宋" w:hAnsi="仿宋" w:eastAsia="仿宋" w:cs="仿宋"/>
          <w:color w:val="auto"/>
          <w:sz w:val="24"/>
        </w:rPr>
      </w:pPr>
      <w:r>
        <w:rPr>
          <w:rFonts w:hint="eastAsia" w:ascii="仿宋" w:hAnsi="仿宋" w:eastAsia="仿宋" w:cs="仿宋"/>
          <w:color w:val="auto"/>
          <w:sz w:val="24"/>
        </w:rPr>
        <w:t xml:space="preserve">（4）因重大变故，采购任务取消的。   </w:t>
      </w:r>
    </w:p>
    <w:p>
      <w:pPr>
        <w:pStyle w:val="9"/>
        <w:spacing w:before="0" w:after="0" w:line="240" w:lineRule="atLeast"/>
        <w:rPr>
          <w:rFonts w:ascii="仿宋" w:hAnsi="仿宋" w:eastAsia="仿宋" w:cs="仿宋"/>
          <w:b w:val="0"/>
          <w:color w:val="auto"/>
          <w:kern w:val="2"/>
          <w:szCs w:val="24"/>
          <w:u w:val="none"/>
        </w:rPr>
      </w:pPr>
      <w:bookmarkStart w:id="159" w:name="_Toc518923090"/>
      <w:bookmarkStart w:id="160" w:name="_Toc30591"/>
      <w:bookmarkStart w:id="161" w:name="_Toc520356169"/>
      <w:r>
        <w:rPr>
          <w:rFonts w:hint="eastAsia" w:ascii="仿宋" w:hAnsi="仿宋" w:eastAsia="仿宋" w:cs="仿宋"/>
          <w:b w:val="0"/>
          <w:color w:val="auto"/>
          <w:kern w:val="2"/>
          <w:szCs w:val="24"/>
          <w:u w:val="none"/>
        </w:rPr>
        <w:t>25.保密原则</w:t>
      </w:r>
      <w:bookmarkEnd w:id="159"/>
      <w:bookmarkEnd w:id="160"/>
    </w:p>
    <w:p>
      <w:pPr>
        <w:spacing w:line="240" w:lineRule="atLeast"/>
        <w:ind w:left="900" w:hanging="900" w:hangingChars="375"/>
        <w:outlineLvl w:val="1"/>
        <w:rPr>
          <w:rFonts w:ascii="仿宋" w:hAnsi="仿宋" w:eastAsia="仿宋" w:cs="仿宋"/>
          <w:color w:val="auto"/>
          <w:sz w:val="24"/>
        </w:rPr>
      </w:pPr>
      <w:bookmarkStart w:id="162" w:name="_Toc5155"/>
      <w:r>
        <w:rPr>
          <w:rFonts w:hint="eastAsia" w:ascii="仿宋" w:hAnsi="仿宋" w:eastAsia="仿宋" w:cs="仿宋"/>
          <w:color w:val="auto"/>
          <w:sz w:val="24"/>
        </w:rPr>
        <w:t>25.1</w:t>
      </w:r>
      <w:r>
        <w:rPr>
          <w:rFonts w:hint="eastAsia" w:ascii="仿宋" w:hAnsi="仿宋" w:eastAsia="仿宋" w:cs="仿宋"/>
          <w:color w:val="auto"/>
          <w:sz w:val="24"/>
        </w:rPr>
        <w:tab/>
      </w:r>
      <w:r>
        <w:rPr>
          <w:rFonts w:hint="eastAsia" w:ascii="仿宋" w:hAnsi="仿宋" w:eastAsia="仿宋" w:cs="仿宋"/>
          <w:color w:val="auto"/>
          <w:sz w:val="24"/>
        </w:rPr>
        <w:t>评标将在严格保密的情况下进行。</w:t>
      </w:r>
      <w:bookmarkEnd w:id="162"/>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25.2</w:t>
      </w:r>
      <w:r>
        <w:rPr>
          <w:rFonts w:hint="eastAsia" w:ascii="仿宋" w:hAnsi="仿宋" w:eastAsia="仿宋" w:cs="仿宋"/>
          <w:color w:val="auto"/>
          <w:sz w:val="24"/>
        </w:rPr>
        <w:tab/>
      </w:r>
      <w:r>
        <w:rPr>
          <w:rFonts w:hint="eastAsia" w:ascii="仿宋" w:hAnsi="仿宋" w:eastAsia="仿宋" w:cs="仿宋"/>
          <w:color w:val="auto"/>
          <w:sz w:val="24"/>
        </w:rPr>
        <w:t>政府采购评审专家应当遵守评审工作纪律，不得泄露评审文件、评审情况和评审中获悉的商业秘密。</w:t>
      </w:r>
    </w:p>
    <w:p>
      <w:pPr>
        <w:spacing w:line="240" w:lineRule="atLeast"/>
        <w:ind w:left="1080" w:leftChars="257" w:hanging="540"/>
        <w:rPr>
          <w:rFonts w:ascii="仿宋" w:hAnsi="仿宋" w:eastAsia="仿宋" w:cs="仿宋"/>
          <w:color w:val="auto"/>
          <w:sz w:val="24"/>
        </w:rPr>
      </w:pPr>
    </w:p>
    <w:p>
      <w:pPr>
        <w:pStyle w:val="8"/>
        <w:spacing w:before="0" w:line="240" w:lineRule="atLeast"/>
        <w:ind w:left="1080" w:leftChars="257" w:hanging="540"/>
        <w:rPr>
          <w:rFonts w:ascii="仿宋" w:hAnsi="仿宋" w:eastAsia="仿宋" w:cs="仿宋"/>
          <w:color w:val="auto"/>
          <w:sz w:val="24"/>
        </w:rPr>
      </w:pPr>
      <w:bookmarkStart w:id="163" w:name="_Toc216582810"/>
      <w:bookmarkStart w:id="164" w:name="_Toc8947"/>
      <w:bookmarkStart w:id="165" w:name="_Toc518923091"/>
      <w:bookmarkStart w:id="166" w:name="_Toc25989"/>
      <w:r>
        <w:rPr>
          <w:rFonts w:hint="eastAsia" w:ascii="仿宋" w:hAnsi="仿宋" w:eastAsia="仿宋" w:cs="仿宋"/>
          <w:color w:val="auto"/>
          <w:sz w:val="24"/>
        </w:rPr>
        <w:t xml:space="preserve">六   </w:t>
      </w:r>
      <w:bookmarkEnd w:id="161"/>
      <w:r>
        <w:rPr>
          <w:rFonts w:hint="eastAsia" w:ascii="仿宋" w:hAnsi="仿宋" w:eastAsia="仿宋" w:cs="仿宋"/>
          <w:color w:val="auto"/>
          <w:sz w:val="24"/>
        </w:rPr>
        <w:t>确定中标</w:t>
      </w:r>
      <w:bookmarkEnd w:id="163"/>
      <w:bookmarkEnd w:id="164"/>
      <w:bookmarkEnd w:id="165"/>
      <w:bookmarkEnd w:id="166"/>
    </w:p>
    <w:p>
      <w:pPr>
        <w:pStyle w:val="11"/>
        <w:rPr>
          <w:rFonts w:ascii="仿宋" w:hAnsi="仿宋" w:eastAsia="仿宋" w:cs="仿宋"/>
          <w:color w:val="auto"/>
        </w:rPr>
      </w:pPr>
    </w:p>
    <w:p>
      <w:pPr>
        <w:pStyle w:val="9"/>
        <w:spacing w:before="0" w:after="0" w:line="240" w:lineRule="atLeast"/>
        <w:rPr>
          <w:rFonts w:ascii="仿宋" w:hAnsi="仿宋" w:eastAsia="仿宋" w:cs="仿宋"/>
          <w:color w:val="auto"/>
          <w:u w:val="none"/>
        </w:rPr>
      </w:pPr>
      <w:bookmarkStart w:id="167" w:name="_Ref467307010"/>
      <w:bookmarkStart w:id="168" w:name="_Toc518923092"/>
      <w:bookmarkStart w:id="169" w:name="_Toc24032"/>
      <w:bookmarkStart w:id="170" w:name="_Toc520356170"/>
      <w:r>
        <w:rPr>
          <w:rFonts w:hint="eastAsia" w:ascii="仿宋" w:hAnsi="仿宋" w:eastAsia="仿宋" w:cs="仿宋"/>
          <w:color w:val="auto"/>
          <w:u w:val="none"/>
        </w:rPr>
        <w:t>26.中标候选人的确定原则及标准</w:t>
      </w:r>
      <w:bookmarkEnd w:id="167"/>
      <w:bookmarkEnd w:id="168"/>
      <w:bookmarkEnd w:id="169"/>
      <w:bookmarkEnd w:id="170"/>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除第28条规定外，对实质上响应采购文件的供应商按下列方法进行排序，确定中标候选人：</w:t>
      </w:r>
    </w:p>
    <w:p>
      <w:pPr>
        <w:spacing w:line="240" w:lineRule="atLeast"/>
        <w:ind w:left="898" w:leftChars="342" w:hanging="180" w:hangingChars="75"/>
        <w:rPr>
          <w:rFonts w:ascii="仿宋" w:hAnsi="仿宋" w:eastAsia="仿宋" w:cs="仿宋"/>
          <w:color w:val="auto"/>
          <w:sz w:val="24"/>
        </w:rPr>
      </w:pPr>
      <w:r>
        <w:rPr>
          <w:rFonts w:hint="eastAsia" w:ascii="仿宋" w:hAnsi="仿宋" w:eastAsia="仿宋" w:cs="仿宋"/>
          <w:color w:val="auto"/>
          <w:sz w:val="24"/>
        </w:rPr>
        <w:t>（1）采用最低评标价法的，除了算术修正和落实政府采购政策需进行的价格扣除外，不对供应商的投标价格进行任何调整。评标结果按修正和扣除后的投标报价由低到高顺序排列。报价相同的处理方式详见采购文件四、综合评分法评分标准。</w:t>
      </w:r>
    </w:p>
    <w:p>
      <w:pPr>
        <w:spacing w:line="240" w:lineRule="atLeast"/>
        <w:ind w:left="901"/>
        <w:rPr>
          <w:rFonts w:ascii="仿宋" w:hAnsi="仿宋" w:eastAsia="仿宋" w:cs="仿宋"/>
          <w:color w:val="auto"/>
          <w:sz w:val="24"/>
        </w:rPr>
      </w:pPr>
      <w:r>
        <w:rPr>
          <w:rFonts w:hint="eastAsia" w:ascii="仿宋" w:hAnsi="仿宋" w:eastAsia="仿宋" w:cs="仿宋"/>
          <w:color w:val="auto"/>
          <w:sz w:val="24"/>
        </w:rPr>
        <w:t>（2）采用综合评分法的，评标结果按评审后得分由高到低顺序排列。得分相同的，按修正和扣除后的投标报价由低到高顺序排列。得分与投标报价均相同的处理方式详见采购文件第6章评标方法和标准。</w:t>
      </w:r>
    </w:p>
    <w:p>
      <w:pPr>
        <w:spacing w:line="240" w:lineRule="atLeast"/>
        <w:ind w:left="901"/>
        <w:rPr>
          <w:rFonts w:ascii="仿宋" w:hAnsi="仿宋" w:eastAsia="仿宋" w:cs="仿宋"/>
          <w:color w:val="auto"/>
        </w:rPr>
      </w:pPr>
      <w:r>
        <w:rPr>
          <w:rFonts w:hint="eastAsia" w:ascii="仿宋" w:hAnsi="仿宋" w:eastAsia="仿宋" w:cs="仿宋"/>
          <w:b/>
          <w:bCs/>
          <w:color w:val="auto"/>
          <w:sz w:val="24"/>
        </w:rPr>
        <w:t>本项目采用综合评分法</w:t>
      </w:r>
    </w:p>
    <w:p>
      <w:pPr>
        <w:pStyle w:val="9"/>
        <w:spacing w:before="0" w:after="0" w:line="240" w:lineRule="atLeast"/>
        <w:rPr>
          <w:rFonts w:ascii="仿宋" w:hAnsi="仿宋" w:eastAsia="仿宋" w:cs="仿宋"/>
          <w:color w:val="auto"/>
          <w:u w:val="none"/>
        </w:rPr>
      </w:pPr>
      <w:bookmarkStart w:id="171" w:name="_Toc520356171"/>
      <w:bookmarkStart w:id="172" w:name="_Toc2553"/>
      <w:bookmarkStart w:id="173" w:name="_Toc518923093"/>
      <w:r>
        <w:rPr>
          <w:rFonts w:hint="eastAsia" w:ascii="仿宋" w:hAnsi="仿宋" w:eastAsia="仿宋" w:cs="仿宋"/>
          <w:color w:val="auto"/>
          <w:u w:val="none"/>
        </w:rPr>
        <w:t>27</w:t>
      </w:r>
      <w:bookmarkEnd w:id="171"/>
      <w:r>
        <w:rPr>
          <w:rFonts w:hint="eastAsia" w:ascii="仿宋" w:hAnsi="仿宋" w:eastAsia="仿宋" w:cs="仿宋"/>
          <w:color w:val="auto"/>
          <w:u w:val="none"/>
        </w:rPr>
        <w:t>.确定中标候选人和中标人</w:t>
      </w:r>
      <w:bookmarkEnd w:id="172"/>
      <w:bookmarkEnd w:id="173"/>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评标委员会将根据评标标准，按</w:t>
      </w:r>
      <w:r>
        <w:rPr>
          <w:rFonts w:hint="eastAsia" w:ascii="仿宋" w:hAnsi="仿宋" w:eastAsia="仿宋" w:cs="仿宋"/>
          <w:color w:val="auto"/>
          <w:sz w:val="24"/>
          <w:u w:val="single"/>
        </w:rPr>
        <w:t>供应商须知资料表中</w:t>
      </w:r>
      <w:r>
        <w:rPr>
          <w:rFonts w:hint="eastAsia" w:ascii="仿宋" w:hAnsi="仿宋" w:eastAsia="仿宋" w:cs="仿宋"/>
          <w:color w:val="auto"/>
          <w:sz w:val="24"/>
        </w:rPr>
        <w:t>规定数量推荐中标候选人；或根据采购人的委托，直接确定中标人。</w:t>
      </w:r>
    </w:p>
    <w:p>
      <w:pPr>
        <w:pStyle w:val="9"/>
        <w:tabs>
          <w:tab w:val="left" w:pos="900"/>
        </w:tabs>
        <w:spacing w:before="0" w:after="0" w:line="240" w:lineRule="atLeast"/>
        <w:rPr>
          <w:rFonts w:ascii="仿宋" w:hAnsi="仿宋" w:eastAsia="仿宋" w:cs="仿宋"/>
          <w:color w:val="auto"/>
          <w:u w:val="none"/>
        </w:rPr>
      </w:pPr>
      <w:bookmarkStart w:id="174" w:name="_Ref467306874"/>
      <w:bookmarkStart w:id="175" w:name="_Toc520356173"/>
      <w:bookmarkStart w:id="176" w:name="_Toc518923094"/>
      <w:bookmarkStart w:id="177" w:name="_Toc28895"/>
      <w:r>
        <w:rPr>
          <w:rFonts w:hint="eastAsia" w:ascii="仿宋" w:hAnsi="仿宋" w:eastAsia="仿宋" w:cs="仿宋"/>
          <w:color w:val="auto"/>
          <w:u w:val="none"/>
        </w:rPr>
        <w:t>28</w:t>
      </w:r>
      <w:bookmarkEnd w:id="174"/>
      <w:bookmarkEnd w:id="175"/>
      <w:r>
        <w:rPr>
          <w:rFonts w:hint="eastAsia" w:ascii="仿宋" w:hAnsi="仿宋" w:eastAsia="仿宋" w:cs="仿宋"/>
          <w:color w:val="auto"/>
          <w:u w:val="none"/>
        </w:rPr>
        <w:t>.采购任务取消</w:t>
      </w:r>
      <w:bookmarkEnd w:id="176"/>
      <w:bookmarkEnd w:id="177"/>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因重大变故采购任务取消时，采购人有权拒绝任何供应商中标，且对受影响的供应商不承担任何责任。</w:t>
      </w:r>
      <w:bookmarkStart w:id="178" w:name="_Toc520356174"/>
    </w:p>
    <w:p>
      <w:pPr>
        <w:pStyle w:val="9"/>
        <w:spacing w:before="0" w:after="0" w:line="240" w:lineRule="atLeast"/>
        <w:rPr>
          <w:rFonts w:ascii="仿宋" w:hAnsi="仿宋" w:eastAsia="仿宋" w:cs="仿宋"/>
          <w:color w:val="auto"/>
          <w:u w:val="none"/>
        </w:rPr>
      </w:pPr>
      <w:bookmarkStart w:id="179" w:name="_Toc518923095"/>
      <w:bookmarkStart w:id="180" w:name="_Toc14989"/>
      <w:r>
        <w:rPr>
          <w:rFonts w:hint="eastAsia" w:ascii="仿宋" w:hAnsi="仿宋" w:eastAsia="仿宋" w:cs="仿宋"/>
          <w:color w:val="auto"/>
          <w:u w:val="none"/>
        </w:rPr>
        <w:t>29.中标通知书</w:t>
      </w:r>
      <w:bookmarkEnd w:id="178"/>
      <w:r>
        <w:rPr>
          <w:rFonts w:hint="eastAsia" w:ascii="仿宋" w:hAnsi="仿宋" w:eastAsia="仿宋" w:cs="仿宋"/>
          <w:color w:val="auto"/>
          <w:u w:val="none"/>
        </w:rPr>
        <w:t>和招标结果</w:t>
      </w:r>
      <w:bookmarkEnd w:id="179"/>
      <w:r>
        <w:rPr>
          <w:rFonts w:hint="eastAsia" w:ascii="仿宋" w:hAnsi="仿宋" w:eastAsia="仿宋" w:cs="仿宋"/>
          <w:color w:val="auto"/>
          <w:u w:val="none"/>
        </w:rPr>
        <w:t>公示</w:t>
      </w:r>
      <w:bookmarkEnd w:id="180"/>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29.1</w:t>
      </w:r>
      <w:r>
        <w:rPr>
          <w:rFonts w:hint="eastAsia" w:ascii="仿宋" w:hAnsi="仿宋" w:eastAsia="仿宋" w:cs="仿宋"/>
          <w:color w:val="auto"/>
          <w:sz w:val="24"/>
        </w:rPr>
        <w:tab/>
      </w:r>
      <w:r>
        <w:rPr>
          <w:rFonts w:hint="eastAsia" w:ascii="仿宋" w:hAnsi="仿宋" w:eastAsia="仿宋" w:cs="仿宋"/>
          <w:color w:val="auto"/>
          <w:sz w:val="24"/>
        </w:rPr>
        <w:t>在投标有效期内，中标人确定后，采购人或者采购代理机构发布中标公告，同时以书面形式向中标人发出中标通知书；</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29.2</w:t>
      </w:r>
      <w:r>
        <w:rPr>
          <w:rFonts w:hint="eastAsia" w:ascii="仿宋" w:hAnsi="仿宋" w:eastAsia="仿宋" w:cs="仿宋"/>
          <w:color w:val="auto"/>
          <w:sz w:val="24"/>
        </w:rPr>
        <w:tab/>
      </w:r>
      <w:r>
        <w:rPr>
          <w:rFonts w:hint="eastAsia" w:ascii="仿宋" w:hAnsi="仿宋" w:eastAsia="仿宋" w:cs="仿宋"/>
          <w:color w:val="auto"/>
          <w:sz w:val="24"/>
        </w:rPr>
        <w:t>中标通知书是合同的组成部分；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29.3    招标结果公告和中标通知书同时发出。</w:t>
      </w:r>
    </w:p>
    <w:p>
      <w:pPr>
        <w:pStyle w:val="9"/>
        <w:spacing w:before="0" w:after="0" w:line="240" w:lineRule="atLeast"/>
        <w:rPr>
          <w:rFonts w:ascii="仿宋" w:hAnsi="仿宋" w:eastAsia="仿宋" w:cs="仿宋"/>
          <w:color w:val="auto"/>
          <w:u w:val="none"/>
        </w:rPr>
      </w:pPr>
      <w:bookmarkStart w:id="181" w:name="_Toc520356175"/>
      <w:bookmarkStart w:id="182" w:name="_Toc518923096"/>
      <w:bookmarkStart w:id="183" w:name="_Ref467306978"/>
      <w:bookmarkStart w:id="184" w:name="_Ref467307204"/>
      <w:bookmarkStart w:id="185" w:name="_Ref467307062"/>
      <w:bookmarkStart w:id="186" w:name="_Ref467306377"/>
      <w:bookmarkStart w:id="187" w:name="_Toc25228"/>
      <w:r>
        <w:rPr>
          <w:rFonts w:hint="eastAsia" w:ascii="仿宋" w:hAnsi="仿宋" w:eastAsia="仿宋" w:cs="仿宋"/>
          <w:color w:val="auto"/>
          <w:u w:val="none"/>
        </w:rPr>
        <w:t>30.签订合同</w:t>
      </w:r>
      <w:bookmarkEnd w:id="181"/>
      <w:bookmarkEnd w:id="182"/>
      <w:bookmarkEnd w:id="183"/>
      <w:bookmarkEnd w:id="184"/>
      <w:bookmarkEnd w:id="185"/>
      <w:bookmarkEnd w:id="186"/>
      <w:bookmarkEnd w:id="187"/>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30.1</w:t>
      </w:r>
      <w:r>
        <w:rPr>
          <w:rFonts w:hint="eastAsia" w:ascii="仿宋" w:hAnsi="仿宋" w:eastAsia="仿宋" w:cs="仿宋"/>
          <w:color w:val="auto"/>
          <w:sz w:val="24"/>
        </w:rPr>
        <w:tab/>
      </w:r>
      <w:r>
        <w:rPr>
          <w:rFonts w:hint="eastAsia" w:ascii="仿宋" w:hAnsi="仿宋" w:eastAsia="仿宋" w:cs="仿宋"/>
          <w:color w:val="auto"/>
          <w:sz w:val="24"/>
        </w:rPr>
        <w:t>中标人应当自发出中标通知书之日起30日内，与采购人签订合同。</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30.2</w:t>
      </w:r>
      <w:r>
        <w:rPr>
          <w:rFonts w:hint="eastAsia" w:ascii="仿宋" w:hAnsi="仿宋" w:eastAsia="仿宋" w:cs="仿宋"/>
          <w:color w:val="auto"/>
          <w:sz w:val="24"/>
        </w:rPr>
        <w:tab/>
      </w:r>
      <w:bookmarkStart w:id="188" w:name="_Ref467306425"/>
      <w:bookmarkStart w:id="189" w:name="_Ref467307090"/>
      <w:bookmarkStart w:id="190" w:name="_Toc520356176"/>
      <w:r>
        <w:rPr>
          <w:rFonts w:hint="eastAsia" w:ascii="仿宋" w:hAnsi="仿宋" w:eastAsia="仿宋" w:cs="仿宋"/>
          <w:color w:val="auto"/>
          <w:sz w:val="24"/>
        </w:rPr>
        <w:t>采购文件、中标人的投标文件及其澄清文件等，均为签订合同的依据。</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30.4   当出现法规规定的</w:t>
      </w:r>
      <w:r>
        <w:rPr>
          <w:rFonts w:hint="eastAsia" w:ascii="仿宋" w:hAnsi="仿宋" w:eastAsia="仿宋" w:cs="仿宋"/>
          <w:b/>
          <w:color w:val="auto"/>
          <w:sz w:val="24"/>
        </w:rPr>
        <w:t>中标无效或中标结果无效</w:t>
      </w:r>
      <w:r>
        <w:rPr>
          <w:rFonts w:hint="eastAsia" w:ascii="仿宋" w:hAnsi="仿宋" w:eastAsia="仿宋" w:cs="仿宋"/>
          <w:color w:val="auto"/>
          <w:sz w:val="24"/>
        </w:rPr>
        <w:t>情形时，采购人可与排名下一位的中标候选人另行签订合同，或依法重新开展采购活动。</w:t>
      </w:r>
    </w:p>
    <w:p>
      <w:pPr>
        <w:pStyle w:val="9"/>
        <w:spacing w:before="0" w:after="0" w:line="240" w:lineRule="atLeast"/>
        <w:rPr>
          <w:rFonts w:ascii="仿宋" w:hAnsi="仿宋" w:eastAsia="仿宋" w:cs="仿宋"/>
          <w:color w:val="auto"/>
          <w:u w:val="none"/>
        </w:rPr>
      </w:pPr>
      <w:bookmarkStart w:id="191" w:name="_Toc6884"/>
      <w:bookmarkStart w:id="192" w:name="_Toc518923097"/>
      <w:r>
        <w:rPr>
          <w:rFonts w:hint="eastAsia" w:ascii="仿宋" w:hAnsi="仿宋" w:eastAsia="仿宋" w:cs="仿宋"/>
          <w:color w:val="auto"/>
          <w:u w:val="none"/>
        </w:rPr>
        <w:t>31.履约保证金</w:t>
      </w:r>
      <w:bookmarkEnd w:id="188"/>
      <w:bookmarkEnd w:id="189"/>
      <w:bookmarkEnd w:id="190"/>
      <w:bookmarkEnd w:id="191"/>
      <w:bookmarkEnd w:id="192"/>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31.1</w:t>
      </w:r>
      <w:r>
        <w:rPr>
          <w:rFonts w:hint="eastAsia" w:ascii="仿宋" w:hAnsi="仿宋" w:eastAsia="仿宋" w:cs="仿宋"/>
          <w:color w:val="auto"/>
          <w:sz w:val="24"/>
        </w:rPr>
        <w:tab/>
      </w:r>
      <w:r>
        <w:rPr>
          <w:rFonts w:hint="eastAsia" w:ascii="仿宋" w:hAnsi="仿宋" w:eastAsia="仿宋" w:cs="仿宋"/>
          <w:color w:val="auto"/>
          <w:sz w:val="24"/>
        </w:rPr>
        <w:t>中标人应按照</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规定向采购人缴纳履约保证金（如采用保函形式，格式见本章附件1）。</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31.2</w:t>
      </w:r>
      <w:r>
        <w:rPr>
          <w:rFonts w:hint="eastAsia" w:ascii="仿宋" w:hAnsi="仿宋" w:eastAsia="仿宋" w:cs="仿宋"/>
          <w:color w:val="auto"/>
          <w:sz w:val="24"/>
        </w:rPr>
        <w:tab/>
      </w:r>
      <w:r>
        <w:rPr>
          <w:rFonts w:hint="eastAsia" w:ascii="仿宋" w:hAnsi="仿宋" w:eastAsia="仿宋" w:cs="仿宋"/>
          <w:color w:val="auto"/>
          <w:sz w:val="24"/>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31.3   如果中标人没有按照上述履约保证金的规定执行，将视为放弃中标资格，中标人的投标保证金将不予退还。在此情况下，采购人可确定下一候选人为中标人，也可以重新开展采购活动。</w:t>
      </w:r>
    </w:p>
    <w:p>
      <w:pPr>
        <w:pStyle w:val="9"/>
        <w:spacing w:before="0" w:after="0" w:line="240" w:lineRule="atLeast"/>
        <w:rPr>
          <w:rFonts w:ascii="仿宋" w:hAnsi="仿宋" w:eastAsia="仿宋" w:cs="仿宋"/>
          <w:color w:val="auto"/>
          <w:u w:val="none"/>
        </w:rPr>
      </w:pPr>
      <w:bookmarkStart w:id="193" w:name="_Toc25230"/>
      <w:bookmarkStart w:id="194" w:name="_Toc518923098"/>
      <w:r>
        <w:rPr>
          <w:rFonts w:hint="eastAsia" w:ascii="仿宋" w:hAnsi="仿宋" w:eastAsia="仿宋" w:cs="仿宋"/>
          <w:color w:val="auto"/>
          <w:u w:val="none"/>
        </w:rPr>
        <w:t>32.中标服务费</w:t>
      </w:r>
      <w:bookmarkEnd w:id="193"/>
      <w:bookmarkEnd w:id="194"/>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 xml:space="preserve">    中标人须按照</w:t>
      </w:r>
      <w:r>
        <w:rPr>
          <w:rFonts w:hint="eastAsia" w:ascii="仿宋" w:hAnsi="仿宋" w:eastAsia="仿宋" w:cs="仿宋"/>
          <w:color w:val="auto"/>
          <w:sz w:val="24"/>
          <w:u w:val="single"/>
        </w:rPr>
        <w:t>投标须知资料表</w:t>
      </w:r>
      <w:r>
        <w:rPr>
          <w:rFonts w:hint="eastAsia" w:ascii="仿宋" w:hAnsi="仿宋" w:eastAsia="仿宋" w:cs="仿宋"/>
          <w:color w:val="auto"/>
          <w:sz w:val="24"/>
        </w:rPr>
        <w:t>规定，向采购代理机构支付中标服务费。</w:t>
      </w:r>
    </w:p>
    <w:p>
      <w:pPr>
        <w:pStyle w:val="9"/>
        <w:spacing w:before="0" w:after="0" w:line="240" w:lineRule="atLeast"/>
        <w:rPr>
          <w:rFonts w:ascii="仿宋" w:hAnsi="仿宋" w:eastAsia="仿宋" w:cs="仿宋"/>
          <w:color w:val="auto"/>
          <w:u w:val="none"/>
        </w:rPr>
      </w:pPr>
      <w:bookmarkStart w:id="195" w:name="_Toc518923099"/>
      <w:bookmarkStart w:id="196" w:name="_Toc29804"/>
      <w:r>
        <w:rPr>
          <w:rFonts w:hint="eastAsia" w:ascii="仿宋" w:hAnsi="仿宋" w:eastAsia="仿宋" w:cs="仿宋"/>
          <w:color w:val="auto"/>
          <w:u w:val="none"/>
        </w:rPr>
        <w:t>33.政府采购信用担保</w:t>
      </w:r>
      <w:bookmarkEnd w:id="195"/>
      <w:bookmarkEnd w:id="196"/>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33.1   本项目是否属于信用担保试点范围见</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w:t>
      </w:r>
    </w:p>
    <w:p>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33.2   如属于政府采购信用担保试点范围内，中小型企业供应商可以自由按照财政部门的规定，采用投标担保、履约担保和融资担保。</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33.2.1 供应商递交的投标担保函和履约担保函应符合本采购文件的规定。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33.2.2 中标人可以采取融资担保的形式为政府采购项目履约进行融资。</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33.2.3 合格的政府采购专业信用担保机构见</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w:t>
      </w:r>
    </w:p>
    <w:p>
      <w:pPr>
        <w:pStyle w:val="9"/>
        <w:spacing w:before="0" w:after="0" w:line="240" w:lineRule="atLeast"/>
        <w:rPr>
          <w:rFonts w:ascii="仿宋" w:hAnsi="仿宋" w:eastAsia="仿宋" w:cs="仿宋"/>
          <w:color w:val="auto"/>
          <w:u w:val="none"/>
        </w:rPr>
      </w:pPr>
      <w:bookmarkStart w:id="197" w:name="_Toc518923100"/>
      <w:bookmarkStart w:id="198" w:name="_Toc4980"/>
      <w:r>
        <w:rPr>
          <w:rFonts w:hint="eastAsia" w:ascii="仿宋" w:hAnsi="仿宋" w:eastAsia="仿宋" w:cs="仿宋"/>
          <w:color w:val="auto"/>
          <w:u w:val="none"/>
        </w:rPr>
        <w:t>34.廉洁自律规定</w:t>
      </w:r>
      <w:bookmarkEnd w:id="197"/>
      <w:bookmarkEnd w:id="19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34.1   采购代理机构工作人员不得以不正当手段获取政府采购代理业务，不得与采购人、供应商恶意串通操纵政府采购活动。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34.3   为强化采购代理机构内部监督机制，供应商可按</w:t>
      </w:r>
      <w:r>
        <w:rPr>
          <w:rFonts w:hint="eastAsia" w:ascii="仿宋" w:hAnsi="仿宋" w:eastAsia="仿宋" w:cs="仿宋"/>
          <w:color w:val="auto"/>
          <w:sz w:val="24"/>
          <w:u w:val="single"/>
        </w:rPr>
        <w:t>供应商须知资料表中的</w:t>
      </w:r>
      <w:r>
        <w:rPr>
          <w:rFonts w:hint="eastAsia" w:ascii="仿宋" w:hAnsi="仿宋" w:eastAsia="仿宋" w:cs="仿宋"/>
          <w:color w:val="auto"/>
          <w:sz w:val="24"/>
        </w:rPr>
        <w:t>监督电话和信箱，反映采购代理机构的廉洁自律等问题。</w:t>
      </w:r>
    </w:p>
    <w:p>
      <w:pPr>
        <w:pStyle w:val="9"/>
        <w:spacing w:before="0" w:after="0" w:line="240" w:lineRule="atLeast"/>
        <w:rPr>
          <w:rFonts w:ascii="仿宋" w:hAnsi="仿宋" w:eastAsia="仿宋" w:cs="仿宋"/>
          <w:color w:val="auto"/>
          <w:u w:val="none"/>
        </w:rPr>
      </w:pPr>
      <w:bookmarkStart w:id="199" w:name="_Toc518923101"/>
      <w:bookmarkStart w:id="200" w:name="_Toc19172"/>
      <w:r>
        <w:rPr>
          <w:rFonts w:hint="eastAsia" w:ascii="仿宋" w:hAnsi="仿宋" w:eastAsia="仿宋" w:cs="仿宋"/>
          <w:color w:val="auto"/>
          <w:u w:val="none"/>
        </w:rPr>
        <w:t>35.人员回避</w:t>
      </w:r>
      <w:bookmarkEnd w:id="199"/>
      <w:bookmarkEnd w:id="200"/>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供应商认为采购人员及其相关人员有法律法规所列与其他供应商有利害关系的，可以向采购人或采购代理机构书面提出回避申请，并说明理由。</w:t>
      </w:r>
    </w:p>
    <w:p>
      <w:pPr>
        <w:pStyle w:val="9"/>
        <w:spacing w:before="0" w:after="0" w:line="240" w:lineRule="atLeast"/>
        <w:rPr>
          <w:rFonts w:ascii="仿宋" w:hAnsi="仿宋" w:eastAsia="仿宋" w:cs="仿宋"/>
          <w:color w:val="auto"/>
          <w:u w:val="none"/>
        </w:rPr>
      </w:pPr>
      <w:bookmarkStart w:id="201" w:name="_Toc518923102"/>
      <w:bookmarkStart w:id="202" w:name="_Toc28582"/>
      <w:r>
        <w:rPr>
          <w:rFonts w:hint="eastAsia" w:ascii="仿宋" w:hAnsi="仿宋" w:eastAsia="仿宋" w:cs="仿宋"/>
          <w:color w:val="auto"/>
          <w:u w:val="none"/>
        </w:rPr>
        <w:t>36.质疑与接收</w:t>
      </w:r>
      <w:bookmarkEnd w:id="201"/>
      <w:bookmarkEnd w:id="202"/>
    </w:p>
    <w:p>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36.1  供应商认为采购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仿宋" w:hAnsi="仿宋" w:eastAsia="仿宋" w:cs="仿宋"/>
          <w:color w:val="auto"/>
          <w:sz w:val="24"/>
        </w:rPr>
      </w:pPr>
      <w:r>
        <w:rPr>
          <w:rFonts w:hint="eastAsia" w:ascii="仿宋" w:hAnsi="仿宋" w:eastAsia="仿宋" w:cs="仿宋"/>
          <w:color w:val="auto"/>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36.3  采购代理机构质疑函接收部门、联系电话和通讯地址, 见</w:t>
      </w:r>
      <w:r>
        <w:rPr>
          <w:rFonts w:hint="eastAsia" w:ascii="仿宋" w:hAnsi="仿宋" w:eastAsia="仿宋" w:cs="仿宋"/>
          <w:color w:val="auto"/>
          <w:sz w:val="24"/>
          <w:u w:val="single"/>
        </w:rPr>
        <w:t>供应商须知资料表。</w:t>
      </w:r>
    </w:p>
    <w:p>
      <w:pPr>
        <w:spacing w:line="240" w:lineRule="atLeast"/>
        <w:ind w:left="900" w:hanging="900" w:hangingChars="375"/>
        <w:rPr>
          <w:rFonts w:ascii="仿宋" w:hAnsi="仿宋" w:eastAsia="仿宋" w:cs="仿宋"/>
          <w:color w:val="auto"/>
          <w:sz w:val="24"/>
        </w:rPr>
      </w:pPr>
    </w:p>
    <w:p>
      <w:pPr>
        <w:rPr>
          <w:rFonts w:ascii="仿宋" w:hAnsi="仿宋" w:eastAsia="仿宋" w:cs="仿宋"/>
          <w:color w:val="auto"/>
        </w:rPr>
      </w:pPr>
      <w:bookmarkStart w:id="203" w:name="_Toc518923104"/>
      <w:r>
        <w:rPr>
          <w:rFonts w:hint="eastAsia" w:ascii="仿宋" w:hAnsi="仿宋" w:eastAsia="仿宋" w:cs="仿宋"/>
          <w:color w:val="auto"/>
        </w:rPr>
        <w:br w:type="page"/>
      </w:r>
    </w:p>
    <w:p>
      <w:pPr>
        <w:pStyle w:val="8"/>
        <w:spacing w:before="0" w:line="240" w:lineRule="atLeast"/>
        <w:ind w:left="1080" w:leftChars="257" w:hanging="540"/>
        <w:rPr>
          <w:rFonts w:ascii="仿宋" w:hAnsi="仿宋" w:eastAsia="仿宋" w:cs="仿宋"/>
          <w:color w:val="auto"/>
          <w:szCs w:val="24"/>
        </w:rPr>
      </w:pPr>
      <w:bookmarkStart w:id="204" w:name="_Toc10668"/>
      <w:bookmarkStart w:id="205" w:name="_Toc518923103"/>
      <w:bookmarkStart w:id="206" w:name="_Toc17951"/>
      <w:r>
        <w:rPr>
          <w:rFonts w:hint="eastAsia" w:ascii="仿宋" w:hAnsi="仿宋" w:eastAsia="仿宋" w:cs="仿宋"/>
          <w:color w:val="auto"/>
          <w:szCs w:val="24"/>
        </w:rPr>
        <w:t>附件1：履约保证金保函（格式）</w:t>
      </w:r>
      <w:bookmarkEnd w:id="204"/>
      <w:bookmarkEnd w:id="205"/>
      <w:bookmarkEnd w:id="206"/>
    </w:p>
    <w:p>
      <w:pPr>
        <w:pStyle w:val="17"/>
        <w:spacing w:line="240" w:lineRule="atLeast"/>
        <w:ind w:left="1080" w:leftChars="257" w:hanging="540"/>
        <w:rPr>
          <w:rFonts w:ascii="仿宋" w:hAnsi="仿宋" w:eastAsia="仿宋" w:cs="仿宋"/>
          <w:b/>
          <w:color w:val="auto"/>
          <w:sz w:val="24"/>
        </w:rPr>
      </w:pPr>
      <w:r>
        <w:rPr>
          <w:rFonts w:hint="eastAsia" w:ascii="仿宋" w:hAnsi="仿宋" w:eastAsia="仿宋" w:cs="仿宋"/>
          <w:b/>
          <w:color w:val="auto"/>
          <w:sz w:val="24"/>
        </w:rPr>
        <w:t xml:space="preserve">                         （本项目不适用）</w:t>
      </w:r>
    </w:p>
    <w:p>
      <w:pPr>
        <w:pStyle w:val="17"/>
        <w:spacing w:line="240" w:lineRule="atLeast"/>
        <w:ind w:left="1080" w:leftChars="257" w:hanging="540"/>
        <w:rPr>
          <w:rFonts w:ascii="仿宋" w:hAnsi="仿宋" w:eastAsia="仿宋" w:cs="仿宋"/>
          <w:b/>
          <w:color w:val="auto"/>
          <w:sz w:val="24"/>
        </w:rPr>
      </w:pPr>
    </w:p>
    <w:p>
      <w:pPr>
        <w:pStyle w:val="17"/>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24"/>
        </w:rPr>
      </w:pPr>
      <w:r>
        <w:rPr>
          <w:rFonts w:hint="eastAsia" w:ascii="仿宋" w:hAnsi="仿宋" w:eastAsia="仿宋" w:cs="仿宋"/>
          <w:color w:val="auto"/>
          <w:sz w:val="24"/>
        </w:rPr>
        <w:t>致: (</w:t>
      </w:r>
      <w:r>
        <w:rPr>
          <w:rFonts w:hint="eastAsia" w:ascii="仿宋" w:hAnsi="仿宋" w:eastAsia="仿宋" w:cs="仿宋"/>
          <w:i/>
          <w:color w:val="auto"/>
          <w:sz w:val="24"/>
          <w:u w:val="single"/>
        </w:rPr>
        <w:t>买方名称</w:t>
      </w:r>
      <w:r>
        <w:rPr>
          <w:rFonts w:hint="eastAsia" w:ascii="仿宋" w:hAnsi="仿宋" w:eastAsia="仿宋" w:cs="仿宋"/>
          <w:color w:val="auto"/>
          <w:sz w:val="24"/>
        </w:rPr>
        <w:t>)</w:t>
      </w:r>
    </w:p>
    <w:p>
      <w:pPr>
        <w:pStyle w:val="17"/>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号合同履约保函</w:t>
      </w:r>
    </w:p>
    <w:p>
      <w:pPr>
        <w:pStyle w:val="17"/>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ascii="仿宋" w:hAnsi="仿宋" w:eastAsia="仿宋" w:cs="仿宋"/>
          <w:color w:val="auto"/>
          <w:sz w:val="24"/>
        </w:rPr>
      </w:pPr>
    </w:p>
    <w:p>
      <w:pPr>
        <w:pStyle w:val="17"/>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ascii="仿宋" w:hAnsi="仿宋" w:eastAsia="仿宋" w:cs="仿宋"/>
          <w:color w:val="auto"/>
          <w:sz w:val="24"/>
        </w:rPr>
      </w:pPr>
      <w:r>
        <w:rPr>
          <w:rFonts w:hint="eastAsia" w:ascii="仿宋" w:hAnsi="仿宋" w:eastAsia="仿宋" w:cs="仿宋"/>
          <w:color w:val="auto"/>
          <w:sz w:val="24"/>
        </w:rPr>
        <w:t>本保函作为贵方与(</w:t>
      </w:r>
      <w:r>
        <w:rPr>
          <w:rFonts w:hint="eastAsia" w:ascii="仿宋" w:hAnsi="仿宋" w:eastAsia="仿宋" w:cs="仿宋"/>
          <w:i/>
          <w:color w:val="auto"/>
          <w:sz w:val="24"/>
          <w:u w:val="single"/>
        </w:rPr>
        <w:t>卖方名称</w:t>
      </w:r>
      <w:r>
        <w:rPr>
          <w:rFonts w:hint="eastAsia" w:ascii="仿宋" w:hAnsi="仿宋" w:eastAsia="仿宋" w:cs="仿宋"/>
          <w:color w:val="auto"/>
          <w:sz w:val="24"/>
        </w:rPr>
        <w:t>)(以下简称卖方)于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日就</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项目(以下简称项目)项下提供(</w:t>
      </w:r>
      <w:r>
        <w:rPr>
          <w:rFonts w:hint="eastAsia" w:ascii="仿宋" w:hAnsi="仿宋" w:eastAsia="仿宋" w:cs="仿宋"/>
          <w:i/>
          <w:color w:val="auto"/>
          <w:sz w:val="24"/>
          <w:u w:val="single"/>
        </w:rPr>
        <w:t>服务名称</w:t>
      </w:r>
      <w:r>
        <w:rPr>
          <w:rFonts w:hint="eastAsia" w:ascii="仿宋" w:hAnsi="仿宋" w:eastAsia="仿宋" w:cs="仿宋"/>
          <w:color w:val="auto"/>
          <w:sz w:val="24"/>
        </w:rPr>
        <w:t>)(以下简称服务)签订的(</w:t>
      </w:r>
      <w:r>
        <w:rPr>
          <w:rFonts w:hint="eastAsia" w:ascii="仿宋" w:hAnsi="仿宋" w:eastAsia="仿宋" w:cs="仿宋"/>
          <w:i/>
          <w:color w:val="auto"/>
          <w:sz w:val="24"/>
          <w:u w:val="single"/>
        </w:rPr>
        <w:t>合同号</w:t>
      </w:r>
      <w:r>
        <w:rPr>
          <w:rFonts w:hint="eastAsia" w:ascii="仿宋" w:hAnsi="仿宋" w:eastAsia="仿宋" w:cs="仿宋"/>
          <w:color w:val="auto"/>
          <w:sz w:val="24"/>
        </w:rPr>
        <w:t>)号合同的履约保函。</w:t>
      </w:r>
    </w:p>
    <w:p>
      <w:pPr>
        <w:pStyle w:val="17"/>
        <w:keepNext w:val="0"/>
        <w:keepLines w:val="0"/>
        <w:pageBreakBefore w:val="0"/>
        <w:widowControl w:val="0"/>
        <w:kinsoku/>
        <w:wordWrap/>
        <w:overflowPunct/>
        <w:topLinePunct w:val="0"/>
        <w:autoSpaceDE/>
        <w:autoSpaceDN/>
        <w:bidi w:val="0"/>
        <w:adjustRightInd/>
        <w:snapToGrid/>
        <w:spacing w:line="560" w:lineRule="exact"/>
        <w:ind w:firstLine="540" w:firstLineChars="225"/>
        <w:textAlignment w:val="auto"/>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i/>
          <w:color w:val="auto"/>
          <w:sz w:val="24"/>
          <w:u w:val="single"/>
        </w:rPr>
        <w:t>出具保函的银行名称</w:t>
      </w:r>
      <w:r>
        <w:rPr>
          <w:rFonts w:hint="eastAsia" w:ascii="仿宋" w:hAnsi="仿宋" w:eastAsia="仿宋" w:cs="仿宋"/>
          <w:color w:val="auto"/>
          <w:sz w:val="24"/>
        </w:rPr>
        <w:t>)(以下简称银行)无条件地、不可撤销地具结保证本行、其继承人和受让人无追索地向贵方以(</w:t>
      </w:r>
      <w:r>
        <w:rPr>
          <w:rFonts w:hint="eastAsia" w:ascii="仿宋" w:hAnsi="仿宋" w:eastAsia="仿宋" w:cs="仿宋"/>
          <w:i/>
          <w:color w:val="auto"/>
          <w:sz w:val="24"/>
          <w:u w:val="single"/>
        </w:rPr>
        <w:t>货币名称</w:t>
      </w:r>
      <w:r>
        <w:rPr>
          <w:rFonts w:hint="eastAsia" w:ascii="仿宋" w:hAnsi="仿宋" w:eastAsia="仿宋" w:cs="仿宋"/>
          <w:color w:val="auto"/>
          <w:sz w:val="24"/>
        </w:rPr>
        <w:t>)支付总额不超过(</w:t>
      </w:r>
      <w:r>
        <w:rPr>
          <w:rFonts w:hint="eastAsia" w:ascii="仿宋" w:hAnsi="仿宋" w:eastAsia="仿宋" w:cs="仿宋"/>
          <w:i/>
          <w:color w:val="auto"/>
          <w:sz w:val="24"/>
          <w:u w:val="single"/>
        </w:rPr>
        <w:t>货币数量</w:t>
      </w:r>
      <w:r>
        <w:rPr>
          <w:rFonts w:hint="eastAsia" w:ascii="仿宋" w:hAnsi="仿宋" w:eastAsia="仿宋" w:cs="仿宋"/>
          <w:color w:val="auto"/>
          <w:sz w:val="24"/>
        </w:rPr>
        <w:t>),即相当于合同价格的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%,并以此约定如下:</w:t>
      </w:r>
    </w:p>
    <w:p>
      <w:pPr>
        <w:pStyle w:val="17"/>
        <w:keepNext w:val="0"/>
        <w:keepLines w:val="0"/>
        <w:pageBreakBefore w:val="0"/>
        <w:widowControl w:val="0"/>
        <w:kinsoku/>
        <w:wordWrap/>
        <w:overflowPunct/>
        <w:topLinePunct w:val="0"/>
        <w:autoSpaceDE/>
        <w:autoSpaceDN/>
        <w:bidi w:val="0"/>
        <w:adjustRightInd/>
        <w:snapToGrid/>
        <w:spacing w:line="560" w:lineRule="exact"/>
        <w:ind w:left="540" w:leftChars="257"/>
        <w:textAlignment w:val="auto"/>
        <w:rPr>
          <w:rFonts w:ascii="仿宋" w:hAnsi="仿宋" w:eastAsia="仿宋" w:cs="仿宋"/>
          <w:color w:val="auto"/>
          <w:sz w:val="24"/>
        </w:rPr>
      </w:pPr>
      <w:r>
        <w:rPr>
          <w:rFonts w:hint="eastAsia" w:ascii="仿宋" w:hAnsi="仿宋" w:eastAsia="仿宋" w:cs="仿宋"/>
          <w:color w:val="auto"/>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7"/>
        <w:keepNext w:val="0"/>
        <w:keepLines w:val="0"/>
        <w:pageBreakBefore w:val="0"/>
        <w:widowControl w:val="0"/>
        <w:kinsoku/>
        <w:wordWrap/>
        <w:overflowPunct/>
        <w:topLinePunct w:val="0"/>
        <w:autoSpaceDE/>
        <w:autoSpaceDN/>
        <w:bidi w:val="0"/>
        <w:adjustRightInd/>
        <w:snapToGrid/>
        <w:spacing w:line="560" w:lineRule="exact"/>
        <w:ind w:left="540"/>
        <w:textAlignment w:val="auto"/>
        <w:rPr>
          <w:rFonts w:ascii="仿宋" w:hAnsi="仿宋" w:eastAsia="仿宋" w:cs="仿宋"/>
          <w:color w:val="auto"/>
          <w:sz w:val="24"/>
        </w:rPr>
      </w:pPr>
      <w:r>
        <w:rPr>
          <w:rFonts w:hint="eastAsia" w:ascii="仿宋" w:hAnsi="仿宋" w:eastAsia="仿宋" w:cs="仿宋"/>
          <w:color w:val="auto"/>
          <w:sz w:val="24"/>
        </w:rPr>
        <w:t>2.本保函项下的任何支付应为免税和净值。对于现有或将来的税收、关税、收费、费用扣减或预提税款，不论这些款项是何种性质和由谁征收，都不应从本保函项下的支付中扣除。</w:t>
      </w:r>
    </w:p>
    <w:p>
      <w:pPr>
        <w:pStyle w:val="17"/>
        <w:keepNext w:val="0"/>
        <w:keepLines w:val="0"/>
        <w:pageBreakBefore w:val="0"/>
        <w:widowControl w:val="0"/>
        <w:kinsoku/>
        <w:wordWrap/>
        <w:overflowPunct/>
        <w:topLinePunct w:val="0"/>
        <w:autoSpaceDE/>
        <w:autoSpaceDN/>
        <w:bidi w:val="0"/>
        <w:adjustRightInd/>
        <w:snapToGrid/>
        <w:spacing w:line="560" w:lineRule="exact"/>
        <w:ind w:left="540"/>
        <w:textAlignment w:val="auto"/>
        <w:rPr>
          <w:rFonts w:ascii="仿宋" w:hAnsi="仿宋" w:eastAsia="仿宋" w:cs="仿宋"/>
          <w:color w:val="auto"/>
          <w:sz w:val="24"/>
        </w:rPr>
      </w:pPr>
      <w:r>
        <w:rPr>
          <w:rFonts w:hint="eastAsia" w:ascii="仿宋" w:hAnsi="仿宋" w:eastAsia="仿宋" w:cs="仿宋"/>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7"/>
        <w:keepNext w:val="0"/>
        <w:keepLines w:val="0"/>
        <w:pageBreakBefore w:val="0"/>
        <w:widowControl w:val="0"/>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color w:val="auto"/>
          <w:sz w:val="24"/>
        </w:rPr>
      </w:pPr>
      <w:r>
        <w:rPr>
          <w:rFonts w:hint="eastAsia" w:ascii="仿宋" w:hAnsi="仿宋" w:eastAsia="仿宋" w:cs="仿宋"/>
          <w:color w:val="auto"/>
          <w:sz w:val="24"/>
        </w:rPr>
        <w:t>4.本保函在本合同规定的保证期期满前完全有效。</w:t>
      </w:r>
    </w:p>
    <w:p>
      <w:pPr>
        <w:pStyle w:val="17"/>
        <w:keepNext w:val="0"/>
        <w:keepLines w:val="0"/>
        <w:pageBreakBefore w:val="0"/>
        <w:widowControl w:val="0"/>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color w:val="auto"/>
          <w:sz w:val="24"/>
        </w:rPr>
      </w:pPr>
    </w:p>
    <w:p>
      <w:pPr>
        <w:pStyle w:val="17"/>
        <w:keepNext w:val="0"/>
        <w:keepLines w:val="0"/>
        <w:pageBreakBefore w:val="0"/>
        <w:widowControl w:val="0"/>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color w:val="auto"/>
          <w:sz w:val="24"/>
        </w:rPr>
      </w:pPr>
      <w:r>
        <w:rPr>
          <w:rFonts w:hint="eastAsia" w:ascii="仿宋" w:hAnsi="仿宋" w:eastAsia="仿宋" w:cs="仿宋"/>
          <w:color w:val="auto"/>
          <w:sz w:val="24"/>
        </w:rPr>
        <w:t>谨启</w:t>
      </w:r>
    </w:p>
    <w:p>
      <w:pPr>
        <w:pStyle w:val="17"/>
        <w:keepNext w:val="0"/>
        <w:keepLines w:val="0"/>
        <w:pageBreakBefore w:val="0"/>
        <w:widowControl w:val="0"/>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color w:val="auto"/>
          <w:sz w:val="24"/>
        </w:rPr>
      </w:pPr>
      <w:r>
        <w:rPr>
          <w:rFonts w:hint="eastAsia" w:ascii="仿宋" w:hAnsi="仿宋" w:eastAsia="仿宋" w:cs="仿宋"/>
          <w:color w:val="auto"/>
          <w:sz w:val="24"/>
        </w:rPr>
        <w:t>出具保函银行名称：</w:t>
      </w:r>
      <w:r>
        <w:rPr>
          <w:rFonts w:hint="eastAsia" w:ascii="仿宋" w:hAnsi="仿宋" w:eastAsia="仿宋" w:cs="仿宋"/>
          <w:color w:val="auto"/>
          <w:sz w:val="24"/>
          <w:u w:val="single"/>
        </w:rPr>
        <w:t xml:space="preserve">                             </w:t>
      </w:r>
    </w:p>
    <w:p>
      <w:pPr>
        <w:pStyle w:val="17"/>
        <w:keepNext w:val="0"/>
        <w:keepLines w:val="0"/>
        <w:pageBreakBefore w:val="0"/>
        <w:widowControl w:val="0"/>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color w:val="auto"/>
          <w:sz w:val="24"/>
          <w:u w:val="single"/>
        </w:rPr>
      </w:pPr>
      <w:r>
        <w:rPr>
          <w:rFonts w:hint="eastAsia" w:ascii="仿宋" w:hAnsi="仿宋" w:eastAsia="仿宋" w:cs="仿宋"/>
          <w:color w:val="auto"/>
          <w:sz w:val="24"/>
        </w:rPr>
        <w:t>签字人姓名和职务：</w:t>
      </w:r>
      <w:r>
        <w:rPr>
          <w:rFonts w:hint="eastAsia" w:ascii="仿宋" w:hAnsi="仿宋" w:eastAsia="仿宋" w:cs="仿宋"/>
          <w:color w:val="auto"/>
          <w:sz w:val="24"/>
          <w:u w:val="single"/>
        </w:rPr>
        <w:t xml:space="preserve">                             </w:t>
      </w:r>
    </w:p>
    <w:p>
      <w:pPr>
        <w:pStyle w:val="17"/>
        <w:keepNext w:val="0"/>
        <w:keepLines w:val="0"/>
        <w:pageBreakBefore w:val="0"/>
        <w:widowControl w:val="0"/>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color w:val="auto"/>
          <w:sz w:val="24"/>
        </w:rPr>
      </w:pPr>
      <w:r>
        <w:rPr>
          <w:rFonts w:hint="eastAsia" w:ascii="仿宋" w:hAnsi="仿宋" w:eastAsia="仿宋" w:cs="仿宋"/>
          <w:color w:val="auto"/>
          <w:sz w:val="24"/>
        </w:rPr>
        <w:t>签字人签名：</w:t>
      </w:r>
      <w:r>
        <w:rPr>
          <w:rFonts w:hint="eastAsia" w:ascii="仿宋" w:hAnsi="仿宋" w:eastAsia="仿宋" w:cs="仿宋"/>
          <w:color w:val="auto"/>
          <w:sz w:val="24"/>
          <w:u w:val="single"/>
        </w:rPr>
        <w:t xml:space="preserve">                                   </w:t>
      </w:r>
    </w:p>
    <w:p>
      <w:pPr>
        <w:pStyle w:val="17"/>
        <w:keepNext w:val="0"/>
        <w:keepLines w:val="0"/>
        <w:pageBreakBefore w:val="0"/>
        <w:widowControl w:val="0"/>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color w:val="auto"/>
          <w:sz w:val="24"/>
          <w:u w:val="single"/>
        </w:rPr>
      </w:pPr>
      <w:r>
        <w:rPr>
          <w:rFonts w:hint="eastAsia" w:ascii="仿宋" w:hAnsi="仿宋" w:eastAsia="仿宋" w:cs="仿宋"/>
          <w:color w:val="auto"/>
          <w:sz w:val="24"/>
        </w:rPr>
        <w:t>公章：</w:t>
      </w:r>
      <w:r>
        <w:rPr>
          <w:rFonts w:hint="eastAsia" w:ascii="仿宋" w:hAnsi="仿宋" w:eastAsia="仿宋" w:cs="仿宋"/>
          <w:color w:val="auto"/>
          <w:sz w:val="24"/>
          <w:u w:val="single"/>
        </w:rPr>
        <w:t xml:space="preserve">                                         </w:t>
      </w:r>
    </w:p>
    <w:p>
      <w:pPr>
        <w:rPr>
          <w:rFonts w:ascii="仿宋" w:hAnsi="仿宋" w:eastAsia="仿宋" w:cs="仿宋"/>
          <w:color w:val="auto"/>
        </w:rPr>
      </w:pPr>
      <w:r>
        <w:rPr>
          <w:rFonts w:hint="eastAsia" w:ascii="仿宋" w:hAnsi="仿宋" w:eastAsia="仿宋" w:cs="仿宋"/>
          <w:color w:val="auto"/>
        </w:rPr>
        <w:br w:type="page"/>
      </w:r>
    </w:p>
    <w:p>
      <w:pPr>
        <w:pStyle w:val="4"/>
        <w:ind w:firstLine="480"/>
        <w:rPr>
          <w:color w:val="auto"/>
        </w:rPr>
      </w:pPr>
    </w:p>
    <w:p>
      <w:pPr>
        <w:pStyle w:val="8"/>
        <w:spacing w:before="0" w:line="240" w:lineRule="atLeast"/>
        <w:ind w:left="1080" w:leftChars="257" w:hanging="540"/>
        <w:rPr>
          <w:rFonts w:ascii="仿宋" w:hAnsi="仿宋" w:eastAsia="仿宋" w:cs="仿宋"/>
          <w:color w:val="auto"/>
          <w:szCs w:val="24"/>
        </w:rPr>
      </w:pPr>
      <w:bookmarkStart w:id="207" w:name="_Toc17066"/>
      <w:bookmarkStart w:id="208" w:name="_Toc24569"/>
      <w:r>
        <w:rPr>
          <w:rFonts w:hint="eastAsia" w:ascii="仿宋" w:hAnsi="仿宋" w:eastAsia="仿宋" w:cs="仿宋"/>
          <w:color w:val="auto"/>
          <w:szCs w:val="24"/>
        </w:rPr>
        <w:t>附件2：履约担保函格式</w:t>
      </w:r>
      <w:bookmarkEnd w:id="203"/>
      <w:bookmarkEnd w:id="207"/>
      <w:bookmarkEnd w:id="208"/>
    </w:p>
    <w:p>
      <w:pPr>
        <w:keepNext/>
        <w:keepLines/>
        <w:autoSpaceDE w:val="0"/>
        <w:autoSpaceDN w:val="0"/>
        <w:adjustRightInd w:val="0"/>
        <w:spacing w:line="240" w:lineRule="atLeast"/>
        <w:ind w:left="1079" w:leftChars="257" w:hanging="539"/>
        <w:jc w:val="center"/>
        <w:rPr>
          <w:rFonts w:ascii="仿宋" w:hAnsi="仿宋" w:eastAsia="仿宋" w:cs="仿宋"/>
          <w:b/>
          <w:bCs/>
          <w:color w:val="auto"/>
          <w:sz w:val="28"/>
          <w:szCs w:val="36"/>
        </w:rPr>
      </w:pPr>
      <w:bookmarkStart w:id="209" w:name="_Toc515904842"/>
      <w:bookmarkStart w:id="210" w:name="_Toc518923105"/>
      <w:r>
        <w:rPr>
          <w:rFonts w:hint="eastAsia" w:ascii="仿宋" w:hAnsi="仿宋" w:eastAsia="仿宋" w:cs="仿宋"/>
          <w:b/>
          <w:bCs/>
          <w:color w:val="auto"/>
          <w:sz w:val="28"/>
          <w:szCs w:val="36"/>
        </w:rPr>
        <w:t>（采用政府采购信用担保形式时使用）</w:t>
      </w:r>
      <w:bookmarkEnd w:id="209"/>
      <w:bookmarkEnd w:id="210"/>
    </w:p>
    <w:p>
      <w:pPr>
        <w:spacing w:line="240" w:lineRule="atLeast"/>
        <w:ind w:left="1080" w:leftChars="257" w:hanging="540"/>
        <w:rPr>
          <w:rFonts w:ascii="仿宋" w:hAnsi="仿宋" w:eastAsia="仿宋" w:cs="仿宋"/>
          <w:b/>
          <w:color w:val="auto"/>
          <w:kern w:val="0"/>
          <w:sz w:val="24"/>
          <w:szCs w:val="20"/>
        </w:rPr>
      </w:pPr>
    </w:p>
    <w:p>
      <w:pPr>
        <w:jc w:val="center"/>
        <w:rPr>
          <w:rFonts w:ascii="仿宋" w:hAnsi="仿宋" w:eastAsia="仿宋" w:cs="仿宋"/>
          <w:color w:val="auto"/>
          <w:sz w:val="24"/>
        </w:rPr>
      </w:pPr>
      <w:r>
        <w:rPr>
          <w:rFonts w:hint="eastAsia" w:ascii="仿宋" w:hAnsi="仿宋" w:eastAsia="仿宋" w:cs="仿宋"/>
          <w:color w:val="auto"/>
          <w:sz w:val="24"/>
        </w:rPr>
        <w:t>政府采购履约担保函（项目用）</w:t>
      </w:r>
    </w:p>
    <w:p>
      <w:pPr>
        <w:rPr>
          <w:rFonts w:ascii="仿宋" w:hAnsi="仿宋" w:eastAsia="仿宋" w:cs="仿宋"/>
          <w:color w:val="auto"/>
          <w:sz w:val="24"/>
        </w:rPr>
      </w:pPr>
      <w:r>
        <w:rPr>
          <w:rFonts w:hint="eastAsia" w:ascii="仿宋" w:hAnsi="仿宋" w:eastAsia="仿宋" w:cs="仿宋"/>
          <w:color w:val="auto"/>
          <w:sz w:val="24"/>
        </w:rPr>
        <w:t xml:space="preserve">                                                   编号：</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w:t>
      </w:r>
    </w:p>
    <w:p>
      <w:pPr>
        <w:rPr>
          <w:rFonts w:ascii="仿宋" w:hAnsi="仿宋" w:eastAsia="仿宋" w:cs="仿宋"/>
          <w:color w:val="auto"/>
          <w:sz w:val="24"/>
        </w:rPr>
      </w:pPr>
    </w:p>
    <w:p>
      <w:pPr>
        <w:ind w:firstLine="480" w:firstLineChars="200"/>
        <w:rPr>
          <w:rFonts w:ascii="仿宋" w:hAnsi="仿宋" w:eastAsia="仿宋" w:cs="仿宋"/>
          <w:color w:val="auto"/>
          <w:sz w:val="24"/>
        </w:rPr>
      </w:pPr>
      <w:r>
        <w:rPr>
          <w:rFonts w:hint="eastAsia" w:ascii="仿宋" w:hAnsi="仿宋" w:eastAsia="仿宋" w:cs="仿宋"/>
          <w:color w:val="auto"/>
          <w:sz w:val="24"/>
        </w:rPr>
        <w:t>鉴于你方与</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（以下简称供应商）于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日签定编号为   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政府采购合同》（以下简称主合同），且依据该合同的约定，供应商应在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cs="仿宋"/>
          <w:color w:val="auto"/>
          <w:sz w:val="24"/>
        </w:rPr>
      </w:pPr>
      <w:r>
        <w:rPr>
          <w:rFonts w:hint="eastAsia" w:ascii="仿宋" w:hAnsi="仿宋" w:eastAsia="仿宋" w:cs="仿宋"/>
          <w:color w:val="auto"/>
          <w:sz w:val="24"/>
        </w:rPr>
        <w:t>一、保证责任的情形及保证金额</w:t>
      </w:r>
    </w:p>
    <w:p>
      <w:pPr>
        <w:ind w:firstLine="480" w:firstLineChars="200"/>
        <w:rPr>
          <w:rFonts w:ascii="仿宋" w:hAnsi="仿宋" w:eastAsia="仿宋" w:cs="仿宋"/>
          <w:color w:val="auto"/>
          <w:sz w:val="24"/>
        </w:rPr>
      </w:pPr>
      <w:r>
        <w:rPr>
          <w:rFonts w:hint="eastAsia" w:ascii="仿宋" w:hAnsi="仿宋" w:eastAsia="仿宋" w:cs="仿宋"/>
          <w:color w:val="auto"/>
          <w:sz w:val="24"/>
        </w:rPr>
        <w:t>（一）在供应商出现下列情形之一时，我方承担保证责任：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1．将中标项目转让给他人，或者在投标文件中未说明，且未经采购招标机构人同意，将中标项目分包给他人的；</w:t>
      </w:r>
    </w:p>
    <w:p>
      <w:pPr>
        <w:rPr>
          <w:rFonts w:ascii="仿宋" w:hAnsi="仿宋" w:eastAsia="仿宋" w:cs="仿宋"/>
          <w:color w:val="auto"/>
          <w:sz w:val="24"/>
        </w:rPr>
      </w:pPr>
      <w:r>
        <w:rPr>
          <w:rFonts w:hint="eastAsia" w:ascii="仿宋" w:hAnsi="仿宋" w:eastAsia="仿宋" w:cs="仿宋"/>
          <w:color w:val="auto"/>
          <w:sz w:val="24"/>
        </w:rPr>
        <w:t xml:space="preserve">　　2．主合同约定的应当缴纳履约保证金的情形: </w:t>
      </w:r>
    </w:p>
    <w:p>
      <w:pPr>
        <w:ind w:firstLine="480" w:firstLineChars="200"/>
        <w:rPr>
          <w:rFonts w:ascii="仿宋" w:hAnsi="仿宋" w:eastAsia="仿宋" w:cs="仿宋"/>
          <w:color w:val="auto"/>
          <w:sz w:val="24"/>
        </w:rPr>
      </w:pPr>
      <w:r>
        <w:rPr>
          <w:rFonts w:hint="eastAsia" w:ascii="仿宋" w:hAnsi="仿宋" w:eastAsia="仿宋" w:cs="仿宋"/>
          <w:color w:val="auto"/>
          <w:sz w:val="24"/>
        </w:rPr>
        <w:t>（1）未按主合同约定的质量、数量和期限供应货物/提供服务/完成工程的；</w:t>
      </w:r>
    </w:p>
    <w:p>
      <w:pPr>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ind w:firstLine="480" w:firstLineChars="200"/>
        <w:rPr>
          <w:rFonts w:ascii="仿宋" w:hAnsi="仿宋" w:eastAsia="仿宋" w:cs="仿宋"/>
          <w:color w:val="auto"/>
          <w:sz w:val="24"/>
        </w:rPr>
      </w:pPr>
      <w:r>
        <w:rPr>
          <w:rFonts w:hint="eastAsia" w:ascii="仿宋" w:hAnsi="仿宋" w:eastAsia="仿宋" w:cs="仿宋"/>
          <w:color w:val="auto"/>
          <w:sz w:val="24"/>
        </w:rPr>
        <w:t>（二）我方的保证范围是主合同约定的合同价款总额的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%数额为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），币种为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。（即主合同履约保证金金额）</w:t>
      </w:r>
    </w:p>
    <w:p>
      <w:pPr>
        <w:ind w:firstLine="480" w:firstLineChars="200"/>
        <w:rPr>
          <w:rFonts w:ascii="仿宋" w:hAnsi="仿宋" w:eastAsia="仿宋" w:cs="仿宋"/>
          <w:color w:val="auto"/>
          <w:sz w:val="24"/>
        </w:rPr>
      </w:pPr>
      <w:r>
        <w:rPr>
          <w:rFonts w:hint="eastAsia" w:ascii="仿宋" w:hAnsi="仿宋" w:eastAsia="仿宋" w:cs="仿宋"/>
          <w:color w:val="auto"/>
          <w:sz w:val="24"/>
        </w:rPr>
        <w:t>二、保证的方式及保证期间</w:t>
      </w:r>
    </w:p>
    <w:p>
      <w:pPr>
        <w:ind w:firstLine="480" w:firstLineChars="200"/>
        <w:rPr>
          <w:rFonts w:ascii="仿宋" w:hAnsi="仿宋" w:eastAsia="仿宋" w:cs="仿宋"/>
          <w:color w:val="auto"/>
          <w:sz w:val="24"/>
        </w:rPr>
      </w:pPr>
      <w:r>
        <w:rPr>
          <w:rFonts w:hint="eastAsia" w:ascii="仿宋" w:hAnsi="仿宋" w:eastAsia="仿宋" w:cs="仿宋"/>
          <w:color w:val="auto"/>
          <w:sz w:val="24"/>
        </w:rPr>
        <w:t>我方保证的方式为：连带责任保证。</w:t>
      </w:r>
    </w:p>
    <w:p>
      <w:pPr>
        <w:ind w:firstLine="480" w:firstLineChars="200"/>
        <w:rPr>
          <w:rFonts w:ascii="仿宋" w:hAnsi="仿宋" w:eastAsia="仿宋" w:cs="仿宋"/>
          <w:color w:val="auto"/>
          <w:sz w:val="24"/>
        </w:rPr>
      </w:pPr>
      <w:r>
        <w:rPr>
          <w:rFonts w:hint="eastAsia" w:ascii="仿宋" w:hAnsi="仿宋" w:eastAsia="仿宋" w:cs="仿宋"/>
          <w:color w:val="auto"/>
          <w:sz w:val="24"/>
        </w:rPr>
        <w:t>我方保证的期间为：自本合同生效之日起至供应商按照主合同约定的供货/完工期限届满后</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日内。</w:t>
      </w:r>
    </w:p>
    <w:p>
      <w:pPr>
        <w:ind w:firstLine="480" w:firstLineChars="200"/>
        <w:rPr>
          <w:rFonts w:ascii="仿宋" w:hAnsi="仿宋" w:eastAsia="仿宋" w:cs="仿宋"/>
          <w:color w:val="auto"/>
          <w:sz w:val="24"/>
        </w:rPr>
      </w:pPr>
      <w:r>
        <w:rPr>
          <w:rFonts w:hint="eastAsia" w:ascii="仿宋" w:hAnsi="仿宋" w:eastAsia="仿宋" w:cs="仿宋"/>
          <w:color w:val="auto"/>
          <w:sz w:val="24"/>
        </w:rPr>
        <w:t>如果供应商未按主合同约定向贵方供应货物/提供服务/完成工程的，由我方在保证金额内向你方支付上述款项。</w:t>
      </w:r>
    </w:p>
    <w:p>
      <w:pPr>
        <w:ind w:firstLine="480" w:firstLineChars="200"/>
        <w:rPr>
          <w:rFonts w:ascii="仿宋" w:hAnsi="仿宋" w:eastAsia="仿宋" w:cs="仿宋"/>
          <w:color w:val="auto"/>
          <w:sz w:val="24"/>
        </w:rPr>
      </w:pPr>
      <w:r>
        <w:rPr>
          <w:rFonts w:hint="eastAsia" w:ascii="仿宋" w:hAnsi="仿宋" w:eastAsia="仿宋" w:cs="仿宋"/>
          <w:color w:val="auto"/>
          <w:sz w:val="24"/>
        </w:rPr>
        <w:t>三、承担保证责任的程序</w:t>
      </w:r>
    </w:p>
    <w:p>
      <w:pPr>
        <w:ind w:firstLine="480" w:firstLineChars="200"/>
        <w:rPr>
          <w:rFonts w:ascii="仿宋" w:hAnsi="仿宋" w:eastAsia="仿宋" w:cs="仿宋"/>
          <w:color w:val="auto"/>
          <w:sz w:val="24"/>
        </w:rPr>
      </w:pPr>
      <w:r>
        <w:rPr>
          <w:rFonts w:hint="eastAsia" w:ascii="仿宋" w:hAnsi="仿宋" w:eastAsia="仿宋" w:cs="仿宋"/>
          <w:color w:val="auto"/>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cs="仿宋"/>
          <w:color w:val="auto"/>
          <w:sz w:val="24"/>
        </w:rPr>
      </w:pPr>
      <w:r>
        <w:rPr>
          <w:rFonts w:hint="eastAsia" w:ascii="仿宋" w:hAnsi="仿宋" w:eastAsia="仿宋" w:cs="仿宋"/>
          <w:color w:val="auto"/>
          <w:sz w:val="24"/>
        </w:rPr>
        <w:t>如果你方与供应商因货物质量问题产生争议，你方还需同时提供</w:t>
      </w:r>
      <w:r>
        <w:rPr>
          <w:rFonts w:hint="eastAsia" w:ascii="仿宋" w:hAnsi="仿宋" w:eastAsia="仿宋" w:cs="仿宋"/>
          <w:color w:val="auto"/>
          <w:sz w:val="24"/>
          <w:u w:val="single"/>
        </w:rPr>
        <w:t xml:space="preserve">        </w:t>
      </w:r>
      <w:r>
        <w:rPr>
          <w:rFonts w:hint="eastAsia" w:ascii="仿宋" w:hAnsi="仿宋" w:eastAsia="仿宋" w:cs="仿宋"/>
          <w:color w:val="auto"/>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2． 我方收到你方的书面索赔通知及相应证明材料，在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工作日内进行核定后按照本保函的承诺承担保证责任。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四、保证责任的终止</w:t>
      </w:r>
    </w:p>
    <w:p>
      <w:pPr>
        <w:ind w:firstLine="480" w:firstLineChars="200"/>
        <w:rPr>
          <w:rFonts w:ascii="仿宋" w:hAnsi="仿宋" w:eastAsia="仿宋" w:cs="仿宋"/>
          <w:color w:val="auto"/>
          <w:sz w:val="24"/>
        </w:rPr>
      </w:pPr>
      <w:r>
        <w:rPr>
          <w:rFonts w:hint="eastAsia" w:ascii="仿宋" w:hAnsi="仿宋" w:eastAsia="仿宋" w:cs="仿宋"/>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color w:val="auto"/>
          <w:sz w:val="24"/>
        </w:rPr>
      </w:pPr>
      <w:r>
        <w:rPr>
          <w:rFonts w:hint="eastAsia" w:ascii="仿宋" w:hAnsi="仿宋" w:eastAsia="仿宋" w:cs="仿宋"/>
          <w:color w:val="auto"/>
          <w:sz w:val="24"/>
        </w:rPr>
        <w:t>2．我方按照本保函向你方履行了保证责任后，自我方向你方支付款项（支付款项从我方账户划出）之日起，保证责任即终止。</w:t>
      </w:r>
    </w:p>
    <w:p>
      <w:pPr>
        <w:ind w:firstLine="480" w:firstLineChars="200"/>
        <w:rPr>
          <w:rFonts w:ascii="仿宋" w:hAnsi="仿宋" w:eastAsia="仿宋" w:cs="仿宋"/>
          <w:color w:val="auto"/>
          <w:sz w:val="24"/>
        </w:rPr>
      </w:pPr>
      <w:r>
        <w:rPr>
          <w:rFonts w:hint="eastAsia" w:ascii="仿宋" w:hAnsi="仿宋" w:eastAsia="仿宋" w:cs="仿宋"/>
          <w:color w:val="auto"/>
          <w:sz w:val="24"/>
        </w:rPr>
        <w:t>3．按照法律法规的规定或出现应终止我方保证责任的其它情形的，我方在本保函项下的保证责任亦终止。</w:t>
      </w:r>
    </w:p>
    <w:p>
      <w:pPr>
        <w:ind w:firstLine="480" w:firstLineChars="200"/>
        <w:rPr>
          <w:rFonts w:ascii="仿宋" w:hAnsi="仿宋" w:eastAsia="仿宋" w:cs="仿宋"/>
          <w:color w:val="auto"/>
          <w:sz w:val="24"/>
        </w:rPr>
      </w:pPr>
      <w:r>
        <w:rPr>
          <w:rFonts w:hint="eastAsia" w:ascii="仿宋" w:hAnsi="仿宋" w:eastAsia="仿宋" w:cs="仿宋"/>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cs="仿宋"/>
          <w:color w:val="auto"/>
          <w:sz w:val="24"/>
        </w:rPr>
      </w:pPr>
      <w:r>
        <w:rPr>
          <w:rFonts w:hint="eastAsia" w:ascii="仿宋" w:hAnsi="仿宋" w:eastAsia="仿宋" w:cs="仿宋"/>
          <w:color w:val="auto"/>
          <w:sz w:val="24"/>
        </w:rPr>
        <w:t>五、免责条款</w:t>
      </w:r>
    </w:p>
    <w:p>
      <w:pPr>
        <w:ind w:firstLine="480" w:firstLineChars="200"/>
        <w:rPr>
          <w:rFonts w:ascii="仿宋" w:hAnsi="仿宋" w:eastAsia="仿宋" w:cs="仿宋"/>
          <w:color w:val="auto"/>
          <w:sz w:val="24"/>
        </w:rPr>
      </w:pPr>
      <w:r>
        <w:rPr>
          <w:rFonts w:hint="eastAsia" w:ascii="仿宋" w:hAnsi="仿宋" w:eastAsia="仿宋" w:cs="仿宋"/>
          <w:color w:val="auto"/>
          <w:sz w:val="24"/>
        </w:rPr>
        <w:t>1．因你方违反主合同约定致使供应商不能履行义务的，我方不承担保证责任。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3．因不可抗力造成供应商不能履行供货义务的，我方不承担保证责任。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六、争议的解决</w:t>
      </w:r>
    </w:p>
    <w:p>
      <w:pPr>
        <w:ind w:firstLine="480" w:firstLineChars="200"/>
        <w:rPr>
          <w:rFonts w:ascii="仿宋" w:hAnsi="仿宋" w:eastAsia="仿宋" w:cs="仿宋"/>
          <w:color w:val="auto"/>
          <w:sz w:val="24"/>
        </w:rPr>
      </w:pPr>
      <w:r>
        <w:rPr>
          <w:rFonts w:hint="eastAsia" w:ascii="仿宋" w:hAnsi="仿宋" w:eastAsia="仿宋" w:cs="仿宋"/>
          <w:color w:val="auto"/>
          <w:sz w:val="24"/>
        </w:rPr>
        <w:t>因本保函发生的纠纷，由你我双方协商解决，协商不成的，通过诉讼程序解决，诉讼管辖地法院为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法院。</w:t>
      </w:r>
    </w:p>
    <w:p>
      <w:pPr>
        <w:ind w:firstLine="480" w:firstLineChars="200"/>
        <w:rPr>
          <w:rFonts w:ascii="仿宋" w:hAnsi="仿宋" w:eastAsia="仿宋" w:cs="仿宋"/>
          <w:color w:val="auto"/>
          <w:sz w:val="24"/>
        </w:rPr>
      </w:pPr>
      <w:r>
        <w:rPr>
          <w:rFonts w:hint="eastAsia" w:ascii="仿宋" w:hAnsi="仿宋" w:eastAsia="仿宋" w:cs="仿宋"/>
          <w:color w:val="auto"/>
          <w:sz w:val="24"/>
        </w:rPr>
        <w:t>七、保函的生效。</w:t>
      </w:r>
    </w:p>
    <w:p>
      <w:pPr>
        <w:ind w:firstLine="480" w:firstLineChars="200"/>
        <w:rPr>
          <w:rFonts w:ascii="仿宋" w:hAnsi="仿宋" w:eastAsia="仿宋" w:cs="仿宋"/>
          <w:color w:val="auto"/>
          <w:sz w:val="24"/>
        </w:rPr>
      </w:pPr>
      <w:r>
        <w:rPr>
          <w:rFonts w:hint="eastAsia" w:ascii="仿宋" w:hAnsi="仿宋" w:eastAsia="仿宋" w:cs="仿宋"/>
          <w:color w:val="auto"/>
          <w:sz w:val="24"/>
        </w:rPr>
        <w:t>本保函自我方加盖公章之日起生效。</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 xml:space="preserve">                                      </w:t>
      </w:r>
    </w:p>
    <w:p>
      <w:pPr>
        <w:ind w:firstLine="5400" w:firstLineChars="2250"/>
        <w:rPr>
          <w:rFonts w:ascii="仿宋" w:hAnsi="仿宋" w:eastAsia="仿宋" w:cs="仿宋"/>
          <w:color w:val="auto"/>
          <w:sz w:val="24"/>
        </w:rPr>
      </w:pPr>
      <w:r>
        <w:rPr>
          <w:rFonts w:hint="eastAsia" w:ascii="仿宋" w:hAnsi="仿宋" w:eastAsia="仿宋" w:cs="仿宋"/>
          <w:color w:val="auto"/>
          <w:sz w:val="24"/>
        </w:rPr>
        <w:t>保证人：（公章）</w:t>
      </w:r>
    </w:p>
    <w:p>
      <w:pPr>
        <w:rPr>
          <w:rFonts w:ascii="仿宋" w:hAnsi="仿宋" w:eastAsia="仿宋" w:cs="仿宋"/>
          <w:color w:val="auto"/>
          <w:sz w:val="24"/>
        </w:rPr>
      </w:pPr>
      <w:r>
        <w:rPr>
          <w:rFonts w:hint="eastAsia" w:ascii="仿宋" w:hAnsi="仿宋" w:eastAsia="仿宋" w:cs="仿宋"/>
          <w:color w:val="auto"/>
          <w:sz w:val="24"/>
        </w:rPr>
        <w:t xml:space="preserve">                   </w:t>
      </w:r>
    </w:p>
    <w:p>
      <w:pPr>
        <w:rPr>
          <w:rFonts w:ascii="仿宋" w:hAnsi="仿宋" w:eastAsia="仿宋" w:cs="仿宋"/>
          <w:color w:val="auto"/>
          <w:sz w:val="24"/>
        </w:rPr>
      </w:pPr>
      <w:r>
        <w:rPr>
          <w:rFonts w:hint="eastAsia" w:ascii="仿宋" w:hAnsi="仿宋" w:eastAsia="仿宋" w:cs="仿宋"/>
          <w:color w:val="auto"/>
          <w:sz w:val="24"/>
        </w:rPr>
        <w:t xml:space="preserve">                                                   年     月      日</w:t>
      </w:r>
    </w:p>
    <w:p>
      <w:pPr>
        <w:pStyle w:val="11"/>
        <w:spacing w:line="240" w:lineRule="atLeast"/>
        <w:ind w:firstLine="0"/>
        <w:rPr>
          <w:rFonts w:ascii="仿宋" w:hAnsi="仿宋" w:eastAsia="仿宋" w:cs="仿宋"/>
          <w:color w:val="auto"/>
          <w:kern w:val="2"/>
          <w:szCs w:val="24"/>
        </w:rPr>
      </w:pPr>
      <w:r>
        <w:rPr>
          <w:rFonts w:hint="eastAsia" w:ascii="仿宋" w:hAnsi="仿宋" w:eastAsia="仿宋" w:cs="仿宋"/>
          <w:b/>
          <w:color w:val="auto"/>
        </w:rPr>
        <w:br w:type="page"/>
      </w:r>
    </w:p>
    <w:p>
      <w:pPr>
        <w:numPr>
          <w:ilvl w:val="0"/>
          <w:numId w:val="0"/>
        </w:numPr>
        <w:spacing w:line="600" w:lineRule="exact"/>
        <w:jc w:val="center"/>
        <w:outlineLvl w:val="0"/>
        <w:rPr>
          <w:rFonts w:ascii="仿宋" w:hAnsi="仿宋" w:eastAsia="仿宋" w:cs="仿宋"/>
          <w:b/>
          <w:color w:val="auto"/>
          <w:kern w:val="44"/>
          <w:sz w:val="32"/>
          <w:szCs w:val="20"/>
        </w:rPr>
      </w:pPr>
      <w:bookmarkStart w:id="211" w:name="_Toc518923106"/>
      <w:bookmarkStart w:id="212" w:name="_Toc29148"/>
      <w:bookmarkStart w:id="213" w:name="_Toc216582812"/>
      <w:r>
        <w:rPr>
          <w:rFonts w:hint="eastAsia" w:ascii="仿宋" w:hAnsi="仿宋" w:eastAsia="仿宋" w:cs="仿宋"/>
          <w:b/>
          <w:color w:val="auto"/>
          <w:kern w:val="44"/>
          <w:sz w:val="32"/>
          <w:szCs w:val="20"/>
          <w:lang w:eastAsia="zh-CN"/>
        </w:rPr>
        <w:t>第</w:t>
      </w:r>
      <w:r>
        <w:rPr>
          <w:rFonts w:hint="eastAsia" w:ascii="仿宋" w:hAnsi="仿宋" w:eastAsia="仿宋" w:cs="仿宋"/>
          <w:b/>
          <w:color w:val="auto"/>
          <w:kern w:val="44"/>
          <w:sz w:val="32"/>
          <w:szCs w:val="20"/>
          <w:lang w:val="en-US" w:eastAsia="zh-CN"/>
        </w:rPr>
        <w:t xml:space="preserve">4章 </w:t>
      </w:r>
      <w:r>
        <w:rPr>
          <w:rFonts w:hint="eastAsia" w:ascii="仿宋" w:hAnsi="仿宋" w:eastAsia="仿宋" w:cs="仿宋"/>
          <w:b/>
          <w:color w:val="auto"/>
          <w:kern w:val="44"/>
          <w:sz w:val="32"/>
          <w:szCs w:val="20"/>
        </w:rPr>
        <w:t xml:space="preserve"> </w:t>
      </w:r>
      <w:bookmarkStart w:id="214" w:name="_Toc8851"/>
      <w:r>
        <w:rPr>
          <w:rFonts w:hint="eastAsia" w:ascii="仿宋" w:hAnsi="仿宋" w:eastAsia="仿宋" w:cs="仿宋"/>
          <w:b/>
          <w:color w:val="auto"/>
          <w:kern w:val="44"/>
          <w:sz w:val="32"/>
          <w:szCs w:val="20"/>
        </w:rPr>
        <w:t>投标文件格式</w:t>
      </w:r>
      <w:bookmarkEnd w:id="211"/>
      <w:bookmarkEnd w:id="212"/>
      <w:bookmarkEnd w:id="213"/>
      <w:bookmarkEnd w:id="214"/>
    </w:p>
    <w:p>
      <w:pPr>
        <w:rPr>
          <w:color w:val="auto"/>
        </w:rPr>
      </w:pPr>
    </w:p>
    <w:p>
      <w:pPr>
        <w:pStyle w:val="8"/>
        <w:spacing w:before="0" w:line="240" w:lineRule="atLeast"/>
        <w:rPr>
          <w:rFonts w:ascii="仿宋" w:hAnsi="仿宋" w:eastAsia="仿宋" w:cs="仿宋"/>
          <w:color w:val="auto"/>
          <w:sz w:val="24"/>
        </w:rPr>
      </w:pPr>
      <w:bookmarkStart w:id="215" w:name="_Toc16868"/>
      <w:bookmarkStart w:id="216" w:name="_Toc8517"/>
      <w:r>
        <w:rPr>
          <w:rFonts w:hint="eastAsia" w:ascii="仿宋" w:hAnsi="仿宋" w:eastAsia="仿宋" w:cs="仿宋"/>
          <w:color w:val="auto"/>
          <w:sz w:val="24"/>
        </w:rPr>
        <w:t>第一部分 各部分封面格式</w:t>
      </w:r>
      <w:bookmarkEnd w:id="215"/>
      <w:bookmarkEnd w:id="216"/>
    </w:p>
    <w:p>
      <w:pPr>
        <w:jc w:val="center"/>
        <w:rPr>
          <w:rFonts w:ascii="仿宋" w:hAnsi="仿宋" w:eastAsia="仿宋" w:cs="仿宋"/>
          <w:b/>
          <w:bCs/>
          <w:color w:val="auto"/>
          <w:sz w:val="32"/>
          <w:szCs w:val="32"/>
        </w:rPr>
      </w:pPr>
      <w:r>
        <w:rPr>
          <w:rFonts w:hint="eastAsia" w:ascii="仿宋" w:hAnsi="仿宋" w:eastAsia="仿宋" w:cs="仿宋"/>
          <w:color w:val="auto"/>
          <w:sz w:val="24"/>
          <w:lang w:val="zh-CN"/>
        </w:rPr>
        <w:t>（</w:t>
      </w:r>
      <w:r>
        <w:rPr>
          <w:rFonts w:hint="eastAsia" w:ascii="仿宋" w:hAnsi="仿宋" w:eastAsia="仿宋" w:cs="仿宋"/>
          <w:color w:val="auto"/>
          <w:sz w:val="24"/>
        </w:rPr>
        <w:t>投标文件各部分封面</w:t>
      </w:r>
      <w:r>
        <w:rPr>
          <w:rFonts w:hint="eastAsia" w:ascii="仿宋" w:hAnsi="仿宋" w:eastAsia="仿宋" w:cs="仿宋"/>
          <w:color w:val="auto"/>
          <w:sz w:val="24"/>
          <w:lang w:val="zh-CN"/>
        </w:rPr>
        <w:t>示例）</w:t>
      </w:r>
    </w:p>
    <w:p>
      <w:pPr>
        <w:jc w:val="right"/>
        <w:rPr>
          <w:rFonts w:ascii="仿宋" w:hAnsi="仿宋" w:eastAsia="仿宋" w:cs="仿宋"/>
          <w:color w:val="auto"/>
          <w:sz w:val="24"/>
          <w:szCs w:val="32"/>
          <w:lang w:val="zh-CN"/>
        </w:rPr>
      </w:pPr>
    </w:p>
    <w:p>
      <w:pPr>
        <w:jc w:val="right"/>
        <w:rPr>
          <w:rFonts w:ascii="仿宋" w:hAnsi="仿宋" w:eastAsia="仿宋" w:cs="仿宋"/>
          <w:color w:val="auto"/>
          <w:sz w:val="24"/>
          <w:szCs w:val="32"/>
          <w:lang w:val="zh-CN"/>
        </w:rPr>
      </w:pPr>
    </w:p>
    <w:p>
      <w:pPr>
        <w:shd w:val="clear" w:color="auto" w:fill="FFFFFF"/>
        <w:spacing w:line="440" w:lineRule="exact"/>
        <w:ind w:firstLine="420"/>
        <w:jc w:val="center"/>
        <w:rPr>
          <w:rFonts w:ascii="仿宋" w:hAnsi="仿宋" w:eastAsia="仿宋" w:cs="仿宋"/>
          <w:bCs/>
          <w:color w:val="auto"/>
          <w:sz w:val="24"/>
          <w:lang w:val="zh-CN"/>
        </w:rPr>
      </w:pPr>
    </w:p>
    <w:p>
      <w:pPr>
        <w:pStyle w:val="27"/>
        <w:rPr>
          <w:color w:val="auto"/>
          <w:lang w:val="zh-CN"/>
        </w:rPr>
      </w:pPr>
    </w:p>
    <w:p>
      <w:pPr>
        <w:rPr>
          <w:color w:val="auto"/>
          <w:lang w:val="zh-CN"/>
        </w:rPr>
      </w:pPr>
    </w:p>
    <w:p>
      <w:pPr>
        <w:pStyle w:val="27"/>
        <w:rPr>
          <w:color w:val="auto"/>
          <w:lang w:val="zh-CN"/>
        </w:rPr>
      </w:pPr>
    </w:p>
    <w:p>
      <w:pPr>
        <w:pStyle w:val="17"/>
        <w:jc w:val="center"/>
        <w:rPr>
          <w:rFonts w:ascii="仿宋" w:hAnsi="仿宋" w:eastAsia="仿宋" w:cs="仿宋"/>
          <w:b/>
          <w:bCs/>
          <w:color w:val="auto"/>
          <w:sz w:val="36"/>
          <w:szCs w:val="44"/>
        </w:rPr>
      </w:pPr>
      <w:r>
        <w:rPr>
          <w:rFonts w:eastAsia="仿宋_GB2312"/>
          <w:b/>
          <w:bCs/>
          <w:color w:val="auto"/>
          <w:sz w:val="52"/>
        </w:rPr>
        <w:t>××××</w:t>
      </w:r>
      <w:r>
        <w:rPr>
          <w:rFonts w:hint="eastAsia" w:ascii="仿宋" w:hAnsi="仿宋" w:eastAsia="仿宋" w:cs="仿宋"/>
          <w:b/>
          <w:bCs/>
          <w:color w:val="auto"/>
          <w:sz w:val="36"/>
          <w:szCs w:val="44"/>
        </w:rPr>
        <w:t>项目</w:t>
      </w:r>
    </w:p>
    <w:p>
      <w:pPr>
        <w:jc w:val="center"/>
        <w:rPr>
          <w:rFonts w:ascii="仿宋" w:hAnsi="仿宋" w:eastAsia="仿宋" w:cs="仿宋"/>
          <w:b/>
          <w:bCs/>
          <w:color w:val="auto"/>
          <w:sz w:val="36"/>
          <w:szCs w:val="44"/>
          <w:lang w:val="zh-CN"/>
        </w:rPr>
      </w:pPr>
    </w:p>
    <w:p>
      <w:pPr>
        <w:rPr>
          <w:color w:val="auto"/>
        </w:rPr>
      </w:pPr>
    </w:p>
    <w:p>
      <w:pPr>
        <w:jc w:val="center"/>
        <w:rPr>
          <w:rFonts w:hint="eastAsia" w:ascii="仿宋" w:hAnsi="仿宋" w:eastAsia="仿宋" w:cs="仿宋"/>
          <w:b/>
          <w:bCs/>
          <w:color w:val="auto"/>
          <w:sz w:val="32"/>
          <w:szCs w:val="40"/>
          <w:lang w:val="en-US" w:eastAsia="zh-CN"/>
        </w:rPr>
      </w:pPr>
      <w:r>
        <w:rPr>
          <w:rFonts w:hint="eastAsia" w:ascii="仿宋" w:hAnsi="仿宋" w:eastAsia="仿宋" w:cs="仿宋"/>
          <w:b/>
          <w:bCs/>
          <w:color w:val="auto"/>
          <w:sz w:val="32"/>
          <w:szCs w:val="40"/>
        </w:rPr>
        <w:t>项目编号：</w:t>
      </w:r>
      <w:r>
        <w:rPr>
          <w:rFonts w:hint="eastAsia" w:ascii="仿宋" w:hAnsi="仿宋" w:eastAsia="仿宋" w:cs="仿宋"/>
          <w:b/>
          <w:bCs/>
          <w:color w:val="auto"/>
          <w:sz w:val="32"/>
          <w:szCs w:val="40"/>
          <w:lang w:eastAsia="zh-CN"/>
        </w:rPr>
        <w:t>GYZB-KZDZFZ2023</w:t>
      </w:r>
      <w:r>
        <w:rPr>
          <w:rFonts w:hint="eastAsia" w:ascii="仿宋" w:hAnsi="仿宋" w:eastAsia="仿宋" w:cs="仿宋"/>
          <w:b/>
          <w:bCs/>
          <w:color w:val="auto"/>
          <w:sz w:val="32"/>
          <w:szCs w:val="40"/>
        </w:rPr>
        <w:t>-01</w:t>
      </w:r>
      <w:r>
        <w:rPr>
          <w:rFonts w:hint="eastAsia" w:ascii="仿宋" w:hAnsi="仿宋" w:eastAsia="仿宋" w:cs="仿宋"/>
          <w:b/>
          <w:bCs/>
          <w:color w:val="auto"/>
          <w:sz w:val="32"/>
          <w:szCs w:val="40"/>
          <w:lang w:val="en-US" w:eastAsia="zh-CN"/>
        </w:rPr>
        <w:t>-01</w:t>
      </w:r>
      <w:r>
        <w:rPr>
          <w:rFonts w:hint="eastAsia" w:ascii="仿宋" w:hAnsi="仿宋" w:eastAsia="仿宋" w:cs="仿宋"/>
          <w:b/>
          <w:bCs/>
          <w:color w:val="auto"/>
          <w:sz w:val="32"/>
          <w:szCs w:val="40"/>
        </w:rPr>
        <w:t>……0</w:t>
      </w:r>
      <w:r>
        <w:rPr>
          <w:rFonts w:hint="eastAsia" w:ascii="仿宋" w:hAnsi="仿宋" w:eastAsia="仿宋" w:cs="仿宋"/>
          <w:b/>
          <w:bCs/>
          <w:color w:val="auto"/>
          <w:sz w:val="32"/>
          <w:szCs w:val="40"/>
          <w:lang w:val="en-US" w:eastAsia="zh-CN"/>
        </w:rPr>
        <w:t>6</w:t>
      </w:r>
    </w:p>
    <w:p>
      <w:pPr>
        <w:jc w:val="center"/>
        <w:rPr>
          <w:rFonts w:ascii="仿宋" w:hAnsi="仿宋" w:eastAsia="仿宋" w:cs="仿宋"/>
          <w:b/>
          <w:bCs/>
          <w:color w:val="auto"/>
          <w:sz w:val="32"/>
          <w:szCs w:val="40"/>
        </w:rPr>
      </w:pPr>
    </w:p>
    <w:p>
      <w:pPr>
        <w:jc w:val="center"/>
        <w:rPr>
          <w:color w:val="auto"/>
          <w:lang w:val="zh-CN"/>
        </w:rPr>
      </w:pPr>
    </w:p>
    <w:p>
      <w:pPr>
        <w:pStyle w:val="2"/>
        <w:rPr>
          <w:rFonts w:ascii="仿宋" w:hAnsi="仿宋" w:eastAsia="仿宋" w:cs="仿宋"/>
          <w:b/>
          <w:color w:val="auto"/>
          <w:sz w:val="36"/>
          <w:szCs w:val="36"/>
          <w:lang w:val="zh-CN"/>
        </w:rPr>
      </w:pPr>
    </w:p>
    <w:p>
      <w:pPr>
        <w:pStyle w:val="3"/>
        <w:ind w:firstLine="723"/>
        <w:rPr>
          <w:rFonts w:ascii="仿宋" w:hAnsi="仿宋" w:eastAsia="仿宋" w:cs="仿宋"/>
          <w:b/>
          <w:color w:val="auto"/>
          <w:sz w:val="36"/>
          <w:szCs w:val="36"/>
          <w:lang w:val="zh-CN"/>
        </w:rPr>
      </w:pPr>
    </w:p>
    <w:p>
      <w:pPr>
        <w:jc w:val="center"/>
        <w:rPr>
          <w:rFonts w:ascii="仿宋" w:hAnsi="仿宋" w:eastAsia="仿宋" w:cs="仿宋"/>
          <w:b/>
          <w:color w:val="auto"/>
          <w:sz w:val="36"/>
          <w:szCs w:val="36"/>
        </w:rPr>
      </w:pPr>
      <w:r>
        <w:rPr>
          <w:rFonts w:hint="eastAsia" w:ascii="仿宋" w:hAnsi="仿宋" w:eastAsia="仿宋" w:cs="仿宋"/>
          <w:b/>
          <w:color w:val="auto"/>
          <w:sz w:val="36"/>
          <w:szCs w:val="36"/>
        </w:rPr>
        <w:t>技术投标文件</w:t>
      </w:r>
    </w:p>
    <w:p>
      <w:pPr>
        <w:jc w:val="center"/>
        <w:rPr>
          <w:rFonts w:ascii="仿宋" w:hAnsi="仿宋" w:eastAsia="仿宋" w:cs="仿宋"/>
          <w:b/>
          <w:color w:val="auto"/>
          <w:sz w:val="36"/>
          <w:szCs w:val="36"/>
        </w:rPr>
      </w:pPr>
      <w:r>
        <w:rPr>
          <w:rFonts w:hint="eastAsia" w:ascii="仿宋" w:hAnsi="仿宋" w:eastAsia="仿宋" w:cs="仿宋"/>
          <w:b/>
          <w:color w:val="auto"/>
          <w:sz w:val="36"/>
          <w:szCs w:val="36"/>
        </w:rPr>
        <w:t>(商务资信投标文件)</w:t>
      </w: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pStyle w:val="11"/>
        <w:rPr>
          <w:color w:val="auto"/>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（供应商名称）</w:t>
      </w:r>
    </w:p>
    <w:p>
      <w:pPr>
        <w:keepNext/>
        <w:keepLines/>
        <w:autoSpaceDE w:val="0"/>
        <w:autoSpaceDN w:val="0"/>
        <w:adjustRightInd w:val="0"/>
        <w:spacing w:line="240" w:lineRule="atLeast"/>
        <w:jc w:val="center"/>
        <w:rPr>
          <w:rFonts w:ascii="仿宋" w:hAnsi="仿宋" w:eastAsia="仿宋" w:cs="仿宋"/>
          <w:color w:val="auto"/>
        </w:rPr>
      </w:pPr>
      <w:r>
        <w:rPr>
          <w:rFonts w:hint="eastAsia" w:ascii="仿宋" w:hAnsi="仿宋" w:eastAsia="仿宋" w:cs="仿宋"/>
          <w:b/>
          <w:bCs/>
          <w:color w:val="auto"/>
          <w:sz w:val="32"/>
          <w:szCs w:val="32"/>
        </w:rPr>
        <w:t>2023年2月</w:t>
      </w:r>
      <w:r>
        <w:rPr>
          <w:rFonts w:hint="eastAsia"/>
          <w:color w:val="auto"/>
          <w:lang w:val="zh-CN"/>
        </w:rPr>
        <w:br w:type="page"/>
      </w:r>
    </w:p>
    <w:p>
      <w:pPr>
        <w:spacing w:line="240" w:lineRule="atLeast"/>
        <w:ind w:left="735" w:leftChars="350" w:firstLine="120" w:firstLineChars="50"/>
        <w:rPr>
          <w:rFonts w:ascii="仿宋" w:hAnsi="仿宋" w:eastAsia="仿宋" w:cs="仿宋"/>
          <w:color w:val="auto"/>
          <w:sz w:val="24"/>
        </w:rPr>
      </w:pPr>
    </w:p>
    <w:p>
      <w:pPr>
        <w:pStyle w:val="8"/>
        <w:numPr>
          <w:ilvl w:val="0"/>
          <w:numId w:val="5"/>
        </w:numPr>
        <w:spacing w:before="0" w:line="240" w:lineRule="atLeast"/>
        <w:ind w:left="1080" w:leftChars="257" w:hanging="540"/>
        <w:rPr>
          <w:rFonts w:ascii="仿宋" w:hAnsi="仿宋" w:eastAsia="仿宋" w:cs="仿宋"/>
          <w:color w:val="auto"/>
          <w:sz w:val="24"/>
        </w:rPr>
      </w:pPr>
      <w:bookmarkStart w:id="217" w:name="_Toc6532"/>
      <w:bookmarkStart w:id="218" w:name="_Toc10176"/>
      <w:r>
        <w:rPr>
          <w:rFonts w:hint="eastAsia" w:ascii="仿宋" w:hAnsi="仿宋" w:eastAsia="仿宋" w:cs="仿宋"/>
          <w:color w:val="auto"/>
          <w:sz w:val="24"/>
        </w:rPr>
        <w:t>报价单</w:t>
      </w:r>
      <w:bookmarkEnd w:id="217"/>
      <w:bookmarkEnd w:id="218"/>
    </w:p>
    <w:p>
      <w:pPr>
        <w:rPr>
          <w:color w:val="auto"/>
        </w:rPr>
      </w:pPr>
    </w:p>
    <w:p>
      <w:pPr>
        <w:spacing w:line="240" w:lineRule="atLeast"/>
        <w:ind w:left="708" w:hanging="708" w:hangingChars="295"/>
        <w:jc w:val="center"/>
        <w:rPr>
          <w:rFonts w:ascii="仿宋" w:hAnsi="仿宋" w:eastAsia="仿宋" w:cs="仿宋"/>
          <w:color w:val="auto"/>
          <w:sz w:val="24"/>
        </w:rPr>
      </w:pPr>
    </w:p>
    <w:p>
      <w:pPr>
        <w:tabs>
          <w:tab w:val="left" w:pos="1800"/>
          <w:tab w:val="left" w:pos="5580"/>
        </w:tabs>
        <w:spacing w:line="240" w:lineRule="atLeast"/>
        <w:ind w:left="1080" w:leftChars="257" w:right="-867" w:rightChars="-413" w:hanging="540"/>
        <w:rPr>
          <w:rFonts w:ascii="仿宋" w:hAnsi="仿宋" w:eastAsia="仿宋" w:cs="仿宋"/>
          <w:color w:val="auto"/>
          <w:sz w:val="24"/>
        </w:rPr>
      </w:pPr>
      <w:r>
        <w:rPr>
          <w:rFonts w:hint="eastAsia" w:ascii="仿宋" w:hAnsi="仿宋" w:eastAsia="仿宋" w:cs="仿宋"/>
          <w:color w:val="auto"/>
          <w:sz w:val="24"/>
        </w:rPr>
        <w:t xml:space="preserve">项目名称：　                  招标编号：                   </w:t>
      </w:r>
    </w:p>
    <w:p>
      <w:pPr>
        <w:tabs>
          <w:tab w:val="left" w:pos="1800"/>
          <w:tab w:val="left" w:pos="5580"/>
        </w:tabs>
        <w:spacing w:line="240" w:lineRule="atLeast"/>
        <w:ind w:left="1080" w:leftChars="257" w:right="-867" w:rightChars="-413" w:hanging="540"/>
        <w:rPr>
          <w:rFonts w:ascii="仿宋" w:hAnsi="仿宋" w:eastAsia="仿宋" w:cs="仿宋"/>
          <w:color w:val="auto"/>
          <w:sz w:val="24"/>
        </w:rPr>
      </w:pPr>
      <w:r>
        <w:rPr>
          <w:rFonts w:hint="eastAsia" w:ascii="仿宋" w:hAnsi="仿宋" w:eastAsia="仿宋" w:cs="仿宋"/>
          <w:color w:val="auto"/>
          <w:sz w:val="24"/>
        </w:rPr>
        <w:t>报价单位：人民币</w:t>
      </w:r>
      <w:r>
        <w:rPr>
          <w:rFonts w:hint="eastAsia" w:ascii="仿宋" w:hAnsi="仿宋" w:eastAsia="仿宋" w:cs="仿宋"/>
          <w:b/>
          <w:color w:val="auto"/>
          <w:sz w:val="24"/>
        </w:rPr>
        <w:t>万元</w:t>
      </w:r>
    </w:p>
    <w:tbl>
      <w:tblPr>
        <w:tblStyle w:val="37"/>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 w:hAnsi="仿宋" w:eastAsia="仿宋" w:cs="仿宋"/>
                <w:color w:val="auto"/>
                <w:sz w:val="24"/>
              </w:rPr>
            </w:pPr>
            <w:r>
              <w:rPr>
                <w:rFonts w:hint="eastAsia" w:ascii="仿宋" w:hAnsi="仿宋" w:eastAsia="仿宋" w:cs="仿宋"/>
                <w:color w:val="auto"/>
                <w:sz w:val="24"/>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履约期限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大写：</w:t>
            </w:r>
          </w:p>
          <w:p>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r>
    </w:tbl>
    <w:p>
      <w:pPr>
        <w:pStyle w:val="17"/>
        <w:tabs>
          <w:tab w:val="left" w:pos="5580"/>
        </w:tabs>
        <w:spacing w:line="240" w:lineRule="atLeast"/>
        <w:ind w:left="1080" w:leftChars="257" w:hanging="540"/>
        <w:rPr>
          <w:rFonts w:ascii="仿宋" w:hAnsi="仿宋" w:eastAsia="仿宋" w:cs="仿宋"/>
          <w:color w:val="auto"/>
          <w:sz w:val="24"/>
        </w:rPr>
      </w:pPr>
    </w:p>
    <w:p>
      <w:pPr>
        <w:pStyle w:val="17"/>
        <w:tabs>
          <w:tab w:val="left" w:pos="5580"/>
        </w:tabs>
        <w:spacing w:line="240" w:lineRule="atLeast"/>
        <w:rPr>
          <w:rFonts w:ascii="仿宋" w:hAnsi="仿宋" w:eastAsia="仿宋" w:cs="仿宋"/>
          <w:color w:val="auto"/>
          <w:sz w:val="24"/>
          <w:u w:val="single"/>
        </w:rPr>
      </w:pP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供应商名称（单位章）：</w:t>
      </w:r>
      <w:r>
        <w:rPr>
          <w:rFonts w:hint="eastAsia" w:ascii="仿宋" w:hAnsi="仿宋" w:eastAsia="仿宋" w:cs="仿宋"/>
          <w:color w:val="auto"/>
          <w:sz w:val="24"/>
          <w:u w:val="single"/>
        </w:rPr>
        <w:t xml:space="preserve">                       </w:t>
      </w:r>
    </w:p>
    <w:p>
      <w:pPr>
        <w:pStyle w:val="17"/>
        <w:tabs>
          <w:tab w:val="left" w:pos="558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ab/>
      </w:r>
    </w:p>
    <w:p>
      <w:pPr>
        <w:pStyle w:val="17"/>
        <w:tabs>
          <w:tab w:val="left" w:pos="5580"/>
        </w:tabs>
        <w:spacing w:line="240" w:lineRule="atLeast"/>
        <w:rPr>
          <w:rFonts w:ascii="仿宋" w:hAnsi="仿宋" w:eastAsia="仿宋" w:cs="仿宋"/>
          <w:b/>
          <w:color w:val="auto"/>
        </w:rPr>
      </w:pPr>
    </w:p>
    <w:p>
      <w:pPr>
        <w:pStyle w:val="17"/>
        <w:tabs>
          <w:tab w:val="left" w:pos="5580"/>
        </w:tabs>
        <w:spacing w:line="240" w:lineRule="atLeast"/>
        <w:rPr>
          <w:rFonts w:ascii="仿宋" w:hAnsi="仿宋" w:eastAsia="仿宋" w:cs="仿宋"/>
          <w:color w:val="auto"/>
          <w:sz w:val="24"/>
          <w:u w:val="single"/>
        </w:rPr>
      </w:pPr>
    </w:p>
    <w:p>
      <w:pPr>
        <w:pStyle w:val="11"/>
        <w:ind w:firstLine="422"/>
        <w:rPr>
          <w:rFonts w:ascii="仿宋" w:hAnsi="仿宋" w:eastAsia="仿宋" w:cs="仿宋"/>
          <w:b/>
          <w:bCs/>
          <w:color w:val="auto"/>
          <w:kern w:val="2"/>
          <w:szCs w:val="24"/>
        </w:rPr>
      </w:pPr>
      <w:r>
        <w:rPr>
          <w:rFonts w:hint="eastAsia" w:ascii="仿宋" w:hAnsi="仿宋" w:eastAsia="仿宋" w:cs="仿宋"/>
          <w:bCs/>
          <w:iCs/>
          <w:color w:val="auto"/>
        </w:rPr>
        <w:br w:type="page"/>
      </w:r>
      <w:bookmarkStart w:id="219" w:name="_Toc480942349"/>
      <w:bookmarkStart w:id="220" w:name="_Ref467988698"/>
      <w:bookmarkStart w:id="221" w:name="_Toc520356217"/>
      <w:bookmarkStart w:id="222" w:name="_Toc216582813"/>
    </w:p>
    <w:p>
      <w:pPr>
        <w:pStyle w:val="22"/>
        <w:tabs>
          <w:tab w:val="center" w:pos="4140"/>
          <w:tab w:val="right" w:pos="8300"/>
          <w:tab w:val="clear" w:pos="4153"/>
          <w:tab w:val="clear" w:pos="8306"/>
        </w:tabs>
        <w:spacing w:line="440" w:lineRule="exact"/>
        <w:jc w:val="center"/>
        <w:outlineLvl w:val="1"/>
        <w:rPr>
          <w:rFonts w:ascii="仿宋" w:hAnsi="仿宋" w:eastAsia="仿宋" w:cs="仿宋"/>
          <w:color w:val="auto"/>
          <w:sz w:val="24"/>
        </w:rPr>
      </w:pPr>
      <w:bookmarkStart w:id="223" w:name="_Toc518923115"/>
      <w:bookmarkStart w:id="224" w:name="_Toc26612"/>
      <w:bookmarkStart w:id="225" w:name="_Toc15428"/>
      <w:r>
        <w:rPr>
          <w:rFonts w:hint="eastAsia" w:ascii="仿宋" w:hAnsi="仿宋" w:eastAsia="仿宋" w:cs="仿宋"/>
          <w:b/>
          <w:color w:val="auto"/>
          <w:sz w:val="24"/>
        </w:rPr>
        <w:t xml:space="preserve">第三部分  </w:t>
      </w:r>
      <w:bookmarkEnd w:id="223"/>
      <w:r>
        <w:rPr>
          <w:rFonts w:hint="eastAsia" w:ascii="仿宋" w:hAnsi="仿宋" w:eastAsia="仿宋" w:cs="仿宋"/>
          <w:b/>
          <w:color w:val="auto"/>
          <w:sz w:val="24"/>
        </w:rPr>
        <w:t>商务资信投标文件</w:t>
      </w:r>
      <w:bookmarkEnd w:id="224"/>
      <w:bookmarkEnd w:id="225"/>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lang w:val="zh-CN"/>
        </w:rPr>
        <w:t>供应商应根据采购文件的要求提供详细的</w:t>
      </w:r>
      <w:r>
        <w:rPr>
          <w:rFonts w:hint="eastAsia" w:ascii="仿宋" w:hAnsi="仿宋" w:eastAsia="仿宋" w:cs="仿宋"/>
          <w:color w:val="auto"/>
          <w:sz w:val="24"/>
        </w:rPr>
        <w:t>商务投标方案</w:t>
      </w:r>
      <w:r>
        <w:rPr>
          <w:rFonts w:hint="eastAsia" w:ascii="仿宋" w:hAnsi="仿宋" w:eastAsia="仿宋" w:cs="仿宋"/>
          <w:color w:val="auto"/>
          <w:sz w:val="24"/>
          <w:lang w:val="zh-CN"/>
        </w:rPr>
        <w:t>，参照项目的具体情况及评分标准</w:t>
      </w:r>
      <w:r>
        <w:rPr>
          <w:rFonts w:hint="eastAsia" w:ascii="仿宋" w:hAnsi="仿宋" w:eastAsia="仿宋" w:cs="仿宋"/>
          <w:color w:val="auto"/>
          <w:sz w:val="24"/>
        </w:rPr>
        <w:t>编制</w:t>
      </w:r>
      <w:r>
        <w:rPr>
          <w:rFonts w:hint="eastAsia" w:ascii="仿宋" w:hAnsi="仿宋" w:eastAsia="仿宋" w:cs="仿宋"/>
          <w:color w:val="auto"/>
          <w:sz w:val="24"/>
          <w:lang w:val="zh-CN"/>
        </w:rPr>
        <w:t>；</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rPr>
        <w:t>标项一至</w:t>
      </w:r>
      <w:r>
        <w:rPr>
          <w:rFonts w:hint="eastAsia" w:ascii="仿宋" w:hAnsi="仿宋" w:eastAsia="仿宋" w:cs="仿宋"/>
          <w:color w:val="auto"/>
          <w:sz w:val="24"/>
          <w:lang w:val="en-US" w:eastAsia="zh-CN"/>
        </w:rPr>
        <w:t>五</w:t>
      </w:r>
      <w:r>
        <w:rPr>
          <w:rFonts w:hint="eastAsia" w:ascii="仿宋" w:hAnsi="仿宋" w:eastAsia="仿宋" w:cs="仿宋"/>
          <w:color w:val="auto"/>
          <w:sz w:val="24"/>
        </w:rPr>
        <w:t>：</w:t>
      </w:r>
      <w:r>
        <w:rPr>
          <w:rFonts w:hint="eastAsia" w:ascii="仿宋" w:hAnsi="仿宋" w:eastAsia="仿宋" w:cs="仿宋"/>
          <w:color w:val="auto"/>
          <w:sz w:val="24"/>
          <w:lang w:val="zh-CN"/>
        </w:rPr>
        <w:t>商务资信投标文件将从送审材料完整性、适用表式、编制方法、预算标准、预算内容、计算和勾稽关系、与技术方案工作量平衡、预算编制说明和报价的合理性、</w:t>
      </w:r>
      <w:r>
        <w:rPr>
          <w:rFonts w:hint="eastAsia" w:ascii="仿宋" w:hAnsi="仿宋" w:eastAsia="仿宋" w:cs="仿宋"/>
          <w:color w:val="auto"/>
          <w:sz w:val="24"/>
        </w:rPr>
        <w:t>主要工作业绩</w:t>
      </w:r>
      <w:r>
        <w:rPr>
          <w:rFonts w:hint="eastAsia" w:ascii="仿宋" w:hAnsi="仿宋" w:eastAsia="仿宋" w:cs="仿宋"/>
          <w:color w:val="auto"/>
          <w:sz w:val="24"/>
          <w:lang w:val="en-US" w:eastAsia="zh-CN"/>
        </w:rPr>
        <w:t>和</w:t>
      </w:r>
      <w:r>
        <w:rPr>
          <w:rFonts w:hint="eastAsia" w:ascii="仿宋" w:hAnsi="仿宋" w:eastAsia="仿宋" w:cs="仿宋"/>
          <w:color w:val="auto"/>
          <w:sz w:val="24"/>
        </w:rPr>
        <w:t>相关承诺</w:t>
      </w:r>
      <w:r>
        <w:rPr>
          <w:rFonts w:hint="eastAsia" w:ascii="仿宋" w:hAnsi="仿宋" w:eastAsia="仿宋" w:cs="仿宋"/>
          <w:color w:val="auto"/>
          <w:sz w:val="24"/>
          <w:lang w:val="zh-CN"/>
        </w:rPr>
        <w:t>等方面进行评审。</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标项</w:t>
      </w:r>
      <w:r>
        <w:rPr>
          <w:rFonts w:hint="eastAsia" w:ascii="仿宋" w:hAnsi="仿宋" w:eastAsia="仿宋" w:cs="仿宋"/>
          <w:color w:val="auto"/>
          <w:sz w:val="24"/>
          <w:lang w:val="en-US" w:eastAsia="zh-CN"/>
        </w:rPr>
        <w:t>六</w:t>
      </w:r>
      <w:r>
        <w:rPr>
          <w:rFonts w:hint="eastAsia" w:ascii="仿宋" w:hAnsi="仿宋" w:eastAsia="仿宋" w:cs="仿宋"/>
          <w:color w:val="auto"/>
          <w:sz w:val="24"/>
        </w:rPr>
        <w:t>：</w:t>
      </w:r>
      <w:r>
        <w:rPr>
          <w:rFonts w:hint="eastAsia" w:ascii="仿宋" w:hAnsi="仿宋" w:eastAsia="仿宋" w:cs="仿宋"/>
          <w:color w:val="auto"/>
          <w:sz w:val="24"/>
          <w:lang w:val="zh-CN"/>
        </w:rPr>
        <w:t>商务资信投标文件</w:t>
      </w:r>
      <w:r>
        <w:rPr>
          <w:rFonts w:hint="eastAsia" w:ascii="仿宋" w:hAnsi="仿宋" w:eastAsia="仿宋" w:cs="仿宋"/>
          <w:color w:val="auto"/>
          <w:sz w:val="24"/>
        </w:rPr>
        <w:t>将从对采购文件及合同条款的确认，投入项目人员数量满足要求，工种齐全，人员专业结构配备合理，仪器、设备配置，近三年资产状况，组织管理、质量、进度、安全的保障体系及主要措施，组织管理机构应健全，拟派出的总监、总监代表人的职称，应建立领导小组，主要业绩，相关承诺等方面进行评审。</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rPr>
        <w:t>以下</w:t>
      </w:r>
      <w:r>
        <w:rPr>
          <w:rFonts w:hint="eastAsia" w:ascii="仿宋" w:hAnsi="仿宋" w:eastAsia="仿宋" w:cs="仿宋"/>
          <w:color w:val="auto"/>
          <w:sz w:val="24"/>
          <w:lang w:val="zh-CN"/>
        </w:rPr>
        <w:t>提供</w:t>
      </w:r>
      <w:r>
        <w:rPr>
          <w:rFonts w:hint="eastAsia" w:ascii="仿宋" w:hAnsi="仿宋" w:eastAsia="仿宋" w:cs="仿宋"/>
          <w:color w:val="auto"/>
          <w:sz w:val="24"/>
        </w:rPr>
        <w:t>部分</w:t>
      </w:r>
      <w:r>
        <w:rPr>
          <w:rFonts w:hint="eastAsia" w:ascii="仿宋" w:hAnsi="仿宋" w:eastAsia="仿宋" w:cs="仿宋"/>
          <w:color w:val="auto"/>
          <w:sz w:val="24"/>
          <w:lang w:val="zh-CN"/>
        </w:rPr>
        <w:t>投标文件格式（表格可按照同样格式扩展），</w:t>
      </w:r>
      <w:r>
        <w:rPr>
          <w:rFonts w:hint="eastAsia" w:ascii="仿宋" w:hAnsi="仿宋" w:eastAsia="仿宋" w:cs="仿宋"/>
          <w:color w:val="auto"/>
          <w:sz w:val="24"/>
        </w:rPr>
        <w:t>供应商需</w:t>
      </w:r>
      <w:r>
        <w:rPr>
          <w:rFonts w:hint="eastAsia" w:ascii="仿宋" w:hAnsi="仿宋" w:eastAsia="仿宋" w:cs="仿宋"/>
          <w:color w:val="auto"/>
          <w:sz w:val="24"/>
          <w:lang w:val="zh-CN"/>
        </w:rPr>
        <w:t>保证所提供的资料的真实性。未提供格式的，供应商可自行编制，为了便于查找，请</w:t>
      </w:r>
      <w:r>
        <w:rPr>
          <w:rFonts w:hint="eastAsia" w:ascii="仿宋" w:hAnsi="仿宋" w:eastAsia="仿宋" w:cs="仿宋"/>
          <w:color w:val="auto"/>
          <w:sz w:val="24"/>
        </w:rPr>
        <w:t>编制目录</w:t>
      </w:r>
      <w:r>
        <w:rPr>
          <w:rFonts w:hint="eastAsia" w:ascii="仿宋" w:hAnsi="仿宋" w:eastAsia="仿宋" w:cs="仿宋"/>
          <w:color w:val="auto"/>
          <w:sz w:val="24"/>
          <w:lang w:val="zh-CN"/>
        </w:rPr>
        <w:t>，并在目录中注明每项内容的页码。</w:t>
      </w:r>
    </w:p>
    <w:p>
      <w:pPr>
        <w:pStyle w:val="17"/>
        <w:ind w:left="1080" w:leftChars="257" w:hanging="540"/>
        <w:rPr>
          <w:rFonts w:ascii="仿宋" w:hAnsi="仿宋" w:eastAsia="仿宋" w:cs="仿宋"/>
          <w:color w:val="auto"/>
          <w:sz w:val="24"/>
        </w:rPr>
      </w:pP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zh-CN"/>
        </w:rPr>
        <w:t>提供</w:t>
      </w:r>
      <w:r>
        <w:rPr>
          <w:rFonts w:hint="eastAsia" w:ascii="仿宋" w:hAnsi="仿宋" w:eastAsia="仿宋" w:cs="仿宋"/>
          <w:color w:val="auto"/>
          <w:sz w:val="24"/>
        </w:rPr>
        <w:t>部分</w:t>
      </w:r>
      <w:r>
        <w:rPr>
          <w:rFonts w:hint="eastAsia" w:ascii="仿宋" w:hAnsi="仿宋" w:eastAsia="仿宋" w:cs="仿宋"/>
          <w:color w:val="auto"/>
          <w:sz w:val="24"/>
          <w:lang w:val="zh-CN"/>
        </w:rPr>
        <w:t>投标文件格式</w:t>
      </w:r>
      <w:r>
        <w:rPr>
          <w:rFonts w:hint="eastAsia" w:ascii="仿宋" w:hAnsi="仿宋" w:eastAsia="仿宋" w:cs="仿宋"/>
          <w:color w:val="auto"/>
          <w:sz w:val="24"/>
        </w:rPr>
        <w:t>目录</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1.投标书（投标文件格式</w:t>
      </w:r>
      <w:r>
        <w:rPr>
          <w:rFonts w:hint="eastAsia" w:ascii="仿宋" w:hAnsi="仿宋" w:eastAsia="仿宋" w:cs="仿宋"/>
          <w:color w:val="auto"/>
          <w:sz w:val="24"/>
          <w:lang w:val="en-US" w:eastAsia="zh-CN"/>
        </w:rPr>
        <w:t>一</w:t>
      </w:r>
      <w:r>
        <w:rPr>
          <w:rFonts w:hint="eastAsia" w:ascii="仿宋" w:hAnsi="仿宋" w:eastAsia="仿宋" w:cs="仿宋"/>
          <w:color w:val="auto"/>
          <w:sz w:val="24"/>
        </w:rPr>
        <w:t>）</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2.投标保证金缴纳凭证复印件或政府采购投标担保函（投标文件格式</w:t>
      </w:r>
      <w:r>
        <w:rPr>
          <w:rFonts w:hint="eastAsia" w:ascii="仿宋" w:hAnsi="仿宋" w:eastAsia="仿宋" w:cs="仿宋"/>
          <w:color w:val="auto"/>
          <w:sz w:val="24"/>
          <w:lang w:val="en-US" w:eastAsia="zh-CN"/>
        </w:rPr>
        <w:t>二</w:t>
      </w:r>
      <w:r>
        <w:rPr>
          <w:rFonts w:hint="eastAsia" w:ascii="仿宋" w:hAnsi="仿宋" w:eastAsia="仿宋" w:cs="仿宋"/>
          <w:color w:val="auto"/>
          <w:sz w:val="24"/>
        </w:rPr>
        <w:t>）</w:t>
      </w:r>
    </w:p>
    <w:p>
      <w:pPr>
        <w:shd w:val="clear" w:color="auto" w:fill="FFFFFF"/>
        <w:spacing w:line="400" w:lineRule="exact"/>
        <w:ind w:firstLine="484" w:firstLineChars="202"/>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技术规格偏离表</w:t>
      </w:r>
      <w:r>
        <w:rPr>
          <w:rFonts w:hint="eastAsia" w:ascii="仿宋" w:hAnsi="仿宋" w:eastAsia="仿宋" w:cs="仿宋"/>
          <w:color w:val="auto"/>
          <w:sz w:val="24"/>
        </w:rPr>
        <w:t>（投标文件格式</w:t>
      </w:r>
      <w:r>
        <w:rPr>
          <w:rFonts w:hint="eastAsia" w:ascii="仿宋" w:hAnsi="仿宋" w:eastAsia="仿宋" w:cs="仿宋"/>
          <w:color w:val="auto"/>
          <w:sz w:val="24"/>
          <w:lang w:val="en-US" w:eastAsia="zh-CN"/>
        </w:rPr>
        <w:t>三</w:t>
      </w:r>
      <w:r>
        <w:rPr>
          <w:rFonts w:hint="eastAsia" w:ascii="仿宋" w:hAnsi="仿宋" w:eastAsia="仿宋" w:cs="仿宋"/>
          <w:color w:val="auto"/>
          <w:sz w:val="24"/>
        </w:rPr>
        <w:t>）</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.商务条款偏离表（投标文件格式</w:t>
      </w:r>
      <w:r>
        <w:rPr>
          <w:rFonts w:hint="eastAsia" w:ascii="仿宋" w:hAnsi="仿宋" w:eastAsia="仿宋" w:cs="仿宋"/>
          <w:color w:val="auto"/>
          <w:sz w:val="24"/>
          <w:lang w:val="en-US" w:eastAsia="zh-CN"/>
        </w:rPr>
        <w:t>四</w:t>
      </w:r>
      <w:r>
        <w:rPr>
          <w:rFonts w:hint="eastAsia" w:ascii="仿宋" w:hAnsi="仿宋" w:eastAsia="仿宋" w:cs="仿宋"/>
          <w:color w:val="auto"/>
          <w:sz w:val="24"/>
        </w:rPr>
        <w:t>）</w:t>
      </w:r>
    </w:p>
    <w:p>
      <w:pPr>
        <w:shd w:val="clear" w:color="auto" w:fill="FFFFFF"/>
        <w:spacing w:line="400" w:lineRule="exact"/>
        <w:ind w:firstLine="484" w:firstLineChars="202"/>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r>
        <w:rPr>
          <w:rFonts w:hint="eastAsia" w:ascii="仿宋" w:hAnsi="仿宋" w:eastAsia="仿宋" w:cs="仿宋"/>
          <w:color w:val="auto"/>
          <w:sz w:val="24"/>
        </w:rPr>
        <w:t>.符合《政府采购促进中小企业发展暂行办法》《关于政府采购支持监狱企业发展有关问题的通知》和《三部门联合发布关于促进残疾人就业政府采购政策的通知》价格扣减条件的供应商须提交</w:t>
      </w:r>
      <w:r>
        <w:rPr>
          <w:rFonts w:hint="eastAsia" w:ascii="仿宋" w:hAnsi="仿宋" w:eastAsia="仿宋" w:cs="仿宋"/>
          <w:color w:val="auto"/>
          <w:sz w:val="24"/>
          <w:lang w:eastAsia="zh-CN"/>
        </w:rPr>
        <w:t>：</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5-1《供应商企业类型声明函》（投标文件格式</w:t>
      </w:r>
      <w:r>
        <w:rPr>
          <w:rFonts w:hint="eastAsia" w:ascii="仿宋" w:hAnsi="仿宋" w:eastAsia="仿宋" w:cs="仿宋"/>
          <w:color w:val="auto"/>
          <w:sz w:val="24"/>
          <w:lang w:val="en-US" w:eastAsia="zh-CN"/>
        </w:rPr>
        <w:t>五</w:t>
      </w:r>
      <w:r>
        <w:rPr>
          <w:rFonts w:hint="eastAsia" w:ascii="仿宋" w:hAnsi="仿宋" w:eastAsia="仿宋" w:cs="仿宋"/>
          <w:color w:val="auto"/>
          <w:sz w:val="24"/>
        </w:rPr>
        <w:t>）</w:t>
      </w:r>
    </w:p>
    <w:p>
      <w:pPr>
        <w:shd w:val="clear" w:color="auto" w:fill="FFFFFF"/>
        <w:spacing w:line="400" w:lineRule="exact"/>
        <w:ind w:firstLine="484" w:firstLineChars="202"/>
        <w:rPr>
          <w:rFonts w:hint="eastAsia" w:ascii="仿宋" w:hAnsi="仿宋" w:eastAsia="仿宋" w:cs="仿宋"/>
          <w:color w:val="auto"/>
          <w:sz w:val="24"/>
        </w:rPr>
      </w:pPr>
      <w:r>
        <w:rPr>
          <w:rFonts w:hint="eastAsia" w:ascii="仿宋" w:hAnsi="仿宋" w:eastAsia="仿宋" w:cs="仿宋"/>
          <w:color w:val="auto"/>
          <w:sz w:val="24"/>
        </w:rPr>
        <w:t>5-2《残疾人福利性单位声明函》（投标文件格式</w:t>
      </w:r>
      <w:r>
        <w:rPr>
          <w:rFonts w:hint="eastAsia" w:ascii="仿宋" w:hAnsi="仿宋" w:eastAsia="仿宋" w:cs="仿宋"/>
          <w:color w:val="auto"/>
          <w:sz w:val="24"/>
          <w:lang w:val="en-US" w:eastAsia="zh-CN"/>
        </w:rPr>
        <w:t>六</w:t>
      </w:r>
      <w:r>
        <w:rPr>
          <w:rFonts w:hint="eastAsia" w:ascii="仿宋" w:hAnsi="仿宋" w:eastAsia="仿宋" w:cs="仿宋"/>
          <w:color w:val="auto"/>
          <w:sz w:val="24"/>
        </w:rPr>
        <w:t>）</w:t>
      </w:r>
    </w:p>
    <w:p>
      <w:pPr>
        <w:pStyle w:val="2"/>
        <w:rPr>
          <w:rFonts w:hint="default" w:eastAsia="仿宋"/>
          <w:color w:val="auto"/>
          <w:lang w:val="en-US" w:eastAsia="zh-CN"/>
        </w:rPr>
      </w:pPr>
      <w:r>
        <w:rPr>
          <w:rFonts w:hint="eastAsia" w:ascii="仿宋" w:hAnsi="仿宋" w:eastAsia="仿宋" w:cs="仿宋"/>
          <w:color w:val="auto"/>
          <w:sz w:val="24"/>
          <w:lang w:val="en-US" w:eastAsia="zh-CN"/>
        </w:rPr>
        <w:t xml:space="preserve">   </w:t>
      </w:r>
      <w:r>
        <w:rPr>
          <w:rFonts w:hint="eastAsia" w:ascii="仿宋" w:hAnsi="仿宋" w:eastAsia="仿宋" w:cs="仿宋"/>
          <w:color w:val="auto"/>
          <w:kern w:val="2"/>
          <w:sz w:val="24"/>
          <w:szCs w:val="24"/>
          <w:lang w:val="en-US" w:eastAsia="zh-CN" w:bidi="ar-SA"/>
        </w:rPr>
        <w:t xml:space="preserve"> 5-3《中小企业声明函》（投标文件格式七）</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6.供应商关联单位的说明（格式自拟）</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7.投标文件还应包括供应商须知第10条的所有技术文件</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br w:type="page"/>
      </w:r>
    </w:p>
    <w:p>
      <w:pPr>
        <w:pStyle w:val="8"/>
        <w:spacing w:before="0" w:line="240" w:lineRule="atLeast"/>
        <w:ind w:left="1080" w:leftChars="257" w:hanging="540"/>
        <w:rPr>
          <w:rFonts w:ascii="仿宋" w:hAnsi="仿宋" w:eastAsia="仿宋" w:cs="仿宋"/>
          <w:color w:val="auto"/>
          <w:sz w:val="24"/>
        </w:rPr>
      </w:pPr>
      <w:bookmarkStart w:id="226" w:name="_Toc23153"/>
      <w:bookmarkStart w:id="227" w:name="_Toc518923116"/>
      <w:bookmarkStart w:id="228" w:name="_Toc5304"/>
      <w:bookmarkStart w:id="229" w:name="_Toc26126"/>
      <w:r>
        <w:rPr>
          <w:rFonts w:hint="eastAsia" w:ascii="仿宋" w:hAnsi="仿宋" w:eastAsia="仿宋" w:cs="仿宋"/>
          <w:color w:val="auto"/>
          <w:sz w:val="24"/>
        </w:rPr>
        <w:t xml:space="preserve">1   </w:t>
      </w:r>
      <w:bookmarkStart w:id="230" w:name="_Hlt520355504"/>
      <w:bookmarkEnd w:id="230"/>
      <w:r>
        <w:rPr>
          <w:rFonts w:hint="eastAsia" w:ascii="仿宋" w:hAnsi="仿宋" w:eastAsia="仿宋" w:cs="仿宋"/>
          <w:color w:val="auto"/>
          <w:sz w:val="24"/>
        </w:rPr>
        <w:t>投标</w:t>
      </w:r>
      <w:bookmarkEnd w:id="219"/>
      <w:bookmarkEnd w:id="220"/>
      <w:r>
        <w:rPr>
          <w:rFonts w:hint="eastAsia" w:ascii="仿宋" w:hAnsi="仿宋" w:eastAsia="仿宋" w:cs="仿宋"/>
          <w:color w:val="auto"/>
          <w:sz w:val="24"/>
        </w:rPr>
        <w:t>书</w:t>
      </w:r>
      <w:bookmarkEnd w:id="221"/>
      <w:r>
        <w:rPr>
          <w:rFonts w:hint="eastAsia" w:ascii="仿宋" w:hAnsi="仿宋" w:eastAsia="仿宋" w:cs="仿宋"/>
          <w:color w:val="auto"/>
          <w:sz w:val="24"/>
        </w:rPr>
        <w:t>（投标文件格式</w:t>
      </w:r>
      <w:r>
        <w:rPr>
          <w:rFonts w:hint="eastAsia" w:ascii="仿宋" w:hAnsi="仿宋" w:eastAsia="仿宋" w:cs="仿宋"/>
          <w:color w:val="auto"/>
          <w:sz w:val="24"/>
          <w:lang w:val="en-US" w:eastAsia="zh-CN"/>
        </w:rPr>
        <w:t>一</w:t>
      </w:r>
      <w:r>
        <w:rPr>
          <w:rFonts w:hint="eastAsia" w:ascii="仿宋" w:hAnsi="仿宋" w:eastAsia="仿宋" w:cs="仿宋"/>
          <w:color w:val="auto"/>
          <w:sz w:val="24"/>
        </w:rPr>
        <w:t>）</w:t>
      </w:r>
      <w:bookmarkEnd w:id="222"/>
      <w:bookmarkEnd w:id="226"/>
      <w:bookmarkEnd w:id="227"/>
      <w:bookmarkEnd w:id="228"/>
      <w:bookmarkEnd w:id="229"/>
    </w:p>
    <w:p>
      <w:pPr>
        <w:tabs>
          <w:tab w:val="left" w:pos="5580"/>
        </w:tabs>
        <w:spacing w:line="240" w:lineRule="atLeast"/>
        <w:ind w:left="1080" w:leftChars="257" w:hanging="540"/>
        <w:rPr>
          <w:rFonts w:ascii="仿宋" w:hAnsi="仿宋" w:eastAsia="仿宋" w:cs="仿宋"/>
          <w:color w:val="auto"/>
          <w:sz w:val="24"/>
        </w:rPr>
      </w:pPr>
    </w:p>
    <w:p>
      <w:pPr>
        <w:tabs>
          <w:tab w:val="left" w:pos="5580"/>
        </w:tabs>
        <w:spacing w:line="240" w:lineRule="atLeast"/>
        <w:ind w:left="1080" w:hanging="1080"/>
        <w:rPr>
          <w:rFonts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新疆国源土地矿产资源交易中心（有限公司）</w:t>
      </w:r>
    </w:p>
    <w:p>
      <w:pPr>
        <w:pStyle w:val="17"/>
        <w:tabs>
          <w:tab w:val="left" w:pos="5580"/>
        </w:tabs>
        <w:spacing w:line="240" w:lineRule="atLeast"/>
        <w:ind w:left="1080" w:leftChars="257" w:hanging="540"/>
        <w:rPr>
          <w:rFonts w:ascii="仿宋" w:hAnsi="仿宋" w:eastAsia="仿宋" w:cs="仿宋"/>
          <w:color w:val="auto"/>
          <w:sz w:val="24"/>
        </w:rPr>
      </w:pPr>
    </w:p>
    <w:p>
      <w:pPr>
        <w:pStyle w:val="17"/>
        <w:tabs>
          <w:tab w:val="left" w:pos="5580"/>
        </w:tabs>
        <w:spacing w:line="240" w:lineRule="atLeast"/>
        <w:ind w:left="2" w:leftChars="1" w:firstLine="480" w:firstLineChars="200"/>
        <w:rPr>
          <w:rFonts w:ascii="仿宋" w:hAnsi="仿宋" w:eastAsia="仿宋" w:cs="仿宋"/>
          <w:color w:val="auto"/>
          <w:sz w:val="24"/>
        </w:rPr>
      </w:pPr>
      <w:r>
        <w:rPr>
          <w:rFonts w:hint="eastAsia" w:ascii="仿宋" w:hAnsi="仿宋" w:eastAsia="仿宋" w:cs="仿宋"/>
          <w:color w:val="auto"/>
          <w:sz w:val="24"/>
        </w:rPr>
        <w:t>根据贵方(</w:t>
      </w:r>
      <w:r>
        <w:rPr>
          <w:rFonts w:hint="eastAsia" w:ascii="仿宋" w:hAnsi="仿宋" w:eastAsia="仿宋" w:cs="仿宋"/>
          <w:i/>
          <w:color w:val="auto"/>
          <w:sz w:val="24"/>
          <w:u w:val="single"/>
        </w:rPr>
        <w:t>项目名称</w:t>
      </w:r>
      <w:r>
        <w:rPr>
          <w:rFonts w:hint="eastAsia" w:ascii="仿宋" w:hAnsi="仿宋" w:eastAsia="仿宋" w:cs="仿宋"/>
          <w:color w:val="auto"/>
          <w:sz w:val="24"/>
        </w:rPr>
        <w:t>)项目的投标邀请(</w:t>
      </w:r>
      <w:r>
        <w:rPr>
          <w:rFonts w:hint="eastAsia" w:ascii="仿宋" w:hAnsi="仿宋" w:eastAsia="仿宋" w:cs="仿宋"/>
          <w:i/>
          <w:color w:val="auto"/>
          <w:sz w:val="24"/>
          <w:u w:val="single"/>
        </w:rPr>
        <w:t>招标编号、包号：</w:t>
      </w:r>
      <w:r>
        <w:rPr>
          <w:rFonts w:hint="eastAsia" w:ascii="仿宋" w:hAnsi="仿宋" w:eastAsia="仿宋" w:cs="仿宋"/>
          <w:color w:val="auto"/>
          <w:sz w:val="24"/>
        </w:rPr>
        <w:t>),签字代表(</w:t>
      </w:r>
      <w:r>
        <w:rPr>
          <w:rFonts w:hint="eastAsia" w:ascii="仿宋" w:hAnsi="仿宋" w:eastAsia="仿宋" w:cs="仿宋"/>
          <w:i/>
          <w:color w:val="auto"/>
          <w:sz w:val="24"/>
          <w:u w:val="single"/>
        </w:rPr>
        <w:t>姓名、职务</w:t>
      </w:r>
      <w:r>
        <w:rPr>
          <w:rFonts w:hint="eastAsia" w:ascii="仿宋" w:hAnsi="仿宋" w:eastAsia="仿宋" w:cs="仿宋"/>
          <w:color w:val="auto"/>
          <w:sz w:val="24"/>
        </w:rPr>
        <w:t>)经正式授权并代表供应商（</w:t>
      </w:r>
      <w:r>
        <w:rPr>
          <w:rFonts w:hint="eastAsia" w:ascii="仿宋" w:hAnsi="仿宋" w:eastAsia="仿宋" w:cs="仿宋"/>
          <w:i/>
          <w:color w:val="auto"/>
          <w:sz w:val="24"/>
          <w:u w:val="single"/>
        </w:rPr>
        <w:t>名称、地址</w:t>
      </w:r>
      <w:r>
        <w:rPr>
          <w:rFonts w:hint="eastAsia" w:ascii="仿宋" w:hAnsi="仿宋" w:eastAsia="仿宋" w:cs="仿宋"/>
          <w:color w:val="auto"/>
          <w:sz w:val="24"/>
        </w:rPr>
        <w:t>）提交投标书，并以</w:t>
      </w:r>
      <w:r>
        <w:rPr>
          <w:rFonts w:hint="eastAsia" w:ascii="仿宋" w:hAnsi="仿宋" w:eastAsia="仿宋" w:cs="仿宋"/>
          <w:color w:val="auto"/>
          <w:sz w:val="24"/>
          <w:u w:val="single"/>
        </w:rPr>
        <w:t xml:space="preserve">         </w:t>
      </w:r>
      <w:r>
        <w:rPr>
          <w:rFonts w:hint="eastAsia" w:ascii="仿宋" w:hAnsi="仿宋" w:eastAsia="仿宋" w:cs="仿宋"/>
          <w:color w:val="auto"/>
          <w:sz w:val="24"/>
        </w:rPr>
        <w:t>形式出具的金额为人民币</w:t>
      </w:r>
      <w:r>
        <w:rPr>
          <w:rFonts w:hint="eastAsia" w:ascii="仿宋" w:hAnsi="仿宋" w:eastAsia="仿宋" w:cs="仿宋"/>
          <w:color w:val="auto"/>
          <w:sz w:val="24"/>
          <w:u w:val="single"/>
        </w:rPr>
        <w:t>　　　　</w:t>
      </w:r>
      <w:r>
        <w:rPr>
          <w:rFonts w:hint="eastAsia" w:ascii="仿宋" w:hAnsi="仿宋" w:eastAsia="仿宋" w:cs="仿宋"/>
          <w:color w:val="auto"/>
          <w:sz w:val="24"/>
        </w:rPr>
        <w:t>元的投标保证金。</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据此，签字代表宣布同意如下：</w:t>
      </w:r>
    </w:p>
    <w:p>
      <w:pPr>
        <w:pStyle w:val="17"/>
        <w:tabs>
          <w:tab w:val="left" w:pos="720"/>
          <w:tab w:val="left" w:pos="900"/>
        </w:tabs>
        <w:spacing w:line="240" w:lineRule="atLeast"/>
        <w:ind w:left="769" w:leftChars="257" w:hanging="229"/>
        <w:rPr>
          <w:rFonts w:ascii="仿宋" w:hAnsi="仿宋" w:eastAsia="仿宋" w:cs="仿宋"/>
          <w:color w:val="auto"/>
          <w:sz w:val="24"/>
          <w:u w:val="single"/>
        </w:rPr>
      </w:pPr>
      <w:r>
        <w:rPr>
          <w:rFonts w:hint="eastAsia" w:ascii="仿宋" w:hAnsi="仿宋" w:eastAsia="仿宋" w:cs="仿宋"/>
          <w:color w:val="auto"/>
          <w:sz w:val="24"/>
        </w:rPr>
        <w:t>（1）附投标价格表中规定的应提供服务的投标总价详见开标一览表，</w:t>
      </w:r>
      <w:r>
        <w:rPr>
          <w:rFonts w:hint="eastAsia" w:ascii="仿宋" w:hAnsi="仿宋" w:eastAsia="仿宋" w:cs="仿宋"/>
          <w:color w:val="auto"/>
          <w:sz w:val="24"/>
          <w:u w:val="single"/>
        </w:rPr>
        <w:t>其中由小型和</w:t>
      </w:r>
      <w:r>
        <w:rPr>
          <w:rFonts w:hint="eastAsia" w:ascii="仿宋" w:hAnsi="仿宋" w:eastAsia="仿宋" w:cs="仿宋"/>
          <w:color w:val="auto"/>
          <w:sz w:val="24"/>
        </w:rPr>
        <w:t>微型企业制造产品的价格为</w:t>
      </w:r>
      <w:r>
        <w:rPr>
          <w:rFonts w:hint="eastAsia" w:ascii="仿宋" w:hAnsi="仿宋" w:eastAsia="仿宋" w:cs="仿宋"/>
          <w:color w:val="auto"/>
          <w:sz w:val="24"/>
          <w:u w:val="single"/>
        </w:rPr>
        <w:t>　　  （用文字和数字表示），占投标总价   %</w:t>
      </w:r>
      <w:r>
        <w:rPr>
          <w:rFonts w:hint="eastAsia" w:ascii="仿宋" w:hAnsi="仿宋" w:eastAsia="仿宋" w:cs="仿宋"/>
          <w:color w:val="auto"/>
          <w:sz w:val="24"/>
        </w:rPr>
        <w:t>。</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（2）本投标有效期为自投标截止之日起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（3）联合体中的大中型企业和其他自然人、法人或者非法人组织，与联合体中的小型、微型企业之间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存在、不存在）投资关系（如果联合体的话）。</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（4）已详细审查全部采购文件，包括所有补充通知（如果有的话），完全理解并同意放弃对这方面有不明、误解和质疑的权力。</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（5）在规定的开标时间后，遵守采购文件中有关保证金的规定。</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（6）根据供应商须知第1条规定，我方不是为本项目提供整体设计、规范编制或者项目管理、监理、检测等服务的供应商，我方不是采购代理机构的附属机构。</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（7）在领取中标通知书的同时按采购文件规定的形式，向贵方一次性支付中标服务费。</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（8）按照贵方可能要求，提供与其投标有关的一切数据或资料，完全理解贵方不一定接受最低价的投标或收到的任何投标。</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（9）按照采购文件的规定履行合同责任和义务。</w:t>
      </w:r>
    </w:p>
    <w:p>
      <w:pPr>
        <w:pStyle w:val="17"/>
        <w:tabs>
          <w:tab w:val="left" w:pos="5580"/>
        </w:tabs>
        <w:spacing w:line="240" w:lineRule="atLeast"/>
        <w:ind w:left="359" w:leftChars="68" w:hanging="216" w:hangingChars="90"/>
        <w:rPr>
          <w:rFonts w:ascii="仿宋" w:hAnsi="仿宋" w:eastAsia="仿宋" w:cs="仿宋"/>
          <w:color w:val="auto"/>
          <w:sz w:val="24"/>
        </w:rPr>
      </w:pPr>
      <w:r>
        <w:rPr>
          <w:rFonts w:hint="eastAsia" w:ascii="仿宋" w:hAnsi="仿宋" w:eastAsia="仿宋" w:cs="仿宋"/>
          <w:color w:val="auto"/>
          <w:sz w:val="24"/>
        </w:rPr>
        <w:t xml:space="preserve">  </w:t>
      </w:r>
    </w:p>
    <w:p>
      <w:pPr>
        <w:pStyle w:val="17"/>
        <w:tabs>
          <w:tab w:val="left" w:pos="5580"/>
        </w:tabs>
        <w:spacing w:line="240" w:lineRule="atLeast"/>
        <w:ind w:left="359" w:leftChars="68" w:hanging="216" w:hangingChars="90"/>
        <w:rPr>
          <w:rFonts w:ascii="仿宋" w:hAnsi="仿宋" w:eastAsia="仿宋" w:cs="仿宋"/>
          <w:color w:val="auto"/>
          <w:sz w:val="24"/>
        </w:rPr>
      </w:pPr>
      <w:r>
        <w:rPr>
          <w:rFonts w:hint="eastAsia" w:ascii="仿宋" w:hAnsi="仿宋" w:eastAsia="仿宋" w:cs="仿宋"/>
          <w:color w:val="auto"/>
          <w:sz w:val="24"/>
        </w:rPr>
        <w:t>与本投标有关的一切正式往来信函请寄：</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传真：</w:t>
      </w:r>
      <w:r>
        <w:rPr>
          <w:rFonts w:hint="eastAsia" w:ascii="仿宋" w:hAnsi="仿宋" w:eastAsia="仿宋" w:cs="仿宋"/>
          <w:color w:val="auto"/>
          <w:sz w:val="24"/>
          <w:u w:val="single"/>
        </w:rPr>
        <w:t xml:space="preserve">                             </w:t>
      </w:r>
    </w:p>
    <w:p>
      <w:pPr>
        <w:pStyle w:val="17"/>
        <w:tabs>
          <w:tab w:val="left" w:pos="5580"/>
        </w:tabs>
        <w:spacing w:line="240" w:lineRule="atLeast"/>
        <w:ind w:left="1080" w:leftChars="257" w:hanging="540"/>
        <w:rPr>
          <w:rFonts w:ascii="仿宋" w:hAnsi="仿宋" w:eastAsia="仿宋" w:cs="仿宋"/>
          <w:b/>
          <w:color w:val="auto"/>
          <w:sz w:val="24"/>
        </w:rPr>
      </w:pPr>
      <w:r>
        <w:rPr>
          <w:rFonts w:hint="eastAsia" w:ascii="仿宋" w:hAnsi="仿宋" w:eastAsia="仿宋" w:cs="仿宋"/>
          <w:color w:val="auto"/>
          <w:sz w:val="24"/>
        </w:rPr>
        <w:t>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电子函件：</w:t>
      </w:r>
      <w:r>
        <w:rPr>
          <w:rFonts w:hint="eastAsia" w:ascii="仿宋" w:hAnsi="仿宋" w:eastAsia="仿宋" w:cs="仿宋"/>
          <w:color w:val="auto"/>
          <w:sz w:val="24"/>
          <w:u w:val="single"/>
        </w:rPr>
        <w:t xml:space="preserve">                         </w:t>
      </w:r>
    </w:p>
    <w:p>
      <w:pPr>
        <w:pStyle w:val="17"/>
        <w:tabs>
          <w:tab w:val="left" w:pos="5580"/>
        </w:tabs>
        <w:spacing w:line="240" w:lineRule="atLeast"/>
        <w:ind w:left="1080" w:leftChars="257" w:hanging="540"/>
        <w:rPr>
          <w:rFonts w:ascii="仿宋" w:hAnsi="仿宋" w:eastAsia="仿宋" w:cs="仿宋"/>
          <w:color w:val="auto"/>
          <w:sz w:val="24"/>
        </w:rPr>
      </w:pP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供应商名称（全称）：-----------------</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供应商开户银行（全称）：</w:t>
      </w:r>
      <w:r>
        <w:rPr>
          <w:rFonts w:hint="eastAsia" w:ascii="仿宋" w:hAnsi="仿宋" w:eastAsia="仿宋" w:cs="仿宋"/>
          <w:color w:val="auto"/>
          <w:sz w:val="24"/>
          <w:u w:val="single"/>
        </w:rPr>
        <w:t xml:space="preserve">　　　　　　 </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供应商银行帐号：</w:t>
      </w:r>
      <w:r>
        <w:rPr>
          <w:rFonts w:hint="eastAsia" w:ascii="仿宋" w:hAnsi="仿宋" w:eastAsia="仿宋" w:cs="仿宋"/>
          <w:color w:val="auto"/>
          <w:sz w:val="24"/>
          <w:u w:val="single"/>
        </w:rPr>
        <w:t>　　　　　　　　 　　</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供应商单位章：-------------------------</w:t>
      </w:r>
    </w:p>
    <w:p>
      <w:pPr>
        <w:pStyle w:val="17"/>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日期-：------------------------------</w:t>
      </w:r>
    </w:p>
    <w:p>
      <w:pPr>
        <w:pStyle w:val="8"/>
        <w:spacing w:before="0" w:line="240" w:lineRule="atLeast"/>
        <w:ind w:left="1080" w:leftChars="257" w:hanging="540"/>
        <w:rPr>
          <w:rFonts w:ascii="仿宋" w:hAnsi="仿宋" w:eastAsia="仿宋" w:cs="仿宋"/>
          <w:color w:val="auto"/>
          <w:sz w:val="24"/>
        </w:rPr>
      </w:pPr>
      <w:bookmarkStart w:id="231" w:name="_Hlt520356243"/>
      <w:bookmarkEnd w:id="231"/>
      <w:bookmarkStart w:id="232" w:name="_Hlt520355938"/>
      <w:bookmarkEnd w:id="232"/>
      <w:bookmarkStart w:id="233" w:name="_Toc216582815"/>
      <w:r>
        <w:rPr>
          <w:rFonts w:hint="eastAsia" w:ascii="仿宋" w:hAnsi="仿宋" w:eastAsia="仿宋" w:cs="仿宋"/>
          <w:color w:val="auto"/>
          <w:sz w:val="24"/>
        </w:rPr>
        <w:br w:type="page"/>
      </w:r>
      <w:bookmarkStart w:id="234" w:name="_Toc24886"/>
      <w:bookmarkStart w:id="235" w:name="_Toc518923117"/>
      <w:bookmarkStart w:id="236" w:name="_Toc24498"/>
      <w:bookmarkStart w:id="237" w:name="_Toc4188"/>
      <w:r>
        <w:rPr>
          <w:rFonts w:hint="eastAsia" w:ascii="仿宋" w:hAnsi="仿宋" w:eastAsia="仿宋" w:cs="仿宋"/>
          <w:color w:val="auto"/>
          <w:sz w:val="24"/>
        </w:rPr>
        <w:t>2   投标保证金缴纳凭证复印件或投标担保函</w:t>
      </w:r>
      <w:bookmarkEnd w:id="234"/>
      <w:bookmarkEnd w:id="235"/>
      <w:bookmarkEnd w:id="236"/>
      <w:bookmarkEnd w:id="237"/>
    </w:p>
    <w:p>
      <w:pPr>
        <w:ind w:firstLine="480" w:firstLineChars="200"/>
        <w:rPr>
          <w:rFonts w:ascii="仿宋" w:hAnsi="仿宋" w:eastAsia="仿宋" w:cs="仿宋"/>
          <w:color w:val="auto"/>
          <w:sz w:val="24"/>
        </w:rPr>
      </w:pPr>
      <w:bookmarkStart w:id="238" w:name="_Toc494296665"/>
      <w:bookmarkStart w:id="239" w:name="_Toc494296991"/>
      <w:r>
        <w:rPr>
          <w:rFonts w:hint="eastAsia" w:ascii="仿宋" w:hAnsi="仿宋" w:eastAsia="仿宋" w:cs="仿宋"/>
          <w:color w:val="auto"/>
          <w:sz w:val="24"/>
          <w:szCs w:val="20"/>
        </w:rPr>
        <w:t>供应商可将本项目投标保证金支付的汇款凭证、支票、汇票或保证金收据（如有）的复印件作为缴纳凭证放在本部分，复印件上应加盖本单位章；使用银行保函等其他投标担保函的，应将担保函正本，放在本部分中；如采用政府采购信用担保形式的，应使用（投标文件格式三）,将原件装订在本部分中</w:t>
      </w:r>
      <w:r>
        <w:rPr>
          <w:rFonts w:hint="eastAsia" w:ascii="仿宋" w:hAnsi="仿宋" w:eastAsia="仿宋" w:cs="仿宋"/>
          <w:color w:val="auto"/>
        </w:rPr>
        <w:t>。</w:t>
      </w:r>
      <w:bookmarkEnd w:id="238"/>
      <w:bookmarkEnd w:id="239"/>
    </w:p>
    <w:p>
      <w:pPr>
        <w:jc w:val="center"/>
        <w:rPr>
          <w:rFonts w:ascii="仿宋" w:hAnsi="仿宋" w:eastAsia="仿宋" w:cs="仿宋"/>
          <w:b/>
          <w:bCs/>
          <w:color w:val="auto"/>
          <w:sz w:val="24"/>
        </w:rPr>
      </w:pPr>
      <w:r>
        <w:rPr>
          <w:rFonts w:hint="eastAsia" w:ascii="仿宋" w:hAnsi="仿宋" w:eastAsia="仿宋" w:cs="仿宋"/>
          <w:b/>
          <w:bCs/>
          <w:color w:val="auto"/>
          <w:sz w:val="24"/>
        </w:rPr>
        <w:t>政府采购投标担保函 （项目用）（投标文件格式</w:t>
      </w:r>
      <w:r>
        <w:rPr>
          <w:rFonts w:hint="eastAsia" w:ascii="仿宋" w:hAnsi="仿宋" w:eastAsia="仿宋" w:cs="仿宋"/>
          <w:b/>
          <w:bCs/>
          <w:color w:val="auto"/>
          <w:sz w:val="24"/>
          <w:lang w:val="en-US" w:eastAsia="zh-CN"/>
        </w:rPr>
        <w:t>二</w:t>
      </w:r>
      <w:r>
        <w:rPr>
          <w:rFonts w:hint="eastAsia" w:ascii="仿宋" w:hAnsi="仿宋" w:eastAsia="仿宋" w:cs="仿宋"/>
          <w:b/>
          <w:bCs/>
          <w:color w:val="auto"/>
          <w:sz w:val="24"/>
        </w:rPr>
        <w:t>）</w:t>
      </w:r>
    </w:p>
    <w:p>
      <w:pPr>
        <w:jc w:val="center"/>
        <w:rPr>
          <w:rFonts w:ascii="仿宋" w:hAnsi="仿宋" w:eastAsia="仿宋" w:cs="仿宋"/>
          <w:color w:val="auto"/>
          <w:sz w:val="24"/>
          <w:szCs w:val="20"/>
        </w:rPr>
      </w:pPr>
      <w:r>
        <w:rPr>
          <w:rFonts w:hint="eastAsia" w:ascii="仿宋" w:hAnsi="仿宋" w:eastAsia="仿宋" w:cs="仿宋"/>
          <w:b/>
          <w:bCs/>
          <w:color w:val="auto"/>
          <w:sz w:val="24"/>
        </w:rPr>
        <w:t xml:space="preserve">                                                     </w:t>
      </w:r>
      <w:r>
        <w:rPr>
          <w:rFonts w:hint="eastAsia" w:ascii="仿宋" w:hAnsi="仿宋" w:eastAsia="仿宋" w:cs="仿宋"/>
          <w:color w:val="auto"/>
          <w:sz w:val="24"/>
          <w:szCs w:val="20"/>
        </w:rPr>
        <w:t>编号：</w:t>
      </w:r>
    </w:p>
    <w:p>
      <w:pPr>
        <w:rPr>
          <w:rFonts w:ascii="仿宋" w:hAnsi="仿宋" w:eastAsia="仿宋" w:cs="仿宋"/>
          <w:color w:val="auto"/>
        </w:rPr>
      </w:pPr>
      <w:r>
        <w:rPr>
          <w:rFonts w:hint="eastAsia" w:ascii="仿宋" w:hAnsi="仿宋" w:eastAsia="仿宋" w:cs="仿宋"/>
          <w:color w:val="auto"/>
          <w:sz w:val="24"/>
          <w:szCs w:val="20"/>
          <w:u w:val="single"/>
        </w:rPr>
        <w:t xml:space="preserve">                  </w:t>
      </w:r>
      <w:r>
        <w:rPr>
          <w:rFonts w:hint="eastAsia" w:ascii="仿宋" w:hAnsi="仿宋" w:eastAsia="仿宋" w:cs="仿宋"/>
          <w:color w:val="auto"/>
          <w:sz w:val="24"/>
          <w:szCs w:val="20"/>
        </w:rPr>
        <w:t>（采购人或采购代理机构）</w:t>
      </w:r>
      <w:r>
        <w:rPr>
          <w:rFonts w:hint="eastAsia" w:ascii="仿宋" w:hAnsi="仿宋" w:eastAsia="仿宋" w:cs="仿宋"/>
          <w:color w:val="auto"/>
        </w:rPr>
        <w:t>：</w:t>
      </w:r>
    </w:p>
    <w:p>
      <w:pPr>
        <w:ind w:firstLine="480" w:firstLineChars="200"/>
        <w:rPr>
          <w:rFonts w:ascii="仿宋" w:hAnsi="仿宋" w:eastAsia="仿宋" w:cs="仿宋"/>
          <w:color w:val="auto"/>
          <w:sz w:val="24"/>
        </w:rPr>
      </w:pPr>
      <w:r>
        <w:rPr>
          <w:rFonts w:hint="eastAsia" w:ascii="仿宋" w:hAnsi="仿宋" w:eastAsia="仿宋" w:cs="仿宋"/>
          <w:color w:val="auto"/>
          <w:sz w:val="24"/>
        </w:rPr>
        <w:t>鉴于</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（以下简称“供应商”）拟参加编号为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的</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rPr>
          <w:rFonts w:ascii="仿宋" w:hAnsi="仿宋" w:eastAsia="仿宋" w:cs="仿宋"/>
          <w:color w:val="auto"/>
          <w:sz w:val="24"/>
        </w:rPr>
      </w:pPr>
      <w:r>
        <w:rPr>
          <w:rFonts w:hint="eastAsia" w:ascii="仿宋" w:hAnsi="仿宋" w:eastAsia="仿宋" w:cs="仿宋"/>
          <w:color w:val="auto"/>
          <w:sz w:val="24"/>
        </w:rPr>
        <w:t>项目（以下简称“本项目”）投标，根据本项目采购文件，供应商参加投标时应向你方交纳投标保证金，且可以投标担保函的形式交纳投标保证金。应供应商的申请，我方以保证的方式向你方提供如下投标保证金担保：</w:t>
      </w:r>
    </w:p>
    <w:p>
      <w:pPr>
        <w:ind w:firstLine="480" w:firstLineChars="200"/>
        <w:rPr>
          <w:rFonts w:ascii="仿宋" w:hAnsi="仿宋" w:eastAsia="仿宋" w:cs="仿宋"/>
          <w:color w:val="auto"/>
          <w:sz w:val="24"/>
        </w:rPr>
      </w:pPr>
      <w:r>
        <w:rPr>
          <w:rFonts w:hint="eastAsia" w:ascii="仿宋" w:hAnsi="仿宋" w:eastAsia="仿宋" w:cs="仿宋"/>
          <w:color w:val="auto"/>
          <w:sz w:val="24"/>
        </w:rPr>
        <w:t>一、保证责任的情形及保证金额</w:t>
      </w:r>
    </w:p>
    <w:p>
      <w:pPr>
        <w:ind w:firstLine="240" w:firstLineChars="100"/>
        <w:rPr>
          <w:rFonts w:ascii="仿宋" w:hAnsi="仿宋" w:eastAsia="仿宋" w:cs="仿宋"/>
          <w:color w:val="auto"/>
          <w:sz w:val="24"/>
        </w:rPr>
      </w:pPr>
      <w:r>
        <w:rPr>
          <w:rFonts w:hint="eastAsia" w:ascii="仿宋" w:hAnsi="仿宋" w:eastAsia="仿宋" w:cs="仿宋"/>
          <w:color w:val="auto"/>
          <w:sz w:val="24"/>
        </w:rPr>
        <w:t>（一）在供应商出现下列情形之一时，我方承担保证责任：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1．中标后供应商无正当理由不与采购人或者采购代理机构签订《政府采购合同》；</w:t>
      </w:r>
    </w:p>
    <w:p>
      <w:pPr>
        <w:ind w:firstLine="480" w:firstLineChars="200"/>
        <w:rPr>
          <w:rFonts w:ascii="仿宋" w:hAnsi="仿宋" w:eastAsia="仿宋" w:cs="仿宋"/>
          <w:color w:val="auto"/>
          <w:sz w:val="24"/>
        </w:rPr>
      </w:pPr>
      <w:r>
        <w:rPr>
          <w:rFonts w:hint="eastAsia" w:ascii="仿宋" w:hAnsi="仿宋" w:eastAsia="仿宋" w:cs="仿宋"/>
          <w:color w:val="auto"/>
          <w:sz w:val="24"/>
        </w:rPr>
        <w:t>2．采购文件规定的供应商应当缴纳保证金的其他情形。</w:t>
      </w:r>
    </w:p>
    <w:p>
      <w:pPr>
        <w:ind w:firstLine="240" w:firstLineChars="100"/>
        <w:rPr>
          <w:rFonts w:ascii="仿宋" w:hAnsi="仿宋" w:eastAsia="仿宋" w:cs="仿宋"/>
          <w:color w:val="auto"/>
          <w:sz w:val="24"/>
        </w:rPr>
      </w:pPr>
      <w:r>
        <w:rPr>
          <w:rFonts w:hint="eastAsia" w:ascii="仿宋" w:hAnsi="仿宋" w:eastAsia="仿宋" w:cs="仿宋"/>
          <w:color w:val="auto"/>
          <w:sz w:val="24"/>
        </w:rPr>
        <w:t>（二）我方承担保证责任的最高金额为人民币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），即本项目的投标保证金金额。</w:t>
      </w:r>
    </w:p>
    <w:p>
      <w:pPr>
        <w:ind w:firstLine="480" w:firstLineChars="200"/>
        <w:rPr>
          <w:rFonts w:ascii="仿宋" w:hAnsi="仿宋" w:eastAsia="仿宋" w:cs="仿宋"/>
          <w:color w:val="auto"/>
          <w:sz w:val="24"/>
        </w:rPr>
      </w:pPr>
      <w:r>
        <w:rPr>
          <w:rFonts w:hint="eastAsia" w:ascii="仿宋" w:hAnsi="仿宋" w:eastAsia="仿宋" w:cs="仿宋"/>
          <w:color w:val="auto"/>
          <w:sz w:val="24"/>
        </w:rPr>
        <w:t>二、保证的方式及保证期间</w:t>
      </w:r>
    </w:p>
    <w:p>
      <w:pPr>
        <w:ind w:firstLine="480" w:firstLineChars="200"/>
        <w:rPr>
          <w:rFonts w:ascii="仿宋" w:hAnsi="仿宋" w:eastAsia="仿宋" w:cs="仿宋"/>
          <w:color w:val="auto"/>
          <w:sz w:val="24"/>
        </w:rPr>
      </w:pPr>
      <w:r>
        <w:rPr>
          <w:rFonts w:hint="eastAsia" w:ascii="仿宋" w:hAnsi="仿宋" w:eastAsia="仿宋" w:cs="仿宋"/>
          <w:color w:val="auto"/>
          <w:sz w:val="24"/>
        </w:rPr>
        <w:t>我方保证的方式为：连带责任保证。</w:t>
      </w:r>
    </w:p>
    <w:p>
      <w:pPr>
        <w:ind w:firstLine="480" w:firstLineChars="200"/>
        <w:rPr>
          <w:rFonts w:ascii="仿宋" w:hAnsi="仿宋" w:eastAsia="仿宋" w:cs="仿宋"/>
          <w:color w:val="auto"/>
          <w:sz w:val="24"/>
        </w:rPr>
      </w:pPr>
      <w:r>
        <w:rPr>
          <w:rFonts w:hint="eastAsia" w:ascii="仿宋" w:hAnsi="仿宋" w:eastAsia="仿宋" w:cs="仿宋"/>
          <w:color w:val="auto"/>
          <w:sz w:val="24"/>
        </w:rPr>
        <w:t>我方的保证期间为：自本保函生效之日起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个月止。</w:t>
      </w:r>
    </w:p>
    <w:p>
      <w:pPr>
        <w:ind w:firstLine="480" w:firstLineChars="200"/>
        <w:rPr>
          <w:rFonts w:ascii="仿宋" w:hAnsi="仿宋" w:eastAsia="仿宋" w:cs="仿宋"/>
          <w:color w:val="auto"/>
          <w:sz w:val="24"/>
        </w:rPr>
      </w:pPr>
      <w:r>
        <w:rPr>
          <w:rFonts w:hint="eastAsia" w:ascii="仿宋" w:hAnsi="仿宋" w:eastAsia="仿宋" w:cs="仿宋"/>
          <w:color w:val="auto"/>
          <w:sz w:val="24"/>
        </w:rPr>
        <w:t>三、承担保证责任的程序</w:t>
      </w:r>
    </w:p>
    <w:p>
      <w:pPr>
        <w:ind w:firstLine="480" w:firstLineChars="200"/>
        <w:rPr>
          <w:rFonts w:ascii="仿宋" w:hAnsi="仿宋" w:eastAsia="仿宋" w:cs="仿宋"/>
          <w:color w:val="auto"/>
          <w:sz w:val="24"/>
        </w:rPr>
      </w:pPr>
      <w:r>
        <w:rPr>
          <w:rFonts w:hint="eastAsia" w:ascii="仿宋" w:hAnsi="仿宋" w:eastAsia="仿宋" w:cs="仿宋"/>
          <w:color w:val="auto"/>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ind w:firstLine="480" w:firstLineChars="200"/>
        <w:rPr>
          <w:rFonts w:ascii="仿宋" w:hAnsi="仿宋" w:eastAsia="仿宋" w:cs="仿宋"/>
          <w:color w:val="auto"/>
          <w:sz w:val="24"/>
        </w:rPr>
      </w:pPr>
      <w:r>
        <w:rPr>
          <w:rFonts w:hint="eastAsia" w:ascii="仿宋" w:hAnsi="仿宋" w:eastAsia="仿宋" w:cs="仿宋"/>
          <w:color w:val="auto"/>
          <w:sz w:val="24"/>
        </w:rPr>
        <w:t>2．我方在收到索赔通知及相关证明材料后，在</w:t>
      </w:r>
      <w:r>
        <w:rPr>
          <w:rFonts w:hint="eastAsia" w:ascii="仿宋" w:hAnsi="仿宋" w:eastAsia="仿宋" w:cs="仿宋"/>
          <w:color w:val="auto"/>
          <w:sz w:val="24"/>
          <w:u w:val="single"/>
        </w:rPr>
        <w:t>　　　</w:t>
      </w:r>
      <w:r>
        <w:rPr>
          <w:rFonts w:hint="eastAsia" w:ascii="仿宋" w:hAnsi="仿宋" w:eastAsia="仿宋" w:cs="仿宋"/>
          <w:color w:val="auto"/>
          <w:sz w:val="24"/>
        </w:rPr>
        <w:t>个工作日内进行审查，符合应承担保证责任情形的，我方应按照你方的要求代供应商向你方支付投标保证金。</w:t>
      </w:r>
    </w:p>
    <w:p>
      <w:pPr>
        <w:ind w:firstLine="480" w:firstLineChars="200"/>
        <w:rPr>
          <w:rFonts w:ascii="仿宋" w:hAnsi="仿宋" w:eastAsia="仿宋" w:cs="仿宋"/>
          <w:color w:val="auto"/>
          <w:sz w:val="24"/>
        </w:rPr>
      </w:pPr>
      <w:r>
        <w:rPr>
          <w:rFonts w:hint="eastAsia" w:ascii="仿宋" w:hAnsi="仿宋" w:eastAsia="仿宋" w:cs="仿宋"/>
          <w:color w:val="auto"/>
          <w:sz w:val="24"/>
        </w:rPr>
        <w:t>四、保证责任的终止</w:t>
      </w:r>
    </w:p>
    <w:p>
      <w:pPr>
        <w:ind w:firstLine="480" w:firstLineChars="200"/>
        <w:rPr>
          <w:rFonts w:ascii="仿宋" w:hAnsi="仿宋" w:eastAsia="仿宋" w:cs="仿宋"/>
          <w:color w:val="auto"/>
          <w:sz w:val="24"/>
        </w:rPr>
      </w:pPr>
      <w:r>
        <w:rPr>
          <w:rFonts w:hint="eastAsia" w:ascii="仿宋" w:hAnsi="仿宋" w:eastAsia="仿宋" w:cs="仿宋"/>
          <w:color w:val="auto"/>
          <w:sz w:val="24"/>
        </w:rPr>
        <w:t>1．保证期间届满你方未向我方书面主张保证责任的，自保证期间届满次日起，我方保证责任自动终止。</w:t>
      </w:r>
    </w:p>
    <w:p>
      <w:pPr>
        <w:ind w:firstLine="480" w:firstLineChars="200"/>
        <w:rPr>
          <w:rFonts w:ascii="仿宋" w:hAnsi="仿宋" w:eastAsia="仿宋" w:cs="仿宋"/>
          <w:color w:val="auto"/>
          <w:sz w:val="24"/>
        </w:rPr>
      </w:pPr>
      <w:r>
        <w:rPr>
          <w:rFonts w:hint="eastAsia" w:ascii="仿宋" w:hAnsi="仿宋" w:eastAsia="仿宋" w:cs="仿宋"/>
          <w:color w:val="auto"/>
          <w:sz w:val="24"/>
        </w:rPr>
        <w:t>2．我方按照本保函向你贵方履行了保证责任后，自我方向你贵方支付款项（支付款项从我方账户划出）之日起，保证责任终止。</w:t>
      </w:r>
    </w:p>
    <w:p>
      <w:pPr>
        <w:ind w:firstLine="480" w:firstLineChars="200"/>
        <w:rPr>
          <w:rFonts w:ascii="仿宋" w:hAnsi="仿宋" w:eastAsia="仿宋" w:cs="仿宋"/>
          <w:color w:val="auto"/>
          <w:sz w:val="24"/>
        </w:rPr>
      </w:pPr>
      <w:r>
        <w:rPr>
          <w:rFonts w:hint="eastAsia" w:ascii="仿宋" w:hAnsi="仿宋" w:eastAsia="仿宋" w:cs="仿宋"/>
          <w:color w:val="auto"/>
          <w:sz w:val="24"/>
        </w:rPr>
        <w:t>3．按照法律法规的规定或出现我方保证责任终止的其它情形的，我方在本保函项下的保证责任亦终止。</w:t>
      </w:r>
    </w:p>
    <w:p>
      <w:pPr>
        <w:ind w:firstLine="480" w:firstLineChars="200"/>
        <w:rPr>
          <w:rFonts w:ascii="仿宋" w:hAnsi="仿宋" w:eastAsia="仿宋" w:cs="仿宋"/>
          <w:color w:val="auto"/>
          <w:sz w:val="24"/>
        </w:rPr>
      </w:pPr>
      <w:r>
        <w:rPr>
          <w:rFonts w:hint="eastAsia" w:ascii="仿宋" w:hAnsi="仿宋" w:eastAsia="仿宋" w:cs="仿宋"/>
          <w:color w:val="auto"/>
          <w:sz w:val="24"/>
        </w:rPr>
        <w:t>五、免责条款</w:t>
      </w:r>
    </w:p>
    <w:p>
      <w:pPr>
        <w:ind w:firstLine="480" w:firstLineChars="200"/>
        <w:rPr>
          <w:rFonts w:ascii="仿宋" w:hAnsi="仿宋" w:eastAsia="仿宋" w:cs="仿宋"/>
          <w:color w:val="auto"/>
          <w:sz w:val="24"/>
        </w:rPr>
      </w:pPr>
      <w:r>
        <w:rPr>
          <w:rFonts w:hint="eastAsia" w:ascii="仿宋" w:hAnsi="仿宋" w:eastAsia="仿宋" w:cs="仿宋"/>
          <w:color w:val="auto"/>
          <w:sz w:val="24"/>
        </w:rPr>
        <w:t>1．依照法律规定或你方与供应商的另行约定，全部或者部分免除供应商投标保证金义务时，我方亦免除相应的保证责任。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2．因你方原因致使供应商发生本保函第一条第（一）款约定情形的，我方不承担保证责任。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3．因不可抗力造成供应商发生本保函第一条约定情形的，我方不承担保证责任。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4．你方或其他有权机关对采购文件进行任何澄清或修改，加重我方保证责任的，我方对加重部分不承担保证责任，但该澄清或修改经我方事先书面同意的除外。</w:t>
      </w:r>
    </w:p>
    <w:p>
      <w:pPr>
        <w:ind w:firstLine="480" w:firstLineChars="200"/>
        <w:rPr>
          <w:rFonts w:ascii="仿宋" w:hAnsi="仿宋" w:eastAsia="仿宋" w:cs="仿宋"/>
          <w:color w:val="auto"/>
          <w:sz w:val="24"/>
        </w:rPr>
      </w:pPr>
      <w:r>
        <w:rPr>
          <w:rFonts w:hint="eastAsia" w:ascii="仿宋" w:hAnsi="仿宋" w:eastAsia="仿宋" w:cs="仿宋"/>
          <w:color w:val="auto"/>
          <w:sz w:val="24"/>
        </w:rPr>
        <w:t>六、争议的解决</w:t>
      </w:r>
    </w:p>
    <w:p>
      <w:pPr>
        <w:ind w:firstLine="480" w:firstLineChars="200"/>
        <w:rPr>
          <w:rFonts w:ascii="仿宋" w:hAnsi="仿宋" w:eastAsia="仿宋" w:cs="仿宋"/>
          <w:color w:val="auto"/>
          <w:sz w:val="24"/>
        </w:rPr>
      </w:pPr>
      <w:r>
        <w:rPr>
          <w:rFonts w:hint="eastAsia" w:ascii="仿宋" w:hAnsi="仿宋" w:eastAsia="仿宋" w:cs="仿宋"/>
          <w:color w:val="auto"/>
          <w:sz w:val="24"/>
        </w:rPr>
        <w:t>因本保函发生的纠纷，由你我双方协商解决，协商不成的，通过诉讼程序解决，诉讼管辖地法院为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法院。</w:t>
      </w:r>
    </w:p>
    <w:p>
      <w:pPr>
        <w:ind w:firstLine="480" w:firstLineChars="200"/>
        <w:rPr>
          <w:rFonts w:ascii="仿宋" w:hAnsi="仿宋" w:eastAsia="仿宋" w:cs="仿宋"/>
          <w:color w:val="auto"/>
          <w:sz w:val="24"/>
        </w:rPr>
      </w:pPr>
      <w:r>
        <w:rPr>
          <w:rFonts w:hint="eastAsia" w:ascii="仿宋" w:hAnsi="仿宋" w:eastAsia="仿宋" w:cs="仿宋"/>
          <w:color w:val="auto"/>
          <w:sz w:val="24"/>
        </w:rPr>
        <w:t>七、保函的生效</w:t>
      </w:r>
    </w:p>
    <w:p>
      <w:pPr>
        <w:ind w:firstLine="480" w:firstLineChars="200"/>
        <w:rPr>
          <w:rFonts w:ascii="仿宋" w:hAnsi="仿宋" w:eastAsia="仿宋" w:cs="仿宋"/>
          <w:color w:val="auto"/>
          <w:sz w:val="24"/>
        </w:rPr>
      </w:pPr>
      <w:r>
        <w:rPr>
          <w:rFonts w:hint="eastAsia" w:ascii="仿宋" w:hAnsi="仿宋" w:eastAsia="仿宋" w:cs="仿宋"/>
          <w:color w:val="auto"/>
          <w:sz w:val="24"/>
        </w:rPr>
        <w:t>本保函自我方加盖公章之日起生效。</w:t>
      </w:r>
    </w:p>
    <w:p>
      <w:pPr>
        <w:ind w:firstLine="6360" w:firstLineChars="2650"/>
        <w:rPr>
          <w:rFonts w:ascii="仿宋" w:hAnsi="仿宋" w:eastAsia="仿宋" w:cs="仿宋"/>
          <w:color w:val="auto"/>
          <w:sz w:val="24"/>
        </w:rPr>
      </w:pPr>
      <w:r>
        <w:rPr>
          <w:rFonts w:hint="eastAsia" w:ascii="仿宋" w:hAnsi="仿宋" w:eastAsia="仿宋" w:cs="仿宋"/>
          <w:color w:val="auto"/>
          <w:sz w:val="24"/>
        </w:rPr>
        <w:t>保证人：（公章）</w:t>
      </w:r>
    </w:p>
    <w:p>
      <w:pPr>
        <w:rPr>
          <w:rFonts w:ascii="仿宋" w:hAnsi="仿宋" w:eastAsia="仿宋" w:cs="仿宋"/>
          <w:color w:val="auto"/>
          <w:sz w:val="24"/>
        </w:rPr>
      </w:pPr>
      <w:r>
        <w:rPr>
          <w:rFonts w:hint="eastAsia" w:ascii="仿宋" w:hAnsi="仿宋" w:eastAsia="仿宋" w:cs="仿宋"/>
          <w:color w:val="auto"/>
          <w:sz w:val="24"/>
        </w:rPr>
        <w:t xml:space="preserve">                               </w:t>
      </w:r>
    </w:p>
    <w:p>
      <w:pPr>
        <w:ind w:firstLine="6240" w:firstLineChars="2600"/>
        <w:rPr>
          <w:rFonts w:ascii="仿宋" w:hAnsi="仿宋" w:eastAsia="仿宋" w:cs="仿宋"/>
          <w:color w:val="auto"/>
          <w:sz w:val="24"/>
        </w:rPr>
      </w:pPr>
      <w:r>
        <w:rPr>
          <w:rFonts w:hint="eastAsia" w:ascii="仿宋" w:hAnsi="仿宋" w:eastAsia="仿宋" w:cs="仿宋"/>
          <w:color w:val="auto"/>
          <w:sz w:val="24"/>
        </w:rPr>
        <w:t>年     月      日</w:t>
      </w:r>
    </w:p>
    <w:p>
      <w:pPr>
        <w:rPr>
          <w:rFonts w:ascii="仿宋" w:hAnsi="仿宋" w:eastAsia="仿宋" w:cs="仿宋"/>
          <w:color w:val="auto"/>
          <w:sz w:val="24"/>
        </w:rPr>
      </w:pPr>
      <w:r>
        <w:rPr>
          <w:rFonts w:hint="eastAsia" w:ascii="仿宋" w:hAnsi="仿宋" w:eastAsia="仿宋" w:cs="仿宋"/>
          <w:color w:val="auto"/>
          <w:sz w:val="24"/>
        </w:rPr>
        <w:br w:type="page"/>
      </w:r>
    </w:p>
    <w:bookmarkEnd w:id="233"/>
    <w:p>
      <w:pPr>
        <w:pStyle w:val="17"/>
        <w:tabs>
          <w:tab w:val="left" w:pos="5370"/>
        </w:tabs>
        <w:spacing w:line="240" w:lineRule="atLeast"/>
        <w:ind w:left="1080" w:leftChars="257" w:hanging="540"/>
        <w:rPr>
          <w:rFonts w:ascii="仿宋" w:hAnsi="仿宋" w:eastAsia="仿宋" w:cs="仿宋"/>
          <w:color w:val="auto"/>
          <w:sz w:val="24"/>
        </w:rPr>
      </w:pPr>
    </w:p>
    <w:p>
      <w:pPr>
        <w:pStyle w:val="8"/>
        <w:spacing w:before="0" w:line="240" w:lineRule="atLeast"/>
        <w:ind w:left="1080" w:leftChars="257" w:hanging="540"/>
        <w:rPr>
          <w:rFonts w:ascii="仿宋" w:hAnsi="仿宋" w:eastAsia="仿宋" w:cs="仿宋"/>
          <w:color w:val="auto"/>
          <w:sz w:val="24"/>
        </w:rPr>
      </w:pPr>
      <w:bookmarkStart w:id="240" w:name="_Toc4709"/>
      <w:bookmarkStart w:id="241" w:name="_Toc32366"/>
      <w:r>
        <w:rPr>
          <w:rFonts w:hint="eastAsia" w:ascii="仿宋" w:hAnsi="仿宋" w:eastAsia="仿宋" w:cs="仿宋"/>
          <w:color w:val="auto"/>
          <w:sz w:val="24"/>
        </w:rPr>
        <w:t>3   技术规格偏离表（投标文件格式</w:t>
      </w:r>
      <w:r>
        <w:rPr>
          <w:rFonts w:hint="eastAsia" w:ascii="仿宋" w:hAnsi="仿宋" w:eastAsia="仿宋" w:cs="仿宋"/>
          <w:color w:val="auto"/>
          <w:sz w:val="24"/>
          <w:lang w:val="en-US" w:eastAsia="zh-CN"/>
        </w:rPr>
        <w:t>三</w:t>
      </w:r>
      <w:r>
        <w:rPr>
          <w:rFonts w:hint="eastAsia" w:ascii="仿宋" w:hAnsi="仿宋" w:eastAsia="仿宋" w:cs="仿宋"/>
          <w:color w:val="auto"/>
          <w:sz w:val="24"/>
        </w:rPr>
        <w:t>）</w:t>
      </w:r>
      <w:bookmarkEnd w:id="240"/>
      <w:bookmarkEnd w:id="241"/>
    </w:p>
    <w:p>
      <w:pPr>
        <w:pStyle w:val="17"/>
        <w:spacing w:line="240" w:lineRule="atLeast"/>
        <w:ind w:left="1080" w:leftChars="257" w:hanging="540"/>
        <w:rPr>
          <w:rFonts w:ascii="仿宋" w:hAnsi="仿宋" w:eastAsia="仿宋" w:cs="仿宋"/>
          <w:color w:val="auto"/>
          <w:sz w:val="24"/>
        </w:rPr>
      </w:pPr>
    </w:p>
    <w:p>
      <w:pPr>
        <w:pStyle w:val="17"/>
        <w:spacing w:line="240" w:lineRule="atLeast"/>
        <w:rPr>
          <w:rFonts w:ascii="仿宋" w:hAnsi="仿宋" w:eastAsia="仿宋" w:cs="仿宋"/>
          <w:color w:val="auto"/>
          <w:sz w:val="24"/>
        </w:rPr>
      </w:pPr>
      <w:r>
        <w:rPr>
          <w:rFonts w:hint="eastAsia" w:ascii="仿宋" w:hAnsi="仿宋" w:eastAsia="仿宋" w:cs="仿宋"/>
          <w:color w:val="auto"/>
          <w:sz w:val="24"/>
        </w:rPr>
        <w:t xml:space="preserve">项目名称:                       招标编号:           包号：          </w:t>
      </w:r>
    </w:p>
    <w:p>
      <w:pPr>
        <w:pStyle w:val="17"/>
        <w:spacing w:line="240" w:lineRule="atLeast"/>
        <w:ind w:left="1080" w:leftChars="257" w:hanging="540"/>
        <w:rPr>
          <w:rFonts w:ascii="仿宋" w:hAnsi="仿宋" w:eastAsia="仿宋" w:cs="仿宋"/>
          <w:color w:val="auto"/>
          <w:sz w:val="24"/>
        </w:rPr>
      </w:pPr>
    </w:p>
    <w:tbl>
      <w:tblPr>
        <w:tblStyle w:val="3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7"/>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1260" w:type="dxa"/>
            <w:vAlign w:val="center"/>
          </w:tcPr>
          <w:p>
            <w:pPr>
              <w:pStyle w:val="17"/>
              <w:spacing w:line="240" w:lineRule="atLeast"/>
              <w:jc w:val="center"/>
              <w:rPr>
                <w:rFonts w:ascii="仿宋" w:hAnsi="仿宋" w:eastAsia="仿宋" w:cs="仿宋"/>
                <w:color w:val="auto"/>
                <w:sz w:val="24"/>
              </w:rPr>
            </w:pPr>
            <w:r>
              <w:rPr>
                <w:rFonts w:hint="eastAsia" w:ascii="仿宋" w:hAnsi="仿宋" w:eastAsia="仿宋" w:cs="仿宋"/>
                <w:color w:val="auto"/>
                <w:sz w:val="24"/>
              </w:rPr>
              <w:t>货物名称</w:t>
            </w:r>
          </w:p>
        </w:tc>
        <w:tc>
          <w:tcPr>
            <w:tcW w:w="2340" w:type="dxa"/>
            <w:vAlign w:val="center"/>
          </w:tcPr>
          <w:p>
            <w:pPr>
              <w:pStyle w:val="17"/>
              <w:spacing w:line="240" w:lineRule="atLeast"/>
              <w:ind w:left="269" w:leftChars="128"/>
              <w:jc w:val="center"/>
              <w:rPr>
                <w:rFonts w:ascii="仿宋" w:hAnsi="仿宋" w:eastAsia="仿宋" w:cs="仿宋"/>
                <w:color w:val="auto"/>
                <w:sz w:val="24"/>
              </w:rPr>
            </w:pPr>
            <w:r>
              <w:rPr>
                <w:rFonts w:hint="eastAsia" w:ascii="仿宋" w:hAnsi="仿宋" w:eastAsia="仿宋" w:cs="仿宋"/>
                <w:color w:val="auto"/>
                <w:sz w:val="24"/>
              </w:rPr>
              <w:t>采购文件条款号</w:t>
            </w:r>
          </w:p>
        </w:tc>
        <w:tc>
          <w:tcPr>
            <w:tcW w:w="1260" w:type="dxa"/>
            <w:vAlign w:val="center"/>
          </w:tcPr>
          <w:p>
            <w:pPr>
              <w:pStyle w:val="17"/>
              <w:spacing w:line="240" w:lineRule="atLeast"/>
              <w:jc w:val="center"/>
              <w:rPr>
                <w:rFonts w:ascii="仿宋" w:hAnsi="仿宋" w:eastAsia="仿宋" w:cs="仿宋"/>
                <w:color w:val="auto"/>
                <w:sz w:val="24"/>
              </w:rPr>
            </w:pPr>
            <w:r>
              <w:rPr>
                <w:rFonts w:hint="eastAsia" w:ascii="仿宋" w:hAnsi="仿宋" w:eastAsia="仿宋" w:cs="仿宋"/>
                <w:color w:val="auto"/>
                <w:sz w:val="24"/>
              </w:rPr>
              <w:t>招标规格</w:t>
            </w:r>
          </w:p>
        </w:tc>
        <w:tc>
          <w:tcPr>
            <w:tcW w:w="1260" w:type="dxa"/>
            <w:vAlign w:val="center"/>
          </w:tcPr>
          <w:p>
            <w:pPr>
              <w:pStyle w:val="17"/>
              <w:spacing w:line="240" w:lineRule="atLeast"/>
              <w:jc w:val="center"/>
              <w:rPr>
                <w:rFonts w:ascii="仿宋" w:hAnsi="仿宋" w:eastAsia="仿宋" w:cs="仿宋"/>
                <w:color w:val="auto"/>
                <w:sz w:val="24"/>
              </w:rPr>
            </w:pPr>
            <w:r>
              <w:rPr>
                <w:rFonts w:hint="eastAsia" w:ascii="仿宋" w:hAnsi="仿宋" w:eastAsia="仿宋" w:cs="仿宋"/>
                <w:color w:val="auto"/>
                <w:sz w:val="24"/>
              </w:rPr>
              <w:t>投标规格</w:t>
            </w:r>
          </w:p>
        </w:tc>
        <w:tc>
          <w:tcPr>
            <w:tcW w:w="900" w:type="dxa"/>
            <w:vAlign w:val="center"/>
          </w:tcPr>
          <w:p>
            <w:pPr>
              <w:pStyle w:val="17"/>
              <w:spacing w:line="240" w:lineRule="atLeast"/>
              <w:jc w:val="center"/>
              <w:rPr>
                <w:rFonts w:ascii="仿宋" w:hAnsi="仿宋" w:eastAsia="仿宋" w:cs="仿宋"/>
                <w:color w:val="auto"/>
                <w:sz w:val="24"/>
              </w:rPr>
            </w:pPr>
            <w:r>
              <w:rPr>
                <w:rFonts w:hint="eastAsia" w:ascii="仿宋" w:hAnsi="仿宋" w:eastAsia="仿宋" w:cs="仿宋"/>
                <w:color w:val="auto"/>
                <w:sz w:val="24"/>
              </w:rPr>
              <w:t>偏离</w:t>
            </w:r>
          </w:p>
        </w:tc>
        <w:tc>
          <w:tcPr>
            <w:tcW w:w="900" w:type="dxa"/>
            <w:vAlign w:val="center"/>
          </w:tcPr>
          <w:p>
            <w:pPr>
              <w:pStyle w:val="17"/>
              <w:spacing w:line="240" w:lineRule="atLeast"/>
              <w:jc w:val="center"/>
              <w:rPr>
                <w:rFonts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234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126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bl>
    <w:p>
      <w:pPr>
        <w:pStyle w:val="17"/>
        <w:spacing w:line="240" w:lineRule="atLeast"/>
        <w:ind w:left="1080" w:leftChars="257" w:hanging="540"/>
        <w:rPr>
          <w:rFonts w:ascii="仿宋" w:hAnsi="仿宋" w:eastAsia="仿宋" w:cs="仿宋"/>
          <w:color w:val="auto"/>
          <w:sz w:val="24"/>
        </w:rPr>
      </w:pPr>
    </w:p>
    <w:p>
      <w:pPr>
        <w:pStyle w:val="17"/>
        <w:spacing w:line="240" w:lineRule="atLeast"/>
        <w:ind w:left="1080" w:leftChars="257" w:hanging="540"/>
        <w:rPr>
          <w:rFonts w:ascii="仿宋" w:hAnsi="仿宋" w:eastAsia="仿宋" w:cs="仿宋"/>
          <w:color w:val="auto"/>
          <w:sz w:val="24"/>
        </w:rPr>
      </w:pPr>
    </w:p>
    <w:p>
      <w:pPr>
        <w:pStyle w:val="17"/>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7"/>
        <w:tabs>
          <w:tab w:val="left" w:pos="537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rPr>
        <w:t>供应商(盖单位章):</w:t>
      </w:r>
      <w:r>
        <w:rPr>
          <w:rFonts w:hint="eastAsia" w:ascii="仿宋" w:hAnsi="仿宋" w:eastAsia="仿宋" w:cs="仿宋"/>
          <w:color w:val="auto"/>
          <w:sz w:val="24"/>
          <w:u w:val="single"/>
        </w:rPr>
        <w:tab/>
      </w:r>
    </w:p>
    <w:p>
      <w:pPr>
        <w:pStyle w:val="17"/>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u w:val="single"/>
        </w:rPr>
        <w:br w:type="page"/>
      </w:r>
    </w:p>
    <w:p>
      <w:pPr>
        <w:pStyle w:val="8"/>
        <w:spacing w:before="0" w:line="240" w:lineRule="atLeast"/>
        <w:ind w:left="1080" w:leftChars="257" w:hanging="540"/>
        <w:rPr>
          <w:rFonts w:ascii="仿宋" w:hAnsi="仿宋" w:eastAsia="仿宋" w:cs="仿宋"/>
          <w:color w:val="auto"/>
          <w:sz w:val="24"/>
        </w:rPr>
      </w:pPr>
      <w:bookmarkStart w:id="242" w:name="_Toc216582818"/>
      <w:bookmarkStart w:id="243" w:name="_Toc8079"/>
      <w:bookmarkStart w:id="244" w:name="_Toc518923119"/>
      <w:bookmarkStart w:id="245" w:name="_Toc27950"/>
      <w:bookmarkStart w:id="246" w:name="_Toc32031"/>
      <w:r>
        <w:rPr>
          <w:rFonts w:hint="eastAsia" w:ascii="仿宋" w:hAnsi="仿宋" w:eastAsia="仿宋" w:cs="仿宋"/>
          <w:color w:val="auto"/>
          <w:sz w:val="24"/>
        </w:rPr>
        <w:t>4   商务条款偏离表</w:t>
      </w:r>
      <w:bookmarkEnd w:id="242"/>
      <w:r>
        <w:rPr>
          <w:rFonts w:hint="eastAsia" w:ascii="仿宋" w:hAnsi="仿宋" w:eastAsia="仿宋" w:cs="仿宋"/>
          <w:color w:val="auto"/>
          <w:sz w:val="24"/>
        </w:rPr>
        <w:t>（投标文件格式</w:t>
      </w:r>
      <w:r>
        <w:rPr>
          <w:rFonts w:hint="eastAsia" w:ascii="仿宋" w:hAnsi="仿宋" w:eastAsia="仿宋" w:cs="仿宋"/>
          <w:color w:val="auto"/>
          <w:sz w:val="24"/>
          <w:lang w:val="en-US" w:eastAsia="zh-CN"/>
        </w:rPr>
        <w:t>四</w:t>
      </w:r>
      <w:r>
        <w:rPr>
          <w:rFonts w:hint="eastAsia" w:ascii="仿宋" w:hAnsi="仿宋" w:eastAsia="仿宋" w:cs="仿宋"/>
          <w:color w:val="auto"/>
          <w:sz w:val="24"/>
        </w:rPr>
        <w:t>）</w:t>
      </w:r>
      <w:bookmarkEnd w:id="243"/>
      <w:bookmarkEnd w:id="244"/>
      <w:bookmarkEnd w:id="245"/>
      <w:bookmarkEnd w:id="246"/>
    </w:p>
    <w:p>
      <w:pPr>
        <w:pStyle w:val="17"/>
        <w:spacing w:line="240" w:lineRule="atLeast"/>
        <w:ind w:left="1080" w:leftChars="257" w:hanging="540"/>
        <w:rPr>
          <w:rFonts w:ascii="仿宋" w:hAnsi="仿宋" w:eastAsia="仿宋" w:cs="仿宋"/>
          <w:color w:val="auto"/>
          <w:sz w:val="24"/>
        </w:rPr>
      </w:pPr>
    </w:p>
    <w:p>
      <w:pPr>
        <w:pStyle w:val="17"/>
        <w:spacing w:line="240" w:lineRule="atLeast"/>
        <w:ind w:left="1080" w:leftChars="257" w:hanging="540"/>
        <w:rPr>
          <w:rFonts w:ascii="仿宋" w:hAnsi="仿宋" w:eastAsia="仿宋" w:cs="仿宋"/>
          <w:color w:val="auto"/>
          <w:sz w:val="24"/>
        </w:rPr>
      </w:pPr>
    </w:p>
    <w:p>
      <w:pPr>
        <w:pStyle w:val="17"/>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项目名称:                      招标编号:            包号：</w:t>
      </w:r>
    </w:p>
    <w:p>
      <w:pPr>
        <w:pStyle w:val="17"/>
        <w:spacing w:line="240" w:lineRule="atLeast"/>
        <w:ind w:left="1080" w:leftChars="257" w:hanging="540"/>
        <w:rPr>
          <w:rFonts w:ascii="仿宋" w:hAnsi="仿宋" w:eastAsia="仿宋" w:cs="仿宋"/>
          <w:color w:val="auto"/>
          <w:sz w:val="24"/>
        </w:rPr>
      </w:pPr>
    </w:p>
    <w:tbl>
      <w:tblPr>
        <w:tblStyle w:val="3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2040" w:type="dxa"/>
          </w:tcPr>
          <w:p>
            <w:pPr>
              <w:pStyle w:val="17"/>
              <w:spacing w:line="240" w:lineRule="atLeast"/>
              <w:jc w:val="center"/>
              <w:rPr>
                <w:rFonts w:ascii="仿宋" w:hAnsi="仿宋" w:eastAsia="仿宋" w:cs="仿宋"/>
                <w:color w:val="auto"/>
                <w:sz w:val="24"/>
              </w:rPr>
            </w:pPr>
            <w:r>
              <w:rPr>
                <w:rFonts w:hint="eastAsia" w:ascii="仿宋" w:hAnsi="仿宋" w:eastAsia="仿宋" w:cs="仿宋"/>
                <w:color w:val="auto"/>
                <w:sz w:val="24"/>
              </w:rPr>
              <w:t>采购文件条款号</w:t>
            </w:r>
          </w:p>
        </w:tc>
        <w:tc>
          <w:tcPr>
            <w:tcW w:w="2520" w:type="dxa"/>
          </w:tcPr>
          <w:p>
            <w:pPr>
              <w:pStyle w:val="17"/>
              <w:spacing w:line="240" w:lineRule="atLeast"/>
              <w:jc w:val="center"/>
              <w:rPr>
                <w:rFonts w:ascii="仿宋" w:hAnsi="仿宋" w:eastAsia="仿宋" w:cs="仿宋"/>
                <w:color w:val="auto"/>
                <w:sz w:val="24"/>
              </w:rPr>
            </w:pPr>
            <w:r>
              <w:rPr>
                <w:rFonts w:hint="eastAsia" w:ascii="仿宋" w:hAnsi="仿宋" w:eastAsia="仿宋" w:cs="仿宋"/>
                <w:color w:val="auto"/>
                <w:sz w:val="24"/>
              </w:rPr>
              <w:t>采购文件的商务条款</w:t>
            </w:r>
          </w:p>
        </w:tc>
        <w:tc>
          <w:tcPr>
            <w:tcW w:w="2520" w:type="dxa"/>
          </w:tcPr>
          <w:p>
            <w:pPr>
              <w:pStyle w:val="17"/>
              <w:spacing w:line="240" w:lineRule="atLeast"/>
              <w:jc w:val="center"/>
              <w:rPr>
                <w:rFonts w:ascii="仿宋" w:hAnsi="仿宋" w:eastAsia="仿宋" w:cs="仿宋"/>
                <w:color w:val="auto"/>
                <w:sz w:val="24"/>
              </w:rPr>
            </w:pPr>
            <w:r>
              <w:rPr>
                <w:rFonts w:hint="eastAsia" w:ascii="仿宋" w:hAnsi="仿宋" w:eastAsia="仿宋" w:cs="仿宋"/>
                <w:color w:val="auto"/>
                <w:sz w:val="24"/>
              </w:rPr>
              <w:t>投标文件的商务条款</w:t>
            </w:r>
          </w:p>
        </w:tc>
        <w:tc>
          <w:tcPr>
            <w:tcW w:w="900" w:type="dxa"/>
          </w:tcPr>
          <w:p>
            <w:pPr>
              <w:pStyle w:val="17"/>
              <w:spacing w:line="240" w:lineRule="atLeast"/>
              <w:jc w:val="center"/>
              <w:rPr>
                <w:rFonts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jc w:val="center"/>
              <w:rPr>
                <w:rFonts w:ascii="仿宋" w:hAnsi="仿宋" w:eastAsia="仿宋" w:cs="仿宋"/>
                <w:color w:val="auto"/>
                <w:sz w:val="24"/>
              </w:rPr>
            </w:pPr>
          </w:p>
        </w:tc>
        <w:tc>
          <w:tcPr>
            <w:tcW w:w="2520" w:type="dxa"/>
          </w:tcPr>
          <w:p>
            <w:pPr>
              <w:pStyle w:val="17"/>
              <w:spacing w:line="240" w:lineRule="atLeast"/>
              <w:ind w:left="1080" w:leftChars="257" w:hanging="540"/>
              <w:jc w:val="center"/>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240" w:lineRule="atLeast"/>
              <w:ind w:left="1080" w:leftChars="257" w:hanging="540"/>
              <w:rPr>
                <w:rFonts w:ascii="仿宋" w:hAnsi="仿宋" w:eastAsia="仿宋" w:cs="仿宋"/>
                <w:color w:val="auto"/>
                <w:sz w:val="24"/>
              </w:rPr>
            </w:pPr>
          </w:p>
        </w:tc>
        <w:tc>
          <w:tcPr>
            <w:tcW w:w="204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2520" w:type="dxa"/>
          </w:tcPr>
          <w:p>
            <w:pPr>
              <w:pStyle w:val="17"/>
              <w:spacing w:line="240" w:lineRule="atLeast"/>
              <w:ind w:left="1080" w:leftChars="257" w:hanging="540"/>
              <w:rPr>
                <w:rFonts w:ascii="仿宋" w:hAnsi="仿宋" w:eastAsia="仿宋" w:cs="仿宋"/>
                <w:color w:val="auto"/>
                <w:sz w:val="24"/>
              </w:rPr>
            </w:pPr>
          </w:p>
        </w:tc>
        <w:tc>
          <w:tcPr>
            <w:tcW w:w="900" w:type="dxa"/>
          </w:tcPr>
          <w:p>
            <w:pPr>
              <w:pStyle w:val="17"/>
              <w:spacing w:line="240" w:lineRule="atLeast"/>
              <w:ind w:left="1080" w:leftChars="257" w:hanging="540"/>
              <w:rPr>
                <w:rFonts w:ascii="仿宋" w:hAnsi="仿宋" w:eastAsia="仿宋" w:cs="仿宋"/>
                <w:color w:val="auto"/>
                <w:sz w:val="24"/>
              </w:rPr>
            </w:pPr>
          </w:p>
        </w:tc>
      </w:tr>
    </w:tbl>
    <w:p>
      <w:pPr>
        <w:pStyle w:val="17"/>
        <w:spacing w:line="240" w:lineRule="atLeast"/>
        <w:ind w:left="1080" w:leftChars="257" w:hanging="540"/>
        <w:rPr>
          <w:rFonts w:ascii="仿宋" w:hAnsi="仿宋" w:eastAsia="仿宋" w:cs="仿宋"/>
          <w:color w:val="auto"/>
          <w:sz w:val="24"/>
        </w:rPr>
      </w:pPr>
    </w:p>
    <w:p>
      <w:pPr>
        <w:pStyle w:val="17"/>
        <w:spacing w:line="240" w:lineRule="atLeast"/>
        <w:ind w:left="1080" w:leftChars="257" w:hanging="540"/>
        <w:rPr>
          <w:rFonts w:ascii="仿宋" w:hAnsi="仿宋" w:eastAsia="仿宋" w:cs="仿宋"/>
          <w:color w:val="auto"/>
          <w:sz w:val="24"/>
        </w:rPr>
      </w:pPr>
    </w:p>
    <w:p>
      <w:pPr>
        <w:pStyle w:val="17"/>
        <w:keepNext w:val="0"/>
        <w:keepLines w:val="0"/>
        <w:pageBreakBefore w:val="0"/>
        <w:widowControl w:val="0"/>
        <w:kinsoku/>
        <w:wordWrap/>
        <w:overflowPunct/>
        <w:topLinePunct w:val="0"/>
        <w:autoSpaceDE/>
        <w:autoSpaceDN/>
        <w:bidi w:val="0"/>
        <w:adjustRightInd/>
        <w:snapToGrid/>
        <w:spacing w:line="560" w:lineRule="exact"/>
        <w:ind w:left="1079" w:leftChars="257" w:hanging="539"/>
        <w:textAlignment w:val="auto"/>
        <w:rPr>
          <w:rFonts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7"/>
        <w:keepNext w:val="0"/>
        <w:keepLines w:val="0"/>
        <w:pageBreakBefore w:val="0"/>
        <w:widowControl w:val="0"/>
        <w:tabs>
          <w:tab w:val="left" w:pos="5370"/>
        </w:tabs>
        <w:kinsoku/>
        <w:wordWrap/>
        <w:overflowPunct/>
        <w:topLinePunct w:val="0"/>
        <w:autoSpaceDE/>
        <w:autoSpaceDN/>
        <w:bidi w:val="0"/>
        <w:adjustRightInd/>
        <w:snapToGrid/>
        <w:spacing w:line="560" w:lineRule="exact"/>
        <w:ind w:left="1079" w:leftChars="257" w:hanging="539"/>
        <w:textAlignment w:val="auto"/>
        <w:rPr>
          <w:rFonts w:ascii="仿宋" w:hAnsi="仿宋" w:eastAsia="仿宋" w:cs="仿宋"/>
          <w:color w:val="auto"/>
          <w:sz w:val="24"/>
          <w:u w:val="single"/>
        </w:rPr>
      </w:pPr>
      <w:r>
        <w:rPr>
          <w:rFonts w:hint="eastAsia" w:ascii="仿宋" w:hAnsi="仿宋" w:eastAsia="仿宋" w:cs="仿宋"/>
          <w:color w:val="auto"/>
          <w:sz w:val="24"/>
        </w:rPr>
        <w:t>供应商(盖单位章):</w:t>
      </w:r>
      <w:r>
        <w:rPr>
          <w:rFonts w:hint="eastAsia" w:ascii="仿宋" w:hAnsi="仿宋" w:eastAsia="仿宋" w:cs="仿宋"/>
          <w:color w:val="auto"/>
          <w:sz w:val="24"/>
          <w:u w:val="single"/>
        </w:rPr>
        <w:tab/>
      </w:r>
    </w:p>
    <w:p>
      <w:pPr>
        <w:pStyle w:val="17"/>
        <w:spacing w:line="240" w:lineRule="atLeast"/>
        <w:rPr>
          <w:rFonts w:ascii="仿宋" w:hAnsi="仿宋" w:eastAsia="仿宋" w:cs="仿宋"/>
          <w:color w:val="auto"/>
          <w:sz w:val="24"/>
        </w:rPr>
      </w:pPr>
    </w:p>
    <w:p>
      <w:pPr>
        <w:pStyle w:val="17"/>
        <w:spacing w:line="240" w:lineRule="atLeast"/>
        <w:rPr>
          <w:rFonts w:ascii="仿宋" w:hAnsi="仿宋" w:eastAsia="仿宋" w:cs="仿宋"/>
          <w:color w:val="auto"/>
          <w:sz w:val="24"/>
        </w:rPr>
      </w:pPr>
    </w:p>
    <w:p>
      <w:pPr>
        <w:pStyle w:val="17"/>
        <w:spacing w:line="240" w:lineRule="atLeast"/>
        <w:rPr>
          <w:rFonts w:ascii="仿宋" w:hAnsi="仿宋" w:eastAsia="仿宋" w:cs="仿宋"/>
          <w:color w:val="auto"/>
          <w:sz w:val="24"/>
        </w:rPr>
      </w:pPr>
    </w:p>
    <w:p>
      <w:pPr>
        <w:pStyle w:val="17"/>
        <w:spacing w:line="240" w:lineRule="atLeast"/>
        <w:rPr>
          <w:rFonts w:ascii="仿宋" w:hAnsi="仿宋" w:eastAsia="仿宋" w:cs="仿宋"/>
          <w:color w:val="auto"/>
          <w:sz w:val="24"/>
        </w:rPr>
      </w:pPr>
    </w:p>
    <w:p>
      <w:pPr>
        <w:ind w:firstLine="6600" w:firstLineChars="2750"/>
        <w:rPr>
          <w:rFonts w:ascii="仿宋" w:hAnsi="仿宋" w:eastAsia="仿宋" w:cs="仿宋"/>
          <w:color w:val="auto"/>
          <w:sz w:val="24"/>
        </w:rPr>
      </w:pPr>
      <w:bookmarkStart w:id="247" w:name="_Hlt520350918"/>
      <w:bookmarkEnd w:id="247"/>
      <w:bookmarkStart w:id="248" w:name="_Hlt520273973"/>
      <w:bookmarkEnd w:id="248"/>
      <w:bookmarkStart w:id="249" w:name="_Hlt520274393"/>
      <w:bookmarkEnd w:id="249"/>
      <w:bookmarkStart w:id="250" w:name="_Hlt520274065"/>
      <w:bookmarkEnd w:id="250"/>
      <w:bookmarkStart w:id="251" w:name="_Hlt520274407"/>
      <w:bookmarkEnd w:id="251"/>
      <w:bookmarkStart w:id="252" w:name="_Hlt520350957"/>
      <w:bookmarkEnd w:id="252"/>
      <w:bookmarkStart w:id="253" w:name="_Hlt520274911"/>
      <w:bookmarkEnd w:id="253"/>
      <w:bookmarkStart w:id="254" w:name="_Hlt520271212"/>
      <w:bookmarkEnd w:id="254"/>
      <w:bookmarkStart w:id="255" w:name="_Hlt520343392"/>
      <w:bookmarkEnd w:id="255"/>
      <w:bookmarkStart w:id="256" w:name="_Hlt520343000"/>
      <w:bookmarkEnd w:id="256"/>
      <w:bookmarkStart w:id="257" w:name="_Hlt520273711"/>
      <w:bookmarkEnd w:id="257"/>
      <w:r>
        <w:rPr>
          <w:rFonts w:hint="eastAsia" w:ascii="仿宋" w:hAnsi="仿宋" w:eastAsia="仿宋" w:cs="仿宋"/>
          <w:color w:val="auto"/>
          <w:sz w:val="24"/>
        </w:rPr>
        <w:t xml:space="preserve">  </w:t>
      </w:r>
    </w:p>
    <w:p>
      <w:pPr>
        <w:rPr>
          <w:color w:val="auto"/>
        </w:rPr>
      </w:pPr>
      <w:bookmarkStart w:id="258" w:name="_Toc518923120"/>
      <w:bookmarkStart w:id="259" w:name="_Toc480"/>
    </w:p>
    <w:p>
      <w:pPr>
        <w:pStyle w:val="8"/>
        <w:spacing w:before="0" w:line="240" w:lineRule="atLeast"/>
        <w:jc w:val="center"/>
        <w:rPr>
          <w:rFonts w:ascii="仿宋" w:hAnsi="仿宋" w:eastAsia="仿宋" w:cs="仿宋"/>
          <w:b w:val="0"/>
          <w:color w:val="auto"/>
          <w:sz w:val="24"/>
        </w:rPr>
      </w:pPr>
      <w:bookmarkStart w:id="260" w:name="_Toc8774"/>
      <w:bookmarkStart w:id="261" w:name="_Toc5603"/>
      <w:r>
        <w:rPr>
          <w:rFonts w:hint="eastAsia" w:ascii="仿宋" w:hAnsi="仿宋" w:eastAsia="仿宋" w:cs="仿宋"/>
          <w:color w:val="auto"/>
          <w:sz w:val="24"/>
        </w:rPr>
        <w:t xml:space="preserve">5-1 </w:t>
      </w:r>
      <w:r>
        <w:rPr>
          <w:rFonts w:hint="eastAsia" w:ascii="仿宋" w:hAnsi="仿宋" w:eastAsia="仿宋" w:cs="仿宋"/>
          <w:b w:val="0"/>
          <w:color w:val="auto"/>
          <w:sz w:val="24"/>
        </w:rPr>
        <w:t xml:space="preserve"> </w:t>
      </w:r>
      <w:r>
        <w:rPr>
          <w:rFonts w:hint="eastAsia" w:ascii="仿宋" w:hAnsi="仿宋" w:eastAsia="仿宋" w:cs="仿宋"/>
          <w:color w:val="auto"/>
          <w:sz w:val="24"/>
        </w:rPr>
        <w:t>供应商企业（单位）类型声明函（投标文件格式</w:t>
      </w:r>
      <w:r>
        <w:rPr>
          <w:rFonts w:hint="eastAsia" w:ascii="仿宋" w:hAnsi="仿宋" w:eastAsia="仿宋" w:cs="仿宋"/>
          <w:color w:val="auto"/>
          <w:sz w:val="24"/>
          <w:lang w:val="en-US" w:eastAsia="zh-CN"/>
        </w:rPr>
        <w:t>五</w:t>
      </w:r>
      <w:r>
        <w:rPr>
          <w:rFonts w:hint="eastAsia" w:ascii="仿宋" w:hAnsi="仿宋" w:eastAsia="仿宋" w:cs="仿宋"/>
          <w:color w:val="auto"/>
          <w:sz w:val="24"/>
        </w:rPr>
        <w:t>）</w:t>
      </w:r>
      <w:bookmarkEnd w:id="258"/>
      <w:bookmarkEnd w:id="259"/>
      <w:bookmarkEnd w:id="260"/>
      <w:bookmarkEnd w:id="261"/>
    </w:p>
    <w:p>
      <w:pPr>
        <w:spacing w:line="240" w:lineRule="atLeast"/>
        <w:ind w:left="1080" w:leftChars="257" w:hanging="540"/>
        <w:jc w:val="center"/>
        <w:rPr>
          <w:rFonts w:ascii="仿宋" w:hAnsi="仿宋" w:eastAsia="仿宋" w:cs="仿宋"/>
          <w:b/>
          <w:color w:val="auto"/>
          <w:kern w:val="0"/>
          <w:sz w:val="24"/>
          <w:szCs w:val="20"/>
        </w:rPr>
      </w:pPr>
    </w:p>
    <w:p>
      <w:pPr>
        <w:widowControl/>
        <w:spacing w:before="100" w:beforeAutospacing="1" w:after="100" w:afterAutospacing="1" w:line="330" w:lineRule="atLeas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1.□本企业（单位）为直接供应商，提供本企业（单位）服务。</w:t>
      </w:r>
    </w:p>
    <w:p>
      <w:pPr>
        <w:widowControl/>
        <w:spacing w:before="100" w:beforeAutospacing="1" w:after="100" w:afterAutospacing="1" w:line="330" w:lineRule="atLeas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（2）本企业</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（3）根据《关于促进残疾人就业政府采购政策的通知》（财库〔2017〕141号）。本单位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（请填写：是、不是）残疾人福利性单位。</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spacing w:before="100" w:beforeAutospacing="1" w:after="100" w:afterAutospacing="1" w:line="330" w:lineRule="atLeast"/>
        <w:jc w:val="left"/>
        <w:rPr>
          <w:rFonts w:ascii="仿宋" w:hAnsi="仿宋" w:eastAsia="仿宋" w:cs="仿宋"/>
          <w:color w:val="auto"/>
          <w:kern w:val="0"/>
          <w:sz w:val="24"/>
        </w:rPr>
      </w:pPr>
      <w:r>
        <w:rPr>
          <w:rFonts w:hint="eastAsia" w:ascii="仿宋" w:hAnsi="仿宋" w:eastAsia="仿宋" w:cs="仿宋"/>
          <w:color w:val="auto"/>
          <w:kern w:val="0"/>
          <w:sz w:val="24"/>
        </w:rPr>
        <w:t>本企业（单位）对上述声明的真实性负责。如有虚假，将依法承担相应责任。</w:t>
      </w:r>
    </w:p>
    <w:p>
      <w:pPr>
        <w:pStyle w:val="4"/>
        <w:ind w:firstLine="480"/>
        <w:rPr>
          <w:rFonts w:ascii="仿宋" w:hAnsi="仿宋" w:eastAsia="仿宋" w:cs="仿宋"/>
          <w:color w:val="auto"/>
          <w:kern w:val="0"/>
        </w:rPr>
      </w:pPr>
      <w:r>
        <w:rPr>
          <w:rFonts w:hint="eastAsia" w:ascii="仿宋" w:hAnsi="仿宋" w:eastAsia="仿宋" w:cs="仿宋"/>
          <w:color w:val="auto"/>
          <w:kern w:val="0"/>
        </w:rPr>
        <w:t>注:小微企业须提供以下证明材料</w:t>
      </w:r>
    </w:p>
    <w:p>
      <w:pPr>
        <w:pStyle w:val="4"/>
        <w:ind w:firstLine="480"/>
        <w:rPr>
          <w:rFonts w:ascii="仿宋" w:hAnsi="仿宋" w:eastAsia="仿宋" w:cs="仿宋"/>
          <w:color w:val="auto"/>
          <w:kern w:val="0"/>
        </w:rPr>
      </w:pPr>
      <w:r>
        <w:rPr>
          <w:rFonts w:hint="eastAsia" w:ascii="仿宋" w:hAnsi="仿宋" w:eastAsia="仿宋" w:cs="仿宋"/>
          <w:color w:val="auto"/>
          <w:kern w:val="0"/>
        </w:rPr>
        <w:t>1.中小企业声明函</w:t>
      </w:r>
    </w:p>
    <w:p>
      <w:pPr>
        <w:pStyle w:val="4"/>
        <w:ind w:firstLine="480"/>
        <w:rPr>
          <w:rFonts w:ascii="仿宋" w:hAnsi="仿宋" w:eastAsia="仿宋" w:cs="仿宋"/>
          <w:color w:val="auto"/>
          <w:kern w:val="0"/>
        </w:rPr>
      </w:pPr>
      <w:r>
        <w:rPr>
          <w:rFonts w:hint="eastAsia" w:ascii="仿宋" w:hAnsi="仿宋" w:eastAsia="仿宋" w:cs="仿宋"/>
          <w:color w:val="auto"/>
          <w:kern w:val="0"/>
        </w:rPr>
        <w:t>2.各行业主管部门出具的小微企业证明材料或政府网站“小微企业名录”查询截图。</w:t>
      </w:r>
    </w:p>
    <w:p>
      <w:pPr>
        <w:pStyle w:val="4"/>
        <w:ind w:firstLine="480"/>
        <w:rPr>
          <w:rFonts w:ascii="仿宋" w:hAnsi="仿宋" w:eastAsia="仿宋" w:cs="仿宋"/>
          <w:color w:val="auto"/>
          <w:kern w:val="0"/>
        </w:rPr>
      </w:pPr>
      <w:r>
        <w:rPr>
          <w:rFonts w:hint="eastAsia" w:ascii="仿宋" w:hAnsi="仿宋" w:eastAsia="仿宋" w:cs="仿宋"/>
          <w:color w:val="auto"/>
          <w:kern w:val="0"/>
        </w:rPr>
        <w:t>3.投标货物是小微企业自身或其它小微企业生产的证明材料。</w:t>
      </w:r>
    </w:p>
    <w:p>
      <w:pPr>
        <w:widowControl/>
        <w:spacing w:before="100" w:beforeAutospacing="1" w:after="100" w:afterAutospacing="1" w:line="330" w:lineRule="atLeast"/>
        <w:jc w:val="left"/>
        <w:rPr>
          <w:rFonts w:ascii="仿宋" w:hAnsi="仿宋" w:eastAsia="仿宋" w:cs="仿宋"/>
          <w:color w:val="auto"/>
          <w:kern w:val="0"/>
          <w:sz w:val="24"/>
        </w:rPr>
      </w:pPr>
      <w:r>
        <w:rPr>
          <w:rFonts w:hint="eastAsia" w:ascii="仿宋" w:hAnsi="仿宋" w:eastAsia="仿宋" w:cs="仿宋"/>
          <w:color w:val="auto"/>
          <w:kern w:val="0"/>
          <w:sz w:val="24"/>
        </w:rPr>
        <w:t>　　</w:t>
      </w:r>
    </w:p>
    <w:p>
      <w:pPr>
        <w:spacing w:line="240" w:lineRule="atLeast"/>
        <w:ind w:left="1080" w:leftChars="257" w:hanging="540"/>
        <w:jc w:val="center"/>
        <w:rPr>
          <w:rFonts w:ascii="仿宋" w:hAnsi="仿宋" w:eastAsia="仿宋" w:cs="仿宋"/>
          <w:b/>
          <w:color w:val="auto"/>
          <w:kern w:val="0"/>
          <w:sz w:val="24"/>
          <w:szCs w:val="20"/>
        </w:rPr>
      </w:pPr>
      <w:r>
        <w:rPr>
          <w:rFonts w:hint="eastAsia" w:ascii="仿宋" w:hAnsi="仿宋" w:eastAsia="仿宋" w:cs="仿宋"/>
          <w:b/>
          <w:color w:val="auto"/>
          <w:kern w:val="0"/>
          <w:sz w:val="24"/>
          <w:szCs w:val="20"/>
        </w:rPr>
        <w:t>　</w:t>
      </w:r>
    </w:p>
    <w:p>
      <w:pPr>
        <w:widowControl/>
        <w:spacing w:before="100" w:beforeAutospacing="1" w:after="100" w:afterAutospacing="1" w:line="330" w:lineRule="atLeast"/>
        <w:ind w:firstLine="3960" w:firstLineChars="1650"/>
        <w:jc w:val="left"/>
        <w:rPr>
          <w:rFonts w:ascii="仿宋" w:hAnsi="仿宋" w:eastAsia="仿宋" w:cs="仿宋"/>
          <w:color w:val="auto"/>
          <w:kern w:val="0"/>
          <w:sz w:val="24"/>
        </w:rPr>
      </w:pPr>
      <w:r>
        <w:rPr>
          <w:rFonts w:hint="eastAsia" w:ascii="仿宋" w:hAnsi="仿宋" w:eastAsia="仿宋" w:cs="仿宋"/>
          <w:color w:val="auto"/>
          <w:kern w:val="0"/>
          <w:sz w:val="24"/>
        </w:rPr>
        <w:t>供应商名称（盖单位章）：</w:t>
      </w:r>
      <w:r>
        <w:rPr>
          <w:rFonts w:hint="eastAsia" w:ascii="仿宋" w:hAnsi="仿宋" w:eastAsia="仿宋" w:cs="仿宋"/>
          <w:color w:val="auto"/>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color w:val="auto"/>
          <w:kern w:val="0"/>
          <w:sz w:val="24"/>
          <w:u w:val="single"/>
        </w:rPr>
      </w:pPr>
      <w:r>
        <w:rPr>
          <w:rFonts w:hint="eastAsia" w:ascii="仿宋" w:hAnsi="仿宋" w:eastAsia="仿宋" w:cs="仿宋"/>
          <w:color w:val="auto"/>
          <w:kern w:val="0"/>
          <w:sz w:val="24"/>
        </w:rPr>
        <w:t>　日　期：</w:t>
      </w:r>
      <w:r>
        <w:rPr>
          <w:rFonts w:hint="eastAsia" w:ascii="仿宋" w:hAnsi="仿宋" w:eastAsia="仿宋" w:cs="仿宋"/>
          <w:color w:val="auto"/>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color w:val="auto"/>
          <w:kern w:val="0"/>
          <w:sz w:val="24"/>
          <w:u w:val="single"/>
        </w:rPr>
      </w:pPr>
      <w:r>
        <w:rPr>
          <w:rFonts w:hint="eastAsia" w:ascii="仿宋" w:hAnsi="仿宋" w:eastAsia="仿宋" w:cs="仿宋"/>
          <w:color w:val="auto"/>
          <w:kern w:val="0"/>
          <w:sz w:val="24"/>
          <w:u w:val="single"/>
        </w:rPr>
        <w:br w:type="page"/>
      </w:r>
    </w:p>
    <w:p>
      <w:pPr>
        <w:pStyle w:val="17"/>
        <w:ind w:left="311" w:leftChars="148" w:firstLine="228"/>
        <w:rPr>
          <w:rFonts w:ascii="仿宋" w:hAnsi="仿宋" w:eastAsia="仿宋" w:cs="仿宋"/>
          <w:b/>
          <w:bCs/>
          <w:color w:val="auto"/>
          <w:kern w:val="0"/>
          <w:sz w:val="24"/>
        </w:rPr>
      </w:pPr>
      <w:bookmarkStart w:id="262" w:name="_Toc515647825"/>
      <w:bookmarkStart w:id="263" w:name="_Toc23068"/>
      <w:bookmarkStart w:id="264" w:name="_Toc19284"/>
      <w:bookmarkStart w:id="265" w:name="_Toc27742"/>
      <w:bookmarkStart w:id="266" w:name="OLE_LINK14"/>
      <w:bookmarkStart w:id="267" w:name="OLE_LINK13"/>
      <w:bookmarkStart w:id="268" w:name="_Toc6238"/>
      <w:bookmarkStart w:id="269" w:name="_Toc518923122"/>
    </w:p>
    <w:p>
      <w:pPr>
        <w:pStyle w:val="17"/>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cs="仿宋"/>
          <w:b/>
          <w:bCs/>
          <w:color w:val="auto"/>
          <w:kern w:val="0"/>
          <w:sz w:val="24"/>
        </w:rPr>
      </w:pPr>
      <w:bookmarkStart w:id="270" w:name="_Toc6247"/>
      <w:bookmarkStart w:id="271" w:name="_Toc32363"/>
      <w:r>
        <w:rPr>
          <w:rFonts w:hint="eastAsia" w:ascii="仿宋" w:hAnsi="仿宋" w:eastAsia="仿宋" w:cs="仿宋"/>
          <w:b/>
          <w:bCs/>
          <w:color w:val="auto"/>
          <w:kern w:val="0"/>
          <w:sz w:val="24"/>
        </w:rPr>
        <w:t>5-2   残疾人福利性单位声明函</w:t>
      </w:r>
      <w:bookmarkEnd w:id="262"/>
      <w:bookmarkEnd w:id="263"/>
      <w:bookmarkEnd w:id="264"/>
      <w:bookmarkEnd w:id="265"/>
      <w:r>
        <w:rPr>
          <w:rFonts w:hint="eastAsia" w:ascii="仿宋" w:hAnsi="仿宋" w:eastAsia="仿宋" w:cs="仿宋"/>
          <w:b/>
          <w:bCs/>
          <w:color w:val="auto"/>
          <w:kern w:val="0"/>
          <w:sz w:val="24"/>
        </w:rPr>
        <w:t>（投标文件格式</w:t>
      </w:r>
      <w:r>
        <w:rPr>
          <w:rFonts w:hint="eastAsia" w:ascii="仿宋" w:hAnsi="仿宋" w:eastAsia="仿宋" w:cs="仿宋"/>
          <w:b/>
          <w:bCs/>
          <w:color w:val="auto"/>
          <w:kern w:val="0"/>
          <w:sz w:val="24"/>
          <w:lang w:val="en-US" w:eastAsia="zh-CN"/>
        </w:rPr>
        <w:t>六</w:t>
      </w:r>
      <w:r>
        <w:rPr>
          <w:rFonts w:hint="eastAsia" w:ascii="仿宋" w:hAnsi="仿宋" w:eastAsia="仿宋" w:cs="仿宋"/>
          <w:b/>
          <w:bCs/>
          <w:color w:val="auto"/>
          <w:kern w:val="0"/>
          <w:sz w:val="24"/>
        </w:rPr>
        <w:t>）</w:t>
      </w:r>
      <w:bookmarkEnd w:id="270"/>
      <w:bookmarkEnd w:id="271"/>
    </w:p>
    <w:p>
      <w:pPr>
        <w:rPr>
          <w:color w:val="auto"/>
        </w:rPr>
      </w:pPr>
    </w:p>
    <w:bookmarkEnd w:id="266"/>
    <w:bookmarkEnd w:id="267"/>
    <w:p>
      <w:pPr>
        <w:spacing w:line="240" w:lineRule="atLeast"/>
        <w:ind w:left="1080" w:leftChars="257" w:hanging="540"/>
        <w:jc w:val="center"/>
        <w:rPr>
          <w:rFonts w:ascii="仿宋_GB2312" w:hAnsi="Arial" w:eastAsia="仿宋_GB2312"/>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ascii="仿宋" w:hAnsi="仿宋" w:eastAsia="仿宋" w:cs="仿宋"/>
          <w:color w:val="auto"/>
          <w:kern w:val="0"/>
          <w:sz w:val="24"/>
          <w:szCs w:val="20"/>
        </w:rPr>
      </w:pPr>
      <w:r>
        <w:rPr>
          <w:rFonts w:hint="eastAsia" w:ascii="仿宋" w:hAnsi="仿宋" w:eastAsia="仿宋" w:cs="仿宋"/>
          <w:color w:val="auto"/>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textAlignment w:val="auto"/>
        <w:rPr>
          <w:rFonts w:ascii="仿宋" w:hAnsi="仿宋" w:eastAsia="仿宋" w:cs="仿宋"/>
          <w:color w:val="auto"/>
          <w:kern w:val="0"/>
          <w:sz w:val="24"/>
          <w:szCs w:val="20"/>
        </w:rPr>
      </w:pPr>
      <w:r>
        <w:rPr>
          <w:rFonts w:hint="eastAsia" w:ascii="仿宋" w:hAnsi="仿宋" w:eastAsia="仿宋" w:cs="仿宋"/>
          <w:color w:val="auto"/>
          <w:kern w:val="0"/>
          <w:sz w:val="24"/>
          <w:szCs w:val="20"/>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ascii="仿宋" w:hAnsi="仿宋" w:eastAsia="仿宋" w:cs="仿宋"/>
          <w:color w:val="auto"/>
          <w:kern w:val="0"/>
          <w:sz w:val="24"/>
          <w:szCs w:val="20"/>
        </w:rPr>
      </w:pPr>
      <w:r>
        <w:rPr>
          <w:rFonts w:hint="eastAsia" w:ascii="仿宋" w:hAnsi="仿宋" w:eastAsia="仿宋" w:cs="仿宋"/>
          <w:color w:val="auto"/>
          <w:kern w:val="0"/>
          <w:sz w:val="24"/>
          <w:szCs w:val="20"/>
        </w:rPr>
        <w:t xml:space="preserve">              残疾人福利性单位名称（盖单位章）：______________</w:t>
      </w:r>
    </w:p>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ascii="仿宋" w:hAnsi="仿宋" w:eastAsia="仿宋" w:cs="仿宋"/>
          <w:color w:val="auto"/>
          <w:kern w:val="0"/>
          <w:sz w:val="24"/>
          <w:szCs w:val="20"/>
        </w:rPr>
      </w:pPr>
      <w:r>
        <w:rPr>
          <w:rFonts w:hint="eastAsia" w:ascii="仿宋" w:hAnsi="仿宋" w:eastAsia="仿宋" w:cs="仿宋"/>
          <w:color w:val="auto"/>
          <w:kern w:val="0"/>
          <w:sz w:val="24"/>
          <w:szCs w:val="20"/>
        </w:rPr>
        <w:t xml:space="preserve">  </w:t>
      </w:r>
      <w:r>
        <w:rPr>
          <w:rFonts w:hint="eastAsia" w:ascii="仿宋" w:hAnsi="仿宋" w:eastAsia="仿宋" w:cs="仿宋"/>
          <w:color w:val="auto"/>
          <w:kern w:val="0"/>
          <w:sz w:val="24"/>
          <w:szCs w:val="20"/>
          <w:u w:val="single" w:color="FFFFFF"/>
        </w:rPr>
        <w:t xml:space="preserve">       </w:t>
      </w:r>
      <w:r>
        <w:rPr>
          <w:rFonts w:hint="eastAsia" w:ascii="仿宋" w:hAnsi="仿宋" w:eastAsia="仿宋" w:cs="仿宋"/>
          <w:color w:val="auto"/>
          <w:kern w:val="0"/>
          <w:sz w:val="24"/>
          <w:szCs w:val="20"/>
        </w:rPr>
        <w:t>日  期：_______________________________</w:t>
      </w:r>
    </w:p>
    <w:p>
      <w:pPr>
        <w:pStyle w:val="11"/>
        <w:ind w:firstLine="964" w:firstLineChars="400"/>
        <w:rPr>
          <w:rFonts w:ascii="仿宋" w:hAnsi="仿宋" w:eastAsia="仿宋" w:cs="仿宋"/>
          <w:b/>
          <w:bCs/>
          <w:color w:val="auto"/>
        </w:rPr>
      </w:pPr>
    </w:p>
    <w:p>
      <w:pPr>
        <w:rPr>
          <w:rFonts w:hint="eastAsia"/>
          <w:color w:val="auto"/>
          <w:highlight w:val="none"/>
          <w:u w:val="none"/>
          <w:lang w:val="en-US" w:eastAsia="zh-CN"/>
        </w:rPr>
      </w:pPr>
      <w:r>
        <w:rPr>
          <w:rFonts w:hint="eastAsia"/>
          <w:color w:val="auto"/>
          <w:highlight w:val="none"/>
          <w:u w:val="none"/>
          <w:lang w:val="en-US" w:eastAsia="zh-CN"/>
        </w:rPr>
        <w:br w:type="page"/>
      </w:r>
    </w:p>
    <w:p>
      <w:pPr>
        <w:pStyle w:val="9"/>
        <w:bidi w:val="0"/>
        <w:jc w:val="center"/>
        <w:rPr>
          <w:color w:val="auto"/>
          <w:highlight w:val="none"/>
          <w:u w:val="none"/>
        </w:rPr>
      </w:pPr>
      <w:r>
        <w:rPr>
          <w:rFonts w:hint="eastAsia"/>
          <w:color w:val="auto"/>
          <w:highlight w:val="none"/>
          <w:u w:val="none"/>
          <w:lang w:val="en-US" w:eastAsia="zh-CN"/>
        </w:rPr>
        <w:t>5</w:t>
      </w:r>
      <w:r>
        <w:rPr>
          <w:rFonts w:hint="eastAsia"/>
          <w:color w:val="auto"/>
          <w:highlight w:val="none"/>
          <w:u w:val="none"/>
        </w:rPr>
        <w:t>-</w:t>
      </w:r>
      <w:r>
        <w:rPr>
          <w:rFonts w:hint="eastAsia"/>
          <w:color w:val="auto"/>
          <w:highlight w:val="none"/>
          <w:u w:val="none"/>
          <w:lang w:val="en-US" w:eastAsia="zh-CN"/>
        </w:rPr>
        <w:t>3</w:t>
      </w:r>
      <w:r>
        <w:rPr>
          <w:rFonts w:hint="eastAsia"/>
          <w:color w:val="auto"/>
          <w:highlight w:val="none"/>
          <w:u w:val="none"/>
        </w:rPr>
        <w:t xml:space="preserve"> </w:t>
      </w:r>
      <w:r>
        <w:rPr>
          <w:rFonts w:hint="eastAsia"/>
          <w:color w:val="auto"/>
          <w:highlight w:val="none"/>
          <w:u w:val="none"/>
          <w:lang w:val="en-US" w:eastAsia="zh-CN"/>
        </w:rPr>
        <w:t>中小企业声明函</w:t>
      </w:r>
      <w:r>
        <w:rPr>
          <w:rFonts w:hint="eastAsia"/>
          <w:color w:val="auto"/>
          <w:highlight w:val="none"/>
          <w:u w:val="none"/>
        </w:rPr>
        <w:t>（投标文件格式</w:t>
      </w:r>
      <w:r>
        <w:rPr>
          <w:rFonts w:hint="eastAsia"/>
          <w:color w:val="auto"/>
          <w:highlight w:val="none"/>
          <w:u w:val="none"/>
          <w:lang w:val="en-US" w:eastAsia="zh-CN"/>
        </w:rPr>
        <w:t>七</w:t>
      </w:r>
      <w:r>
        <w:rPr>
          <w:rFonts w:hint="eastAsia"/>
          <w:color w:val="auto"/>
          <w:highlight w:val="none"/>
          <w:u w:val="none"/>
        </w:rPr>
        <w:t>）</w:t>
      </w:r>
    </w:p>
    <w:p>
      <w:pPr>
        <w:spacing w:line="240" w:lineRule="atLeast"/>
        <w:ind w:left="1080" w:leftChars="257" w:hanging="540"/>
        <w:jc w:val="center"/>
        <w:rPr>
          <w:rFonts w:ascii="仿宋" w:hAnsi="仿宋" w:eastAsia="仿宋" w:cs="仿宋"/>
          <w:b/>
          <w:color w:val="auto"/>
          <w:kern w:val="0"/>
          <w:sz w:val="24"/>
          <w:szCs w:val="20"/>
          <w:highlight w:val="none"/>
        </w:rPr>
      </w:pPr>
    </w:p>
    <w:p>
      <w:pPr>
        <w:spacing w:before="153" w:line="219" w:lineRule="auto"/>
        <w:jc w:val="center"/>
        <w:rPr>
          <w:rFonts w:ascii="宋体" w:hAnsi="宋体" w:eastAsia="宋体" w:cs="宋体"/>
          <w:color w:val="auto"/>
          <w:sz w:val="40"/>
          <w:szCs w:val="40"/>
        </w:rPr>
      </w:pPr>
      <w:r>
        <w:rPr>
          <w:rFonts w:ascii="宋体" w:hAnsi="宋体" w:eastAsia="宋体" w:cs="宋体"/>
          <w:color w:val="auto"/>
          <w:spacing w:val="-5"/>
          <w:sz w:val="40"/>
          <w:szCs w:val="40"/>
        </w:rPr>
        <w:t>中小企业声明函(工程、服务)</w:t>
      </w:r>
    </w:p>
    <w:p>
      <w:pPr>
        <w:spacing w:line="435" w:lineRule="auto"/>
        <w:rPr>
          <w:rFonts w:ascii="Arial"/>
          <w:color w:val="auto"/>
          <w:sz w:val="21"/>
        </w:rPr>
      </w:pP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本公司(联合体)郑重声明,根据《政府采购促进中小企业发展管理办法》(财库</w:t>
      </w:r>
      <w:r>
        <w:rPr>
          <w:rFonts w:hint="eastAsia" w:ascii="仿宋" w:hAnsi="仿宋" w:eastAsia="仿宋" w:cs="仿宋"/>
          <w:color w:val="auto"/>
          <w:kern w:val="0"/>
          <w:sz w:val="24"/>
          <w:szCs w:val="20"/>
          <w:lang w:val="en-US" w:eastAsia="zh-CN"/>
        </w:rPr>
        <w:t>[</w:t>
      </w:r>
      <w:r>
        <w:rPr>
          <w:rFonts w:hint="eastAsia" w:ascii="仿宋" w:hAnsi="仿宋" w:eastAsia="仿宋" w:cs="仿宋"/>
          <w:color w:val="auto"/>
          <w:kern w:val="0"/>
          <w:sz w:val="24"/>
          <w:szCs w:val="20"/>
        </w:rPr>
        <w:t>2020]46号)的规定,本公司(联合体)参加</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(单位名称)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的</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(项目名称)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采购活动,工程的施工单位全部为符合政策要求的中小企业(或者:服务全部由符政策要求的中小企业承接)</w:t>
      </w:r>
      <w:r>
        <w:rPr>
          <w:rFonts w:hint="eastAsia" w:ascii="仿宋" w:hAnsi="仿宋" w:eastAsia="仿宋" w:cs="仿宋"/>
          <w:color w:val="auto"/>
          <w:kern w:val="0"/>
          <w:sz w:val="24"/>
          <w:szCs w:val="20"/>
          <w:lang w:eastAsia="zh-CN"/>
        </w:rPr>
        <w:t>。</w:t>
      </w:r>
      <w:r>
        <w:rPr>
          <w:rFonts w:hint="eastAsia" w:ascii="仿宋" w:hAnsi="仿宋" w:eastAsia="仿宋" w:cs="仿宋"/>
          <w:color w:val="auto"/>
          <w:kern w:val="0"/>
          <w:sz w:val="24"/>
          <w:szCs w:val="20"/>
        </w:rPr>
        <w:t>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1.  (标的名称)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 属于(采购文件中明确的所属行业);承建(承接)企业为(企业名称), 从业人员</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人 ,营业收入为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万元,资产总额为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w:t>
      </w:r>
      <w:r>
        <w:rPr>
          <w:rFonts w:hint="eastAsia" w:ascii="仿宋" w:hAnsi="仿宋" w:eastAsia="仿宋" w:cs="仿宋"/>
          <w:color w:val="auto"/>
          <w:kern w:val="0"/>
          <w:sz w:val="24"/>
          <w:szCs w:val="20"/>
          <w:lang w:val="en-US" w:eastAsia="zh-CN"/>
        </w:rPr>
        <w:t>2</w:t>
      </w:r>
      <w:r>
        <w:rPr>
          <w:rFonts w:hint="eastAsia" w:ascii="仿宋" w:hAnsi="仿宋" w:eastAsia="仿宋" w:cs="仿宋"/>
          <w:color w:val="auto"/>
          <w:kern w:val="0"/>
          <w:sz w:val="24"/>
          <w:szCs w:val="20"/>
        </w:rPr>
        <w:t>,属于(中型企业、小型企业、微型企业);</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2.  (标的名称)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 属于(采购文件中明确的所属行业); 承建(承接)企业 为(企业名称)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,从业人员  人,营业收入为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万元,资产总额为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w:t>
      </w:r>
      <w:r>
        <w:rPr>
          <w:rFonts w:hint="eastAsia" w:ascii="仿宋" w:hAnsi="仿宋" w:eastAsia="仿宋" w:cs="仿宋"/>
          <w:color w:val="auto"/>
          <w:kern w:val="0"/>
          <w:sz w:val="24"/>
          <w:szCs w:val="20"/>
          <w:lang w:val="en-US" w:eastAsia="zh-CN"/>
        </w:rPr>
        <w:t>2</w:t>
      </w:r>
      <w:r>
        <w:rPr>
          <w:rFonts w:hint="eastAsia" w:ascii="仿宋" w:hAnsi="仿宋" w:eastAsia="仿宋" w:cs="仿宋"/>
          <w:color w:val="auto"/>
          <w:kern w:val="0"/>
          <w:sz w:val="24"/>
          <w:szCs w:val="20"/>
        </w:rPr>
        <w:t>,属于(中型企业、小型企业、微型 企业);</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firstLine="5923" w:firstLineChars="2468"/>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企业名称(盖章):</w:t>
      </w:r>
    </w:p>
    <w:p>
      <w:pPr>
        <w:keepNext w:val="0"/>
        <w:keepLines w:val="0"/>
        <w:pageBreakBefore w:val="0"/>
        <w:widowControl w:val="0"/>
        <w:kinsoku/>
        <w:wordWrap/>
        <w:overflowPunct/>
        <w:topLinePunct w:val="0"/>
        <w:autoSpaceDE/>
        <w:autoSpaceDN/>
        <w:bidi w:val="0"/>
        <w:adjustRightInd/>
        <w:snapToGrid/>
        <w:spacing w:line="560" w:lineRule="exact"/>
        <w:ind w:firstLine="5923" w:firstLineChars="2468"/>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日期:</w:t>
      </w:r>
    </w:p>
    <w:p>
      <w:pPr>
        <w:pStyle w:val="11"/>
        <w:ind w:firstLine="964" w:firstLineChars="400"/>
        <w:rPr>
          <w:rFonts w:ascii="仿宋" w:hAnsi="仿宋" w:eastAsia="仿宋" w:cs="仿宋"/>
          <w:b/>
          <w:bCs/>
          <w:color w:val="auto"/>
        </w:rPr>
      </w:pPr>
    </w:p>
    <w:p>
      <w:pPr>
        <w:rPr>
          <w:rFonts w:ascii="仿宋" w:hAnsi="仿宋" w:eastAsia="仿宋" w:cs="仿宋"/>
          <w:b/>
          <w:bCs/>
          <w:color w:val="auto"/>
        </w:rPr>
      </w:pPr>
    </w:p>
    <w:p>
      <w:pPr>
        <w:pStyle w:val="44"/>
        <w:rPr>
          <w:color w:val="auto"/>
        </w:rPr>
      </w:pPr>
    </w:p>
    <w:p>
      <w:pPr>
        <w:rPr>
          <w:rFonts w:hint="eastAsia" w:ascii="仿宋" w:hAnsi="仿宋" w:eastAsia="仿宋" w:cs="仿宋"/>
          <w:b/>
          <w:bCs/>
          <w:color w:val="auto"/>
        </w:rPr>
      </w:pPr>
      <w:bookmarkStart w:id="272" w:name="_Toc13125"/>
      <w:r>
        <w:rPr>
          <w:rFonts w:hint="eastAsia" w:ascii="仿宋" w:hAnsi="仿宋" w:eastAsia="仿宋" w:cs="仿宋"/>
          <w:b/>
          <w:bCs/>
          <w:color w:val="auto"/>
        </w:rPr>
        <w:br w:type="page"/>
      </w:r>
    </w:p>
    <w:p>
      <w:pPr>
        <w:pStyle w:val="11"/>
        <w:keepNext w:val="0"/>
        <w:keepLines w:val="0"/>
        <w:pageBreakBefore w:val="0"/>
        <w:widowControl w:val="0"/>
        <w:kinsoku/>
        <w:wordWrap/>
        <w:overflowPunct/>
        <w:topLinePunct w:val="0"/>
        <w:autoSpaceDE w:val="0"/>
        <w:autoSpaceDN w:val="0"/>
        <w:bidi w:val="0"/>
        <w:adjustRightInd w:val="0"/>
        <w:snapToGrid/>
        <w:ind w:firstLine="420"/>
        <w:jc w:val="center"/>
        <w:textAlignment w:val="auto"/>
        <w:outlineLvl w:val="1"/>
        <w:rPr>
          <w:rFonts w:ascii="仿宋" w:hAnsi="仿宋" w:eastAsia="仿宋" w:cs="仿宋"/>
          <w:b/>
          <w:bCs/>
          <w:color w:val="auto"/>
        </w:rPr>
      </w:pPr>
      <w:bookmarkStart w:id="273" w:name="_Toc27000"/>
      <w:r>
        <w:rPr>
          <w:rFonts w:hint="eastAsia" w:ascii="仿宋" w:hAnsi="仿宋" w:eastAsia="仿宋" w:cs="仿宋"/>
          <w:b/>
          <w:bCs/>
          <w:color w:val="auto"/>
        </w:rPr>
        <w:t>6   供应商关联单位的说明</w:t>
      </w:r>
      <w:bookmarkEnd w:id="268"/>
      <w:bookmarkEnd w:id="269"/>
      <w:bookmarkEnd w:id="272"/>
      <w:bookmarkEnd w:id="273"/>
    </w:p>
    <w:p>
      <w:pPr>
        <w:pStyle w:val="11"/>
        <w:ind w:firstLine="480" w:firstLineChars="200"/>
        <w:rPr>
          <w:rFonts w:ascii="仿宋" w:hAnsi="仿宋" w:eastAsia="仿宋" w:cs="仿宋"/>
          <w:color w:val="auto"/>
        </w:rPr>
      </w:pPr>
    </w:p>
    <w:p>
      <w:pPr>
        <w:pStyle w:val="11"/>
        <w:ind w:firstLine="480" w:firstLineChars="200"/>
        <w:rPr>
          <w:rFonts w:ascii="仿宋" w:hAnsi="仿宋" w:eastAsia="仿宋" w:cs="仿宋"/>
          <w:color w:val="auto"/>
        </w:rPr>
      </w:pPr>
    </w:p>
    <w:p>
      <w:pPr>
        <w:pStyle w:val="11"/>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ascii="仿宋" w:hAnsi="仿宋" w:eastAsia="仿宋" w:cs="仿宋"/>
          <w:color w:val="auto"/>
        </w:rPr>
      </w:pPr>
      <w:r>
        <w:rPr>
          <w:rFonts w:hint="eastAsia" w:ascii="仿宋" w:hAnsi="仿宋" w:eastAsia="仿宋" w:cs="仿宋"/>
          <w:color w:val="auto"/>
        </w:rPr>
        <w:t>说明：供应商应当如实披露与本单位存在下列关联关系的单位名称：</w:t>
      </w:r>
    </w:p>
    <w:p>
      <w:pPr>
        <w:pStyle w:val="11"/>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ascii="仿宋" w:hAnsi="仿宋" w:eastAsia="仿宋" w:cs="仿宋"/>
          <w:color w:val="auto"/>
        </w:rPr>
      </w:pPr>
      <w:r>
        <w:rPr>
          <w:rFonts w:hint="eastAsia" w:ascii="仿宋" w:hAnsi="仿宋" w:eastAsia="仿宋" w:cs="仿宋"/>
          <w:color w:val="auto"/>
        </w:rPr>
        <w:t>（1）与供应商单位负责人为同一人的其他单位；</w:t>
      </w:r>
    </w:p>
    <w:p>
      <w:pPr>
        <w:pStyle w:val="11"/>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ascii="仿宋" w:hAnsi="仿宋" w:eastAsia="仿宋" w:cs="仿宋"/>
          <w:color w:val="auto"/>
        </w:rPr>
      </w:pPr>
      <w:r>
        <w:rPr>
          <w:rFonts w:hint="eastAsia" w:ascii="仿宋" w:hAnsi="仿宋" w:eastAsia="仿宋" w:cs="仿宋"/>
          <w:color w:val="auto"/>
        </w:rPr>
        <w:t>（2）与供应商存在直接控股、管理关系的其他单位。</w:t>
      </w:r>
    </w:p>
    <w:p>
      <w:pPr>
        <w:pStyle w:val="11"/>
        <w:jc w:val="center"/>
        <w:rPr>
          <w:rFonts w:ascii="仿宋" w:hAnsi="仿宋" w:eastAsia="仿宋" w:cs="仿宋"/>
          <w:color w:val="auto"/>
        </w:rPr>
      </w:pPr>
    </w:p>
    <w:p>
      <w:pPr>
        <w:pStyle w:val="22"/>
        <w:tabs>
          <w:tab w:val="center" w:pos="4140"/>
          <w:tab w:val="right" w:pos="8300"/>
          <w:tab w:val="clear" w:pos="4153"/>
          <w:tab w:val="clear" w:pos="8306"/>
        </w:tabs>
        <w:spacing w:line="440" w:lineRule="exact"/>
        <w:jc w:val="center"/>
        <w:outlineLvl w:val="1"/>
        <w:rPr>
          <w:rFonts w:ascii="仿宋" w:hAnsi="仿宋" w:eastAsia="仿宋" w:cs="仿宋"/>
          <w:b/>
          <w:color w:val="auto"/>
          <w:sz w:val="24"/>
        </w:rPr>
      </w:pPr>
      <w:r>
        <w:rPr>
          <w:rFonts w:hint="eastAsia" w:ascii="仿宋" w:hAnsi="仿宋" w:eastAsia="仿宋" w:cs="仿宋"/>
          <w:b/>
          <w:bCs/>
          <w:color w:val="auto"/>
        </w:rPr>
        <w:br w:type="page"/>
      </w:r>
      <w:bookmarkStart w:id="274" w:name="_Toc29846"/>
      <w:bookmarkStart w:id="275" w:name="_Toc16598"/>
      <w:r>
        <w:rPr>
          <w:rFonts w:hint="eastAsia" w:ascii="仿宋" w:hAnsi="仿宋" w:eastAsia="仿宋" w:cs="仿宋"/>
          <w:b/>
          <w:color w:val="auto"/>
          <w:sz w:val="24"/>
        </w:rPr>
        <w:t>第四部分  技术投标方案</w:t>
      </w:r>
      <w:bookmarkEnd w:id="274"/>
      <w:bookmarkEnd w:id="275"/>
    </w:p>
    <w:p>
      <w:pPr>
        <w:pStyle w:val="22"/>
        <w:tabs>
          <w:tab w:val="center" w:pos="4140"/>
          <w:tab w:val="right" w:pos="8300"/>
          <w:tab w:val="clear" w:pos="4153"/>
          <w:tab w:val="clear" w:pos="8306"/>
        </w:tabs>
        <w:spacing w:line="440" w:lineRule="exact"/>
        <w:ind w:firstLine="480" w:firstLineChars="200"/>
        <w:jc w:val="both"/>
        <w:rPr>
          <w:rFonts w:ascii="仿宋" w:hAnsi="仿宋" w:eastAsia="仿宋" w:cs="仿宋"/>
          <w:color w:val="auto"/>
          <w:sz w:val="24"/>
          <w:lang w:val="zh-CN"/>
        </w:rPr>
      </w:pPr>
      <w:bookmarkStart w:id="276" w:name="_Toc375218897"/>
      <w:r>
        <w:rPr>
          <w:rFonts w:hint="eastAsia" w:ascii="仿宋" w:hAnsi="仿宋" w:eastAsia="仿宋" w:cs="仿宋"/>
          <w:color w:val="auto"/>
          <w:sz w:val="24"/>
          <w:lang w:val="zh-CN"/>
        </w:rPr>
        <w:t>供应商应根据采购文件的要求，参照项目的具体情况及评分标准</w:t>
      </w:r>
      <w:bookmarkStart w:id="277" w:name="_Toc375218899"/>
      <w:r>
        <w:rPr>
          <w:rFonts w:hint="eastAsia" w:ascii="仿宋" w:hAnsi="仿宋" w:eastAsia="仿宋" w:cs="仿宋"/>
          <w:color w:val="auto"/>
          <w:sz w:val="24"/>
          <w:lang w:val="zh-CN"/>
        </w:rPr>
        <w:t>技术</w:t>
      </w:r>
      <w:r>
        <w:rPr>
          <w:rFonts w:hint="eastAsia" w:ascii="仿宋" w:hAnsi="仿宋" w:eastAsia="仿宋" w:cs="仿宋"/>
          <w:color w:val="auto"/>
          <w:sz w:val="24"/>
        </w:rPr>
        <w:t>表</w:t>
      </w:r>
      <w:r>
        <w:rPr>
          <w:rFonts w:hint="eastAsia" w:ascii="仿宋" w:hAnsi="仿宋" w:eastAsia="仿宋" w:cs="仿宋"/>
          <w:color w:val="auto"/>
          <w:sz w:val="24"/>
          <w:lang w:val="zh-CN"/>
        </w:rPr>
        <w:t>内容</w:t>
      </w:r>
      <w:r>
        <w:rPr>
          <w:rFonts w:hint="eastAsia" w:ascii="仿宋" w:hAnsi="仿宋" w:eastAsia="仿宋" w:cs="仿宋"/>
          <w:color w:val="auto"/>
          <w:sz w:val="24"/>
        </w:rPr>
        <w:t>编制技术投标方案</w:t>
      </w:r>
      <w:r>
        <w:rPr>
          <w:rFonts w:hint="eastAsia" w:ascii="仿宋" w:hAnsi="仿宋" w:eastAsia="仿宋" w:cs="仿宋"/>
          <w:color w:val="auto"/>
          <w:sz w:val="24"/>
          <w:lang w:val="zh-CN"/>
        </w:rPr>
        <w:t>。</w:t>
      </w:r>
      <w:bookmarkEnd w:id="276"/>
      <w:bookmarkEnd w:id="277"/>
    </w:p>
    <w:p>
      <w:pPr>
        <w:pStyle w:val="22"/>
        <w:tabs>
          <w:tab w:val="center" w:pos="4140"/>
          <w:tab w:val="right" w:pos="8300"/>
          <w:tab w:val="clear" w:pos="4153"/>
          <w:tab w:val="clear" w:pos="8306"/>
        </w:tabs>
        <w:spacing w:line="440" w:lineRule="exact"/>
        <w:ind w:firstLine="480" w:firstLineChars="200"/>
        <w:jc w:val="both"/>
        <w:rPr>
          <w:rFonts w:hint="eastAsia" w:ascii="仿宋" w:hAnsi="仿宋" w:eastAsia="仿宋" w:cs="仿宋"/>
          <w:color w:val="auto"/>
          <w:sz w:val="24"/>
          <w:lang w:val="zh-CN"/>
        </w:rPr>
      </w:pPr>
      <w:r>
        <w:rPr>
          <w:rFonts w:hint="eastAsia" w:ascii="仿宋" w:hAnsi="仿宋" w:eastAsia="仿宋" w:cs="仿宋"/>
          <w:color w:val="auto"/>
          <w:sz w:val="24"/>
          <w:lang w:val="en-US" w:eastAsia="zh-CN"/>
        </w:rPr>
        <w:t>标项一、二：</w:t>
      </w:r>
      <w:r>
        <w:rPr>
          <w:rFonts w:hint="eastAsia" w:ascii="仿宋" w:hAnsi="仿宋" w:eastAsia="仿宋" w:cs="仿宋"/>
          <w:color w:val="auto"/>
          <w:sz w:val="24"/>
        </w:rPr>
        <w:t>技术投标文件</w:t>
      </w:r>
      <w:r>
        <w:rPr>
          <w:rFonts w:hint="eastAsia" w:ascii="仿宋" w:hAnsi="仿宋" w:eastAsia="仿宋" w:cs="仿宋"/>
          <w:color w:val="auto"/>
          <w:sz w:val="24"/>
          <w:lang w:val="zh-CN"/>
        </w:rPr>
        <w:t>将从与采购文件的响应性，依据充足，目标任务明确，调查区自然地理、地质、社会经济等方面的资料齐全性，工作思路、工作部署、工程量布置、进度安排明确清晰程度，工作方法手段得当、适宜，技术要求明确性，预期成果，主要设备配置，质量、进度、安全的保障体系，主要措施，</w:t>
      </w:r>
      <w:r>
        <w:rPr>
          <w:rFonts w:hint="eastAsia" w:ascii="仿宋" w:hAnsi="仿宋" w:eastAsia="仿宋" w:cs="仿宋"/>
          <w:color w:val="auto"/>
          <w:sz w:val="24"/>
        </w:rPr>
        <w:t>投入本项目的主要设备和仪器等方面进行评审</w:t>
      </w:r>
      <w:r>
        <w:rPr>
          <w:rFonts w:hint="eastAsia" w:ascii="仿宋" w:hAnsi="仿宋" w:eastAsia="仿宋" w:cs="仿宋"/>
          <w:color w:val="auto"/>
          <w:sz w:val="24"/>
          <w:lang w:val="zh-CN"/>
        </w:rPr>
        <w:t>。</w:t>
      </w:r>
    </w:p>
    <w:p>
      <w:pPr>
        <w:pStyle w:val="22"/>
        <w:tabs>
          <w:tab w:val="center" w:pos="4140"/>
          <w:tab w:val="right" w:pos="8300"/>
          <w:tab w:val="clear" w:pos="4153"/>
          <w:tab w:val="clear" w:pos="8306"/>
        </w:tabs>
        <w:spacing w:line="440" w:lineRule="exact"/>
        <w:ind w:firstLine="480" w:firstLineChars="200"/>
        <w:jc w:val="both"/>
        <w:rPr>
          <w:rFonts w:hint="eastAsia" w:ascii="仿宋" w:hAnsi="仿宋" w:eastAsia="仿宋" w:cs="仿宋"/>
          <w:color w:val="auto"/>
          <w:sz w:val="24"/>
          <w:lang w:eastAsia="zh-CN"/>
        </w:rPr>
      </w:pPr>
      <w:r>
        <w:rPr>
          <w:rFonts w:hint="eastAsia" w:ascii="仿宋" w:hAnsi="仿宋" w:eastAsia="仿宋" w:cs="仿宋"/>
          <w:color w:val="auto"/>
          <w:sz w:val="24"/>
          <w:lang w:eastAsia="zh-CN"/>
        </w:rPr>
        <w:t>标项三、四：</w:t>
      </w:r>
      <w:r>
        <w:rPr>
          <w:rFonts w:hint="eastAsia" w:ascii="仿宋" w:hAnsi="仿宋" w:eastAsia="仿宋" w:cs="仿宋"/>
          <w:color w:val="auto"/>
          <w:sz w:val="24"/>
        </w:rPr>
        <w:t>技术投标文件</w:t>
      </w:r>
      <w:r>
        <w:rPr>
          <w:rFonts w:hint="eastAsia" w:ascii="仿宋" w:hAnsi="仿宋" w:eastAsia="仿宋" w:cs="仿宋"/>
          <w:color w:val="auto"/>
          <w:sz w:val="24"/>
          <w:lang w:val="zh-CN"/>
        </w:rPr>
        <w:t>将从</w:t>
      </w:r>
      <w:r>
        <w:rPr>
          <w:rFonts w:hint="eastAsia" w:ascii="仿宋" w:hAnsi="仿宋" w:eastAsia="仿宋" w:cs="仿宋"/>
          <w:color w:val="auto"/>
          <w:sz w:val="24"/>
        </w:rPr>
        <w:t>标书的完整性及与采购文件的响应性</w:t>
      </w:r>
      <w:r>
        <w:rPr>
          <w:rFonts w:hint="eastAsia" w:ascii="仿宋" w:hAnsi="仿宋" w:eastAsia="仿宋" w:cs="仿宋"/>
          <w:color w:val="auto"/>
          <w:sz w:val="24"/>
          <w:lang w:eastAsia="zh-CN"/>
        </w:rPr>
        <w:t>、</w:t>
      </w:r>
      <w:r>
        <w:rPr>
          <w:rFonts w:hint="eastAsia" w:ascii="仿宋" w:hAnsi="仿宋" w:eastAsia="仿宋" w:cs="仿宋"/>
          <w:color w:val="auto"/>
          <w:sz w:val="24"/>
        </w:rPr>
        <w:t>施工设计目标任务、工作内容、工程布置、施工方案、工程量、进度安排的明确清晰程度及合理性；工作方法的可行性、技术要求的明确程度</w:t>
      </w:r>
      <w:r>
        <w:rPr>
          <w:rFonts w:hint="eastAsia" w:ascii="仿宋" w:hAnsi="仿宋" w:eastAsia="仿宋" w:cs="仿宋"/>
          <w:color w:val="auto"/>
          <w:sz w:val="24"/>
          <w:lang w:eastAsia="zh-CN"/>
        </w:rPr>
        <w:t>、</w:t>
      </w:r>
      <w:r>
        <w:rPr>
          <w:rFonts w:hint="eastAsia" w:ascii="仿宋" w:hAnsi="仿宋" w:eastAsia="仿宋" w:cs="仿宋"/>
          <w:color w:val="auto"/>
          <w:sz w:val="24"/>
        </w:rPr>
        <w:t>施工设计图内容是否齐全</w:t>
      </w:r>
      <w:r>
        <w:rPr>
          <w:rFonts w:hint="eastAsia" w:ascii="仿宋" w:hAnsi="仿宋" w:eastAsia="仿宋" w:cs="仿宋"/>
          <w:color w:val="auto"/>
          <w:sz w:val="24"/>
          <w:lang w:eastAsia="zh-CN"/>
        </w:rPr>
        <w:t>、</w:t>
      </w:r>
      <w:r>
        <w:rPr>
          <w:rFonts w:hint="eastAsia" w:ascii="仿宋" w:hAnsi="仿宋" w:eastAsia="仿宋" w:cs="仿宋"/>
          <w:color w:val="auto"/>
          <w:sz w:val="24"/>
        </w:rPr>
        <w:t>设计图规范、图面美观</w:t>
      </w:r>
      <w:r>
        <w:rPr>
          <w:rFonts w:hint="eastAsia" w:ascii="仿宋" w:hAnsi="仿宋" w:eastAsia="仿宋" w:cs="仿宋"/>
          <w:color w:val="auto"/>
          <w:sz w:val="24"/>
          <w:lang w:eastAsia="zh-CN"/>
        </w:rPr>
        <w:t>、</w:t>
      </w:r>
      <w:r>
        <w:rPr>
          <w:rFonts w:hint="eastAsia" w:ascii="仿宋" w:hAnsi="仿宋" w:eastAsia="仿宋" w:cs="仿宋"/>
          <w:color w:val="auto"/>
          <w:sz w:val="24"/>
        </w:rPr>
        <w:t>设计参数标注是否齐全完整</w:t>
      </w:r>
      <w:r>
        <w:rPr>
          <w:rFonts w:hint="eastAsia" w:ascii="仿宋" w:hAnsi="仿宋" w:eastAsia="仿宋" w:cs="仿宋"/>
          <w:color w:val="auto"/>
          <w:sz w:val="24"/>
          <w:lang w:eastAsia="zh-CN"/>
        </w:rPr>
        <w:t>、</w:t>
      </w:r>
      <w:r>
        <w:rPr>
          <w:rFonts w:hint="eastAsia" w:ascii="仿宋" w:hAnsi="仿宋" w:eastAsia="仿宋" w:cs="仿宋"/>
          <w:color w:val="auto"/>
          <w:sz w:val="24"/>
        </w:rPr>
        <w:t>施工组织设计内容是否齐全完整</w:t>
      </w:r>
      <w:r>
        <w:rPr>
          <w:rFonts w:hint="eastAsia" w:ascii="仿宋" w:hAnsi="仿宋" w:eastAsia="仿宋" w:cs="仿宋"/>
          <w:color w:val="auto"/>
          <w:sz w:val="24"/>
          <w:lang w:eastAsia="zh-CN"/>
        </w:rPr>
        <w:t>、</w:t>
      </w:r>
      <w:r>
        <w:rPr>
          <w:rFonts w:hint="eastAsia" w:ascii="仿宋" w:hAnsi="仿宋" w:eastAsia="仿宋" w:cs="仿宋"/>
          <w:color w:val="auto"/>
          <w:sz w:val="24"/>
        </w:rPr>
        <w:t>工作方法应与施工图设计相衔接，技术要求应符合当地实际</w:t>
      </w:r>
      <w:r>
        <w:rPr>
          <w:rFonts w:hint="eastAsia" w:ascii="仿宋" w:hAnsi="仿宋" w:eastAsia="仿宋" w:cs="仿宋"/>
          <w:color w:val="auto"/>
          <w:sz w:val="24"/>
          <w:lang w:eastAsia="zh-CN"/>
        </w:rPr>
        <w:t>，</w:t>
      </w:r>
      <w:r>
        <w:rPr>
          <w:rFonts w:hint="eastAsia" w:ascii="仿宋" w:hAnsi="仿宋" w:eastAsia="仿宋" w:cs="仿宋"/>
          <w:color w:val="auto"/>
          <w:sz w:val="24"/>
        </w:rPr>
        <w:t>满足相关标准、规范，施工组织严密，附施工平面图</w:t>
      </w:r>
      <w:r>
        <w:rPr>
          <w:rFonts w:hint="eastAsia" w:ascii="仿宋" w:hAnsi="仿宋" w:eastAsia="仿宋" w:cs="仿宋"/>
          <w:color w:val="auto"/>
          <w:sz w:val="24"/>
          <w:lang w:eastAsia="zh-CN"/>
        </w:rPr>
        <w:t>、</w:t>
      </w:r>
      <w:r>
        <w:rPr>
          <w:rFonts w:hint="eastAsia" w:ascii="仿宋" w:hAnsi="仿宋" w:eastAsia="仿宋" w:cs="仿宋"/>
          <w:color w:val="auto"/>
          <w:sz w:val="24"/>
        </w:rPr>
        <w:t>预期成果的全面程度</w:t>
      </w:r>
      <w:r>
        <w:rPr>
          <w:rFonts w:hint="eastAsia" w:ascii="仿宋" w:hAnsi="仿宋" w:eastAsia="仿宋" w:cs="仿宋"/>
          <w:color w:val="auto"/>
          <w:sz w:val="24"/>
          <w:lang w:eastAsia="zh-CN"/>
        </w:rPr>
        <w:t>、</w:t>
      </w:r>
      <w:r>
        <w:rPr>
          <w:rFonts w:hint="eastAsia" w:ascii="仿宋" w:hAnsi="仿宋" w:eastAsia="仿宋" w:cs="仿宋"/>
          <w:color w:val="auto"/>
          <w:sz w:val="24"/>
        </w:rPr>
        <w:t>组织管理、质量、进度、安全、环境的保障体系及主要措施</w:t>
      </w:r>
      <w:r>
        <w:rPr>
          <w:rFonts w:hint="eastAsia" w:ascii="仿宋" w:hAnsi="仿宋" w:eastAsia="仿宋" w:cs="仿宋"/>
          <w:color w:val="auto"/>
          <w:sz w:val="24"/>
          <w:lang w:eastAsia="zh-CN"/>
        </w:rPr>
        <w:t>等方面进行评审。</w:t>
      </w:r>
    </w:p>
    <w:p>
      <w:pPr>
        <w:pStyle w:val="22"/>
        <w:tabs>
          <w:tab w:val="center" w:pos="4140"/>
          <w:tab w:val="right" w:pos="8300"/>
          <w:tab w:val="clear" w:pos="4153"/>
          <w:tab w:val="clear" w:pos="8306"/>
        </w:tabs>
        <w:spacing w:line="440" w:lineRule="exact"/>
        <w:ind w:firstLine="480" w:firstLineChars="200"/>
        <w:jc w:val="both"/>
        <w:rPr>
          <w:rFonts w:ascii="仿宋" w:hAnsi="仿宋" w:eastAsia="仿宋" w:cs="仿宋"/>
          <w:color w:val="auto"/>
          <w:sz w:val="24"/>
        </w:rPr>
      </w:pPr>
      <w:r>
        <w:rPr>
          <w:rFonts w:hint="eastAsia" w:ascii="仿宋" w:hAnsi="仿宋" w:eastAsia="仿宋" w:cs="仿宋"/>
          <w:color w:val="auto"/>
          <w:sz w:val="24"/>
        </w:rPr>
        <w:t>标项</w:t>
      </w:r>
      <w:r>
        <w:rPr>
          <w:rFonts w:hint="eastAsia" w:ascii="仿宋" w:hAnsi="仿宋" w:eastAsia="仿宋" w:cs="仿宋"/>
          <w:color w:val="auto"/>
          <w:sz w:val="24"/>
          <w:lang w:val="en-US" w:eastAsia="zh-CN"/>
        </w:rPr>
        <w:t>五</w:t>
      </w:r>
      <w:r>
        <w:rPr>
          <w:rFonts w:hint="eastAsia" w:ascii="仿宋" w:hAnsi="仿宋" w:eastAsia="仿宋" w:cs="仿宋"/>
          <w:color w:val="auto"/>
          <w:sz w:val="24"/>
        </w:rPr>
        <w:t>：技术投标文件</w:t>
      </w:r>
      <w:r>
        <w:rPr>
          <w:rFonts w:hint="eastAsia" w:ascii="仿宋" w:hAnsi="仿宋" w:eastAsia="仿宋" w:cs="仿宋"/>
          <w:color w:val="auto"/>
          <w:sz w:val="24"/>
          <w:lang w:val="zh-CN"/>
        </w:rPr>
        <w:t>将从与采购文件的响应性，编制依据、目标任务，技术方案，供应设备的技术条款、技术参数、技术指标、设备质保及其他指标，基础施工、设备安装及设备管理，设备安装，绩效目标，预期成果，组织管理机构、主要技术人员配备，设备配置应齐备，工程实施计划、培训计划、售后服务计划 ，质量、进度、安全的保障体系等</w:t>
      </w:r>
      <w:r>
        <w:rPr>
          <w:rFonts w:hint="eastAsia" w:ascii="仿宋" w:hAnsi="仿宋" w:eastAsia="仿宋" w:cs="仿宋"/>
          <w:color w:val="auto"/>
          <w:sz w:val="24"/>
        </w:rPr>
        <w:t>方面进行评审。</w:t>
      </w:r>
    </w:p>
    <w:p>
      <w:pPr>
        <w:pStyle w:val="22"/>
        <w:tabs>
          <w:tab w:val="center" w:pos="4140"/>
          <w:tab w:val="right" w:pos="8300"/>
          <w:tab w:val="clear" w:pos="4153"/>
          <w:tab w:val="clear" w:pos="8306"/>
        </w:tabs>
        <w:spacing w:line="440" w:lineRule="exact"/>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标项六：</w:t>
      </w:r>
      <w:r>
        <w:rPr>
          <w:rFonts w:hint="eastAsia" w:ascii="仿宋" w:hAnsi="仿宋" w:eastAsia="仿宋" w:cs="仿宋"/>
          <w:color w:val="auto"/>
          <w:sz w:val="24"/>
          <w:lang w:val="zh-CN"/>
        </w:rPr>
        <w:t>技术标将从标书与</w:t>
      </w:r>
      <w:r>
        <w:rPr>
          <w:rFonts w:hint="eastAsia" w:ascii="仿宋" w:hAnsi="仿宋" w:eastAsia="仿宋" w:cs="仿宋"/>
          <w:color w:val="auto"/>
          <w:sz w:val="24"/>
        </w:rPr>
        <w:t>采购</w:t>
      </w:r>
      <w:r>
        <w:rPr>
          <w:rFonts w:hint="eastAsia" w:ascii="仿宋" w:hAnsi="仿宋" w:eastAsia="仿宋" w:cs="仿宋"/>
          <w:color w:val="auto"/>
          <w:sz w:val="24"/>
          <w:lang w:val="zh-CN"/>
        </w:rPr>
        <w:t>文件的响应性或完整性、监理工作范围、内容、目标及依据、监理机构和组织形式健全、监理工作程序的合理性，技术要求的可行性、技术要求及措施的合理性、预期成果应包括、监理工作总结、质量评估报告、人员配置等方面进行评价。</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lang w:val="zh-CN"/>
        </w:rPr>
        <w:t>为了便于查找，请</w:t>
      </w:r>
      <w:r>
        <w:rPr>
          <w:rFonts w:hint="eastAsia" w:ascii="仿宋" w:hAnsi="仿宋" w:eastAsia="仿宋" w:cs="仿宋"/>
          <w:color w:val="auto"/>
          <w:sz w:val="24"/>
        </w:rPr>
        <w:t>编制目录</w:t>
      </w:r>
      <w:r>
        <w:rPr>
          <w:rFonts w:hint="eastAsia" w:ascii="仿宋" w:hAnsi="仿宋" w:eastAsia="仿宋" w:cs="仿宋"/>
          <w:color w:val="auto"/>
          <w:sz w:val="24"/>
          <w:lang w:val="zh-CN"/>
        </w:rPr>
        <w:t>，并在目录中注明每项内容的页码。</w:t>
      </w:r>
    </w:p>
    <w:p>
      <w:pPr>
        <w:rPr>
          <w:color w:val="auto"/>
        </w:rPr>
      </w:pPr>
    </w:p>
    <w:p>
      <w:pPr>
        <w:pStyle w:val="11"/>
        <w:ind w:firstLine="723" w:firstLineChars="300"/>
        <w:rPr>
          <w:rFonts w:ascii="仿宋" w:hAnsi="仿宋" w:eastAsia="仿宋" w:cs="仿宋"/>
          <w:b/>
          <w:bCs/>
          <w:color w:val="auto"/>
        </w:rPr>
      </w:pPr>
    </w:p>
    <w:p>
      <w:pPr>
        <w:rPr>
          <w:color w:val="auto"/>
        </w:rPr>
      </w:pPr>
      <w:r>
        <w:rPr>
          <w:rFonts w:hint="eastAsia"/>
          <w:color w:val="auto"/>
        </w:rPr>
        <w:br w:type="page"/>
      </w:r>
    </w:p>
    <w:p>
      <w:pPr>
        <w:spacing w:line="240" w:lineRule="atLeast"/>
        <w:ind w:left="1080" w:leftChars="257" w:hanging="540"/>
        <w:jc w:val="center"/>
        <w:rPr>
          <w:rFonts w:ascii="仿宋" w:hAnsi="仿宋" w:eastAsia="仿宋" w:cs="仿宋"/>
          <w:color w:val="auto"/>
          <w:sz w:val="24"/>
        </w:rPr>
      </w:pPr>
    </w:p>
    <w:p>
      <w:pPr>
        <w:pStyle w:val="7"/>
        <w:tabs>
          <w:tab w:val="left" w:pos="0"/>
        </w:tabs>
        <w:spacing w:before="0" w:after="0" w:line="240" w:lineRule="atLeast"/>
        <w:rPr>
          <w:rFonts w:ascii="仿宋" w:hAnsi="仿宋" w:eastAsia="仿宋" w:cs="仿宋"/>
          <w:color w:val="auto"/>
        </w:rPr>
      </w:pPr>
      <w:bookmarkStart w:id="278" w:name="_Toc518923126"/>
      <w:bookmarkStart w:id="279" w:name="_Toc219175638"/>
      <w:bookmarkStart w:id="280" w:name="_Toc216582825"/>
      <w:bookmarkStart w:id="281" w:name="_Toc507399906"/>
      <w:bookmarkStart w:id="282" w:name="_Toc218935354"/>
      <w:bookmarkStart w:id="283" w:name="_Toc27701"/>
      <w:bookmarkStart w:id="284" w:name="_Toc20348"/>
      <w:bookmarkStart w:id="285" w:name="_Toc219175635"/>
      <w:bookmarkStart w:id="286" w:name="_Toc218935351"/>
      <w:bookmarkStart w:id="287" w:name="_Toc216513787"/>
      <w:bookmarkStart w:id="288" w:name="_Toc216582811"/>
      <w:r>
        <w:rPr>
          <w:rFonts w:hint="eastAsia" w:ascii="仿宋" w:hAnsi="仿宋" w:eastAsia="仿宋" w:cs="仿宋"/>
          <w:color w:val="auto"/>
        </w:rPr>
        <w:t xml:space="preserve">第5章   </w:t>
      </w:r>
      <w:bookmarkEnd w:id="278"/>
      <w:bookmarkEnd w:id="279"/>
      <w:bookmarkEnd w:id="280"/>
      <w:bookmarkEnd w:id="281"/>
      <w:bookmarkEnd w:id="282"/>
      <w:r>
        <w:rPr>
          <w:rFonts w:hint="eastAsia" w:ascii="仿宋" w:hAnsi="仿宋" w:eastAsia="仿宋" w:cs="仿宋"/>
          <w:color w:val="auto"/>
        </w:rPr>
        <w:t>采购需求</w:t>
      </w:r>
      <w:bookmarkEnd w:id="283"/>
      <w:bookmarkEnd w:id="284"/>
    </w:p>
    <w:p>
      <w:pPr>
        <w:rPr>
          <w:color w:val="auto"/>
        </w:rPr>
      </w:pPr>
    </w:p>
    <w:p>
      <w:pPr>
        <w:spacing w:line="440" w:lineRule="exact"/>
        <w:ind w:left="363"/>
        <w:jc w:val="center"/>
        <w:outlineLvl w:val="1"/>
        <w:rPr>
          <w:rFonts w:hint="eastAsia" w:ascii="仿宋" w:hAnsi="仿宋" w:eastAsia="仿宋" w:cs="仿宋"/>
          <w:b/>
          <w:bCs/>
          <w:color w:val="auto"/>
          <w:kern w:val="0"/>
          <w:sz w:val="32"/>
          <w:szCs w:val="22"/>
        </w:rPr>
      </w:pPr>
      <w:bookmarkStart w:id="289" w:name="_Toc25120"/>
      <w:bookmarkStart w:id="290" w:name="_Toc26350"/>
      <w:r>
        <w:rPr>
          <w:rFonts w:hint="eastAsia" w:ascii="仿宋" w:hAnsi="仿宋" w:eastAsia="仿宋" w:cs="仿宋"/>
          <w:b/>
          <w:bCs/>
          <w:color w:val="auto"/>
          <w:kern w:val="0"/>
          <w:sz w:val="32"/>
          <w:szCs w:val="22"/>
        </w:rPr>
        <w:t>标项一：新疆</w:t>
      </w:r>
      <w:r>
        <w:rPr>
          <w:rFonts w:hint="eastAsia" w:ascii="仿宋" w:hAnsi="仿宋" w:eastAsia="仿宋" w:cs="仿宋"/>
          <w:b/>
          <w:bCs/>
          <w:color w:val="auto"/>
          <w:kern w:val="0"/>
          <w:sz w:val="32"/>
          <w:szCs w:val="22"/>
          <w:lang w:eastAsia="zh-CN"/>
        </w:rPr>
        <w:t>阿克陶县</w:t>
      </w:r>
      <w:r>
        <w:rPr>
          <w:rFonts w:hint="eastAsia" w:ascii="仿宋" w:hAnsi="仿宋" w:eastAsia="仿宋" w:cs="仿宋"/>
          <w:b/>
          <w:bCs/>
          <w:color w:val="auto"/>
          <w:kern w:val="0"/>
          <w:sz w:val="32"/>
          <w:szCs w:val="22"/>
        </w:rPr>
        <w:t>地质灾害风险调查评价</w:t>
      </w:r>
      <w:bookmarkEnd w:id="289"/>
      <w:bookmarkEnd w:id="290"/>
    </w:p>
    <w:p>
      <w:pPr>
        <w:spacing w:line="560" w:lineRule="exact"/>
        <w:ind w:firstLine="480" w:firstLineChars="200"/>
        <w:rPr>
          <w:rStyle w:val="73"/>
          <w:rFonts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Style w:val="73"/>
          <w:rFonts w:hint="eastAsia" w:ascii="仿宋" w:hAnsi="仿宋" w:eastAsia="仿宋" w:cs="仿宋"/>
          <w:color w:val="auto"/>
          <w:sz w:val="24"/>
          <w:szCs w:val="24"/>
        </w:rPr>
      </w:pPr>
      <w:bookmarkStart w:id="291" w:name="_Toc13050"/>
      <w:r>
        <w:rPr>
          <w:rStyle w:val="73"/>
          <w:rFonts w:hint="eastAsia" w:ascii="仿宋" w:hAnsi="仿宋" w:eastAsia="仿宋" w:cs="仿宋"/>
          <w:color w:val="auto"/>
          <w:sz w:val="24"/>
          <w:szCs w:val="24"/>
        </w:rPr>
        <w:t>一、项目名称、编号和经费</w:t>
      </w:r>
      <w:bookmarkEnd w:id="291"/>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项目名称：新疆</w:t>
      </w:r>
      <w:r>
        <w:rPr>
          <w:rStyle w:val="73"/>
          <w:rFonts w:hint="eastAsia" w:ascii="仿宋" w:hAnsi="仿宋" w:eastAsia="仿宋" w:cs="仿宋"/>
          <w:color w:val="auto"/>
          <w:sz w:val="24"/>
          <w:szCs w:val="24"/>
          <w:lang w:eastAsia="zh-CN"/>
        </w:rPr>
        <w:t>阿克陶县</w:t>
      </w:r>
      <w:r>
        <w:rPr>
          <w:rStyle w:val="73"/>
          <w:rFonts w:hint="eastAsia" w:ascii="仿宋" w:hAnsi="仿宋" w:eastAsia="仿宋" w:cs="仿宋"/>
          <w:color w:val="auto"/>
          <w:sz w:val="24"/>
          <w:szCs w:val="24"/>
        </w:rPr>
        <w:t>地质灾害风险调查评价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仿宋" w:hAnsi="仿宋" w:eastAsia="仿宋" w:cs="仿宋"/>
          <w:color w:val="auto"/>
          <w:sz w:val="24"/>
          <w:szCs w:val="24"/>
          <w:lang w:val="en-US" w:eastAsia="zh-CN"/>
        </w:rPr>
      </w:pPr>
      <w:r>
        <w:rPr>
          <w:rStyle w:val="73"/>
          <w:rFonts w:hint="eastAsia" w:ascii="仿宋" w:hAnsi="仿宋" w:eastAsia="仿宋" w:cs="仿宋"/>
          <w:color w:val="auto"/>
          <w:sz w:val="24"/>
          <w:szCs w:val="24"/>
        </w:rPr>
        <w:t>项目编号：</w:t>
      </w:r>
      <w:r>
        <w:rPr>
          <w:rStyle w:val="73"/>
          <w:rFonts w:ascii="仿宋" w:hAnsi="仿宋" w:eastAsia="仿宋" w:cs="仿宋"/>
          <w:color w:val="auto"/>
          <w:sz w:val="24"/>
          <w:szCs w:val="24"/>
          <w:lang w:eastAsia="zh-CN"/>
        </w:rPr>
        <w:t>GYZB-KZDZFZ2023</w:t>
      </w:r>
      <w:r>
        <w:rPr>
          <w:rStyle w:val="73"/>
          <w:rFonts w:ascii="仿宋" w:hAnsi="仿宋" w:eastAsia="仿宋" w:cs="仿宋"/>
          <w:color w:val="auto"/>
          <w:sz w:val="24"/>
          <w:szCs w:val="24"/>
        </w:rPr>
        <w:t>-0</w:t>
      </w:r>
      <w:r>
        <w:rPr>
          <w:rStyle w:val="73"/>
          <w:rFonts w:hint="eastAsia" w:ascii="仿宋" w:hAnsi="仿宋" w:eastAsia="仿宋" w:cs="仿宋"/>
          <w:color w:val="auto"/>
          <w:sz w:val="24"/>
          <w:szCs w:val="24"/>
          <w:lang w:val="en-US" w:eastAsia="zh-CN"/>
        </w:rPr>
        <w:t>1-01</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仿宋" w:hAnsi="仿宋" w:eastAsia="仿宋" w:cs="仿宋"/>
          <w:color w:val="auto"/>
          <w:sz w:val="24"/>
          <w:szCs w:val="24"/>
          <w:lang w:val="en-US" w:eastAsia="zh-CN"/>
        </w:rPr>
      </w:pPr>
      <w:r>
        <w:rPr>
          <w:rStyle w:val="73"/>
          <w:rFonts w:hint="eastAsia" w:ascii="仿宋" w:hAnsi="仿宋" w:eastAsia="仿宋" w:cs="仿宋"/>
          <w:color w:val="auto"/>
          <w:sz w:val="24"/>
          <w:szCs w:val="24"/>
        </w:rPr>
        <w:t>项目费用</w:t>
      </w:r>
      <w:r>
        <w:rPr>
          <w:rStyle w:val="73"/>
          <w:rFonts w:hint="eastAsia" w:ascii="仿宋" w:hAnsi="仿宋" w:eastAsia="仿宋" w:cs="仿宋"/>
          <w:color w:val="auto"/>
          <w:sz w:val="24"/>
          <w:szCs w:val="24"/>
          <w:lang w:val="en-US" w:eastAsia="zh-CN"/>
        </w:rPr>
        <w:t>人民币</w:t>
      </w:r>
      <w:r>
        <w:rPr>
          <w:rStyle w:val="73"/>
          <w:rFonts w:hint="eastAsia" w:ascii="仿宋" w:hAnsi="仿宋" w:eastAsia="仿宋" w:cs="仿宋"/>
          <w:color w:val="auto"/>
          <w:sz w:val="24"/>
          <w:szCs w:val="24"/>
        </w:rPr>
        <w:t>：1</w:t>
      </w:r>
      <w:r>
        <w:rPr>
          <w:rStyle w:val="73"/>
          <w:rFonts w:hint="eastAsia" w:ascii="仿宋" w:hAnsi="仿宋" w:eastAsia="仿宋" w:cs="仿宋"/>
          <w:color w:val="auto"/>
          <w:sz w:val="24"/>
          <w:szCs w:val="24"/>
          <w:lang w:val="en-US" w:eastAsia="zh-CN"/>
        </w:rPr>
        <w:t>3</w:t>
      </w:r>
      <w:r>
        <w:rPr>
          <w:rStyle w:val="73"/>
          <w:rFonts w:hint="eastAsia" w:ascii="仿宋" w:hAnsi="仿宋" w:eastAsia="仿宋" w:cs="仿宋"/>
          <w:color w:val="auto"/>
          <w:sz w:val="24"/>
          <w:szCs w:val="24"/>
        </w:rPr>
        <w:t>0万元</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lang w:val="en-US" w:eastAsia="zh-CN"/>
        </w:rPr>
        <w:t>壹佰叁拾万元整）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Style w:val="73"/>
          <w:rFonts w:hint="eastAsia" w:ascii="仿宋" w:hAnsi="仿宋" w:eastAsia="仿宋" w:cs="仿宋"/>
          <w:color w:val="auto"/>
          <w:sz w:val="24"/>
          <w:szCs w:val="24"/>
        </w:rPr>
      </w:pPr>
      <w:bookmarkStart w:id="292" w:name="_Toc6282"/>
      <w:r>
        <w:rPr>
          <w:rStyle w:val="73"/>
          <w:rFonts w:hint="eastAsia" w:ascii="仿宋" w:hAnsi="仿宋" w:eastAsia="仿宋" w:cs="仿宋"/>
          <w:color w:val="auto"/>
          <w:sz w:val="24"/>
          <w:szCs w:val="24"/>
        </w:rPr>
        <w:t>二、工作范围和面积</w:t>
      </w:r>
      <w:bookmarkEnd w:id="292"/>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本次工作区范围为</w:t>
      </w:r>
      <w:r>
        <w:rPr>
          <w:rStyle w:val="73"/>
          <w:rFonts w:hint="eastAsia" w:ascii="仿宋" w:hAnsi="仿宋" w:eastAsia="仿宋" w:cs="仿宋"/>
          <w:color w:val="auto"/>
          <w:sz w:val="24"/>
          <w:szCs w:val="24"/>
          <w:lang w:eastAsia="zh-CN"/>
        </w:rPr>
        <w:t>阿克陶县</w:t>
      </w:r>
      <w:r>
        <w:rPr>
          <w:rStyle w:val="73"/>
          <w:rFonts w:hint="eastAsia" w:ascii="仿宋" w:hAnsi="仿宋" w:eastAsia="仿宋" w:cs="仿宋"/>
          <w:color w:val="auto"/>
          <w:sz w:val="24"/>
          <w:szCs w:val="24"/>
        </w:rPr>
        <w:t>行政区范围，总面积约25062.16平方千米（以三调成果数据为准）。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Style w:val="73"/>
          <w:rFonts w:hint="eastAsia" w:ascii="仿宋" w:hAnsi="仿宋" w:eastAsia="仿宋" w:cs="仿宋"/>
          <w:color w:val="auto"/>
          <w:sz w:val="24"/>
          <w:szCs w:val="24"/>
        </w:rPr>
      </w:pPr>
      <w:bookmarkStart w:id="293" w:name="_Toc20398"/>
      <w:r>
        <w:rPr>
          <w:rStyle w:val="73"/>
          <w:rFonts w:hint="eastAsia" w:ascii="仿宋" w:hAnsi="仿宋" w:eastAsia="仿宋" w:cs="仿宋"/>
          <w:color w:val="auto"/>
          <w:sz w:val="24"/>
          <w:szCs w:val="24"/>
        </w:rPr>
        <w:t>三、自然经济地理</w:t>
      </w:r>
      <w:bookmarkEnd w:id="293"/>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阿克陶县</w:t>
      </w:r>
      <w:bookmarkStart w:id="294" w:name="_Hlk120181828"/>
      <w:r>
        <w:rPr>
          <w:rStyle w:val="73"/>
          <w:rFonts w:hint="eastAsia" w:ascii="仿宋" w:hAnsi="仿宋" w:eastAsia="仿宋" w:cs="仿宋"/>
          <w:color w:val="auto"/>
          <w:sz w:val="24"/>
          <w:szCs w:val="24"/>
          <w:lang w:eastAsia="zh-CN"/>
        </w:rPr>
        <w:t>位于新疆西南部，帕米尔高原东部，塔里木盆地西南缘。</w:t>
      </w:r>
      <w:bookmarkEnd w:id="294"/>
      <w:r>
        <w:rPr>
          <w:rStyle w:val="73"/>
          <w:rFonts w:hint="eastAsia" w:ascii="仿宋" w:hAnsi="仿宋" w:eastAsia="仿宋" w:cs="仿宋"/>
          <w:color w:val="auto"/>
          <w:sz w:val="24"/>
          <w:szCs w:val="24"/>
          <w:lang w:eastAsia="zh-CN"/>
        </w:rPr>
        <w:t>东与英吉沙县、莎车县相连，北与乌恰县、疏附县、疏勒县为邻，南与塔什库尔干塔吉克自治县相接，西与塔吉克斯坦、吉尔吉斯斯坦接壤。地理</w:t>
      </w:r>
      <w:r>
        <w:rPr>
          <w:rStyle w:val="73"/>
          <w:rFonts w:hint="eastAsia" w:ascii="仿宋" w:hAnsi="仿宋" w:eastAsia="仿宋" w:cs="仿宋"/>
          <w:color w:val="auto"/>
          <w:sz w:val="24"/>
          <w:szCs w:val="24"/>
          <w:lang w:val="en-US" w:eastAsia="zh-CN"/>
        </w:rPr>
        <w:t>坐标：</w:t>
      </w:r>
      <w:r>
        <w:rPr>
          <w:rStyle w:val="73"/>
          <w:rFonts w:hint="eastAsia" w:ascii="仿宋" w:hAnsi="仿宋" w:eastAsia="仿宋" w:cs="仿宋"/>
          <w:color w:val="auto"/>
          <w:sz w:val="24"/>
          <w:szCs w:val="24"/>
          <w:lang w:eastAsia="zh-CN"/>
        </w:rPr>
        <w:t>东经73°26′05〃</w:t>
      </w:r>
      <w:r>
        <w:rPr>
          <w:rStyle w:val="73"/>
          <w:rFonts w:hint="eastAsia" w:ascii="仿宋" w:hAnsi="仿宋" w:eastAsia="仿宋" w:cs="仿宋"/>
          <w:color w:val="auto"/>
          <w:sz w:val="24"/>
          <w:szCs w:val="24"/>
          <w:lang w:val="en-US" w:eastAsia="zh-CN"/>
        </w:rPr>
        <w:t>-</w:t>
      </w:r>
      <w:r>
        <w:rPr>
          <w:rStyle w:val="73"/>
          <w:rFonts w:hint="eastAsia" w:ascii="仿宋" w:hAnsi="仿宋" w:eastAsia="仿宋" w:cs="仿宋"/>
          <w:color w:val="auto"/>
          <w:sz w:val="24"/>
          <w:szCs w:val="24"/>
          <w:lang w:eastAsia="zh-CN"/>
        </w:rPr>
        <w:t>76°43′31〃、北纬37°41′28〃</w:t>
      </w:r>
      <w:r>
        <w:rPr>
          <w:rStyle w:val="73"/>
          <w:rFonts w:hint="eastAsia" w:ascii="仿宋" w:hAnsi="仿宋" w:eastAsia="仿宋" w:cs="仿宋"/>
          <w:color w:val="auto"/>
          <w:sz w:val="24"/>
          <w:szCs w:val="24"/>
          <w:lang w:val="en-US" w:eastAsia="zh-CN"/>
        </w:rPr>
        <w:t>-</w:t>
      </w:r>
      <w:r>
        <w:rPr>
          <w:rStyle w:val="73"/>
          <w:rFonts w:hint="eastAsia" w:ascii="仿宋" w:hAnsi="仿宋" w:eastAsia="仿宋" w:cs="仿宋"/>
          <w:color w:val="auto"/>
          <w:sz w:val="24"/>
          <w:szCs w:val="24"/>
          <w:lang w:eastAsia="zh-CN"/>
        </w:rPr>
        <w:t>39°29′55〃之间，东西长283.2</w:t>
      </w:r>
      <w:r>
        <w:rPr>
          <w:rStyle w:val="73"/>
          <w:rFonts w:hint="eastAsia" w:ascii="仿宋" w:hAnsi="仿宋" w:eastAsia="仿宋" w:cs="仿宋"/>
          <w:color w:val="auto"/>
          <w:sz w:val="24"/>
          <w:szCs w:val="24"/>
          <w:lang w:val="en-US" w:eastAsia="zh-CN"/>
        </w:rPr>
        <w:t>千米</w:t>
      </w:r>
      <w:r>
        <w:rPr>
          <w:rStyle w:val="73"/>
          <w:rFonts w:hint="eastAsia" w:ascii="仿宋" w:hAnsi="仿宋" w:eastAsia="仿宋" w:cs="仿宋"/>
          <w:color w:val="auto"/>
          <w:sz w:val="24"/>
          <w:szCs w:val="24"/>
          <w:lang w:eastAsia="zh-CN"/>
        </w:rPr>
        <w:t>，南北宽216</w:t>
      </w:r>
      <w:r>
        <w:rPr>
          <w:rStyle w:val="73"/>
          <w:rFonts w:hint="eastAsia" w:ascii="仿宋" w:hAnsi="仿宋" w:eastAsia="仿宋" w:cs="仿宋"/>
          <w:color w:val="auto"/>
          <w:sz w:val="24"/>
          <w:szCs w:val="24"/>
          <w:lang w:val="en-US" w:eastAsia="zh-CN"/>
        </w:rPr>
        <w:t>千米</w:t>
      </w:r>
      <w:r>
        <w:rPr>
          <w:rStyle w:val="73"/>
          <w:rFonts w:hint="eastAsia" w:ascii="仿宋" w:hAnsi="仿宋" w:eastAsia="仿宋" w:cs="仿宋"/>
          <w:color w:val="auto"/>
          <w:sz w:val="24"/>
          <w:szCs w:val="24"/>
          <w:lang w:eastAsia="zh-CN"/>
        </w:rPr>
        <w:t>，面积约25062.16</w:t>
      </w:r>
      <w:r>
        <w:rPr>
          <w:rStyle w:val="73"/>
          <w:rFonts w:hint="eastAsia" w:ascii="仿宋" w:hAnsi="仿宋" w:eastAsia="仿宋" w:cs="仿宋"/>
          <w:color w:val="auto"/>
          <w:sz w:val="24"/>
          <w:szCs w:val="24"/>
        </w:rPr>
        <w:t>平方千米。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阿克陶县</w:t>
      </w:r>
      <w:r>
        <w:rPr>
          <w:rStyle w:val="73"/>
          <w:rFonts w:hint="eastAsia" w:ascii="仿宋" w:hAnsi="仿宋" w:eastAsia="仿宋" w:cs="仿宋"/>
          <w:color w:val="auto"/>
          <w:sz w:val="24"/>
          <w:szCs w:val="24"/>
        </w:rPr>
        <w:t>属暖温带极干旱气候区，四季分明，光照充足，昼夜温差大，无霜期长；海拔1500米以上的广大山区，属寒温带高原寒带干旱气候区，无明显的四季之分，仅有寒暖两季之别。年平均气温为0.08℃，年平均气温最低-2.0℃，最高1.9℃，极端最高气温为39.4℃，极端最低气温为-27.4℃；多年平均降水量约为10.21</w:t>
      </w:r>
      <w:r>
        <w:rPr>
          <w:rStyle w:val="73"/>
          <w:rFonts w:hint="eastAsia" w:ascii="仿宋" w:hAnsi="仿宋" w:eastAsia="仿宋" w:cs="仿宋"/>
          <w:color w:val="auto"/>
          <w:sz w:val="24"/>
          <w:szCs w:val="24"/>
          <w:lang w:val="en-US" w:eastAsia="zh-CN"/>
        </w:rPr>
        <w:t>毫米</w:t>
      </w:r>
      <w:r>
        <w:rPr>
          <w:rStyle w:val="73"/>
          <w:rFonts w:hint="eastAsia" w:ascii="仿宋" w:hAnsi="仿宋" w:eastAsia="仿宋" w:cs="仿宋"/>
          <w:color w:val="auto"/>
          <w:sz w:val="24"/>
          <w:szCs w:val="24"/>
        </w:rPr>
        <w:t>，年最大降水量17.3</w:t>
      </w:r>
      <w:r>
        <w:rPr>
          <w:rStyle w:val="73"/>
          <w:rFonts w:hint="eastAsia" w:ascii="仿宋" w:hAnsi="仿宋" w:eastAsia="仿宋" w:cs="仿宋"/>
          <w:color w:val="auto"/>
          <w:sz w:val="24"/>
          <w:szCs w:val="24"/>
          <w:lang w:val="en-US" w:eastAsia="zh-CN"/>
        </w:rPr>
        <w:t>毫米</w:t>
      </w:r>
      <w:r>
        <w:rPr>
          <w:rStyle w:val="73"/>
          <w:rFonts w:hint="eastAsia" w:ascii="仿宋" w:hAnsi="仿宋" w:eastAsia="仿宋" w:cs="仿宋"/>
          <w:color w:val="auto"/>
          <w:sz w:val="24"/>
          <w:szCs w:val="24"/>
        </w:rPr>
        <w:t>，年最少降水量5.3</w:t>
      </w:r>
      <w:r>
        <w:rPr>
          <w:rStyle w:val="73"/>
          <w:rFonts w:hint="eastAsia" w:ascii="仿宋" w:hAnsi="仿宋" w:eastAsia="仿宋" w:cs="仿宋"/>
          <w:color w:val="auto"/>
          <w:sz w:val="24"/>
          <w:szCs w:val="24"/>
          <w:lang w:val="en-US" w:eastAsia="zh-CN"/>
        </w:rPr>
        <w:t>毫米</w:t>
      </w:r>
      <w:r>
        <w:rPr>
          <w:rStyle w:val="73"/>
          <w:rFonts w:hint="eastAsia" w:ascii="仿宋" w:hAnsi="仿宋" w:eastAsia="仿宋" w:cs="仿宋"/>
          <w:color w:val="auto"/>
          <w:sz w:val="24"/>
          <w:szCs w:val="24"/>
        </w:rPr>
        <w:t>；多年平均日照时长约为224.91</w:t>
      </w:r>
      <w:r>
        <w:rPr>
          <w:rStyle w:val="73"/>
          <w:rFonts w:hint="eastAsia" w:ascii="仿宋" w:hAnsi="仿宋" w:eastAsia="仿宋" w:cs="仿宋"/>
          <w:color w:val="auto"/>
          <w:sz w:val="24"/>
          <w:szCs w:val="24"/>
          <w:lang w:val="en-US" w:eastAsia="zh-CN"/>
        </w:rPr>
        <w:t>时</w:t>
      </w:r>
      <w:r>
        <w:rPr>
          <w:rStyle w:val="73"/>
          <w:rFonts w:hint="eastAsia" w:ascii="仿宋" w:hAnsi="仿宋" w:eastAsia="仿宋" w:cs="仿宋"/>
          <w:color w:val="auto"/>
          <w:sz w:val="24"/>
          <w:szCs w:val="24"/>
        </w:rPr>
        <w:t>，每年的无霜期约为163天，大风日数11.9天，雷暴日数15.0天，浮尘日数41.7天。</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阿克陶县</w:t>
      </w:r>
      <w:r>
        <w:rPr>
          <w:rStyle w:val="73"/>
          <w:rFonts w:hint="eastAsia" w:ascii="仿宋" w:hAnsi="仿宋" w:eastAsia="仿宋" w:cs="仿宋"/>
          <w:color w:val="auto"/>
          <w:sz w:val="24"/>
          <w:szCs w:val="24"/>
        </w:rPr>
        <w:t>目前辖4镇、8乡、2个农牧场：阿克陶镇、奥依塔克镇、玉麦乡、皮拉勒乡、巴仁乡、加马铁力克乡、喀热开其克乡、克孜勒陶镇、布伦口乡、木吉乡、恰尔隆镇、塔尔乡、托塔依农场和阿克塔拉牧场。阿克陶县境内是一个多民族地区，有柯尔克孜族、维吾尔族、汉族、塔吉克族等10个常住民族，2019年末全县总人口230340人。2019年，全县实现生产总值（GDP）44.6108亿元，2018年同比增长5.6%。全县人均生产总值（GDP）19209.5元。</w:t>
      </w:r>
      <w:r>
        <w:rPr>
          <w:rStyle w:val="73"/>
          <w:rFonts w:hint="eastAsia" w:ascii="仿宋" w:hAnsi="仿宋" w:eastAsia="仿宋" w:cs="仿宋"/>
          <w:color w:val="auto"/>
          <w:sz w:val="24"/>
          <w:szCs w:val="24"/>
          <w:lang w:val="en-US" w:eastAsia="zh-CN"/>
        </w:rPr>
        <w:t>2</w:t>
      </w:r>
      <w:r>
        <w:rPr>
          <w:rStyle w:val="73"/>
          <w:rFonts w:hint="eastAsia" w:ascii="仿宋" w:hAnsi="仿宋" w:eastAsia="仿宋" w:cs="仿宋"/>
          <w:color w:val="auto"/>
          <w:sz w:val="24"/>
          <w:szCs w:val="24"/>
        </w:rPr>
        <w:t>019年，阿克陶县第一产业增加值72141万元，同比增长5%。第二产业增加值133285万元，同比增长2.2%。第三产业增加值240682万元，同比增长7.4%。一般公共预算收入40761万元，一般公共预算支出585037万元。2020年11月，阿克陶县脱贫摘帽、退出贫困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仿宋" w:hAnsi="仿宋" w:eastAsia="仿宋" w:cs="仿宋"/>
          <w:color w:val="auto"/>
          <w:sz w:val="24"/>
          <w:szCs w:val="24"/>
        </w:rPr>
      </w:pPr>
      <w:bookmarkStart w:id="295" w:name="_Toc25139"/>
      <w:r>
        <w:rPr>
          <w:rStyle w:val="73"/>
          <w:rFonts w:hint="eastAsia" w:ascii="仿宋" w:hAnsi="仿宋" w:eastAsia="仿宋" w:cs="仿宋"/>
          <w:color w:val="auto"/>
          <w:sz w:val="24"/>
          <w:szCs w:val="24"/>
        </w:rPr>
        <w:t>四、地质环境概况</w:t>
      </w:r>
      <w:bookmarkEnd w:id="295"/>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lang w:val="en-US" w:eastAsia="zh-CN"/>
        </w:rPr>
        <w:t>一</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rPr>
        <w:t>地形地貌与人类工程活动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阿克陶县海拔1180～7719</w:t>
      </w:r>
      <w:r>
        <w:rPr>
          <w:rStyle w:val="73"/>
          <w:rFonts w:hint="eastAsia" w:ascii="仿宋" w:hAnsi="仿宋" w:eastAsia="仿宋" w:cs="仿宋"/>
          <w:color w:val="auto"/>
          <w:sz w:val="24"/>
          <w:szCs w:val="24"/>
          <w:lang w:val="en-US" w:eastAsia="zh-CN"/>
        </w:rPr>
        <w:t>米</w:t>
      </w:r>
      <w:r>
        <w:rPr>
          <w:rStyle w:val="73"/>
          <w:rFonts w:hint="eastAsia" w:ascii="仿宋" w:hAnsi="仿宋" w:eastAsia="仿宋" w:cs="仿宋"/>
          <w:color w:val="auto"/>
          <w:sz w:val="24"/>
          <w:szCs w:val="24"/>
        </w:rPr>
        <w:t>，总的地形特点是山地多，平原少，西南高而东北低。山地面积占总面积的96.4％，平原区则占总面积的1.68％，少量的戈壁、荒漠占总面积的1.92％。东北部为绿洲平原，多为农田、林带、植被等覆盖，海拔在1180～1500</w:t>
      </w:r>
      <w:r>
        <w:rPr>
          <w:rStyle w:val="73"/>
          <w:rFonts w:hint="eastAsia" w:ascii="仿宋" w:hAnsi="仿宋" w:eastAsia="仿宋" w:cs="仿宋"/>
          <w:color w:val="auto"/>
          <w:sz w:val="24"/>
          <w:szCs w:val="24"/>
          <w:lang w:val="en-US" w:eastAsia="zh-CN"/>
        </w:rPr>
        <w:t>米</w:t>
      </w:r>
      <w:r>
        <w:rPr>
          <w:rStyle w:val="73"/>
          <w:rFonts w:hint="eastAsia" w:ascii="仿宋" w:hAnsi="仿宋" w:eastAsia="仿宋" w:cs="仿宋"/>
          <w:color w:val="auto"/>
          <w:sz w:val="24"/>
          <w:szCs w:val="24"/>
        </w:rPr>
        <w:t>之间。工作区绝大部分为山区，由东帕米尔高原和少部分的西昆仑山脉组成，海拔一般在4000～5000</w:t>
      </w:r>
      <w:r>
        <w:rPr>
          <w:rStyle w:val="73"/>
          <w:rFonts w:hint="eastAsia" w:ascii="仿宋" w:hAnsi="仿宋" w:eastAsia="仿宋" w:cs="仿宋"/>
          <w:color w:val="auto"/>
          <w:sz w:val="24"/>
          <w:szCs w:val="24"/>
          <w:lang w:val="en-US" w:eastAsia="zh-CN"/>
        </w:rPr>
        <w:t>米</w:t>
      </w:r>
      <w:r>
        <w:rPr>
          <w:rStyle w:val="73"/>
          <w:rFonts w:hint="eastAsia" w:ascii="仿宋" w:hAnsi="仿宋" w:eastAsia="仿宋" w:cs="仿宋"/>
          <w:color w:val="auto"/>
          <w:sz w:val="24"/>
          <w:szCs w:val="24"/>
        </w:rPr>
        <w:t>之间。西北部为昆盖山脉，海拔一般在5000～5800</w:t>
      </w:r>
      <w:r>
        <w:rPr>
          <w:rStyle w:val="73"/>
          <w:rFonts w:hint="eastAsia" w:ascii="仿宋" w:hAnsi="仿宋" w:eastAsia="仿宋" w:cs="仿宋"/>
          <w:color w:val="auto"/>
          <w:sz w:val="24"/>
          <w:szCs w:val="24"/>
          <w:lang w:val="en-US" w:eastAsia="zh-CN"/>
        </w:rPr>
        <w:t>米</w:t>
      </w:r>
      <w:r>
        <w:rPr>
          <w:rStyle w:val="73"/>
          <w:rFonts w:hint="eastAsia" w:ascii="仿宋" w:hAnsi="仿宋" w:eastAsia="仿宋" w:cs="仿宋"/>
          <w:color w:val="auto"/>
          <w:sz w:val="24"/>
          <w:szCs w:val="24"/>
        </w:rPr>
        <w:t>，西南部是萨雷阔勒岭，海拔多在4500</w:t>
      </w:r>
      <w:r>
        <w:rPr>
          <w:rStyle w:val="73"/>
          <w:rFonts w:hint="eastAsia" w:ascii="仿宋" w:hAnsi="仿宋" w:eastAsia="仿宋" w:cs="仿宋"/>
          <w:color w:val="auto"/>
          <w:sz w:val="24"/>
          <w:szCs w:val="24"/>
          <w:lang w:val="en-US" w:eastAsia="zh-CN"/>
        </w:rPr>
        <w:t>米</w:t>
      </w:r>
      <w:r>
        <w:rPr>
          <w:rStyle w:val="73"/>
          <w:rFonts w:hint="eastAsia" w:ascii="仿宋" w:hAnsi="仿宋" w:eastAsia="仿宋" w:cs="仿宋"/>
          <w:color w:val="auto"/>
          <w:sz w:val="24"/>
          <w:szCs w:val="24"/>
        </w:rPr>
        <w:t>以上；中部有著名的山脉：公格尔山，海拔7719</w:t>
      </w:r>
      <w:r>
        <w:rPr>
          <w:rStyle w:val="73"/>
          <w:rFonts w:hint="eastAsia" w:ascii="仿宋" w:hAnsi="仿宋" w:eastAsia="仿宋" w:cs="仿宋"/>
          <w:color w:val="auto"/>
          <w:sz w:val="24"/>
          <w:szCs w:val="24"/>
          <w:lang w:val="en-US" w:eastAsia="zh-CN"/>
        </w:rPr>
        <w:t>米</w:t>
      </w:r>
      <w:r>
        <w:rPr>
          <w:rStyle w:val="73"/>
          <w:rFonts w:hint="eastAsia" w:ascii="仿宋" w:hAnsi="仿宋" w:eastAsia="仿宋" w:cs="仿宋"/>
          <w:color w:val="auto"/>
          <w:sz w:val="24"/>
          <w:szCs w:val="24"/>
        </w:rPr>
        <w:t>，公格尔九别峰海拔7530</w:t>
      </w:r>
      <w:r>
        <w:rPr>
          <w:rStyle w:val="73"/>
          <w:rFonts w:hint="eastAsia" w:ascii="仿宋" w:hAnsi="仿宋" w:eastAsia="仿宋" w:cs="仿宋"/>
          <w:color w:val="auto"/>
          <w:sz w:val="24"/>
          <w:szCs w:val="24"/>
          <w:lang w:val="en-US" w:eastAsia="zh-CN"/>
        </w:rPr>
        <w:t>米</w:t>
      </w:r>
      <w:r>
        <w:rPr>
          <w:rStyle w:val="73"/>
          <w:rFonts w:hint="eastAsia" w:ascii="仿宋" w:hAnsi="仿宋" w:eastAsia="仿宋" w:cs="仿宋"/>
          <w:color w:val="auto"/>
          <w:sz w:val="24"/>
          <w:szCs w:val="24"/>
        </w:rPr>
        <w:t>，慕士塔格峰海拔7546</w:t>
      </w:r>
      <w:r>
        <w:rPr>
          <w:rStyle w:val="73"/>
          <w:rFonts w:hint="eastAsia" w:ascii="仿宋" w:hAnsi="仿宋" w:eastAsia="仿宋" w:cs="仿宋"/>
          <w:color w:val="auto"/>
          <w:sz w:val="24"/>
          <w:szCs w:val="24"/>
          <w:lang w:val="en-US" w:eastAsia="zh-CN"/>
        </w:rPr>
        <w:t>米</w:t>
      </w:r>
      <w:r>
        <w:rPr>
          <w:rStyle w:val="73"/>
          <w:rFonts w:hint="eastAsia" w:ascii="仿宋" w:hAnsi="仿宋" w:eastAsia="仿宋" w:cs="仿宋"/>
          <w:color w:val="auto"/>
          <w:sz w:val="24"/>
          <w:szCs w:val="24"/>
        </w:rPr>
        <w:t>。根据内外营力作用及地貌特征、地形的绝对和相对高度，将阿克陶县的地貌类型划分为侵蚀、剥蚀构造山地，构造剥蚀低山丘陵和堆积平原3个一级地貌单元；依据阿克陶县地貌形态成因，可划分为5个二级地貌单元：高山、极高山区、中山区、低山丘陵区、细土平原区、高山谷盆区。</w:t>
      </w:r>
      <w:r>
        <w:rPr>
          <w:rStyle w:val="73"/>
          <w:rFonts w:hint="eastAsia" w:ascii="仿宋" w:hAnsi="仿宋" w:eastAsia="仿宋" w:cs="仿宋"/>
          <w:color w:val="auto"/>
          <w:sz w:val="24"/>
          <w:szCs w:val="24"/>
          <w:lang w:val="en-US" w:eastAsia="zh-CN"/>
        </w:rPr>
        <w:t>阿克陶县</w:t>
      </w:r>
      <w:r>
        <w:rPr>
          <w:rStyle w:val="73"/>
          <w:rFonts w:hint="eastAsia" w:ascii="仿宋" w:hAnsi="仿宋" w:eastAsia="仿宋" w:cs="仿宋"/>
          <w:color w:val="auto"/>
          <w:sz w:val="24"/>
          <w:szCs w:val="24"/>
        </w:rPr>
        <w:t>所处地理位置与环境决定了人类活动特点</w:t>
      </w:r>
      <w:r>
        <w:rPr>
          <w:rStyle w:val="73"/>
          <w:rFonts w:hint="eastAsia" w:ascii="仿宋" w:hAnsi="仿宋" w:eastAsia="仿宋" w:cs="仿宋"/>
          <w:color w:val="auto"/>
          <w:sz w:val="24"/>
          <w:szCs w:val="24"/>
          <w:lang w:eastAsia="zh-CN"/>
        </w:rPr>
        <w:t>，属于半农半牧区，山区主要从事农牧养殖业，平原区则主要从事农业及手工业。因此，人类工程经济活动主要集中在县域东北部的平原区，而山区则以半游牧</w:t>
      </w:r>
      <w:r>
        <w:rPr>
          <w:rStyle w:val="73"/>
          <w:rFonts w:hint="eastAsia" w:ascii="仿宋" w:hAnsi="仿宋" w:eastAsia="仿宋" w:cs="仿宋"/>
          <w:color w:val="auto"/>
          <w:sz w:val="24"/>
          <w:szCs w:val="24"/>
          <w:lang w:val="en-US" w:eastAsia="zh-CN"/>
        </w:rPr>
        <w:t>活动</w:t>
      </w:r>
      <w:r>
        <w:rPr>
          <w:rStyle w:val="73"/>
          <w:rFonts w:hint="eastAsia" w:ascii="仿宋" w:hAnsi="仿宋" w:eastAsia="仿宋" w:cs="仿宋"/>
          <w:color w:val="auto"/>
          <w:sz w:val="24"/>
          <w:szCs w:val="24"/>
          <w:lang w:eastAsia="zh-CN"/>
        </w:rPr>
        <w:t>为主，其次为小型的矿山开采活动、小型的蓄水发电和沿交通干道车辆过往活动为主。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lang w:val="en-US" w:eastAsia="zh-CN"/>
        </w:rPr>
        <w:t>二</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rPr>
        <w:t>地质灾害类型与分布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阿克陶县</w:t>
      </w:r>
      <w:r>
        <w:rPr>
          <w:rStyle w:val="73"/>
          <w:rFonts w:hint="eastAsia" w:ascii="仿宋" w:hAnsi="仿宋" w:eastAsia="仿宋" w:cs="仿宋"/>
          <w:color w:val="auto"/>
          <w:sz w:val="24"/>
          <w:szCs w:val="24"/>
        </w:rPr>
        <w:t>境内发育的地质灾害的类型以崩塌</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lang w:val="en-US" w:eastAsia="zh-CN"/>
        </w:rPr>
        <w:t>泥石流</w:t>
      </w:r>
      <w:r>
        <w:rPr>
          <w:rStyle w:val="73"/>
          <w:rFonts w:hint="eastAsia" w:ascii="仿宋" w:hAnsi="仿宋" w:eastAsia="仿宋" w:cs="仿宋"/>
          <w:color w:val="auto"/>
          <w:sz w:val="24"/>
          <w:szCs w:val="24"/>
        </w:rPr>
        <w:t>为主，其余为少量</w:t>
      </w:r>
      <w:r>
        <w:rPr>
          <w:rStyle w:val="73"/>
          <w:rFonts w:hint="eastAsia" w:ascii="仿宋" w:hAnsi="仿宋" w:eastAsia="仿宋" w:cs="仿宋"/>
          <w:color w:val="auto"/>
          <w:sz w:val="24"/>
          <w:szCs w:val="24"/>
          <w:lang w:val="en-US" w:eastAsia="zh-CN"/>
        </w:rPr>
        <w:t>滑坡</w:t>
      </w:r>
      <w:r>
        <w:rPr>
          <w:rStyle w:val="73"/>
          <w:rFonts w:hint="eastAsia" w:ascii="仿宋" w:hAnsi="仿宋" w:eastAsia="仿宋" w:cs="仿宋"/>
          <w:color w:val="auto"/>
          <w:sz w:val="24"/>
          <w:szCs w:val="24"/>
        </w:rPr>
        <w:t>，</w:t>
      </w:r>
      <w:r>
        <w:rPr>
          <w:rStyle w:val="73"/>
          <w:rFonts w:hint="eastAsia" w:ascii="仿宋" w:hAnsi="仿宋" w:eastAsia="仿宋" w:cs="仿宋"/>
          <w:color w:val="auto"/>
          <w:sz w:val="24"/>
          <w:szCs w:val="24"/>
          <w:lang w:val="en-US" w:eastAsia="zh-CN"/>
        </w:rPr>
        <w:t>无地面塌陷、地裂缝和地面沉降</w:t>
      </w:r>
      <w:r>
        <w:rPr>
          <w:rStyle w:val="73"/>
          <w:rFonts w:hint="eastAsia" w:ascii="仿宋" w:hAnsi="仿宋" w:eastAsia="仿宋" w:cs="仿宋"/>
          <w:color w:val="auto"/>
          <w:sz w:val="24"/>
          <w:szCs w:val="24"/>
        </w:rPr>
        <w:t>灾害分布。地质灾害集中分布于314国道中巴公路进山口处—布伦口乡政府-苏巴什达坂公路沿线和地处西北部、中部、东南部山区的各乡（镇、场）辖区内以及克孜勒陶镇-阿克塔拉牧场-恰尔隆乡-老塔尔乡公路沿线等三处主要地段</w:t>
      </w:r>
      <w:r>
        <w:rPr>
          <w:rStyle w:val="73"/>
          <w:rFonts w:hint="eastAsia" w:ascii="仿宋" w:hAnsi="仿宋" w:eastAsia="仿宋" w:cs="仿宋"/>
          <w:color w:val="auto"/>
          <w:sz w:val="24"/>
          <w:szCs w:val="24"/>
          <w:lang w:eastAsia="zh-CN"/>
        </w:rPr>
        <w:t>。</w:t>
      </w:r>
      <w:bookmarkStart w:id="296" w:name="_Hlk124373752"/>
    </w:p>
    <w:bookmarkEnd w:id="296"/>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Style w:val="73"/>
          <w:rFonts w:hint="eastAsia" w:ascii="仿宋" w:hAnsi="仿宋" w:eastAsia="仿宋" w:cs="仿宋"/>
          <w:color w:val="auto"/>
          <w:sz w:val="24"/>
          <w:szCs w:val="24"/>
        </w:rPr>
      </w:pPr>
      <w:bookmarkStart w:id="297" w:name="_Toc29827"/>
      <w:r>
        <w:rPr>
          <w:rStyle w:val="73"/>
          <w:rFonts w:hint="eastAsia" w:ascii="仿宋" w:hAnsi="仿宋" w:eastAsia="仿宋" w:cs="仿宋"/>
          <w:color w:val="auto"/>
          <w:sz w:val="24"/>
          <w:szCs w:val="24"/>
        </w:rPr>
        <w:t>五、目标任务</w:t>
      </w:r>
      <w:bookmarkEnd w:id="297"/>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（一）目标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以孕灾主控地质条件和地质灾害隐患判识为主开展</w:t>
      </w:r>
      <w:r>
        <w:rPr>
          <w:rStyle w:val="73"/>
          <w:rFonts w:hint="eastAsia" w:ascii="仿宋" w:hAnsi="仿宋" w:eastAsia="仿宋" w:cs="仿宋"/>
          <w:color w:val="auto"/>
          <w:sz w:val="24"/>
          <w:szCs w:val="24"/>
          <w:lang w:eastAsia="zh-CN"/>
        </w:rPr>
        <w:t>阿克陶县</w:t>
      </w:r>
      <w:r>
        <w:rPr>
          <w:rStyle w:val="73"/>
          <w:rFonts w:hint="eastAsia" w:ascii="仿宋" w:hAnsi="仿宋" w:eastAsia="仿宋" w:cs="仿宋"/>
          <w:color w:val="auto"/>
          <w:sz w:val="24"/>
          <w:szCs w:val="24"/>
        </w:rPr>
        <w:t>地质灾害风险调查评价，深化地质灾害早期识别、形成机理和规律认识，总结成灾模式，开展不同层次地质灾害风险区划，提出综合防治对策建议，为地质灾害防治管理提供基础依据。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（二）任务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1.开展地质灾害与孕灾地质条件、承灾体调查，判识地质灾害隐患，总结调查区地质灾害发育分布规律，分析地质灾害成灾模式。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2.开展地质灾害易发性、危险性和风险评价，编制地质灾害风险调查评价相关图件。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3.建立地质灾害风险调查空间数据库。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lang w:eastAsia="zh-CN"/>
        </w:rPr>
      </w:pPr>
      <w:r>
        <w:rPr>
          <w:rStyle w:val="73"/>
          <w:rFonts w:hint="eastAsia" w:ascii="仿宋" w:hAnsi="仿宋" w:eastAsia="仿宋" w:cs="仿宋"/>
          <w:color w:val="auto"/>
          <w:sz w:val="24"/>
          <w:szCs w:val="24"/>
        </w:rPr>
        <w:t>4.提出地质灾害风险管控对策建议，为防灾减灾管理、国土空间规划和用途管制等提供基础依据</w:t>
      </w:r>
      <w:r>
        <w:rPr>
          <w:rStyle w:val="73"/>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Style w:val="73"/>
          <w:rFonts w:hint="eastAsia" w:ascii="仿宋" w:hAnsi="仿宋" w:eastAsia="仿宋" w:cs="仿宋"/>
          <w:color w:val="auto"/>
          <w:sz w:val="24"/>
          <w:szCs w:val="24"/>
        </w:rPr>
      </w:pPr>
      <w:bookmarkStart w:id="298" w:name="_Toc19176"/>
      <w:r>
        <w:rPr>
          <w:rStyle w:val="73"/>
          <w:rFonts w:hint="eastAsia" w:ascii="仿宋" w:hAnsi="仿宋" w:eastAsia="仿宋" w:cs="仿宋"/>
          <w:color w:val="auto"/>
          <w:sz w:val="24"/>
          <w:szCs w:val="24"/>
        </w:rPr>
        <w:t>六、工作方法和技术要求</w:t>
      </w:r>
      <w:bookmarkEnd w:id="298"/>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（一）工作方法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分析研究</w:t>
      </w:r>
      <w:r>
        <w:rPr>
          <w:rStyle w:val="73"/>
          <w:rFonts w:hint="eastAsia" w:ascii="仿宋" w:hAnsi="仿宋" w:eastAsia="仿宋" w:cs="仿宋"/>
          <w:color w:val="auto"/>
          <w:sz w:val="24"/>
          <w:szCs w:val="24"/>
          <w:lang w:val="en-US" w:eastAsia="zh-CN"/>
        </w:rPr>
        <w:t>以往工作</w:t>
      </w:r>
      <w:r>
        <w:rPr>
          <w:rStyle w:val="73"/>
          <w:rFonts w:hint="eastAsia" w:ascii="仿宋" w:hAnsi="仿宋" w:eastAsia="仿宋" w:cs="仿宋"/>
          <w:color w:val="auto"/>
          <w:sz w:val="24"/>
          <w:szCs w:val="24"/>
        </w:rPr>
        <w:t>成果，收集当地地质灾害勘查、防治工程和重大工程勘查成果，开展遥感解译工作，进行孕灾地质条件调查、承灾体调查，核查调查地质灾害及其隐患，辅以工程地质钻探、地球物理勘探、山地工程、工程地质测绘等，加强高分辨率光学影像、无人机遥感、合成孔径雷达干涉测量（InSAR）、激光雷达测量（LiDAR）、地球物理勘探等技术方法综合应用。对典型地质灾害及其隐患进行测绘与勘查，开展室内综合研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（二）技术要求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主要执行的技术规范、技术要求和依据主要有：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1.《地质灾害风险调查评价技术要求（1:50000）》；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2.《地质灾害风险调查评价编图技术要求（试行）》；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3.《地质灾害风险调查评价成果信息化技术要求（试行）》；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4</w:t>
      </w:r>
      <w:r>
        <w:rPr>
          <w:rStyle w:val="73"/>
          <w:rFonts w:hint="eastAsia" w:ascii="仿宋" w:hAnsi="仿宋" w:eastAsia="仿宋" w:cs="仿宋"/>
          <w:color w:val="auto"/>
          <w:sz w:val="24"/>
          <w:szCs w:val="24"/>
        </w:rPr>
        <w:t>.GB50021—2001（2009年版）岩土工程勘察规范；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5</w:t>
      </w:r>
      <w:r>
        <w:rPr>
          <w:rStyle w:val="73"/>
          <w:rFonts w:hint="eastAsia" w:ascii="仿宋" w:hAnsi="仿宋" w:eastAsia="仿宋" w:cs="仿宋"/>
          <w:color w:val="auto"/>
          <w:sz w:val="24"/>
          <w:szCs w:val="24"/>
        </w:rPr>
        <w:t>.《中国地震动参数区划图》（GB18306-2015）；</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6</w:t>
      </w:r>
      <w:r>
        <w:rPr>
          <w:rStyle w:val="73"/>
          <w:rFonts w:hint="eastAsia" w:ascii="仿宋" w:hAnsi="仿宋" w:eastAsia="仿宋" w:cs="仿宋"/>
          <w:color w:val="auto"/>
          <w:sz w:val="24"/>
          <w:szCs w:val="24"/>
        </w:rPr>
        <w:t>.《遥感地质解译方法指南（1:50000、1:250000）》（DD2011-03）；</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7</w:t>
      </w:r>
      <w:r>
        <w:rPr>
          <w:rStyle w:val="73"/>
          <w:rFonts w:hint="eastAsia" w:ascii="仿宋" w:hAnsi="仿宋" w:eastAsia="仿宋" w:cs="仿宋"/>
          <w:color w:val="auto"/>
          <w:sz w:val="24"/>
          <w:szCs w:val="24"/>
        </w:rPr>
        <w:t>.《地质灾害遥感调查技术规定》（DD2015-01）；</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8</w:t>
      </w:r>
      <w:r>
        <w:rPr>
          <w:rStyle w:val="73"/>
          <w:rFonts w:hint="eastAsia" w:ascii="仿宋" w:hAnsi="仿宋" w:eastAsia="仿宋" w:cs="仿宋"/>
          <w:color w:val="auto"/>
          <w:sz w:val="24"/>
          <w:szCs w:val="24"/>
        </w:rPr>
        <w:t>.《倾斜数字航空摄影技术规程》（GB/T 39610-2020）；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9</w:t>
      </w:r>
      <w:r>
        <w:rPr>
          <w:rStyle w:val="73"/>
          <w:rFonts w:hint="eastAsia" w:ascii="仿宋" w:hAnsi="仿宋" w:eastAsia="仿宋" w:cs="仿宋"/>
          <w:color w:val="auto"/>
          <w:sz w:val="24"/>
          <w:szCs w:val="24"/>
        </w:rPr>
        <w:t>.《地质调查项目预算标准（2021）》；</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10</w:t>
      </w:r>
      <w:r>
        <w:rPr>
          <w:rStyle w:val="73"/>
          <w:rFonts w:hint="eastAsia" w:ascii="仿宋" w:hAnsi="仿宋" w:eastAsia="仿宋" w:cs="仿宋"/>
          <w:color w:val="auto"/>
          <w:sz w:val="24"/>
          <w:szCs w:val="24"/>
        </w:rPr>
        <w:t>.《地质资料汇交规范》（DZ/T0273）。</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其它相关技术规范要求，</w:t>
      </w:r>
      <w:r>
        <w:rPr>
          <w:rStyle w:val="73"/>
          <w:rFonts w:hint="eastAsia" w:ascii="仿宋" w:hAnsi="仿宋" w:eastAsia="仿宋" w:cs="仿宋"/>
          <w:color w:val="auto"/>
          <w:sz w:val="24"/>
          <w:szCs w:val="24"/>
        </w:rPr>
        <w:t>执行的技术和规范应以项目实施时现行</w:t>
      </w:r>
      <w:r>
        <w:rPr>
          <w:rStyle w:val="73"/>
          <w:rFonts w:hint="eastAsia" w:ascii="仿宋" w:hAnsi="仿宋" w:eastAsia="仿宋" w:cs="仿宋"/>
          <w:color w:val="auto"/>
          <w:sz w:val="24"/>
          <w:szCs w:val="24"/>
          <w:lang w:val="en-US" w:eastAsia="zh-CN"/>
        </w:rPr>
        <w:t>最新技术</w:t>
      </w:r>
      <w:r>
        <w:rPr>
          <w:rStyle w:val="73"/>
          <w:rFonts w:hint="eastAsia" w:ascii="仿宋" w:hAnsi="仿宋" w:eastAsia="仿宋" w:cs="仿宋"/>
          <w:color w:val="auto"/>
          <w:sz w:val="24"/>
          <w:szCs w:val="24"/>
        </w:rPr>
        <w:t>标准和规范为准。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Style w:val="73"/>
          <w:rFonts w:hint="eastAsia" w:ascii="仿宋" w:hAnsi="仿宋" w:eastAsia="仿宋" w:cs="仿宋"/>
          <w:color w:val="auto"/>
          <w:sz w:val="24"/>
          <w:szCs w:val="24"/>
        </w:rPr>
      </w:pPr>
      <w:bookmarkStart w:id="299" w:name="_Toc7912"/>
      <w:r>
        <w:rPr>
          <w:rStyle w:val="73"/>
          <w:rFonts w:hint="eastAsia" w:ascii="仿宋" w:hAnsi="仿宋" w:eastAsia="仿宋" w:cs="仿宋"/>
          <w:color w:val="auto"/>
          <w:sz w:val="24"/>
          <w:szCs w:val="24"/>
        </w:rPr>
        <w:t>七、主要实物工作量</w:t>
      </w:r>
      <w:bookmarkEnd w:id="299"/>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开展全域遥感解译工作，根据工作需要合理布置工程地质钻探、地球物理勘探、山地工程、工程地质测绘等，加强高分辨率光学影像、无人机遥感、合成孔径雷达干涉测量（InSAR）、激光雷达测量（LiDAR）、地球物理勘探等工作量，其中钻探、实测剖面、岩土样品满足规范要求，开展地质灾害防治知识培训和重要地质灾害隐患点防治演练工作。最终实物工作量以设计批复工作量为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Style w:val="73"/>
          <w:rFonts w:hint="eastAsia" w:ascii="仿宋" w:hAnsi="仿宋" w:eastAsia="仿宋" w:cs="仿宋"/>
          <w:color w:val="auto"/>
          <w:sz w:val="24"/>
          <w:szCs w:val="24"/>
        </w:rPr>
      </w:pPr>
      <w:bookmarkStart w:id="300" w:name="_Toc24528"/>
      <w:r>
        <w:rPr>
          <w:rStyle w:val="73"/>
          <w:rFonts w:hint="eastAsia" w:ascii="仿宋" w:hAnsi="仿宋" w:eastAsia="仿宋" w:cs="仿宋"/>
          <w:color w:val="auto"/>
          <w:sz w:val="24"/>
          <w:szCs w:val="24"/>
        </w:rPr>
        <w:t>八、预期提交成果</w:t>
      </w:r>
      <w:bookmarkEnd w:id="300"/>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（一）原始资料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1.野外调查手图、遥感解译及验证成果分布图、实际材料图、工程地质条件图；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lang w:eastAsia="zh-CN"/>
        </w:rPr>
      </w:pPr>
      <w:r>
        <w:rPr>
          <w:rStyle w:val="73"/>
          <w:rFonts w:hint="eastAsia" w:ascii="仿宋" w:hAnsi="仿宋" w:eastAsia="仿宋" w:cs="仿宋"/>
          <w:color w:val="auto"/>
          <w:sz w:val="24"/>
          <w:szCs w:val="24"/>
        </w:rPr>
        <w:t>2.各类原始记录卡片</w:t>
      </w:r>
      <w:r>
        <w:rPr>
          <w:rStyle w:val="73"/>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3.野外照</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rPr>
        <w:t>摄</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rPr>
        <w:t>像等影像资料；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4.测试与试验资料；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5.重要、典型地质灾害的工程地质剖面图、探井展示图，物探剖面图，槽探剖面图、低空遥感影像图、稳定性计算参数及计算结果表等。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（二）成果资料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1.报告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新疆</w:t>
      </w:r>
      <w:r>
        <w:rPr>
          <w:rStyle w:val="73"/>
          <w:rFonts w:hint="eastAsia" w:ascii="仿宋" w:hAnsi="仿宋" w:eastAsia="仿宋" w:cs="仿宋"/>
          <w:color w:val="auto"/>
          <w:sz w:val="24"/>
          <w:szCs w:val="24"/>
          <w:lang w:eastAsia="zh-CN"/>
        </w:rPr>
        <w:t>阿克陶县</w:t>
      </w:r>
      <w:r>
        <w:rPr>
          <w:rStyle w:val="73"/>
          <w:rFonts w:hint="eastAsia" w:ascii="仿宋" w:hAnsi="仿宋" w:eastAsia="仿宋" w:cs="仿宋"/>
          <w:color w:val="auto"/>
          <w:sz w:val="24"/>
          <w:szCs w:val="24"/>
        </w:rPr>
        <w:t>地质灾害风险调查评价报告。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2.附图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主要包括基础性图件、应用性图件和其他图件。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3.附件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附件主要包括：数据库建库报告；地质灾害风险调查数据库；照片集；专题报告；地质灾害勘查报告及图件。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lang w:val="en-US" w:eastAsia="zh-CN"/>
        </w:rPr>
      </w:pPr>
      <w:r>
        <w:rPr>
          <w:rStyle w:val="73"/>
          <w:rFonts w:hint="eastAsia" w:ascii="仿宋" w:hAnsi="仿宋" w:eastAsia="仿宋" w:cs="仿宋"/>
          <w:color w:val="auto"/>
          <w:sz w:val="24"/>
          <w:szCs w:val="24"/>
          <w:lang w:val="en-US" w:eastAsia="zh-CN"/>
        </w:rPr>
        <w:t>具体</w:t>
      </w:r>
      <w:r>
        <w:rPr>
          <w:rStyle w:val="73"/>
          <w:rFonts w:hint="eastAsia" w:ascii="仿宋" w:hAnsi="仿宋" w:eastAsia="仿宋" w:cs="仿宋"/>
          <w:color w:val="auto"/>
          <w:sz w:val="24"/>
          <w:szCs w:val="24"/>
        </w:rPr>
        <w:t>详见《地质灾害风险调查评价技术要求（1:50000）》</w:t>
      </w:r>
      <w:r>
        <w:rPr>
          <w:rStyle w:val="73"/>
          <w:rFonts w:hint="eastAsia" w:ascii="仿宋" w:hAnsi="仿宋" w:eastAsia="仿宋" w:cs="仿宋"/>
          <w:color w:val="auto"/>
          <w:sz w:val="24"/>
          <w:szCs w:val="24"/>
          <w:lang w:val="en-US" w:eastAsia="zh-CN"/>
        </w:rPr>
        <w:t>关于成果资料要求。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项目成果资料整理归档严格按照《地质灾害风险调查评价技术要求（1:50000）》和《地质资料汇交规范》</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rPr>
        <w:t>DZ/T0273</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rPr>
        <w:t>地质资料汇交规范及相关管理办法</w:t>
      </w:r>
      <w:r>
        <w:rPr>
          <w:rStyle w:val="73"/>
          <w:rFonts w:hint="eastAsia" w:ascii="仿宋" w:hAnsi="仿宋" w:eastAsia="仿宋" w:cs="仿宋"/>
          <w:color w:val="auto"/>
          <w:sz w:val="24"/>
          <w:szCs w:val="24"/>
          <w:lang w:val="en-US" w:eastAsia="zh-CN"/>
        </w:rPr>
        <w:t>和《新疆维吾尔自治区地质灾害防治项目管理办法（试行）》及《新疆维吾尔自治区地质灾害防治项目验收细则》</w:t>
      </w:r>
      <w:r>
        <w:rPr>
          <w:rStyle w:val="73"/>
          <w:rFonts w:hint="eastAsia" w:ascii="仿宋" w:hAnsi="仿宋" w:eastAsia="仿宋" w:cs="仿宋"/>
          <w:color w:val="auto"/>
          <w:sz w:val="24"/>
          <w:szCs w:val="24"/>
        </w:rPr>
        <w:t>规定执行。最终成果资料应按地质资料汇交要求向新疆地质资料馆汇交，并向自治区自然资源厅、</w:t>
      </w:r>
      <w:r>
        <w:rPr>
          <w:rStyle w:val="73"/>
          <w:rFonts w:hint="eastAsia" w:ascii="仿宋" w:hAnsi="仿宋" w:eastAsia="仿宋" w:cs="仿宋"/>
          <w:color w:val="auto"/>
          <w:sz w:val="24"/>
          <w:szCs w:val="24"/>
          <w:lang w:eastAsia="zh-CN"/>
        </w:rPr>
        <w:t>克孜勒苏柯尔克孜自治州</w:t>
      </w:r>
      <w:r>
        <w:rPr>
          <w:rStyle w:val="73"/>
          <w:rFonts w:hint="eastAsia" w:ascii="仿宋" w:hAnsi="仿宋" w:eastAsia="仿宋" w:cs="仿宋"/>
          <w:color w:val="auto"/>
          <w:sz w:val="24"/>
          <w:szCs w:val="24"/>
        </w:rPr>
        <w:t>自然资源局和</w:t>
      </w:r>
      <w:r>
        <w:rPr>
          <w:rStyle w:val="73"/>
          <w:rFonts w:hint="eastAsia" w:ascii="仿宋" w:hAnsi="仿宋" w:eastAsia="仿宋" w:cs="仿宋"/>
          <w:color w:val="auto"/>
          <w:sz w:val="24"/>
          <w:szCs w:val="24"/>
          <w:lang w:eastAsia="zh-CN"/>
        </w:rPr>
        <w:t>阿克陶县</w:t>
      </w:r>
      <w:r>
        <w:rPr>
          <w:rStyle w:val="73"/>
          <w:rFonts w:hint="eastAsia" w:ascii="仿宋" w:hAnsi="仿宋" w:eastAsia="仿宋" w:cs="仿宋"/>
          <w:color w:val="auto"/>
          <w:sz w:val="24"/>
          <w:szCs w:val="24"/>
        </w:rPr>
        <w:t>自然资源局汇交纸介质和电子版各2套。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1"/>
        <w:rPr>
          <w:rFonts w:hint="eastAsia" w:ascii="仿宋" w:hAnsi="仿宋" w:eastAsia="仿宋" w:cs="仿宋"/>
          <w:color w:val="auto"/>
          <w:sz w:val="24"/>
          <w:szCs w:val="24"/>
        </w:rPr>
      </w:pPr>
      <w:bookmarkStart w:id="301" w:name="_Toc24339"/>
      <w:r>
        <w:rPr>
          <w:rStyle w:val="73"/>
          <w:rFonts w:hint="eastAsia" w:ascii="仿宋" w:hAnsi="仿宋" w:eastAsia="仿宋" w:cs="仿宋"/>
          <w:color w:val="auto"/>
          <w:sz w:val="24"/>
          <w:szCs w:val="24"/>
        </w:rPr>
        <w:t>九、工作周期</w:t>
      </w:r>
      <w:bookmarkEnd w:id="301"/>
    </w:p>
    <w:p>
      <w:pPr>
        <w:spacing w:line="440" w:lineRule="exact"/>
        <w:ind w:firstLine="480" w:firstLineChars="200"/>
        <w:rPr>
          <w:rStyle w:val="73"/>
          <w:rFonts w:hint="default" w:ascii="仿宋" w:hAnsi="仿宋" w:eastAsia="仿宋" w:cs="仿宋"/>
          <w:color w:val="auto"/>
          <w:sz w:val="24"/>
          <w:szCs w:val="24"/>
        </w:rPr>
      </w:pPr>
      <w:r>
        <w:rPr>
          <w:rStyle w:val="73"/>
          <w:rFonts w:hint="eastAsia" w:ascii="仿宋" w:hAnsi="仿宋" w:eastAsia="仿宋" w:cs="仿宋"/>
          <w:color w:val="auto"/>
          <w:sz w:val="24"/>
          <w:szCs w:val="24"/>
        </w:rPr>
        <w:t>2023年3月-2024年1月。其中：2023年9月30日前完成野外调查工作；2023年10月30日前提交报告及数据库送审稿,2024年1月完成资料汇交。</w:t>
      </w:r>
    </w:p>
    <w:p>
      <w:pPr>
        <w:spacing w:line="440" w:lineRule="exact"/>
        <w:jc w:val="center"/>
        <w:outlineLvl w:val="1"/>
        <w:rPr>
          <w:rFonts w:ascii="仿宋" w:hAnsi="仿宋" w:eastAsia="仿宋"/>
          <w:b/>
          <w:bCs/>
          <w:color w:val="auto"/>
          <w:sz w:val="32"/>
          <w:szCs w:val="32"/>
        </w:rPr>
      </w:pPr>
      <w:r>
        <w:rPr>
          <w:rStyle w:val="73"/>
          <w:rFonts w:ascii="仿宋" w:hAnsi="仿宋" w:eastAsia="仿宋" w:cs="仿宋"/>
          <w:color w:val="auto"/>
          <w:sz w:val="24"/>
          <w:szCs w:val="24"/>
        </w:rPr>
        <w:br w:type="page"/>
      </w:r>
      <w:bookmarkStart w:id="302" w:name="_Toc28995"/>
      <w:bookmarkStart w:id="303" w:name="_Toc32307"/>
      <w:r>
        <w:rPr>
          <w:rFonts w:hint="eastAsia" w:ascii="仿宋" w:hAnsi="仿宋" w:eastAsia="仿宋" w:cs="Times New Roman"/>
          <w:b/>
          <w:bCs/>
          <w:color w:val="auto"/>
          <w:sz w:val="32"/>
          <w:szCs w:val="32"/>
        </w:rPr>
        <w:t>标项二：</w:t>
      </w:r>
      <w:r>
        <w:rPr>
          <w:rFonts w:hint="eastAsia" w:ascii="仿宋" w:hAnsi="仿宋" w:eastAsia="仿宋" w:cs="Times New Roman"/>
          <w:b/>
          <w:bCs/>
          <w:color w:val="auto"/>
          <w:sz w:val="32"/>
          <w:szCs w:val="32"/>
          <w:lang w:eastAsia="zh-CN"/>
        </w:rPr>
        <w:t>新疆乌恰县地质灾害风险调查评价</w:t>
      </w:r>
      <w:bookmarkEnd w:id="302"/>
      <w:bookmarkEnd w:id="303"/>
    </w:p>
    <w:p>
      <w:pPr>
        <w:keepNext w:val="0"/>
        <w:keepLines w:val="0"/>
        <w:pageBreakBefore w:val="0"/>
        <w:widowControl/>
        <w:kinsoku/>
        <w:wordWrap/>
        <w:overflowPunct/>
        <w:topLinePunct w:val="0"/>
        <w:autoSpaceDE/>
        <w:autoSpaceDN/>
        <w:bidi w:val="0"/>
        <w:spacing w:line="560" w:lineRule="exact"/>
        <w:jc w:val="left"/>
        <w:textAlignment w:val="auto"/>
        <w:outlineLvl w:val="1"/>
        <w:rPr>
          <w:rStyle w:val="73"/>
          <w:rFonts w:hint="eastAsia" w:ascii="仿宋" w:hAnsi="仿宋" w:eastAsia="仿宋" w:cs="仿宋"/>
          <w:color w:val="auto"/>
          <w:sz w:val="24"/>
          <w:szCs w:val="24"/>
        </w:rPr>
      </w:pPr>
      <w:bookmarkStart w:id="304" w:name="_Toc18678"/>
      <w:r>
        <w:rPr>
          <w:rStyle w:val="73"/>
          <w:rFonts w:hint="eastAsia" w:ascii="仿宋" w:hAnsi="仿宋" w:eastAsia="仿宋" w:cs="仿宋"/>
          <w:color w:val="auto"/>
          <w:sz w:val="24"/>
          <w:szCs w:val="24"/>
        </w:rPr>
        <w:t>一、项目名称、编号和经费</w:t>
      </w:r>
      <w:bookmarkEnd w:id="304"/>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lang w:eastAsia="zh-CN"/>
        </w:rPr>
      </w:pPr>
      <w:r>
        <w:rPr>
          <w:rStyle w:val="73"/>
          <w:rFonts w:hint="eastAsia" w:ascii="仿宋" w:hAnsi="仿宋" w:eastAsia="仿宋" w:cs="仿宋"/>
          <w:color w:val="auto"/>
          <w:sz w:val="24"/>
          <w:szCs w:val="24"/>
        </w:rPr>
        <w:t>项目名称：</w:t>
      </w:r>
      <w:r>
        <w:rPr>
          <w:rStyle w:val="73"/>
          <w:rFonts w:hint="eastAsia" w:ascii="仿宋" w:hAnsi="仿宋" w:eastAsia="仿宋" w:cs="仿宋"/>
          <w:color w:val="auto"/>
          <w:sz w:val="24"/>
          <w:szCs w:val="24"/>
          <w:lang w:eastAsia="zh-CN"/>
        </w:rPr>
        <w:t>新疆乌恰县地质灾害风险调查评价</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lang w:val="en-US" w:eastAsia="zh-CN"/>
        </w:rPr>
      </w:pPr>
      <w:r>
        <w:rPr>
          <w:rStyle w:val="73"/>
          <w:rFonts w:hint="eastAsia" w:ascii="仿宋" w:hAnsi="仿宋" w:eastAsia="仿宋" w:cs="仿宋"/>
          <w:color w:val="auto"/>
          <w:sz w:val="24"/>
          <w:szCs w:val="24"/>
        </w:rPr>
        <w:t>项目编号：</w:t>
      </w:r>
      <w:r>
        <w:rPr>
          <w:rStyle w:val="73"/>
          <w:rFonts w:hint="eastAsia" w:ascii="仿宋" w:hAnsi="仿宋" w:eastAsia="仿宋" w:cs="仿宋"/>
          <w:color w:val="auto"/>
          <w:sz w:val="24"/>
          <w:szCs w:val="24"/>
          <w:lang w:eastAsia="zh-CN"/>
        </w:rPr>
        <w:t xml:space="preserve"> </w:t>
      </w:r>
      <w:r>
        <w:rPr>
          <w:rStyle w:val="73"/>
          <w:rFonts w:ascii="仿宋" w:hAnsi="仿宋" w:eastAsia="仿宋" w:cs="仿宋"/>
          <w:color w:val="auto"/>
          <w:sz w:val="24"/>
          <w:szCs w:val="24"/>
          <w:lang w:eastAsia="zh-CN"/>
        </w:rPr>
        <w:t>GYZB-KZDZFZ2023</w:t>
      </w:r>
      <w:r>
        <w:rPr>
          <w:rStyle w:val="73"/>
          <w:rFonts w:ascii="仿宋" w:hAnsi="仿宋" w:eastAsia="仿宋" w:cs="仿宋"/>
          <w:color w:val="auto"/>
          <w:sz w:val="24"/>
          <w:szCs w:val="24"/>
        </w:rPr>
        <w:t>-</w:t>
      </w:r>
      <w:r>
        <w:rPr>
          <w:rStyle w:val="73"/>
          <w:rFonts w:hint="eastAsia" w:ascii="仿宋" w:hAnsi="仿宋" w:eastAsia="仿宋" w:cs="仿宋"/>
          <w:color w:val="auto"/>
          <w:sz w:val="24"/>
          <w:szCs w:val="24"/>
          <w:lang w:val="en-US" w:eastAsia="zh-CN"/>
        </w:rPr>
        <w:t>01-</w:t>
      </w:r>
      <w:r>
        <w:rPr>
          <w:rStyle w:val="73"/>
          <w:rFonts w:ascii="仿宋" w:hAnsi="仿宋" w:eastAsia="仿宋" w:cs="仿宋"/>
          <w:color w:val="auto"/>
          <w:sz w:val="24"/>
          <w:szCs w:val="24"/>
        </w:rPr>
        <w:t>0</w:t>
      </w:r>
      <w:r>
        <w:rPr>
          <w:rStyle w:val="73"/>
          <w:rFonts w:hint="eastAsia" w:ascii="仿宋" w:hAnsi="仿宋" w:eastAsia="仿宋" w:cs="仿宋"/>
          <w:color w:val="auto"/>
          <w:sz w:val="24"/>
          <w:szCs w:val="24"/>
          <w:lang w:val="en-US" w:eastAsia="zh-CN"/>
        </w:rPr>
        <w:t>2</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default" w:ascii="仿宋" w:hAnsi="仿宋" w:eastAsia="仿宋" w:cs="仿宋"/>
          <w:color w:val="auto"/>
          <w:sz w:val="24"/>
          <w:szCs w:val="24"/>
          <w:lang w:val="en-US" w:eastAsia="zh-CN"/>
        </w:rPr>
      </w:pPr>
      <w:r>
        <w:rPr>
          <w:rStyle w:val="73"/>
          <w:rFonts w:hint="eastAsia" w:ascii="仿宋" w:hAnsi="仿宋" w:eastAsia="仿宋" w:cs="仿宋"/>
          <w:color w:val="auto"/>
          <w:sz w:val="24"/>
          <w:szCs w:val="24"/>
        </w:rPr>
        <w:t>项目费用</w:t>
      </w:r>
      <w:r>
        <w:rPr>
          <w:rStyle w:val="73"/>
          <w:rFonts w:hint="eastAsia" w:ascii="仿宋" w:hAnsi="仿宋" w:eastAsia="仿宋" w:cs="仿宋"/>
          <w:color w:val="auto"/>
          <w:sz w:val="24"/>
          <w:szCs w:val="24"/>
          <w:lang w:val="en-US" w:eastAsia="zh-CN"/>
        </w:rPr>
        <w:t>人民币</w:t>
      </w:r>
      <w:r>
        <w:rPr>
          <w:rStyle w:val="73"/>
          <w:rFonts w:hint="eastAsia" w:ascii="仿宋" w:hAnsi="仿宋" w:eastAsia="仿宋" w:cs="仿宋"/>
          <w:color w:val="auto"/>
          <w:sz w:val="24"/>
          <w:szCs w:val="24"/>
        </w:rPr>
        <w:t>：1</w:t>
      </w:r>
      <w:r>
        <w:rPr>
          <w:rStyle w:val="73"/>
          <w:rFonts w:hint="eastAsia" w:ascii="仿宋" w:hAnsi="仿宋" w:eastAsia="仿宋" w:cs="仿宋"/>
          <w:color w:val="auto"/>
          <w:sz w:val="24"/>
          <w:szCs w:val="24"/>
          <w:lang w:val="en-US" w:eastAsia="zh-CN"/>
        </w:rPr>
        <w:t>30</w:t>
      </w:r>
      <w:r>
        <w:rPr>
          <w:rStyle w:val="73"/>
          <w:rFonts w:hint="eastAsia" w:ascii="仿宋" w:hAnsi="仿宋" w:eastAsia="仿宋" w:cs="仿宋"/>
          <w:color w:val="auto"/>
          <w:sz w:val="24"/>
          <w:szCs w:val="24"/>
        </w:rPr>
        <w:t>万元</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lang w:val="en-US" w:eastAsia="zh-CN"/>
        </w:rPr>
        <w:t>壹佰叁拾万元整）</w:t>
      </w:r>
    </w:p>
    <w:p>
      <w:pPr>
        <w:keepNext w:val="0"/>
        <w:keepLines w:val="0"/>
        <w:pageBreakBefore w:val="0"/>
        <w:kinsoku/>
        <w:wordWrap/>
        <w:overflowPunct/>
        <w:topLinePunct w:val="0"/>
        <w:autoSpaceDE/>
        <w:autoSpaceDN/>
        <w:bidi w:val="0"/>
        <w:spacing w:line="560" w:lineRule="exact"/>
        <w:ind w:firstLine="480" w:firstLineChars="200"/>
        <w:textAlignment w:val="auto"/>
        <w:outlineLvl w:val="1"/>
        <w:rPr>
          <w:rStyle w:val="73"/>
          <w:rFonts w:hint="eastAsia" w:ascii="仿宋" w:hAnsi="仿宋" w:eastAsia="仿宋" w:cs="仿宋"/>
          <w:color w:val="auto"/>
          <w:sz w:val="24"/>
          <w:szCs w:val="24"/>
        </w:rPr>
      </w:pPr>
      <w:bookmarkStart w:id="305" w:name="_Toc7303"/>
      <w:r>
        <w:rPr>
          <w:rStyle w:val="73"/>
          <w:rFonts w:hint="eastAsia" w:ascii="仿宋" w:hAnsi="仿宋" w:eastAsia="仿宋" w:cs="仿宋"/>
          <w:color w:val="auto"/>
          <w:sz w:val="24"/>
          <w:szCs w:val="24"/>
        </w:rPr>
        <w:t>二、工作范围和面积</w:t>
      </w:r>
      <w:bookmarkEnd w:id="305"/>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本次工作区范围为</w:t>
      </w:r>
      <w:r>
        <w:rPr>
          <w:rStyle w:val="73"/>
          <w:rFonts w:hint="eastAsia" w:ascii="仿宋" w:hAnsi="仿宋" w:eastAsia="仿宋" w:cs="仿宋"/>
          <w:color w:val="auto"/>
          <w:sz w:val="24"/>
          <w:szCs w:val="24"/>
          <w:lang w:eastAsia="zh-CN"/>
        </w:rPr>
        <w:t>乌恰县</w:t>
      </w:r>
      <w:r>
        <w:rPr>
          <w:rStyle w:val="73"/>
          <w:rFonts w:hint="eastAsia" w:ascii="仿宋" w:hAnsi="仿宋" w:eastAsia="仿宋" w:cs="仿宋"/>
          <w:color w:val="auto"/>
          <w:sz w:val="24"/>
          <w:szCs w:val="24"/>
        </w:rPr>
        <w:t>行政区范围，总面积约</w:t>
      </w:r>
      <w:r>
        <w:rPr>
          <w:rStyle w:val="73"/>
          <w:rFonts w:hint="eastAsia" w:ascii="仿宋" w:hAnsi="仿宋" w:eastAsia="仿宋" w:cs="仿宋"/>
          <w:color w:val="auto"/>
          <w:sz w:val="24"/>
          <w:szCs w:val="24"/>
          <w:lang w:val="en-US" w:eastAsia="zh-CN"/>
        </w:rPr>
        <w:t>1.92万</w:t>
      </w:r>
      <w:r>
        <w:rPr>
          <w:rStyle w:val="73"/>
          <w:rFonts w:hint="eastAsia" w:ascii="仿宋" w:hAnsi="仿宋" w:eastAsia="仿宋" w:cs="仿宋"/>
          <w:color w:val="auto"/>
          <w:sz w:val="24"/>
          <w:szCs w:val="24"/>
        </w:rPr>
        <w:t>平方千米（以三调成果数据为准）。</w:t>
      </w:r>
    </w:p>
    <w:p>
      <w:pPr>
        <w:keepNext w:val="0"/>
        <w:keepLines w:val="0"/>
        <w:pageBreakBefore w:val="0"/>
        <w:kinsoku/>
        <w:wordWrap/>
        <w:overflowPunct/>
        <w:topLinePunct w:val="0"/>
        <w:autoSpaceDE/>
        <w:autoSpaceDN/>
        <w:bidi w:val="0"/>
        <w:spacing w:line="560" w:lineRule="exact"/>
        <w:ind w:firstLine="480" w:firstLineChars="200"/>
        <w:textAlignment w:val="auto"/>
        <w:outlineLvl w:val="1"/>
        <w:rPr>
          <w:rStyle w:val="73"/>
          <w:rFonts w:hint="eastAsia" w:ascii="仿宋" w:hAnsi="仿宋" w:eastAsia="仿宋" w:cs="仿宋"/>
          <w:color w:val="auto"/>
          <w:sz w:val="24"/>
          <w:szCs w:val="24"/>
        </w:rPr>
      </w:pPr>
      <w:bookmarkStart w:id="306" w:name="_Toc16779"/>
      <w:r>
        <w:rPr>
          <w:rStyle w:val="73"/>
          <w:rFonts w:hint="eastAsia" w:ascii="仿宋" w:hAnsi="仿宋" w:eastAsia="仿宋" w:cs="仿宋"/>
          <w:color w:val="auto"/>
          <w:sz w:val="24"/>
          <w:szCs w:val="24"/>
        </w:rPr>
        <w:t>三、自然经济地理</w:t>
      </w:r>
      <w:bookmarkEnd w:id="306"/>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乌恰县位于塔里木盆地西端、天山南脉与昆仑山两大山系的接合部，为帕米尔高原的一部分，是自治区的最西端，也是我国的西部边陲县。该县东与阿图什市、疏附县相邻，南与阿克陶县相依，西、北与吉尔吉斯斯坦共和国接壤，国境线长400多千米，是我国连接中亚、西亚的纽带和对外开放的桥头堡。乌恰县总面积19155.63平方千米。</w:t>
      </w:r>
      <w:r>
        <w:rPr>
          <w:rFonts w:hint="eastAsia" w:ascii="仿宋" w:hAnsi="仿宋" w:eastAsia="仿宋" w:cs="仿宋"/>
          <w:color w:val="auto"/>
          <w:sz w:val="24"/>
          <w:szCs w:val="24"/>
          <w:lang w:eastAsia="zh-CN"/>
        </w:rPr>
        <w:t>乌恰县境内有G3013线横贯东西，由东向西至伊尔克什坦口岸；S212线连接托帕口岸和吐尔尕特，S309线向东与314国道相接。乌恰县内交通以省道为主要骨架，县乡公路相配合的公路交通网连接全县每个乡镇。乌恰县城距喀什市和阿图什市分别为90千米和104千米，交通条件较为方便。</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乌恰县辖区有2镇、9乡、1个牧场，43个行政村，10个社区。乡（镇、场）有：乌恰镇、康苏镇、乌鲁克恰提乡、吾合沙鲁乡、膘尔托阔依乡、黑孜苇乡、托云乡、铁列克乡、巴音库鲁提乡、波斯坦铁列克乡、吉根乡、兵团托云牧场等，县人民政府驻乌恰镇。据《2020年乌恰县国民经济和社会发展统计公报》：全年实现生产总值（GDP）360311万元，增长2.8%。其中，第一产业11944万元，增长2.6%；第二产业152694万元，下降0.8%;第三产业195673万元，增长5.3%。人均生产总值61662元，增长3.2%。三次产业的结构比例为3.3：42.4：54.3，对经济增长的贡献率为3.7%、-11.5%、107.9%。</w:t>
      </w:r>
      <w:r>
        <w:rPr>
          <w:rFonts w:hint="eastAsia" w:ascii="仿宋" w:hAnsi="仿宋" w:eastAsia="仿宋" w:cs="仿宋"/>
          <w:color w:val="auto"/>
          <w:sz w:val="24"/>
          <w:szCs w:val="24"/>
          <w:lang w:eastAsia="zh-CN"/>
        </w:rPr>
        <w:t>乌恰县是典型的高原牧业县，全县平均海拔2890米，县城所在地海拔2200米，其中山地、戈壁、荒滩占总面积的99.8%；荒漠草场总面积1600余万亩，耕地面积2.3万亩，人均耕地不足0.5亩。经济以牧业为主，畜种主要有绵羊、绒山羊、马、牛、牦牛等，牲畜存栏29.8万头(只)。农业适宜种植小麦、玉米、青稞、油菜、胡麻、苜蓿。</w:t>
      </w:r>
    </w:p>
    <w:p>
      <w:pPr>
        <w:keepNext w:val="0"/>
        <w:keepLines w:val="0"/>
        <w:pageBreakBefore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color w:val="auto"/>
          <w:sz w:val="24"/>
          <w:szCs w:val="24"/>
        </w:rPr>
      </w:pPr>
      <w:bookmarkStart w:id="307" w:name="_Toc9289"/>
      <w:r>
        <w:rPr>
          <w:rStyle w:val="73"/>
          <w:rFonts w:hint="eastAsia" w:ascii="仿宋" w:hAnsi="仿宋" w:eastAsia="仿宋" w:cs="仿宋"/>
          <w:color w:val="auto"/>
          <w:sz w:val="24"/>
          <w:szCs w:val="24"/>
        </w:rPr>
        <w:t>四、地质环境概况</w:t>
      </w:r>
      <w:bookmarkEnd w:id="307"/>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lang w:val="en-US" w:eastAsia="zh-CN"/>
        </w:rPr>
        <w:t>一</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rPr>
        <w:t>地形地貌与人类工程活动</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乌恰县地形大致以克孜勒苏河为界，北部为南天山（西段）山脉，南部为帕米尔高原，昆仑山脉，东面是喀什三角洲以西地段，县境处于这三者之间中部楔形地带，三面高山环绕，总地形趋势呈西北、西南高，东南低的马蹄形特征。县境内中高山、极高山面积占全县总面积的76%，河谷平川占24%，有名称的山峰168座，海拔3000米以上的高山19座，有名称的山口68处，山沟402条，戈壁8处，盆地1处，帕米尔冰川分布有4处。根据乌恰县地貌特征，按其构造作用和成因，可划分为侵蚀构造地貌、剥蚀构造地貌、剥蚀堆积地貌、堆积地貌</w:t>
      </w:r>
      <w:r>
        <w:rPr>
          <w:rStyle w:val="73"/>
          <w:rFonts w:hint="eastAsia" w:ascii="仿宋" w:hAnsi="仿宋" w:eastAsia="仿宋" w:cs="仿宋"/>
          <w:color w:val="auto"/>
          <w:sz w:val="24"/>
          <w:szCs w:val="24"/>
        </w:rPr>
        <w:t>。</w:t>
      </w:r>
      <w:r>
        <w:rPr>
          <w:rStyle w:val="73"/>
          <w:rFonts w:hint="eastAsia" w:ascii="仿宋" w:hAnsi="仿宋" w:eastAsia="仿宋" w:cs="仿宋"/>
          <w:color w:val="auto"/>
          <w:sz w:val="24"/>
          <w:szCs w:val="24"/>
          <w:lang w:val="en-US" w:eastAsia="zh-CN"/>
        </w:rPr>
        <w:t>乌恰县幅员辽阔，人口稀疏，是典型的高原牧业县，大部分边远山区无固定居民，分布有天然草场，为季节性牧业活动区域，人类经济活动方式主要以畜牧业为主，分布有牧民的夏草场，每年夏、秋季节牧民在此放牧，人类活动频度程度与强度在县境内相对较强，工矿企业较少。</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lang w:val="en-US" w:eastAsia="zh-CN"/>
        </w:rPr>
        <w:t>二</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rPr>
        <w:t>地质灾害类型与分布</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乌恰县发育的地质灾害类型以崩塌、泥石流、滑坡、地面塌陷、地裂缝为主，地面沉降灾害不发育。乌恰县辖区有2镇（乌恰镇、康苏镇）、9乡（乌鲁克恰提乡、吾合沙鲁乡、膘尔托阔依乡、黑孜苇乡、托云乡、铁列克乡、巴音库鲁提乡、波斯坦铁列克乡、吉根乡），按各乡（镇、场）内地质灾害点数量多少，从高到低排列依次为：乌鲁克恰提乡、托云乡、巴音库鲁提乡、铁列克乡、膘尔托阔依乡、黑孜苇乡、吉根乡、吾合沙鲁乡、波斯坦铁列克乡、康苏镇等。</w:t>
      </w:r>
      <w:r>
        <w:rPr>
          <w:rFonts w:hint="eastAsia" w:ascii="仿宋" w:hAnsi="仿宋" w:eastAsia="仿宋" w:cs="仿宋"/>
          <w:color w:val="auto"/>
          <w:sz w:val="24"/>
          <w:szCs w:val="24"/>
        </w:rPr>
        <w:t>中山区发育崩塌、泥石流、滑坡、地面塌陷、地裂缝灾害；高山、极高山区发育崩塌、泥石流、滑坡灾害；位于县境内东南部堆积平原区（冲洪积平原区及河谷平原区）地质灾害不发育。</w:t>
      </w:r>
    </w:p>
    <w:p>
      <w:pPr>
        <w:keepNext w:val="0"/>
        <w:keepLines w:val="0"/>
        <w:pageBreakBefore w:val="0"/>
        <w:kinsoku/>
        <w:wordWrap/>
        <w:overflowPunct/>
        <w:topLinePunct w:val="0"/>
        <w:autoSpaceDE/>
        <w:autoSpaceDN/>
        <w:bidi w:val="0"/>
        <w:spacing w:line="560" w:lineRule="exact"/>
        <w:ind w:firstLine="480" w:firstLineChars="200"/>
        <w:textAlignment w:val="auto"/>
        <w:outlineLvl w:val="1"/>
        <w:rPr>
          <w:rStyle w:val="73"/>
          <w:rFonts w:hint="eastAsia" w:ascii="仿宋" w:hAnsi="仿宋" w:eastAsia="仿宋" w:cs="仿宋"/>
          <w:color w:val="auto"/>
          <w:sz w:val="24"/>
          <w:szCs w:val="24"/>
        </w:rPr>
      </w:pPr>
      <w:bookmarkStart w:id="308" w:name="_Toc13283"/>
      <w:r>
        <w:rPr>
          <w:rStyle w:val="73"/>
          <w:rFonts w:hint="eastAsia" w:ascii="仿宋" w:hAnsi="仿宋" w:eastAsia="仿宋" w:cs="仿宋"/>
          <w:color w:val="auto"/>
          <w:sz w:val="24"/>
          <w:szCs w:val="24"/>
        </w:rPr>
        <w:t>五、目标任务</w:t>
      </w:r>
      <w:bookmarkEnd w:id="308"/>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（一）目标</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以孕灾主控地质条件和地质灾害隐患判识为主开展</w:t>
      </w:r>
      <w:r>
        <w:rPr>
          <w:rStyle w:val="73"/>
          <w:rFonts w:hint="eastAsia" w:ascii="仿宋" w:hAnsi="仿宋" w:eastAsia="仿宋" w:cs="仿宋"/>
          <w:color w:val="auto"/>
          <w:sz w:val="24"/>
          <w:szCs w:val="24"/>
          <w:lang w:eastAsia="zh-CN"/>
        </w:rPr>
        <w:t>乌恰县</w:t>
      </w:r>
      <w:r>
        <w:rPr>
          <w:rStyle w:val="73"/>
          <w:rFonts w:hint="eastAsia" w:ascii="仿宋" w:hAnsi="仿宋" w:eastAsia="仿宋" w:cs="仿宋"/>
          <w:color w:val="auto"/>
          <w:sz w:val="24"/>
          <w:szCs w:val="24"/>
        </w:rPr>
        <w:t>地质灾害风险调查评价，深化地质灾害早期识别、形成机理和规律认识，总结成灾模式，开展不同层次地质灾害风险区划，提出综合防治对策建议，为地质灾害防治管理提供基础依据。</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（二）任务</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1.开展地质灾害与孕灾地质条件、承灾体调查，判识地质灾害隐患，总结调查区地质灾害发育分布规律，分析地质灾害成灾模式。</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2.开展地质灾害易发性、危险性和风险评价，编制地质灾害风险调查评价相关图件。</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3.建立地质灾害风险调查空间数据库。</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4.提出地质灾害风险管控对策建议，为防灾减灾管理、国土空间规划和用途管制等提供基础依据</w:t>
      </w:r>
    </w:p>
    <w:p>
      <w:pPr>
        <w:keepNext w:val="0"/>
        <w:keepLines w:val="0"/>
        <w:pageBreakBefore w:val="0"/>
        <w:kinsoku/>
        <w:wordWrap/>
        <w:overflowPunct/>
        <w:topLinePunct w:val="0"/>
        <w:autoSpaceDE/>
        <w:autoSpaceDN/>
        <w:bidi w:val="0"/>
        <w:spacing w:line="560" w:lineRule="exact"/>
        <w:ind w:firstLine="480" w:firstLineChars="200"/>
        <w:textAlignment w:val="auto"/>
        <w:outlineLvl w:val="1"/>
        <w:rPr>
          <w:rStyle w:val="73"/>
          <w:rFonts w:hint="eastAsia" w:ascii="仿宋" w:hAnsi="仿宋" w:eastAsia="仿宋" w:cs="仿宋"/>
          <w:color w:val="auto"/>
          <w:sz w:val="24"/>
          <w:szCs w:val="24"/>
        </w:rPr>
      </w:pPr>
      <w:bookmarkStart w:id="309" w:name="_Toc5642"/>
      <w:r>
        <w:rPr>
          <w:rStyle w:val="73"/>
          <w:rFonts w:hint="eastAsia" w:ascii="仿宋" w:hAnsi="仿宋" w:eastAsia="仿宋" w:cs="仿宋"/>
          <w:color w:val="auto"/>
          <w:sz w:val="24"/>
          <w:szCs w:val="24"/>
        </w:rPr>
        <w:t>六、工作方法和技术要求</w:t>
      </w:r>
      <w:bookmarkEnd w:id="309"/>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（一）工作方法</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分析研究</w:t>
      </w:r>
      <w:r>
        <w:rPr>
          <w:rStyle w:val="73"/>
          <w:rFonts w:hint="eastAsia" w:ascii="仿宋" w:hAnsi="仿宋" w:eastAsia="仿宋" w:cs="仿宋"/>
          <w:color w:val="auto"/>
          <w:sz w:val="24"/>
          <w:szCs w:val="24"/>
          <w:lang w:val="en-US" w:eastAsia="zh-CN"/>
        </w:rPr>
        <w:t>以往工作</w:t>
      </w:r>
      <w:r>
        <w:rPr>
          <w:rStyle w:val="73"/>
          <w:rFonts w:hint="eastAsia" w:ascii="仿宋" w:hAnsi="仿宋" w:eastAsia="仿宋" w:cs="仿宋"/>
          <w:color w:val="auto"/>
          <w:sz w:val="24"/>
          <w:szCs w:val="24"/>
        </w:rPr>
        <w:t>成果，收集当地地质灾害勘查、防治工程和重大工程勘查成果，开展遥感解译工作，进行孕灾地质条件调查、承灾体调查，核查调查地质灾害及其隐患，辅以工程地质钻探、地球物理勘探、山地工程、工程地质测绘等，加强高分辨率光学影像、无人机遥感、合成孔径雷达干涉测量（InSAR）、激光雷达测量（LiDAR）、地球物理勘探等技术方法综合应用。对典型地质灾害及其隐患进行测绘与勘查，开展室内综合研究。</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（二）技术要求</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主要执行的技术规范、技术要求和依据主要有：</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1.《地质灾害风险调查评价技术要求（1:50000）》；</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2.《地质灾害风险调查评价编图技术要求（试行）》；</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3.《地质灾害风险调查评价成果信息化技术要求（试行）》；</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4</w:t>
      </w:r>
      <w:r>
        <w:rPr>
          <w:rStyle w:val="73"/>
          <w:rFonts w:hint="eastAsia" w:ascii="仿宋" w:hAnsi="仿宋" w:eastAsia="仿宋" w:cs="仿宋"/>
          <w:color w:val="auto"/>
          <w:sz w:val="24"/>
          <w:szCs w:val="24"/>
        </w:rPr>
        <w:t>.GB50021—2001（2009年版）岩土工程勘察规范；</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5</w:t>
      </w:r>
      <w:r>
        <w:rPr>
          <w:rStyle w:val="73"/>
          <w:rFonts w:hint="eastAsia" w:ascii="仿宋" w:hAnsi="仿宋" w:eastAsia="仿宋" w:cs="仿宋"/>
          <w:color w:val="auto"/>
          <w:sz w:val="24"/>
          <w:szCs w:val="24"/>
        </w:rPr>
        <w:t>.《中国地震动参数区划图》（GB18306-2015）；</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6</w:t>
      </w:r>
      <w:r>
        <w:rPr>
          <w:rStyle w:val="73"/>
          <w:rFonts w:hint="eastAsia" w:ascii="仿宋" w:hAnsi="仿宋" w:eastAsia="仿宋" w:cs="仿宋"/>
          <w:color w:val="auto"/>
          <w:sz w:val="24"/>
          <w:szCs w:val="24"/>
        </w:rPr>
        <w:t>.《遥感地质解译方法指南（1:50000、1:250000）》（DD2011-03）；</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7</w:t>
      </w:r>
      <w:r>
        <w:rPr>
          <w:rStyle w:val="73"/>
          <w:rFonts w:hint="eastAsia" w:ascii="仿宋" w:hAnsi="仿宋" w:eastAsia="仿宋" w:cs="仿宋"/>
          <w:color w:val="auto"/>
          <w:sz w:val="24"/>
          <w:szCs w:val="24"/>
        </w:rPr>
        <w:t>.《地质灾害遥感调查技术规定》（DD2015-01）；</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8</w:t>
      </w:r>
      <w:r>
        <w:rPr>
          <w:rStyle w:val="73"/>
          <w:rFonts w:hint="eastAsia" w:ascii="仿宋" w:hAnsi="仿宋" w:eastAsia="仿宋" w:cs="仿宋"/>
          <w:color w:val="auto"/>
          <w:sz w:val="24"/>
          <w:szCs w:val="24"/>
        </w:rPr>
        <w:t>.《倾斜数字航空摄影技术规程》（GB/T 39610-2020）；</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9</w:t>
      </w:r>
      <w:r>
        <w:rPr>
          <w:rStyle w:val="73"/>
          <w:rFonts w:hint="eastAsia" w:ascii="仿宋" w:hAnsi="仿宋" w:eastAsia="仿宋" w:cs="仿宋"/>
          <w:color w:val="auto"/>
          <w:sz w:val="24"/>
          <w:szCs w:val="24"/>
        </w:rPr>
        <w:t>.《地质调查项目预算标准（2021）》；</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10</w:t>
      </w:r>
      <w:r>
        <w:rPr>
          <w:rStyle w:val="73"/>
          <w:rFonts w:hint="eastAsia" w:ascii="仿宋" w:hAnsi="仿宋" w:eastAsia="仿宋" w:cs="仿宋"/>
          <w:color w:val="auto"/>
          <w:sz w:val="24"/>
          <w:szCs w:val="24"/>
        </w:rPr>
        <w:t>.《地质资料汇交规范》（DZ/T0273）。</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val="en-US" w:eastAsia="zh-CN"/>
        </w:rPr>
        <w:t>及其它相关技术规范要求，</w:t>
      </w:r>
      <w:r>
        <w:rPr>
          <w:rStyle w:val="73"/>
          <w:rFonts w:hint="eastAsia" w:ascii="仿宋" w:hAnsi="仿宋" w:eastAsia="仿宋" w:cs="仿宋"/>
          <w:color w:val="auto"/>
          <w:sz w:val="24"/>
          <w:szCs w:val="24"/>
        </w:rPr>
        <w:t>执行的技术和规范应以项目实施时现行</w:t>
      </w:r>
      <w:r>
        <w:rPr>
          <w:rStyle w:val="73"/>
          <w:rFonts w:hint="eastAsia" w:ascii="仿宋" w:hAnsi="仿宋" w:eastAsia="仿宋" w:cs="仿宋"/>
          <w:color w:val="auto"/>
          <w:sz w:val="24"/>
          <w:szCs w:val="24"/>
          <w:lang w:val="en-US" w:eastAsia="zh-CN"/>
        </w:rPr>
        <w:t>最新技术</w:t>
      </w:r>
      <w:r>
        <w:rPr>
          <w:rStyle w:val="73"/>
          <w:rFonts w:hint="eastAsia" w:ascii="仿宋" w:hAnsi="仿宋" w:eastAsia="仿宋" w:cs="仿宋"/>
          <w:color w:val="auto"/>
          <w:sz w:val="24"/>
          <w:szCs w:val="24"/>
        </w:rPr>
        <w:t>标准和规范为准。</w:t>
      </w:r>
    </w:p>
    <w:p>
      <w:pPr>
        <w:keepNext w:val="0"/>
        <w:keepLines w:val="0"/>
        <w:pageBreakBefore w:val="0"/>
        <w:kinsoku/>
        <w:wordWrap/>
        <w:overflowPunct/>
        <w:topLinePunct w:val="0"/>
        <w:autoSpaceDE/>
        <w:autoSpaceDN/>
        <w:bidi w:val="0"/>
        <w:spacing w:line="560" w:lineRule="exact"/>
        <w:ind w:firstLine="480" w:firstLineChars="200"/>
        <w:textAlignment w:val="auto"/>
        <w:outlineLvl w:val="1"/>
        <w:rPr>
          <w:rStyle w:val="73"/>
          <w:rFonts w:hint="eastAsia" w:ascii="仿宋" w:hAnsi="仿宋" w:eastAsia="仿宋" w:cs="仿宋"/>
          <w:color w:val="auto"/>
          <w:sz w:val="24"/>
          <w:szCs w:val="24"/>
        </w:rPr>
      </w:pPr>
      <w:bookmarkStart w:id="310" w:name="_Toc21345"/>
      <w:r>
        <w:rPr>
          <w:rStyle w:val="73"/>
          <w:rFonts w:hint="eastAsia" w:ascii="仿宋" w:hAnsi="仿宋" w:eastAsia="仿宋" w:cs="仿宋"/>
          <w:color w:val="auto"/>
          <w:sz w:val="24"/>
          <w:szCs w:val="24"/>
        </w:rPr>
        <w:t>七、主要实物工作量</w:t>
      </w:r>
      <w:bookmarkEnd w:id="310"/>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开展全域遥感解译工作，根据工作需要合理布置工程地质钻探、地球物理勘探、山地工程、工程地质测绘等，加强高分辨率光学影像、无人机遥感、合成孔径雷达干涉测量（InSAR）、激光雷达测量（LiDAR）、地球物理勘探等工作量，其中钻探、实测剖面、岩土样品满足规范要求，开展地质灾害防治知识培训和重要地质灾害隐患点防治演练工作。最终实物工作量以设计批复工作量为准。</w:t>
      </w:r>
    </w:p>
    <w:p>
      <w:pPr>
        <w:keepNext w:val="0"/>
        <w:keepLines w:val="0"/>
        <w:pageBreakBefore w:val="0"/>
        <w:kinsoku/>
        <w:wordWrap/>
        <w:overflowPunct/>
        <w:topLinePunct w:val="0"/>
        <w:autoSpaceDE/>
        <w:autoSpaceDN/>
        <w:bidi w:val="0"/>
        <w:spacing w:line="560" w:lineRule="exact"/>
        <w:ind w:firstLine="480" w:firstLineChars="200"/>
        <w:textAlignment w:val="auto"/>
        <w:outlineLvl w:val="1"/>
        <w:rPr>
          <w:rStyle w:val="73"/>
          <w:rFonts w:hint="eastAsia" w:ascii="仿宋" w:hAnsi="仿宋" w:eastAsia="仿宋" w:cs="仿宋"/>
          <w:color w:val="auto"/>
          <w:sz w:val="24"/>
          <w:szCs w:val="24"/>
        </w:rPr>
      </w:pPr>
      <w:bookmarkStart w:id="311" w:name="_Toc27618"/>
      <w:r>
        <w:rPr>
          <w:rStyle w:val="73"/>
          <w:rFonts w:hint="eastAsia" w:ascii="仿宋" w:hAnsi="仿宋" w:eastAsia="仿宋" w:cs="仿宋"/>
          <w:color w:val="auto"/>
          <w:sz w:val="24"/>
          <w:szCs w:val="24"/>
        </w:rPr>
        <w:t>八、预期提交成果</w:t>
      </w:r>
      <w:bookmarkEnd w:id="311"/>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（一）原始资料</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1.野外调查手图、遥感解译及验证成果分布图、实际材料图、工程地质条件图；</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2.各类原始记录卡片</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3.野外照(摄)像等影像资料；</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4.测试与试验资料；</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5.重要、典型地质灾害的工程地质剖面图、探井展示图，物探剖面图，槽探剖面图、低空遥感影像图、稳定性计算参数及计算结果表等。</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（二）成果资料</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1.报告</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lang w:eastAsia="zh-CN"/>
        </w:rPr>
        <w:t xml:space="preserve"> 新疆乌恰县地质灾害风险调查评价</w:t>
      </w:r>
      <w:r>
        <w:rPr>
          <w:rStyle w:val="73"/>
          <w:rFonts w:hint="eastAsia" w:ascii="仿宋" w:hAnsi="仿宋" w:eastAsia="仿宋" w:cs="仿宋"/>
          <w:color w:val="auto"/>
          <w:sz w:val="24"/>
          <w:szCs w:val="24"/>
        </w:rPr>
        <w:t>报告。</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2.附图</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主要包括基础性图件、应用性图件和其他图件。</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3.附件</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附件主要包括：数据库建库报告；地质灾害风险调查数据库；照片集；专题报告；地质灾害勘查报告及图件。</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Style w:val="73"/>
          <w:rFonts w:hint="eastAsia" w:ascii="仿宋" w:hAnsi="仿宋" w:eastAsia="仿宋" w:cs="仿宋"/>
          <w:color w:val="auto"/>
          <w:sz w:val="24"/>
          <w:szCs w:val="24"/>
          <w:lang w:val="en-US" w:eastAsia="zh-CN"/>
        </w:rPr>
      </w:pPr>
      <w:r>
        <w:rPr>
          <w:rStyle w:val="73"/>
          <w:rFonts w:hint="eastAsia" w:ascii="仿宋" w:hAnsi="仿宋" w:eastAsia="仿宋" w:cs="仿宋"/>
          <w:color w:val="auto"/>
          <w:sz w:val="24"/>
          <w:szCs w:val="24"/>
          <w:lang w:val="en-US" w:eastAsia="zh-CN"/>
        </w:rPr>
        <w:t>具体</w:t>
      </w:r>
      <w:r>
        <w:rPr>
          <w:rStyle w:val="73"/>
          <w:rFonts w:hint="eastAsia" w:ascii="仿宋" w:hAnsi="仿宋" w:eastAsia="仿宋" w:cs="仿宋"/>
          <w:color w:val="auto"/>
          <w:sz w:val="24"/>
          <w:szCs w:val="24"/>
        </w:rPr>
        <w:t>详见《地质灾害风险调查评价技术要求（1:50000）》</w:t>
      </w:r>
      <w:r>
        <w:rPr>
          <w:rStyle w:val="73"/>
          <w:rFonts w:hint="eastAsia" w:ascii="仿宋" w:hAnsi="仿宋" w:eastAsia="仿宋" w:cs="仿宋"/>
          <w:color w:val="auto"/>
          <w:sz w:val="24"/>
          <w:szCs w:val="24"/>
          <w:lang w:val="en-US" w:eastAsia="zh-CN"/>
        </w:rPr>
        <w:t>关于成果资料要求。</w:t>
      </w:r>
    </w:p>
    <w:p>
      <w:pPr>
        <w:keepNext w:val="0"/>
        <w:keepLines w:val="0"/>
        <w:pageBreakBefore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rPr>
      </w:pPr>
      <w:r>
        <w:rPr>
          <w:rStyle w:val="73"/>
          <w:rFonts w:hint="eastAsia" w:ascii="仿宋" w:hAnsi="仿宋" w:eastAsia="仿宋" w:cs="仿宋"/>
          <w:color w:val="auto"/>
          <w:sz w:val="24"/>
          <w:szCs w:val="24"/>
        </w:rPr>
        <w:t>项目成果资料整理归档严格按照《地质灾害风险调查评价技术要求（1:50000）》和《地质资料汇交规范》</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rPr>
        <w:t>DZ/T0273</w:t>
      </w:r>
      <w:r>
        <w:rPr>
          <w:rStyle w:val="73"/>
          <w:rFonts w:hint="eastAsia" w:ascii="仿宋" w:hAnsi="仿宋" w:eastAsia="仿宋" w:cs="仿宋"/>
          <w:color w:val="auto"/>
          <w:sz w:val="24"/>
          <w:szCs w:val="24"/>
          <w:lang w:eastAsia="zh-CN"/>
        </w:rPr>
        <w:t>）</w:t>
      </w:r>
      <w:r>
        <w:rPr>
          <w:rStyle w:val="73"/>
          <w:rFonts w:hint="eastAsia" w:ascii="仿宋" w:hAnsi="仿宋" w:eastAsia="仿宋" w:cs="仿宋"/>
          <w:color w:val="auto"/>
          <w:sz w:val="24"/>
          <w:szCs w:val="24"/>
        </w:rPr>
        <w:t>地质资料汇交规范及相关管理办法</w:t>
      </w:r>
      <w:r>
        <w:rPr>
          <w:rStyle w:val="73"/>
          <w:rFonts w:hint="eastAsia" w:ascii="仿宋" w:hAnsi="仿宋" w:eastAsia="仿宋" w:cs="仿宋"/>
          <w:color w:val="auto"/>
          <w:sz w:val="24"/>
          <w:szCs w:val="24"/>
          <w:lang w:val="en-US" w:eastAsia="zh-CN"/>
        </w:rPr>
        <w:t>和《新疆维吾尔自治区地质灾害防治项目管理办法（试行）》及《新疆维吾尔自治区地质灾害防治项目验收细则》</w:t>
      </w:r>
      <w:r>
        <w:rPr>
          <w:rStyle w:val="73"/>
          <w:rFonts w:hint="eastAsia" w:ascii="仿宋" w:hAnsi="仿宋" w:eastAsia="仿宋" w:cs="仿宋"/>
          <w:color w:val="auto"/>
          <w:sz w:val="24"/>
          <w:szCs w:val="24"/>
        </w:rPr>
        <w:t>规定执行。最终成果资料应按地质资料汇交要求向新疆地质资料馆汇交，并向自治区自然资源厅、</w:t>
      </w:r>
      <w:r>
        <w:rPr>
          <w:rStyle w:val="73"/>
          <w:rFonts w:hint="eastAsia" w:ascii="仿宋" w:hAnsi="仿宋" w:eastAsia="仿宋" w:cs="仿宋"/>
          <w:color w:val="auto"/>
          <w:sz w:val="24"/>
          <w:szCs w:val="24"/>
          <w:lang w:eastAsia="zh-CN"/>
        </w:rPr>
        <w:t>克孜勒苏柯尔克孜自治州自然资源局</w:t>
      </w:r>
      <w:r>
        <w:rPr>
          <w:rStyle w:val="73"/>
          <w:rFonts w:hint="eastAsia" w:ascii="仿宋" w:hAnsi="仿宋" w:eastAsia="仿宋" w:cs="仿宋"/>
          <w:color w:val="auto"/>
          <w:sz w:val="24"/>
          <w:szCs w:val="24"/>
        </w:rPr>
        <w:t>和</w:t>
      </w:r>
      <w:r>
        <w:rPr>
          <w:rStyle w:val="73"/>
          <w:rFonts w:hint="eastAsia" w:ascii="仿宋" w:hAnsi="仿宋" w:eastAsia="仿宋" w:cs="仿宋"/>
          <w:color w:val="auto"/>
          <w:sz w:val="24"/>
          <w:szCs w:val="24"/>
          <w:lang w:eastAsia="zh-CN"/>
        </w:rPr>
        <w:t>乌恰县</w:t>
      </w:r>
      <w:r>
        <w:rPr>
          <w:rStyle w:val="73"/>
          <w:rFonts w:hint="eastAsia" w:ascii="仿宋" w:hAnsi="仿宋" w:eastAsia="仿宋" w:cs="仿宋"/>
          <w:color w:val="auto"/>
          <w:sz w:val="24"/>
          <w:szCs w:val="24"/>
        </w:rPr>
        <w:t>自然资源局汇交纸介质和电子版各2套。</w:t>
      </w:r>
    </w:p>
    <w:p>
      <w:pPr>
        <w:keepNext w:val="0"/>
        <w:keepLines w:val="0"/>
        <w:pageBreakBefore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color w:val="auto"/>
          <w:sz w:val="24"/>
          <w:szCs w:val="24"/>
        </w:rPr>
      </w:pPr>
      <w:bookmarkStart w:id="312" w:name="_Toc32000"/>
      <w:r>
        <w:rPr>
          <w:rStyle w:val="73"/>
          <w:rFonts w:hint="eastAsia" w:ascii="仿宋" w:hAnsi="仿宋" w:eastAsia="仿宋" w:cs="仿宋"/>
          <w:color w:val="auto"/>
          <w:sz w:val="24"/>
          <w:szCs w:val="24"/>
        </w:rPr>
        <w:t>九、工作周期</w:t>
      </w:r>
      <w:bookmarkEnd w:id="312"/>
    </w:p>
    <w:p>
      <w:pPr>
        <w:spacing w:line="560" w:lineRule="exact"/>
        <w:ind w:firstLine="480" w:firstLineChars="200"/>
        <w:jc w:val="center"/>
        <w:rPr>
          <w:rStyle w:val="73"/>
          <w:rFonts w:hint="default" w:ascii="仿宋" w:hAnsi="仿宋" w:eastAsia="仿宋" w:cs="仿宋"/>
          <w:color w:val="auto"/>
          <w:sz w:val="24"/>
          <w:szCs w:val="24"/>
        </w:rPr>
      </w:pPr>
      <w:r>
        <w:rPr>
          <w:rStyle w:val="73"/>
          <w:rFonts w:hint="eastAsia" w:ascii="仿宋" w:hAnsi="仿宋" w:eastAsia="仿宋" w:cs="仿宋"/>
          <w:color w:val="auto"/>
          <w:sz w:val="24"/>
          <w:szCs w:val="24"/>
        </w:rPr>
        <w:t>2023年3月-2024年1月。其中：2023年9月30日前完成野外调查工作；2023年10月30日前提交报告及数据库送审稿,2024年1月完成资料汇交。</w:t>
      </w:r>
    </w:p>
    <w:p>
      <w:pPr>
        <w:rPr>
          <w:rStyle w:val="73"/>
          <w:rFonts w:hint="default" w:ascii="仿宋" w:hAnsi="仿宋" w:eastAsia="仿宋" w:cs="仿宋"/>
          <w:color w:val="auto"/>
          <w:sz w:val="24"/>
          <w:szCs w:val="24"/>
        </w:rPr>
      </w:pPr>
      <w:r>
        <w:rPr>
          <w:rStyle w:val="73"/>
          <w:rFonts w:ascii="仿宋" w:hAnsi="仿宋" w:eastAsia="仿宋" w:cs="仿宋"/>
          <w:color w:val="auto"/>
          <w:sz w:val="24"/>
          <w:szCs w:val="24"/>
        </w:rPr>
        <w:br w:type="page"/>
      </w:r>
    </w:p>
    <w:p>
      <w:pPr>
        <w:spacing w:line="560" w:lineRule="exact"/>
        <w:jc w:val="both"/>
        <w:outlineLvl w:val="1"/>
        <w:rPr>
          <w:rFonts w:hint="eastAsia" w:ascii="仿宋" w:hAnsi="仿宋" w:eastAsia="仿宋" w:cs="Times New Roman"/>
          <w:b/>
          <w:bCs/>
          <w:color w:val="auto"/>
          <w:sz w:val="32"/>
          <w:szCs w:val="32"/>
        </w:rPr>
      </w:pPr>
      <w:bookmarkStart w:id="313" w:name="_Toc23162"/>
      <w:bookmarkStart w:id="314" w:name="_Toc5429"/>
      <w:r>
        <w:rPr>
          <w:rFonts w:hint="eastAsia" w:ascii="仿宋" w:hAnsi="仿宋" w:eastAsia="仿宋" w:cs="Times New Roman"/>
          <w:b/>
          <w:bCs/>
          <w:color w:val="auto"/>
          <w:sz w:val="32"/>
          <w:szCs w:val="32"/>
        </w:rPr>
        <w:t>标项三：</w:t>
      </w:r>
      <w:r>
        <w:rPr>
          <w:rFonts w:hint="eastAsia" w:ascii="仿宋" w:hAnsi="仿宋" w:eastAsia="仿宋" w:cs="Times New Roman"/>
          <w:b/>
          <w:bCs/>
          <w:color w:val="auto"/>
          <w:sz w:val="32"/>
          <w:szCs w:val="32"/>
          <w:lang w:eastAsia="zh-CN"/>
        </w:rPr>
        <w:t>新疆乌恰县吾合沙鲁乡政府、小学泥石流</w:t>
      </w:r>
      <w:r>
        <w:rPr>
          <w:rFonts w:hint="eastAsia" w:ascii="仿宋" w:hAnsi="仿宋" w:eastAsia="仿宋" w:cs="Times New Roman"/>
          <w:b/>
          <w:bCs/>
          <w:color w:val="auto"/>
          <w:sz w:val="32"/>
          <w:szCs w:val="32"/>
          <w:lang w:val="en-US" w:eastAsia="zh-CN"/>
        </w:rPr>
        <w:t>防治工程</w:t>
      </w:r>
      <w:bookmarkEnd w:id="313"/>
      <w:bookmarkEnd w:id="314"/>
    </w:p>
    <w:p>
      <w:pPr>
        <w:pStyle w:val="28"/>
        <w:spacing w:line="440" w:lineRule="exact"/>
        <w:rPr>
          <w:color w:val="auto"/>
        </w:rPr>
      </w:pPr>
    </w:p>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15" w:name="_Toc6040"/>
      <w:r>
        <w:rPr>
          <w:rFonts w:hint="eastAsia" w:ascii="仿宋" w:hAnsi="仿宋" w:eastAsia="仿宋" w:cs="仿宋"/>
          <w:b w:val="0"/>
          <w:bCs/>
          <w:color w:val="auto"/>
          <w:sz w:val="24"/>
          <w:szCs w:val="24"/>
        </w:rPr>
        <w:t>一、项目名称、编号及费用</w:t>
      </w:r>
      <w:bookmarkEnd w:id="315"/>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rPr>
        <w:t>项目名称：</w:t>
      </w:r>
      <w:r>
        <w:rPr>
          <w:rFonts w:hint="eastAsia" w:ascii="仿宋" w:hAnsi="仿宋" w:eastAsia="仿宋" w:cs="仿宋"/>
          <w:b w:val="0"/>
          <w:bCs/>
          <w:color w:val="auto"/>
          <w:kern w:val="0"/>
          <w:sz w:val="24"/>
          <w:szCs w:val="24"/>
          <w:lang w:eastAsia="zh-CN"/>
        </w:rPr>
        <w:t>新疆乌恰县吾合沙鲁乡政府、小学泥石流</w:t>
      </w:r>
      <w:r>
        <w:rPr>
          <w:rFonts w:hint="eastAsia" w:ascii="仿宋" w:hAnsi="仿宋" w:eastAsia="仿宋" w:cs="仿宋"/>
          <w:b w:val="0"/>
          <w:bCs/>
          <w:color w:val="auto"/>
          <w:kern w:val="0"/>
          <w:sz w:val="24"/>
          <w:szCs w:val="24"/>
          <w:lang w:val="en-US" w:eastAsia="zh-CN"/>
        </w:rPr>
        <w:t>防治工程</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rPr>
        <w:t>项目编号：</w:t>
      </w:r>
      <w:r>
        <w:rPr>
          <w:rStyle w:val="73"/>
          <w:rFonts w:ascii="仿宋" w:hAnsi="仿宋" w:eastAsia="仿宋" w:cs="仿宋"/>
          <w:b w:val="0"/>
          <w:bCs/>
          <w:color w:val="auto"/>
          <w:sz w:val="24"/>
          <w:szCs w:val="24"/>
          <w:lang w:eastAsia="zh-CN"/>
        </w:rPr>
        <w:t>GYZB-KZDZFZ2023</w:t>
      </w:r>
      <w:r>
        <w:rPr>
          <w:rStyle w:val="73"/>
          <w:rFonts w:hint="eastAsia" w:ascii="仿宋" w:hAnsi="仿宋" w:eastAsia="仿宋" w:cs="仿宋"/>
          <w:b w:val="0"/>
          <w:bCs/>
          <w:color w:val="auto"/>
          <w:sz w:val="24"/>
          <w:szCs w:val="24"/>
          <w:lang w:val="en-US" w:eastAsia="zh-CN"/>
        </w:rPr>
        <w:t>-01</w:t>
      </w:r>
      <w:r>
        <w:rPr>
          <w:rStyle w:val="73"/>
          <w:rFonts w:ascii="仿宋" w:hAnsi="仿宋" w:eastAsia="仿宋" w:cs="仿宋"/>
          <w:b w:val="0"/>
          <w:bCs/>
          <w:color w:val="auto"/>
          <w:sz w:val="24"/>
          <w:szCs w:val="24"/>
        </w:rPr>
        <w:t>-0</w:t>
      </w:r>
      <w:r>
        <w:rPr>
          <w:rStyle w:val="73"/>
          <w:rFonts w:hint="eastAsia" w:ascii="仿宋" w:hAnsi="仿宋" w:eastAsia="仿宋" w:cs="仿宋"/>
          <w:b w:val="0"/>
          <w:bCs/>
          <w:color w:val="auto"/>
          <w:sz w:val="24"/>
          <w:szCs w:val="24"/>
          <w:lang w:val="en-US" w:eastAsia="zh-CN"/>
        </w:rPr>
        <w:t>3</w:t>
      </w:r>
    </w:p>
    <w:p>
      <w:pPr>
        <w:keepNext w:val="0"/>
        <w:keepLines w:val="0"/>
        <w:pageBreakBefore w:val="0"/>
        <w:widowControl w:val="0"/>
        <w:kinsoku/>
        <w:wordWrap/>
        <w:overflowPunct/>
        <w:topLinePunct w:val="0"/>
        <w:bidi w:val="0"/>
        <w:spacing w:line="560" w:lineRule="exact"/>
        <w:ind w:firstLine="480" w:firstLineChars="200"/>
        <w:textAlignment w:val="auto"/>
        <w:outlineLvl w:val="9"/>
        <w:rPr>
          <w:rStyle w:val="73"/>
          <w:rFonts w:hint="default" w:ascii="仿宋" w:hAnsi="仿宋" w:eastAsia="仿宋" w:cs="仿宋"/>
          <w:b w:val="0"/>
          <w:bCs/>
          <w:color w:val="auto"/>
          <w:sz w:val="24"/>
          <w:szCs w:val="24"/>
          <w:lang w:val="en-US" w:eastAsia="zh-CN"/>
        </w:rPr>
      </w:pPr>
      <w:r>
        <w:rPr>
          <w:rStyle w:val="73"/>
          <w:rFonts w:hint="eastAsia" w:ascii="仿宋" w:hAnsi="仿宋" w:eastAsia="仿宋" w:cs="仿宋"/>
          <w:b w:val="0"/>
          <w:bCs/>
          <w:color w:val="auto"/>
          <w:sz w:val="24"/>
          <w:szCs w:val="24"/>
          <w:lang w:eastAsia="zh-CN"/>
        </w:rPr>
        <w:t>项目费用</w:t>
      </w:r>
      <w:r>
        <w:rPr>
          <w:rStyle w:val="73"/>
          <w:rFonts w:hint="eastAsia" w:ascii="仿宋" w:hAnsi="仿宋" w:eastAsia="仿宋" w:cs="仿宋"/>
          <w:b w:val="0"/>
          <w:bCs/>
          <w:color w:val="auto"/>
          <w:sz w:val="24"/>
          <w:szCs w:val="24"/>
          <w:lang w:val="en-US" w:eastAsia="zh-CN"/>
        </w:rPr>
        <w:t>人民币</w:t>
      </w:r>
      <w:r>
        <w:rPr>
          <w:rStyle w:val="73"/>
          <w:rFonts w:hint="eastAsia" w:ascii="仿宋" w:hAnsi="仿宋" w:eastAsia="仿宋" w:cs="仿宋"/>
          <w:b w:val="0"/>
          <w:bCs/>
          <w:color w:val="auto"/>
          <w:sz w:val="24"/>
          <w:szCs w:val="24"/>
          <w:lang w:eastAsia="zh-CN"/>
        </w:rPr>
        <w:t>：</w:t>
      </w:r>
      <w:r>
        <w:rPr>
          <w:rStyle w:val="73"/>
          <w:rFonts w:hint="eastAsia" w:ascii="仿宋" w:hAnsi="仿宋" w:eastAsia="仿宋" w:cs="仿宋"/>
          <w:b w:val="0"/>
          <w:bCs/>
          <w:color w:val="auto"/>
          <w:sz w:val="24"/>
          <w:szCs w:val="24"/>
          <w:lang w:val="en-US" w:eastAsia="zh-CN"/>
        </w:rPr>
        <w:t>444.7</w:t>
      </w:r>
      <w:r>
        <w:rPr>
          <w:rStyle w:val="73"/>
          <w:rFonts w:hint="eastAsia" w:ascii="仿宋" w:hAnsi="仿宋" w:eastAsia="仿宋" w:cs="仿宋"/>
          <w:b w:val="0"/>
          <w:bCs/>
          <w:color w:val="auto"/>
          <w:sz w:val="24"/>
          <w:szCs w:val="24"/>
          <w:lang w:eastAsia="zh-CN"/>
        </w:rPr>
        <w:t>万元（</w:t>
      </w:r>
      <w:r>
        <w:rPr>
          <w:rStyle w:val="73"/>
          <w:rFonts w:hint="eastAsia" w:ascii="仿宋" w:hAnsi="仿宋" w:eastAsia="仿宋" w:cs="仿宋"/>
          <w:b w:val="0"/>
          <w:bCs/>
          <w:color w:val="auto"/>
          <w:sz w:val="24"/>
          <w:szCs w:val="24"/>
          <w:lang w:val="en-US" w:eastAsia="zh-CN"/>
        </w:rPr>
        <w:t>肆佰肆拾肆万柒仟元整）</w:t>
      </w:r>
    </w:p>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16" w:name="_Toc26203"/>
      <w:r>
        <w:rPr>
          <w:rFonts w:hint="eastAsia" w:ascii="仿宋" w:hAnsi="仿宋" w:eastAsia="仿宋" w:cs="仿宋"/>
          <w:b w:val="0"/>
          <w:bCs/>
          <w:color w:val="auto"/>
          <w:sz w:val="24"/>
          <w:szCs w:val="24"/>
        </w:rPr>
        <w:t>二、工作范围</w:t>
      </w:r>
      <w:bookmarkEnd w:id="316"/>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防治区位于乌恰县吾合沙鲁乡政府东北侧。吾合沙鲁乡政府东距乌恰县公路里程约56千米，距阿图什市公路里程约156千米，中心地理坐标：东经74°47′26.69″、北纬39°40′29.73″</w:t>
      </w:r>
      <w:r>
        <w:rPr>
          <w:rFonts w:hint="eastAsia" w:ascii="仿宋" w:hAnsi="仿宋" w:eastAsia="仿宋" w:cs="仿宋"/>
          <w:b w:val="0"/>
          <w:bCs/>
          <w:color w:val="auto"/>
          <w:sz w:val="24"/>
          <w:szCs w:val="24"/>
          <w:lang w:eastAsia="zh-CN"/>
        </w:rPr>
        <w:t>。</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u w:val="single"/>
        </w:rPr>
      </w:pPr>
      <w:r>
        <w:rPr>
          <w:rFonts w:hint="eastAsia" w:ascii="仿宋" w:hAnsi="仿宋" w:eastAsia="仿宋" w:cs="仿宋"/>
          <w:b w:val="0"/>
          <w:bCs/>
          <w:color w:val="auto"/>
          <w:sz w:val="24"/>
          <w:szCs w:val="24"/>
          <w:u w:val="single"/>
        </w:rPr>
        <w:t>最终防治工程区范围以投标单位现场踏勘并与当地自然资源部门充分沟通确定的为准。</w:t>
      </w:r>
    </w:p>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17" w:name="_Toc4989"/>
      <w:r>
        <w:rPr>
          <w:rFonts w:hint="eastAsia" w:ascii="仿宋" w:hAnsi="仿宋" w:eastAsia="仿宋" w:cs="仿宋"/>
          <w:b w:val="0"/>
          <w:bCs/>
          <w:color w:val="auto"/>
          <w:sz w:val="24"/>
          <w:szCs w:val="24"/>
        </w:rPr>
        <w:t>三、自然经济地理</w:t>
      </w:r>
      <w:bookmarkEnd w:id="317"/>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（一）交通位置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防治区位于乌恰县吾合沙鲁乡政府东北侧。吾合沙鲁乡政府东距乌恰县公路里程约56千米，距阿图什市公路里程约156千米，中心地理坐标：东经74°47′26.69″、北纬39°40′29.73″，行政区划隶属吾合沙鲁乡管辖。工作区至乌恰县有X413县道与S309省道相连，乌恰县至阿图什市有G3013吐伊高速相连，交通便利。</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二</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社会经济概况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吾合沙鲁乡</w:t>
      </w:r>
      <w:r>
        <w:rPr>
          <w:rFonts w:hint="eastAsia" w:ascii="仿宋" w:hAnsi="仿宋" w:eastAsia="仿宋" w:cs="仿宋"/>
          <w:b w:val="0"/>
          <w:bCs/>
          <w:color w:val="auto"/>
          <w:sz w:val="24"/>
          <w:szCs w:val="24"/>
        </w:rPr>
        <w:t>，隶属于新疆维吾尔自治区</w:t>
      </w:r>
      <w:r>
        <w:rPr>
          <w:rFonts w:hint="eastAsia" w:ascii="仿宋" w:hAnsi="仿宋" w:eastAsia="仿宋" w:cs="仿宋"/>
          <w:b w:val="0"/>
          <w:bCs/>
          <w:color w:val="auto"/>
          <w:sz w:val="24"/>
          <w:szCs w:val="24"/>
          <w:lang w:eastAsia="zh-CN"/>
        </w:rPr>
        <w:t>克孜勒苏柯尔克孜自治州乌恰县</w:t>
      </w:r>
      <w:r>
        <w:rPr>
          <w:rFonts w:hint="eastAsia" w:ascii="仿宋" w:hAnsi="仿宋" w:eastAsia="仿宋" w:cs="仿宋"/>
          <w:b w:val="0"/>
          <w:bCs/>
          <w:color w:val="auto"/>
          <w:sz w:val="24"/>
          <w:szCs w:val="24"/>
        </w:rPr>
        <w:t>，地处</w:t>
      </w:r>
      <w:r>
        <w:rPr>
          <w:rFonts w:hint="eastAsia" w:ascii="仿宋" w:hAnsi="仿宋" w:eastAsia="仿宋" w:cs="仿宋"/>
          <w:b w:val="0"/>
          <w:bCs/>
          <w:color w:val="auto"/>
          <w:sz w:val="24"/>
          <w:szCs w:val="24"/>
        </w:rPr>
        <w:fldChar w:fldCharType="begin"/>
      </w:r>
      <w:r>
        <w:rPr>
          <w:rFonts w:hint="eastAsia" w:ascii="仿宋" w:hAnsi="仿宋" w:eastAsia="仿宋" w:cs="仿宋"/>
          <w:b w:val="0"/>
          <w:bCs/>
          <w:color w:val="auto"/>
          <w:sz w:val="24"/>
          <w:szCs w:val="24"/>
        </w:rPr>
        <w:instrText xml:space="preserve"> HYPERLINK "https://baike.baidu.com/item/%E4%B9%8C%E6%81%B0%E5%8E%BF?fromModule=lemma_inlink" \t "https://baike.baidu.com/item/_blank" </w:instrText>
      </w:r>
      <w:r>
        <w:rPr>
          <w:rFonts w:hint="eastAsia" w:ascii="仿宋" w:hAnsi="仿宋" w:eastAsia="仿宋" w:cs="仿宋"/>
          <w:b w:val="0"/>
          <w:bCs/>
          <w:color w:val="auto"/>
          <w:sz w:val="24"/>
          <w:szCs w:val="24"/>
        </w:rPr>
        <w:fldChar w:fldCharType="separate"/>
      </w:r>
      <w:r>
        <w:rPr>
          <w:rFonts w:hint="eastAsia" w:ascii="仿宋" w:hAnsi="仿宋" w:eastAsia="仿宋" w:cs="仿宋"/>
          <w:b w:val="0"/>
          <w:bCs/>
          <w:color w:val="auto"/>
          <w:sz w:val="24"/>
          <w:szCs w:val="24"/>
        </w:rPr>
        <w:t>乌恰县</w:t>
      </w:r>
      <w:r>
        <w:rPr>
          <w:rFonts w:hint="eastAsia" w:ascii="仿宋" w:hAnsi="仿宋" w:eastAsia="仿宋" w:cs="仿宋"/>
          <w:b w:val="0"/>
          <w:bCs/>
          <w:color w:val="auto"/>
          <w:sz w:val="24"/>
          <w:szCs w:val="24"/>
        </w:rPr>
        <w:fldChar w:fldCharType="end"/>
      </w:r>
      <w:r>
        <w:rPr>
          <w:rFonts w:hint="eastAsia" w:ascii="仿宋" w:hAnsi="仿宋" w:eastAsia="仿宋" w:cs="仿宋"/>
          <w:b w:val="0"/>
          <w:bCs/>
          <w:color w:val="auto"/>
          <w:sz w:val="24"/>
          <w:szCs w:val="24"/>
        </w:rPr>
        <w:t>西部，东、北与</w:t>
      </w:r>
      <w:r>
        <w:rPr>
          <w:rFonts w:hint="eastAsia" w:ascii="仿宋" w:hAnsi="仿宋" w:eastAsia="仿宋" w:cs="仿宋"/>
          <w:b w:val="0"/>
          <w:bCs/>
          <w:color w:val="auto"/>
          <w:sz w:val="24"/>
          <w:szCs w:val="24"/>
        </w:rPr>
        <w:fldChar w:fldCharType="begin"/>
      </w:r>
      <w:r>
        <w:rPr>
          <w:rFonts w:hint="eastAsia" w:ascii="仿宋" w:hAnsi="仿宋" w:eastAsia="仿宋" w:cs="仿宋"/>
          <w:b w:val="0"/>
          <w:bCs/>
          <w:color w:val="auto"/>
          <w:sz w:val="24"/>
          <w:szCs w:val="24"/>
        </w:rPr>
        <w:instrText xml:space="preserve"> HYPERLINK "https://baike.baidu.com/item/%E9%BB%91%E5%AD%9C%E8%8B%87%E4%B9%A1/3757045?fromModule=lemma_inlink" \t "https://baike.baidu.com/item/_blank" </w:instrText>
      </w:r>
      <w:r>
        <w:rPr>
          <w:rFonts w:hint="eastAsia" w:ascii="仿宋" w:hAnsi="仿宋" w:eastAsia="仿宋" w:cs="仿宋"/>
          <w:b w:val="0"/>
          <w:bCs/>
          <w:color w:val="auto"/>
          <w:sz w:val="24"/>
          <w:szCs w:val="24"/>
        </w:rPr>
        <w:fldChar w:fldCharType="separate"/>
      </w:r>
      <w:r>
        <w:rPr>
          <w:rFonts w:hint="eastAsia" w:ascii="仿宋" w:hAnsi="仿宋" w:eastAsia="仿宋" w:cs="仿宋"/>
          <w:b w:val="0"/>
          <w:bCs/>
          <w:color w:val="auto"/>
          <w:sz w:val="24"/>
          <w:szCs w:val="24"/>
        </w:rPr>
        <w:t>黑孜苇乡</w:t>
      </w:r>
      <w:r>
        <w:rPr>
          <w:rFonts w:hint="eastAsia" w:ascii="仿宋" w:hAnsi="仿宋" w:eastAsia="仿宋" w:cs="仿宋"/>
          <w:b w:val="0"/>
          <w:bCs/>
          <w:color w:val="auto"/>
          <w:sz w:val="24"/>
          <w:szCs w:val="24"/>
        </w:rPr>
        <w:fldChar w:fldCharType="end"/>
      </w:r>
      <w:r>
        <w:rPr>
          <w:rFonts w:hint="eastAsia" w:ascii="仿宋" w:hAnsi="仿宋" w:eastAsia="仿宋" w:cs="仿宋"/>
          <w:b w:val="0"/>
          <w:bCs/>
          <w:color w:val="auto"/>
          <w:sz w:val="24"/>
          <w:szCs w:val="24"/>
        </w:rPr>
        <w:t>为界，南与</w:t>
      </w:r>
      <w:r>
        <w:rPr>
          <w:rFonts w:hint="eastAsia" w:ascii="仿宋" w:hAnsi="仿宋" w:eastAsia="仿宋" w:cs="仿宋"/>
          <w:b w:val="0"/>
          <w:bCs/>
          <w:color w:val="auto"/>
          <w:sz w:val="24"/>
          <w:szCs w:val="24"/>
        </w:rPr>
        <w:fldChar w:fldCharType="begin"/>
      </w:r>
      <w:r>
        <w:rPr>
          <w:rFonts w:hint="eastAsia" w:ascii="仿宋" w:hAnsi="仿宋" w:eastAsia="仿宋" w:cs="仿宋"/>
          <w:b w:val="0"/>
          <w:bCs/>
          <w:color w:val="auto"/>
          <w:sz w:val="24"/>
          <w:szCs w:val="24"/>
        </w:rPr>
        <w:instrText xml:space="preserve"> HYPERLINK "https://baike.baidu.com/item/%E8%86%98%E5%B0%94%E6%89%98%E9%98%94%E4%BE%9D%E4%B9%A1/8586464?fromModule=lemma_inlink" \t "https://baike.baidu.com/item/_blank" </w:instrText>
      </w:r>
      <w:r>
        <w:rPr>
          <w:rFonts w:hint="eastAsia" w:ascii="仿宋" w:hAnsi="仿宋" w:eastAsia="仿宋" w:cs="仿宋"/>
          <w:b w:val="0"/>
          <w:bCs/>
          <w:color w:val="auto"/>
          <w:sz w:val="24"/>
          <w:szCs w:val="24"/>
        </w:rPr>
        <w:fldChar w:fldCharType="separate"/>
      </w:r>
      <w:r>
        <w:rPr>
          <w:rFonts w:hint="eastAsia" w:ascii="仿宋" w:hAnsi="仿宋" w:eastAsia="仿宋" w:cs="仿宋"/>
          <w:b w:val="0"/>
          <w:bCs/>
          <w:color w:val="auto"/>
          <w:sz w:val="24"/>
          <w:szCs w:val="24"/>
        </w:rPr>
        <w:t>膘尔托阔依乡</w:t>
      </w:r>
      <w:r>
        <w:rPr>
          <w:rFonts w:hint="eastAsia" w:ascii="仿宋" w:hAnsi="仿宋" w:eastAsia="仿宋" w:cs="仿宋"/>
          <w:b w:val="0"/>
          <w:bCs/>
          <w:color w:val="auto"/>
          <w:sz w:val="24"/>
          <w:szCs w:val="24"/>
        </w:rPr>
        <w:fldChar w:fldCharType="end"/>
      </w:r>
      <w:r>
        <w:rPr>
          <w:rFonts w:hint="eastAsia" w:ascii="仿宋" w:hAnsi="仿宋" w:eastAsia="仿宋" w:cs="仿宋"/>
          <w:b w:val="0"/>
          <w:bCs/>
          <w:color w:val="auto"/>
          <w:sz w:val="24"/>
          <w:szCs w:val="24"/>
        </w:rPr>
        <w:t>为邻，西与</w:t>
      </w:r>
      <w:r>
        <w:rPr>
          <w:rFonts w:hint="eastAsia" w:ascii="仿宋" w:hAnsi="仿宋" w:eastAsia="仿宋" w:cs="仿宋"/>
          <w:b w:val="0"/>
          <w:bCs/>
          <w:color w:val="auto"/>
          <w:sz w:val="24"/>
          <w:szCs w:val="24"/>
        </w:rPr>
        <w:fldChar w:fldCharType="begin"/>
      </w:r>
      <w:r>
        <w:rPr>
          <w:rFonts w:hint="eastAsia" w:ascii="仿宋" w:hAnsi="仿宋" w:eastAsia="仿宋" w:cs="仿宋"/>
          <w:b w:val="0"/>
          <w:bCs/>
          <w:color w:val="auto"/>
          <w:sz w:val="24"/>
          <w:szCs w:val="24"/>
        </w:rPr>
        <w:instrText xml:space="preserve"> HYPERLINK "https://baike.baidu.com/item/%E5%90%89%E5%B0%94%E5%90%89%E6%96%AF%E6%96%AF%E5%9D%A6%E5%85%B1%E5%92%8C%E5%9B%BD/1720217?fromModule=lemma_inlink" \t "https://baike.baidu.com/item/_blank" </w:instrText>
      </w:r>
      <w:r>
        <w:rPr>
          <w:rFonts w:hint="eastAsia" w:ascii="仿宋" w:hAnsi="仿宋" w:eastAsia="仿宋" w:cs="仿宋"/>
          <w:b w:val="0"/>
          <w:bCs/>
          <w:color w:val="auto"/>
          <w:sz w:val="24"/>
          <w:szCs w:val="24"/>
        </w:rPr>
        <w:fldChar w:fldCharType="separate"/>
      </w:r>
      <w:r>
        <w:rPr>
          <w:rFonts w:hint="eastAsia" w:ascii="仿宋" w:hAnsi="仿宋" w:eastAsia="仿宋" w:cs="仿宋"/>
          <w:b w:val="0"/>
          <w:bCs/>
          <w:color w:val="auto"/>
          <w:sz w:val="24"/>
          <w:szCs w:val="24"/>
        </w:rPr>
        <w:t>吉尔吉斯斯坦共和国</w:t>
      </w:r>
      <w:r>
        <w:rPr>
          <w:rFonts w:hint="eastAsia" w:ascii="仿宋" w:hAnsi="仿宋" w:eastAsia="仿宋" w:cs="仿宋"/>
          <w:b w:val="0"/>
          <w:bCs/>
          <w:color w:val="auto"/>
          <w:sz w:val="24"/>
          <w:szCs w:val="24"/>
        </w:rPr>
        <w:fldChar w:fldCharType="end"/>
      </w:r>
      <w:r>
        <w:rPr>
          <w:rFonts w:hint="eastAsia" w:ascii="仿宋" w:hAnsi="仿宋" w:eastAsia="仿宋" w:cs="仿宋"/>
          <w:b w:val="0"/>
          <w:bCs/>
          <w:color w:val="auto"/>
          <w:sz w:val="24"/>
          <w:szCs w:val="24"/>
        </w:rPr>
        <w:t>接壤，北与</w:t>
      </w:r>
      <w:r>
        <w:rPr>
          <w:rFonts w:hint="eastAsia" w:ascii="仿宋" w:hAnsi="仿宋" w:eastAsia="仿宋" w:cs="仿宋"/>
          <w:b w:val="0"/>
          <w:bCs/>
          <w:color w:val="auto"/>
          <w:sz w:val="24"/>
          <w:szCs w:val="24"/>
        </w:rPr>
        <w:fldChar w:fldCharType="begin"/>
      </w:r>
      <w:r>
        <w:rPr>
          <w:rFonts w:hint="eastAsia" w:ascii="仿宋" w:hAnsi="仿宋" w:eastAsia="仿宋" w:cs="仿宋"/>
          <w:b w:val="0"/>
          <w:bCs/>
          <w:color w:val="auto"/>
          <w:sz w:val="24"/>
          <w:szCs w:val="24"/>
        </w:rPr>
        <w:instrText xml:space="preserve"> HYPERLINK "https://baike.baidu.com/item/%E4%B9%8C%E9%B2%81%E5%85%8B%E6%81%B0%E6%8F%90%E4%B9%A1/3756820?fromModule=lemma_inlink" \t "https://baike.baidu.com/item/_blank" </w:instrText>
      </w:r>
      <w:r>
        <w:rPr>
          <w:rFonts w:hint="eastAsia" w:ascii="仿宋" w:hAnsi="仿宋" w:eastAsia="仿宋" w:cs="仿宋"/>
          <w:b w:val="0"/>
          <w:bCs/>
          <w:color w:val="auto"/>
          <w:sz w:val="24"/>
          <w:szCs w:val="24"/>
        </w:rPr>
        <w:fldChar w:fldCharType="separate"/>
      </w:r>
      <w:r>
        <w:rPr>
          <w:rFonts w:hint="eastAsia" w:ascii="仿宋" w:hAnsi="仿宋" w:eastAsia="仿宋" w:cs="仿宋"/>
          <w:b w:val="0"/>
          <w:bCs/>
          <w:color w:val="auto"/>
          <w:sz w:val="24"/>
          <w:szCs w:val="24"/>
        </w:rPr>
        <w:t>乌鲁克恰提乡</w:t>
      </w:r>
      <w:r>
        <w:rPr>
          <w:rFonts w:hint="eastAsia" w:ascii="仿宋" w:hAnsi="仿宋" w:eastAsia="仿宋" w:cs="仿宋"/>
          <w:b w:val="0"/>
          <w:bCs/>
          <w:color w:val="auto"/>
          <w:sz w:val="24"/>
          <w:szCs w:val="24"/>
        </w:rPr>
        <w:fldChar w:fldCharType="end"/>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rPr>
        <w:fldChar w:fldCharType="begin"/>
      </w:r>
      <w:r>
        <w:rPr>
          <w:rFonts w:hint="eastAsia" w:ascii="仿宋" w:hAnsi="仿宋" w:eastAsia="仿宋" w:cs="仿宋"/>
          <w:b w:val="0"/>
          <w:bCs/>
          <w:color w:val="auto"/>
          <w:sz w:val="24"/>
          <w:szCs w:val="24"/>
        </w:rPr>
        <w:instrText xml:space="preserve"> HYPERLINK "https://baike.baidu.com/item/%E5%90%89%E6%A0%B9%E4%B9%A1/765712?fromModule=lemma_inlink" \t "https://baike.baidu.com/item/_blank" </w:instrText>
      </w:r>
      <w:r>
        <w:rPr>
          <w:rFonts w:hint="eastAsia" w:ascii="仿宋" w:hAnsi="仿宋" w:eastAsia="仿宋" w:cs="仿宋"/>
          <w:b w:val="0"/>
          <w:bCs/>
          <w:color w:val="auto"/>
          <w:sz w:val="24"/>
          <w:szCs w:val="24"/>
        </w:rPr>
        <w:fldChar w:fldCharType="separate"/>
      </w:r>
      <w:r>
        <w:rPr>
          <w:rFonts w:hint="eastAsia" w:ascii="仿宋" w:hAnsi="仿宋" w:eastAsia="仿宋" w:cs="仿宋"/>
          <w:b w:val="0"/>
          <w:bCs/>
          <w:color w:val="auto"/>
          <w:sz w:val="24"/>
          <w:szCs w:val="24"/>
        </w:rPr>
        <w:t>吉根乡</w:t>
      </w:r>
      <w:r>
        <w:rPr>
          <w:rFonts w:hint="eastAsia" w:ascii="仿宋" w:hAnsi="仿宋" w:eastAsia="仿宋" w:cs="仿宋"/>
          <w:b w:val="0"/>
          <w:bCs/>
          <w:color w:val="auto"/>
          <w:sz w:val="24"/>
          <w:szCs w:val="24"/>
        </w:rPr>
        <w:fldChar w:fldCharType="end"/>
      </w:r>
      <w:r>
        <w:rPr>
          <w:rFonts w:hint="eastAsia" w:ascii="仿宋" w:hAnsi="仿宋" w:eastAsia="仿宋" w:cs="仿宋"/>
          <w:b w:val="0"/>
          <w:bCs/>
          <w:color w:val="auto"/>
          <w:sz w:val="24"/>
          <w:szCs w:val="24"/>
        </w:rPr>
        <w:t>相连</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截至2019年</w:t>
      </w:r>
      <w:r>
        <w:rPr>
          <w:rFonts w:hint="eastAsia" w:ascii="仿宋" w:hAnsi="仿宋" w:eastAsia="仿宋" w:cs="仿宋"/>
          <w:b w:val="0"/>
          <w:bCs/>
          <w:color w:val="auto"/>
          <w:sz w:val="24"/>
          <w:szCs w:val="24"/>
          <w:lang w:val="en-US" w:eastAsia="zh-CN"/>
        </w:rPr>
        <w:t>末</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eastAsia="zh-CN"/>
        </w:rPr>
        <w:t>吾合沙鲁乡</w:t>
      </w:r>
      <w:r>
        <w:rPr>
          <w:rFonts w:hint="eastAsia" w:ascii="仿宋" w:hAnsi="仿宋" w:eastAsia="仿宋" w:cs="仿宋"/>
          <w:b w:val="0"/>
          <w:bCs/>
          <w:color w:val="auto"/>
          <w:sz w:val="24"/>
          <w:szCs w:val="24"/>
        </w:rPr>
        <w:t>下辖</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个行政村。吾合沙鲁乡畜牧业以饲养牛、羊、家禽为主。牲畜年末存栏11497头</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只</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，商品率58.6%，出栏6737头</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只</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累计退耕还林面积1704亩，林木覆盖率30%，水果种植面积1704亩，产量120吨，主要品种有杏、秋桃等。</w:t>
      </w:r>
      <w:r>
        <w:rPr>
          <w:rFonts w:hint="eastAsia" w:ascii="仿宋" w:hAnsi="仿宋" w:eastAsia="仿宋" w:cs="仿宋"/>
          <w:b w:val="0"/>
          <w:bCs/>
          <w:color w:val="auto"/>
          <w:sz w:val="24"/>
          <w:szCs w:val="24"/>
          <w:lang w:val="en-US" w:eastAsia="zh-CN"/>
        </w:rPr>
        <w:t>截至2018年末，吾合沙鲁乡户籍人口为1206人。</w:t>
      </w:r>
    </w:p>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18" w:name="_Toc11851"/>
      <w:r>
        <w:rPr>
          <w:rFonts w:hint="eastAsia" w:ascii="仿宋" w:hAnsi="仿宋" w:eastAsia="仿宋" w:cs="仿宋"/>
          <w:b w:val="0"/>
          <w:bCs/>
          <w:color w:val="auto"/>
          <w:sz w:val="24"/>
          <w:szCs w:val="24"/>
        </w:rPr>
        <w:t>四、地质环境条件和工作程度</w:t>
      </w:r>
      <w:bookmarkEnd w:id="318"/>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（一）地形地貌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防治区位于乌恰县西部山区，克孜勒苏河左岸，地貌类型主要为剥蚀中山、河谷、河漫滩及河床等，中山区总体地势北高南低，西高东低，海拔高度2180</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2660米，相对高差480米；区内发育有3条泥石流于沟口处交汇，冲沟长度1200</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2000米，沟底宽1</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220米，切割深度0.5</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2米，冲沟两侧山体坡度在30-70°之间；河漫滩及河床呈南西</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东走向，海拔2130</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2215米，河漫滩宽约50</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350米。</w:t>
      </w:r>
    </w:p>
    <w:p>
      <w:pPr>
        <w:keepNext w:val="0"/>
        <w:keepLines w:val="0"/>
        <w:pageBreakBefore w:val="0"/>
        <w:widowControl w:val="0"/>
        <w:numPr>
          <w:ilvl w:val="0"/>
          <w:numId w:val="6"/>
        </w:numPr>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地层岩性</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项目区出露的地层主要有：</w:t>
      </w:r>
      <w:bookmarkStart w:id="319" w:name="OLE_LINK5"/>
      <w:r>
        <w:rPr>
          <w:rFonts w:hint="eastAsia" w:ascii="仿宋" w:hAnsi="仿宋" w:eastAsia="仿宋" w:cs="仿宋"/>
          <w:b w:val="0"/>
          <w:bCs/>
          <w:color w:val="auto"/>
          <w:sz w:val="24"/>
          <w:szCs w:val="24"/>
        </w:rPr>
        <w:t>新近系上新统（N</w:t>
      </w:r>
      <w:r>
        <w:rPr>
          <w:rFonts w:hint="eastAsia" w:ascii="仿宋" w:hAnsi="仿宋" w:eastAsia="仿宋" w:cs="仿宋"/>
          <w:b w:val="0"/>
          <w:bCs/>
          <w:color w:val="auto"/>
          <w:sz w:val="24"/>
          <w:szCs w:val="24"/>
          <w:vertAlign w:val="subscript"/>
        </w:rPr>
        <w:t>2</w:t>
      </w:r>
      <w:r>
        <w:rPr>
          <w:rFonts w:hint="eastAsia" w:ascii="仿宋" w:hAnsi="仿宋" w:eastAsia="仿宋" w:cs="仿宋"/>
          <w:b w:val="0"/>
          <w:bCs/>
          <w:color w:val="auto"/>
          <w:sz w:val="24"/>
          <w:szCs w:val="24"/>
        </w:rPr>
        <w:t>）</w:t>
      </w:r>
      <w:bookmarkEnd w:id="319"/>
      <w:r>
        <w:rPr>
          <w:rFonts w:hint="eastAsia" w:ascii="仿宋" w:hAnsi="仿宋" w:eastAsia="仿宋" w:cs="仿宋"/>
          <w:b w:val="0"/>
          <w:bCs/>
          <w:color w:val="auto"/>
          <w:sz w:val="24"/>
          <w:szCs w:val="24"/>
        </w:rPr>
        <w:t>、第四系上更新统（Q</w:t>
      </w:r>
      <w:r>
        <w:rPr>
          <w:rFonts w:hint="eastAsia" w:ascii="仿宋" w:hAnsi="仿宋" w:eastAsia="仿宋" w:cs="仿宋"/>
          <w:b w:val="0"/>
          <w:bCs/>
          <w:color w:val="auto"/>
          <w:sz w:val="24"/>
          <w:szCs w:val="24"/>
          <w:vertAlign w:val="subscript"/>
        </w:rPr>
        <w:t>3</w:t>
      </w:r>
      <w:r>
        <w:rPr>
          <w:rFonts w:hint="eastAsia" w:ascii="仿宋" w:hAnsi="仿宋" w:eastAsia="仿宋" w:cs="仿宋"/>
          <w:b w:val="0"/>
          <w:bCs/>
          <w:color w:val="auto"/>
          <w:sz w:val="24"/>
          <w:szCs w:val="24"/>
        </w:rPr>
        <w:t>）、第四系全新统（Q</w:t>
      </w:r>
      <w:r>
        <w:rPr>
          <w:rFonts w:hint="eastAsia" w:ascii="仿宋" w:hAnsi="仿宋" w:eastAsia="仿宋" w:cs="仿宋"/>
          <w:b w:val="0"/>
          <w:bCs/>
          <w:color w:val="auto"/>
          <w:sz w:val="24"/>
          <w:szCs w:val="24"/>
          <w:vertAlign w:val="subscript"/>
        </w:rPr>
        <w:t>4</w:t>
      </w:r>
      <w:r>
        <w:rPr>
          <w:rFonts w:hint="eastAsia" w:ascii="仿宋" w:hAnsi="仿宋" w:eastAsia="仿宋" w:cs="仿宋"/>
          <w:b w:val="0"/>
          <w:bCs/>
          <w:color w:val="auto"/>
          <w:sz w:val="24"/>
          <w:szCs w:val="24"/>
        </w:rPr>
        <w:t>），现将各地层的分布及其野外特征由老到新叙述如下：</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新近系上新统（N</w:t>
      </w:r>
      <w:r>
        <w:rPr>
          <w:rFonts w:hint="eastAsia" w:ascii="仿宋" w:hAnsi="仿宋" w:eastAsia="仿宋" w:cs="仿宋"/>
          <w:b w:val="0"/>
          <w:bCs/>
          <w:color w:val="auto"/>
          <w:sz w:val="24"/>
          <w:szCs w:val="24"/>
          <w:vertAlign w:val="subscript"/>
        </w:rPr>
        <w:t>2</w:t>
      </w:r>
      <w:r>
        <w:rPr>
          <w:rFonts w:hint="eastAsia" w:ascii="仿宋" w:hAnsi="仿宋" w:eastAsia="仿宋" w:cs="仿宋"/>
          <w:b w:val="0"/>
          <w:bCs/>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主要分布在卡拉铁列克村沟谷两侧山体上，岩层倾向300°，倾角60-80°，呈近南北向条带状分布，岩性主要为灰黑色砂岩和褐色灰岩互层分布，砂岩岩层厚度在0.5</w:t>
      </w:r>
      <w:bookmarkStart w:id="320" w:name="OLE_LINK6"/>
      <w:r>
        <w:rPr>
          <w:rFonts w:hint="eastAsia" w:ascii="仿宋" w:hAnsi="仿宋" w:eastAsia="仿宋" w:cs="仿宋"/>
          <w:b w:val="0"/>
          <w:bCs/>
          <w:color w:val="auto"/>
          <w:sz w:val="24"/>
          <w:szCs w:val="24"/>
          <w:lang w:eastAsia="zh-CN"/>
        </w:rPr>
        <w:t>—</w:t>
      </w:r>
      <w:bookmarkEnd w:id="320"/>
      <w:r>
        <w:rPr>
          <w:rFonts w:hint="eastAsia" w:ascii="仿宋" w:hAnsi="仿宋" w:eastAsia="仿宋" w:cs="仿宋"/>
          <w:b w:val="0"/>
          <w:bCs/>
          <w:color w:val="auto"/>
          <w:sz w:val="24"/>
          <w:szCs w:val="24"/>
        </w:rPr>
        <w:t>1.5米之间，灰岩厚度在0.8</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4米之间。基岩受到风化、剥蚀等地质作用，表层岩体呈单斜犬牙状分布。</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r>
        <w:rPr>
          <w:rFonts w:hint="eastAsia" w:ascii="仿宋" w:hAnsi="仿宋" w:eastAsia="仿宋" w:cs="仿宋"/>
          <w:b w:val="0"/>
          <w:bCs/>
          <w:color w:val="auto"/>
          <w:sz w:val="24"/>
          <w:szCs w:val="24"/>
          <w:lang w:eastAsia="zh-CN"/>
        </w:rPr>
        <w:t>.上更新统冲积漂（卵）砾石层（Q</w:t>
      </w:r>
      <w:r>
        <w:rPr>
          <w:rFonts w:hint="eastAsia" w:ascii="仿宋" w:hAnsi="仿宋" w:eastAsia="仿宋" w:cs="仿宋"/>
          <w:b w:val="0"/>
          <w:bCs/>
          <w:color w:val="auto"/>
          <w:sz w:val="24"/>
          <w:szCs w:val="24"/>
          <w:vertAlign w:val="subscript"/>
          <w:lang w:eastAsia="zh-CN"/>
        </w:rPr>
        <w:t>3</w:t>
      </w:r>
      <w:r>
        <w:rPr>
          <w:rFonts w:hint="eastAsia" w:ascii="仿宋" w:hAnsi="仿宋" w:eastAsia="仿宋" w:cs="仿宋"/>
          <w:b w:val="0"/>
          <w:bCs/>
          <w:color w:val="auto"/>
          <w:sz w:val="24"/>
          <w:szCs w:val="24"/>
          <w:vertAlign w:val="superscript"/>
          <w:lang w:eastAsia="zh-CN"/>
        </w:rPr>
        <w:t>al</w:t>
      </w:r>
      <w:r>
        <w:rPr>
          <w:rFonts w:hint="eastAsia" w:ascii="仿宋" w:hAnsi="仿宋" w:eastAsia="仿宋" w:cs="仿宋"/>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主要分布在卡拉铁列克村沟谷山前，岩性为砂卵石层，成因类型为冲积</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洪积层。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第四系全新统冲洪积层（Q</w:t>
      </w:r>
      <w:r>
        <w:rPr>
          <w:rFonts w:hint="eastAsia" w:ascii="仿宋" w:hAnsi="仿宋" w:eastAsia="仿宋" w:cs="仿宋"/>
          <w:b w:val="0"/>
          <w:bCs/>
          <w:color w:val="auto"/>
          <w:sz w:val="24"/>
          <w:szCs w:val="24"/>
          <w:vertAlign w:val="subscript"/>
        </w:rPr>
        <w:t>4</w:t>
      </w:r>
      <w:r>
        <w:rPr>
          <w:rFonts w:hint="eastAsia" w:ascii="仿宋" w:hAnsi="仿宋" w:eastAsia="仿宋" w:cs="仿宋"/>
          <w:b w:val="0"/>
          <w:bCs/>
          <w:color w:val="auto"/>
          <w:sz w:val="24"/>
          <w:szCs w:val="24"/>
          <w:vertAlign w:val="superscript"/>
        </w:rPr>
        <w:t>apl</w:t>
      </w:r>
      <w:r>
        <w:rPr>
          <w:rFonts w:hint="eastAsia" w:ascii="仿宋" w:hAnsi="仿宋" w:eastAsia="仿宋" w:cs="仿宋"/>
          <w:b w:val="0"/>
          <w:bCs/>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主要分布于卡拉铁列克村沟谷现代河床及河漫滩处，岩性为漂（卵）砾石青灰色，多呈圆形</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椭圆形，磨圆度较好，分选性一般，粒径最大50厘米。</w:t>
      </w:r>
    </w:p>
    <w:p>
      <w:pPr>
        <w:keepNext w:val="0"/>
        <w:keepLines w:val="0"/>
        <w:pageBreakBefore w:val="0"/>
        <w:widowControl w:val="0"/>
        <w:numPr>
          <w:ilvl w:val="0"/>
          <w:numId w:val="6"/>
        </w:numPr>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水文地质条件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bookmarkStart w:id="321" w:name="_Toc172353180"/>
      <w:bookmarkStart w:id="322" w:name="_Toc172356668"/>
      <w:bookmarkStart w:id="323" w:name="_Toc172355312"/>
      <w:r>
        <w:rPr>
          <w:rFonts w:hint="eastAsia" w:ascii="仿宋" w:hAnsi="仿宋" w:eastAsia="仿宋" w:cs="仿宋"/>
          <w:b w:val="0"/>
          <w:bCs/>
          <w:color w:val="auto"/>
          <w:sz w:val="24"/>
          <w:szCs w:val="24"/>
        </w:rPr>
        <w:t>防治区地下水类型主要为碎屑岩类孔隙裂隙水及第四系松散岩类孔隙潜水两类。</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碎屑岩类孔隙裂隙水</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主要分布在防治区基岩山区</w:t>
      </w:r>
      <w:r>
        <w:rPr>
          <w:rFonts w:hint="eastAsia" w:ascii="仿宋" w:hAnsi="仿宋" w:eastAsia="仿宋" w:cs="仿宋"/>
          <w:b w:val="0"/>
          <w:bCs/>
          <w:color w:val="auto"/>
          <w:sz w:val="24"/>
          <w:szCs w:val="24"/>
          <w:lang w:val="en-US" w:eastAsia="zh-CN"/>
        </w:rPr>
        <w:t>裂隙内</w:t>
      </w:r>
      <w:r>
        <w:rPr>
          <w:rFonts w:hint="eastAsia" w:ascii="仿宋" w:hAnsi="仿宋" w:eastAsia="仿宋" w:cs="仿宋"/>
          <w:b w:val="0"/>
          <w:bCs/>
          <w:color w:val="auto"/>
          <w:sz w:val="24"/>
          <w:szCs w:val="24"/>
        </w:rPr>
        <w:t>，含水层岩性为</w:t>
      </w:r>
      <w:r>
        <w:rPr>
          <w:rFonts w:hint="eastAsia" w:ascii="仿宋" w:hAnsi="仿宋" w:eastAsia="仿宋" w:cs="仿宋"/>
          <w:b w:val="0"/>
          <w:bCs/>
          <w:color w:val="auto"/>
          <w:sz w:val="24"/>
          <w:szCs w:val="24"/>
          <w:lang w:val="en-US" w:eastAsia="zh-CN"/>
        </w:rPr>
        <w:t>新近系砂岩和</w:t>
      </w:r>
      <w:r>
        <w:rPr>
          <w:rFonts w:hint="eastAsia" w:ascii="仿宋" w:hAnsi="仿宋" w:eastAsia="仿宋" w:cs="仿宋"/>
          <w:b w:val="0"/>
          <w:bCs/>
          <w:color w:val="auto"/>
          <w:sz w:val="24"/>
          <w:szCs w:val="24"/>
        </w:rPr>
        <w:t>灰岩</w:t>
      </w:r>
      <w:r>
        <w:rPr>
          <w:rFonts w:hint="eastAsia" w:ascii="仿宋" w:hAnsi="仿宋" w:eastAsia="仿宋" w:cs="仿宋"/>
          <w:b w:val="0"/>
          <w:bCs/>
          <w:color w:val="auto"/>
          <w:sz w:val="24"/>
          <w:szCs w:val="24"/>
          <w:lang w:val="en-US" w:eastAsia="zh-CN"/>
        </w:rPr>
        <w:t>互层</w:t>
      </w:r>
      <w:r>
        <w:rPr>
          <w:rFonts w:hint="eastAsia" w:ascii="仿宋" w:hAnsi="仿宋" w:eastAsia="仿宋" w:cs="仿宋"/>
          <w:b w:val="0"/>
          <w:bCs/>
          <w:color w:val="auto"/>
          <w:sz w:val="24"/>
          <w:szCs w:val="24"/>
        </w:rPr>
        <w:t>。地下水主要接受冰雪融水和大气降水的补给。</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第四系松散岩类孔隙潜水</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要分布于河谷区一带，赋存于河床、河漫滩及级阶地中，含水层单一、为砂卵砾石层，水量较丰富。该区地下水补给来源主要接受大气降水、冰雪融水和侧向径流补给，总体由西向东径流，以向下游的径流形式排泄。</w:t>
      </w:r>
    </w:p>
    <w:p>
      <w:pPr>
        <w:keepNext w:val="0"/>
        <w:keepLines w:val="0"/>
        <w:pageBreakBefore w:val="0"/>
        <w:widowControl w:val="0"/>
        <w:numPr>
          <w:ilvl w:val="0"/>
          <w:numId w:val="6"/>
        </w:numPr>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工程地质条件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根据</w:t>
      </w:r>
      <w:r>
        <w:rPr>
          <w:rFonts w:hint="eastAsia" w:ascii="仿宋" w:hAnsi="仿宋" w:eastAsia="仿宋" w:cs="仿宋"/>
          <w:b w:val="0"/>
          <w:bCs/>
          <w:color w:val="auto"/>
          <w:sz w:val="24"/>
          <w:szCs w:val="24"/>
          <w:lang w:val="en-US" w:eastAsia="zh-CN"/>
        </w:rPr>
        <w:t>项目</w:t>
      </w:r>
      <w:r>
        <w:rPr>
          <w:rFonts w:hint="eastAsia" w:ascii="仿宋" w:hAnsi="仿宋" w:eastAsia="仿宋" w:cs="仿宋"/>
          <w:b w:val="0"/>
          <w:bCs/>
          <w:color w:val="auto"/>
          <w:sz w:val="24"/>
          <w:szCs w:val="24"/>
        </w:rPr>
        <w:t>勘查成果，按照岩土体的组成岩性、结构类型、岩土强度等，可将防治区划分为二个工程地质岩组，即第四系单层土体、较坚硬</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坚硬碎屑岩组。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第四系单层土体</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主要分布于现代河床（河沟）、河漫滩和阶地上，岩性由卵石或圆砾组成，稍密</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中密，地基承载力经验值在250-300kPa，工程地质条件较好。</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较坚硬</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坚硬碎屑岩组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分布于沟谷两侧山体上，岩性为砂岩、灰岩岩体表层较破碎，山节理裂隙发育。</w:t>
      </w:r>
    </w:p>
    <w:bookmarkEnd w:id="321"/>
    <w:bookmarkEnd w:id="322"/>
    <w:bookmarkEnd w:id="323"/>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24" w:name="_Toc27632"/>
      <w:r>
        <w:rPr>
          <w:rFonts w:hint="eastAsia" w:ascii="仿宋" w:hAnsi="仿宋" w:eastAsia="仿宋" w:cs="仿宋"/>
          <w:b w:val="0"/>
          <w:bCs/>
          <w:color w:val="auto"/>
          <w:sz w:val="24"/>
          <w:szCs w:val="24"/>
        </w:rPr>
        <w:t>五、主要地质灾害</w:t>
      </w:r>
      <w:bookmarkEnd w:id="324"/>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本次防治的主要地质灾害为</w:t>
      </w:r>
      <w:r>
        <w:rPr>
          <w:rFonts w:hint="eastAsia" w:ascii="仿宋" w:hAnsi="仿宋" w:eastAsia="仿宋" w:cs="仿宋"/>
          <w:b w:val="0"/>
          <w:bCs/>
          <w:color w:val="auto"/>
          <w:sz w:val="24"/>
          <w:szCs w:val="24"/>
          <w:lang w:val="en-US" w:eastAsia="zh-CN"/>
        </w:rPr>
        <w:t>泥石流</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防治区地处山区，降水相对较为丰富，</w:t>
      </w:r>
      <w:r>
        <w:rPr>
          <w:rFonts w:hint="eastAsia" w:ascii="仿宋" w:hAnsi="仿宋" w:eastAsia="仿宋" w:cs="仿宋"/>
          <w:b w:val="0"/>
          <w:bCs/>
          <w:color w:val="auto"/>
          <w:sz w:val="24"/>
          <w:szCs w:val="24"/>
          <w:lang w:val="en-US" w:eastAsia="zh-CN"/>
        </w:rPr>
        <w:t>在春季融雪及夏季暴雨短时间汇集于主沟内形成具有强大的冲刷携带能力的洪流，洪流携带着沿途的松散固体向下游沟口运动从而形成泥石流。</w:t>
      </w:r>
      <w:r>
        <w:rPr>
          <w:rFonts w:hint="eastAsia" w:ascii="仿宋" w:hAnsi="仿宋" w:eastAsia="仿宋" w:cs="仿宋"/>
          <w:b w:val="0"/>
          <w:bCs/>
          <w:color w:val="auto"/>
          <w:sz w:val="24"/>
          <w:szCs w:val="24"/>
        </w:rPr>
        <w:t>对</w:t>
      </w:r>
      <w:r>
        <w:rPr>
          <w:rFonts w:hint="eastAsia" w:ascii="仿宋" w:hAnsi="仿宋" w:eastAsia="仿宋" w:cs="仿宋"/>
          <w:b w:val="0"/>
          <w:bCs/>
          <w:color w:val="auto"/>
          <w:sz w:val="24"/>
          <w:szCs w:val="24"/>
          <w:lang w:val="en-US" w:eastAsia="zh-CN"/>
        </w:rPr>
        <w:t>周围</w:t>
      </w:r>
      <w:r>
        <w:rPr>
          <w:rFonts w:hint="eastAsia" w:ascii="仿宋" w:hAnsi="仿宋" w:eastAsia="仿宋" w:cs="仿宋"/>
          <w:b w:val="0"/>
          <w:bCs/>
          <w:color w:val="auto"/>
          <w:sz w:val="24"/>
          <w:szCs w:val="24"/>
        </w:rPr>
        <w:t>群众房屋</w:t>
      </w:r>
      <w:r>
        <w:rPr>
          <w:rFonts w:hint="eastAsia" w:ascii="仿宋" w:hAnsi="仿宋" w:eastAsia="仿宋" w:cs="仿宋"/>
          <w:b w:val="0"/>
          <w:bCs/>
          <w:color w:val="auto"/>
          <w:sz w:val="24"/>
          <w:szCs w:val="24"/>
          <w:lang w:val="en-US" w:eastAsia="zh-CN"/>
        </w:rPr>
        <w:t>设施</w:t>
      </w:r>
      <w:r>
        <w:rPr>
          <w:rFonts w:hint="eastAsia" w:ascii="仿宋" w:hAnsi="仿宋" w:eastAsia="仿宋" w:cs="仿宋"/>
          <w:b w:val="0"/>
          <w:bCs/>
          <w:color w:val="auto"/>
          <w:sz w:val="24"/>
          <w:szCs w:val="24"/>
        </w:rPr>
        <w:t>造成</w:t>
      </w:r>
      <w:r>
        <w:rPr>
          <w:rFonts w:hint="eastAsia" w:ascii="仿宋" w:hAnsi="仿宋" w:eastAsia="仿宋" w:cs="仿宋"/>
          <w:b w:val="0"/>
          <w:bCs/>
          <w:color w:val="auto"/>
          <w:sz w:val="24"/>
          <w:szCs w:val="24"/>
          <w:lang w:val="en-US" w:eastAsia="zh-CN"/>
        </w:rPr>
        <w:t>较大威胁</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据项目勘查成果，防治区内发育1条泥石流主沟，发育5条泥石流支沟</w:t>
      </w:r>
      <w:r>
        <w:rPr>
          <w:rFonts w:hint="eastAsia" w:ascii="仿宋" w:hAnsi="仿宋" w:eastAsia="仿宋" w:cs="仿宋"/>
          <w:b w:val="0"/>
          <w:bCs/>
          <w:color w:val="auto"/>
          <w:sz w:val="24"/>
          <w:szCs w:val="24"/>
          <w:lang w:eastAsia="zh-CN"/>
        </w:rPr>
        <w:t>，泥石流物源的补给途径主要为沟底侵蚀再搬运</w:t>
      </w:r>
      <w:r>
        <w:rPr>
          <w:rFonts w:hint="eastAsia" w:ascii="仿宋" w:hAnsi="仿宋" w:eastAsia="仿宋" w:cs="仿宋"/>
          <w:b w:val="0"/>
          <w:bCs/>
          <w:color w:val="auto"/>
          <w:sz w:val="24"/>
          <w:szCs w:val="24"/>
          <w:lang w:val="en-US" w:eastAsia="zh-CN"/>
        </w:rPr>
        <w:t>，为河床冲刷性型泥石流；威胁沟口乡政府工作人员约55人、小学教职员工40人、小学学生72人，乡政府宿舍楼2栋、办公楼1栋、道路1.0千米、小学教学楼1栋、校舍、林带及乡垃圾填埋场等。</w:t>
      </w:r>
    </w:p>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25" w:name="_Toc27331"/>
      <w:r>
        <w:rPr>
          <w:rFonts w:hint="eastAsia" w:ascii="仿宋" w:hAnsi="仿宋" w:eastAsia="仿宋" w:cs="仿宋"/>
          <w:b w:val="0"/>
          <w:bCs/>
          <w:color w:val="auto"/>
          <w:sz w:val="24"/>
          <w:szCs w:val="24"/>
        </w:rPr>
        <w:t>六、目标任务</w:t>
      </w:r>
      <w:bookmarkEnd w:id="325"/>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（一）目标</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通过对</w:t>
      </w:r>
      <w:r>
        <w:rPr>
          <w:rFonts w:hint="eastAsia" w:ascii="仿宋" w:hAnsi="仿宋" w:eastAsia="仿宋" w:cs="仿宋"/>
          <w:b w:val="0"/>
          <w:bCs/>
          <w:color w:val="auto"/>
          <w:sz w:val="24"/>
          <w:szCs w:val="24"/>
          <w:lang w:eastAsia="zh-CN"/>
        </w:rPr>
        <w:t>新疆乌恰县吾合沙鲁乡政府、小学泥石流</w:t>
      </w:r>
      <w:r>
        <w:rPr>
          <w:rFonts w:hint="eastAsia" w:ascii="仿宋" w:hAnsi="仿宋" w:eastAsia="仿宋" w:cs="仿宋"/>
          <w:b w:val="0"/>
          <w:bCs/>
          <w:color w:val="auto"/>
          <w:sz w:val="24"/>
          <w:szCs w:val="24"/>
        </w:rPr>
        <w:t>防治工程的实施，减轻或消除当地牧民、居民遭受泥石流灾害的威胁，保障人民生命和财产安全。</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（二）任务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1.根据实地踏勘成果和勘查报告以及相关标准规范编制地质灾害防治工程设计和施工组织设计</w:t>
      </w:r>
      <w:r>
        <w:rPr>
          <w:rFonts w:hint="eastAsia" w:ascii="仿宋" w:hAnsi="仿宋" w:eastAsia="仿宋" w:cs="仿宋"/>
          <w:b w:val="0"/>
          <w:bCs/>
          <w:color w:val="auto"/>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2.按照审批通过的防治工程设计，组织地质灾害防治工程施工。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3.减轻或消除工作区及其周边居民遭受</w:t>
      </w:r>
      <w:r>
        <w:rPr>
          <w:rFonts w:hint="eastAsia" w:ascii="仿宋" w:hAnsi="仿宋" w:eastAsia="仿宋" w:cs="仿宋"/>
          <w:b w:val="0"/>
          <w:bCs/>
          <w:color w:val="auto"/>
          <w:sz w:val="24"/>
          <w:szCs w:val="24"/>
          <w:lang w:val="en-US" w:eastAsia="zh-CN"/>
        </w:rPr>
        <w:t>泥石流</w:t>
      </w:r>
      <w:r>
        <w:rPr>
          <w:rFonts w:hint="eastAsia" w:ascii="仿宋" w:hAnsi="仿宋" w:eastAsia="仿宋" w:cs="仿宋"/>
          <w:b w:val="0"/>
          <w:bCs/>
          <w:color w:val="auto"/>
          <w:sz w:val="24"/>
          <w:szCs w:val="24"/>
        </w:rPr>
        <w:t>灾害的威胁。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4.防治工程完成后，制作永久性工程说明碑。</w:t>
      </w:r>
    </w:p>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26" w:name="_Toc24887"/>
      <w:r>
        <w:rPr>
          <w:rFonts w:hint="eastAsia" w:ascii="仿宋" w:hAnsi="仿宋" w:eastAsia="仿宋" w:cs="仿宋"/>
          <w:b w:val="0"/>
          <w:bCs/>
          <w:color w:val="auto"/>
          <w:sz w:val="24"/>
          <w:szCs w:val="24"/>
        </w:rPr>
        <w:t>七、主要技术要求</w:t>
      </w:r>
      <w:bookmarkEnd w:id="326"/>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val="en-US" w:eastAsia="zh-CN"/>
        </w:rPr>
        <w:t>1</w:t>
      </w:r>
      <w:r>
        <w:rPr>
          <w:rFonts w:hint="eastAsia" w:ascii="仿宋" w:hAnsi="仿宋" w:eastAsia="仿宋" w:cs="仿宋"/>
          <w:b w:val="0"/>
          <w:bCs/>
          <w:color w:val="auto"/>
          <w:kern w:val="0"/>
          <w:sz w:val="24"/>
          <w:szCs w:val="24"/>
        </w:rPr>
        <w:t>.《泥石流防治工程设计规范》（试行）T-CAGHP 021-2018；</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lang w:val="en-US" w:eastAsia="zh-CN"/>
        </w:rPr>
        <w:t>2</w:t>
      </w:r>
      <w:r>
        <w:rPr>
          <w:rFonts w:hint="eastAsia" w:ascii="仿宋" w:hAnsi="仿宋" w:eastAsia="仿宋" w:cs="仿宋"/>
          <w:b w:val="0"/>
          <w:bCs/>
          <w:color w:val="auto"/>
          <w:kern w:val="0"/>
          <w:sz w:val="24"/>
          <w:szCs w:val="24"/>
        </w:rPr>
        <w:t>.</w:t>
      </w:r>
      <w:r>
        <w:rPr>
          <w:rFonts w:hint="eastAsia" w:ascii="仿宋" w:hAnsi="仿宋" w:eastAsia="仿宋" w:cs="仿宋"/>
          <w:b w:val="0"/>
          <w:bCs/>
          <w:color w:val="auto"/>
          <w:kern w:val="0"/>
          <w:sz w:val="24"/>
          <w:szCs w:val="24"/>
          <w:lang w:eastAsia="zh-CN"/>
        </w:rPr>
        <w:t>《</w:t>
      </w:r>
      <w:r>
        <w:rPr>
          <w:rFonts w:hint="eastAsia" w:ascii="仿宋" w:hAnsi="仿宋" w:eastAsia="仿宋" w:cs="仿宋"/>
          <w:b w:val="0"/>
          <w:bCs/>
          <w:color w:val="auto"/>
          <w:kern w:val="0"/>
          <w:sz w:val="24"/>
          <w:szCs w:val="24"/>
          <w:lang w:val="en-US" w:eastAsia="zh-CN"/>
        </w:rPr>
        <w:t>泥石流防治工程施工技术规范（试行）</w:t>
      </w:r>
      <w:r>
        <w:rPr>
          <w:rFonts w:hint="eastAsia" w:ascii="仿宋" w:hAnsi="仿宋" w:eastAsia="仿宋" w:cs="仿宋"/>
          <w:b w:val="0"/>
          <w:bCs/>
          <w:color w:val="auto"/>
          <w:kern w:val="0"/>
          <w:sz w:val="24"/>
          <w:szCs w:val="24"/>
          <w:lang w:eastAsia="zh-CN"/>
        </w:rPr>
        <w:t>》</w:t>
      </w:r>
      <w:r>
        <w:rPr>
          <w:rFonts w:hint="eastAsia" w:ascii="仿宋" w:hAnsi="仿宋" w:eastAsia="仿宋" w:cs="仿宋"/>
          <w:b w:val="0"/>
          <w:bCs/>
          <w:color w:val="auto"/>
          <w:kern w:val="0"/>
          <w:sz w:val="24"/>
          <w:szCs w:val="24"/>
          <w:lang w:val="en-US" w:eastAsia="zh-CN"/>
        </w:rPr>
        <w:t>（</w:t>
      </w:r>
      <w:r>
        <w:rPr>
          <w:rFonts w:hint="eastAsia" w:ascii="仿宋" w:hAnsi="仿宋" w:eastAsia="仿宋" w:cs="仿宋"/>
          <w:b w:val="0"/>
          <w:bCs/>
          <w:color w:val="auto"/>
          <w:kern w:val="0"/>
          <w:sz w:val="24"/>
          <w:szCs w:val="24"/>
        </w:rPr>
        <w:t>T/CAGHP 061—201</w:t>
      </w:r>
      <w:r>
        <w:rPr>
          <w:rFonts w:hint="eastAsia" w:ascii="仿宋" w:hAnsi="仿宋" w:eastAsia="仿宋" w:cs="仿宋"/>
          <w:b w:val="0"/>
          <w:bCs/>
          <w:color w:val="auto"/>
          <w:kern w:val="0"/>
          <w:sz w:val="24"/>
          <w:szCs w:val="24"/>
          <w:lang w:val="en-US" w:eastAsia="zh-CN"/>
        </w:rPr>
        <w:t>9）；</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val="en-US" w:eastAsia="zh-CN"/>
        </w:rPr>
        <w:t>3</w:t>
      </w:r>
      <w:r>
        <w:rPr>
          <w:rFonts w:hint="eastAsia" w:ascii="仿宋" w:hAnsi="仿宋" w:eastAsia="仿宋" w:cs="仿宋"/>
          <w:b w:val="0"/>
          <w:bCs/>
          <w:color w:val="auto"/>
          <w:kern w:val="0"/>
          <w:sz w:val="24"/>
          <w:szCs w:val="24"/>
        </w:rPr>
        <w:t>.《崩塌·滑坡·泥石流监测规范》（DZ/T0221-2006）；</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val="en-US" w:eastAsia="zh-CN"/>
        </w:rPr>
        <w:t>4</w:t>
      </w:r>
      <w:r>
        <w:rPr>
          <w:rFonts w:hint="eastAsia" w:ascii="仿宋" w:hAnsi="仿宋" w:eastAsia="仿宋" w:cs="仿宋"/>
          <w:b w:val="0"/>
          <w:bCs/>
          <w:color w:val="auto"/>
          <w:kern w:val="0"/>
          <w:sz w:val="24"/>
          <w:szCs w:val="24"/>
        </w:rPr>
        <w:t>.《建筑抗震设计规范》（GB50011-2010）；</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val="en-US" w:eastAsia="zh-CN"/>
        </w:rPr>
        <w:t>5</w:t>
      </w:r>
      <w:r>
        <w:rPr>
          <w:rFonts w:hint="eastAsia" w:ascii="仿宋" w:hAnsi="仿宋" w:eastAsia="仿宋" w:cs="仿宋"/>
          <w:b w:val="0"/>
          <w:bCs/>
          <w:color w:val="auto"/>
          <w:kern w:val="0"/>
          <w:sz w:val="24"/>
          <w:szCs w:val="24"/>
        </w:rPr>
        <w:t>.《工业建筑防腐蚀设计规范》（GB50046-2008）；</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val="en-US" w:eastAsia="zh-CN"/>
        </w:rPr>
        <w:t>6</w:t>
      </w:r>
      <w:r>
        <w:rPr>
          <w:rFonts w:hint="eastAsia" w:ascii="仿宋" w:hAnsi="仿宋" w:eastAsia="仿宋" w:cs="仿宋"/>
          <w:b w:val="0"/>
          <w:bCs/>
          <w:color w:val="auto"/>
          <w:kern w:val="0"/>
          <w:sz w:val="24"/>
          <w:szCs w:val="24"/>
        </w:rPr>
        <w:t>.《砌体结构设计规范》（GB50003-2011）；</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val="en-US" w:eastAsia="zh-CN"/>
        </w:rPr>
        <w:t>7</w:t>
      </w:r>
      <w:r>
        <w:rPr>
          <w:rFonts w:hint="eastAsia" w:ascii="仿宋" w:hAnsi="仿宋" w:eastAsia="仿宋" w:cs="仿宋"/>
          <w:b w:val="0"/>
          <w:bCs/>
          <w:color w:val="auto"/>
          <w:kern w:val="0"/>
          <w:sz w:val="24"/>
          <w:szCs w:val="24"/>
        </w:rPr>
        <w:t>.《混凝土结构设计规范》（GB50010-2010）；</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val="en-US" w:eastAsia="zh-CN"/>
        </w:rPr>
        <w:t>8</w:t>
      </w:r>
      <w:r>
        <w:rPr>
          <w:rFonts w:hint="eastAsia" w:ascii="仿宋" w:hAnsi="仿宋" w:eastAsia="仿宋" w:cs="仿宋"/>
          <w:b w:val="0"/>
          <w:bCs/>
          <w:color w:val="auto"/>
          <w:kern w:val="0"/>
          <w:sz w:val="24"/>
          <w:szCs w:val="24"/>
        </w:rPr>
        <w:t>.《建筑地基基础设计规范》（GB50007-2011）；</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val="en-US" w:eastAsia="zh-CN"/>
        </w:rPr>
        <w:t>9</w:t>
      </w:r>
      <w:r>
        <w:rPr>
          <w:rFonts w:hint="eastAsia" w:ascii="仿宋" w:hAnsi="仿宋" w:eastAsia="仿宋" w:cs="仿宋"/>
          <w:b w:val="0"/>
          <w:bCs/>
          <w:color w:val="auto"/>
          <w:kern w:val="0"/>
          <w:sz w:val="24"/>
          <w:szCs w:val="24"/>
        </w:rPr>
        <w:t>.《建筑边坡工程技术规范》（GB50330-2013）；</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10.《工程测量规范》（GB50026-2007）；</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11.《全球定位系统（GPS）测量规范》（GB/T18314-2009）；</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12.《建设工程质量管理条例》；</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13.《建设工程安全生产管理条例》；</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14.《建设项目环境保护管理条例》；</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15.其他有关规范、规程和技术要求。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同时满足招标文件、设计书及其审批意见书和有关规定的要求。</w:t>
      </w:r>
    </w:p>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27" w:name="_Toc5763"/>
      <w:r>
        <w:rPr>
          <w:rFonts w:hint="eastAsia" w:ascii="仿宋" w:hAnsi="仿宋" w:eastAsia="仿宋" w:cs="仿宋"/>
          <w:b w:val="0"/>
          <w:bCs/>
          <w:color w:val="auto"/>
          <w:sz w:val="24"/>
          <w:szCs w:val="24"/>
        </w:rPr>
        <w:t>八、主要实物工作量</w:t>
      </w:r>
      <w:bookmarkEnd w:id="327"/>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根据本项目的目标和任务，结合防治区泥石流灾害特征和环境现状，以基本消除或减轻地质灾害对当地居民的威胁为目的，本次泥石流灾害防治工程可以采用排导、拦挡、监测、安全警示牌等措施。</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投标单位在现场踏勘后提出投标设计方案。</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u w:val="single"/>
        </w:rPr>
      </w:pPr>
      <w:r>
        <w:rPr>
          <w:rFonts w:hint="eastAsia" w:ascii="仿宋" w:hAnsi="仿宋" w:eastAsia="仿宋" w:cs="仿宋"/>
          <w:b w:val="0"/>
          <w:bCs/>
          <w:color w:val="auto"/>
          <w:sz w:val="24"/>
          <w:szCs w:val="24"/>
          <w:u w:val="single"/>
        </w:rPr>
        <w:t>最终设计方案及工作量以审批后的防治工程项目设计书为准。</w:t>
      </w:r>
    </w:p>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28" w:name="_Toc6234"/>
      <w:r>
        <w:rPr>
          <w:rFonts w:hint="eastAsia" w:ascii="仿宋" w:hAnsi="仿宋" w:eastAsia="仿宋" w:cs="仿宋"/>
          <w:b w:val="0"/>
          <w:bCs/>
          <w:color w:val="auto"/>
          <w:sz w:val="24"/>
          <w:szCs w:val="24"/>
        </w:rPr>
        <w:t>九、预期提交成果</w:t>
      </w:r>
      <w:bookmarkEnd w:id="328"/>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（一）防治工程设计成果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eastAsia="zh-CN"/>
        </w:rPr>
        <w:t>新疆乌恰县吾合沙鲁乡政府、小学泥石流</w:t>
      </w:r>
      <w:r>
        <w:rPr>
          <w:rFonts w:hint="eastAsia" w:ascii="仿宋" w:hAnsi="仿宋" w:eastAsia="仿宋" w:cs="仿宋"/>
          <w:b w:val="0"/>
          <w:bCs/>
          <w:color w:val="auto"/>
          <w:sz w:val="24"/>
          <w:szCs w:val="24"/>
        </w:rPr>
        <w:t>防治工程设计书（施工设计和施工组织设计）；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2.</w:t>
      </w:r>
      <w:r>
        <w:rPr>
          <w:rFonts w:hint="eastAsia" w:ascii="仿宋" w:hAnsi="仿宋" w:eastAsia="仿宋" w:cs="仿宋"/>
          <w:b w:val="0"/>
          <w:bCs/>
          <w:color w:val="auto"/>
          <w:sz w:val="24"/>
          <w:szCs w:val="24"/>
          <w:lang w:eastAsia="zh-CN"/>
        </w:rPr>
        <w:t>新疆乌恰县吾合沙鲁乡政府、小学泥石流</w:t>
      </w:r>
      <w:r>
        <w:rPr>
          <w:rFonts w:hint="eastAsia" w:ascii="仿宋" w:hAnsi="仿宋" w:eastAsia="仿宋" w:cs="仿宋"/>
          <w:b w:val="0"/>
          <w:bCs/>
          <w:color w:val="auto"/>
          <w:sz w:val="24"/>
          <w:szCs w:val="24"/>
        </w:rPr>
        <w:t>防治工程平面</w:t>
      </w:r>
      <w:r>
        <w:rPr>
          <w:rFonts w:hint="eastAsia" w:ascii="仿宋" w:hAnsi="仿宋" w:eastAsia="仿宋" w:cs="仿宋"/>
          <w:b w:val="0"/>
          <w:bCs/>
          <w:color w:val="auto"/>
          <w:sz w:val="24"/>
          <w:szCs w:val="24"/>
          <w:lang w:val="en-US" w:eastAsia="zh-CN"/>
        </w:rPr>
        <w:t>布置</w:t>
      </w:r>
      <w:r>
        <w:rPr>
          <w:rFonts w:hint="eastAsia" w:ascii="仿宋" w:hAnsi="仿宋" w:eastAsia="仿宋" w:cs="仿宋"/>
          <w:b w:val="0"/>
          <w:bCs/>
          <w:color w:val="auto"/>
          <w:sz w:val="24"/>
          <w:szCs w:val="24"/>
        </w:rPr>
        <w:t>图及各单项防治工程设计图</w:t>
      </w:r>
      <w:r>
        <w:rPr>
          <w:rFonts w:hint="eastAsia" w:ascii="仿宋" w:hAnsi="仿宋" w:eastAsia="仿宋" w:cs="仿宋"/>
          <w:b w:val="0"/>
          <w:bCs/>
          <w:color w:val="auto"/>
          <w:sz w:val="24"/>
          <w:szCs w:val="24"/>
          <w:lang w:eastAsia="zh-CN"/>
        </w:rPr>
        <w:t>。</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（二）防治工程施工成果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防治工程施工成果和资料汇交应按《新疆维吾尔自治区地质灾害防治项目管理办法（试行）》及</w:t>
      </w:r>
      <w:r>
        <w:rPr>
          <w:rFonts w:hint="eastAsia" w:ascii="仿宋" w:hAnsi="仿宋" w:eastAsia="仿宋" w:cs="仿宋"/>
          <w:b w:val="0"/>
          <w:bCs/>
          <w:color w:val="auto"/>
          <w:sz w:val="24"/>
          <w:szCs w:val="24"/>
          <w:lang w:val="en-US" w:eastAsia="zh-CN"/>
        </w:rPr>
        <w:t>附件</w:t>
      </w:r>
      <w:r>
        <w:rPr>
          <w:rFonts w:hint="eastAsia" w:ascii="仿宋" w:hAnsi="仿宋" w:eastAsia="仿宋" w:cs="仿宋"/>
          <w:b w:val="0"/>
          <w:bCs/>
          <w:color w:val="auto"/>
          <w:sz w:val="24"/>
          <w:szCs w:val="24"/>
        </w:rPr>
        <w:t>《新疆维吾尔自治区地质灾害防治项目验收细则》要求执行。</w:t>
      </w:r>
    </w:p>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29" w:name="_Toc10901"/>
      <w:r>
        <w:rPr>
          <w:rFonts w:hint="eastAsia" w:ascii="仿宋" w:hAnsi="仿宋" w:eastAsia="仿宋" w:cs="仿宋"/>
          <w:b w:val="0"/>
          <w:bCs/>
          <w:color w:val="auto"/>
          <w:sz w:val="24"/>
          <w:szCs w:val="24"/>
        </w:rPr>
        <w:t>十、工作周期</w:t>
      </w:r>
      <w:bookmarkEnd w:id="329"/>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2023年</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月-202</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lang w:val="en-US" w:eastAsia="zh-CN"/>
        </w:rPr>
        <w:t>10</w:t>
      </w:r>
      <w:r>
        <w:rPr>
          <w:rFonts w:hint="eastAsia" w:ascii="仿宋" w:hAnsi="仿宋" w:eastAsia="仿宋" w:cs="仿宋"/>
          <w:b w:val="0"/>
          <w:bCs/>
          <w:color w:val="auto"/>
          <w:sz w:val="24"/>
          <w:szCs w:val="24"/>
        </w:rPr>
        <w:t>月，2023年</w:t>
      </w:r>
      <w:r>
        <w:rPr>
          <w:rFonts w:hint="eastAsia" w:ascii="仿宋" w:hAnsi="仿宋" w:eastAsia="仿宋" w:cs="仿宋"/>
          <w:b w:val="0"/>
          <w:bCs/>
          <w:color w:val="auto"/>
          <w:sz w:val="24"/>
          <w:szCs w:val="24"/>
          <w:lang w:val="en-US" w:eastAsia="zh-CN"/>
        </w:rPr>
        <w:t>10</w:t>
      </w:r>
      <w:r>
        <w:rPr>
          <w:rFonts w:hint="eastAsia" w:ascii="仿宋" w:hAnsi="仿宋" w:eastAsia="仿宋" w:cs="仿宋"/>
          <w:b w:val="0"/>
          <w:bCs/>
          <w:color w:val="auto"/>
          <w:sz w:val="24"/>
          <w:szCs w:val="24"/>
        </w:rPr>
        <w:t>月31日前完成野外竣工验收，2023年11月30日前提交全套竣工资料，2024年</w:t>
      </w:r>
      <w:r>
        <w:rPr>
          <w:rFonts w:hint="eastAsia" w:ascii="仿宋" w:hAnsi="仿宋" w:eastAsia="仿宋" w:cs="仿宋"/>
          <w:b w:val="0"/>
          <w:bCs/>
          <w:color w:val="auto"/>
          <w:sz w:val="24"/>
          <w:szCs w:val="24"/>
          <w:lang w:val="en-US" w:eastAsia="zh-CN"/>
        </w:rPr>
        <w:t>10</w:t>
      </w:r>
      <w:r>
        <w:rPr>
          <w:rFonts w:hint="eastAsia" w:ascii="仿宋" w:hAnsi="仿宋" w:eastAsia="仿宋" w:cs="仿宋"/>
          <w:b w:val="0"/>
          <w:bCs/>
          <w:color w:val="auto"/>
          <w:sz w:val="24"/>
          <w:szCs w:val="24"/>
        </w:rPr>
        <w:t>月31日前完成工程复验。</w:t>
      </w:r>
    </w:p>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br w:type="page"/>
      </w:r>
    </w:p>
    <w:p>
      <w:pPr>
        <w:spacing w:line="560" w:lineRule="exact"/>
        <w:jc w:val="both"/>
        <w:outlineLvl w:val="1"/>
        <w:rPr>
          <w:rFonts w:hint="eastAsia" w:ascii="仿宋" w:hAnsi="仿宋" w:eastAsia="仿宋" w:cs="Times New Roman"/>
          <w:b/>
          <w:bCs/>
          <w:color w:val="auto"/>
          <w:sz w:val="32"/>
          <w:szCs w:val="32"/>
        </w:rPr>
      </w:pPr>
      <w:bookmarkStart w:id="330" w:name="_Toc30161"/>
      <w:bookmarkStart w:id="331" w:name="_Toc26545"/>
      <w:r>
        <w:rPr>
          <w:rFonts w:hint="eastAsia" w:ascii="仿宋" w:hAnsi="仿宋" w:eastAsia="仿宋" w:cs="Times New Roman"/>
          <w:b/>
          <w:bCs/>
          <w:color w:val="auto"/>
          <w:sz w:val="32"/>
          <w:szCs w:val="32"/>
        </w:rPr>
        <w:t>标项</w:t>
      </w:r>
      <w:r>
        <w:rPr>
          <w:rFonts w:hint="eastAsia" w:ascii="仿宋" w:hAnsi="仿宋" w:eastAsia="仿宋" w:cs="Times New Roman"/>
          <w:b/>
          <w:bCs/>
          <w:color w:val="auto"/>
          <w:sz w:val="32"/>
          <w:szCs w:val="32"/>
          <w:lang w:val="en-US" w:eastAsia="zh-CN"/>
        </w:rPr>
        <w:t>四</w:t>
      </w:r>
      <w:r>
        <w:rPr>
          <w:rFonts w:hint="eastAsia" w:ascii="仿宋" w:hAnsi="仿宋" w:eastAsia="仿宋" w:cs="Times New Roman"/>
          <w:b/>
          <w:bCs/>
          <w:color w:val="auto"/>
          <w:sz w:val="32"/>
          <w:szCs w:val="32"/>
        </w:rPr>
        <w:t>：</w:t>
      </w:r>
      <w:r>
        <w:rPr>
          <w:rFonts w:hint="eastAsia" w:ascii="仿宋" w:hAnsi="仿宋" w:eastAsia="仿宋" w:cs="Times New Roman"/>
          <w:b/>
          <w:bCs/>
          <w:color w:val="auto"/>
          <w:sz w:val="32"/>
          <w:szCs w:val="32"/>
          <w:lang w:eastAsia="zh-CN"/>
        </w:rPr>
        <w:t>新疆阿克陶县阿克塔拉牧场2村泥石流防治工程</w:t>
      </w:r>
      <w:bookmarkEnd w:id="330"/>
      <w:bookmarkEnd w:id="331"/>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rPr>
      </w:pP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32" w:name="_Toc29379"/>
      <w:r>
        <w:rPr>
          <w:rFonts w:hint="eastAsia" w:ascii="仿宋" w:hAnsi="仿宋" w:eastAsia="仿宋" w:cs="仿宋"/>
          <w:b w:val="0"/>
          <w:bCs/>
          <w:color w:val="auto"/>
          <w:sz w:val="24"/>
          <w:szCs w:val="24"/>
        </w:rPr>
        <w:t>一、项目名称、编号及费用</w:t>
      </w:r>
      <w:bookmarkEnd w:id="332"/>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kern w:val="0"/>
          <w:sz w:val="24"/>
          <w:szCs w:val="24"/>
          <w:lang w:val="en-US" w:eastAsia="zh-CN"/>
        </w:rPr>
      </w:pPr>
      <w:r>
        <w:rPr>
          <w:rFonts w:hint="eastAsia" w:ascii="仿宋" w:hAnsi="仿宋" w:eastAsia="仿宋" w:cs="仿宋"/>
          <w:b w:val="0"/>
          <w:bCs/>
          <w:color w:val="auto"/>
          <w:kern w:val="0"/>
          <w:sz w:val="24"/>
          <w:szCs w:val="24"/>
        </w:rPr>
        <w:t>项目名称：</w:t>
      </w:r>
      <w:r>
        <w:rPr>
          <w:rFonts w:hint="eastAsia" w:ascii="仿宋" w:hAnsi="仿宋" w:eastAsia="仿宋" w:cs="仿宋"/>
          <w:b w:val="0"/>
          <w:bCs/>
          <w:color w:val="auto"/>
          <w:kern w:val="0"/>
          <w:sz w:val="24"/>
          <w:szCs w:val="24"/>
          <w:lang w:eastAsia="zh-CN"/>
        </w:rPr>
        <w:t>新疆阿克陶县阿克塔拉牧场2村泥石流防治工程</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kern w:val="0"/>
          <w:sz w:val="24"/>
          <w:szCs w:val="24"/>
          <w:lang w:eastAsia="zh-CN"/>
        </w:rPr>
      </w:pPr>
      <w:r>
        <w:rPr>
          <w:rFonts w:hint="eastAsia" w:ascii="仿宋" w:hAnsi="仿宋" w:eastAsia="仿宋" w:cs="仿宋"/>
          <w:b w:val="0"/>
          <w:bCs/>
          <w:color w:val="auto"/>
          <w:kern w:val="0"/>
          <w:sz w:val="24"/>
          <w:szCs w:val="24"/>
        </w:rPr>
        <w:t>项目编号：</w:t>
      </w:r>
      <w:r>
        <w:rPr>
          <w:rStyle w:val="73"/>
          <w:rFonts w:ascii="仿宋" w:hAnsi="仿宋" w:eastAsia="仿宋" w:cs="仿宋"/>
          <w:b w:val="0"/>
          <w:bCs/>
          <w:color w:val="auto"/>
          <w:sz w:val="24"/>
          <w:szCs w:val="24"/>
          <w:lang w:eastAsia="zh-CN"/>
        </w:rPr>
        <w:t>GYZB-KZDZFZ2023</w:t>
      </w:r>
      <w:r>
        <w:rPr>
          <w:rStyle w:val="73"/>
          <w:rFonts w:hint="eastAsia" w:ascii="仿宋" w:hAnsi="仿宋" w:eastAsia="仿宋" w:cs="仿宋"/>
          <w:b w:val="0"/>
          <w:bCs/>
          <w:color w:val="auto"/>
          <w:sz w:val="24"/>
          <w:szCs w:val="24"/>
          <w:lang w:val="en-US" w:eastAsia="zh-CN"/>
        </w:rPr>
        <w:t>-01</w:t>
      </w:r>
      <w:r>
        <w:rPr>
          <w:rStyle w:val="73"/>
          <w:rFonts w:ascii="仿宋" w:hAnsi="仿宋" w:eastAsia="仿宋" w:cs="仿宋"/>
          <w:b w:val="0"/>
          <w:bCs/>
          <w:color w:val="auto"/>
          <w:sz w:val="24"/>
          <w:szCs w:val="24"/>
        </w:rPr>
        <w:t>-0</w:t>
      </w:r>
      <w:r>
        <w:rPr>
          <w:rStyle w:val="73"/>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kern w:val="0"/>
          <w:sz w:val="24"/>
          <w:szCs w:val="24"/>
          <w:lang w:eastAsia="zh-CN"/>
        </w:rPr>
        <w:t xml:space="preserve"> </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Style w:val="73"/>
          <w:rFonts w:hint="default" w:ascii="仿宋" w:hAnsi="仿宋" w:eastAsia="仿宋" w:cs="仿宋"/>
          <w:b w:val="0"/>
          <w:bCs/>
          <w:color w:val="auto"/>
          <w:sz w:val="24"/>
          <w:szCs w:val="24"/>
          <w:lang w:val="en-US" w:eastAsia="zh-CN"/>
        </w:rPr>
      </w:pPr>
      <w:r>
        <w:rPr>
          <w:rStyle w:val="73"/>
          <w:rFonts w:hint="eastAsia" w:ascii="仿宋" w:hAnsi="仿宋" w:eastAsia="仿宋" w:cs="仿宋"/>
          <w:b w:val="0"/>
          <w:bCs/>
          <w:color w:val="auto"/>
          <w:sz w:val="24"/>
          <w:szCs w:val="24"/>
          <w:lang w:eastAsia="zh-CN"/>
        </w:rPr>
        <w:t>项目费用</w:t>
      </w:r>
      <w:r>
        <w:rPr>
          <w:rStyle w:val="73"/>
          <w:rFonts w:hint="eastAsia" w:ascii="仿宋" w:hAnsi="仿宋" w:eastAsia="仿宋" w:cs="仿宋"/>
          <w:b w:val="0"/>
          <w:bCs/>
          <w:color w:val="auto"/>
          <w:sz w:val="24"/>
          <w:szCs w:val="24"/>
          <w:lang w:val="en-US" w:eastAsia="zh-CN"/>
        </w:rPr>
        <w:t>人民币</w:t>
      </w:r>
      <w:r>
        <w:rPr>
          <w:rStyle w:val="73"/>
          <w:rFonts w:hint="eastAsia" w:ascii="仿宋" w:hAnsi="仿宋" w:eastAsia="仿宋" w:cs="仿宋"/>
          <w:b w:val="0"/>
          <w:bCs/>
          <w:color w:val="auto"/>
          <w:sz w:val="24"/>
          <w:szCs w:val="24"/>
          <w:lang w:eastAsia="zh-CN"/>
        </w:rPr>
        <w:t>：</w:t>
      </w:r>
      <w:r>
        <w:rPr>
          <w:rStyle w:val="73"/>
          <w:rFonts w:hint="eastAsia" w:ascii="仿宋" w:hAnsi="仿宋" w:eastAsia="仿宋" w:cs="仿宋"/>
          <w:b w:val="0"/>
          <w:bCs/>
          <w:color w:val="auto"/>
          <w:sz w:val="24"/>
          <w:szCs w:val="24"/>
          <w:lang w:val="en-US" w:eastAsia="zh-CN"/>
        </w:rPr>
        <w:t>396.2</w:t>
      </w:r>
      <w:r>
        <w:rPr>
          <w:rStyle w:val="73"/>
          <w:rFonts w:hint="eastAsia" w:ascii="仿宋" w:hAnsi="仿宋" w:eastAsia="仿宋" w:cs="仿宋"/>
          <w:b w:val="0"/>
          <w:bCs/>
          <w:color w:val="auto"/>
          <w:sz w:val="24"/>
          <w:szCs w:val="24"/>
          <w:lang w:eastAsia="zh-CN"/>
        </w:rPr>
        <w:t>万元（</w:t>
      </w:r>
      <w:r>
        <w:rPr>
          <w:rStyle w:val="73"/>
          <w:rFonts w:hint="eastAsia" w:ascii="仿宋" w:hAnsi="仿宋" w:eastAsia="仿宋" w:cs="仿宋"/>
          <w:b w:val="0"/>
          <w:bCs/>
          <w:color w:val="auto"/>
          <w:sz w:val="24"/>
          <w:szCs w:val="24"/>
          <w:lang w:val="en-US" w:eastAsia="zh-CN"/>
        </w:rPr>
        <w:t>叁佰玖拾陆万贰仟元整）</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33" w:name="_Toc29358"/>
      <w:r>
        <w:rPr>
          <w:rFonts w:hint="eastAsia" w:ascii="仿宋" w:hAnsi="仿宋" w:eastAsia="仿宋" w:cs="仿宋"/>
          <w:b w:val="0"/>
          <w:bCs/>
          <w:color w:val="auto"/>
          <w:sz w:val="24"/>
          <w:szCs w:val="24"/>
        </w:rPr>
        <w:t>二、工作范围</w:t>
      </w:r>
      <w:bookmarkEnd w:id="333"/>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防治区位于阿克陶县东南部山区，行政区划隶属于克孜勒苏柯尔克孜自治州阿克陶县克孜勒陶乡阿克达拉牧场2村管辖，防治区中心地理坐标为经度76°00′30.15″，纬度38°18′27.09″</w:t>
      </w:r>
      <w:r>
        <w:rPr>
          <w:rFonts w:hint="eastAsia" w:ascii="仿宋" w:hAnsi="仿宋" w:eastAsia="仿宋" w:cs="仿宋"/>
          <w:b w:val="0"/>
          <w:bCs/>
          <w:color w:val="auto"/>
          <w:sz w:val="24"/>
          <w:szCs w:val="24"/>
          <w:lang w:eastAsia="zh-CN"/>
        </w:rPr>
        <w:t>。</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u w:val="single"/>
        </w:rPr>
      </w:pPr>
      <w:r>
        <w:rPr>
          <w:rFonts w:hint="eastAsia" w:ascii="仿宋" w:hAnsi="仿宋" w:eastAsia="仿宋" w:cs="仿宋"/>
          <w:b w:val="0"/>
          <w:bCs/>
          <w:color w:val="auto"/>
          <w:sz w:val="24"/>
          <w:szCs w:val="24"/>
          <w:u w:val="single"/>
        </w:rPr>
        <w:t>最终防治工程区范围以投标单位现场踏勘并与当地自然资源部门充分沟通确定的为准。</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34" w:name="_Toc5784"/>
      <w:r>
        <w:rPr>
          <w:rFonts w:hint="eastAsia" w:ascii="仿宋" w:hAnsi="仿宋" w:eastAsia="仿宋" w:cs="仿宋"/>
          <w:b w:val="0"/>
          <w:bCs/>
          <w:color w:val="auto"/>
          <w:sz w:val="24"/>
          <w:szCs w:val="24"/>
        </w:rPr>
        <w:t>三、自然经济地理</w:t>
      </w:r>
      <w:bookmarkEnd w:id="334"/>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（一）交通位置</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防治区距阿克陶县城中心105千米。从城区出发向东南行进38千米至英吉沙县继续行进21千米至克孜勒陶乡路口，自国道315转向乡道X467后行走22千米至依格孜牙乡县界检查站后进入阿克陶县克孜勒陶乡，沿X393乡道继续行走50千米，到达阿克达拉牧场2村防治区，共计131千米，交通条件较好。</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二</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社会经济概况</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防治区位于新疆维吾尔自治区阿克陶县阿克塔拉牧场境内，该牧场2018年管辖5个分场（4个牧业分场、1个农业分场），年末总人口811户2846人。全场有耕地面积103公顷，草场面积17150公顷。粮食播种面积96.74公顷（含复播），经济作物播种面积11.41公顷。境内有天然林91公顷；有雪鸡、黄羊、呱啦鸡、狐狸、狼、雪豹等野生动物；有石油、煤、铜、铅锌等矿产资源。2019年末人均纯收入8559元。阿克塔拉牧场2村（阿克陶县克孜勒陶乡乌尔多隆窝孜村）总人口393人。</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35" w:name="_Toc26630"/>
      <w:r>
        <w:rPr>
          <w:rFonts w:hint="eastAsia" w:ascii="仿宋" w:hAnsi="仿宋" w:eastAsia="仿宋" w:cs="仿宋"/>
          <w:b w:val="0"/>
          <w:bCs/>
          <w:color w:val="auto"/>
          <w:sz w:val="24"/>
          <w:szCs w:val="24"/>
        </w:rPr>
        <w:t>四、地质环境条件和工作程度</w:t>
      </w:r>
      <w:bookmarkEnd w:id="335"/>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（一）地形地貌</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防治区地处阿克陶县南部山区，地貌类型主要为剥蚀-侵蚀中高山、河谷等。总体地势南高北低，东高西低</w:t>
      </w:r>
      <w:r>
        <w:rPr>
          <w:rFonts w:hint="eastAsia" w:ascii="仿宋" w:hAnsi="仿宋" w:eastAsia="仿宋" w:cs="仿宋"/>
          <w:b w:val="0"/>
          <w:bCs/>
          <w:color w:val="auto"/>
          <w:sz w:val="24"/>
          <w:szCs w:val="24"/>
          <w:lang w:eastAsia="zh-CN"/>
        </w:rPr>
        <w:t>。</w:t>
      </w:r>
    </w:p>
    <w:p>
      <w:pPr>
        <w:keepNext w:val="0"/>
        <w:keepLines w:val="0"/>
        <w:pageBreakBefore w:val="0"/>
        <w:widowControl w:val="0"/>
        <w:numPr>
          <w:ilvl w:val="0"/>
          <w:numId w:val="6"/>
        </w:numPr>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地层岩性</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防治区出露地层主要为侏罗系和第四系，现由老至新分述如下：</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1、侏罗系（J）：</w:t>
      </w:r>
    </w:p>
    <w:p>
      <w:pPr>
        <w:keepNext w:val="0"/>
        <w:keepLines w:val="0"/>
        <w:pageBreakBefore w:val="0"/>
        <w:widowControl w:val="0"/>
        <w:kinsoku/>
        <w:wordWrap/>
        <w:overflowPunct/>
        <w:topLinePunct w:val="0"/>
        <w:autoSpaceDE/>
        <w:autoSpaceDN/>
        <w:bidi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分布于防治区两侧山体中，主要为侏罗纪下统康苏组（J</w:t>
      </w:r>
      <w:r>
        <w:rPr>
          <w:rFonts w:hint="eastAsia" w:ascii="仿宋" w:hAnsi="仿宋" w:eastAsia="仿宋" w:cs="仿宋"/>
          <w:b w:val="0"/>
          <w:bCs/>
          <w:color w:val="auto"/>
          <w:sz w:val="24"/>
          <w:szCs w:val="24"/>
          <w:vertAlign w:val="subscript"/>
        </w:rPr>
        <w:t>1</w:t>
      </w:r>
      <w:r>
        <w:rPr>
          <w:rFonts w:hint="eastAsia" w:ascii="仿宋" w:hAnsi="仿宋" w:eastAsia="仿宋" w:cs="仿宋"/>
          <w:b w:val="0"/>
          <w:bCs/>
          <w:color w:val="auto"/>
          <w:sz w:val="24"/>
          <w:szCs w:val="24"/>
        </w:rPr>
        <w:t>K）。岩性主要为岩性为灰色-灰白色石英砂岩、粗砂岩、砂砾岩、中-细砂岩、粉砂岩、泥岩、炭质泥岩及煤层组成，砂岩产状由于受构造变动的影响比较杂乱，无规律可循。结构为中粒到细粒结构，颗粒直径0.1-0.5</w:t>
      </w:r>
      <w:r>
        <w:rPr>
          <w:rFonts w:hint="eastAsia" w:ascii="仿宋" w:hAnsi="仿宋" w:eastAsia="仿宋" w:cs="仿宋"/>
          <w:b w:val="0"/>
          <w:bCs/>
          <w:color w:val="auto"/>
          <w:sz w:val="24"/>
          <w:szCs w:val="24"/>
          <w:lang w:val="en-US" w:eastAsia="zh-CN"/>
        </w:rPr>
        <w:t>毫米</w:t>
      </w:r>
      <w:r>
        <w:rPr>
          <w:rFonts w:hint="eastAsia" w:ascii="仿宋" w:hAnsi="仿宋" w:eastAsia="仿宋" w:cs="仿宋"/>
          <w:b w:val="0"/>
          <w:bCs/>
          <w:color w:val="auto"/>
          <w:sz w:val="24"/>
          <w:szCs w:val="24"/>
        </w:rPr>
        <w:t>，节理裂隙较发育，表层风化严重，部分区域可见分化残破积物堆积在低洼处或沟道处。</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第四系全新统冲洪积层（Q</w:t>
      </w:r>
      <w:r>
        <w:rPr>
          <w:rFonts w:hint="eastAsia" w:ascii="仿宋" w:hAnsi="仿宋" w:eastAsia="仿宋" w:cs="仿宋"/>
          <w:b w:val="0"/>
          <w:bCs/>
          <w:color w:val="auto"/>
          <w:sz w:val="24"/>
          <w:szCs w:val="24"/>
          <w:vertAlign w:val="subscript"/>
        </w:rPr>
        <w:t>4</w:t>
      </w:r>
      <w:r>
        <w:rPr>
          <w:rFonts w:hint="eastAsia" w:ascii="仿宋" w:hAnsi="仿宋" w:eastAsia="仿宋" w:cs="仿宋"/>
          <w:b w:val="0"/>
          <w:bCs/>
          <w:color w:val="auto"/>
          <w:sz w:val="24"/>
          <w:szCs w:val="24"/>
          <w:vertAlign w:val="superscript"/>
        </w:rPr>
        <w:t>apl</w:t>
      </w:r>
      <w:r>
        <w:rPr>
          <w:rFonts w:hint="eastAsia" w:ascii="仿宋" w:hAnsi="仿宋" w:eastAsia="仿宋" w:cs="仿宋"/>
          <w:b w:val="0"/>
          <w:bCs/>
          <w:color w:val="auto"/>
          <w:sz w:val="24"/>
          <w:szCs w:val="24"/>
        </w:rPr>
        <w:t>）</w:t>
      </w:r>
    </w:p>
    <w:p>
      <w:pPr>
        <w:keepNext w:val="0"/>
        <w:keepLines w:val="0"/>
        <w:pageBreakBefore w:val="0"/>
        <w:widowControl w:val="0"/>
        <w:kinsoku/>
        <w:wordWrap/>
        <w:overflowPunct/>
        <w:topLinePunct w:val="0"/>
        <w:autoSpaceDE/>
        <w:autoSpaceDN/>
        <w:bidi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分布于泥石流堆积区、河床及河漫滩中，由漂石、碎石、卵砾石、中粗砂及粉土组成。青灰色、干燥-稍湿、表层松散。下部为稍密-中密，粒径一般在2-80毫米，最大可达250毫米，分选性差，磨圆度呈次圆状、棱角状，砾石主要成份为石英、长石等，含量约占65%，充填物为中细砂、粉土，含量约占35%</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3、第四系全新统崩积层（</w:t>
      </w:r>
      <w:r>
        <w:rPr>
          <w:rFonts w:hint="eastAsia" w:ascii="仿宋" w:hAnsi="仿宋" w:eastAsia="仿宋" w:cs="仿宋"/>
          <w:b w:val="0"/>
          <w:bCs/>
          <w:color w:val="auto"/>
          <w:sz w:val="24"/>
          <w:szCs w:val="24"/>
        </w:rPr>
        <w:t>Q</w:t>
      </w:r>
      <w:r>
        <w:rPr>
          <w:rFonts w:hint="eastAsia" w:ascii="仿宋" w:hAnsi="仿宋" w:eastAsia="仿宋" w:cs="仿宋"/>
          <w:b w:val="0"/>
          <w:bCs/>
          <w:color w:val="auto"/>
          <w:sz w:val="24"/>
          <w:szCs w:val="24"/>
          <w:vertAlign w:val="subscript"/>
        </w:rPr>
        <w:t>4</w:t>
      </w:r>
      <w:r>
        <w:rPr>
          <w:rFonts w:hint="eastAsia" w:ascii="仿宋" w:hAnsi="仿宋" w:eastAsia="仿宋" w:cs="仿宋"/>
          <w:b w:val="0"/>
          <w:bCs/>
          <w:color w:val="auto"/>
          <w:sz w:val="24"/>
          <w:szCs w:val="24"/>
        </w:rPr>
        <w:t>col</w:t>
      </w:r>
      <w:r>
        <w:rPr>
          <w:rFonts w:hint="eastAsia" w:ascii="仿宋" w:hAnsi="仿宋" w:eastAsia="仿宋" w:cs="仿宋"/>
          <w:b w:val="0"/>
          <w:bCs/>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jc w:val="both"/>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分布于崩塌带坡脚处，由块石、碎石、中粗砂及粉土组成，灰褐色，干燥-稍湿、表层松散，下部为稍密-中密，粒径一般在20-100毫米，偶见巨石分布，最大可达0.5-1米。分选性差，磨圆度一般，呈次棱角状，砾石主要成份为石英、长石等，充填物为中细砂、粉土，局部含有植物根系</w:t>
      </w:r>
      <w:r>
        <w:rPr>
          <w:rFonts w:hint="eastAsia" w:ascii="仿宋" w:hAnsi="仿宋" w:eastAsia="仿宋" w:cs="仿宋"/>
          <w:b w:val="0"/>
          <w:bCs/>
          <w:color w:val="auto"/>
          <w:sz w:val="24"/>
          <w:szCs w:val="24"/>
          <w:lang w:eastAsia="zh-CN"/>
        </w:rPr>
        <w:t>。</w:t>
      </w:r>
    </w:p>
    <w:p>
      <w:pPr>
        <w:keepNext w:val="0"/>
        <w:keepLines w:val="0"/>
        <w:pageBreakBefore w:val="0"/>
        <w:widowControl w:val="0"/>
        <w:numPr>
          <w:ilvl w:val="0"/>
          <w:numId w:val="6"/>
        </w:numPr>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水文地质条件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防治区地下水类型分为第四系松散岩类孔隙潜水</w:t>
      </w:r>
      <w:r>
        <w:rPr>
          <w:rFonts w:hint="eastAsia" w:ascii="仿宋" w:hAnsi="仿宋" w:eastAsia="仿宋" w:cs="仿宋"/>
          <w:b w:val="0"/>
          <w:bCs/>
          <w:color w:val="auto"/>
          <w:sz w:val="24"/>
          <w:szCs w:val="24"/>
          <w:lang w:val="en-US" w:eastAsia="zh-CN"/>
        </w:rPr>
        <w:t>和</w:t>
      </w:r>
      <w:r>
        <w:rPr>
          <w:rFonts w:hint="eastAsia" w:ascii="仿宋" w:hAnsi="仿宋" w:eastAsia="仿宋" w:cs="仿宋"/>
          <w:b w:val="0"/>
          <w:bCs/>
          <w:color w:val="auto"/>
          <w:sz w:val="24"/>
          <w:szCs w:val="24"/>
          <w:lang w:eastAsia="zh-CN"/>
        </w:rPr>
        <w:t>碎屑岩类裂隙孔隙水。</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1、第四系松散岩类孔隙水</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主要分布于康阔勒河河谷中及洪积扇。含水层岩性为砂、砾石和卵石，水量丰富，富水性好。补给来源主要为冰雪融水、大气降水的垂直入渗补给及基岩裂隙水的侧向补给，以地下径流的方式向下游排泄，排泄方式主要为地下侧向径流。</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2、碎屑岩类裂隙孔隙水</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碎屑岩类裂隙孔隙水主要分布在河谷两侧的中山区，水量较为贫乏，水质较好。地下水补给来源主要为冰雪融水、大气降水沿裂隙孔隙入渗补给，以地下径流的方式向下游排泄，排泄方式主要为地下侧向径流。</w:t>
      </w:r>
    </w:p>
    <w:p>
      <w:pPr>
        <w:keepNext w:val="0"/>
        <w:keepLines w:val="0"/>
        <w:pageBreakBefore w:val="0"/>
        <w:widowControl w:val="0"/>
        <w:numPr>
          <w:ilvl w:val="0"/>
          <w:numId w:val="6"/>
        </w:numPr>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工程地质条件</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根据防治区内地层的分布特征，岩土体分为岩体和土体两大类。按照岩石强度、结构以及土体的粒度成分及结构，将岩体划分为硬碎屑岩岩组，土体为卵石土单层土体。</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1、较硬碎屑岩岩组</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分布于防治区大部分区域，位于山体上山顶及沟道两侧，出露面积较大。岩性主要为砂岩、页岩，砂状结构，碎屑粒度大小均一，分选性好，磨圆度呈圆状，矿物碎屑成分主要为石英、长石，白云母，风化裂隙发育，岩体结构大部分破坏</w:t>
      </w:r>
      <w:r>
        <w:rPr>
          <w:rFonts w:hint="eastAsia" w:ascii="仿宋" w:hAnsi="仿宋" w:eastAsia="仿宋" w:cs="仿宋"/>
          <w:b w:val="0"/>
          <w:bCs/>
          <w:color w:val="auto"/>
          <w:sz w:val="24"/>
          <w:szCs w:val="24"/>
          <w:lang w:eastAsia="zh-CN"/>
        </w:rPr>
        <w:t>。</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2、土体</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卵石土单层土体：主要分布于防治区的沟谷中，出山口堆积区位置，岩性为卵石、圆砾、砾砂等，结构松散。</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3、冻土深度</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防治区属于阿克陶县阿克达拉牧场2村，参照《工程地质手册》（第四版）中“中国季节性冻土标准冻深线图”，确定该区标准冻结深度为1.20</w:t>
      </w:r>
      <w:r>
        <w:rPr>
          <w:rFonts w:hint="eastAsia" w:ascii="仿宋" w:hAnsi="仿宋" w:eastAsia="仿宋" w:cs="仿宋"/>
          <w:b w:val="0"/>
          <w:bCs/>
          <w:color w:val="auto"/>
          <w:sz w:val="24"/>
          <w:szCs w:val="24"/>
          <w:lang w:val="en-US" w:eastAsia="zh-CN"/>
        </w:rPr>
        <w:t>米</w:t>
      </w:r>
      <w:r>
        <w:rPr>
          <w:rFonts w:hint="eastAsia" w:ascii="仿宋" w:hAnsi="仿宋" w:eastAsia="仿宋" w:cs="仿宋"/>
          <w:b w:val="0"/>
          <w:bCs/>
          <w:color w:val="auto"/>
          <w:sz w:val="24"/>
          <w:szCs w:val="24"/>
        </w:rPr>
        <w:t>。</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36" w:name="_Toc939"/>
      <w:r>
        <w:rPr>
          <w:rFonts w:hint="eastAsia" w:ascii="仿宋" w:hAnsi="仿宋" w:eastAsia="仿宋" w:cs="仿宋"/>
          <w:b w:val="0"/>
          <w:bCs/>
          <w:color w:val="auto"/>
          <w:sz w:val="24"/>
          <w:szCs w:val="24"/>
        </w:rPr>
        <w:t>五、主要地质灾害</w:t>
      </w:r>
      <w:bookmarkEnd w:id="336"/>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snapToGrid w:val="0"/>
          <w:color w:val="auto"/>
          <w:kern w:val="0"/>
          <w:sz w:val="24"/>
          <w:szCs w:val="24"/>
        </w:rPr>
      </w:pPr>
      <w:r>
        <w:rPr>
          <w:rFonts w:hint="eastAsia" w:ascii="仿宋" w:hAnsi="仿宋" w:eastAsia="仿宋" w:cs="仿宋"/>
          <w:b w:val="0"/>
          <w:bCs/>
          <w:color w:val="auto"/>
          <w:sz w:val="24"/>
          <w:szCs w:val="24"/>
          <w:lang w:eastAsia="zh-CN"/>
        </w:rPr>
        <w:t>防治区</w:t>
      </w:r>
      <w:r>
        <w:rPr>
          <w:rFonts w:hint="eastAsia" w:ascii="仿宋" w:hAnsi="仿宋" w:eastAsia="仿宋" w:cs="仿宋"/>
          <w:b w:val="0"/>
          <w:bCs/>
          <w:color w:val="auto"/>
          <w:sz w:val="24"/>
          <w:szCs w:val="24"/>
        </w:rPr>
        <w:t>主要发育地质灾害</w:t>
      </w:r>
      <w:r>
        <w:rPr>
          <w:rFonts w:hint="eastAsia" w:ascii="仿宋" w:hAnsi="仿宋" w:eastAsia="仿宋" w:cs="仿宋"/>
          <w:b w:val="0"/>
          <w:bCs/>
          <w:color w:val="auto"/>
          <w:sz w:val="24"/>
          <w:szCs w:val="24"/>
          <w:lang w:val="en-US" w:eastAsia="zh-CN"/>
        </w:rPr>
        <w:t>为</w:t>
      </w:r>
      <w:r>
        <w:rPr>
          <w:rFonts w:hint="eastAsia" w:ascii="仿宋" w:hAnsi="仿宋" w:eastAsia="仿宋" w:cs="仿宋"/>
          <w:b w:val="0"/>
          <w:bCs/>
          <w:color w:val="auto"/>
          <w:sz w:val="24"/>
          <w:szCs w:val="24"/>
        </w:rPr>
        <w:t>泥石流灾害</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防治区发育泥石流灾害1处，泥石流发育1条主沟和1条支沟，分别编号为N1、N2支沟，在防治区堆积区居民区北侧边坡上发育一处土质崩塌灾害</w:t>
      </w:r>
      <w:r>
        <w:rPr>
          <w:rFonts w:hint="eastAsia" w:ascii="仿宋" w:hAnsi="仿宋" w:eastAsia="仿宋" w:cs="仿宋"/>
          <w:b w:val="0"/>
          <w:bCs/>
          <w:color w:val="auto"/>
          <w:sz w:val="24"/>
          <w:szCs w:val="24"/>
          <w:lang w:eastAsia="zh-CN"/>
        </w:rPr>
        <w:t>。</w:t>
      </w:r>
      <w:r>
        <w:rPr>
          <w:rFonts w:hint="eastAsia" w:ascii="仿宋" w:hAnsi="仿宋" w:eastAsia="仿宋" w:cs="仿宋"/>
          <w:b w:val="0"/>
          <w:bCs/>
          <w:snapToGrid w:val="0"/>
          <w:color w:val="auto"/>
          <w:kern w:val="0"/>
          <w:sz w:val="24"/>
          <w:szCs w:val="24"/>
        </w:rPr>
        <w:t>现对其分述如下：</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1、泥石流灾害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防治区泥石流灾害</w:t>
      </w:r>
      <w:r>
        <w:rPr>
          <w:rFonts w:hint="eastAsia" w:ascii="仿宋" w:hAnsi="仿宋" w:eastAsia="仿宋" w:cs="仿宋"/>
          <w:b w:val="0"/>
          <w:bCs/>
          <w:color w:val="auto"/>
          <w:sz w:val="24"/>
          <w:szCs w:val="24"/>
          <w:lang w:eastAsia="zh-CN"/>
        </w:rPr>
        <w:t>为沟谷型泥石流，N1、N2支沟流域形态在平面上呈“树叶”型。</w:t>
      </w:r>
      <w:r>
        <w:rPr>
          <w:rFonts w:hint="eastAsia" w:ascii="仿宋" w:hAnsi="仿宋" w:eastAsia="仿宋" w:cs="仿宋"/>
          <w:b w:val="0"/>
          <w:bCs/>
          <w:color w:val="auto"/>
          <w:sz w:val="24"/>
          <w:szCs w:val="24"/>
          <w:lang w:val="en-US" w:eastAsia="zh-CN"/>
        </w:rPr>
        <w:t>防治区泥石流</w:t>
      </w:r>
      <w:r>
        <w:rPr>
          <w:rFonts w:hint="eastAsia" w:ascii="仿宋" w:hAnsi="仿宋" w:eastAsia="仿宋" w:cs="仿宋"/>
          <w:b w:val="0"/>
          <w:bCs/>
          <w:color w:val="auto"/>
          <w:sz w:val="24"/>
          <w:szCs w:val="24"/>
          <w:lang w:eastAsia="zh-CN"/>
        </w:rPr>
        <w:t>按照水体供给划分为暴雨型泥石流、冰川型泥石流，按照土体供给方式</w:t>
      </w:r>
      <w:r>
        <w:rPr>
          <w:rFonts w:hint="eastAsia" w:ascii="仿宋" w:hAnsi="仿宋" w:eastAsia="仿宋" w:cs="仿宋"/>
          <w:b w:val="0"/>
          <w:bCs/>
          <w:color w:val="auto"/>
          <w:sz w:val="24"/>
          <w:szCs w:val="24"/>
          <w:lang w:val="en-US" w:eastAsia="zh-CN"/>
        </w:rPr>
        <w:t>划分</w:t>
      </w:r>
      <w:r>
        <w:rPr>
          <w:rFonts w:hint="eastAsia" w:ascii="仿宋" w:hAnsi="仿宋" w:eastAsia="仿宋" w:cs="仿宋"/>
          <w:b w:val="0"/>
          <w:bCs/>
          <w:color w:val="auto"/>
          <w:sz w:val="24"/>
          <w:szCs w:val="24"/>
          <w:lang w:eastAsia="zh-CN"/>
        </w:rPr>
        <w:t>为沟床冲刷型泥石流，按暴发频率划分为高频泥石流，按物质组成划分为水石型。防治区内两侧山体植被不发育，泥石流沟物源主要来源为沟道的洪积物，沟道两侧坡岸的残坡积物、冰水堆积物及风积物。防治区泥石流水源类型为大气降水形成的洪水，泥石流规模为大型，易发程度为易发。</w:t>
      </w:r>
      <w:r>
        <w:rPr>
          <w:rFonts w:hint="eastAsia" w:ascii="仿宋" w:hAnsi="仿宋" w:eastAsia="仿宋" w:cs="仿宋"/>
          <w:b w:val="0"/>
          <w:bCs/>
          <w:color w:val="auto"/>
          <w:sz w:val="24"/>
          <w:szCs w:val="24"/>
          <w:lang w:val="en-US" w:eastAsia="zh-CN"/>
        </w:rPr>
        <w:t>防治区泥石流灾害</w:t>
      </w:r>
      <w:r>
        <w:rPr>
          <w:rFonts w:hint="eastAsia" w:ascii="仿宋" w:hAnsi="仿宋" w:eastAsia="仿宋" w:cs="仿宋"/>
          <w:b w:val="0"/>
          <w:bCs/>
          <w:color w:val="auto"/>
          <w:sz w:val="24"/>
          <w:szCs w:val="24"/>
          <w:lang w:eastAsia="zh-CN"/>
        </w:rPr>
        <w:t>对沟口位置的阿克塔拉牧场2村居民区及X393县道构成威胁。</w:t>
      </w:r>
    </w:p>
    <w:p>
      <w:pPr>
        <w:keepNext w:val="0"/>
        <w:keepLines w:val="0"/>
        <w:pageBreakBefore w:val="0"/>
        <w:widowControl w:val="0"/>
        <w:numPr>
          <w:ilvl w:val="0"/>
          <w:numId w:val="7"/>
        </w:numPr>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snapToGrid w:val="0"/>
          <w:color w:val="auto"/>
          <w:kern w:val="0"/>
          <w:sz w:val="24"/>
          <w:szCs w:val="24"/>
          <w:lang w:val="en-US" w:eastAsia="zh-CN"/>
        </w:rPr>
        <w:t>崩塌灾害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崩塌灾害分布在防治区斜坡上部，坡度80-90°，坡向241°，分布高程底部为2840-2890米、顶部高程为2882-2915米，边坡长约595米。崩塌规模等级属小型，防治区内崩塌类型属坠落式崩塌。崩塌危岩体崩积物主要位于斜坡坡面及坡脚，岩性主要为碎石、角砾等，崩积物整体处于欠稳定状态。该崩塌段直接威胁坡体下大同乡中心小学和居民生命财产、道路、林木及其他设施。</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防治区地质灾害主要威胁对象包括常住人口124户居民，常住人口393人、村委会、幼儿园、文化广场、羊200只、牦牛150头、县道X393线0.5km、60余间居民房屋、棚圈2处及自来水站1座的设施安全，威胁财产797.5万元。</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37" w:name="_Toc27296"/>
      <w:r>
        <w:rPr>
          <w:rFonts w:hint="eastAsia" w:ascii="仿宋" w:hAnsi="仿宋" w:eastAsia="仿宋" w:cs="仿宋"/>
          <w:b w:val="0"/>
          <w:bCs/>
          <w:color w:val="auto"/>
          <w:sz w:val="24"/>
          <w:szCs w:val="24"/>
        </w:rPr>
        <w:t>六、目标任务</w:t>
      </w:r>
      <w:bookmarkEnd w:id="337"/>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（一）目标</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通过对新疆阿克陶县阿克塔拉牧场2村泥石流、崩塌灾害防治工程的设计与实施，减轻或消除泥石流、崩塌灾害对居民区、村委会、幼儿园、牲畜圈舍等的威胁，保障人民生命和财产安全。</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（二）任务</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kern w:val="0"/>
          <w:sz w:val="24"/>
          <w:szCs w:val="24"/>
          <w:lang w:eastAsia="zh-CN"/>
        </w:rPr>
      </w:pPr>
      <w:r>
        <w:rPr>
          <w:rFonts w:hint="eastAsia" w:ascii="仿宋" w:hAnsi="仿宋" w:eastAsia="仿宋" w:cs="仿宋"/>
          <w:b w:val="0"/>
          <w:bCs/>
          <w:color w:val="auto"/>
          <w:kern w:val="0"/>
          <w:sz w:val="24"/>
          <w:szCs w:val="24"/>
        </w:rPr>
        <w:t>1.</w:t>
      </w:r>
      <w:r>
        <w:rPr>
          <w:rFonts w:hint="eastAsia" w:ascii="仿宋" w:hAnsi="仿宋" w:eastAsia="仿宋" w:cs="仿宋"/>
          <w:b w:val="0"/>
          <w:bCs/>
          <w:color w:val="auto"/>
          <w:sz w:val="24"/>
          <w:szCs w:val="24"/>
        </w:rPr>
        <w:t>根据实地踏勘成果和勘查报告</w:t>
      </w:r>
      <w:r>
        <w:rPr>
          <w:rFonts w:hint="eastAsia" w:ascii="仿宋" w:hAnsi="仿宋" w:eastAsia="仿宋" w:cs="仿宋"/>
          <w:b w:val="0"/>
          <w:bCs/>
          <w:color w:val="auto"/>
          <w:kern w:val="0"/>
          <w:sz w:val="24"/>
          <w:szCs w:val="24"/>
        </w:rPr>
        <w:t>以及相关标准规范</w:t>
      </w:r>
      <w:r>
        <w:rPr>
          <w:rFonts w:hint="eastAsia" w:ascii="仿宋" w:hAnsi="仿宋" w:eastAsia="仿宋" w:cs="仿宋"/>
          <w:b w:val="0"/>
          <w:bCs/>
          <w:color w:val="auto"/>
          <w:sz w:val="24"/>
          <w:szCs w:val="24"/>
        </w:rPr>
        <w:t>编制地质灾害防治工程设计和施工组织设计</w:t>
      </w:r>
      <w:r>
        <w:rPr>
          <w:rFonts w:hint="eastAsia" w:ascii="仿宋" w:hAnsi="仿宋" w:eastAsia="仿宋" w:cs="仿宋"/>
          <w:b w:val="0"/>
          <w:bCs/>
          <w:color w:val="auto"/>
          <w:kern w:val="0"/>
          <w:sz w:val="24"/>
          <w:szCs w:val="24"/>
          <w:lang w:eastAsia="zh-CN"/>
        </w:rPr>
        <w:t>。</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2.按照审批通过的防治工程设计，组织地质灾害防治工程施工。</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3.</w:t>
      </w:r>
      <w:r>
        <w:rPr>
          <w:rFonts w:hint="eastAsia" w:ascii="仿宋" w:hAnsi="仿宋" w:eastAsia="仿宋" w:cs="仿宋"/>
          <w:b w:val="0"/>
          <w:bCs/>
          <w:color w:val="auto"/>
          <w:sz w:val="24"/>
          <w:szCs w:val="24"/>
        </w:rPr>
        <w:t>减轻或消除</w:t>
      </w:r>
      <w:r>
        <w:rPr>
          <w:rFonts w:hint="eastAsia" w:ascii="仿宋" w:hAnsi="仿宋" w:eastAsia="仿宋" w:cs="仿宋"/>
          <w:b w:val="0"/>
          <w:bCs/>
          <w:color w:val="auto"/>
          <w:kern w:val="0"/>
          <w:sz w:val="24"/>
          <w:szCs w:val="24"/>
        </w:rPr>
        <w:t>工作区及其周边居民</w:t>
      </w:r>
      <w:r>
        <w:rPr>
          <w:rFonts w:hint="eastAsia" w:ascii="仿宋" w:hAnsi="仿宋" w:eastAsia="仿宋" w:cs="仿宋"/>
          <w:b w:val="0"/>
          <w:bCs/>
          <w:color w:val="auto"/>
          <w:sz w:val="24"/>
          <w:szCs w:val="24"/>
        </w:rPr>
        <w:t>遭受灾害的威胁</w:t>
      </w:r>
      <w:r>
        <w:rPr>
          <w:rFonts w:hint="eastAsia" w:ascii="仿宋" w:hAnsi="仿宋" w:eastAsia="仿宋" w:cs="仿宋"/>
          <w:b w:val="0"/>
          <w:bCs/>
          <w:color w:val="auto"/>
          <w:kern w:val="0"/>
          <w:sz w:val="24"/>
          <w:szCs w:val="24"/>
        </w:rPr>
        <w:t>。</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4.防治工程完成后，制作永久性工程说明碑。</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38" w:name="_Toc2820"/>
      <w:r>
        <w:rPr>
          <w:rFonts w:hint="eastAsia" w:ascii="仿宋" w:hAnsi="仿宋" w:eastAsia="仿宋" w:cs="仿宋"/>
          <w:b w:val="0"/>
          <w:bCs/>
          <w:color w:val="auto"/>
          <w:sz w:val="24"/>
          <w:szCs w:val="24"/>
        </w:rPr>
        <w:t>七、主要技术要求</w:t>
      </w:r>
      <w:bookmarkEnd w:id="338"/>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1.《泥石流防治工程设计规范》（T/CAGHP 021—2018）；</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2.《泥石流防治工程施工技术规范（试行）》（T∕CAGHP 061-2019）；</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3.《崩塌防治工程设计规范（试行）》（T/CAGHP 032-2018）；</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4.《崩塌防治工程施工技术规范（试行）》（T/CAGHP 041-2018）；</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5.《危岩落石柔性防护网工程技术规范（试行）》</w:t>
      </w:r>
      <w:r>
        <w:rPr>
          <w:rFonts w:hint="eastAsia" w:ascii="仿宋" w:hAnsi="仿宋" w:eastAsia="仿宋" w:cs="仿宋"/>
          <w:b w:val="0"/>
          <w:bCs/>
          <w:color w:val="auto"/>
          <w:sz w:val="24"/>
          <w:szCs w:val="24"/>
        </w:rPr>
        <w:t>（T/CAGHP 0</w:t>
      </w:r>
      <w:r>
        <w:rPr>
          <w:rFonts w:hint="eastAsia" w:ascii="仿宋" w:hAnsi="仿宋" w:eastAsia="仿宋" w:cs="仿宋"/>
          <w:b w:val="0"/>
          <w:bCs/>
          <w:color w:val="auto"/>
          <w:sz w:val="24"/>
          <w:szCs w:val="24"/>
          <w:lang w:val="en-US" w:eastAsia="zh-CN"/>
        </w:rPr>
        <w:t>66</w:t>
      </w:r>
      <w:r>
        <w:rPr>
          <w:rFonts w:hint="eastAsia" w:ascii="仿宋" w:hAnsi="仿宋" w:eastAsia="仿宋" w:cs="仿宋"/>
          <w:b w:val="0"/>
          <w:bCs/>
          <w:color w:val="auto"/>
          <w:sz w:val="24"/>
          <w:szCs w:val="24"/>
        </w:rPr>
        <w:t>-201</w:t>
      </w:r>
      <w:r>
        <w:rPr>
          <w:rFonts w:hint="eastAsia" w:ascii="仿宋" w:hAnsi="仿宋" w:eastAsia="仿宋" w:cs="仿宋"/>
          <w:b w:val="0"/>
          <w:bCs/>
          <w:color w:val="auto"/>
          <w:sz w:val="24"/>
          <w:szCs w:val="24"/>
          <w:lang w:val="en-US" w:eastAsia="zh-CN"/>
        </w:rPr>
        <w:t>9</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rPr>
        <w:t>.《砌体结构设计规范》（GB50003-2011）；</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7</w:t>
      </w:r>
      <w:r>
        <w:rPr>
          <w:rFonts w:hint="eastAsia" w:ascii="仿宋" w:hAnsi="仿宋" w:eastAsia="仿宋" w:cs="仿宋"/>
          <w:b w:val="0"/>
          <w:bCs/>
          <w:color w:val="auto"/>
          <w:sz w:val="24"/>
          <w:szCs w:val="24"/>
        </w:rPr>
        <w:t>.《混凝土结构设计规范》（GB50010-2010）；</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8</w:t>
      </w:r>
      <w:r>
        <w:rPr>
          <w:rFonts w:hint="eastAsia" w:ascii="仿宋" w:hAnsi="仿宋" w:eastAsia="仿宋" w:cs="仿宋"/>
          <w:b w:val="0"/>
          <w:bCs/>
          <w:color w:val="auto"/>
          <w:sz w:val="24"/>
          <w:szCs w:val="24"/>
        </w:rPr>
        <w:t>.《建筑地基基础设计规范》（GB50007-2011）；</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9</w:t>
      </w:r>
      <w:r>
        <w:rPr>
          <w:rFonts w:hint="eastAsia" w:ascii="仿宋" w:hAnsi="仿宋" w:eastAsia="仿宋" w:cs="仿宋"/>
          <w:b w:val="0"/>
          <w:bCs/>
          <w:color w:val="auto"/>
          <w:sz w:val="24"/>
          <w:szCs w:val="24"/>
        </w:rPr>
        <w:t>.《建筑边坡工程技术规范》（GB50330-2013）；</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10</w:t>
      </w:r>
      <w:r>
        <w:rPr>
          <w:rFonts w:hint="eastAsia" w:ascii="仿宋" w:hAnsi="仿宋" w:eastAsia="仿宋" w:cs="仿宋"/>
          <w:b w:val="0"/>
          <w:bCs/>
          <w:color w:val="auto"/>
          <w:sz w:val="24"/>
          <w:szCs w:val="24"/>
        </w:rPr>
        <w:t>.《工程测量标准》（GB50026-2020）；</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11</w:t>
      </w:r>
      <w:r>
        <w:rPr>
          <w:rFonts w:hint="eastAsia" w:ascii="仿宋" w:hAnsi="仿宋" w:eastAsia="仿宋" w:cs="仿宋"/>
          <w:b w:val="0"/>
          <w:bCs/>
          <w:color w:val="auto"/>
          <w:sz w:val="24"/>
          <w:szCs w:val="24"/>
        </w:rPr>
        <w:t>.《全球定位系统（GPS）测量规范》（GB/T18314-2009）；</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12</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《岩土工程勘察规范（2009年版）》（GB50021-2001）；</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13</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《建筑抗震设计规范（2016年版）》（GB50011-2010）；</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其</w:t>
      </w:r>
      <w:r>
        <w:rPr>
          <w:rFonts w:hint="eastAsia" w:ascii="仿宋" w:hAnsi="仿宋" w:eastAsia="仿宋" w:cs="仿宋"/>
          <w:b w:val="0"/>
          <w:bCs/>
          <w:color w:val="auto"/>
          <w:sz w:val="24"/>
          <w:szCs w:val="24"/>
          <w:lang w:val="en-US" w:eastAsia="zh-CN"/>
        </w:rPr>
        <w:t>它</w:t>
      </w:r>
      <w:r>
        <w:rPr>
          <w:rFonts w:hint="eastAsia" w:ascii="仿宋" w:hAnsi="仿宋" w:eastAsia="仿宋" w:cs="仿宋"/>
          <w:b w:val="0"/>
          <w:bCs/>
          <w:color w:val="auto"/>
          <w:sz w:val="24"/>
          <w:szCs w:val="24"/>
        </w:rPr>
        <w:t>有关规范、规程和技术要求。</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rPr>
        <w:t>同时满足招标文件、设计书及其审批意见书和有关规定的要求。</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39" w:name="_Toc24893"/>
      <w:r>
        <w:rPr>
          <w:rFonts w:hint="eastAsia" w:ascii="仿宋" w:hAnsi="仿宋" w:eastAsia="仿宋" w:cs="仿宋"/>
          <w:b w:val="0"/>
          <w:bCs/>
          <w:color w:val="auto"/>
          <w:sz w:val="24"/>
          <w:szCs w:val="24"/>
        </w:rPr>
        <w:t>八、主要实物工作量</w:t>
      </w:r>
      <w:bookmarkEnd w:id="339"/>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rPr>
        <w:t>根据本项目的目标和任务，结合防治区</w:t>
      </w:r>
      <w:r>
        <w:rPr>
          <w:rFonts w:hint="eastAsia" w:ascii="仿宋" w:hAnsi="仿宋" w:eastAsia="仿宋" w:cs="仿宋"/>
          <w:b w:val="0"/>
          <w:bCs/>
          <w:color w:val="auto"/>
          <w:kern w:val="0"/>
          <w:sz w:val="24"/>
          <w:szCs w:val="24"/>
          <w:lang w:val="en-US" w:eastAsia="zh-CN"/>
        </w:rPr>
        <w:t>泥石流</w:t>
      </w:r>
      <w:r>
        <w:rPr>
          <w:rFonts w:hint="eastAsia" w:ascii="仿宋" w:hAnsi="仿宋" w:eastAsia="仿宋" w:cs="仿宋"/>
          <w:b w:val="0"/>
          <w:bCs/>
          <w:color w:val="auto"/>
          <w:kern w:val="0"/>
          <w:sz w:val="24"/>
          <w:szCs w:val="24"/>
        </w:rPr>
        <w:t>灾害特征和环境现状，以基本消除或减轻地质灾害对当地居民的威胁为目的，本次</w:t>
      </w:r>
      <w:r>
        <w:rPr>
          <w:rFonts w:hint="eastAsia" w:ascii="仿宋" w:hAnsi="仿宋" w:eastAsia="仿宋" w:cs="仿宋"/>
          <w:b w:val="0"/>
          <w:bCs/>
          <w:color w:val="auto"/>
          <w:kern w:val="0"/>
          <w:sz w:val="24"/>
          <w:szCs w:val="24"/>
          <w:lang w:val="en-US" w:eastAsia="zh-CN"/>
        </w:rPr>
        <w:t>地质</w:t>
      </w:r>
      <w:r>
        <w:rPr>
          <w:rFonts w:hint="eastAsia" w:ascii="仿宋" w:hAnsi="仿宋" w:eastAsia="仿宋" w:cs="仿宋"/>
          <w:b w:val="0"/>
          <w:bCs/>
          <w:color w:val="auto"/>
          <w:kern w:val="0"/>
          <w:sz w:val="24"/>
          <w:szCs w:val="24"/>
        </w:rPr>
        <w:t>灾害防治工程</w:t>
      </w:r>
      <w:r>
        <w:rPr>
          <w:rFonts w:hint="eastAsia" w:ascii="仿宋" w:hAnsi="仿宋" w:eastAsia="仿宋" w:cs="仿宋"/>
          <w:b w:val="0"/>
          <w:bCs/>
          <w:color w:val="auto"/>
          <w:kern w:val="0"/>
          <w:sz w:val="24"/>
          <w:szCs w:val="24"/>
          <w:lang w:val="en-US" w:eastAsia="zh-CN"/>
        </w:rPr>
        <w:t>可以采用拦挡排、危岩清理、主被动防护网</w:t>
      </w:r>
      <w:r>
        <w:rPr>
          <w:rFonts w:hint="eastAsia" w:ascii="仿宋" w:hAnsi="仿宋" w:eastAsia="仿宋" w:cs="仿宋"/>
          <w:b w:val="0"/>
          <w:bCs/>
          <w:color w:val="auto"/>
          <w:kern w:val="0"/>
          <w:sz w:val="24"/>
          <w:szCs w:val="24"/>
        </w:rPr>
        <w:t>等措施。</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投标单位在现场踏勘后提出投标设计方案。</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u w:val="single"/>
        </w:rPr>
      </w:pPr>
      <w:r>
        <w:rPr>
          <w:rFonts w:hint="eastAsia" w:ascii="仿宋" w:hAnsi="仿宋" w:eastAsia="仿宋" w:cs="仿宋"/>
          <w:b w:val="0"/>
          <w:bCs/>
          <w:color w:val="auto"/>
          <w:sz w:val="24"/>
          <w:szCs w:val="24"/>
          <w:u w:val="single"/>
        </w:rPr>
        <w:t>最终设计方案及工作量以审批后的防治工程项目设计书为准。</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40" w:name="_Toc21205"/>
      <w:r>
        <w:rPr>
          <w:rFonts w:hint="eastAsia" w:ascii="仿宋" w:hAnsi="仿宋" w:eastAsia="仿宋" w:cs="仿宋"/>
          <w:b w:val="0"/>
          <w:bCs/>
          <w:color w:val="auto"/>
          <w:sz w:val="24"/>
          <w:szCs w:val="24"/>
        </w:rPr>
        <w:t>九、预期提交成果</w:t>
      </w:r>
      <w:bookmarkEnd w:id="340"/>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（一）防治工程设计成果</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1.</w:t>
      </w:r>
      <w:r>
        <w:rPr>
          <w:rFonts w:hint="eastAsia" w:ascii="仿宋" w:hAnsi="仿宋" w:eastAsia="仿宋" w:cs="仿宋"/>
          <w:b w:val="0"/>
          <w:bCs/>
          <w:color w:val="auto"/>
          <w:kern w:val="0"/>
          <w:sz w:val="24"/>
          <w:szCs w:val="24"/>
          <w:lang w:eastAsia="zh-CN"/>
        </w:rPr>
        <w:t>新疆阿克陶县阿克塔拉牧场2村泥石流防治工程</w:t>
      </w:r>
      <w:r>
        <w:rPr>
          <w:rFonts w:hint="eastAsia" w:ascii="仿宋" w:hAnsi="仿宋" w:eastAsia="仿宋" w:cs="仿宋"/>
          <w:b w:val="0"/>
          <w:bCs/>
          <w:color w:val="auto"/>
          <w:kern w:val="0"/>
          <w:sz w:val="24"/>
          <w:szCs w:val="24"/>
        </w:rPr>
        <w:t>设计书（施工设计和施工组织设计）；</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kern w:val="0"/>
          <w:sz w:val="24"/>
          <w:szCs w:val="24"/>
          <w:lang w:eastAsia="zh-CN"/>
        </w:rPr>
      </w:pPr>
      <w:r>
        <w:rPr>
          <w:rFonts w:hint="eastAsia" w:ascii="仿宋" w:hAnsi="仿宋" w:eastAsia="仿宋" w:cs="仿宋"/>
          <w:b w:val="0"/>
          <w:bCs/>
          <w:color w:val="auto"/>
          <w:kern w:val="0"/>
          <w:sz w:val="24"/>
          <w:szCs w:val="24"/>
        </w:rPr>
        <w:t>2.</w:t>
      </w:r>
      <w:r>
        <w:rPr>
          <w:rFonts w:hint="eastAsia" w:ascii="仿宋" w:hAnsi="仿宋" w:eastAsia="仿宋" w:cs="仿宋"/>
          <w:b w:val="0"/>
          <w:bCs/>
          <w:color w:val="auto"/>
          <w:kern w:val="0"/>
          <w:sz w:val="24"/>
          <w:szCs w:val="24"/>
          <w:lang w:eastAsia="zh-CN"/>
        </w:rPr>
        <w:t>新疆阿克陶县阿克塔拉牧场2村泥石流防治工程</w:t>
      </w:r>
      <w:r>
        <w:rPr>
          <w:rFonts w:hint="eastAsia" w:ascii="仿宋" w:hAnsi="仿宋" w:eastAsia="仿宋" w:cs="仿宋"/>
          <w:b w:val="0"/>
          <w:bCs/>
          <w:color w:val="auto"/>
          <w:kern w:val="0"/>
          <w:sz w:val="24"/>
          <w:szCs w:val="24"/>
        </w:rPr>
        <w:t>平面</w:t>
      </w:r>
      <w:r>
        <w:rPr>
          <w:rFonts w:hint="eastAsia" w:ascii="仿宋" w:hAnsi="仿宋" w:eastAsia="仿宋" w:cs="仿宋"/>
          <w:b w:val="0"/>
          <w:bCs/>
          <w:color w:val="auto"/>
          <w:kern w:val="0"/>
          <w:sz w:val="24"/>
          <w:szCs w:val="24"/>
          <w:lang w:val="en-US" w:eastAsia="zh-CN"/>
        </w:rPr>
        <w:t>布置</w:t>
      </w:r>
      <w:r>
        <w:rPr>
          <w:rFonts w:hint="eastAsia" w:ascii="仿宋" w:hAnsi="仿宋" w:eastAsia="仿宋" w:cs="仿宋"/>
          <w:b w:val="0"/>
          <w:bCs/>
          <w:color w:val="auto"/>
          <w:kern w:val="0"/>
          <w:sz w:val="24"/>
          <w:szCs w:val="24"/>
        </w:rPr>
        <w:t>图及各单项防治工程设计图</w:t>
      </w:r>
      <w:r>
        <w:rPr>
          <w:rFonts w:hint="eastAsia" w:ascii="仿宋" w:hAnsi="仿宋" w:eastAsia="仿宋" w:cs="仿宋"/>
          <w:b w:val="0"/>
          <w:bCs/>
          <w:color w:val="auto"/>
          <w:kern w:val="0"/>
          <w:sz w:val="24"/>
          <w:szCs w:val="24"/>
          <w:lang w:eastAsia="zh-CN"/>
        </w:rPr>
        <w:t>。</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（二）防治工程施工成果</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防治工程施工</w:t>
      </w:r>
      <w:r>
        <w:rPr>
          <w:rFonts w:hint="eastAsia" w:ascii="仿宋" w:hAnsi="仿宋" w:eastAsia="仿宋" w:cs="仿宋"/>
          <w:b w:val="0"/>
          <w:bCs/>
          <w:color w:val="auto"/>
          <w:sz w:val="24"/>
          <w:szCs w:val="24"/>
        </w:rPr>
        <w:t>成果</w:t>
      </w:r>
      <w:r>
        <w:rPr>
          <w:rFonts w:hint="eastAsia" w:ascii="仿宋" w:hAnsi="仿宋" w:eastAsia="仿宋" w:cs="仿宋"/>
          <w:b w:val="0"/>
          <w:bCs/>
          <w:color w:val="auto"/>
          <w:sz w:val="24"/>
          <w:szCs w:val="24"/>
          <w:lang w:val="en-US" w:eastAsia="zh-CN"/>
        </w:rPr>
        <w:t>和</w:t>
      </w:r>
      <w:r>
        <w:rPr>
          <w:rFonts w:hint="eastAsia" w:ascii="仿宋" w:hAnsi="仿宋" w:eastAsia="仿宋" w:cs="仿宋"/>
          <w:b w:val="0"/>
          <w:bCs/>
          <w:color w:val="auto"/>
          <w:sz w:val="24"/>
          <w:szCs w:val="24"/>
        </w:rPr>
        <w:t>资料汇交应按《新疆维吾尔自治区地质灾害防治项目管理办法（试行）》</w:t>
      </w:r>
      <w:r>
        <w:rPr>
          <w:rFonts w:hint="eastAsia" w:ascii="仿宋" w:hAnsi="仿宋" w:eastAsia="仿宋" w:cs="仿宋"/>
          <w:b w:val="0"/>
          <w:bCs/>
          <w:color w:val="auto"/>
          <w:sz w:val="24"/>
          <w:szCs w:val="24"/>
          <w:lang w:val="en-US" w:eastAsia="zh-CN"/>
        </w:rPr>
        <w:t>及《新疆维吾尔自治区地质灾害防治项目验收细则》</w:t>
      </w:r>
      <w:r>
        <w:rPr>
          <w:rFonts w:hint="eastAsia" w:ascii="仿宋" w:hAnsi="仿宋" w:eastAsia="仿宋" w:cs="仿宋"/>
          <w:b w:val="0"/>
          <w:bCs/>
          <w:color w:val="auto"/>
          <w:sz w:val="24"/>
          <w:szCs w:val="24"/>
        </w:rPr>
        <w:t>要求执行。</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1"/>
        <w:rPr>
          <w:rFonts w:hint="eastAsia" w:ascii="仿宋" w:hAnsi="仿宋" w:eastAsia="仿宋" w:cs="仿宋"/>
          <w:b w:val="0"/>
          <w:bCs/>
          <w:color w:val="auto"/>
          <w:sz w:val="24"/>
          <w:szCs w:val="24"/>
        </w:rPr>
      </w:pPr>
      <w:bookmarkStart w:id="341" w:name="_Toc4593"/>
      <w:r>
        <w:rPr>
          <w:rFonts w:hint="eastAsia" w:ascii="仿宋" w:hAnsi="仿宋" w:eastAsia="仿宋" w:cs="仿宋"/>
          <w:b w:val="0"/>
          <w:bCs/>
          <w:color w:val="auto"/>
          <w:sz w:val="24"/>
          <w:szCs w:val="24"/>
        </w:rPr>
        <w:t>十、工作周期</w:t>
      </w:r>
      <w:bookmarkEnd w:id="341"/>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2023年</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月-202</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lang w:val="en-US" w:eastAsia="zh-CN"/>
        </w:rPr>
        <w:t>9</w:t>
      </w:r>
      <w:r>
        <w:rPr>
          <w:rFonts w:hint="eastAsia" w:ascii="仿宋" w:hAnsi="仿宋" w:eastAsia="仿宋" w:cs="仿宋"/>
          <w:b w:val="0"/>
          <w:bCs/>
          <w:color w:val="auto"/>
          <w:sz w:val="24"/>
          <w:szCs w:val="24"/>
        </w:rPr>
        <w:t>月，2023年8月31日前完成野外竣工验收，2023年11月30日前提交全套竣工资料，2024年8月31日前完成工程复验。</w:t>
      </w:r>
    </w:p>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br w:type="page"/>
      </w:r>
    </w:p>
    <w:p>
      <w:pPr>
        <w:spacing w:line="560" w:lineRule="exact"/>
        <w:jc w:val="both"/>
        <w:outlineLvl w:val="1"/>
        <w:rPr>
          <w:rFonts w:hint="eastAsia" w:ascii="仿宋" w:hAnsi="仿宋" w:eastAsia="仿宋" w:cs="Times New Roman"/>
          <w:b/>
          <w:bCs/>
          <w:color w:val="auto"/>
          <w:sz w:val="32"/>
          <w:szCs w:val="32"/>
        </w:rPr>
      </w:pPr>
      <w:bookmarkStart w:id="342" w:name="_Toc9937"/>
      <w:bookmarkStart w:id="343" w:name="_Toc1766"/>
      <w:r>
        <w:rPr>
          <w:rFonts w:hint="eastAsia" w:ascii="仿宋" w:hAnsi="仿宋" w:eastAsia="仿宋" w:cs="Times New Roman"/>
          <w:b/>
          <w:bCs/>
          <w:color w:val="auto"/>
          <w:sz w:val="32"/>
          <w:szCs w:val="32"/>
        </w:rPr>
        <w:t>标项</w:t>
      </w:r>
      <w:r>
        <w:rPr>
          <w:rFonts w:hint="eastAsia" w:ascii="仿宋" w:hAnsi="仿宋" w:eastAsia="仿宋" w:cs="Times New Roman"/>
          <w:b/>
          <w:bCs/>
          <w:color w:val="auto"/>
          <w:sz w:val="32"/>
          <w:szCs w:val="32"/>
          <w:lang w:val="en-US" w:eastAsia="zh-CN"/>
        </w:rPr>
        <w:t>五</w:t>
      </w:r>
      <w:r>
        <w:rPr>
          <w:rFonts w:hint="eastAsia" w:ascii="仿宋" w:hAnsi="仿宋" w:eastAsia="仿宋" w:cs="Times New Roman"/>
          <w:b/>
          <w:bCs/>
          <w:color w:val="auto"/>
          <w:sz w:val="32"/>
          <w:szCs w:val="32"/>
        </w:rPr>
        <w:t>：新疆克州群专结合监测预警点建设（2023年度）</w:t>
      </w:r>
      <w:bookmarkEnd w:id="342"/>
      <w:bookmarkEnd w:id="343"/>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 w:hAnsi="仿宋" w:eastAsia="仿宋" w:cs="仿宋"/>
          <w:b w:val="0"/>
          <w:bCs w:val="0"/>
          <w:color w:val="auto"/>
          <w:sz w:val="24"/>
          <w:szCs w:val="24"/>
        </w:rPr>
      </w:pPr>
      <w:bookmarkStart w:id="344" w:name="_Toc1886"/>
      <w:r>
        <w:rPr>
          <w:rFonts w:hint="eastAsia" w:ascii="仿宋" w:hAnsi="仿宋" w:eastAsia="仿宋" w:cs="仿宋"/>
          <w:b w:val="0"/>
          <w:bCs w:val="0"/>
          <w:color w:val="auto"/>
          <w:sz w:val="24"/>
          <w:szCs w:val="24"/>
        </w:rPr>
        <w:t>一、项目名称、编号及费用</w:t>
      </w:r>
      <w:bookmarkEnd w:id="344"/>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项目名称：新疆克州群专结合监测预警点建设（2023年度）</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rPr>
        <w:t>项目编号：</w:t>
      </w:r>
      <w:r>
        <w:rPr>
          <w:rStyle w:val="73"/>
          <w:rFonts w:ascii="仿宋" w:hAnsi="仿宋" w:eastAsia="仿宋" w:cs="仿宋"/>
          <w:b w:val="0"/>
          <w:bCs w:val="0"/>
          <w:color w:val="auto"/>
          <w:sz w:val="24"/>
          <w:szCs w:val="24"/>
          <w:lang w:eastAsia="zh-CN"/>
        </w:rPr>
        <w:t>GYZB-KZDZFZ2023</w:t>
      </w:r>
      <w:r>
        <w:rPr>
          <w:rStyle w:val="73"/>
          <w:rFonts w:hint="eastAsia" w:ascii="仿宋" w:hAnsi="仿宋" w:eastAsia="仿宋" w:cs="仿宋"/>
          <w:b w:val="0"/>
          <w:bCs w:val="0"/>
          <w:color w:val="auto"/>
          <w:sz w:val="24"/>
          <w:szCs w:val="24"/>
          <w:lang w:val="en-US" w:eastAsia="zh-CN"/>
        </w:rPr>
        <w:t>-01</w:t>
      </w:r>
      <w:r>
        <w:rPr>
          <w:rStyle w:val="73"/>
          <w:rFonts w:ascii="仿宋" w:hAnsi="仿宋" w:eastAsia="仿宋" w:cs="仿宋"/>
          <w:b w:val="0"/>
          <w:bCs w:val="0"/>
          <w:color w:val="auto"/>
          <w:sz w:val="24"/>
          <w:szCs w:val="24"/>
        </w:rPr>
        <w:t>-0</w:t>
      </w:r>
      <w:r>
        <w:rPr>
          <w:rStyle w:val="73"/>
          <w:rFonts w:hint="eastAsia" w:ascii="仿宋" w:hAnsi="仿宋" w:eastAsia="仿宋" w:cs="仿宋"/>
          <w:b w:val="0"/>
          <w:bCs w:val="0"/>
          <w:color w:val="auto"/>
          <w:sz w:val="24"/>
          <w:szCs w:val="24"/>
          <w:lang w:val="en-US" w:eastAsia="zh-CN"/>
        </w:rPr>
        <w:t>5</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项目费用</w:t>
      </w:r>
      <w:r>
        <w:rPr>
          <w:rFonts w:hint="eastAsia" w:ascii="仿宋" w:hAnsi="仿宋" w:eastAsia="仿宋" w:cs="仿宋"/>
          <w:b w:val="0"/>
          <w:bCs w:val="0"/>
          <w:color w:val="auto"/>
          <w:sz w:val="24"/>
          <w:szCs w:val="24"/>
          <w:lang w:val="en-US" w:eastAsia="zh-CN"/>
        </w:rPr>
        <w:t>人民币</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95</w:t>
      </w:r>
      <w:r>
        <w:rPr>
          <w:rFonts w:hint="eastAsia" w:ascii="仿宋" w:hAnsi="仿宋" w:eastAsia="仿宋" w:cs="仿宋"/>
          <w:b w:val="0"/>
          <w:bCs w:val="0"/>
          <w:color w:val="auto"/>
          <w:sz w:val="24"/>
          <w:szCs w:val="24"/>
        </w:rPr>
        <w:t>万元</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玖拾伍万元整）</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 w:hAnsi="仿宋" w:eastAsia="仿宋" w:cs="仿宋"/>
          <w:b w:val="0"/>
          <w:bCs w:val="0"/>
          <w:color w:val="auto"/>
          <w:sz w:val="24"/>
          <w:szCs w:val="24"/>
        </w:rPr>
      </w:pPr>
      <w:bookmarkStart w:id="345" w:name="_Toc17755"/>
      <w:r>
        <w:rPr>
          <w:rFonts w:hint="eastAsia" w:ascii="仿宋" w:hAnsi="仿宋" w:eastAsia="仿宋" w:cs="仿宋"/>
          <w:b w:val="0"/>
          <w:bCs w:val="0"/>
          <w:color w:val="auto"/>
          <w:sz w:val="24"/>
          <w:szCs w:val="24"/>
        </w:rPr>
        <w:t>二、工作范围</w:t>
      </w:r>
      <w:bookmarkEnd w:id="345"/>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本次地质灾害群专结合监测预警点建设工作区范围（以下简称监测区）涉及克孜勒苏柯尔克孜自治州整个行政区划范围。地理坐标北纬37°41'-41°49'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东经73°26'-78°59'。</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u w:val="single"/>
        </w:rPr>
        <w:t>最终地质灾害监测预警点位置以投标单位现场踏勘并与当地自然资源主管部门充分沟通确定的为准。</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 w:hAnsi="仿宋" w:eastAsia="仿宋" w:cs="仿宋"/>
          <w:b w:val="0"/>
          <w:bCs w:val="0"/>
          <w:color w:val="auto"/>
          <w:sz w:val="24"/>
          <w:szCs w:val="24"/>
        </w:rPr>
      </w:pPr>
      <w:bookmarkStart w:id="346" w:name="_Toc29922"/>
      <w:r>
        <w:rPr>
          <w:rFonts w:hint="eastAsia" w:ascii="仿宋" w:hAnsi="仿宋" w:eastAsia="仿宋" w:cs="仿宋"/>
          <w:b w:val="0"/>
          <w:bCs w:val="0"/>
          <w:color w:val="auto"/>
          <w:sz w:val="24"/>
          <w:szCs w:val="24"/>
        </w:rPr>
        <w:t>三、自然经济地理</w:t>
      </w:r>
      <w:bookmarkEnd w:id="346"/>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（一）交通位置</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克州地区交通比较发达。区内有G3012、G219、G314、G315主要交通干线与各县市连接，还有G3013、G581等国际交通干线与接壤国连通，交通十分便利。大部分可通过县道、乡村道路、简易公路到达灾害点附近，部分牧民夏季牧场和冬季牧场可通过简易道路达到灾害点附近。监测仪器设备安装点位一般分布斜坡地带和沟谷内，大部分汽车无法通行，仅可通过人工步行进行监测设备基础施工、安装调试及运行维护，交通条件较差。</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（二）社会经济概况</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克州辖1个县级市、3个县，即阿图什市、阿克陶县、乌恰县、阿合奇县。共有2个街道、5个镇、32个乡，23个社区、208个村委会，由柯尔克孜族、维吾尔族、汉族、塔吉克族、回族等11个民族组成，是全国唯一以柯尔克孜族为主体民族的自治州，也是一个以农牧业为主的“人口小州、经济穷州、边防大州、战略重州、希望之州”。</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2020年，实现地区生产总值169.24亿元,比上年增长4.1%，其中：第一产业增加值17.98亿元，增长2.5%；第二产业增加值48.79亿元,增长8.9%;第三产业增加值102.47亿元，增长2.4%。三次产业的结构比例为10.6：28.8：60.6，对经济增长的贡献率分别为6.9%、58.2%、34.9%。人均生产总值27282元，增长4.5%。</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 w:hAnsi="仿宋" w:eastAsia="仿宋" w:cs="仿宋"/>
          <w:b w:val="0"/>
          <w:bCs w:val="0"/>
          <w:color w:val="auto"/>
          <w:sz w:val="24"/>
          <w:szCs w:val="24"/>
        </w:rPr>
      </w:pPr>
      <w:bookmarkStart w:id="347" w:name="_Toc29381"/>
      <w:r>
        <w:rPr>
          <w:rFonts w:hint="eastAsia" w:ascii="仿宋" w:hAnsi="仿宋" w:eastAsia="仿宋" w:cs="仿宋"/>
          <w:b w:val="0"/>
          <w:bCs w:val="0"/>
          <w:color w:val="auto"/>
          <w:sz w:val="24"/>
          <w:szCs w:val="24"/>
        </w:rPr>
        <w:t>四、地质环境条件和工作程度</w:t>
      </w:r>
      <w:bookmarkEnd w:id="347"/>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（一）地形地貌</w:t>
      </w:r>
    </w:p>
    <w:p>
      <w:pPr>
        <w:keepNext w:val="0"/>
        <w:keepLines w:val="0"/>
        <w:pageBreakBefore w:val="0"/>
        <w:widowControl w:val="0"/>
        <w:kinsoku/>
        <w:wordWrap/>
        <w:overflowPunct/>
        <w:topLinePunct w:val="0"/>
        <w:autoSpaceDE/>
        <w:autoSpaceDN/>
        <w:bidi w:val="0"/>
        <w:spacing w:line="540" w:lineRule="exact"/>
        <w:ind w:firstLine="56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克孜勒苏柯尔克孜自治州主要地貌类型有：山地、河谷、盆地、平原、沙漠、戈壁、冰川等。该州地处年轻的帕米尔高原上，帕米尔高原寒武纪时期隆起，华里西时期断裂，并发生剧烈升降，形成拗陷和褶皱。地质结构复杂，主要为新生界第四系地层。自治州境内多山，山地占全州总面积的90%以上。境内群山起伏，高峰林立，山顶常年戴雪，积雪厚度达百米以上；山间分布着条条冰川，并有冰洞、冰舌、冰斗、冰湖等分布。</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（二）地层岩性</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监测区</w:t>
      </w:r>
      <w:r>
        <w:rPr>
          <w:rFonts w:hint="eastAsia" w:ascii="仿宋" w:hAnsi="仿宋" w:eastAsia="仿宋" w:cs="仿宋"/>
          <w:b w:val="0"/>
          <w:bCs w:val="0"/>
          <w:color w:val="auto"/>
          <w:kern w:val="0"/>
          <w:sz w:val="24"/>
          <w:szCs w:val="24"/>
        </w:rPr>
        <w:t>出露地层出露较齐全，有古生界寒武系</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zh-TW" w:eastAsia="zh-TW" w:bidi="zh-TW"/>
        </w:rPr>
        <w:t>奥陶系</w:t>
      </w:r>
      <w:r>
        <w:rPr>
          <w:rFonts w:hint="eastAsia" w:ascii="仿宋" w:hAnsi="仿宋" w:eastAsia="仿宋" w:cs="仿宋"/>
          <w:b w:val="0"/>
          <w:bCs w:val="0"/>
          <w:color w:val="auto"/>
          <w:kern w:val="0"/>
          <w:sz w:val="24"/>
          <w:szCs w:val="24"/>
          <w:lang w:val="zh-TW" w:eastAsia="zh-CN" w:bidi="zh-TW"/>
        </w:rPr>
        <w:t>、</w:t>
      </w:r>
      <w:r>
        <w:rPr>
          <w:rFonts w:hint="eastAsia" w:ascii="仿宋" w:hAnsi="仿宋" w:eastAsia="仿宋" w:cs="仿宋"/>
          <w:b w:val="0"/>
          <w:bCs w:val="0"/>
          <w:color w:val="auto"/>
          <w:kern w:val="0"/>
          <w:sz w:val="24"/>
          <w:szCs w:val="24"/>
          <w:lang w:val="en-US" w:eastAsia="zh-CN" w:bidi="zh-TW"/>
        </w:rPr>
        <w:t>志留系、</w:t>
      </w:r>
      <w:r>
        <w:rPr>
          <w:rFonts w:hint="eastAsia" w:ascii="仿宋" w:hAnsi="仿宋" w:eastAsia="仿宋" w:cs="仿宋"/>
          <w:b w:val="0"/>
          <w:bCs w:val="0"/>
          <w:color w:val="auto"/>
          <w:kern w:val="0"/>
          <w:sz w:val="24"/>
          <w:szCs w:val="24"/>
          <w:lang w:val="zh-TW" w:eastAsia="zh-TW" w:bidi="zh-TW"/>
        </w:rPr>
        <w:t>泥盆系</w:t>
      </w:r>
      <w:r>
        <w:rPr>
          <w:rFonts w:hint="eastAsia" w:ascii="仿宋" w:hAnsi="仿宋" w:eastAsia="仿宋" w:cs="仿宋"/>
          <w:b w:val="0"/>
          <w:bCs w:val="0"/>
          <w:color w:val="auto"/>
          <w:kern w:val="0"/>
          <w:sz w:val="24"/>
          <w:szCs w:val="24"/>
          <w:lang w:val="zh-TW" w:eastAsia="zh-CN" w:bidi="zh-TW"/>
        </w:rPr>
        <w:t>、</w:t>
      </w:r>
      <w:r>
        <w:rPr>
          <w:rFonts w:hint="eastAsia" w:ascii="仿宋" w:hAnsi="仿宋" w:eastAsia="仿宋" w:cs="仿宋"/>
          <w:b w:val="0"/>
          <w:bCs w:val="0"/>
          <w:color w:val="auto"/>
          <w:kern w:val="0"/>
          <w:sz w:val="24"/>
          <w:szCs w:val="24"/>
          <w:lang w:val="zh-TW" w:eastAsia="zh-TW" w:bidi="zh-TW"/>
        </w:rPr>
        <w:t>石炭系</w:t>
      </w:r>
      <w:r>
        <w:rPr>
          <w:rFonts w:hint="eastAsia" w:ascii="仿宋" w:hAnsi="仿宋" w:eastAsia="仿宋" w:cs="仿宋"/>
          <w:b w:val="0"/>
          <w:bCs w:val="0"/>
          <w:color w:val="auto"/>
          <w:kern w:val="0"/>
          <w:sz w:val="24"/>
          <w:szCs w:val="24"/>
          <w:lang w:val="zh-TW" w:eastAsia="zh-CN" w:bidi="zh-TW"/>
        </w:rPr>
        <w:t>、</w:t>
      </w:r>
      <w:r>
        <w:rPr>
          <w:rFonts w:hint="eastAsia" w:ascii="仿宋" w:hAnsi="仿宋" w:eastAsia="仿宋" w:cs="仿宋"/>
          <w:b w:val="0"/>
          <w:bCs w:val="0"/>
          <w:color w:val="auto"/>
          <w:kern w:val="0"/>
          <w:sz w:val="24"/>
          <w:szCs w:val="24"/>
          <w:lang w:val="zh-TW" w:eastAsia="zh-TW" w:bidi="zh-TW"/>
        </w:rPr>
        <w:t>二叠系</w:t>
      </w:r>
      <w:r>
        <w:rPr>
          <w:rFonts w:hint="eastAsia" w:ascii="仿宋" w:hAnsi="仿宋" w:eastAsia="仿宋" w:cs="仿宋"/>
          <w:b w:val="0"/>
          <w:bCs w:val="0"/>
          <w:color w:val="auto"/>
          <w:kern w:val="0"/>
          <w:sz w:val="24"/>
          <w:szCs w:val="24"/>
          <w:lang w:val="zh-TW" w:eastAsia="zh-CN" w:bidi="zh-TW"/>
        </w:rPr>
        <w:t>、</w:t>
      </w:r>
      <w:r>
        <w:rPr>
          <w:rFonts w:hint="eastAsia" w:ascii="仿宋" w:hAnsi="仿宋" w:eastAsia="仿宋" w:cs="仿宋"/>
          <w:b w:val="0"/>
          <w:bCs w:val="0"/>
          <w:color w:val="auto"/>
          <w:kern w:val="0"/>
          <w:sz w:val="24"/>
          <w:szCs w:val="24"/>
          <w:lang w:val="en-US" w:eastAsia="zh-CN" w:bidi="zh-TW"/>
        </w:rPr>
        <w:t>三</w:t>
      </w:r>
      <w:r>
        <w:rPr>
          <w:rFonts w:hint="eastAsia" w:ascii="仿宋" w:hAnsi="仿宋" w:eastAsia="仿宋" w:cs="仿宋"/>
          <w:b w:val="0"/>
          <w:bCs w:val="0"/>
          <w:color w:val="auto"/>
          <w:kern w:val="0"/>
          <w:sz w:val="24"/>
          <w:szCs w:val="24"/>
          <w:lang w:val="zh-TW" w:eastAsia="zh-TW" w:bidi="zh-TW"/>
        </w:rPr>
        <w:t>叠系</w:t>
      </w:r>
      <w:r>
        <w:rPr>
          <w:rFonts w:hint="eastAsia" w:ascii="仿宋" w:hAnsi="仿宋" w:eastAsia="仿宋" w:cs="仿宋"/>
          <w:b w:val="0"/>
          <w:bCs w:val="0"/>
          <w:color w:val="auto"/>
          <w:kern w:val="0"/>
          <w:sz w:val="24"/>
          <w:szCs w:val="24"/>
          <w:lang w:val="zh-TW" w:eastAsia="zh-CN" w:bidi="zh-TW"/>
        </w:rPr>
        <w:t>、</w:t>
      </w:r>
      <w:r>
        <w:rPr>
          <w:rFonts w:hint="eastAsia" w:ascii="仿宋" w:hAnsi="仿宋" w:eastAsia="仿宋" w:cs="仿宋"/>
          <w:b w:val="0"/>
          <w:bCs w:val="0"/>
          <w:color w:val="auto"/>
          <w:sz w:val="24"/>
          <w:szCs w:val="24"/>
        </w:rPr>
        <w:t>侏罗系</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lang w:val="zh-TW" w:eastAsia="zh-TW" w:bidi="zh-TW"/>
        </w:rPr>
        <w:t>白垩系</w:t>
      </w:r>
      <w:r>
        <w:rPr>
          <w:rFonts w:hint="eastAsia" w:ascii="仿宋" w:hAnsi="仿宋" w:eastAsia="仿宋" w:cs="仿宋"/>
          <w:b w:val="0"/>
          <w:bCs w:val="0"/>
          <w:color w:val="auto"/>
          <w:kern w:val="0"/>
          <w:sz w:val="24"/>
          <w:szCs w:val="24"/>
          <w:lang w:val="zh-TW" w:eastAsia="zh-CN" w:bidi="zh-TW"/>
        </w:rPr>
        <w:t>、</w:t>
      </w:r>
      <w:r>
        <w:rPr>
          <w:rFonts w:hint="eastAsia" w:ascii="仿宋" w:hAnsi="仿宋" w:eastAsia="仿宋" w:cs="仿宋"/>
          <w:b w:val="0"/>
          <w:bCs w:val="0"/>
          <w:color w:val="auto"/>
          <w:kern w:val="0"/>
          <w:sz w:val="24"/>
          <w:szCs w:val="24"/>
          <w:lang w:val="zh-TW" w:eastAsia="zh-TW" w:bidi="zh-TW"/>
        </w:rPr>
        <w:t>古近系</w:t>
      </w:r>
      <w:r>
        <w:rPr>
          <w:rFonts w:hint="eastAsia" w:ascii="仿宋" w:hAnsi="仿宋" w:eastAsia="仿宋" w:cs="仿宋"/>
          <w:b w:val="0"/>
          <w:bCs w:val="0"/>
          <w:color w:val="auto"/>
          <w:kern w:val="0"/>
          <w:sz w:val="24"/>
          <w:szCs w:val="24"/>
          <w:lang w:val="zh-TW" w:eastAsia="zh-CN" w:bidi="zh-TW"/>
        </w:rPr>
        <w:t>、</w:t>
      </w:r>
      <w:r>
        <w:rPr>
          <w:rFonts w:hint="eastAsia" w:ascii="仿宋" w:hAnsi="仿宋" w:eastAsia="仿宋" w:cs="仿宋"/>
          <w:b w:val="0"/>
          <w:bCs w:val="0"/>
          <w:color w:val="auto"/>
          <w:kern w:val="0"/>
          <w:sz w:val="24"/>
          <w:szCs w:val="24"/>
          <w:lang w:val="zh-TW" w:eastAsia="zh-TW" w:bidi="zh-TW"/>
        </w:rPr>
        <w:t>新近系</w:t>
      </w:r>
      <w:r>
        <w:rPr>
          <w:rFonts w:hint="eastAsia" w:ascii="仿宋" w:hAnsi="仿宋" w:eastAsia="仿宋" w:cs="仿宋"/>
          <w:b w:val="0"/>
          <w:bCs w:val="0"/>
          <w:color w:val="auto"/>
          <w:kern w:val="0"/>
          <w:sz w:val="24"/>
          <w:szCs w:val="24"/>
          <w:lang w:val="zh-TW" w:eastAsia="zh-CN" w:bidi="zh-TW"/>
        </w:rPr>
        <w:t>、</w:t>
      </w:r>
      <w:r>
        <w:rPr>
          <w:rFonts w:hint="eastAsia" w:ascii="仿宋" w:hAnsi="仿宋" w:eastAsia="仿宋" w:cs="仿宋"/>
          <w:b w:val="0"/>
          <w:bCs w:val="0"/>
          <w:color w:val="auto"/>
          <w:kern w:val="0"/>
          <w:sz w:val="24"/>
          <w:szCs w:val="24"/>
          <w:lang w:val="zh-TW" w:eastAsia="zh-TW" w:bidi="zh-TW"/>
        </w:rPr>
        <w:t>第四系</w:t>
      </w:r>
      <w:r>
        <w:rPr>
          <w:rFonts w:hint="eastAsia" w:ascii="仿宋" w:hAnsi="仿宋" w:eastAsia="仿宋" w:cs="仿宋"/>
          <w:b w:val="0"/>
          <w:bCs w:val="0"/>
          <w:color w:val="auto"/>
          <w:kern w:val="0"/>
          <w:sz w:val="24"/>
          <w:szCs w:val="24"/>
          <w:lang w:val="en-US" w:eastAsia="zh-CN" w:bidi="zh-TW"/>
        </w:rPr>
        <w:t>等</w:t>
      </w:r>
      <w:r>
        <w:rPr>
          <w:rFonts w:hint="eastAsia" w:ascii="仿宋" w:hAnsi="仿宋" w:eastAsia="仿宋" w:cs="仿宋"/>
          <w:b w:val="0"/>
          <w:bCs w:val="0"/>
          <w:color w:val="auto"/>
          <w:kern w:val="0"/>
          <w:sz w:val="24"/>
          <w:szCs w:val="24"/>
        </w:rPr>
        <w:t>。</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（三）水文地质条件</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地下水的赋存条件和含水岩组性质，将克州地下水类型划分为基岩裂隙水、碳酸盐岩类溶洞裂隙水、碎屑岩类孔隙裂隙水和松散岩类孔隙水。</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 w:hAnsi="仿宋" w:eastAsia="仿宋" w:cs="仿宋"/>
          <w:b w:val="0"/>
          <w:bCs w:val="0"/>
          <w:color w:val="auto"/>
          <w:sz w:val="24"/>
          <w:szCs w:val="24"/>
        </w:rPr>
      </w:pPr>
      <w:bookmarkStart w:id="348" w:name="_Toc14565"/>
      <w:r>
        <w:rPr>
          <w:rFonts w:hint="eastAsia" w:ascii="仿宋" w:hAnsi="仿宋" w:eastAsia="仿宋" w:cs="仿宋"/>
          <w:b w:val="0"/>
          <w:bCs w:val="0"/>
          <w:color w:val="auto"/>
          <w:sz w:val="24"/>
          <w:szCs w:val="24"/>
        </w:rPr>
        <w:t>五、主要地质灾害</w:t>
      </w:r>
      <w:bookmarkEnd w:id="348"/>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val="zh-TW" w:eastAsia="zh-TW" w:bidi="zh-TW"/>
        </w:rPr>
        <w:t>受地形地貌、地质构造、气象、水文、地表水与地下水、岩（土）体工程地质特征以及人类工程活动的影响，</w:t>
      </w:r>
      <w:r>
        <w:rPr>
          <w:rFonts w:hint="eastAsia" w:ascii="仿宋" w:hAnsi="仿宋" w:eastAsia="仿宋" w:cs="仿宋"/>
          <w:b w:val="0"/>
          <w:bCs w:val="0"/>
          <w:color w:val="auto"/>
          <w:kern w:val="0"/>
          <w:sz w:val="24"/>
          <w:szCs w:val="24"/>
          <w:lang w:val="zh-TW" w:bidi="zh-TW"/>
        </w:rPr>
        <w:t>克州地区</w:t>
      </w:r>
      <w:r>
        <w:rPr>
          <w:rFonts w:hint="eastAsia" w:ascii="仿宋" w:hAnsi="仿宋" w:eastAsia="仿宋" w:cs="仿宋"/>
          <w:b w:val="0"/>
          <w:bCs w:val="0"/>
          <w:color w:val="auto"/>
          <w:kern w:val="0"/>
          <w:sz w:val="24"/>
          <w:szCs w:val="24"/>
          <w:lang w:val="zh-TW" w:eastAsia="zh-TW" w:bidi="zh-TW"/>
        </w:rPr>
        <w:t>地质灾害较为发育。通过各县市</w:t>
      </w:r>
      <w:r>
        <w:rPr>
          <w:rFonts w:hint="eastAsia" w:ascii="仿宋" w:hAnsi="仿宋" w:eastAsia="仿宋" w:cs="仿宋"/>
          <w:b w:val="0"/>
          <w:bCs w:val="0"/>
          <w:color w:val="auto"/>
          <w:kern w:val="0"/>
          <w:sz w:val="24"/>
          <w:szCs w:val="24"/>
          <w:lang w:val="zh-TW" w:bidi="zh-TW"/>
        </w:rPr>
        <w:t>地质灾害点</w:t>
      </w:r>
      <w:r>
        <w:rPr>
          <w:rFonts w:hint="eastAsia" w:ascii="仿宋" w:hAnsi="仿宋" w:eastAsia="仿宋" w:cs="仿宋"/>
          <w:b w:val="0"/>
          <w:bCs w:val="0"/>
          <w:color w:val="auto"/>
          <w:kern w:val="0"/>
          <w:sz w:val="24"/>
          <w:szCs w:val="24"/>
          <w:lang w:val="zh-TW" w:eastAsia="zh-TW" w:bidi="zh-TW"/>
        </w:rPr>
        <w:t>统计汇总，</w:t>
      </w:r>
      <w:bookmarkStart w:id="349" w:name="_Hlk89687625"/>
      <w:r>
        <w:rPr>
          <w:rFonts w:hint="eastAsia" w:ascii="仿宋" w:hAnsi="仿宋" w:eastAsia="仿宋" w:cs="仿宋"/>
          <w:b w:val="0"/>
          <w:bCs w:val="0"/>
          <w:color w:val="auto"/>
          <w:kern w:val="0"/>
          <w:sz w:val="24"/>
          <w:szCs w:val="24"/>
          <w:lang w:val="zh-TW" w:bidi="zh-TW"/>
        </w:rPr>
        <w:t>克州地区</w:t>
      </w:r>
      <w:r>
        <w:rPr>
          <w:rFonts w:hint="eastAsia" w:ascii="仿宋" w:hAnsi="仿宋" w:eastAsia="仿宋" w:cs="仿宋"/>
          <w:b w:val="0"/>
          <w:bCs w:val="0"/>
          <w:color w:val="auto"/>
          <w:kern w:val="0"/>
          <w:sz w:val="24"/>
          <w:szCs w:val="24"/>
          <w:lang w:val="zh-TW" w:eastAsia="zh-TW" w:bidi="zh-TW"/>
        </w:rPr>
        <w:t>共发育各类地质灾害点1238个</w:t>
      </w:r>
      <w:bookmarkEnd w:id="349"/>
      <w:r>
        <w:rPr>
          <w:rFonts w:hint="eastAsia" w:ascii="仿宋" w:hAnsi="仿宋" w:eastAsia="仿宋" w:cs="仿宋"/>
          <w:b w:val="0"/>
          <w:bCs w:val="0"/>
          <w:color w:val="auto"/>
          <w:kern w:val="0"/>
          <w:sz w:val="24"/>
          <w:szCs w:val="24"/>
          <w:lang w:val="zh-TW" w:eastAsia="zh-TW" w:bidi="zh-TW"/>
        </w:rPr>
        <w:t>，其中崩塌691处，占比55.7%，泥石流524处，占比42.2%，滑坡23处，占比1.8%</w:t>
      </w:r>
      <w:r>
        <w:rPr>
          <w:rFonts w:hint="eastAsia" w:ascii="仿宋" w:hAnsi="仿宋" w:eastAsia="仿宋" w:cs="仿宋"/>
          <w:b w:val="0"/>
          <w:bCs w:val="0"/>
          <w:color w:val="auto"/>
          <w:kern w:val="0"/>
          <w:sz w:val="24"/>
          <w:szCs w:val="24"/>
          <w:lang w:val="zh-TW" w:eastAsia="zh-CN" w:bidi="zh-TW"/>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 w:hAnsi="仿宋" w:eastAsia="仿宋" w:cs="仿宋"/>
          <w:b w:val="0"/>
          <w:bCs w:val="0"/>
          <w:color w:val="auto"/>
          <w:sz w:val="24"/>
          <w:szCs w:val="24"/>
        </w:rPr>
      </w:pPr>
      <w:bookmarkStart w:id="350" w:name="_Toc14234"/>
      <w:r>
        <w:rPr>
          <w:rFonts w:hint="eastAsia" w:ascii="仿宋" w:hAnsi="仿宋" w:eastAsia="仿宋" w:cs="仿宋"/>
          <w:b w:val="0"/>
          <w:bCs w:val="0"/>
          <w:color w:val="auto"/>
          <w:sz w:val="24"/>
          <w:szCs w:val="24"/>
        </w:rPr>
        <w:t>六、目标任务</w:t>
      </w:r>
      <w:bookmarkEnd w:id="350"/>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（一）目标</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通过在</w:t>
      </w:r>
      <w:r>
        <w:rPr>
          <w:rFonts w:hint="eastAsia" w:ascii="仿宋" w:hAnsi="仿宋" w:eastAsia="仿宋" w:cs="仿宋"/>
          <w:b w:val="0"/>
          <w:bCs w:val="0"/>
          <w:color w:val="auto"/>
          <w:kern w:val="0"/>
          <w:sz w:val="24"/>
          <w:szCs w:val="24"/>
          <w:lang w:val="en-US" w:eastAsia="zh-CN"/>
        </w:rPr>
        <w:t>克州</w:t>
      </w:r>
      <w:r>
        <w:rPr>
          <w:rFonts w:hint="eastAsia" w:ascii="仿宋" w:hAnsi="仿宋" w:eastAsia="仿宋" w:cs="仿宋"/>
          <w:b w:val="0"/>
          <w:bCs w:val="0"/>
          <w:color w:val="auto"/>
          <w:kern w:val="0"/>
          <w:sz w:val="24"/>
          <w:szCs w:val="24"/>
        </w:rPr>
        <w:t>选取</w:t>
      </w:r>
      <w:r>
        <w:rPr>
          <w:rFonts w:hint="eastAsia" w:ascii="仿宋" w:hAnsi="仿宋" w:eastAsia="仿宋" w:cs="仿宋"/>
          <w:b w:val="0"/>
          <w:bCs w:val="0"/>
          <w:color w:val="auto"/>
          <w:kern w:val="0"/>
          <w:sz w:val="24"/>
          <w:szCs w:val="24"/>
          <w:lang w:val="en-US" w:eastAsia="zh-CN"/>
        </w:rPr>
        <w:t>10</w:t>
      </w:r>
      <w:r>
        <w:rPr>
          <w:rFonts w:hint="eastAsia" w:ascii="仿宋" w:hAnsi="仿宋" w:eastAsia="仿宋" w:cs="仿宋"/>
          <w:b w:val="0"/>
          <w:bCs w:val="0"/>
          <w:color w:val="auto"/>
          <w:kern w:val="0"/>
          <w:sz w:val="24"/>
          <w:szCs w:val="24"/>
        </w:rPr>
        <w:t>处地质灾害隐患点，实施</w:t>
      </w:r>
      <w:r>
        <w:rPr>
          <w:rFonts w:hint="eastAsia" w:ascii="仿宋" w:hAnsi="仿宋" w:eastAsia="仿宋" w:cs="仿宋"/>
          <w:b w:val="0"/>
          <w:bCs w:val="0"/>
          <w:color w:val="auto"/>
          <w:sz w:val="24"/>
          <w:szCs w:val="24"/>
        </w:rPr>
        <w:t>新疆</w:t>
      </w:r>
      <w:r>
        <w:rPr>
          <w:rFonts w:hint="eastAsia" w:ascii="仿宋" w:hAnsi="仿宋" w:eastAsia="仿宋" w:cs="仿宋"/>
          <w:b w:val="0"/>
          <w:bCs w:val="0"/>
          <w:color w:val="auto"/>
          <w:sz w:val="24"/>
          <w:szCs w:val="24"/>
          <w:lang w:val="en-US" w:eastAsia="zh-CN"/>
        </w:rPr>
        <w:t>克州</w:t>
      </w:r>
      <w:r>
        <w:rPr>
          <w:rFonts w:hint="eastAsia" w:ascii="仿宋" w:hAnsi="仿宋" w:eastAsia="仿宋" w:cs="仿宋"/>
          <w:b w:val="0"/>
          <w:bCs w:val="0"/>
          <w:color w:val="auto"/>
          <w:sz w:val="24"/>
          <w:szCs w:val="24"/>
        </w:rPr>
        <w:t>群专结合监测预警点</w:t>
      </w:r>
      <w:r>
        <w:rPr>
          <w:rFonts w:hint="eastAsia" w:ascii="仿宋" w:hAnsi="仿宋" w:eastAsia="仿宋" w:cs="仿宋"/>
          <w:b w:val="0"/>
          <w:bCs w:val="0"/>
          <w:color w:val="auto"/>
          <w:kern w:val="0"/>
          <w:sz w:val="24"/>
          <w:szCs w:val="24"/>
        </w:rPr>
        <w:t>建设（</w:t>
      </w:r>
      <w:r>
        <w:rPr>
          <w:rFonts w:hint="eastAsia" w:ascii="仿宋" w:hAnsi="仿宋" w:eastAsia="仿宋" w:cs="仿宋"/>
          <w:b w:val="0"/>
          <w:bCs w:val="0"/>
          <w:color w:val="auto"/>
          <w:kern w:val="0"/>
          <w:sz w:val="24"/>
          <w:szCs w:val="24"/>
          <w:lang w:eastAsia="zh-CN"/>
        </w:rPr>
        <w:t>2023年</w:t>
      </w:r>
      <w:r>
        <w:rPr>
          <w:rFonts w:hint="eastAsia" w:ascii="仿宋" w:hAnsi="仿宋" w:eastAsia="仿宋" w:cs="仿宋"/>
          <w:b w:val="0"/>
          <w:bCs w:val="0"/>
          <w:color w:val="auto"/>
          <w:kern w:val="0"/>
          <w:sz w:val="24"/>
          <w:szCs w:val="24"/>
        </w:rPr>
        <w:t>度），进一步提高监测区地质灾害群测群防专业化水平，降低群测群防员监测预警工作强度和压力，提升监测区地质灾害自动化、专业化和标准化监测预警覆盖面，提高防灾减灾能力，支撑监测区地质灾害风险管理，最大限度减少人员伤亡和财产损失。</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（二）任务</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1.制定监测设计方案。包括确定监测对象、监测内容、监测指标、监测设备与布设方案等。</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2.开展设备安装与运行维护。结合现场情况与监测设计方案开展安装，组织监测设备现场验收，并对设备进行状态监控与维修维护。</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3.进行数据库与系统建设，为地质灾害群专结合监测预警工作提供全流程信息服务支撑。</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4.实施预警与响应。通过宏观预警、专业预警与区域地质灾害气象预警综合分析实施预警分级与响应。</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 w:hAnsi="仿宋" w:eastAsia="仿宋" w:cs="仿宋"/>
          <w:b w:val="0"/>
          <w:bCs w:val="0"/>
          <w:color w:val="auto"/>
          <w:sz w:val="24"/>
          <w:szCs w:val="24"/>
        </w:rPr>
      </w:pPr>
      <w:bookmarkStart w:id="351" w:name="_Toc22254"/>
      <w:r>
        <w:rPr>
          <w:rFonts w:hint="eastAsia" w:ascii="仿宋" w:hAnsi="仿宋" w:eastAsia="仿宋" w:cs="仿宋"/>
          <w:b w:val="0"/>
          <w:bCs w:val="0"/>
          <w:color w:val="auto"/>
          <w:sz w:val="24"/>
          <w:szCs w:val="24"/>
        </w:rPr>
        <w:t>七、主要技术要求</w:t>
      </w:r>
      <w:bookmarkEnd w:id="351"/>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（一）标准规范</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eastAsia="zh-CN"/>
        </w:rPr>
        <w:t>2023年</w:t>
      </w:r>
      <w:r>
        <w:rPr>
          <w:rFonts w:hint="eastAsia" w:ascii="仿宋" w:hAnsi="仿宋" w:eastAsia="仿宋" w:cs="仿宋"/>
          <w:b w:val="0"/>
          <w:bCs w:val="0"/>
          <w:color w:val="auto"/>
          <w:sz w:val="24"/>
          <w:szCs w:val="24"/>
        </w:rPr>
        <w:t>地质灾害监测预警实验工作方案》；</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地质灾害普适型仪器监测预警规范</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报批稿</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地质灾害监测通信技术要求</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报批稿</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4.《地质灾害监测数据通信技术要求》；</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地质灾害监测预警数据库建设规范</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报批稿</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6.《地质灾害监测预警设备检测技术要求（报批稿）》；</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lang w:eastAsia="zh-CN"/>
        </w:rPr>
        <w:t>《地质灾害普适型仪器监测预警点建设与运维预算标准（试行）》；</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.《工程测量规范》</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GB50026-2007</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.《全球定位系统（GPS）测量规范》</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GB/T18314-2009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同时满足招标文件、设计书及其审批意见书和有关规定的要求。</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（二）监测设备技术要求</w:t>
      </w:r>
    </w:p>
    <w:p>
      <w:pPr>
        <w:pStyle w:val="2"/>
        <w:keepNext w:val="0"/>
        <w:keepLines w:val="0"/>
        <w:pageBreakBefore w:val="0"/>
        <w:widowControl w:val="0"/>
        <w:kinsoku/>
        <w:wordWrap/>
        <w:overflowPunct/>
        <w:topLinePunct w:val="0"/>
        <w:autoSpaceDE/>
        <w:autoSpaceDN/>
        <w:bidi w:val="0"/>
        <w:spacing w:after="0"/>
        <w:ind w:firstLine="480"/>
        <w:jc w:val="center"/>
        <w:textAlignment w:val="auto"/>
        <w:outlineLvl w:val="9"/>
        <w:rPr>
          <w:rFonts w:hint="eastAsia" w:ascii="仿宋" w:hAnsi="仿宋" w:eastAsia="仿宋" w:cs="仿宋"/>
          <w:b w:val="0"/>
          <w:bCs w:val="0"/>
          <w:color w:val="auto"/>
          <w:sz w:val="24"/>
          <w:szCs w:val="32"/>
        </w:rPr>
      </w:pPr>
      <w:r>
        <w:rPr>
          <w:rFonts w:hint="eastAsia" w:ascii="仿宋" w:hAnsi="仿宋" w:eastAsia="仿宋" w:cs="仿宋"/>
          <w:b w:val="0"/>
          <w:bCs w:val="0"/>
          <w:color w:val="auto"/>
          <w:sz w:val="24"/>
          <w:szCs w:val="32"/>
        </w:rPr>
        <w:t>表1  雨量计主要技术参数</w:t>
      </w:r>
    </w:p>
    <w:tbl>
      <w:tblPr>
        <w:tblStyle w:val="37"/>
        <w:tblpPr w:leftFromText="180" w:rightFromText="180" w:vertAnchor="text" w:horzAnchor="page" w:tblpXSpec="center" w:tblpY="65"/>
        <w:tblOverlap w:val="never"/>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5"/>
        <w:gridCol w:w="5058"/>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65"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参数类型</w:t>
            </w:r>
          </w:p>
        </w:tc>
        <w:tc>
          <w:tcPr>
            <w:tcW w:w="5058" w:type="dxa"/>
          </w:tcPr>
          <w:p>
            <w:pPr>
              <w:pStyle w:val="74"/>
              <w:keepNext w:val="0"/>
              <w:keepLines w:val="0"/>
              <w:pageBreakBefore w:val="0"/>
              <w:widowControl w:val="0"/>
              <w:kinsoku/>
              <w:wordWrap/>
              <w:overflowPunct/>
              <w:topLinePunct w:val="0"/>
              <w:autoSpaceDE/>
              <w:autoSpaceDN/>
              <w:bidi w:val="0"/>
              <w:spacing w:before="22"/>
              <w:ind w:left="639" w:right="5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技术指标</w:t>
            </w:r>
            <w:r>
              <w:rPr>
                <w:rFonts w:hint="eastAsia" w:ascii="仿宋" w:hAnsi="仿宋" w:eastAsia="仿宋" w:cs="仿宋"/>
                <w:b w:val="0"/>
                <w:bCs w:val="0"/>
                <w:color w:val="auto"/>
                <w:w w:val="99"/>
              </w:rPr>
              <w:t xml:space="preserve"> </w:t>
            </w:r>
          </w:p>
        </w:tc>
        <w:tc>
          <w:tcPr>
            <w:tcW w:w="1654" w:type="dxa"/>
          </w:tcPr>
          <w:p>
            <w:pPr>
              <w:pStyle w:val="74"/>
              <w:keepNext w:val="0"/>
              <w:keepLines w:val="0"/>
              <w:pageBreakBefore w:val="0"/>
              <w:widowControl w:val="0"/>
              <w:kinsoku/>
              <w:wordWrap/>
              <w:overflowPunct/>
              <w:topLinePunct w:val="0"/>
              <w:autoSpaceDE/>
              <w:autoSpaceDN/>
              <w:bidi w:val="0"/>
              <w:spacing w:before="22"/>
              <w:ind w:left="262" w:right="15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备注</w:t>
            </w:r>
            <w:r>
              <w:rPr>
                <w:rFonts w:hint="eastAsia" w:ascii="仿宋" w:hAnsi="仿宋" w:eastAsia="仿宋" w:cs="仿宋"/>
                <w:b w:val="0"/>
                <w:bCs w:val="0"/>
                <w:color w:val="auto"/>
                <w:w w:val="9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565" w:type="dxa"/>
          </w:tcPr>
          <w:p>
            <w:pPr>
              <w:pStyle w:val="74"/>
              <w:keepNext w:val="0"/>
              <w:keepLines w:val="0"/>
              <w:pageBreakBefore w:val="0"/>
              <w:widowControl w:val="0"/>
              <w:kinsoku/>
              <w:wordWrap/>
              <w:overflowPunct/>
              <w:topLinePunct w:val="0"/>
              <w:autoSpaceDE/>
              <w:autoSpaceDN/>
              <w:bidi w:val="0"/>
              <w:spacing w:before="177"/>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测量范围</w:t>
            </w:r>
          </w:p>
        </w:tc>
        <w:tc>
          <w:tcPr>
            <w:tcW w:w="5058" w:type="dxa"/>
          </w:tcPr>
          <w:p>
            <w:pPr>
              <w:pStyle w:val="74"/>
              <w:keepNext w:val="0"/>
              <w:keepLines w:val="0"/>
              <w:pageBreakBefore w:val="0"/>
              <w:widowControl w:val="0"/>
              <w:kinsoku/>
              <w:wordWrap/>
              <w:overflowPunct/>
              <w:topLinePunct w:val="0"/>
              <w:autoSpaceDE/>
              <w:autoSpaceDN/>
              <w:bidi w:val="0"/>
              <w:ind w:left="1395"/>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spacing w:val="-1"/>
                <w:lang w:eastAsia="zh-CN"/>
              </w:rPr>
              <w:t>0～8mm/min（</w:t>
            </w:r>
            <w:r>
              <w:rPr>
                <w:rFonts w:hint="eastAsia" w:ascii="仿宋" w:hAnsi="仿宋" w:eastAsia="仿宋" w:cs="仿宋"/>
                <w:b w:val="0"/>
                <w:bCs w:val="0"/>
                <w:color w:val="auto"/>
                <w:lang w:eastAsia="zh-CN"/>
              </w:rPr>
              <w:t>毫米/分）（压电式）</w:t>
            </w:r>
          </w:p>
          <w:p>
            <w:pPr>
              <w:pStyle w:val="74"/>
              <w:keepNext w:val="0"/>
              <w:keepLines w:val="0"/>
              <w:pageBreakBefore w:val="0"/>
              <w:widowControl w:val="0"/>
              <w:kinsoku/>
              <w:wordWrap/>
              <w:overflowPunct/>
              <w:topLinePunct w:val="0"/>
              <w:autoSpaceDE/>
              <w:autoSpaceDN/>
              <w:bidi w:val="0"/>
              <w:spacing w:before="43"/>
              <w:ind w:left="1395"/>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spacing w:val="-1"/>
              </w:rPr>
              <w:t>0～4mm/min（</w:t>
            </w:r>
            <w:r>
              <w:rPr>
                <w:rFonts w:hint="eastAsia" w:ascii="仿宋" w:hAnsi="仿宋" w:eastAsia="仿宋" w:cs="仿宋"/>
                <w:b w:val="0"/>
                <w:bCs w:val="0"/>
                <w:color w:val="auto"/>
              </w:rPr>
              <w:t>毫米/分）（翻斗式）</w:t>
            </w:r>
          </w:p>
        </w:tc>
        <w:tc>
          <w:tcPr>
            <w:tcW w:w="1654" w:type="dxa"/>
          </w:tcPr>
          <w:p>
            <w:pPr>
              <w:pStyle w:val="74"/>
              <w:keepNext w:val="0"/>
              <w:keepLines w:val="0"/>
              <w:pageBreakBefore w:val="0"/>
              <w:widowControl w:val="0"/>
              <w:kinsoku/>
              <w:wordWrap/>
              <w:overflowPunct/>
              <w:topLinePunct w:val="0"/>
              <w:autoSpaceDE/>
              <w:autoSpaceDN/>
              <w:bidi w:val="0"/>
              <w:spacing w:before="177"/>
              <w:ind w:left="111"/>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4"/>
              <w:keepNext w:val="0"/>
              <w:keepLines w:val="0"/>
              <w:pageBreakBefore w:val="0"/>
              <w:widowControl w:val="0"/>
              <w:kinsoku/>
              <w:wordWrap/>
              <w:overflowPunct/>
              <w:topLinePunct w:val="0"/>
              <w:autoSpaceDE/>
              <w:autoSpaceDN/>
              <w:bidi w:val="0"/>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测量精度</w:t>
            </w:r>
          </w:p>
        </w:tc>
        <w:tc>
          <w:tcPr>
            <w:tcW w:w="5058" w:type="dxa"/>
          </w:tcPr>
          <w:p>
            <w:pPr>
              <w:pStyle w:val="74"/>
              <w:keepNext w:val="0"/>
              <w:keepLines w:val="0"/>
              <w:pageBreakBefore w:val="0"/>
              <w:widowControl w:val="0"/>
              <w:kinsoku/>
              <w:wordWrap/>
              <w:overflowPunct/>
              <w:topLinePunct w:val="0"/>
              <w:autoSpaceDE/>
              <w:autoSpaceDN/>
              <w:bidi w:val="0"/>
              <w:ind w:left="639" w:right="52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±4%</w:t>
            </w:r>
          </w:p>
        </w:tc>
        <w:tc>
          <w:tcPr>
            <w:tcW w:w="1654" w:type="dxa"/>
          </w:tcPr>
          <w:p>
            <w:pPr>
              <w:pStyle w:val="74"/>
              <w:keepNext w:val="0"/>
              <w:keepLines w:val="0"/>
              <w:pageBreakBefore w:val="0"/>
              <w:widowControl w:val="0"/>
              <w:kinsoku/>
              <w:wordWrap/>
              <w:overflowPunct/>
              <w:topLinePunct w:val="0"/>
              <w:autoSpaceDE/>
              <w:autoSpaceDN/>
              <w:bidi w:val="0"/>
              <w:ind w:left="111"/>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65"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分辨率</w:t>
            </w:r>
          </w:p>
        </w:tc>
        <w:tc>
          <w:tcPr>
            <w:tcW w:w="5058" w:type="dxa"/>
          </w:tcPr>
          <w:p>
            <w:pPr>
              <w:pStyle w:val="74"/>
              <w:keepNext w:val="0"/>
              <w:keepLines w:val="0"/>
              <w:pageBreakBefore w:val="0"/>
              <w:widowControl w:val="0"/>
              <w:kinsoku/>
              <w:wordWrap/>
              <w:overflowPunct/>
              <w:topLinePunct w:val="0"/>
              <w:autoSpaceDE/>
              <w:autoSpaceDN/>
              <w:bidi w:val="0"/>
              <w:spacing w:before="22"/>
              <w:ind w:left="639" w:right="5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0.2mm</w:t>
            </w:r>
          </w:p>
        </w:tc>
        <w:tc>
          <w:tcPr>
            <w:tcW w:w="1654" w:type="dxa"/>
          </w:tcPr>
          <w:p>
            <w:pPr>
              <w:pStyle w:val="74"/>
              <w:keepNext w:val="0"/>
              <w:keepLines w:val="0"/>
              <w:pageBreakBefore w:val="0"/>
              <w:widowControl w:val="0"/>
              <w:kinsoku/>
              <w:wordWrap/>
              <w:overflowPunct/>
              <w:topLinePunct w:val="0"/>
              <w:autoSpaceDE/>
              <w:autoSpaceDN/>
              <w:bidi w:val="0"/>
              <w:spacing w:before="22"/>
              <w:ind w:left="111"/>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采样间隔</w:t>
            </w:r>
          </w:p>
        </w:tc>
        <w:tc>
          <w:tcPr>
            <w:tcW w:w="5058" w:type="dxa"/>
          </w:tcPr>
          <w:p>
            <w:pPr>
              <w:pStyle w:val="74"/>
              <w:keepNext w:val="0"/>
              <w:keepLines w:val="0"/>
              <w:pageBreakBefore w:val="0"/>
              <w:widowControl w:val="0"/>
              <w:kinsoku/>
              <w:wordWrap/>
              <w:overflowPunct/>
              <w:topLinePunct w:val="0"/>
              <w:autoSpaceDE/>
              <w:autoSpaceDN/>
              <w:bidi w:val="0"/>
              <w:ind w:left="639" w:right="52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0s～24h</w:t>
            </w:r>
          </w:p>
        </w:tc>
        <w:tc>
          <w:tcPr>
            <w:tcW w:w="1654" w:type="dxa"/>
          </w:tcPr>
          <w:p>
            <w:pPr>
              <w:pStyle w:val="74"/>
              <w:keepNext w:val="0"/>
              <w:keepLines w:val="0"/>
              <w:pageBreakBefore w:val="0"/>
              <w:widowControl w:val="0"/>
              <w:kinsoku/>
              <w:wordWrap/>
              <w:overflowPunct/>
              <w:topLinePunct w:val="0"/>
              <w:autoSpaceDE/>
              <w:autoSpaceDN/>
              <w:bidi w:val="0"/>
              <w:ind w:right="15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上传间隔</w:t>
            </w:r>
          </w:p>
        </w:tc>
        <w:tc>
          <w:tcPr>
            <w:tcW w:w="5058" w:type="dxa"/>
          </w:tcPr>
          <w:p>
            <w:pPr>
              <w:pStyle w:val="74"/>
              <w:keepNext w:val="0"/>
              <w:keepLines w:val="0"/>
              <w:pageBreakBefore w:val="0"/>
              <w:widowControl w:val="0"/>
              <w:kinsoku/>
              <w:wordWrap/>
              <w:overflowPunct/>
              <w:topLinePunct w:val="0"/>
              <w:autoSpaceDE/>
              <w:autoSpaceDN/>
              <w:bidi w:val="0"/>
              <w:ind w:left="639" w:right="52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0s～72h</w:t>
            </w:r>
          </w:p>
        </w:tc>
        <w:tc>
          <w:tcPr>
            <w:tcW w:w="1654" w:type="dxa"/>
          </w:tcPr>
          <w:p>
            <w:pPr>
              <w:pStyle w:val="74"/>
              <w:keepNext w:val="0"/>
              <w:keepLines w:val="0"/>
              <w:pageBreakBefore w:val="0"/>
              <w:widowControl w:val="0"/>
              <w:kinsoku/>
              <w:wordWrap/>
              <w:overflowPunct/>
              <w:topLinePunct w:val="0"/>
              <w:autoSpaceDE/>
              <w:autoSpaceDN/>
              <w:bidi w:val="0"/>
              <w:ind w:right="15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65"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输出信号</w:t>
            </w:r>
          </w:p>
        </w:tc>
        <w:tc>
          <w:tcPr>
            <w:tcW w:w="5058" w:type="dxa"/>
          </w:tcPr>
          <w:p>
            <w:pPr>
              <w:pStyle w:val="74"/>
              <w:keepNext w:val="0"/>
              <w:keepLines w:val="0"/>
              <w:pageBreakBefore w:val="0"/>
              <w:widowControl w:val="0"/>
              <w:kinsoku/>
              <w:wordWrap/>
              <w:overflowPunct/>
              <w:topLinePunct w:val="0"/>
              <w:autoSpaceDE/>
              <w:autoSpaceDN/>
              <w:bidi w:val="0"/>
              <w:spacing w:before="22"/>
              <w:ind w:left="639" w:right="528"/>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RS485/NB-IoT/LoRa/α/2/4/5G等</w:t>
            </w:r>
          </w:p>
        </w:tc>
        <w:tc>
          <w:tcPr>
            <w:tcW w:w="1654" w:type="dxa"/>
          </w:tcPr>
          <w:p>
            <w:pPr>
              <w:pStyle w:val="74"/>
              <w:keepNext w:val="0"/>
              <w:keepLines w:val="0"/>
              <w:pageBreakBefore w:val="0"/>
              <w:widowControl w:val="0"/>
              <w:kinsoku/>
              <w:wordWrap/>
              <w:overflowPunct/>
              <w:topLinePunct w:val="0"/>
              <w:autoSpaceDE/>
              <w:autoSpaceDN/>
              <w:bidi w:val="0"/>
              <w:spacing w:before="22"/>
              <w:ind w:left="111"/>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工作温度</w:t>
            </w:r>
          </w:p>
        </w:tc>
        <w:tc>
          <w:tcPr>
            <w:tcW w:w="5058" w:type="dxa"/>
          </w:tcPr>
          <w:p>
            <w:pPr>
              <w:pStyle w:val="74"/>
              <w:keepNext w:val="0"/>
              <w:keepLines w:val="0"/>
              <w:pageBreakBefore w:val="0"/>
              <w:widowControl w:val="0"/>
              <w:kinsoku/>
              <w:wordWrap/>
              <w:overflowPunct/>
              <w:topLinePunct w:val="0"/>
              <w:autoSpaceDE/>
              <w:autoSpaceDN/>
              <w:bidi w:val="0"/>
              <w:ind w:right="5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0℃～+65℃</w:t>
            </w:r>
          </w:p>
        </w:tc>
        <w:tc>
          <w:tcPr>
            <w:tcW w:w="1654" w:type="dxa"/>
          </w:tcPr>
          <w:p>
            <w:pPr>
              <w:pStyle w:val="74"/>
              <w:keepNext w:val="0"/>
              <w:keepLines w:val="0"/>
              <w:pageBreakBefore w:val="0"/>
              <w:widowControl w:val="0"/>
              <w:kinsoku/>
              <w:wordWrap/>
              <w:overflowPunct/>
              <w:topLinePunct w:val="0"/>
              <w:autoSpaceDE/>
              <w:autoSpaceDN/>
              <w:bidi w:val="0"/>
              <w:ind w:right="151"/>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4"/>
              <w:keepNext w:val="0"/>
              <w:keepLines w:val="0"/>
              <w:pageBreakBefore w:val="0"/>
              <w:widowControl w:val="0"/>
              <w:kinsoku/>
              <w:wordWrap/>
              <w:overflowPunct/>
              <w:topLinePunct w:val="0"/>
              <w:autoSpaceDE/>
              <w:autoSpaceDN/>
              <w:bidi w:val="0"/>
              <w:ind w:right="529"/>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lang w:eastAsia="zh-CN"/>
              </w:rPr>
              <w:t>通信标准</w:t>
            </w:r>
          </w:p>
        </w:tc>
        <w:tc>
          <w:tcPr>
            <w:tcW w:w="5058" w:type="dxa"/>
          </w:tcPr>
          <w:p>
            <w:pPr>
              <w:pStyle w:val="74"/>
              <w:keepNext w:val="0"/>
              <w:keepLines w:val="0"/>
              <w:pageBreakBefore w:val="0"/>
              <w:widowControl w:val="0"/>
              <w:kinsoku/>
              <w:wordWrap/>
              <w:overflowPunct/>
              <w:topLinePunct w:val="0"/>
              <w:autoSpaceDE/>
              <w:autoSpaceDN/>
              <w:bidi w:val="0"/>
              <w:ind w:right="529"/>
              <w:jc w:val="center"/>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sz w:val="21"/>
                <w:szCs w:val="24"/>
                <w:lang w:eastAsia="zh-CN"/>
              </w:rPr>
              <w:t>符合《地质灾害监测数据通讯技术要求》（计划号： 201912007)</w:t>
            </w:r>
          </w:p>
        </w:tc>
        <w:tc>
          <w:tcPr>
            <w:tcW w:w="1654" w:type="dxa"/>
          </w:tcPr>
          <w:p>
            <w:pPr>
              <w:pStyle w:val="74"/>
              <w:keepNext w:val="0"/>
              <w:keepLines w:val="0"/>
              <w:pageBreakBefore w:val="0"/>
              <w:widowControl w:val="0"/>
              <w:kinsoku/>
              <w:wordWrap/>
              <w:overflowPunct/>
              <w:topLinePunct w:val="0"/>
              <w:autoSpaceDE/>
              <w:autoSpaceDN/>
              <w:bidi w:val="0"/>
              <w:ind w:left="111"/>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65"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防护等级</w:t>
            </w:r>
          </w:p>
        </w:tc>
        <w:tc>
          <w:tcPr>
            <w:tcW w:w="5058" w:type="dxa"/>
          </w:tcPr>
          <w:p>
            <w:pPr>
              <w:pStyle w:val="74"/>
              <w:keepNext w:val="0"/>
              <w:keepLines w:val="0"/>
              <w:pageBreakBefore w:val="0"/>
              <w:widowControl w:val="0"/>
              <w:kinsoku/>
              <w:wordWrap/>
              <w:overflowPunct/>
              <w:topLinePunct w:val="0"/>
              <w:autoSpaceDE/>
              <w:autoSpaceDN/>
              <w:bidi w:val="0"/>
              <w:spacing w:before="22"/>
              <w:ind w:left="639" w:right="52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IP65以上</w:t>
            </w:r>
          </w:p>
        </w:tc>
        <w:tc>
          <w:tcPr>
            <w:tcW w:w="1654" w:type="dxa"/>
          </w:tcPr>
          <w:p>
            <w:pPr>
              <w:pStyle w:val="74"/>
              <w:keepNext w:val="0"/>
              <w:keepLines w:val="0"/>
              <w:pageBreakBefore w:val="0"/>
              <w:widowControl w:val="0"/>
              <w:kinsoku/>
              <w:wordWrap/>
              <w:overflowPunct/>
              <w:topLinePunct w:val="0"/>
              <w:autoSpaceDE/>
              <w:autoSpaceDN/>
              <w:bidi w:val="0"/>
              <w:spacing w:before="22"/>
              <w:ind w:left="111"/>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安装方式</w:t>
            </w:r>
          </w:p>
        </w:tc>
        <w:tc>
          <w:tcPr>
            <w:tcW w:w="5058" w:type="dxa"/>
          </w:tcPr>
          <w:p>
            <w:pPr>
              <w:pStyle w:val="74"/>
              <w:keepNext w:val="0"/>
              <w:keepLines w:val="0"/>
              <w:pageBreakBefore w:val="0"/>
              <w:widowControl w:val="0"/>
              <w:kinsoku/>
              <w:wordWrap/>
              <w:overflowPunct/>
              <w:topLinePunct w:val="0"/>
              <w:autoSpaceDE/>
              <w:autoSpaceDN/>
              <w:bidi w:val="0"/>
              <w:ind w:right="529"/>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立杆胀杆固定、一体化基座安装箱、浇筑基础等</w:t>
            </w:r>
          </w:p>
        </w:tc>
        <w:tc>
          <w:tcPr>
            <w:tcW w:w="1654" w:type="dxa"/>
          </w:tcPr>
          <w:p>
            <w:pPr>
              <w:pStyle w:val="74"/>
              <w:keepNext w:val="0"/>
              <w:keepLines w:val="0"/>
              <w:pageBreakBefore w:val="0"/>
              <w:widowControl w:val="0"/>
              <w:kinsoku/>
              <w:wordWrap/>
              <w:overflowPunct/>
              <w:topLinePunct w:val="0"/>
              <w:autoSpaceDE/>
              <w:autoSpaceDN/>
              <w:bidi w:val="0"/>
              <w:ind w:left="111"/>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65"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供电方式</w:t>
            </w:r>
          </w:p>
        </w:tc>
        <w:tc>
          <w:tcPr>
            <w:tcW w:w="5058" w:type="dxa"/>
          </w:tcPr>
          <w:p>
            <w:pPr>
              <w:pStyle w:val="74"/>
              <w:keepNext w:val="0"/>
              <w:keepLines w:val="0"/>
              <w:pageBreakBefore w:val="0"/>
              <w:widowControl w:val="0"/>
              <w:kinsoku/>
              <w:wordWrap/>
              <w:overflowPunct/>
              <w:topLinePunct w:val="0"/>
              <w:autoSpaceDE/>
              <w:autoSpaceDN/>
              <w:bidi w:val="0"/>
              <w:ind w:right="527"/>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按需供电方式，满足连续30个阴雨日正常工作</w:t>
            </w:r>
          </w:p>
        </w:tc>
        <w:tc>
          <w:tcPr>
            <w:tcW w:w="1654" w:type="dxa"/>
          </w:tcPr>
          <w:p>
            <w:pPr>
              <w:pStyle w:val="74"/>
              <w:keepNext w:val="0"/>
              <w:keepLines w:val="0"/>
              <w:pageBreakBefore w:val="0"/>
              <w:widowControl w:val="0"/>
              <w:kinsoku/>
              <w:wordWrap/>
              <w:overflowPunct/>
              <w:topLinePunct w:val="0"/>
              <w:autoSpaceDE/>
              <w:autoSpaceDN/>
              <w:bidi w:val="0"/>
              <w:ind w:right="15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具备</w:t>
            </w:r>
            <w:r>
              <w:rPr>
                <w:rFonts w:hint="eastAsia" w:ascii="仿宋" w:hAnsi="仿宋" w:eastAsia="仿宋" w:cs="仿宋"/>
                <w:b w:val="0"/>
                <w:bCs w:val="0"/>
                <w:color w:val="auto"/>
              </w:rPr>
              <w:t>过压及欠压保护</w:t>
            </w:r>
          </w:p>
        </w:tc>
      </w:tr>
    </w:tbl>
    <w:p>
      <w:pPr>
        <w:pStyle w:val="2"/>
        <w:keepNext w:val="0"/>
        <w:keepLines w:val="0"/>
        <w:pageBreakBefore w:val="0"/>
        <w:widowControl w:val="0"/>
        <w:kinsoku/>
        <w:wordWrap/>
        <w:overflowPunct/>
        <w:topLinePunct w:val="0"/>
        <w:autoSpaceDE/>
        <w:autoSpaceDN/>
        <w:bidi w:val="0"/>
        <w:spacing w:after="0" w:line="500" w:lineRule="exact"/>
        <w:ind w:firstLine="480"/>
        <w:jc w:val="center"/>
        <w:textAlignment w:val="auto"/>
        <w:outlineLvl w:val="9"/>
        <w:rPr>
          <w:rFonts w:hint="eastAsia" w:ascii="仿宋" w:hAnsi="仿宋" w:eastAsia="仿宋" w:cs="仿宋"/>
          <w:b w:val="0"/>
          <w:bCs w:val="0"/>
          <w:color w:val="auto"/>
          <w:sz w:val="24"/>
          <w:szCs w:val="32"/>
        </w:rPr>
      </w:pPr>
    </w:p>
    <w:p>
      <w:pPr>
        <w:pStyle w:val="2"/>
        <w:keepNext w:val="0"/>
        <w:keepLines w:val="0"/>
        <w:pageBreakBefore w:val="0"/>
        <w:widowControl w:val="0"/>
        <w:kinsoku/>
        <w:wordWrap/>
        <w:overflowPunct/>
        <w:topLinePunct w:val="0"/>
        <w:autoSpaceDE/>
        <w:autoSpaceDN/>
        <w:bidi w:val="0"/>
        <w:spacing w:after="0" w:line="500" w:lineRule="exact"/>
        <w:ind w:firstLine="480"/>
        <w:jc w:val="center"/>
        <w:textAlignment w:val="auto"/>
        <w:outlineLvl w:val="9"/>
        <w:rPr>
          <w:rFonts w:hint="eastAsia" w:ascii="仿宋" w:hAnsi="仿宋" w:eastAsia="仿宋" w:cs="仿宋"/>
          <w:b w:val="0"/>
          <w:bCs w:val="0"/>
          <w:color w:val="auto"/>
          <w:sz w:val="24"/>
          <w:szCs w:val="32"/>
        </w:rPr>
      </w:pPr>
      <w:r>
        <w:rPr>
          <w:rFonts w:hint="eastAsia" w:ascii="仿宋" w:hAnsi="仿宋" w:eastAsia="仿宋" w:cs="仿宋"/>
          <w:b w:val="0"/>
          <w:bCs w:val="0"/>
          <w:color w:val="auto"/>
          <w:sz w:val="24"/>
          <w:szCs w:val="32"/>
        </w:rPr>
        <w:t>表2  管式含水率仪（含水率/倾角两参数）主要技术参数</w:t>
      </w:r>
    </w:p>
    <w:tbl>
      <w:tblPr>
        <w:tblStyle w:val="37"/>
        <w:tblpPr w:leftFromText="180" w:rightFromText="180" w:vertAnchor="text" w:horzAnchor="page" w:tblpXSpec="center" w:tblpY="207"/>
        <w:tblOverlap w:val="never"/>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2"/>
        <w:gridCol w:w="5135"/>
        <w:gridCol w:w="1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32" w:type="dxa"/>
          </w:tcPr>
          <w:p>
            <w:pPr>
              <w:pStyle w:val="74"/>
              <w:keepNext w:val="0"/>
              <w:keepLines w:val="0"/>
              <w:pageBreakBefore w:val="0"/>
              <w:widowControl w:val="0"/>
              <w:kinsoku/>
              <w:wordWrap/>
              <w:overflowPunct/>
              <w:topLinePunct w:val="0"/>
              <w:autoSpaceDE/>
              <w:autoSpaceDN/>
              <w:bidi w:val="0"/>
              <w:ind w:right="25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w w:val="95"/>
              </w:rPr>
              <w:t>参数类型</w:t>
            </w:r>
          </w:p>
        </w:tc>
        <w:tc>
          <w:tcPr>
            <w:tcW w:w="5135" w:type="dxa"/>
          </w:tcPr>
          <w:p>
            <w:pPr>
              <w:pStyle w:val="74"/>
              <w:keepNext w:val="0"/>
              <w:keepLines w:val="0"/>
              <w:pageBreakBefore w:val="0"/>
              <w:widowControl w:val="0"/>
              <w:kinsoku/>
              <w:wordWrap/>
              <w:overflowPunct/>
              <w:topLinePunct w:val="0"/>
              <w:autoSpaceDE/>
              <w:autoSpaceDN/>
              <w:bidi w:val="0"/>
              <w:ind w:left="844" w:right="730"/>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技术指标</w:t>
            </w:r>
          </w:p>
        </w:tc>
        <w:tc>
          <w:tcPr>
            <w:tcW w:w="1510" w:type="dxa"/>
          </w:tcPr>
          <w:p>
            <w:pPr>
              <w:pStyle w:val="74"/>
              <w:keepNext w:val="0"/>
              <w:keepLines w:val="0"/>
              <w:pageBreakBefore w:val="0"/>
              <w:widowControl w:val="0"/>
              <w:kinsoku/>
              <w:wordWrap/>
              <w:overflowPunct/>
              <w:topLinePunct w:val="0"/>
              <w:autoSpaceDE/>
              <w:autoSpaceDN/>
              <w:bidi w:val="0"/>
              <w:ind w:left="376" w:right="264"/>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1632"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测量范围</w:t>
            </w:r>
          </w:p>
        </w:tc>
        <w:tc>
          <w:tcPr>
            <w:tcW w:w="5135" w:type="dxa"/>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干土～饱和土</w:t>
            </w:r>
          </w:p>
        </w:tc>
        <w:tc>
          <w:tcPr>
            <w:tcW w:w="1510" w:type="dxa"/>
          </w:tcPr>
          <w:p>
            <w:pPr>
              <w:pStyle w:val="74"/>
              <w:keepNext w:val="0"/>
              <w:keepLines w:val="0"/>
              <w:pageBreakBefore w:val="0"/>
              <w:widowControl w:val="0"/>
              <w:kinsoku/>
              <w:wordWrap/>
              <w:overflowPunct/>
              <w:topLinePunct w:val="0"/>
              <w:autoSpaceDE/>
              <w:autoSpaceDN/>
              <w:bidi w:val="0"/>
              <w:spacing w:before="1" w:line="251" w:lineRule="exact"/>
              <w:ind w:left="114"/>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32"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测量精度</w:t>
            </w:r>
          </w:p>
        </w:tc>
        <w:tc>
          <w:tcPr>
            <w:tcW w:w="5135" w:type="dxa"/>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±4%</w:t>
            </w:r>
          </w:p>
        </w:tc>
        <w:tc>
          <w:tcPr>
            <w:tcW w:w="1510" w:type="dxa"/>
          </w:tcPr>
          <w:p>
            <w:pPr>
              <w:pStyle w:val="74"/>
              <w:keepNext w:val="0"/>
              <w:keepLines w:val="0"/>
              <w:pageBreakBefore w:val="0"/>
              <w:widowControl w:val="0"/>
              <w:kinsoku/>
              <w:wordWrap/>
              <w:overflowPunct/>
              <w:topLinePunct w:val="0"/>
              <w:autoSpaceDE/>
              <w:autoSpaceDN/>
              <w:bidi w:val="0"/>
              <w:spacing w:before="1" w:line="251" w:lineRule="exact"/>
              <w:ind w:left="114"/>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32"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采样间隔</w:t>
            </w:r>
          </w:p>
        </w:tc>
        <w:tc>
          <w:tcPr>
            <w:tcW w:w="5135" w:type="dxa"/>
          </w:tcPr>
          <w:p>
            <w:pPr>
              <w:pStyle w:val="74"/>
              <w:keepNext w:val="0"/>
              <w:keepLines w:val="0"/>
              <w:pageBreakBefore w:val="0"/>
              <w:widowControl w:val="0"/>
              <w:kinsoku/>
              <w:wordWrap/>
              <w:overflowPunct/>
              <w:topLinePunct w:val="0"/>
              <w:autoSpaceDE/>
              <w:autoSpaceDN/>
              <w:bidi w:val="0"/>
              <w:spacing w:before="2"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0s～24h</w:t>
            </w:r>
          </w:p>
        </w:tc>
        <w:tc>
          <w:tcPr>
            <w:tcW w:w="1510" w:type="dxa"/>
          </w:tcPr>
          <w:p>
            <w:pPr>
              <w:pStyle w:val="74"/>
              <w:keepNext w:val="0"/>
              <w:keepLines w:val="0"/>
              <w:pageBreakBefore w:val="0"/>
              <w:widowControl w:val="0"/>
              <w:kinsoku/>
              <w:wordWrap/>
              <w:overflowPunct/>
              <w:topLinePunct w:val="0"/>
              <w:autoSpaceDE/>
              <w:autoSpaceDN/>
              <w:bidi w:val="0"/>
              <w:spacing w:before="2" w:line="251" w:lineRule="exact"/>
              <w:ind w:right="20"/>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32"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上传间隔</w:t>
            </w:r>
          </w:p>
        </w:tc>
        <w:tc>
          <w:tcPr>
            <w:tcW w:w="5135" w:type="dxa"/>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0s～72h</w:t>
            </w:r>
          </w:p>
        </w:tc>
        <w:tc>
          <w:tcPr>
            <w:tcW w:w="1510" w:type="dxa"/>
          </w:tcPr>
          <w:p>
            <w:pPr>
              <w:pStyle w:val="74"/>
              <w:keepNext w:val="0"/>
              <w:keepLines w:val="0"/>
              <w:pageBreakBefore w:val="0"/>
              <w:widowControl w:val="0"/>
              <w:kinsoku/>
              <w:wordWrap/>
              <w:overflowPunct/>
              <w:topLinePunct w:val="0"/>
              <w:autoSpaceDE/>
              <w:autoSpaceDN/>
              <w:bidi w:val="0"/>
              <w:spacing w:before="1" w:line="251" w:lineRule="exact"/>
              <w:ind w:right="20"/>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32" w:type="dxa"/>
            <w:vAlign w:val="top"/>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通信方式</w:t>
            </w:r>
          </w:p>
        </w:tc>
        <w:tc>
          <w:tcPr>
            <w:tcW w:w="5135" w:type="dxa"/>
            <w:vAlign w:val="top"/>
          </w:tcPr>
          <w:p>
            <w:pPr>
              <w:keepNext w:val="0"/>
              <w:keepLines w:val="0"/>
              <w:pageBreakBefore w:val="0"/>
              <w:widowControl w:val="0"/>
              <w:kinsoku/>
              <w:wordWrap/>
              <w:overflowPunct/>
              <w:topLinePunct w:val="0"/>
              <w:autoSpaceDE/>
              <w:autoSpaceDN/>
              <w:bidi w:val="0"/>
              <w:spacing w:before="65" w:line="220" w:lineRule="auto"/>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spacing w:val="-1"/>
                <w:sz w:val="18"/>
                <w:szCs w:val="18"/>
              </w:rPr>
              <w:t>移动通信/低功</w:t>
            </w:r>
            <w:r>
              <w:rPr>
                <w:rFonts w:hint="eastAsia" w:ascii="仿宋" w:hAnsi="仿宋" w:eastAsia="仿宋" w:cs="仿宋"/>
                <w:b w:val="0"/>
                <w:bCs w:val="0"/>
                <w:color w:val="auto"/>
                <w:sz w:val="18"/>
                <w:szCs w:val="18"/>
              </w:rPr>
              <w:t>率广域网/高低轨卫星通信</w:t>
            </w:r>
          </w:p>
        </w:tc>
        <w:tc>
          <w:tcPr>
            <w:tcW w:w="1510" w:type="dxa"/>
          </w:tcPr>
          <w:p>
            <w:pPr>
              <w:pStyle w:val="74"/>
              <w:keepNext w:val="0"/>
              <w:keepLines w:val="0"/>
              <w:pageBreakBefore w:val="0"/>
              <w:widowControl w:val="0"/>
              <w:kinsoku/>
              <w:wordWrap/>
              <w:overflowPunct/>
              <w:topLinePunct w:val="0"/>
              <w:autoSpaceDE/>
              <w:autoSpaceDN/>
              <w:bidi w:val="0"/>
              <w:spacing w:before="1" w:line="251" w:lineRule="exact"/>
              <w:ind w:left="114"/>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32" w:type="dxa"/>
            <w:vAlign w:val="top"/>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通信标准</w:t>
            </w:r>
          </w:p>
        </w:tc>
        <w:tc>
          <w:tcPr>
            <w:tcW w:w="5135" w:type="dxa"/>
            <w:vAlign w:val="top"/>
          </w:tcPr>
          <w:p>
            <w:pPr>
              <w:keepNext w:val="0"/>
              <w:keepLines w:val="0"/>
              <w:pageBreakBefore w:val="0"/>
              <w:widowControl w:val="0"/>
              <w:kinsoku/>
              <w:wordWrap/>
              <w:overflowPunct/>
              <w:topLinePunct w:val="0"/>
              <w:autoSpaceDE/>
              <w:autoSpaceDN/>
              <w:bidi w:val="0"/>
              <w:spacing w:before="66" w:line="220" w:lineRule="auto"/>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spacing w:val="-1"/>
                <w:sz w:val="18"/>
                <w:szCs w:val="18"/>
              </w:rPr>
              <w:t>符合《地质灾</w:t>
            </w:r>
            <w:r>
              <w:rPr>
                <w:rFonts w:hint="eastAsia" w:ascii="仿宋" w:hAnsi="仿宋" w:eastAsia="仿宋" w:cs="仿宋"/>
                <w:b w:val="0"/>
                <w:bCs w:val="0"/>
                <w:color w:val="auto"/>
                <w:sz w:val="18"/>
                <w:szCs w:val="18"/>
              </w:rPr>
              <w:t>害监测数据通信技术要求》</w:t>
            </w:r>
            <w:r>
              <w:rPr>
                <w:rFonts w:hint="eastAsia" w:ascii="仿宋" w:hAnsi="仿宋" w:eastAsia="仿宋" w:cs="仿宋"/>
                <w:b w:val="0"/>
                <w:bCs w:val="0"/>
                <w:color w:val="auto"/>
                <w:sz w:val="18"/>
                <w:szCs w:val="18"/>
                <w:lang w:eastAsia="zh-CN"/>
              </w:rPr>
              <w:t>（</w:t>
            </w:r>
            <w:r>
              <w:rPr>
                <w:rFonts w:hint="eastAsia" w:ascii="仿宋" w:hAnsi="仿宋" w:eastAsia="仿宋" w:cs="仿宋"/>
                <w:b w:val="0"/>
                <w:bCs w:val="0"/>
                <w:color w:val="auto"/>
                <w:sz w:val="18"/>
                <w:szCs w:val="18"/>
              </w:rPr>
              <w:t>计划号： 201912007)</w:t>
            </w:r>
          </w:p>
        </w:tc>
        <w:tc>
          <w:tcPr>
            <w:tcW w:w="1510" w:type="dxa"/>
          </w:tcPr>
          <w:p>
            <w:pPr>
              <w:pStyle w:val="74"/>
              <w:keepNext w:val="0"/>
              <w:keepLines w:val="0"/>
              <w:pageBreakBefore w:val="0"/>
              <w:widowControl w:val="0"/>
              <w:kinsoku/>
              <w:wordWrap/>
              <w:overflowPunct/>
              <w:topLinePunct w:val="0"/>
              <w:autoSpaceDE/>
              <w:autoSpaceDN/>
              <w:bidi w:val="0"/>
              <w:spacing w:before="22"/>
              <w:ind w:left="87"/>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32"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输出参数</w:t>
            </w:r>
          </w:p>
        </w:tc>
        <w:tc>
          <w:tcPr>
            <w:tcW w:w="5135" w:type="dxa"/>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分层含水率、温度、振动加速度、倾角等</w:t>
            </w:r>
          </w:p>
        </w:tc>
        <w:tc>
          <w:tcPr>
            <w:tcW w:w="1510" w:type="dxa"/>
          </w:tcPr>
          <w:p>
            <w:pPr>
              <w:pStyle w:val="74"/>
              <w:keepNext w:val="0"/>
              <w:keepLines w:val="0"/>
              <w:pageBreakBefore w:val="0"/>
              <w:widowControl w:val="0"/>
              <w:kinsoku/>
              <w:wordWrap/>
              <w:overflowPunct/>
              <w:topLinePunct w:val="0"/>
              <w:autoSpaceDE/>
              <w:autoSpaceDN/>
              <w:bidi w:val="0"/>
              <w:spacing w:before="1" w:line="251" w:lineRule="exact"/>
              <w:ind w:left="114"/>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32" w:type="dxa"/>
          </w:tcPr>
          <w:p>
            <w:pPr>
              <w:pStyle w:val="74"/>
              <w:keepNext w:val="0"/>
              <w:keepLines w:val="0"/>
              <w:pageBreakBefore w:val="0"/>
              <w:widowControl w:val="0"/>
              <w:kinsoku/>
              <w:wordWrap/>
              <w:overflowPunct/>
              <w:topLinePunct w:val="0"/>
              <w:autoSpaceDE/>
              <w:autoSpaceDN/>
              <w:bidi w:val="0"/>
              <w:ind w:right="-5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工作温度</w:t>
            </w:r>
          </w:p>
        </w:tc>
        <w:tc>
          <w:tcPr>
            <w:tcW w:w="5135" w:type="dxa"/>
          </w:tcPr>
          <w:p>
            <w:pPr>
              <w:pStyle w:val="74"/>
              <w:keepNext w:val="0"/>
              <w:keepLines w:val="0"/>
              <w:pageBreakBefore w:val="0"/>
              <w:widowControl w:val="0"/>
              <w:kinsoku/>
              <w:wordWrap/>
              <w:overflowPunct/>
              <w:topLinePunct w:val="0"/>
              <w:autoSpaceDE/>
              <w:autoSpaceDN/>
              <w:bidi w:val="0"/>
              <w:ind w:right="5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-20℃～+65℃</w:t>
            </w:r>
          </w:p>
        </w:tc>
        <w:tc>
          <w:tcPr>
            <w:tcW w:w="1510" w:type="dxa"/>
          </w:tcPr>
          <w:p>
            <w:pPr>
              <w:pStyle w:val="74"/>
              <w:keepNext w:val="0"/>
              <w:keepLines w:val="0"/>
              <w:pageBreakBefore w:val="0"/>
              <w:widowControl w:val="0"/>
              <w:kinsoku/>
              <w:wordWrap/>
              <w:overflowPunct/>
              <w:topLinePunct w:val="0"/>
              <w:autoSpaceDE/>
              <w:autoSpaceDN/>
              <w:bidi w:val="0"/>
              <w:ind w:right="20"/>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32"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防护等级</w:t>
            </w:r>
          </w:p>
        </w:tc>
        <w:tc>
          <w:tcPr>
            <w:tcW w:w="5135" w:type="dxa"/>
          </w:tcPr>
          <w:p>
            <w:pPr>
              <w:pStyle w:val="74"/>
              <w:keepNext w:val="0"/>
              <w:keepLines w:val="0"/>
              <w:pageBreakBefore w:val="0"/>
              <w:widowControl w:val="0"/>
              <w:kinsoku/>
              <w:wordWrap/>
              <w:overflowPunct/>
              <w:topLinePunct w:val="0"/>
              <w:autoSpaceDE/>
              <w:autoSpaceDN/>
              <w:bidi w:val="0"/>
              <w:spacing w:before="2"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IP68</w:t>
            </w:r>
          </w:p>
        </w:tc>
        <w:tc>
          <w:tcPr>
            <w:tcW w:w="1510" w:type="dxa"/>
          </w:tcPr>
          <w:p>
            <w:pPr>
              <w:pStyle w:val="74"/>
              <w:keepNext w:val="0"/>
              <w:keepLines w:val="0"/>
              <w:pageBreakBefore w:val="0"/>
              <w:widowControl w:val="0"/>
              <w:kinsoku/>
              <w:wordWrap/>
              <w:overflowPunct/>
              <w:topLinePunct w:val="0"/>
              <w:autoSpaceDE/>
              <w:autoSpaceDN/>
              <w:bidi w:val="0"/>
              <w:spacing w:before="2" w:line="251" w:lineRule="exact"/>
              <w:ind w:left="114"/>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32"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安装方式</w:t>
            </w:r>
          </w:p>
        </w:tc>
        <w:tc>
          <w:tcPr>
            <w:tcW w:w="5135" w:type="dxa"/>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原状土回灌泥浆等</w:t>
            </w:r>
          </w:p>
        </w:tc>
        <w:tc>
          <w:tcPr>
            <w:tcW w:w="1510" w:type="dxa"/>
          </w:tcPr>
          <w:p>
            <w:pPr>
              <w:pStyle w:val="74"/>
              <w:keepNext w:val="0"/>
              <w:keepLines w:val="0"/>
              <w:pageBreakBefore w:val="0"/>
              <w:widowControl w:val="0"/>
              <w:kinsoku/>
              <w:wordWrap/>
              <w:overflowPunct/>
              <w:topLinePunct w:val="0"/>
              <w:autoSpaceDE/>
              <w:autoSpaceDN/>
              <w:bidi w:val="0"/>
              <w:spacing w:before="1" w:line="251" w:lineRule="exact"/>
              <w:ind w:left="114"/>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32" w:type="dxa"/>
          </w:tcPr>
          <w:p>
            <w:pPr>
              <w:pStyle w:val="74"/>
              <w:keepNext w:val="0"/>
              <w:keepLines w:val="0"/>
              <w:pageBreakBefore w:val="0"/>
              <w:widowControl w:val="0"/>
              <w:kinsoku/>
              <w:wordWrap/>
              <w:overflowPunct/>
              <w:topLinePunct w:val="0"/>
              <w:autoSpaceDE/>
              <w:autoSpaceDN/>
              <w:bidi w:val="0"/>
              <w:spacing w:before="22"/>
              <w:ind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供电方式</w:t>
            </w:r>
          </w:p>
        </w:tc>
        <w:tc>
          <w:tcPr>
            <w:tcW w:w="5135" w:type="dxa"/>
          </w:tcPr>
          <w:p>
            <w:pPr>
              <w:pStyle w:val="74"/>
              <w:keepNext w:val="0"/>
              <w:keepLines w:val="0"/>
              <w:pageBreakBefore w:val="0"/>
              <w:widowControl w:val="0"/>
              <w:kinsoku/>
              <w:wordWrap/>
              <w:overflowPunct/>
              <w:topLinePunct w:val="0"/>
              <w:autoSpaceDE/>
              <w:autoSpaceDN/>
              <w:bidi w:val="0"/>
              <w:spacing w:before="1" w:line="251" w:lineRule="exact"/>
              <w:ind w:right="86"/>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按需供电方式，满足连续 30 个阴雨日正常工作</w:t>
            </w:r>
          </w:p>
        </w:tc>
        <w:tc>
          <w:tcPr>
            <w:tcW w:w="1510" w:type="dxa"/>
          </w:tcPr>
          <w:p>
            <w:pPr>
              <w:pStyle w:val="74"/>
              <w:keepNext w:val="0"/>
              <w:keepLines w:val="0"/>
              <w:pageBreakBefore w:val="0"/>
              <w:widowControl w:val="0"/>
              <w:kinsoku/>
              <w:wordWrap/>
              <w:overflowPunct/>
              <w:topLinePunct w:val="0"/>
              <w:autoSpaceDE/>
              <w:autoSpaceDN/>
              <w:bidi w:val="0"/>
              <w:spacing w:before="1" w:line="251" w:lineRule="exact"/>
              <w:ind w:left="114"/>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val="en-US" w:eastAsia="zh-CN"/>
              </w:rPr>
              <w:t>具备</w:t>
            </w:r>
            <w:r>
              <w:rPr>
                <w:rFonts w:hint="eastAsia" w:ascii="仿宋" w:hAnsi="仿宋" w:eastAsia="仿宋" w:cs="仿宋"/>
                <w:b w:val="0"/>
                <w:bCs w:val="0"/>
                <w:color w:val="auto"/>
              </w:rPr>
              <w:t>过压及欠压保护</w:t>
            </w:r>
          </w:p>
        </w:tc>
      </w:tr>
    </w:tbl>
    <w:p>
      <w:pPr>
        <w:pStyle w:val="2"/>
        <w:keepNext w:val="0"/>
        <w:keepLines w:val="0"/>
        <w:pageBreakBefore w:val="0"/>
        <w:widowControl w:val="0"/>
        <w:kinsoku/>
        <w:wordWrap/>
        <w:overflowPunct/>
        <w:topLinePunct w:val="0"/>
        <w:autoSpaceDE/>
        <w:autoSpaceDN/>
        <w:bidi w:val="0"/>
        <w:spacing w:after="0"/>
        <w:jc w:val="center"/>
        <w:textAlignment w:val="auto"/>
        <w:outlineLvl w:val="9"/>
        <w:rPr>
          <w:rFonts w:hint="eastAsia" w:ascii="仿宋" w:hAnsi="仿宋" w:eastAsia="仿宋" w:cs="仿宋"/>
          <w:b w:val="0"/>
          <w:bCs w:val="0"/>
          <w:color w:val="auto"/>
          <w:lang w:bidi="en-US"/>
        </w:rPr>
      </w:pPr>
    </w:p>
    <w:p>
      <w:pPr>
        <w:pStyle w:val="2"/>
        <w:keepNext w:val="0"/>
        <w:keepLines w:val="0"/>
        <w:pageBreakBefore w:val="0"/>
        <w:widowControl w:val="0"/>
        <w:kinsoku/>
        <w:wordWrap/>
        <w:overflowPunct/>
        <w:topLinePunct w:val="0"/>
        <w:autoSpaceDE/>
        <w:autoSpaceDN/>
        <w:bidi w:val="0"/>
        <w:spacing w:after="0" w:line="500" w:lineRule="exact"/>
        <w:ind w:firstLine="480"/>
        <w:jc w:val="center"/>
        <w:textAlignment w:val="auto"/>
        <w:outlineLvl w:val="9"/>
        <w:rPr>
          <w:rFonts w:hint="eastAsia" w:ascii="仿宋" w:hAnsi="仿宋" w:eastAsia="仿宋" w:cs="仿宋"/>
          <w:b w:val="0"/>
          <w:bCs w:val="0"/>
          <w:color w:val="auto"/>
          <w:sz w:val="24"/>
          <w:szCs w:val="32"/>
        </w:rPr>
      </w:pPr>
    </w:p>
    <w:p>
      <w:pPr>
        <w:pStyle w:val="2"/>
        <w:keepNext w:val="0"/>
        <w:keepLines w:val="0"/>
        <w:pageBreakBefore w:val="0"/>
        <w:widowControl w:val="0"/>
        <w:kinsoku/>
        <w:wordWrap/>
        <w:overflowPunct/>
        <w:topLinePunct w:val="0"/>
        <w:autoSpaceDE/>
        <w:autoSpaceDN/>
        <w:bidi w:val="0"/>
        <w:spacing w:after="0" w:line="500" w:lineRule="exact"/>
        <w:ind w:firstLine="480"/>
        <w:jc w:val="center"/>
        <w:textAlignment w:val="auto"/>
        <w:outlineLvl w:val="9"/>
        <w:rPr>
          <w:rFonts w:hint="eastAsia" w:ascii="仿宋" w:hAnsi="仿宋" w:eastAsia="仿宋" w:cs="仿宋"/>
          <w:b w:val="0"/>
          <w:bCs w:val="0"/>
          <w:color w:val="auto"/>
          <w:sz w:val="24"/>
          <w:szCs w:val="32"/>
        </w:rPr>
      </w:pPr>
    </w:p>
    <w:p>
      <w:pPr>
        <w:pStyle w:val="2"/>
        <w:keepNext w:val="0"/>
        <w:keepLines w:val="0"/>
        <w:pageBreakBefore w:val="0"/>
        <w:widowControl w:val="0"/>
        <w:kinsoku/>
        <w:wordWrap/>
        <w:overflowPunct/>
        <w:topLinePunct w:val="0"/>
        <w:autoSpaceDE/>
        <w:autoSpaceDN/>
        <w:bidi w:val="0"/>
        <w:spacing w:after="0" w:line="500" w:lineRule="exact"/>
        <w:ind w:firstLine="480"/>
        <w:jc w:val="center"/>
        <w:textAlignment w:val="auto"/>
        <w:outlineLvl w:val="9"/>
        <w:rPr>
          <w:rFonts w:hint="eastAsia" w:ascii="仿宋" w:hAnsi="仿宋" w:eastAsia="仿宋" w:cs="仿宋"/>
          <w:b w:val="0"/>
          <w:bCs w:val="0"/>
          <w:color w:val="auto"/>
          <w:sz w:val="24"/>
          <w:szCs w:val="32"/>
        </w:rPr>
      </w:pPr>
      <w:r>
        <w:rPr>
          <w:rFonts w:hint="eastAsia" w:ascii="仿宋" w:hAnsi="仿宋" w:eastAsia="仿宋" w:cs="仿宋"/>
          <w:b w:val="0"/>
          <w:bCs w:val="0"/>
          <w:color w:val="auto"/>
          <w:sz w:val="24"/>
          <w:szCs w:val="32"/>
        </w:rPr>
        <w:t>表3  GNSS（位移/倾角/加速度三参数）主要技术参数</w:t>
      </w:r>
    </w:p>
    <w:tbl>
      <w:tblPr>
        <w:tblStyle w:val="37"/>
        <w:tblpPr w:leftFromText="180" w:rightFromText="180" w:vertAnchor="text" w:horzAnchor="page" w:tblpXSpec="center" w:tblpY="206"/>
        <w:tblOverlap w:val="never"/>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8"/>
        <w:gridCol w:w="2039"/>
        <w:gridCol w:w="3042"/>
        <w:gridCol w:w="1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58" w:type="dxa"/>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参数类型</w:t>
            </w:r>
          </w:p>
        </w:tc>
        <w:tc>
          <w:tcPr>
            <w:tcW w:w="5081" w:type="dxa"/>
            <w:gridSpan w:val="2"/>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技术指标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758" w:type="dxa"/>
            <w:vMerge w:val="restart"/>
          </w:tcPr>
          <w:p>
            <w:pPr>
              <w:pStyle w:val="2"/>
              <w:keepNext w:val="0"/>
              <w:keepLines w:val="0"/>
              <w:pageBreakBefore w:val="0"/>
              <w:widowControl w:val="0"/>
              <w:tabs>
                <w:tab w:val="left" w:pos="1470"/>
                <w:tab w:val="clear" w:pos="567"/>
              </w:tabs>
              <w:kinsoku/>
              <w:wordWrap/>
              <w:overflowPunct/>
              <w:topLinePunct w:val="0"/>
              <w:autoSpaceDE/>
              <w:autoSpaceDN/>
              <w:bidi w:val="0"/>
              <w:spacing w:after="0" w:line="500" w:lineRule="exact"/>
              <w:ind w:right="67" w:rightChars="32"/>
              <w:jc w:val="center"/>
              <w:textAlignment w:val="auto"/>
              <w:outlineLvl w:val="9"/>
              <w:rPr>
                <w:rFonts w:hint="eastAsia" w:ascii="仿宋" w:hAnsi="仿宋" w:eastAsia="仿宋" w:cs="仿宋"/>
                <w:b w:val="0"/>
                <w:bCs w:val="0"/>
                <w:color w:val="auto"/>
                <w:lang w:bidi="en-US"/>
              </w:rPr>
            </w:pPr>
          </w:p>
          <w:p>
            <w:pPr>
              <w:pStyle w:val="2"/>
              <w:keepNext w:val="0"/>
              <w:keepLines w:val="0"/>
              <w:pageBreakBefore w:val="0"/>
              <w:widowControl w:val="0"/>
              <w:tabs>
                <w:tab w:val="left" w:pos="1470"/>
                <w:tab w:val="clear" w:pos="567"/>
              </w:tabs>
              <w:kinsoku/>
              <w:wordWrap/>
              <w:overflowPunct/>
              <w:topLinePunct w:val="0"/>
              <w:autoSpaceDE/>
              <w:autoSpaceDN/>
              <w:bidi w:val="0"/>
              <w:spacing w:after="0" w:line="500" w:lineRule="exact"/>
              <w:ind w:right="67" w:rightChars="32"/>
              <w:jc w:val="center"/>
              <w:textAlignment w:val="auto"/>
              <w:outlineLvl w:val="9"/>
              <w:rPr>
                <w:rFonts w:hint="eastAsia" w:ascii="仿宋" w:hAnsi="仿宋" w:eastAsia="仿宋" w:cs="仿宋"/>
                <w:b w:val="0"/>
                <w:bCs w:val="0"/>
                <w:color w:val="auto"/>
                <w:lang w:eastAsia="en-US" w:bidi="en-US"/>
              </w:rPr>
            </w:pPr>
            <w:r>
              <w:rPr>
                <w:rFonts w:hint="eastAsia" w:ascii="仿宋" w:hAnsi="仿宋" w:eastAsia="仿宋" w:cs="仿宋"/>
                <w:b w:val="0"/>
                <w:bCs w:val="0"/>
                <w:color w:val="auto"/>
                <w:lang w:bidi="en-US"/>
              </w:rPr>
              <w:t>测量精度</w:t>
            </w:r>
            <w:r>
              <w:rPr>
                <w:rFonts w:hint="eastAsia" w:ascii="仿宋" w:hAnsi="仿宋" w:eastAsia="仿宋" w:cs="仿宋"/>
                <w:b w:val="0"/>
                <w:bCs w:val="0"/>
                <w:color w:val="auto"/>
                <w:lang w:eastAsia="en-US" w:bidi="en-US"/>
              </w:rPr>
              <w:t xml:space="preserve"> </w:t>
            </w:r>
          </w:p>
        </w:tc>
        <w:tc>
          <w:tcPr>
            <w:tcW w:w="2039" w:type="dxa"/>
            <w:vMerge w:val="restart"/>
          </w:tcPr>
          <w:p>
            <w:pPr>
              <w:pStyle w:val="74"/>
              <w:keepNext w:val="0"/>
              <w:keepLines w:val="0"/>
              <w:pageBreakBefore w:val="0"/>
              <w:widowControl w:val="0"/>
              <w:kinsoku/>
              <w:wordWrap/>
              <w:overflowPunct/>
              <w:topLinePunct w:val="0"/>
              <w:autoSpaceDE/>
              <w:autoSpaceDN/>
              <w:bidi w:val="0"/>
              <w:spacing w:before="14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静态相对定位精度</w:t>
            </w:r>
          </w:p>
        </w:tc>
        <w:tc>
          <w:tcPr>
            <w:tcW w:w="3042" w:type="dxa"/>
          </w:tcPr>
          <w:p>
            <w:pPr>
              <w:pStyle w:val="74"/>
              <w:keepNext w:val="0"/>
              <w:keepLines w:val="0"/>
              <w:pageBreakBefore w:val="0"/>
              <w:widowControl w:val="0"/>
              <w:kinsoku/>
              <w:wordWrap/>
              <w:overflowPunct/>
              <w:topLinePunct w:val="0"/>
              <w:autoSpaceDE/>
              <w:autoSpaceDN/>
              <w:bidi w:val="0"/>
              <w:spacing w:before="1" w:line="251" w:lineRule="exact"/>
              <w:ind w:right="350"/>
              <w:jc w:val="right"/>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水平：5mm+1ppm RMS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758" w:type="dxa"/>
            <w:vMerge w:val="continue"/>
            <w:tcBorders>
              <w:top w:val="nil"/>
            </w:tcBorders>
          </w:tcPr>
          <w:p>
            <w:pPr>
              <w:keepNext w:val="0"/>
              <w:keepLines w:val="0"/>
              <w:pageBreakBefore w:val="0"/>
              <w:widowControl w:val="0"/>
              <w:tabs>
                <w:tab w:val="left" w:pos="1470"/>
              </w:tabs>
              <w:kinsoku/>
              <w:wordWrap/>
              <w:overflowPunct/>
              <w:topLinePunct w:val="0"/>
              <w:autoSpaceDE/>
              <w:autoSpaceDN/>
              <w:bidi w:val="0"/>
              <w:ind w:right="67" w:rightChars="32"/>
              <w:textAlignment w:val="auto"/>
              <w:outlineLvl w:val="9"/>
              <w:rPr>
                <w:rFonts w:hint="eastAsia" w:ascii="仿宋" w:hAnsi="仿宋" w:eastAsia="仿宋" w:cs="仿宋"/>
                <w:b w:val="0"/>
                <w:bCs w:val="0"/>
                <w:color w:val="auto"/>
                <w:lang w:eastAsia="en-US" w:bidi="en-US"/>
              </w:rPr>
            </w:pPr>
          </w:p>
        </w:tc>
        <w:tc>
          <w:tcPr>
            <w:tcW w:w="2039" w:type="dxa"/>
            <w:vMerge w:val="continue"/>
            <w:tcBorders>
              <w:top w:val="nil"/>
            </w:tcBorders>
          </w:tcPr>
          <w:p>
            <w:pPr>
              <w:keepNext w:val="0"/>
              <w:keepLines w:val="0"/>
              <w:pageBreakBefore w:val="0"/>
              <w:widowControl w:val="0"/>
              <w:kinsoku/>
              <w:wordWrap/>
              <w:overflowPunct/>
              <w:topLinePunct w:val="0"/>
              <w:autoSpaceDE/>
              <w:autoSpaceDN/>
              <w:bidi w:val="0"/>
              <w:jc w:val="center"/>
              <w:textAlignment w:val="auto"/>
              <w:outlineLvl w:val="9"/>
              <w:rPr>
                <w:rFonts w:hint="eastAsia" w:ascii="仿宋" w:hAnsi="仿宋" w:eastAsia="仿宋" w:cs="仿宋"/>
                <w:b w:val="0"/>
                <w:bCs w:val="0"/>
                <w:color w:val="auto"/>
                <w:lang w:eastAsia="en-US" w:bidi="en-US"/>
              </w:rPr>
            </w:pPr>
          </w:p>
        </w:tc>
        <w:tc>
          <w:tcPr>
            <w:tcW w:w="3042" w:type="dxa"/>
          </w:tcPr>
          <w:p>
            <w:pPr>
              <w:pStyle w:val="74"/>
              <w:keepNext w:val="0"/>
              <w:keepLines w:val="0"/>
              <w:pageBreakBefore w:val="0"/>
              <w:widowControl w:val="0"/>
              <w:kinsoku/>
              <w:wordWrap/>
              <w:overflowPunct/>
              <w:topLinePunct w:val="0"/>
              <w:autoSpaceDE/>
              <w:autoSpaceDN/>
              <w:bidi w:val="0"/>
              <w:spacing w:before="1" w:line="251" w:lineRule="exact"/>
              <w:ind w:right="297"/>
              <w:jc w:val="right"/>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垂直：10mm+1ppm RMS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8" w:type="dxa"/>
            <w:vMerge w:val="continue"/>
            <w:tcBorders>
              <w:top w:val="nil"/>
            </w:tcBorders>
          </w:tcPr>
          <w:p>
            <w:pPr>
              <w:keepNext w:val="0"/>
              <w:keepLines w:val="0"/>
              <w:pageBreakBefore w:val="0"/>
              <w:widowControl w:val="0"/>
              <w:tabs>
                <w:tab w:val="left" w:pos="1470"/>
              </w:tabs>
              <w:kinsoku/>
              <w:wordWrap/>
              <w:overflowPunct/>
              <w:topLinePunct w:val="0"/>
              <w:autoSpaceDE/>
              <w:autoSpaceDN/>
              <w:bidi w:val="0"/>
              <w:ind w:right="67" w:rightChars="32"/>
              <w:textAlignment w:val="auto"/>
              <w:outlineLvl w:val="9"/>
              <w:rPr>
                <w:rFonts w:hint="eastAsia" w:ascii="仿宋" w:hAnsi="仿宋" w:eastAsia="仿宋" w:cs="仿宋"/>
                <w:b w:val="0"/>
                <w:bCs w:val="0"/>
                <w:color w:val="auto"/>
                <w:lang w:eastAsia="en-US" w:bidi="en-US"/>
              </w:rPr>
            </w:pPr>
          </w:p>
        </w:tc>
        <w:tc>
          <w:tcPr>
            <w:tcW w:w="2039" w:type="dxa"/>
            <w:vMerge w:val="restart"/>
          </w:tcPr>
          <w:p>
            <w:pPr>
              <w:pStyle w:val="74"/>
              <w:keepNext w:val="0"/>
              <w:keepLines w:val="0"/>
              <w:pageBreakBefore w:val="0"/>
              <w:widowControl w:val="0"/>
              <w:kinsoku/>
              <w:wordWrap/>
              <w:overflowPunct/>
              <w:topLinePunct w:val="0"/>
              <w:autoSpaceDE/>
              <w:autoSpaceDN/>
              <w:bidi w:val="0"/>
              <w:spacing w:before="14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动态相对定位精度</w:t>
            </w:r>
          </w:p>
        </w:tc>
        <w:tc>
          <w:tcPr>
            <w:tcW w:w="3042" w:type="dxa"/>
          </w:tcPr>
          <w:p>
            <w:pPr>
              <w:pStyle w:val="74"/>
              <w:keepNext w:val="0"/>
              <w:keepLines w:val="0"/>
              <w:pageBreakBefore w:val="0"/>
              <w:widowControl w:val="0"/>
              <w:kinsoku/>
              <w:wordWrap/>
              <w:overflowPunct/>
              <w:topLinePunct w:val="0"/>
              <w:autoSpaceDE/>
              <w:autoSpaceDN/>
              <w:bidi w:val="0"/>
              <w:spacing w:before="2" w:line="251" w:lineRule="exact"/>
              <w:ind w:right="297"/>
              <w:jc w:val="right"/>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水平：10mm+1ppm RMS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8" w:type="dxa"/>
            <w:vMerge w:val="continue"/>
            <w:tcBorders>
              <w:top w:val="nil"/>
            </w:tcBorders>
          </w:tcPr>
          <w:p>
            <w:pPr>
              <w:keepNext w:val="0"/>
              <w:keepLines w:val="0"/>
              <w:pageBreakBefore w:val="0"/>
              <w:widowControl w:val="0"/>
              <w:tabs>
                <w:tab w:val="left" w:pos="1470"/>
              </w:tabs>
              <w:kinsoku/>
              <w:wordWrap/>
              <w:overflowPunct/>
              <w:topLinePunct w:val="0"/>
              <w:autoSpaceDE/>
              <w:autoSpaceDN/>
              <w:bidi w:val="0"/>
              <w:ind w:right="67" w:rightChars="32"/>
              <w:textAlignment w:val="auto"/>
              <w:outlineLvl w:val="9"/>
              <w:rPr>
                <w:rFonts w:hint="eastAsia" w:ascii="仿宋" w:hAnsi="仿宋" w:eastAsia="仿宋" w:cs="仿宋"/>
                <w:b w:val="0"/>
                <w:bCs w:val="0"/>
                <w:color w:val="auto"/>
                <w:lang w:eastAsia="en-US" w:bidi="en-US"/>
              </w:rPr>
            </w:pPr>
          </w:p>
        </w:tc>
        <w:tc>
          <w:tcPr>
            <w:tcW w:w="2039" w:type="dxa"/>
            <w:vMerge w:val="continue"/>
            <w:tcBorders>
              <w:top w:val="nil"/>
            </w:tcBorders>
          </w:tcPr>
          <w:p>
            <w:pPr>
              <w:keepNext w:val="0"/>
              <w:keepLines w:val="0"/>
              <w:pageBreakBefore w:val="0"/>
              <w:widowControl w:val="0"/>
              <w:kinsoku/>
              <w:wordWrap/>
              <w:overflowPunct/>
              <w:topLinePunct w:val="0"/>
              <w:autoSpaceDE/>
              <w:autoSpaceDN/>
              <w:bidi w:val="0"/>
              <w:textAlignment w:val="auto"/>
              <w:outlineLvl w:val="9"/>
              <w:rPr>
                <w:rFonts w:hint="eastAsia" w:ascii="仿宋" w:hAnsi="仿宋" w:eastAsia="仿宋" w:cs="仿宋"/>
                <w:b w:val="0"/>
                <w:bCs w:val="0"/>
                <w:color w:val="auto"/>
                <w:lang w:eastAsia="en-US" w:bidi="en-US"/>
              </w:rPr>
            </w:pPr>
          </w:p>
        </w:tc>
        <w:tc>
          <w:tcPr>
            <w:tcW w:w="3042" w:type="dxa"/>
          </w:tcPr>
          <w:p>
            <w:pPr>
              <w:pStyle w:val="74"/>
              <w:keepNext w:val="0"/>
              <w:keepLines w:val="0"/>
              <w:pageBreakBefore w:val="0"/>
              <w:widowControl w:val="0"/>
              <w:kinsoku/>
              <w:wordWrap/>
              <w:overflowPunct/>
              <w:topLinePunct w:val="0"/>
              <w:autoSpaceDE/>
              <w:autoSpaceDN/>
              <w:bidi w:val="0"/>
              <w:spacing w:before="1" w:line="251" w:lineRule="exact"/>
              <w:ind w:right="297"/>
              <w:jc w:val="right"/>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垂直：20mm+1ppm RMS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75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采样间隔 </w:t>
            </w:r>
          </w:p>
        </w:tc>
        <w:tc>
          <w:tcPr>
            <w:tcW w:w="5081" w:type="dxa"/>
            <w:gridSpan w:val="2"/>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0s～24h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上传间隔 </w:t>
            </w:r>
          </w:p>
        </w:tc>
        <w:tc>
          <w:tcPr>
            <w:tcW w:w="5081" w:type="dxa"/>
            <w:gridSpan w:val="2"/>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0s～72h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8"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通信方式</w:t>
            </w:r>
          </w:p>
        </w:tc>
        <w:tc>
          <w:tcPr>
            <w:tcW w:w="5081" w:type="dxa"/>
            <w:gridSpan w:val="2"/>
            <w:vAlign w:val="top"/>
          </w:tcPr>
          <w:p>
            <w:pPr>
              <w:keepNext w:val="0"/>
              <w:keepLines w:val="0"/>
              <w:pageBreakBefore w:val="0"/>
              <w:widowControl w:val="0"/>
              <w:kinsoku/>
              <w:wordWrap/>
              <w:overflowPunct/>
              <w:topLinePunct w:val="0"/>
              <w:autoSpaceDE/>
              <w:autoSpaceDN/>
              <w:bidi w:val="0"/>
              <w:spacing w:before="65" w:line="220" w:lineRule="auto"/>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spacing w:val="-1"/>
                <w:sz w:val="18"/>
                <w:szCs w:val="18"/>
              </w:rPr>
              <w:t>移动通信/低功</w:t>
            </w:r>
            <w:r>
              <w:rPr>
                <w:rFonts w:hint="eastAsia" w:ascii="仿宋" w:hAnsi="仿宋" w:eastAsia="仿宋" w:cs="仿宋"/>
                <w:b w:val="0"/>
                <w:bCs w:val="0"/>
                <w:color w:val="auto"/>
                <w:sz w:val="18"/>
                <w:szCs w:val="18"/>
              </w:rPr>
              <w:t>率广域网/高低轨卫星通信</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通信标准</w:t>
            </w:r>
          </w:p>
        </w:tc>
        <w:tc>
          <w:tcPr>
            <w:tcW w:w="5081" w:type="dxa"/>
            <w:gridSpan w:val="2"/>
            <w:vAlign w:val="top"/>
          </w:tcPr>
          <w:p>
            <w:pPr>
              <w:keepNext w:val="0"/>
              <w:keepLines w:val="0"/>
              <w:pageBreakBefore w:val="0"/>
              <w:widowControl w:val="0"/>
              <w:kinsoku/>
              <w:wordWrap/>
              <w:overflowPunct/>
              <w:topLinePunct w:val="0"/>
              <w:autoSpaceDE/>
              <w:autoSpaceDN/>
              <w:bidi w:val="0"/>
              <w:spacing w:before="66" w:line="220" w:lineRule="auto"/>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spacing w:val="-1"/>
                <w:sz w:val="18"/>
                <w:szCs w:val="18"/>
              </w:rPr>
              <w:t>符合《地质灾</w:t>
            </w:r>
            <w:r>
              <w:rPr>
                <w:rFonts w:hint="eastAsia" w:ascii="仿宋" w:hAnsi="仿宋" w:eastAsia="仿宋" w:cs="仿宋"/>
                <w:b w:val="0"/>
                <w:bCs w:val="0"/>
                <w:color w:val="auto"/>
                <w:sz w:val="18"/>
                <w:szCs w:val="18"/>
              </w:rPr>
              <w:t>害监测数据通信技术要求》</w:t>
            </w:r>
            <w:r>
              <w:rPr>
                <w:rFonts w:hint="eastAsia" w:ascii="仿宋" w:hAnsi="仿宋" w:eastAsia="仿宋" w:cs="仿宋"/>
                <w:b w:val="0"/>
                <w:bCs w:val="0"/>
                <w:color w:val="auto"/>
                <w:sz w:val="18"/>
                <w:szCs w:val="18"/>
                <w:lang w:eastAsia="zh-CN"/>
              </w:rPr>
              <w:t>（</w:t>
            </w:r>
            <w:r>
              <w:rPr>
                <w:rFonts w:hint="eastAsia" w:ascii="仿宋" w:hAnsi="仿宋" w:eastAsia="仿宋" w:cs="仿宋"/>
                <w:b w:val="0"/>
                <w:bCs w:val="0"/>
                <w:color w:val="auto"/>
                <w:sz w:val="18"/>
                <w:szCs w:val="18"/>
              </w:rPr>
              <w:t>计划号： 201912007)</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5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输出参数 </w:t>
            </w:r>
          </w:p>
        </w:tc>
        <w:tc>
          <w:tcPr>
            <w:tcW w:w="5081" w:type="dxa"/>
            <w:gridSpan w:val="2"/>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 xml:space="preserve">位移、倾角、振动加速度等 RTCM32原始数据（静态模式）、动态位移（动态模式）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星频要求及工作模式 </w:t>
            </w:r>
          </w:p>
        </w:tc>
        <w:tc>
          <w:tcPr>
            <w:tcW w:w="5081" w:type="dxa"/>
            <w:gridSpan w:val="2"/>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p>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BDS+GPS/双星四频以上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 xml:space="preserve">支持内置 MEMS 传感器动态触发调整监测频率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功耗 </w:t>
            </w:r>
          </w:p>
        </w:tc>
        <w:tc>
          <w:tcPr>
            <w:tcW w:w="5081" w:type="dxa"/>
            <w:gridSpan w:val="2"/>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在采样间隔不低于 15s 且上传间隔不低于 15s 情况下，接收机正常工作的平均功耗</w:t>
            </w:r>
            <w:r>
              <w:rPr>
                <w:rFonts w:hint="eastAsia" w:ascii="仿宋" w:hAnsi="仿宋" w:eastAsia="仿宋" w:cs="仿宋"/>
                <w:b w:val="0"/>
                <w:bCs w:val="0"/>
                <w:color w:val="auto"/>
                <w:lang w:eastAsia="zh-CN"/>
              </w:rPr>
              <w:t>〈</w:t>
            </w:r>
            <w:r>
              <w:rPr>
                <w:rFonts w:hint="eastAsia" w:ascii="仿宋" w:hAnsi="仿宋" w:eastAsia="仿宋" w:cs="仿宋"/>
                <w:b w:val="0"/>
                <w:bCs w:val="0"/>
                <w:color w:val="auto"/>
              </w:rPr>
              <w:t xml:space="preserve">2W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工作温度 </w:t>
            </w:r>
          </w:p>
        </w:tc>
        <w:tc>
          <w:tcPr>
            <w:tcW w:w="5081" w:type="dxa"/>
            <w:gridSpan w:val="2"/>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-20～+65℃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高寒地区定制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防护等级 </w:t>
            </w:r>
          </w:p>
        </w:tc>
        <w:tc>
          <w:tcPr>
            <w:tcW w:w="5081" w:type="dxa"/>
            <w:gridSpan w:val="2"/>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IP67 以上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设备可靠性 </w:t>
            </w:r>
          </w:p>
        </w:tc>
        <w:tc>
          <w:tcPr>
            <w:tcW w:w="5081" w:type="dxa"/>
            <w:gridSpan w:val="2"/>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 xml:space="preserve">MTBF 指标不低于 10000 小时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安装方式 </w:t>
            </w:r>
          </w:p>
        </w:tc>
        <w:tc>
          <w:tcPr>
            <w:tcW w:w="5081" w:type="dxa"/>
            <w:gridSpan w:val="2"/>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 xml:space="preserve">标准观测墩、现浇混凝土墩、钢结构等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 xml:space="preserve">供电方式 </w:t>
            </w:r>
          </w:p>
        </w:tc>
        <w:tc>
          <w:tcPr>
            <w:tcW w:w="5081" w:type="dxa"/>
            <w:gridSpan w:val="2"/>
          </w:tcPr>
          <w:p>
            <w:pPr>
              <w:pStyle w:val="74"/>
              <w:keepNext w:val="0"/>
              <w:keepLines w:val="0"/>
              <w:pageBreakBefore w:val="0"/>
              <w:widowControl w:val="0"/>
              <w:kinsoku/>
              <w:wordWrap/>
              <w:overflowPunct/>
              <w:topLinePunct w:val="0"/>
              <w:autoSpaceDE/>
              <w:autoSpaceDN/>
              <w:bidi w:val="0"/>
              <w:spacing w:before="1" w:line="251" w:lineRule="exact"/>
              <w:ind w:right="729"/>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 xml:space="preserve">按需供电方式，满足连续 30 个阴雨日正常工作 </w:t>
            </w:r>
          </w:p>
        </w:tc>
        <w:tc>
          <w:tcPr>
            <w:tcW w:w="1551" w:type="dxa"/>
          </w:tcPr>
          <w:p>
            <w:pPr>
              <w:pStyle w:val="74"/>
              <w:keepNext w:val="0"/>
              <w:keepLines w:val="0"/>
              <w:pageBreakBefore w:val="0"/>
              <w:widowControl w:val="0"/>
              <w:kinsoku/>
              <w:wordWrap/>
              <w:overflowPunct/>
              <w:topLinePunct w:val="0"/>
              <w:autoSpaceDE/>
              <w:autoSpaceDN/>
              <w:bidi w:val="0"/>
              <w:spacing w:before="1" w:line="251" w:lineRule="exact"/>
              <w:ind w:right="61"/>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具备</w:t>
            </w:r>
            <w:r>
              <w:rPr>
                <w:rFonts w:hint="eastAsia" w:ascii="仿宋" w:hAnsi="仿宋" w:eastAsia="仿宋" w:cs="仿宋"/>
                <w:b w:val="0"/>
                <w:bCs w:val="0"/>
                <w:color w:val="auto"/>
              </w:rPr>
              <w:t xml:space="preserve">过压及欠压保护 </w:t>
            </w:r>
          </w:p>
        </w:tc>
      </w:tr>
    </w:tbl>
    <w:p>
      <w:pPr>
        <w:pStyle w:val="2"/>
        <w:keepNext w:val="0"/>
        <w:keepLines w:val="0"/>
        <w:pageBreakBefore w:val="0"/>
        <w:widowControl w:val="0"/>
        <w:kinsoku/>
        <w:wordWrap/>
        <w:overflowPunct/>
        <w:topLinePunct w:val="0"/>
        <w:autoSpaceDE/>
        <w:autoSpaceDN/>
        <w:bidi w:val="0"/>
        <w:spacing w:after="0"/>
        <w:ind w:firstLine="480"/>
        <w:jc w:val="center"/>
        <w:textAlignment w:val="auto"/>
        <w:outlineLvl w:val="9"/>
        <w:rPr>
          <w:rFonts w:hint="eastAsia" w:ascii="仿宋" w:hAnsi="仿宋" w:eastAsia="仿宋" w:cs="仿宋"/>
          <w:b w:val="0"/>
          <w:bCs w:val="0"/>
          <w:color w:val="auto"/>
          <w:sz w:val="24"/>
          <w:szCs w:val="32"/>
        </w:rPr>
      </w:pPr>
    </w:p>
    <w:p>
      <w:pPr>
        <w:keepNext w:val="0"/>
        <w:keepLines w:val="0"/>
        <w:pageBreakBefore w:val="0"/>
        <w:widowControl w:val="0"/>
        <w:kinsoku/>
        <w:wordWrap/>
        <w:overflowPunct/>
        <w:topLinePunct w:val="0"/>
        <w:autoSpaceDE/>
        <w:autoSpaceDN/>
        <w:bidi w:val="0"/>
        <w:spacing w:before="137" w:line="221" w:lineRule="auto"/>
        <w:ind w:left="0" w:leftChars="0" w:firstLine="9" w:firstLineChars="0"/>
        <w:jc w:val="center"/>
        <w:textAlignment w:val="auto"/>
        <w:outlineLvl w:val="9"/>
        <w:rPr>
          <w:rFonts w:hint="eastAsia" w:ascii="仿宋" w:hAnsi="仿宋" w:eastAsia="仿宋" w:cs="仿宋"/>
          <w:b w:val="0"/>
          <w:bCs w:val="0"/>
          <w:color w:val="auto"/>
          <w:kern w:val="2"/>
          <w:sz w:val="24"/>
          <w:szCs w:val="32"/>
          <w:lang w:val="en-US" w:eastAsia="zh-CN" w:bidi="ar-SA"/>
        </w:rPr>
      </w:pPr>
      <w:r>
        <w:rPr>
          <w:rFonts w:hint="eastAsia" w:ascii="仿宋" w:hAnsi="仿宋" w:eastAsia="仿宋" w:cs="仿宋"/>
          <w:b w:val="0"/>
          <w:bCs w:val="0"/>
          <w:color w:val="auto"/>
          <w:kern w:val="2"/>
          <w:sz w:val="24"/>
          <w:szCs w:val="32"/>
          <w:lang w:val="en-US" w:eastAsia="zh-CN" w:bidi="ar-SA"/>
        </w:rPr>
        <w:t>表 4   GNSS CORS 组网基准站主要技术参数</w:t>
      </w:r>
    </w:p>
    <w:p>
      <w:pPr>
        <w:keepNext w:val="0"/>
        <w:keepLines w:val="0"/>
        <w:pageBreakBefore w:val="0"/>
        <w:widowControl w:val="0"/>
        <w:kinsoku/>
        <w:wordWrap/>
        <w:overflowPunct/>
        <w:topLinePunct w:val="0"/>
        <w:autoSpaceDE/>
        <w:autoSpaceDN/>
        <w:bidi w:val="0"/>
        <w:spacing w:line="89" w:lineRule="exact"/>
        <w:textAlignment w:val="auto"/>
        <w:outlineLvl w:val="9"/>
        <w:rPr>
          <w:rFonts w:hint="eastAsia" w:ascii="仿宋" w:hAnsi="仿宋" w:eastAsia="仿宋" w:cs="仿宋"/>
          <w:b w:val="0"/>
          <w:bCs w:val="0"/>
          <w:color w:val="auto"/>
        </w:rPr>
      </w:pPr>
    </w:p>
    <w:tbl>
      <w:tblPr>
        <w:tblStyle w:val="72"/>
        <w:tblW w:w="835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2373"/>
        <w:gridCol w:w="27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参数类型</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技术指标</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670" w:type="dxa"/>
            <w:vMerge w:val="restart"/>
            <w:tcBorders>
              <w:left w:val="single" w:color="000000" w:sz="6" w:space="0"/>
              <w:bottom w:val="nil"/>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p>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测量精度</w:t>
            </w:r>
          </w:p>
        </w:tc>
        <w:tc>
          <w:tcPr>
            <w:tcW w:w="2373" w:type="dxa"/>
            <w:vMerge w:val="restart"/>
            <w:tcBorders>
              <w:bottom w:val="nil"/>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静态相对定位精度</w:t>
            </w:r>
          </w:p>
        </w:tc>
        <w:tc>
          <w:tcPr>
            <w:tcW w:w="2756" w:type="dxa"/>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水平： 2.5mm+0.5ppm RMS</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vMerge w:val="continue"/>
            <w:tcBorders>
              <w:top w:val="nil"/>
              <w:left w:val="single" w:color="000000" w:sz="6" w:space="0"/>
              <w:bottom w:val="nil"/>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p>
        </w:tc>
        <w:tc>
          <w:tcPr>
            <w:tcW w:w="2373" w:type="dxa"/>
            <w:vMerge w:val="continue"/>
            <w:tcBorders>
              <w:top w:val="nil"/>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p>
        </w:tc>
        <w:tc>
          <w:tcPr>
            <w:tcW w:w="2756" w:type="dxa"/>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垂直： 5mm+0.5ppm RMS</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670" w:type="dxa"/>
            <w:vMerge w:val="continue"/>
            <w:tcBorders>
              <w:top w:val="nil"/>
              <w:left w:val="single" w:color="000000" w:sz="6" w:space="0"/>
              <w:bottom w:val="nil"/>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p>
        </w:tc>
        <w:tc>
          <w:tcPr>
            <w:tcW w:w="2373" w:type="dxa"/>
            <w:vMerge w:val="restart"/>
            <w:tcBorders>
              <w:bottom w:val="nil"/>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动态相对定位精度</w:t>
            </w:r>
          </w:p>
        </w:tc>
        <w:tc>
          <w:tcPr>
            <w:tcW w:w="2756" w:type="dxa"/>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水平： 8mm+1ppm RMS</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vMerge w:val="continue"/>
            <w:tcBorders>
              <w:top w:val="nil"/>
              <w:left w:val="single" w:color="000000" w:sz="6" w:space="0"/>
              <w:bottom w:val="nil"/>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p>
        </w:tc>
        <w:tc>
          <w:tcPr>
            <w:tcW w:w="2373" w:type="dxa"/>
            <w:vMerge w:val="continue"/>
            <w:tcBorders>
              <w:top w:val="nil"/>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p>
        </w:tc>
        <w:tc>
          <w:tcPr>
            <w:tcW w:w="2756" w:type="dxa"/>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垂直： 15mm+1ppm RMS</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vMerge w:val="continue"/>
            <w:tcBorders>
              <w:top w:val="nil"/>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接收机内部噪声水平优于 0.2mm</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天线</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频率范围全频点；天线轴比≤3dB；最高增益 7dBi</w:t>
            </w:r>
          </w:p>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相位中心误差±1mm；噪声系数≤2dB</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采用 3D 扼流圈天线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采样间隔</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0s~24h</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上传间隔</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0s~72h</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通信方式</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移动通信/低功率广域网/高低轨卫星通信</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通信标准</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符合《地质灾害监测数据通信技术要求》</w:t>
            </w:r>
            <w:r>
              <w:rPr>
                <w:rFonts w:hint="eastAsia" w:ascii="仿宋" w:hAnsi="仿宋" w:eastAsia="仿宋" w:cs="仿宋"/>
                <w:b w:val="0"/>
                <w:bCs w:val="0"/>
                <w:color w:val="auto"/>
                <w:lang w:eastAsia="zh-CN"/>
              </w:rPr>
              <w:t>（</w:t>
            </w:r>
            <w:r>
              <w:rPr>
                <w:rFonts w:hint="eastAsia" w:ascii="仿宋" w:hAnsi="仿宋" w:eastAsia="仿宋" w:cs="仿宋"/>
                <w:b w:val="0"/>
                <w:bCs w:val="0"/>
                <w:color w:val="auto"/>
              </w:rPr>
              <w:t>计划号： 201912007)</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输出参数</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位移、倾角、振动加速度等</w:t>
            </w:r>
          </w:p>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RTCM32 原始数据</w:t>
            </w:r>
            <w:r>
              <w:rPr>
                <w:rFonts w:hint="eastAsia" w:ascii="仿宋" w:hAnsi="仿宋" w:eastAsia="仿宋" w:cs="仿宋"/>
                <w:b w:val="0"/>
                <w:bCs w:val="0"/>
                <w:color w:val="auto"/>
                <w:lang w:eastAsia="zh-CN"/>
              </w:rPr>
              <w:t>（</w:t>
            </w:r>
            <w:r>
              <w:rPr>
                <w:rFonts w:hint="eastAsia" w:ascii="仿宋" w:hAnsi="仿宋" w:eastAsia="仿宋" w:cs="仿宋"/>
                <w:b w:val="0"/>
                <w:bCs w:val="0"/>
                <w:color w:val="auto"/>
              </w:rPr>
              <w:t>静态模式</w:t>
            </w:r>
            <w:r>
              <w:rPr>
                <w:rFonts w:hint="eastAsia" w:ascii="仿宋" w:hAnsi="仿宋" w:eastAsia="仿宋" w:cs="仿宋"/>
                <w:b w:val="0"/>
                <w:bCs w:val="0"/>
                <w:color w:val="auto"/>
                <w:lang w:eastAsia="zh-CN"/>
              </w:rPr>
              <w:t>）</w:t>
            </w:r>
            <w:r>
              <w:rPr>
                <w:rFonts w:hint="eastAsia" w:ascii="仿宋" w:hAnsi="仿宋" w:eastAsia="仿宋" w:cs="仿宋"/>
                <w:b w:val="0"/>
                <w:bCs w:val="0"/>
                <w:color w:val="auto"/>
              </w:rPr>
              <w:t xml:space="preserve"> 、动态位移</w:t>
            </w:r>
            <w:r>
              <w:rPr>
                <w:rFonts w:hint="eastAsia" w:ascii="仿宋" w:hAnsi="仿宋" w:eastAsia="仿宋" w:cs="仿宋"/>
                <w:b w:val="0"/>
                <w:bCs w:val="0"/>
                <w:color w:val="auto"/>
                <w:lang w:eastAsia="zh-CN"/>
              </w:rPr>
              <w:t>（</w:t>
            </w:r>
            <w:r>
              <w:rPr>
                <w:rFonts w:hint="eastAsia" w:ascii="仿宋" w:hAnsi="仿宋" w:eastAsia="仿宋" w:cs="仿宋"/>
                <w:b w:val="0"/>
                <w:bCs w:val="0"/>
                <w:color w:val="auto"/>
              </w:rPr>
              <w:t>动态模式</w:t>
            </w:r>
            <w:r>
              <w:rPr>
                <w:rFonts w:hint="eastAsia" w:ascii="仿宋" w:hAnsi="仿宋" w:eastAsia="仿宋" w:cs="仿宋"/>
                <w:b w:val="0"/>
                <w:bCs w:val="0"/>
                <w:color w:val="auto"/>
                <w:lang w:eastAsia="zh-CN"/>
              </w:rPr>
              <w:t>）</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工作模式</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三星八频以上</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支持北斗三代卫星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数据格式</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支持 RTCM32 原始数据及实时动态结果数据上传</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多路径误差</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每小时每颗卫星： L1/B1 频段优于 0.3m；L2/B2 频段优于 0.3m</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周跳比</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周跳比每小时不小于 8000；</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工作温度</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-20~+65℃</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高寒地区定制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防护等级</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IP68</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仪器可靠性</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MTBF 时间不小于 20000 小时</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安装方式</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标准观测墩、现浇混凝土墩、钢结构等</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670" w:type="dxa"/>
            <w:tcBorders>
              <w:left w:val="single" w:color="000000" w:sz="6"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bookmarkStart w:id="352" w:name="_bookmark53"/>
            <w:bookmarkEnd w:id="352"/>
            <w:r>
              <w:rPr>
                <w:rFonts w:hint="eastAsia" w:ascii="仿宋" w:hAnsi="仿宋" w:eastAsia="仿宋" w:cs="仿宋"/>
                <w:b w:val="0"/>
                <w:bCs w:val="0"/>
                <w:color w:val="auto"/>
              </w:rPr>
              <w:t>供电方式</w:t>
            </w:r>
          </w:p>
        </w:tc>
        <w:tc>
          <w:tcPr>
            <w:tcW w:w="5129" w:type="dxa"/>
            <w:gridSpan w:val="2"/>
            <w:tcBorders>
              <w:right w:val="single" w:color="000000" w:sz="4" w:space="0"/>
            </w:tcBorders>
            <w:vAlign w:val="center"/>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按需供电方式，满足连续 30 个阴雨日正常工作</w:t>
            </w:r>
          </w:p>
        </w:tc>
        <w:tc>
          <w:tcPr>
            <w:tcW w:w="1556" w:type="dxa"/>
            <w:tcBorders>
              <w:left w:val="single" w:color="000000" w:sz="4" w:space="0"/>
              <w:right w:val="single" w:color="000000" w:sz="6" w:space="0"/>
            </w:tcBorders>
            <w:vAlign w:val="center"/>
          </w:tcPr>
          <w:p>
            <w:pPr>
              <w:pStyle w:val="74"/>
              <w:keepNext w:val="0"/>
              <w:keepLines w:val="0"/>
              <w:pageBreakBefore w:val="0"/>
              <w:widowControl w:val="0"/>
              <w:kinsoku/>
              <w:wordWrap/>
              <w:overflowPunct/>
              <w:topLinePunct w:val="0"/>
              <w:autoSpaceDE/>
              <w:autoSpaceDN/>
              <w:bidi w:val="0"/>
              <w:spacing w:before="1" w:line="251" w:lineRule="exact"/>
              <w:ind w:right="61"/>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具备过压及欠压保护</w:t>
            </w:r>
          </w:p>
        </w:tc>
      </w:tr>
    </w:tbl>
    <w:p>
      <w:pPr>
        <w:pStyle w:val="2"/>
        <w:keepNext w:val="0"/>
        <w:keepLines w:val="0"/>
        <w:pageBreakBefore w:val="0"/>
        <w:widowControl w:val="0"/>
        <w:kinsoku/>
        <w:wordWrap/>
        <w:overflowPunct/>
        <w:topLinePunct w:val="0"/>
        <w:autoSpaceDE/>
        <w:autoSpaceDN/>
        <w:bidi w:val="0"/>
        <w:spacing w:after="0"/>
        <w:ind w:firstLine="480"/>
        <w:jc w:val="center"/>
        <w:textAlignment w:val="auto"/>
        <w:outlineLvl w:val="9"/>
        <w:rPr>
          <w:rFonts w:hint="eastAsia" w:ascii="仿宋" w:hAnsi="仿宋" w:eastAsia="仿宋" w:cs="仿宋"/>
          <w:b w:val="0"/>
          <w:bCs w:val="0"/>
          <w:color w:val="auto"/>
          <w:sz w:val="24"/>
          <w:szCs w:val="32"/>
        </w:rPr>
      </w:pPr>
    </w:p>
    <w:p>
      <w:pPr>
        <w:pStyle w:val="2"/>
        <w:keepNext w:val="0"/>
        <w:keepLines w:val="0"/>
        <w:pageBreakBefore w:val="0"/>
        <w:widowControl w:val="0"/>
        <w:kinsoku/>
        <w:wordWrap/>
        <w:overflowPunct/>
        <w:topLinePunct w:val="0"/>
        <w:autoSpaceDE/>
        <w:autoSpaceDN/>
        <w:bidi w:val="0"/>
        <w:spacing w:after="0"/>
        <w:ind w:firstLine="480"/>
        <w:jc w:val="center"/>
        <w:textAlignment w:val="auto"/>
        <w:outlineLvl w:val="9"/>
        <w:rPr>
          <w:rFonts w:hint="eastAsia" w:ascii="仿宋" w:hAnsi="仿宋" w:eastAsia="仿宋" w:cs="仿宋"/>
          <w:b w:val="0"/>
          <w:bCs w:val="0"/>
          <w:color w:val="auto"/>
          <w:sz w:val="24"/>
          <w:szCs w:val="32"/>
        </w:rPr>
      </w:pPr>
      <w:r>
        <w:rPr>
          <w:rFonts w:hint="eastAsia" w:ascii="仿宋" w:hAnsi="仿宋" w:eastAsia="仿宋" w:cs="仿宋"/>
          <w:b w:val="0"/>
          <w:bCs w:val="0"/>
          <w:color w:val="auto"/>
          <w:sz w:val="24"/>
          <w:szCs w:val="32"/>
        </w:rPr>
        <w:t>表</w:t>
      </w:r>
      <w:r>
        <w:rPr>
          <w:rFonts w:hint="eastAsia" w:ascii="仿宋" w:hAnsi="仿宋" w:eastAsia="仿宋" w:cs="仿宋"/>
          <w:b w:val="0"/>
          <w:bCs w:val="0"/>
          <w:color w:val="auto"/>
          <w:sz w:val="24"/>
          <w:szCs w:val="32"/>
          <w:lang w:val="en-US" w:eastAsia="zh-CN"/>
        </w:rPr>
        <w:t>5</w:t>
      </w:r>
      <w:r>
        <w:rPr>
          <w:rFonts w:hint="eastAsia" w:ascii="仿宋" w:hAnsi="仿宋" w:eastAsia="仿宋" w:cs="仿宋"/>
          <w:b w:val="0"/>
          <w:bCs w:val="0"/>
          <w:color w:val="auto"/>
          <w:sz w:val="24"/>
          <w:szCs w:val="32"/>
        </w:rPr>
        <w:t xml:space="preserve"> 裂缝计（裂缝/倾角/加速度三参数）主要技术参数</w:t>
      </w:r>
    </w:p>
    <w:tbl>
      <w:tblPr>
        <w:tblStyle w:val="37"/>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8"/>
        <w:gridCol w:w="5018"/>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98" w:type="dxa"/>
          </w:tcPr>
          <w:p>
            <w:pPr>
              <w:pStyle w:val="74"/>
              <w:keepNext w:val="0"/>
              <w:keepLines w:val="0"/>
              <w:pageBreakBefore w:val="0"/>
              <w:widowControl w:val="0"/>
              <w:kinsoku/>
              <w:wordWrap/>
              <w:overflowPunct/>
              <w:topLinePunct w:val="0"/>
              <w:autoSpaceDE/>
              <w:autoSpaceDN/>
              <w:bidi w:val="0"/>
              <w:ind w:right="255"/>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w w:val="95"/>
              </w:rPr>
              <w:t>参数类型</w:t>
            </w:r>
          </w:p>
        </w:tc>
        <w:tc>
          <w:tcPr>
            <w:tcW w:w="5018" w:type="dxa"/>
          </w:tcPr>
          <w:p>
            <w:pPr>
              <w:pStyle w:val="74"/>
              <w:keepNext w:val="0"/>
              <w:keepLines w:val="0"/>
              <w:pageBreakBefore w:val="0"/>
              <w:widowControl w:val="0"/>
              <w:kinsoku/>
              <w:wordWrap/>
              <w:overflowPunct/>
              <w:topLinePunct w:val="0"/>
              <w:autoSpaceDE/>
              <w:autoSpaceDN/>
              <w:bidi w:val="0"/>
              <w:ind w:left="639" w:right="5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技术指标</w:t>
            </w:r>
          </w:p>
        </w:tc>
        <w:tc>
          <w:tcPr>
            <w:tcW w:w="1674" w:type="dxa"/>
          </w:tcPr>
          <w:p>
            <w:pPr>
              <w:pStyle w:val="74"/>
              <w:keepNext w:val="0"/>
              <w:keepLines w:val="0"/>
              <w:pageBreakBefore w:val="0"/>
              <w:widowControl w:val="0"/>
              <w:kinsoku/>
              <w:wordWrap/>
              <w:overflowPunct/>
              <w:topLinePunct w:val="0"/>
              <w:autoSpaceDE/>
              <w:autoSpaceDN/>
              <w:bidi w:val="0"/>
              <w:ind w:left="262" w:right="15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测量范围</w:t>
            </w:r>
          </w:p>
        </w:tc>
        <w:tc>
          <w:tcPr>
            <w:tcW w:w="501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0～50/100</w:t>
            </w:r>
            <w:r>
              <w:rPr>
                <w:rFonts w:hint="eastAsia" w:ascii="仿宋" w:hAnsi="仿宋" w:eastAsia="仿宋" w:cs="仿宋"/>
                <w:b w:val="0"/>
                <w:bCs w:val="0"/>
                <w:color w:val="auto"/>
                <w:lang w:eastAsia="zh-CN"/>
              </w:rPr>
              <w:t>/</w:t>
            </w:r>
            <w:r>
              <w:rPr>
                <w:rFonts w:hint="eastAsia" w:ascii="仿宋" w:hAnsi="仿宋" w:eastAsia="仿宋" w:cs="仿宋"/>
                <w:b w:val="0"/>
                <w:bCs w:val="0"/>
                <w:color w:val="auto"/>
              </w:rPr>
              <w:t>200/500cm</w:t>
            </w:r>
          </w:p>
        </w:tc>
        <w:tc>
          <w:tcPr>
            <w:tcW w:w="1674"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测量精度</w:t>
            </w:r>
          </w:p>
        </w:tc>
        <w:tc>
          <w:tcPr>
            <w:tcW w:w="501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±0.1%F·S</w:t>
            </w:r>
          </w:p>
        </w:tc>
        <w:tc>
          <w:tcPr>
            <w:tcW w:w="1674"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采样间隔</w:t>
            </w:r>
          </w:p>
        </w:tc>
        <w:tc>
          <w:tcPr>
            <w:tcW w:w="501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0s～24h</w:t>
            </w:r>
          </w:p>
        </w:tc>
        <w:tc>
          <w:tcPr>
            <w:tcW w:w="1674"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上传间隔</w:t>
            </w:r>
          </w:p>
        </w:tc>
        <w:tc>
          <w:tcPr>
            <w:tcW w:w="501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0s～72h</w:t>
            </w:r>
          </w:p>
        </w:tc>
        <w:tc>
          <w:tcPr>
            <w:tcW w:w="1674"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98"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通信方式</w:t>
            </w:r>
          </w:p>
        </w:tc>
        <w:tc>
          <w:tcPr>
            <w:tcW w:w="5018"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spacing w:val="-1"/>
                <w:sz w:val="18"/>
                <w:szCs w:val="18"/>
              </w:rPr>
              <w:t>移动通信/低功率</w:t>
            </w:r>
            <w:r>
              <w:rPr>
                <w:rFonts w:hint="eastAsia" w:ascii="仿宋" w:hAnsi="仿宋" w:eastAsia="仿宋" w:cs="仿宋"/>
                <w:b w:val="0"/>
                <w:bCs w:val="0"/>
                <w:color w:val="auto"/>
                <w:sz w:val="18"/>
                <w:szCs w:val="18"/>
              </w:rPr>
              <w:t>广域网/高低轨卫星通信</w:t>
            </w:r>
          </w:p>
        </w:tc>
        <w:tc>
          <w:tcPr>
            <w:tcW w:w="1674"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98"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通信标准</w:t>
            </w:r>
          </w:p>
        </w:tc>
        <w:tc>
          <w:tcPr>
            <w:tcW w:w="5018"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spacing w:val="-1"/>
                <w:sz w:val="18"/>
                <w:szCs w:val="18"/>
                <w:lang w:eastAsia="zh-CN"/>
              </w:rPr>
              <w:t>符合《地质灾害监测数据通讯技术要求》（</w:t>
            </w:r>
            <w:r>
              <w:rPr>
                <w:rFonts w:hint="eastAsia" w:ascii="仿宋" w:hAnsi="仿宋" w:eastAsia="仿宋" w:cs="仿宋"/>
                <w:b w:val="0"/>
                <w:bCs w:val="0"/>
                <w:color w:val="auto"/>
                <w:spacing w:val="-1"/>
                <w:sz w:val="18"/>
                <w:szCs w:val="18"/>
              </w:rPr>
              <w:t>计划号： 201912007)</w:t>
            </w:r>
          </w:p>
        </w:tc>
        <w:tc>
          <w:tcPr>
            <w:tcW w:w="1674"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输出参数</w:t>
            </w:r>
          </w:p>
        </w:tc>
        <w:tc>
          <w:tcPr>
            <w:tcW w:w="501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裂缝宽度、振动加速度、倾角等</w:t>
            </w:r>
          </w:p>
        </w:tc>
        <w:tc>
          <w:tcPr>
            <w:tcW w:w="1674"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工作温度</w:t>
            </w:r>
          </w:p>
        </w:tc>
        <w:tc>
          <w:tcPr>
            <w:tcW w:w="501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-20℃～+65℃</w:t>
            </w:r>
          </w:p>
        </w:tc>
        <w:tc>
          <w:tcPr>
            <w:tcW w:w="1674"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防护等级</w:t>
            </w:r>
          </w:p>
        </w:tc>
        <w:tc>
          <w:tcPr>
            <w:tcW w:w="501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IP66</w:t>
            </w:r>
          </w:p>
        </w:tc>
        <w:tc>
          <w:tcPr>
            <w:tcW w:w="1674"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安装方式</w:t>
            </w:r>
          </w:p>
        </w:tc>
        <w:tc>
          <w:tcPr>
            <w:tcW w:w="501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标准观测墩、现浇混凝土墩、钢结构等</w:t>
            </w:r>
          </w:p>
        </w:tc>
        <w:tc>
          <w:tcPr>
            <w:tcW w:w="1674"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供电方式</w:t>
            </w:r>
          </w:p>
        </w:tc>
        <w:tc>
          <w:tcPr>
            <w:tcW w:w="501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按需供电方式，满足连续 30 个阴雨日正常工作</w:t>
            </w:r>
          </w:p>
        </w:tc>
        <w:tc>
          <w:tcPr>
            <w:tcW w:w="1674"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具备</w:t>
            </w:r>
            <w:r>
              <w:rPr>
                <w:rFonts w:hint="eastAsia" w:ascii="仿宋" w:hAnsi="仿宋" w:eastAsia="仿宋" w:cs="仿宋"/>
                <w:b w:val="0"/>
                <w:bCs w:val="0"/>
                <w:color w:val="auto"/>
              </w:rPr>
              <w:t>过压及欠压保护</w:t>
            </w:r>
          </w:p>
        </w:tc>
      </w:tr>
    </w:tbl>
    <w:p>
      <w:pPr>
        <w:pStyle w:val="2"/>
        <w:keepNext w:val="0"/>
        <w:keepLines w:val="0"/>
        <w:pageBreakBefore w:val="0"/>
        <w:widowControl w:val="0"/>
        <w:kinsoku/>
        <w:wordWrap/>
        <w:overflowPunct/>
        <w:topLinePunct w:val="0"/>
        <w:autoSpaceDE/>
        <w:autoSpaceDN/>
        <w:bidi w:val="0"/>
        <w:spacing w:after="0"/>
        <w:ind w:firstLine="480"/>
        <w:jc w:val="center"/>
        <w:textAlignment w:val="auto"/>
        <w:outlineLvl w:val="9"/>
        <w:rPr>
          <w:rFonts w:hint="eastAsia" w:ascii="仿宋" w:hAnsi="仿宋" w:eastAsia="仿宋" w:cs="仿宋"/>
          <w:b w:val="0"/>
          <w:bCs w:val="0"/>
          <w:color w:val="auto"/>
          <w:sz w:val="24"/>
          <w:szCs w:val="32"/>
        </w:rPr>
      </w:pPr>
    </w:p>
    <w:p>
      <w:pPr>
        <w:pStyle w:val="2"/>
        <w:keepNext w:val="0"/>
        <w:keepLines w:val="0"/>
        <w:pageBreakBefore w:val="0"/>
        <w:widowControl w:val="0"/>
        <w:kinsoku/>
        <w:wordWrap/>
        <w:overflowPunct/>
        <w:topLinePunct w:val="0"/>
        <w:autoSpaceDE/>
        <w:autoSpaceDN/>
        <w:bidi w:val="0"/>
        <w:spacing w:after="0"/>
        <w:ind w:firstLine="480"/>
        <w:jc w:val="center"/>
        <w:textAlignment w:val="auto"/>
        <w:outlineLvl w:val="9"/>
        <w:rPr>
          <w:rFonts w:hint="eastAsia" w:ascii="仿宋" w:hAnsi="仿宋" w:eastAsia="仿宋" w:cs="仿宋"/>
          <w:b w:val="0"/>
          <w:bCs w:val="0"/>
          <w:color w:val="auto"/>
          <w:sz w:val="24"/>
          <w:szCs w:val="32"/>
        </w:rPr>
      </w:pPr>
      <w:r>
        <w:rPr>
          <w:rFonts w:hint="eastAsia" w:ascii="仿宋" w:hAnsi="仿宋" w:eastAsia="仿宋" w:cs="仿宋"/>
          <w:b w:val="0"/>
          <w:bCs w:val="0"/>
          <w:color w:val="auto"/>
          <w:sz w:val="24"/>
          <w:szCs w:val="32"/>
        </w:rPr>
        <w:t xml:space="preserve">表 </w:t>
      </w:r>
      <w:r>
        <w:rPr>
          <w:rFonts w:hint="eastAsia" w:ascii="仿宋" w:hAnsi="仿宋" w:eastAsia="仿宋" w:cs="仿宋"/>
          <w:b w:val="0"/>
          <w:bCs w:val="0"/>
          <w:color w:val="auto"/>
          <w:sz w:val="24"/>
          <w:szCs w:val="32"/>
          <w:lang w:val="en-US" w:eastAsia="zh-CN"/>
        </w:rPr>
        <w:t>6</w:t>
      </w:r>
      <w:r>
        <w:rPr>
          <w:rFonts w:hint="eastAsia" w:ascii="仿宋" w:hAnsi="仿宋" w:eastAsia="仿宋" w:cs="仿宋"/>
          <w:b w:val="0"/>
          <w:bCs w:val="0"/>
          <w:color w:val="auto"/>
          <w:sz w:val="24"/>
          <w:szCs w:val="32"/>
        </w:rPr>
        <w:t xml:space="preserve">  倾角计主要技术参数</w:t>
      </w:r>
    </w:p>
    <w:tbl>
      <w:tblPr>
        <w:tblStyle w:val="37"/>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3"/>
        <w:gridCol w:w="4917"/>
        <w:gridCol w:w="1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833" w:type="dxa"/>
          </w:tcPr>
          <w:p>
            <w:pPr>
              <w:pStyle w:val="74"/>
              <w:keepNext w:val="0"/>
              <w:keepLines w:val="0"/>
              <w:pageBreakBefore w:val="0"/>
              <w:widowControl w:val="0"/>
              <w:kinsoku/>
              <w:wordWrap/>
              <w:overflowPunct/>
              <w:topLinePunct w:val="0"/>
              <w:autoSpaceDE/>
              <w:autoSpaceDN/>
              <w:bidi w:val="0"/>
              <w:ind w:right="255"/>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w w:val="95"/>
              </w:rPr>
              <w:t>参数类型</w:t>
            </w:r>
          </w:p>
        </w:tc>
        <w:tc>
          <w:tcPr>
            <w:tcW w:w="5143" w:type="dxa"/>
          </w:tcPr>
          <w:p>
            <w:pPr>
              <w:pStyle w:val="74"/>
              <w:keepNext w:val="0"/>
              <w:keepLines w:val="0"/>
              <w:pageBreakBefore w:val="0"/>
              <w:widowControl w:val="0"/>
              <w:kinsoku/>
              <w:wordWrap/>
              <w:overflowPunct/>
              <w:topLinePunct w:val="0"/>
              <w:autoSpaceDE/>
              <w:autoSpaceDN/>
              <w:bidi w:val="0"/>
              <w:ind w:left="639" w:right="5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技术指标</w:t>
            </w:r>
          </w:p>
        </w:tc>
        <w:tc>
          <w:tcPr>
            <w:tcW w:w="1798" w:type="dxa"/>
          </w:tcPr>
          <w:p>
            <w:pPr>
              <w:pStyle w:val="74"/>
              <w:keepNext w:val="0"/>
              <w:keepLines w:val="0"/>
              <w:pageBreakBefore w:val="0"/>
              <w:widowControl w:val="0"/>
              <w:kinsoku/>
              <w:wordWrap/>
              <w:overflowPunct/>
              <w:topLinePunct w:val="0"/>
              <w:autoSpaceDE/>
              <w:autoSpaceDN/>
              <w:bidi w:val="0"/>
              <w:ind w:left="262" w:right="15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83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测量范围</w:t>
            </w:r>
          </w:p>
        </w:tc>
        <w:tc>
          <w:tcPr>
            <w:tcW w:w="514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±30°</w:t>
            </w:r>
          </w:p>
        </w:tc>
        <w:tc>
          <w:tcPr>
            <w:tcW w:w="17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83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测量精度</w:t>
            </w:r>
          </w:p>
        </w:tc>
        <w:tc>
          <w:tcPr>
            <w:tcW w:w="514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±0.1°</w:t>
            </w:r>
          </w:p>
        </w:tc>
        <w:tc>
          <w:tcPr>
            <w:tcW w:w="17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83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采样间隔</w:t>
            </w:r>
          </w:p>
        </w:tc>
        <w:tc>
          <w:tcPr>
            <w:tcW w:w="514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0s～24h</w:t>
            </w:r>
          </w:p>
        </w:tc>
        <w:tc>
          <w:tcPr>
            <w:tcW w:w="17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83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上传间隔</w:t>
            </w:r>
          </w:p>
        </w:tc>
        <w:tc>
          <w:tcPr>
            <w:tcW w:w="514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0s～72h</w:t>
            </w:r>
          </w:p>
        </w:tc>
        <w:tc>
          <w:tcPr>
            <w:tcW w:w="17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83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通信方式</w:t>
            </w:r>
          </w:p>
        </w:tc>
        <w:tc>
          <w:tcPr>
            <w:tcW w:w="514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spacing w:val="-1"/>
                <w:sz w:val="18"/>
                <w:szCs w:val="18"/>
              </w:rPr>
              <w:t>移动通信/低功率</w:t>
            </w:r>
            <w:r>
              <w:rPr>
                <w:rFonts w:hint="eastAsia" w:ascii="仿宋" w:hAnsi="仿宋" w:eastAsia="仿宋" w:cs="仿宋"/>
                <w:b w:val="0"/>
                <w:bCs w:val="0"/>
                <w:color w:val="auto"/>
                <w:sz w:val="18"/>
                <w:szCs w:val="18"/>
              </w:rPr>
              <w:t>广域网/高低轨卫星通信</w:t>
            </w:r>
          </w:p>
        </w:tc>
        <w:tc>
          <w:tcPr>
            <w:tcW w:w="17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83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通信标准</w:t>
            </w:r>
          </w:p>
        </w:tc>
        <w:tc>
          <w:tcPr>
            <w:tcW w:w="514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spacing w:val="-1"/>
                <w:sz w:val="18"/>
                <w:szCs w:val="18"/>
                <w:lang w:eastAsia="zh-CN"/>
              </w:rPr>
              <w:t>符合《地质灾害监测数据通讯技术要求》（</w:t>
            </w:r>
            <w:r>
              <w:rPr>
                <w:rFonts w:hint="eastAsia" w:ascii="仿宋" w:hAnsi="仿宋" w:eastAsia="仿宋" w:cs="仿宋"/>
                <w:b w:val="0"/>
                <w:bCs w:val="0"/>
                <w:color w:val="auto"/>
                <w:spacing w:val="-1"/>
                <w:sz w:val="18"/>
                <w:szCs w:val="18"/>
              </w:rPr>
              <w:t>计划号： 201912007)</w:t>
            </w:r>
          </w:p>
        </w:tc>
        <w:tc>
          <w:tcPr>
            <w:tcW w:w="17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83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工作温度</w:t>
            </w:r>
          </w:p>
        </w:tc>
        <w:tc>
          <w:tcPr>
            <w:tcW w:w="514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-20℃～+65℃</w:t>
            </w:r>
          </w:p>
        </w:tc>
        <w:tc>
          <w:tcPr>
            <w:tcW w:w="17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83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防护等级</w:t>
            </w:r>
          </w:p>
        </w:tc>
        <w:tc>
          <w:tcPr>
            <w:tcW w:w="514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IP67</w:t>
            </w:r>
          </w:p>
        </w:tc>
        <w:tc>
          <w:tcPr>
            <w:tcW w:w="17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83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安装方式</w:t>
            </w:r>
          </w:p>
        </w:tc>
        <w:tc>
          <w:tcPr>
            <w:tcW w:w="514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标准观测墩、现浇混凝土墩、钢结构等</w:t>
            </w:r>
          </w:p>
        </w:tc>
        <w:tc>
          <w:tcPr>
            <w:tcW w:w="17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83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供电方式</w:t>
            </w:r>
          </w:p>
        </w:tc>
        <w:tc>
          <w:tcPr>
            <w:tcW w:w="5143"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按需供电方式，满足连续 30 个阴雨日正常工作</w:t>
            </w:r>
          </w:p>
        </w:tc>
        <w:tc>
          <w:tcPr>
            <w:tcW w:w="1798"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具备</w:t>
            </w:r>
            <w:r>
              <w:rPr>
                <w:rFonts w:hint="eastAsia" w:ascii="仿宋" w:hAnsi="仿宋" w:eastAsia="仿宋" w:cs="仿宋"/>
                <w:b w:val="0"/>
                <w:bCs w:val="0"/>
                <w:color w:val="auto"/>
              </w:rPr>
              <w:t>过压及欠压保护</w:t>
            </w:r>
          </w:p>
        </w:tc>
      </w:tr>
    </w:tbl>
    <w:p>
      <w:pPr>
        <w:keepNext w:val="0"/>
        <w:keepLines w:val="0"/>
        <w:pageBreakBefore w:val="0"/>
        <w:widowControl w:val="0"/>
        <w:kinsoku/>
        <w:wordWrap/>
        <w:overflowPunct/>
        <w:topLinePunct w:val="0"/>
        <w:autoSpaceDE/>
        <w:autoSpaceDN/>
        <w:bidi w:val="0"/>
        <w:textAlignment w:val="auto"/>
        <w:outlineLvl w:val="9"/>
        <w:rPr>
          <w:rFonts w:hint="eastAsia" w:ascii="仿宋" w:hAnsi="仿宋" w:eastAsia="仿宋" w:cs="仿宋"/>
          <w:b w:val="0"/>
          <w:bCs w:val="0"/>
          <w:color w:val="auto"/>
        </w:rPr>
      </w:pPr>
    </w:p>
    <w:p>
      <w:pPr>
        <w:pStyle w:val="2"/>
        <w:keepNext w:val="0"/>
        <w:keepLines w:val="0"/>
        <w:pageBreakBefore w:val="0"/>
        <w:widowControl w:val="0"/>
        <w:kinsoku/>
        <w:wordWrap/>
        <w:overflowPunct/>
        <w:topLinePunct w:val="0"/>
        <w:autoSpaceDE/>
        <w:autoSpaceDN/>
        <w:bidi w:val="0"/>
        <w:spacing w:after="0"/>
        <w:ind w:firstLine="480"/>
        <w:jc w:val="center"/>
        <w:textAlignment w:val="auto"/>
        <w:outlineLvl w:val="9"/>
        <w:rPr>
          <w:rFonts w:hint="eastAsia" w:ascii="仿宋" w:hAnsi="仿宋" w:eastAsia="仿宋" w:cs="仿宋"/>
          <w:b w:val="0"/>
          <w:bCs w:val="0"/>
          <w:color w:val="auto"/>
          <w:sz w:val="24"/>
          <w:szCs w:val="32"/>
        </w:rPr>
      </w:pPr>
      <w:r>
        <w:rPr>
          <w:rFonts w:hint="eastAsia" w:ascii="仿宋" w:hAnsi="仿宋" w:eastAsia="仿宋" w:cs="仿宋"/>
          <w:b w:val="0"/>
          <w:bCs w:val="0"/>
          <w:color w:val="auto"/>
          <w:sz w:val="24"/>
          <w:szCs w:val="32"/>
        </w:rPr>
        <w:t xml:space="preserve">表 </w:t>
      </w:r>
      <w:r>
        <w:rPr>
          <w:rFonts w:hint="eastAsia" w:ascii="仿宋" w:hAnsi="仿宋" w:eastAsia="仿宋" w:cs="仿宋"/>
          <w:b w:val="0"/>
          <w:bCs w:val="0"/>
          <w:color w:val="auto"/>
          <w:sz w:val="24"/>
          <w:szCs w:val="32"/>
          <w:lang w:val="en-US" w:eastAsia="zh-CN"/>
        </w:rPr>
        <w:t>7</w:t>
      </w:r>
      <w:r>
        <w:rPr>
          <w:rFonts w:hint="eastAsia" w:ascii="仿宋" w:hAnsi="仿宋" w:eastAsia="仿宋" w:cs="仿宋"/>
          <w:b w:val="0"/>
          <w:bCs w:val="0"/>
          <w:color w:val="auto"/>
          <w:sz w:val="24"/>
          <w:szCs w:val="32"/>
        </w:rPr>
        <w:tab/>
      </w:r>
      <w:r>
        <w:rPr>
          <w:rFonts w:hint="eastAsia" w:ascii="仿宋" w:hAnsi="仿宋" w:eastAsia="仿宋" w:cs="仿宋"/>
          <w:b w:val="0"/>
          <w:bCs w:val="0"/>
          <w:color w:val="auto"/>
          <w:sz w:val="24"/>
          <w:szCs w:val="32"/>
        </w:rPr>
        <w:t>加速度计（动力学监测仪）技术参数</w:t>
      </w:r>
    </w:p>
    <w:tbl>
      <w:tblPr>
        <w:tblStyle w:val="37"/>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5"/>
        <w:gridCol w:w="4964"/>
        <w:gridCol w:w="1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jc w:val="center"/>
        </w:trPr>
        <w:tc>
          <w:tcPr>
            <w:tcW w:w="1751" w:type="dxa"/>
          </w:tcPr>
          <w:p>
            <w:pPr>
              <w:pStyle w:val="74"/>
              <w:keepNext w:val="0"/>
              <w:keepLines w:val="0"/>
              <w:pageBreakBefore w:val="0"/>
              <w:widowControl w:val="0"/>
              <w:kinsoku/>
              <w:wordWrap/>
              <w:overflowPunct/>
              <w:topLinePunct w:val="0"/>
              <w:autoSpaceDE/>
              <w:autoSpaceDN/>
              <w:bidi w:val="0"/>
              <w:ind w:right="255"/>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w w:val="95"/>
              </w:rPr>
              <w:t>参数类型</w:t>
            </w:r>
          </w:p>
        </w:tc>
        <w:tc>
          <w:tcPr>
            <w:tcW w:w="5160" w:type="dxa"/>
          </w:tcPr>
          <w:p>
            <w:pPr>
              <w:pStyle w:val="74"/>
              <w:keepNext w:val="0"/>
              <w:keepLines w:val="0"/>
              <w:pageBreakBefore w:val="0"/>
              <w:widowControl w:val="0"/>
              <w:kinsoku/>
              <w:wordWrap/>
              <w:overflowPunct/>
              <w:topLinePunct w:val="0"/>
              <w:autoSpaceDE/>
              <w:autoSpaceDN/>
              <w:bidi w:val="0"/>
              <w:ind w:left="639" w:right="5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技术指标</w:t>
            </w:r>
          </w:p>
        </w:tc>
        <w:tc>
          <w:tcPr>
            <w:tcW w:w="1809" w:type="dxa"/>
          </w:tcPr>
          <w:p>
            <w:pPr>
              <w:pStyle w:val="74"/>
              <w:keepNext w:val="0"/>
              <w:keepLines w:val="0"/>
              <w:pageBreakBefore w:val="0"/>
              <w:widowControl w:val="0"/>
              <w:kinsoku/>
              <w:wordWrap/>
              <w:overflowPunct/>
              <w:topLinePunct w:val="0"/>
              <w:autoSpaceDE/>
              <w:autoSpaceDN/>
              <w:bidi w:val="0"/>
              <w:ind w:left="262" w:right="15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测量范围</w:t>
            </w:r>
          </w:p>
        </w:tc>
        <w:tc>
          <w:tcPr>
            <w:tcW w:w="5160"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±2g</w:t>
            </w:r>
          </w:p>
        </w:tc>
        <w:tc>
          <w:tcPr>
            <w:tcW w:w="180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测量精度</w:t>
            </w:r>
          </w:p>
        </w:tc>
        <w:tc>
          <w:tcPr>
            <w:tcW w:w="5160"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±1mg</w:t>
            </w:r>
          </w:p>
        </w:tc>
        <w:tc>
          <w:tcPr>
            <w:tcW w:w="180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7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采样间隔</w:t>
            </w:r>
          </w:p>
        </w:tc>
        <w:tc>
          <w:tcPr>
            <w:tcW w:w="5160"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0s～24h</w:t>
            </w:r>
          </w:p>
        </w:tc>
        <w:tc>
          <w:tcPr>
            <w:tcW w:w="180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上传间隔</w:t>
            </w:r>
          </w:p>
        </w:tc>
        <w:tc>
          <w:tcPr>
            <w:tcW w:w="5160"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0s～72h</w:t>
            </w:r>
          </w:p>
        </w:tc>
        <w:tc>
          <w:tcPr>
            <w:tcW w:w="180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1"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通信方式</w:t>
            </w:r>
          </w:p>
        </w:tc>
        <w:tc>
          <w:tcPr>
            <w:tcW w:w="5160"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spacing w:val="-1"/>
                <w:sz w:val="18"/>
                <w:szCs w:val="18"/>
              </w:rPr>
              <w:t>移动通信/低功率</w:t>
            </w:r>
            <w:r>
              <w:rPr>
                <w:rFonts w:hint="eastAsia" w:ascii="仿宋" w:hAnsi="仿宋" w:eastAsia="仿宋" w:cs="仿宋"/>
                <w:b w:val="0"/>
                <w:bCs w:val="0"/>
                <w:color w:val="auto"/>
                <w:sz w:val="18"/>
                <w:szCs w:val="18"/>
              </w:rPr>
              <w:t>广域网/高低轨卫星通信</w:t>
            </w:r>
          </w:p>
        </w:tc>
        <w:tc>
          <w:tcPr>
            <w:tcW w:w="180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1"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通信标准</w:t>
            </w:r>
          </w:p>
        </w:tc>
        <w:tc>
          <w:tcPr>
            <w:tcW w:w="5160"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spacing w:val="-1"/>
                <w:sz w:val="18"/>
                <w:szCs w:val="18"/>
                <w:lang w:eastAsia="zh-CN"/>
              </w:rPr>
              <w:t>符合《地质灾害监测数据通讯技术要求》（</w:t>
            </w:r>
            <w:r>
              <w:rPr>
                <w:rFonts w:hint="eastAsia" w:ascii="仿宋" w:hAnsi="仿宋" w:eastAsia="仿宋" w:cs="仿宋"/>
                <w:b w:val="0"/>
                <w:bCs w:val="0"/>
                <w:color w:val="auto"/>
                <w:spacing w:val="-1"/>
                <w:sz w:val="18"/>
                <w:szCs w:val="18"/>
              </w:rPr>
              <w:t>计划号： 201912007)</w:t>
            </w:r>
          </w:p>
        </w:tc>
        <w:tc>
          <w:tcPr>
            <w:tcW w:w="180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输出参数</w:t>
            </w:r>
          </w:p>
        </w:tc>
        <w:tc>
          <w:tcPr>
            <w:tcW w:w="5160"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振动加速度、倾角、自振频率、最大振幅等</w:t>
            </w:r>
          </w:p>
        </w:tc>
        <w:tc>
          <w:tcPr>
            <w:tcW w:w="180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工作温度</w:t>
            </w:r>
          </w:p>
        </w:tc>
        <w:tc>
          <w:tcPr>
            <w:tcW w:w="5160"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-20℃～+65℃</w:t>
            </w:r>
          </w:p>
        </w:tc>
        <w:tc>
          <w:tcPr>
            <w:tcW w:w="180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7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防护等级</w:t>
            </w:r>
          </w:p>
        </w:tc>
        <w:tc>
          <w:tcPr>
            <w:tcW w:w="5160"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IP67</w:t>
            </w:r>
          </w:p>
        </w:tc>
        <w:tc>
          <w:tcPr>
            <w:tcW w:w="180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安装方式</w:t>
            </w:r>
          </w:p>
        </w:tc>
        <w:tc>
          <w:tcPr>
            <w:tcW w:w="5160"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标准观测墩、现浇混凝土墩、钢结构、粘结、铆接等</w:t>
            </w:r>
          </w:p>
        </w:tc>
        <w:tc>
          <w:tcPr>
            <w:tcW w:w="180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供电方式</w:t>
            </w:r>
          </w:p>
        </w:tc>
        <w:tc>
          <w:tcPr>
            <w:tcW w:w="5160"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按需供电方式，满足连续 30 个阴雨日正常工作</w:t>
            </w:r>
          </w:p>
        </w:tc>
        <w:tc>
          <w:tcPr>
            <w:tcW w:w="180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具备</w:t>
            </w:r>
            <w:r>
              <w:rPr>
                <w:rFonts w:hint="eastAsia" w:ascii="仿宋" w:hAnsi="仿宋" w:eastAsia="仿宋" w:cs="仿宋"/>
                <w:b w:val="0"/>
                <w:bCs w:val="0"/>
                <w:color w:val="auto"/>
              </w:rPr>
              <w:t>过压及欠压保护</w:t>
            </w:r>
          </w:p>
        </w:tc>
      </w:tr>
    </w:tbl>
    <w:p>
      <w:pPr>
        <w:pStyle w:val="2"/>
        <w:keepNext w:val="0"/>
        <w:keepLines w:val="0"/>
        <w:pageBreakBefore w:val="0"/>
        <w:widowControl w:val="0"/>
        <w:kinsoku/>
        <w:wordWrap/>
        <w:overflowPunct/>
        <w:topLinePunct w:val="0"/>
        <w:autoSpaceDE/>
        <w:autoSpaceDN/>
        <w:bidi w:val="0"/>
        <w:spacing w:before="12"/>
        <w:ind w:firstLine="380"/>
        <w:jc w:val="center"/>
        <w:textAlignment w:val="auto"/>
        <w:outlineLvl w:val="9"/>
        <w:rPr>
          <w:rFonts w:hint="eastAsia" w:ascii="仿宋" w:hAnsi="仿宋" w:eastAsia="仿宋" w:cs="仿宋"/>
          <w:b w:val="0"/>
          <w:bCs w:val="0"/>
          <w:color w:val="auto"/>
          <w:sz w:val="19"/>
        </w:rPr>
      </w:pPr>
    </w:p>
    <w:p>
      <w:pPr>
        <w:pStyle w:val="2"/>
        <w:keepNext w:val="0"/>
        <w:keepLines w:val="0"/>
        <w:pageBreakBefore w:val="0"/>
        <w:widowControl w:val="0"/>
        <w:kinsoku/>
        <w:wordWrap/>
        <w:overflowPunct/>
        <w:topLinePunct w:val="0"/>
        <w:autoSpaceDE/>
        <w:autoSpaceDN/>
        <w:bidi w:val="0"/>
        <w:spacing w:after="0"/>
        <w:ind w:firstLine="480"/>
        <w:jc w:val="center"/>
        <w:textAlignment w:val="auto"/>
        <w:outlineLvl w:val="9"/>
        <w:rPr>
          <w:rFonts w:hint="eastAsia" w:ascii="仿宋" w:hAnsi="仿宋" w:eastAsia="仿宋" w:cs="仿宋"/>
          <w:b w:val="0"/>
          <w:bCs w:val="0"/>
          <w:color w:val="auto"/>
          <w:sz w:val="24"/>
          <w:szCs w:val="32"/>
        </w:rPr>
      </w:pPr>
      <w:r>
        <w:rPr>
          <w:rFonts w:hint="eastAsia" w:ascii="仿宋" w:hAnsi="仿宋" w:eastAsia="仿宋" w:cs="仿宋"/>
          <w:b w:val="0"/>
          <w:bCs w:val="0"/>
          <w:color w:val="auto"/>
          <w:sz w:val="24"/>
          <w:szCs w:val="32"/>
        </w:rPr>
        <w:t>表</w:t>
      </w:r>
      <w:r>
        <w:rPr>
          <w:rFonts w:hint="eastAsia" w:ascii="仿宋" w:hAnsi="仿宋" w:eastAsia="仿宋" w:cs="仿宋"/>
          <w:b w:val="0"/>
          <w:bCs w:val="0"/>
          <w:color w:val="auto"/>
          <w:sz w:val="24"/>
          <w:szCs w:val="32"/>
          <w:lang w:val="en-US" w:eastAsia="zh-CN"/>
        </w:rPr>
        <w:t>8</w:t>
      </w:r>
      <w:r>
        <w:rPr>
          <w:rFonts w:hint="eastAsia" w:ascii="仿宋" w:hAnsi="仿宋" w:eastAsia="仿宋" w:cs="仿宋"/>
          <w:b w:val="0"/>
          <w:bCs w:val="0"/>
          <w:color w:val="auto"/>
          <w:sz w:val="24"/>
          <w:szCs w:val="32"/>
        </w:rPr>
        <w:t xml:space="preserve">   泥位计主要技术参数</w:t>
      </w:r>
    </w:p>
    <w:tbl>
      <w:tblPr>
        <w:tblStyle w:val="37"/>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4990"/>
        <w:gridCol w:w="1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69" w:type="dxa"/>
          </w:tcPr>
          <w:p>
            <w:pPr>
              <w:pStyle w:val="74"/>
              <w:keepNext w:val="0"/>
              <w:keepLines w:val="0"/>
              <w:pageBreakBefore w:val="0"/>
              <w:widowControl w:val="0"/>
              <w:kinsoku/>
              <w:wordWrap/>
              <w:overflowPunct/>
              <w:topLinePunct w:val="0"/>
              <w:autoSpaceDE/>
              <w:autoSpaceDN/>
              <w:bidi w:val="0"/>
              <w:ind w:left="404" w:right="28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参数类型</w:t>
            </w:r>
          </w:p>
        </w:tc>
        <w:tc>
          <w:tcPr>
            <w:tcW w:w="5169" w:type="dxa"/>
          </w:tcPr>
          <w:p>
            <w:pPr>
              <w:pStyle w:val="74"/>
              <w:keepNext w:val="0"/>
              <w:keepLines w:val="0"/>
              <w:pageBreakBefore w:val="0"/>
              <w:widowControl w:val="0"/>
              <w:kinsoku/>
              <w:wordWrap/>
              <w:overflowPunct/>
              <w:topLinePunct w:val="0"/>
              <w:autoSpaceDE/>
              <w:autoSpaceDN/>
              <w:bidi w:val="0"/>
              <w:ind w:left="639" w:right="529"/>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技术指标</w:t>
            </w:r>
          </w:p>
        </w:tc>
        <w:tc>
          <w:tcPr>
            <w:tcW w:w="1851" w:type="dxa"/>
          </w:tcPr>
          <w:p>
            <w:pPr>
              <w:pStyle w:val="74"/>
              <w:keepNext w:val="0"/>
              <w:keepLines w:val="0"/>
              <w:pageBreakBefore w:val="0"/>
              <w:widowControl w:val="0"/>
              <w:kinsoku/>
              <w:wordWrap/>
              <w:overflowPunct/>
              <w:topLinePunct w:val="0"/>
              <w:autoSpaceDE/>
              <w:autoSpaceDN/>
              <w:bidi w:val="0"/>
              <w:ind w:left="262" w:right="15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测量范围</w:t>
            </w:r>
          </w:p>
        </w:tc>
        <w:tc>
          <w:tcPr>
            <w:tcW w:w="51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0.6～40m</w:t>
            </w:r>
          </w:p>
        </w:tc>
        <w:tc>
          <w:tcPr>
            <w:tcW w:w="18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分辨率</w:t>
            </w:r>
          </w:p>
        </w:tc>
        <w:tc>
          <w:tcPr>
            <w:tcW w:w="51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±0.1%F·S</w:t>
            </w:r>
          </w:p>
        </w:tc>
        <w:tc>
          <w:tcPr>
            <w:tcW w:w="18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采样间隔</w:t>
            </w:r>
          </w:p>
        </w:tc>
        <w:tc>
          <w:tcPr>
            <w:tcW w:w="51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0s～24h</w:t>
            </w:r>
          </w:p>
        </w:tc>
        <w:tc>
          <w:tcPr>
            <w:tcW w:w="18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上传间隔</w:t>
            </w:r>
          </w:p>
        </w:tc>
        <w:tc>
          <w:tcPr>
            <w:tcW w:w="51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0s～72h</w:t>
            </w:r>
          </w:p>
        </w:tc>
        <w:tc>
          <w:tcPr>
            <w:tcW w:w="18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69"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通信方式</w:t>
            </w:r>
          </w:p>
        </w:tc>
        <w:tc>
          <w:tcPr>
            <w:tcW w:w="5169"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spacing w:val="-1"/>
                <w:sz w:val="18"/>
                <w:szCs w:val="18"/>
              </w:rPr>
              <w:t>移动通信/低功率</w:t>
            </w:r>
            <w:r>
              <w:rPr>
                <w:rFonts w:hint="eastAsia" w:ascii="仿宋" w:hAnsi="仿宋" w:eastAsia="仿宋" w:cs="仿宋"/>
                <w:b w:val="0"/>
                <w:bCs w:val="0"/>
                <w:color w:val="auto"/>
                <w:sz w:val="18"/>
                <w:szCs w:val="18"/>
              </w:rPr>
              <w:t>广域网/高低轨卫星通信</w:t>
            </w:r>
          </w:p>
        </w:tc>
        <w:tc>
          <w:tcPr>
            <w:tcW w:w="18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69"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通信标准</w:t>
            </w:r>
          </w:p>
        </w:tc>
        <w:tc>
          <w:tcPr>
            <w:tcW w:w="5169" w:type="dxa"/>
            <w:vAlign w:val="top"/>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spacing w:val="-1"/>
                <w:sz w:val="18"/>
                <w:szCs w:val="18"/>
                <w:lang w:eastAsia="zh-CN"/>
              </w:rPr>
              <w:t>符合《地质灾害监测数据通讯技术要求》（</w:t>
            </w:r>
            <w:r>
              <w:rPr>
                <w:rFonts w:hint="eastAsia" w:ascii="仿宋" w:hAnsi="仿宋" w:eastAsia="仿宋" w:cs="仿宋"/>
                <w:b w:val="0"/>
                <w:bCs w:val="0"/>
                <w:color w:val="auto"/>
                <w:spacing w:val="-1"/>
                <w:sz w:val="18"/>
                <w:szCs w:val="18"/>
              </w:rPr>
              <w:t>计划号： 201912007)</w:t>
            </w:r>
          </w:p>
        </w:tc>
        <w:tc>
          <w:tcPr>
            <w:tcW w:w="18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工作温度</w:t>
            </w:r>
          </w:p>
        </w:tc>
        <w:tc>
          <w:tcPr>
            <w:tcW w:w="51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-20℃～+65℃</w:t>
            </w:r>
          </w:p>
        </w:tc>
        <w:tc>
          <w:tcPr>
            <w:tcW w:w="18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防护等级</w:t>
            </w:r>
          </w:p>
        </w:tc>
        <w:tc>
          <w:tcPr>
            <w:tcW w:w="51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IP66</w:t>
            </w:r>
          </w:p>
        </w:tc>
        <w:tc>
          <w:tcPr>
            <w:tcW w:w="18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安装方式</w:t>
            </w:r>
          </w:p>
        </w:tc>
        <w:tc>
          <w:tcPr>
            <w:tcW w:w="51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钢结构、现浇混凝土墩等</w:t>
            </w:r>
          </w:p>
        </w:tc>
        <w:tc>
          <w:tcPr>
            <w:tcW w:w="18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供电方式</w:t>
            </w:r>
          </w:p>
        </w:tc>
        <w:tc>
          <w:tcPr>
            <w:tcW w:w="5169"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按需供电方式，满足连续 30 个阴雨日正常工作</w:t>
            </w:r>
          </w:p>
        </w:tc>
        <w:tc>
          <w:tcPr>
            <w:tcW w:w="1851" w:type="dxa"/>
          </w:tcPr>
          <w:p>
            <w:pPr>
              <w:pStyle w:val="74"/>
              <w:keepNext w:val="0"/>
              <w:keepLines w:val="0"/>
              <w:pageBreakBefore w:val="0"/>
              <w:widowControl w:val="0"/>
              <w:tabs>
                <w:tab w:val="left" w:pos="1470"/>
              </w:tabs>
              <w:kinsoku/>
              <w:wordWrap/>
              <w:overflowPunct/>
              <w:topLinePunct w:val="0"/>
              <w:autoSpaceDE/>
              <w:autoSpaceDN/>
              <w:bidi w:val="0"/>
              <w:spacing w:before="1" w:line="251" w:lineRule="exact"/>
              <w:ind w:right="67" w:rightChars="32"/>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具备</w:t>
            </w:r>
            <w:r>
              <w:rPr>
                <w:rFonts w:hint="eastAsia" w:ascii="仿宋" w:hAnsi="仿宋" w:eastAsia="仿宋" w:cs="仿宋"/>
                <w:b w:val="0"/>
                <w:bCs w:val="0"/>
                <w:color w:val="auto"/>
              </w:rPr>
              <w:t>过压及欠压保护</w:t>
            </w:r>
          </w:p>
        </w:tc>
      </w:tr>
    </w:tbl>
    <w:p>
      <w:pPr>
        <w:pStyle w:val="2"/>
        <w:keepNext w:val="0"/>
        <w:keepLines w:val="0"/>
        <w:pageBreakBefore w:val="0"/>
        <w:widowControl w:val="0"/>
        <w:kinsoku/>
        <w:wordWrap/>
        <w:overflowPunct/>
        <w:topLinePunct w:val="0"/>
        <w:autoSpaceDE/>
        <w:autoSpaceDN/>
        <w:bidi w:val="0"/>
        <w:ind w:firstLine="400"/>
        <w:jc w:val="center"/>
        <w:textAlignment w:val="auto"/>
        <w:outlineLvl w:val="9"/>
        <w:rPr>
          <w:rFonts w:hint="eastAsia" w:ascii="仿宋" w:hAnsi="仿宋" w:eastAsia="仿宋" w:cs="仿宋"/>
          <w:b w:val="0"/>
          <w:bCs w:val="0"/>
          <w:color w:val="auto"/>
          <w:sz w:val="20"/>
        </w:rPr>
      </w:pPr>
    </w:p>
    <w:p>
      <w:pPr>
        <w:pStyle w:val="2"/>
        <w:keepNext w:val="0"/>
        <w:keepLines w:val="0"/>
        <w:pageBreakBefore w:val="0"/>
        <w:widowControl w:val="0"/>
        <w:kinsoku/>
        <w:wordWrap/>
        <w:overflowPunct/>
        <w:topLinePunct w:val="0"/>
        <w:autoSpaceDE/>
        <w:autoSpaceDN/>
        <w:bidi w:val="0"/>
        <w:spacing w:after="0"/>
        <w:ind w:firstLine="480"/>
        <w:jc w:val="center"/>
        <w:textAlignment w:val="auto"/>
        <w:outlineLvl w:val="9"/>
        <w:rPr>
          <w:rFonts w:hint="eastAsia" w:ascii="仿宋" w:hAnsi="仿宋" w:eastAsia="仿宋" w:cs="仿宋"/>
          <w:b w:val="0"/>
          <w:bCs w:val="0"/>
          <w:color w:val="auto"/>
          <w:sz w:val="24"/>
          <w:szCs w:val="32"/>
        </w:rPr>
      </w:pPr>
      <w:r>
        <w:rPr>
          <w:rFonts w:hint="eastAsia" w:ascii="仿宋" w:hAnsi="仿宋" w:eastAsia="仿宋" w:cs="仿宋"/>
          <w:b w:val="0"/>
          <w:bCs w:val="0"/>
          <w:color w:val="auto"/>
          <w:sz w:val="24"/>
          <w:szCs w:val="32"/>
        </w:rPr>
        <w:t>表9   声光报警器主要技术参数</w:t>
      </w:r>
    </w:p>
    <w:tbl>
      <w:tblPr>
        <w:tblStyle w:val="37"/>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9"/>
        <w:gridCol w:w="2357"/>
        <w:gridCol w:w="2638"/>
        <w:gridCol w:w="1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09" w:type="dxa"/>
          </w:tcPr>
          <w:p>
            <w:pPr>
              <w:pStyle w:val="74"/>
              <w:keepNext w:val="0"/>
              <w:keepLines w:val="0"/>
              <w:pageBreakBefore w:val="0"/>
              <w:widowControl w:val="0"/>
              <w:kinsoku/>
              <w:wordWrap/>
              <w:overflowPunct/>
              <w:topLinePunct w:val="0"/>
              <w:autoSpaceDE/>
              <w:autoSpaceDN/>
              <w:bidi w:val="0"/>
              <w:ind w:left="338" w:right="225"/>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参数类型</w:t>
            </w:r>
          </w:p>
        </w:tc>
        <w:tc>
          <w:tcPr>
            <w:tcW w:w="4995" w:type="dxa"/>
            <w:gridSpan w:val="2"/>
          </w:tcPr>
          <w:p>
            <w:pPr>
              <w:pStyle w:val="74"/>
              <w:keepNext w:val="0"/>
              <w:keepLines w:val="0"/>
              <w:pageBreakBefore w:val="0"/>
              <w:widowControl w:val="0"/>
              <w:kinsoku/>
              <w:wordWrap/>
              <w:overflowPunct/>
              <w:topLinePunct w:val="0"/>
              <w:autoSpaceDE/>
              <w:autoSpaceDN/>
              <w:bidi w:val="0"/>
              <w:ind w:left="338" w:right="225"/>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技术指标</w:t>
            </w:r>
          </w:p>
        </w:tc>
        <w:tc>
          <w:tcPr>
            <w:tcW w:w="1786" w:type="dxa"/>
          </w:tcPr>
          <w:p>
            <w:pPr>
              <w:pStyle w:val="74"/>
              <w:keepNext w:val="0"/>
              <w:keepLines w:val="0"/>
              <w:pageBreakBefore w:val="0"/>
              <w:widowControl w:val="0"/>
              <w:kinsoku/>
              <w:wordWrap/>
              <w:overflowPunct/>
              <w:topLinePunct w:val="0"/>
              <w:autoSpaceDE/>
              <w:autoSpaceDN/>
              <w:bidi w:val="0"/>
              <w:ind w:left="338" w:right="225"/>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tcPr>
          <w:p>
            <w:pPr>
              <w:pStyle w:val="74"/>
              <w:keepNext w:val="0"/>
              <w:keepLines w:val="0"/>
              <w:pageBreakBefore w:val="0"/>
              <w:widowControl w:val="0"/>
              <w:kinsoku/>
              <w:wordWrap/>
              <w:overflowPunct/>
              <w:topLinePunct w:val="0"/>
              <w:autoSpaceDE/>
              <w:autoSpaceDN/>
              <w:bidi w:val="0"/>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上传间隔</w:t>
            </w:r>
          </w:p>
        </w:tc>
        <w:tc>
          <w:tcPr>
            <w:tcW w:w="4995" w:type="dxa"/>
            <w:gridSpan w:val="2"/>
          </w:tcPr>
          <w:p>
            <w:pPr>
              <w:pStyle w:val="74"/>
              <w:keepNext w:val="0"/>
              <w:keepLines w:val="0"/>
              <w:pageBreakBefore w:val="0"/>
              <w:widowControl w:val="0"/>
              <w:kinsoku/>
              <w:wordWrap/>
              <w:overflowPunct/>
              <w:topLinePunct w:val="0"/>
              <w:autoSpaceDE/>
              <w:autoSpaceDN/>
              <w:bidi w:val="0"/>
              <w:ind w:left="851" w:right="738"/>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0s～72h</w:t>
            </w:r>
          </w:p>
        </w:tc>
        <w:tc>
          <w:tcPr>
            <w:tcW w:w="1786" w:type="dxa"/>
          </w:tcPr>
          <w:p>
            <w:pPr>
              <w:pStyle w:val="74"/>
              <w:keepNext w:val="0"/>
              <w:keepLines w:val="0"/>
              <w:pageBreakBefore w:val="0"/>
              <w:widowControl w:val="0"/>
              <w:kinsoku/>
              <w:wordWrap/>
              <w:overflowPunct/>
              <w:topLinePunct w:val="0"/>
              <w:autoSpaceDE/>
              <w:autoSpaceDN/>
              <w:bidi w:val="0"/>
              <w:ind w:left="113"/>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tcPr>
          <w:p>
            <w:pPr>
              <w:pStyle w:val="74"/>
              <w:keepNext w:val="0"/>
              <w:keepLines w:val="0"/>
              <w:pageBreakBefore w:val="0"/>
              <w:widowControl w:val="0"/>
              <w:kinsoku/>
              <w:wordWrap/>
              <w:overflowPunct/>
              <w:topLinePunct w:val="0"/>
              <w:autoSpaceDE/>
              <w:autoSpaceDN/>
              <w:bidi w:val="0"/>
              <w:ind w:right="257"/>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通信标准</w:t>
            </w:r>
          </w:p>
        </w:tc>
        <w:tc>
          <w:tcPr>
            <w:tcW w:w="4995" w:type="dxa"/>
            <w:gridSpan w:val="2"/>
          </w:tcPr>
          <w:p>
            <w:pPr>
              <w:pStyle w:val="74"/>
              <w:keepNext w:val="0"/>
              <w:keepLines w:val="0"/>
              <w:pageBreakBefore w:val="0"/>
              <w:widowControl w:val="0"/>
              <w:kinsoku/>
              <w:wordWrap/>
              <w:overflowPunct/>
              <w:topLinePunct w:val="0"/>
              <w:autoSpaceDE/>
              <w:autoSpaceDN/>
              <w:bidi w:val="0"/>
              <w:ind w:left="1133"/>
              <w:jc w:val="both"/>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符合《地质灾害监测数据通讯技术要求》</w:t>
            </w:r>
          </w:p>
        </w:tc>
        <w:tc>
          <w:tcPr>
            <w:tcW w:w="1786" w:type="dxa"/>
          </w:tcPr>
          <w:p>
            <w:pPr>
              <w:pStyle w:val="74"/>
              <w:keepNext w:val="0"/>
              <w:keepLines w:val="0"/>
              <w:pageBreakBefore w:val="0"/>
              <w:widowControl w:val="0"/>
              <w:kinsoku/>
              <w:wordWrap/>
              <w:overflowPunct/>
              <w:topLinePunct w:val="0"/>
              <w:autoSpaceDE/>
              <w:autoSpaceDN/>
              <w:bidi w:val="0"/>
              <w:ind w:left="113"/>
              <w:jc w:val="both"/>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09" w:type="dxa"/>
          </w:tcPr>
          <w:p>
            <w:pPr>
              <w:pStyle w:val="74"/>
              <w:keepNext w:val="0"/>
              <w:keepLines w:val="0"/>
              <w:pageBreakBefore w:val="0"/>
              <w:widowControl w:val="0"/>
              <w:kinsoku/>
              <w:wordWrap/>
              <w:overflowPunct/>
              <w:topLinePunct w:val="0"/>
              <w:autoSpaceDE/>
              <w:autoSpaceDN/>
              <w:bidi w:val="0"/>
              <w:spacing w:before="22"/>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报警来源</w:t>
            </w:r>
          </w:p>
        </w:tc>
        <w:tc>
          <w:tcPr>
            <w:tcW w:w="4995" w:type="dxa"/>
            <w:gridSpan w:val="2"/>
          </w:tcPr>
          <w:p>
            <w:pPr>
              <w:pStyle w:val="74"/>
              <w:keepNext w:val="0"/>
              <w:keepLines w:val="0"/>
              <w:pageBreakBefore w:val="0"/>
              <w:widowControl w:val="0"/>
              <w:kinsoku/>
              <w:wordWrap/>
              <w:overflowPunct/>
              <w:topLinePunct w:val="0"/>
              <w:autoSpaceDE/>
              <w:autoSpaceDN/>
              <w:bidi w:val="0"/>
              <w:spacing w:before="22"/>
              <w:ind w:left="851" w:right="739"/>
              <w:jc w:val="both"/>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本地人工播报；本地自主判断；远程系统发送等</w:t>
            </w:r>
          </w:p>
        </w:tc>
        <w:tc>
          <w:tcPr>
            <w:tcW w:w="1786" w:type="dxa"/>
          </w:tcPr>
          <w:p>
            <w:pPr>
              <w:pStyle w:val="74"/>
              <w:keepNext w:val="0"/>
              <w:keepLines w:val="0"/>
              <w:pageBreakBefore w:val="0"/>
              <w:widowControl w:val="0"/>
              <w:kinsoku/>
              <w:wordWrap/>
              <w:overflowPunct/>
              <w:topLinePunct w:val="0"/>
              <w:autoSpaceDE/>
              <w:autoSpaceDN/>
              <w:bidi w:val="0"/>
              <w:spacing w:before="22"/>
              <w:ind w:left="113"/>
              <w:jc w:val="both"/>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tcPr>
          <w:p>
            <w:pPr>
              <w:pStyle w:val="74"/>
              <w:keepNext w:val="0"/>
              <w:keepLines w:val="0"/>
              <w:pageBreakBefore w:val="0"/>
              <w:widowControl w:val="0"/>
              <w:kinsoku/>
              <w:wordWrap/>
              <w:overflowPunct/>
              <w:topLinePunct w:val="0"/>
              <w:autoSpaceDE/>
              <w:autoSpaceDN/>
              <w:bidi w:val="0"/>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报警方式</w:t>
            </w:r>
          </w:p>
        </w:tc>
        <w:tc>
          <w:tcPr>
            <w:tcW w:w="4995" w:type="dxa"/>
            <w:gridSpan w:val="2"/>
          </w:tcPr>
          <w:p>
            <w:pPr>
              <w:pStyle w:val="74"/>
              <w:keepNext w:val="0"/>
              <w:keepLines w:val="0"/>
              <w:pageBreakBefore w:val="0"/>
              <w:widowControl w:val="0"/>
              <w:kinsoku/>
              <w:wordWrap/>
              <w:overflowPunct/>
              <w:topLinePunct w:val="0"/>
              <w:autoSpaceDE/>
              <w:autoSpaceDN/>
              <w:bidi w:val="0"/>
              <w:ind w:right="257"/>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报警音；警示灯光；语音播报</w:t>
            </w:r>
          </w:p>
        </w:tc>
        <w:tc>
          <w:tcPr>
            <w:tcW w:w="1786" w:type="dxa"/>
          </w:tcPr>
          <w:p>
            <w:pPr>
              <w:pStyle w:val="74"/>
              <w:keepNext w:val="0"/>
              <w:keepLines w:val="0"/>
              <w:pageBreakBefore w:val="0"/>
              <w:widowControl w:val="0"/>
              <w:kinsoku/>
              <w:wordWrap/>
              <w:overflowPunct/>
              <w:topLinePunct w:val="0"/>
              <w:autoSpaceDE/>
              <w:autoSpaceDN/>
              <w:bidi w:val="0"/>
              <w:ind w:left="113"/>
              <w:jc w:val="both"/>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vAlign w:val="top"/>
          </w:tcPr>
          <w:p>
            <w:pPr>
              <w:pStyle w:val="74"/>
              <w:keepNext w:val="0"/>
              <w:keepLines w:val="0"/>
              <w:pageBreakBefore w:val="0"/>
              <w:widowControl w:val="0"/>
              <w:kinsoku/>
              <w:wordWrap/>
              <w:overflowPunct/>
              <w:topLinePunct w:val="0"/>
              <w:autoSpaceDE/>
              <w:autoSpaceDN/>
              <w:bidi w:val="0"/>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lang w:val="en-US" w:eastAsia="zh-CN"/>
              </w:rPr>
              <w:t>通信方式</w:t>
            </w:r>
          </w:p>
        </w:tc>
        <w:tc>
          <w:tcPr>
            <w:tcW w:w="4995" w:type="dxa"/>
            <w:gridSpan w:val="2"/>
            <w:vAlign w:val="top"/>
          </w:tcPr>
          <w:p>
            <w:pPr>
              <w:pStyle w:val="74"/>
              <w:keepNext w:val="0"/>
              <w:keepLines w:val="0"/>
              <w:pageBreakBefore w:val="0"/>
              <w:widowControl w:val="0"/>
              <w:kinsoku/>
              <w:wordWrap/>
              <w:overflowPunct/>
              <w:topLinePunct w:val="0"/>
              <w:autoSpaceDE/>
              <w:autoSpaceDN/>
              <w:bidi w:val="0"/>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移动通信/低功率广域网/高低轨卫星通信</w:t>
            </w:r>
          </w:p>
        </w:tc>
        <w:tc>
          <w:tcPr>
            <w:tcW w:w="1786" w:type="dxa"/>
          </w:tcPr>
          <w:p>
            <w:pPr>
              <w:pStyle w:val="74"/>
              <w:keepNext w:val="0"/>
              <w:keepLines w:val="0"/>
              <w:pageBreakBefore w:val="0"/>
              <w:widowControl w:val="0"/>
              <w:kinsoku/>
              <w:wordWrap/>
              <w:overflowPunct/>
              <w:topLinePunct w:val="0"/>
              <w:autoSpaceDE/>
              <w:autoSpaceDN/>
              <w:bidi w:val="0"/>
              <w:ind w:left="113"/>
              <w:jc w:val="both"/>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09" w:type="dxa"/>
          </w:tcPr>
          <w:p>
            <w:pPr>
              <w:pStyle w:val="74"/>
              <w:keepNext w:val="0"/>
              <w:keepLines w:val="0"/>
              <w:pageBreakBefore w:val="0"/>
              <w:widowControl w:val="0"/>
              <w:kinsoku/>
              <w:wordWrap/>
              <w:overflowPunct/>
              <w:topLinePunct w:val="0"/>
              <w:autoSpaceDE/>
              <w:autoSpaceDN/>
              <w:bidi w:val="0"/>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工作温度</w:t>
            </w:r>
          </w:p>
        </w:tc>
        <w:tc>
          <w:tcPr>
            <w:tcW w:w="4995" w:type="dxa"/>
            <w:gridSpan w:val="2"/>
          </w:tcPr>
          <w:p>
            <w:pPr>
              <w:pStyle w:val="74"/>
              <w:keepNext w:val="0"/>
              <w:keepLines w:val="0"/>
              <w:pageBreakBefore w:val="0"/>
              <w:widowControl w:val="0"/>
              <w:kinsoku/>
              <w:wordWrap/>
              <w:overflowPunct/>
              <w:topLinePunct w:val="0"/>
              <w:autoSpaceDE/>
              <w:autoSpaceDN/>
              <w:bidi w:val="0"/>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-20℃～+65℃</w:t>
            </w:r>
          </w:p>
        </w:tc>
        <w:tc>
          <w:tcPr>
            <w:tcW w:w="1786" w:type="dxa"/>
          </w:tcPr>
          <w:p>
            <w:pPr>
              <w:pStyle w:val="74"/>
              <w:keepNext w:val="0"/>
              <w:keepLines w:val="0"/>
              <w:pageBreakBefore w:val="0"/>
              <w:widowControl w:val="0"/>
              <w:kinsoku/>
              <w:wordWrap/>
              <w:overflowPunct/>
              <w:topLinePunct w:val="0"/>
              <w:autoSpaceDE/>
              <w:autoSpaceDN/>
              <w:bidi w:val="0"/>
              <w:spacing w:before="22"/>
              <w:ind w:left="113"/>
              <w:jc w:val="both"/>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tcPr>
          <w:p>
            <w:pPr>
              <w:pStyle w:val="74"/>
              <w:keepNext w:val="0"/>
              <w:keepLines w:val="0"/>
              <w:pageBreakBefore w:val="0"/>
              <w:widowControl w:val="0"/>
              <w:kinsoku/>
              <w:wordWrap/>
              <w:overflowPunct/>
              <w:topLinePunct w:val="0"/>
              <w:autoSpaceDE/>
              <w:autoSpaceDN/>
              <w:bidi w:val="0"/>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布设位置</w:t>
            </w:r>
          </w:p>
        </w:tc>
        <w:tc>
          <w:tcPr>
            <w:tcW w:w="2357" w:type="dxa"/>
          </w:tcPr>
          <w:p>
            <w:pPr>
              <w:pStyle w:val="74"/>
              <w:keepNext w:val="0"/>
              <w:keepLines w:val="0"/>
              <w:pageBreakBefore w:val="0"/>
              <w:widowControl w:val="0"/>
              <w:kinsoku/>
              <w:wordWrap/>
              <w:overflowPunct/>
              <w:topLinePunct w:val="0"/>
              <w:autoSpaceDE/>
              <w:autoSpaceDN/>
              <w:bidi w:val="0"/>
              <w:ind w:right="1027"/>
              <w:jc w:val="center"/>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室外</w:t>
            </w:r>
          </w:p>
        </w:tc>
        <w:tc>
          <w:tcPr>
            <w:tcW w:w="2638" w:type="dxa"/>
          </w:tcPr>
          <w:p>
            <w:pPr>
              <w:pStyle w:val="74"/>
              <w:keepNext w:val="0"/>
              <w:keepLines w:val="0"/>
              <w:pageBreakBefore w:val="0"/>
              <w:widowControl w:val="0"/>
              <w:kinsoku/>
              <w:wordWrap/>
              <w:overflowPunct/>
              <w:topLinePunct w:val="0"/>
              <w:autoSpaceDE/>
              <w:autoSpaceDN/>
              <w:bidi w:val="0"/>
              <w:ind w:left="898" w:right="784"/>
              <w:jc w:val="both"/>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室内</w:t>
            </w:r>
          </w:p>
        </w:tc>
        <w:tc>
          <w:tcPr>
            <w:tcW w:w="1786" w:type="dxa"/>
          </w:tcPr>
          <w:p>
            <w:pPr>
              <w:pStyle w:val="74"/>
              <w:keepNext w:val="0"/>
              <w:keepLines w:val="0"/>
              <w:pageBreakBefore w:val="0"/>
              <w:widowControl w:val="0"/>
              <w:kinsoku/>
              <w:wordWrap/>
              <w:overflowPunct/>
              <w:topLinePunct w:val="0"/>
              <w:autoSpaceDE/>
              <w:autoSpaceDN/>
              <w:bidi w:val="0"/>
              <w:ind w:left="113"/>
              <w:jc w:val="both"/>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tcPr>
          <w:p>
            <w:pPr>
              <w:pStyle w:val="74"/>
              <w:keepNext w:val="0"/>
              <w:keepLines w:val="0"/>
              <w:pageBreakBefore w:val="0"/>
              <w:widowControl w:val="0"/>
              <w:kinsoku/>
              <w:wordWrap/>
              <w:overflowPunct/>
              <w:topLinePunct w:val="0"/>
              <w:autoSpaceDE/>
              <w:autoSpaceDN/>
              <w:bidi w:val="0"/>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输出功率</w:t>
            </w:r>
          </w:p>
        </w:tc>
        <w:tc>
          <w:tcPr>
            <w:tcW w:w="2357" w:type="dxa"/>
          </w:tcPr>
          <w:p>
            <w:pPr>
              <w:pStyle w:val="74"/>
              <w:keepNext w:val="0"/>
              <w:keepLines w:val="0"/>
              <w:pageBreakBefore w:val="0"/>
              <w:widowControl w:val="0"/>
              <w:kinsoku/>
              <w:wordWrap/>
              <w:overflowPunct/>
              <w:topLinePunct w:val="0"/>
              <w:autoSpaceDE/>
              <w:autoSpaceDN/>
              <w:bidi w:val="0"/>
              <w:ind w:left="238" w:firstLine="180" w:firstLineChars="86"/>
              <w:jc w:val="both"/>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100W以上</w:t>
            </w:r>
          </w:p>
        </w:tc>
        <w:tc>
          <w:tcPr>
            <w:tcW w:w="2638" w:type="dxa"/>
          </w:tcPr>
          <w:p>
            <w:pPr>
              <w:pStyle w:val="74"/>
              <w:keepNext w:val="0"/>
              <w:keepLines w:val="0"/>
              <w:pageBreakBefore w:val="0"/>
              <w:widowControl w:val="0"/>
              <w:kinsoku/>
              <w:wordWrap/>
              <w:overflowPunct/>
              <w:topLinePunct w:val="0"/>
              <w:autoSpaceDE/>
              <w:autoSpaceDN/>
              <w:bidi w:val="0"/>
              <w:ind w:left="896" w:right="784"/>
              <w:jc w:val="both"/>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2W</w:t>
            </w:r>
          </w:p>
        </w:tc>
        <w:tc>
          <w:tcPr>
            <w:tcW w:w="1786" w:type="dxa"/>
          </w:tcPr>
          <w:p>
            <w:pPr>
              <w:pStyle w:val="74"/>
              <w:keepNext w:val="0"/>
              <w:keepLines w:val="0"/>
              <w:pageBreakBefore w:val="0"/>
              <w:widowControl w:val="0"/>
              <w:kinsoku/>
              <w:wordWrap/>
              <w:overflowPunct/>
              <w:topLinePunct w:val="0"/>
              <w:autoSpaceDE/>
              <w:autoSpaceDN/>
              <w:bidi w:val="0"/>
              <w:ind w:left="113"/>
              <w:jc w:val="both"/>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09" w:type="dxa"/>
          </w:tcPr>
          <w:p>
            <w:pPr>
              <w:pStyle w:val="74"/>
              <w:keepNext w:val="0"/>
              <w:keepLines w:val="0"/>
              <w:pageBreakBefore w:val="0"/>
              <w:widowControl w:val="0"/>
              <w:kinsoku/>
              <w:wordWrap/>
              <w:overflowPunct/>
              <w:topLinePunct w:val="0"/>
              <w:autoSpaceDE/>
              <w:autoSpaceDN/>
              <w:bidi w:val="0"/>
              <w:spacing w:before="22"/>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防护等级</w:t>
            </w:r>
          </w:p>
        </w:tc>
        <w:tc>
          <w:tcPr>
            <w:tcW w:w="2357" w:type="dxa"/>
          </w:tcPr>
          <w:p>
            <w:pPr>
              <w:pStyle w:val="74"/>
              <w:keepNext w:val="0"/>
              <w:keepLines w:val="0"/>
              <w:pageBreakBefore w:val="0"/>
              <w:widowControl w:val="0"/>
              <w:kinsoku/>
              <w:wordWrap/>
              <w:overflowPunct/>
              <w:topLinePunct w:val="0"/>
              <w:autoSpaceDE/>
              <w:autoSpaceDN/>
              <w:bidi w:val="0"/>
              <w:ind w:left="238" w:firstLine="180" w:firstLineChars="86"/>
              <w:jc w:val="both"/>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IP65以上</w:t>
            </w:r>
          </w:p>
        </w:tc>
        <w:tc>
          <w:tcPr>
            <w:tcW w:w="2638" w:type="dxa"/>
          </w:tcPr>
          <w:p>
            <w:pPr>
              <w:pStyle w:val="74"/>
              <w:keepNext w:val="0"/>
              <w:keepLines w:val="0"/>
              <w:pageBreakBefore w:val="0"/>
              <w:widowControl w:val="0"/>
              <w:kinsoku/>
              <w:wordWrap/>
              <w:overflowPunct/>
              <w:topLinePunct w:val="0"/>
              <w:autoSpaceDE/>
              <w:autoSpaceDN/>
              <w:bidi w:val="0"/>
              <w:spacing w:before="22"/>
              <w:ind w:left="898" w:right="784"/>
              <w:jc w:val="both"/>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IP44</w:t>
            </w:r>
          </w:p>
        </w:tc>
        <w:tc>
          <w:tcPr>
            <w:tcW w:w="1786" w:type="dxa"/>
          </w:tcPr>
          <w:p>
            <w:pPr>
              <w:pStyle w:val="74"/>
              <w:keepNext w:val="0"/>
              <w:keepLines w:val="0"/>
              <w:pageBreakBefore w:val="0"/>
              <w:widowControl w:val="0"/>
              <w:kinsoku/>
              <w:wordWrap/>
              <w:overflowPunct/>
              <w:topLinePunct w:val="0"/>
              <w:autoSpaceDE/>
              <w:autoSpaceDN/>
              <w:bidi w:val="0"/>
              <w:spacing w:before="22"/>
              <w:ind w:left="113"/>
              <w:jc w:val="both"/>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09" w:type="dxa"/>
          </w:tcPr>
          <w:p>
            <w:pPr>
              <w:pStyle w:val="74"/>
              <w:keepNext w:val="0"/>
              <w:keepLines w:val="0"/>
              <w:pageBreakBefore w:val="0"/>
              <w:widowControl w:val="0"/>
              <w:kinsoku/>
              <w:wordWrap/>
              <w:overflowPunct/>
              <w:topLinePunct w:val="0"/>
              <w:autoSpaceDE/>
              <w:autoSpaceDN/>
              <w:bidi w:val="0"/>
              <w:spacing w:before="177"/>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安装方式</w:t>
            </w:r>
          </w:p>
        </w:tc>
        <w:tc>
          <w:tcPr>
            <w:tcW w:w="2357" w:type="dxa"/>
          </w:tcPr>
          <w:p>
            <w:pPr>
              <w:pStyle w:val="74"/>
              <w:keepNext w:val="0"/>
              <w:keepLines w:val="0"/>
              <w:pageBreakBefore w:val="0"/>
              <w:widowControl w:val="0"/>
              <w:kinsoku/>
              <w:wordWrap/>
              <w:overflowPunct/>
              <w:topLinePunct w:val="0"/>
              <w:autoSpaceDE/>
              <w:autoSpaceDN/>
              <w:bidi w:val="0"/>
              <w:ind w:left="106"/>
              <w:jc w:val="both"/>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立杆胀杆固定、一体化基座安装箱、浇筑基础、钢结构等</w:t>
            </w:r>
          </w:p>
        </w:tc>
        <w:tc>
          <w:tcPr>
            <w:tcW w:w="2638" w:type="dxa"/>
          </w:tcPr>
          <w:p>
            <w:pPr>
              <w:pStyle w:val="74"/>
              <w:keepNext w:val="0"/>
              <w:keepLines w:val="0"/>
              <w:pageBreakBefore w:val="0"/>
              <w:widowControl w:val="0"/>
              <w:kinsoku/>
              <w:wordWrap/>
              <w:overflowPunct/>
              <w:topLinePunct w:val="0"/>
              <w:autoSpaceDE/>
              <w:autoSpaceDN/>
              <w:bidi w:val="0"/>
              <w:spacing w:before="177"/>
              <w:ind w:right="784"/>
              <w:jc w:val="both"/>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以壁挂式为主</w:t>
            </w:r>
          </w:p>
        </w:tc>
        <w:tc>
          <w:tcPr>
            <w:tcW w:w="1786" w:type="dxa"/>
          </w:tcPr>
          <w:p>
            <w:pPr>
              <w:pStyle w:val="74"/>
              <w:keepNext w:val="0"/>
              <w:keepLines w:val="0"/>
              <w:pageBreakBefore w:val="0"/>
              <w:widowControl w:val="0"/>
              <w:kinsoku/>
              <w:wordWrap/>
              <w:overflowPunct/>
              <w:topLinePunct w:val="0"/>
              <w:autoSpaceDE/>
              <w:autoSpaceDN/>
              <w:bidi w:val="0"/>
              <w:spacing w:before="177"/>
              <w:ind w:left="113"/>
              <w:jc w:val="both"/>
              <w:textAlignment w:val="auto"/>
              <w:outlineLvl w:val="9"/>
              <w:rPr>
                <w:rFonts w:hint="eastAsia" w:ascii="仿宋" w:hAnsi="仿宋" w:eastAsia="仿宋" w:cs="仿宋"/>
                <w:b w:val="0"/>
                <w:b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609" w:type="dxa"/>
          </w:tcPr>
          <w:p>
            <w:pPr>
              <w:pStyle w:val="74"/>
              <w:keepNext w:val="0"/>
              <w:keepLines w:val="0"/>
              <w:pageBreakBefore w:val="0"/>
              <w:widowControl w:val="0"/>
              <w:kinsoku/>
              <w:wordWrap/>
              <w:overflowPunct/>
              <w:topLinePunct w:val="0"/>
              <w:autoSpaceDE/>
              <w:autoSpaceDN/>
              <w:bidi w:val="0"/>
              <w:spacing w:before="0"/>
              <w:textAlignment w:val="auto"/>
              <w:outlineLvl w:val="9"/>
              <w:rPr>
                <w:rFonts w:hint="eastAsia" w:ascii="仿宋" w:hAnsi="仿宋" w:eastAsia="仿宋" w:cs="仿宋"/>
                <w:b w:val="0"/>
                <w:bCs w:val="0"/>
                <w:color w:val="auto"/>
                <w:sz w:val="26"/>
              </w:rPr>
            </w:pPr>
          </w:p>
          <w:p>
            <w:pPr>
              <w:pStyle w:val="74"/>
              <w:keepNext w:val="0"/>
              <w:keepLines w:val="0"/>
              <w:pageBreakBefore w:val="0"/>
              <w:widowControl w:val="0"/>
              <w:kinsoku/>
              <w:wordWrap/>
              <w:overflowPunct/>
              <w:topLinePunct w:val="0"/>
              <w:autoSpaceDE/>
              <w:autoSpaceDN/>
              <w:bidi w:val="0"/>
              <w:spacing w:before="0"/>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供电方式</w:t>
            </w:r>
          </w:p>
        </w:tc>
        <w:tc>
          <w:tcPr>
            <w:tcW w:w="2357" w:type="dxa"/>
          </w:tcPr>
          <w:p>
            <w:pPr>
              <w:pStyle w:val="74"/>
              <w:keepNext w:val="0"/>
              <w:keepLines w:val="0"/>
              <w:pageBreakBefore w:val="0"/>
              <w:widowControl w:val="0"/>
              <w:kinsoku/>
              <w:wordWrap/>
              <w:overflowPunct/>
              <w:topLinePunct w:val="0"/>
              <w:autoSpaceDE/>
              <w:autoSpaceDN/>
              <w:bidi w:val="0"/>
              <w:spacing w:before="177" w:line="278" w:lineRule="auto"/>
              <w:ind w:right="96"/>
              <w:jc w:val="both"/>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spacing w:val="-11"/>
                <w:lang w:eastAsia="zh-CN"/>
              </w:rPr>
              <w:t>按需供电方式，满足连续</w:t>
            </w:r>
            <w:r>
              <w:rPr>
                <w:rFonts w:hint="eastAsia" w:ascii="仿宋" w:hAnsi="仿宋" w:eastAsia="仿宋" w:cs="仿宋"/>
                <w:b w:val="0"/>
                <w:bCs w:val="0"/>
                <w:color w:val="auto"/>
                <w:lang w:eastAsia="zh-CN"/>
              </w:rPr>
              <w:t>30</w:t>
            </w:r>
            <w:r>
              <w:rPr>
                <w:rFonts w:hint="eastAsia" w:ascii="仿宋" w:hAnsi="仿宋" w:eastAsia="仿宋" w:cs="仿宋"/>
                <w:b w:val="0"/>
                <w:bCs w:val="0"/>
                <w:color w:val="auto"/>
                <w:spacing w:val="-7"/>
                <w:lang w:eastAsia="zh-CN"/>
              </w:rPr>
              <w:t>个阴</w:t>
            </w:r>
            <w:r>
              <w:rPr>
                <w:rFonts w:hint="eastAsia" w:ascii="仿宋" w:hAnsi="仿宋" w:eastAsia="仿宋" w:cs="仿宋"/>
                <w:b w:val="0"/>
                <w:bCs w:val="0"/>
                <w:color w:val="auto"/>
                <w:lang w:eastAsia="zh-CN"/>
              </w:rPr>
              <w:t>雨日正常工作</w:t>
            </w:r>
          </w:p>
        </w:tc>
        <w:tc>
          <w:tcPr>
            <w:tcW w:w="2638" w:type="dxa"/>
          </w:tcPr>
          <w:p>
            <w:pPr>
              <w:pStyle w:val="74"/>
              <w:keepNext w:val="0"/>
              <w:keepLines w:val="0"/>
              <w:pageBreakBefore w:val="0"/>
              <w:widowControl w:val="0"/>
              <w:kinsoku/>
              <w:wordWrap/>
              <w:overflowPunct/>
              <w:topLinePunct w:val="0"/>
              <w:autoSpaceDE/>
              <w:autoSpaceDN/>
              <w:bidi w:val="0"/>
              <w:spacing w:line="278" w:lineRule="auto"/>
              <w:ind w:left="130" w:right="120"/>
              <w:jc w:val="both"/>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市电及内置备用电池，支持断电自动切换，电池待机时间大于24小时</w:t>
            </w:r>
          </w:p>
        </w:tc>
        <w:tc>
          <w:tcPr>
            <w:tcW w:w="1786" w:type="dxa"/>
          </w:tcPr>
          <w:p>
            <w:pPr>
              <w:pStyle w:val="74"/>
              <w:keepNext w:val="0"/>
              <w:keepLines w:val="0"/>
              <w:pageBreakBefore w:val="0"/>
              <w:widowControl w:val="0"/>
              <w:kinsoku/>
              <w:wordWrap/>
              <w:overflowPunct/>
              <w:topLinePunct w:val="0"/>
              <w:autoSpaceDE/>
              <w:autoSpaceDN/>
              <w:bidi w:val="0"/>
              <w:spacing w:before="0"/>
              <w:jc w:val="both"/>
              <w:textAlignment w:val="auto"/>
              <w:outlineLvl w:val="9"/>
              <w:rPr>
                <w:rFonts w:hint="eastAsia" w:ascii="仿宋" w:hAnsi="仿宋" w:eastAsia="仿宋" w:cs="仿宋"/>
                <w:b w:val="0"/>
                <w:bCs w:val="0"/>
                <w:color w:val="auto"/>
                <w:sz w:val="26"/>
                <w:lang w:eastAsia="zh-CN"/>
              </w:rPr>
            </w:pPr>
            <w:r>
              <w:rPr>
                <w:rFonts w:hint="eastAsia" w:ascii="仿宋" w:hAnsi="仿宋" w:eastAsia="仿宋" w:cs="仿宋"/>
                <w:b w:val="0"/>
                <w:bCs w:val="0"/>
                <w:color w:val="auto"/>
                <w:lang w:val="en-US" w:eastAsia="zh-CN"/>
              </w:rPr>
              <w:t>具备</w:t>
            </w:r>
            <w:r>
              <w:rPr>
                <w:rFonts w:hint="eastAsia" w:ascii="仿宋" w:hAnsi="仿宋" w:eastAsia="仿宋" w:cs="仿宋"/>
                <w:b w:val="0"/>
                <w:bCs w:val="0"/>
                <w:color w:val="auto"/>
              </w:rPr>
              <w:t>过压及欠压保护</w:t>
            </w:r>
          </w:p>
          <w:p>
            <w:pPr>
              <w:pStyle w:val="74"/>
              <w:keepNext w:val="0"/>
              <w:keepLines w:val="0"/>
              <w:pageBreakBefore w:val="0"/>
              <w:widowControl w:val="0"/>
              <w:kinsoku/>
              <w:wordWrap/>
              <w:overflowPunct/>
              <w:topLinePunct w:val="0"/>
              <w:autoSpaceDE/>
              <w:autoSpaceDN/>
              <w:bidi w:val="0"/>
              <w:spacing w:before="0"/>
              <w:ind w:left="113"/>
              <w:jc w:val="both"/>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09" w:type="dxa"/>
          </w:tcPr>
          <w:p>
            <w:pPr>
              <w:pStyle w:val="74"/>
              <w:keepNext w:val="0"/>
              <w:keepLines w:val="0"/>
              <w:pageBreakBefore w:val="0"/>
              <w:widowControl w:val="0"/>
              <w:kinsoku/>
              <w:wordWrap/>
              <w:overflowPunct/>
              <w:topLinePunct w:val="0"/>
              <w:autoSpaceDE/>
              <w:autoSpaceDN/>
              <w:bidi w:val="0"/>
              <w:spacing w:before="22"/>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现场存储</w:t>
            </w:r>
          </w:p>
        </w:tc>
        <w:tc>
          <w:tcPr>
            <w:tcW w:w="4995" w:type="dxa"/>
            <w:gridSpan w:val="2"/>
          </w:tcPr>
          <w:p>
            <w:pPr>
              <w:pStyle w:val="74"/>
              <w:keepNext w:val="0"/>
              <w:keepLines w:val="0"/>
              <w:pageBreakBefore w:val="0"/>
              <w:widowControl w:val="0"/>
              <w:kinsoku/>
              <w:wordWrap/>
              <w:overflowPunct/>
              <w:topLinePunct w:val="0"/>
              <w:autoSpaceDE/>
              <w:autoSpaceDN/>
              <w:bidi w:val="0"/>
              <w:spacing w:before="22"/>
              <w:ind w:left="1868"/>
              <w:jc w:val="both"/>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本地存储及远端平台存储</w:t>
            </w:r>
          </w:p>
        </w:tc>
        <w:tc>
          <w:tcPr>
            <w:tcW w:w="1786" w:type="dxa"/>
          </w:tcPr>
          <w:p>
            <w:pPr>
              <w:pStyle w:val="74"/>
              <w:keepNext w:val="0"/>
              <w:keepLines w:val="0"/>
              <w:pageBreakBefore w:val="0"/>
              <w:widowControl w:val="0"/>
              <w:kinsoku/>
              <w:wordWrap/>
              <w:overflowPunct/>
              <w:topLinePunct w:val="0"/>
              <w:autoSpaceDE/>
              <w:autoSpaceDN/>
              <w:bidi w:val="0"/>
              <w:spacing w:before="22"/>
              <w:ind w:left="113"/>
              <w:jc w:val="both"/>
              <w:textAlignment w:val="auto"/>
              <w:outlineLvl w:val="9"/>
              <w:rPr>
                <w:rFonts w:hint="eastAsia" w:ascii="仿宋" w:hAnsi="仿宋" w:eastAsia="仿宋" w:cs="仿宋"/>
                <w:b w:val="0"/>
                <w:bCs w:val="0"/>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09" w:type="dxa"/>
          </w:tcPr>
          <w:p>
            <w:pPr>
              <w:pStyle w:val="74"/>
              <w:keepNext w:val="0"/>
              <w:keepLines w:val="0"/>
              <w:pageBreakBefore w:val="0"/>
              <w:widowControl w:val="0"/>
              <w:kinsoku/>
              <w:wordWrap/>
              <w:overflowPunct/>
              <w:topLinePunct w:val="0"/>
              <w:autoSpaceDE/>
              <w:autoSpaceDN/>
              <w:bidi w:val="0"/>
              <w:spacing w:before="177"/>
              <w:ind w:right="257"/>
              <w:textAlignment w:val="auto"/>
              <w:outlineLvl w:val="9"/>
              <w:rPr>
                <w:rFonts w:hint="eastAsia" w:ascii="仿宋" w:hAnsi="仿宋" w:eastAsia="仿宋" w:cs="仿宋"/>
                <w:b w:val="0"/>
                <w:bCs w:val="0"/>
                <w:color w:val="auto"/>
              </w:rPr>
            </w:pPr>
            <w:r>
              <w:rPr>
                <w:rFonts w:hint="eastAsia" w:ascii="仿宋" w:hAnsi="仿宋" w:eastAsia="仿宋" w:cs="仿宋"/>
                <w:b w:val="0"/>
                <w:bCs w:val="0"/>
                <w:color w:val="auto"/>
              </w:rPr>
              <w:t>控制方式</w:t>
            </w:r>
          </w:p>
        </w:tc>
        <w:tc>
          <w:tcPr>
            <w:tcW w:w="4995" w:type="dxa"/>
            <w:gridSpan w:val="2"/>
          </w:tcPr>
          <w:p>
            <w:pPr>
              <w:pStyle w:val="74"/>
              <w:keepNext w:val="0"/>
              <w:keepLines w:val="0"/>
              <w:pageBreakBefore w:val="0"/>
              <w:widowControl w:val="0"/>
              <w:kinsoku/>
              <w:wordWrap/>
              <w:overflowPunct/>
              <w:topLinePunct w:val="0"/>
              <w:autoSpaceDE/>
              <w:autoSpaceDN/>
              <w:bidi w:val="0"/>
              <w:spacing w:before="177"/>
              <w:ind w:left="1868"/>
              <w:jc w:val="both"/>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本地控制及远端平台控制</w:t>
            </w:r>
          </w:p>
        </w:tc>
        <w:tc>
          <w:tcPr>
            <w:tcW w:w="1786" w:type="dxa"/>
          </w:tcPr>
          <w:p>
            <w:pPr>
              <w:pStyle w:val="74"/>
              <w:keepNext w:val="0"/>
              <w:keepLines w:val="0"/>
              <w:pageBreakBefore w:val="0"/>
              <w:widowControl w:val="0"/>
              <w:kinsoku/>
              <w:wordWrap/>
              <w:overflowPunct/>
              <w:topLinePunct w:val="0"/>
              <w:autoSpaceDE/>
              <w:autoSpaceDN/>
              <w:bidi w:val="0"/>
              <w:ind w:left="125"/>
              <w:jc w:val="both"/>
              <w:textAlignment w:val="auto"/>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本地控制需提供误报消除按键</w:t>
            </w:r>
          </w:p>
        </w:tc>
      </w:tr>
    </w:tbl>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 w:hAnsi="仿宋" w:eastAsia="仿宋" w:cs="仿宋"/>
          <w:b w:val="0"/>
          <w:bCs w:val="0"/>
          <w:color w:val="auto"/>
          <w:sz w:val="24"/>
          <w:szCs w:val="24"/>
        </w:rPr>
      </w:pPr>
      <w:bookmarkStart w:id="353" w:name="_Toc14982"/>
      <w:r>
        <w:rPr>
          <w:rFonts w:hint="eastAsia" w:ascii="仿宋" w:hAnsi="仿宋" w:eastAsia="仿宋" w:cs="仿宋"/>
          <w:b w:val="0"/>
          <w:bCs w:val="0"/>
          <w:color w:val="auto"/>
          <w:sz w:val="24"/>
          <w:szCs w:val="24"/>
        </w:rPr>
        <w:t>八、主要实物工作量</w:t>
      </w:r>
      <w:bookmarkEnd w:id="353"/>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地质灾害群专结合监测预警点建设工作包括现场踏勘、监测点单点设计书及总体设计方案、监测设备的购置、运输、安装、防护围栏安装、警示牌制作、数据传输和运行维护。</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监测点建设数量不少于1</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个。选择确定风险较大的重要隐患点，安排采用无人机实测成图，其中正射影像比例不低于30%，三维模型比例不低于10%。监测预警点单点设计方案应采用近期高分辨率影像，附地质隐患点、承载体、灾害特征照片。投标单位在现场踏勘后提出投标设计方案。</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最终设计方案及工作量以审批后的项目设计书为准。</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 w:hAnsi="仿宋" w:eastAsia="仿宋" w:cs="仿宋"/>
          <w:b w:val="0"/>
          <w:bCs w:val="0"/>
          <w:color w:val="auto"/>
          <w:sz w:val="24"/>
          <w:szCs w:val="24"/>
        </w:rPr>
      </w:pPr>
      <w:bookmarkStart w:id="354" w:name="_Toc20277"/>
      <w:r>
        <w:rPr>
          <w:rFonts w:hint="eastAsia" w:ascii="仿宋" w:hAnsi="仿宋" w:eastAsia="仿宋" w:cs="仿宋"/>
          <w:b w:val="0"/>
          <w:bCs w:val="0"/>
          <w:color w:val="auto"/>
          <w:sz w:val="24"/>
          <w:szCs w:val="24"/>
        </w:rPr>
        <w:t>九、预期提交成果</w:t>
      </w:r>
      <w:bookmarkEnd w:id="354"/>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（一）</w:t>
      </w:r>
      <w:r>
        <w:rPr>
          <w:rFonts w:hint="eastAsia" w:ascii="仿宋" w:hAnsi="仿宋" w:eastAsia="仿宋" w:cs="仿宋"/>
          <w:b w:val="0"/>
          <w:bCs w:val="0"/>
          <w:color w:val="auto"/>
          <w:sz w:val="24"/>
          <w:szCs w:val="24"/>
          <w:lang w:eastAsia="zh-CN"/>
        </w:rPr>
        <w:t>《新疆</w:t>
      </w:r>
      <w:r>
        <w:rPr>
          <w:rFonts w:hint="eastAsia" w:ascii="仿宋" w:hAnsi="仿宋" w:eastAsia="仿宋" w:cs="仿宋"/>
          <w:b w:val="0"/>
          <w:bCs w:val="0"/>
          <w:color w:val="auto"/>
          <w:sz w:val="24"/>
          <w:szCs w:val="24"/>
          <w:lang w:val="en-US" w:eastAsia="zh-CN"/>
        </w:rPr>
        <w:t>克孜勒苏柯尔克孜自治州</w:t>
      </w:r>
      <w:r>
        <w:rPr>
          <w:rFonts w:hint="eastAsia" w:ascii="仿宋" w:hAnsi="仿宋" w:eastAsia="仿宋" w:cs="仿宋"/>
          <w:b w:val="0"/>
          <w:bCs w:val="0"/>
          <w:color w:val="auto"/>
          <w:sz w:val="24"/>
          <w:szCs w:val="24"/>
          <w:lang w:eastAsia="zh-CN"/>
        </w:rPr>
        <w:t>群专结合监测预警点建设（2023年度）设计方案》</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（二）《新疆</w:t>
      </w:r>
      <w:r>
        <w:rPr>
          <w:rFonts w:hint="eastAsia" w:ascii="仿宋" w:hAnsi="仿宋" w:eastAsia="仿宋" w:cs="仿宋"/>
          <w:b w:val="0"/>
          <w:bCs w:val="0"/>
          <w:color w:val="auto"/>
          <w:sz w:val="24"/>
          <w:szCs w:val="24"/>
          <w:lang w:val="en-US" w:eastAsia="zh-CN"/>
        </w:rPr>
        <w:t>克孜勒苏柯尔克孜自治州</w:t>
      </w:r>
      <w:r>
        <w:rPr>
          <w:rFonts w:hint="eastAsia" w:ascii="仿宋" w:hAnsi="仿宋" w:eastAsia="仿宋" w:cs="仿宋"/>
          <w:b w:val="0"/>
          <w:bCs w:val="0"/>
          <w:color w:val="auto"/>
          <w:sz w:val="24"/>
          <w:szCs w:val="24"/>
        </w:rPr>
        <w:t>群专结合监测预警点建设项目（</w:t>
      </w:r>
      <w:r>
        <w:rPr>
          <w:rFonts w:hint="eastAsia" w:ascii="仿宋" w:hAnsi="仿宋" w:eastAsia="仿宋" w:cs="仿宋"/>
          <w:b w:val="0"/>
          <w:bCs w:val="0"/>
          <w:color w:val="auto"/>
          <w:sz w:val="24"/>
          <w:szCs w:val="24"/>
          <w:lang w:eastAsia="zh-CN"/>
        </w:rPr>
        <w:t>2023年</w:t>
      </w:r>
      <w:r>
        <w:rPr>
          <w:rFonts w:hint="eastAsia" w:ascii="仿宋" w:hAnsi="仿宋" w:eastAsia="仿宋" w:cs="仿宋"/>
          <w:b w:val="0"/>
          <w:bCs w:val="0"/>
          <w:color w:val="auto"/>
          <w:sz w:val="24"/>
          <w:szCs w:val="24"/>
        </w:rPr>
        <w:t>度）年度报告》；</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（三）《新疆</w:t>
      </w:r>
      <w:r>
        <w:rPr>
          <w:rFonts w:hint="eastAsia" w:ascii="仿宋" w:hAnsi="仿宋" w:eastAsia="仿宋" w:cs="仿宋"/>
          <w:b w:val="0"/>
          <w:bCs w:val="0"/>
          <w:color w:val="auto"/>
          <w:sz w:val="24"/>
          <w:szCs w:val="24"/>
          <w:lang w:val="en-US" w:eastAsia="zh-CN"/>
        </w:rPr>
        <w:t>克孜勒苏柯尔克孜自治州</w:t>
      </w:r>
      <w:r>
        <w:rPr>
          <w:rFonts w:hint="eastAsia" w:ascii="仿宋" w:hAnsi="仿宋" w:eastAsia="仿宋" w:cs="仿宋"/>
          <w:b w:val="0"/>
          <w:bCs w:val="0"/>
          <w:color w:val="auto"/>
          <w:sz w:val="24"/>
          <w:szCs w:val="24"/>
        </w:rPr>
        <w:t>群专结合监测预警点建设项目建设（</w:t>
      </w:r>
      <w:r>
        <w:rPr>
          <w:rFonts w:hint="eastAsia" w:ascii="仿宋" w:hAnsi="仿宋" w:eastAsia="仿宋" w:cs="仿宋"/>
          <w:b w:val="0"/>
          <w:bCs w:val="0"/>
          <w:color w:val="auto"/>
          <w:sz w:val="24"/>
          <w:szCs w:val="24"/>
          <w:lang w:eastAsia="zh-CN"/>
        </w:rPr>
        <w:t>2023年</w:t>
      </w:r>
      <w:r>
        <w:rPr>
          <w:rFonts w:hint="eastAsia" w:ascii="仿宋" w:hAnsi="仿宋" w:eastAsia="仿宋" w:cs="仿宋"/>
          <w:b w:val="0"/>
          <w:bCs w:val="0"/>
          <w:color w:val="auto"/>
          <w:sz w:val="24"/>
          <w:szCs w:val="24"/>
        </w:rPr>
        <w:t>度）竣工报告》；</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（四）《新疆</w:t>
      </w:r>
      <w:r>
        <w:rPr>
          <w:rFonts w:hint="eastAsia" w:ascii="仿宋" w:hAnsi="仿宋" w:eastAsia="仿宋" w:cs="仿宋"/>
          <w:b w:val="0"/>
          <w:bCs w:val="0"/>
          <w:color w:val="auto"/>
          <w:sz w:val="24"/>
          <w:szCs w:val="24"/>
          <w:lang w:val="en-US" w:eastAsia="zh-CN"/>
        </w:rPr>
        <w:t>克孜勒苏柯尔克孜自治州</w:t>
      </w:r>
      <w:r>
        <w:rPr>
          <w:rFonts w:hint="eastAsia" w:ascii="仿宋" w:hAnsi="仿宋" w:eastAsia="仿宋" w:cs="仿宋"/>
          <w:b w:val="0"/>
          <w:bCs w:val="0"/>
          <w:color w:val="auto"/>
          <w:sz w:val="24"/>
          <w:szCs w:val="24"/>
        </w:rPr>
        <w:t>群专结合监测预警点监测（</w:t>
      </w:r>
      <w:r>
        <w:rPr>
          <w:rFonts w:hint="eastAsia" w:ascii="仿宋" w:hAnsi="仿宋" w:eastAsia="仿宋" w:cs="仿宋"/>
          <w:b w:val="0"/>
          <w:bCs w:val="0"/>
          <w:color w:val="auto"/>
          <w:sz w:val="24"/>
          <w:szCs w:val="24"/>
          <w:lang w:eastAsia="zh-CN"/>
        </w:rPr>
        <w:t>2023年</w:t>
      </w:r>
      <w:r>
        <w:rPr>
          <w:rFonts w:hint="eastAsia" w:ascii="仿宋" w:hAnsi="仿宋" w:eastAsia="仿宋" w:cs="仿宋"/>
          <w:b w:val="0"/>
          <w:bCs w:val="0"/>
          <w:color w:val="auto"/>
          <w:sz w:val="24"/>
          <w:szCs w:val="24"/>
        </w:rPr>
        <w:t>度）设备使用手册》；</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（五）《新疆</w:t>
      </w:r>
      <w:r>
        <w:rPr>
          <w:rFonts w:hint="eastAsia" w:ascii="仿宋" w:hAnsi="仿宋" w:eastAsia="仿宋" w:cs="仿宋"/>
          <w:b w:val="0"/>
          <w:bCs w:val="0"/>
          <w:color w:val="auto"/>
          <w:sz w:val="24"/>
          <w:szCs w:val="24"/>
          <w:lang w:val="en-US" w:eastAsia="zh-CN"/>
        </w:rPr>
        <w:t>克孜勒苏柯尔克孜自治州</w:t>
      </w:r>
      <w:r>
        <w:rPr>
          <w:rFonts w:hint="eastAsia" w:ascii="仿宋" w:hAnsi="仿宋" w:eastAsia="仿宋" w:cs="仿宋"/>
          <w:b w:val="0"/>
          <w:bCs w:val="0"/>
          <w:color w:val="auto"/>
          <w:sz w:val="24"/>
          <w:szCs w:val="24"/>
        </w:rPr>
        <w:t>群专结合监测预警点项目（</w:t>
      </w:r>
      <w:r>
        <w:rPr>
          <w:rFonts w:hint="eastAsia" w:ascii="仿宋" w:hAnsi="仿宋" w:eastAsia="仿宋" w:cs="仿宋"/>
          <w:b w:val="0"/>
          <w:bCs w:val="0"/>
          <w:color w:val="auto"/>
          <w:sz w:val="24"/>
          <w:szCs w:val="24"/>
          <w:lang w:eastAsia="zh-CN"/>
        </w:rPr>
        <w:t>2023年</w:t>
      </w:r>
      <w:r>
        <w:rPr>
          <w:rFonts w:hint="eastAsia" w:ascii="仿宋" w:hAnsi="仿宋" w:eastAsia="仿宋" w:cs="仿宋"/>
          <w:b w:val="0"/>
          <w:bCs w:val="0"/>
          <w:color w:val="auto"/>
          <w:sz w:val="24"/>
          <w:szCs w:val="24"/>
        </w:rPr>
        <w:t>度）运行维护报告》。</w:t>
      </w:r>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六</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项目建设原始资料（包含地质灾害专业监测点建设实际材料图；监测点建设照片和影像资料；其他原始资料等）</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1"/>
        <w:rPr>
          <w:rFonts w:hint="eastAsia" w:ascii="仿宋" w:hAnsi="仿宋" w:eastAsia="仿宋" w:cs="仿宋"/>
          <w:b w:val="0"/>
          <w:bCs w:val="0"/>
          <w:color w:val="auto"/>
          <w:sz w:val="24"/>
          <w:szCs w:val="24"/>
        </w:rPr>
      </w:pPr>
      <w:bookmarkStart w:id="355" w:name="_Toc1590"/>
      <w:r>
        <w:rPr>
          <w:rFonts w:hint="eastAsia" w:ascii="仿宋" w:hAnsi="仿宋" w:eastAsia="仿宋" w:cs="仿宋"/>
          <w:b w:val="0"/>
          <w:bCs w:val="0"/>
          <w:color w:val="auto"/>
          <w:sz w:val="24"/>
          <w:szCs w:val="24"/>
        </w:rPr>
        <w:t>十、工作周期</w:t>
      </w:r>
      <w:bookmarkEnd w:id="355"/>
    </w:p>
    <w:p>
      <w:pPr>
        <w:keepNext w:val="0"/>
        <w:keepLines w:val="0"/>
        <w:pageBreakBefore w:val="0"/>
        <w:widowControl w:val="0"/>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2023年5月31日前完成监测点建设工作，2023年5月31日-2026年5月31日开展运行维护工作。</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br w:type="page"/>
      </w:r>
    </w:p>
    <w:bookmarkEnd w:id="285"/>
    <w:bookmarkEnd w:id="286"/>
    <w:bookmarkEnd w:id="287"/>
    <w:bookmarkEnd w:id="288"/>
    <w:p>
      <w:pPr>
        <w:keepNext w:val="0"/>
        <w:keepLines w:val="0"/>
        <w:pageBreakBefore w:val="0"/>
        <w:widowControl w:val="0"/>
        <w:kinsoku/>
        <w:wordWrap/>
        <w:overflowPunct/>
        <w:topLinePunct w:val="0"/>
        <w:autoSpaceDE/>
        <w:autoSpaceDN/>
        <w:bidi w:val="0"/>
        <w:adjustRightInd/>
        <w:snapToGrid/>
        <w:spacing w:line="440" w:lineRule="exact"/>
        <w:ind w:firstLine="482"/>
        <w:jc w:val="center"/>
        <w:textAlignment w:val="auto"/>
        <w:outlineLvl w:val="1"/>
        <w:rPr>
          <w:rFonts w:ascii="仿宋" w:hAnsi="仿宋" w:eastAsia="仿宋"/>
          <w:b/>
          <w:bCs/>
          <w:color w:val="auto"/>
          <w:sz w:val="36"/>
          <w:szCs w:val="36"/>
        </w:rPr>
      </w:pPr>
      <w:bookmarkStart w:id="356" w:name="_Toc3668"/>
      <w:bookmarkStart w:id="357" w:name="_Toc10168"/>
      <w:bookmarkStart w:id="358" w:name="_Toc216582826"/>
      <w:bookmarkStart w:id="359" w:name="_Toc219175639"/>
      <w:bookmarkStart w:id="360" w:name="_Toc218935355"/>
      <w:r>
        <w:rPr>
          <w:rFonts w:hint="eastAsia" w:ascii="仿宋" w:hAnsi="仿宋" w:eastAsia="仿宋"/>
          <w:b/>
          <w:bCs/>
          <w:color w:val="auto"/>
          <w:sz w:val="28"/>
          <w:szCs w:val="28"/>
        </w:rPr>
        <w:t>标项</w:t>
      </w:r>
      <w:r>
        <w:rPr>
          <w:rFonts w:hint="eastAsia" w:ascii="仿宋" w:hAnsi="仿宋" w:eastAsia="仿宋"/>
          <w:b/>
          <w:bCs/>
          <w:color w:val="auto"/>
          <w:sz w:val="28"/>
          <w:szCs w:val="28"/>
          <w:lang w:val="en-US" w:eastAsia="zh-CN"/>
        </w:rPr>
        <w:t>六</w:t>
      </w:r>
      <w:r>
        <w:rPr>
          <w:rFonts w:hint="eastAsia" w:ascii="仿宋" w:hAnsi="仿宋" w:eastAsia="仿宋"/>
          <w:b/>
          <w:bCs/>
          <w:color w:val="auto"/>
          <w:sz w:val="28"/>
          <w:szCs w:val="28"/>
        </w:rPr>
        <w:t>：</w:t>
      </w:r>
      <w:r>
        <w:rPr>
          <w:rFonts w:hint="eastAsia" w:ascii="仿宋" w:hAnsi="仿宋" w:eastAsia="仿宋"/>
          <w:b/>
          <w:bCs/>
          <w:color w:val="auto"/>
          <w:sz w:val="28"/>
          <w:szCs w:val="28"/>
          <w:lang w:eastAsia="zh-CN"/>
        </w:rPr>
        <w:t>克州2023年自然灾害防治体系建设补助资金项目</w:t>
      </w:r>
      <w:r>
        <w:rPr>
          <w:rFonts w:hint="eastAsia" w:ascii="仿宋" w:hAnsi="仿宋" w:eastAsia="仿宋"/>
          <w:b/>
          <w:bCs/>
          <w:color w:val="auto"/>
          <w:sz w:val="28"/>
          <w:szCs w:val="28"/>
        </w:rPr>
        <w:t>监理</w:t>
      </w:r>
      <w:bookmarkEnd w:id="356"/>
      <w:bookmarkEnd w:id="357"/>
    </w:p>
    <w:p>
      <w:pPr>
        <w:spacing w:line="500" w:lineRule="exact"/>
        <w:ind w:firstLine="482" w:firstLineChars="200"/>
        <w:rPr>
          <w:rFonts w:ascii="仿宋" w:hAnsi="仿宋" w:eastAsia="仿宋" w:cs="仿宋"/>
          <w:b/>
          <w:bCs/>
          <w:color w:val="auto"/>
          <w:sz w:val="24"/>
        </w:rPr>
      </w:pPr>
    </w:p>
    <w:p>
      <w:pPr>
        <w:spacing w:line="500" w:lineRule="exact"/>
        <w:ind w:firstLine="480" w:firstLineChars="200"/>
        <w:outlineLvl w:val="1"/>
        <w:rPr>
          <w:rFonts w:ascii="仿宋" w:hAnsi="仿宋" w:eastAsia="仿宋" w:cs="仿宋"/>
          <w:b w:val="0"/>
          <w:bCs w:val="0"/>
          <w:color w:val="auto"/>
          <w:sz w:val="24"/>
        </w:rPr>
      </w:pPr>
      <w:bookmarkStart w:id="361" w:name="_Toc16013"/>
      <w:r>
        <w:rPr>
          <w:rFonts w:hint="eastAsia" w:ascii="仿宋" w:hAnsi="仿宋" w:eastAsia="仿宋" w:cs="仿宋"/>
          <w:b w:val="0"/>
          <w:bCs w:val="0"/>
          <w:color w:val="auto"/>
          <w:sz w:val="24"/>
        </w:rPr>
        <w:t>一、项目名称和编号</w:t>
      </w:r>
      <w:bookmarkEnd w:id="361"/>
    </w:p>
    <w:p>
      <w:pPr>
        <w:spacing w:line="500" w:lineRule="exact"/>
        <w:ind w:left="1733" w:leftChars="254" w:hanging="1200" w:hangingChars="500"/>
        <w:rPr>
          <w:rFonts w:ascii="仿宋" w:hAnsi="仿宋" w:eastAsia="仿宋" w:cs="仿宋"/>
          <w:b w:val="0"/>
          <w:bCs w:val="0"/>
          <w:color w:val="auto"/>
          <w:kern w:val="0"/>
          <w:sz w:val="24"/>
          <w:lang w:eastAsia="en-US"/>
        </w:rPr>
      </w:pPr>
      <w:r>
        <w:rPr>
          <w:rFonts w:hint="eastAsia" w:ascii="仿宋" w:hAnsi="仿宋" w:eastAsia="仿宋" w:cs="仿宋"/>
          <w:b w:val="0"/>
          <w:bCs w:val="0"/>
          <w:color w:val="auto"/>
          <w:kern w:val="0"/>
          <w:sz w:val="24"/>
          <w:lang w:eastAsia="en-US"/>
        </w:rPr>
        <w:t>项目名称：</w:t>
      </w:r>
      <w:bookmarkStart w:id="362" w:name="项目编号：YLZFZJL"/>
      <w:bookmarkEnd w:id="362"/>
      <w:r>
        <w:rPr>
          <w:rFonts w:hint="eastAsia" w:ascii="仿宋" w:hAnsi="仿宋" w:eastAsia="仿宋"/>
          <w:b w:val="0"/>
          <w:bCs w:val="0"/>
          <w:color w:val="auto"/>
          <w:sz w:val="24"/>
          <w:lang w:eastAsia="zh-CN"/>
        </w:rPr>
        <w:t>克州2023年自然灾害防治体系建设补助资金项目</w:t>
      </w:r>
      <w:r>
        <w:rPr>
          <w:rFonts w:hint="eastAsia" w:ascii="仿宋" w:hAnsi="仿宋" w:eastAsia="仿宋"/>
          <w:b w:val="0"/>
          <w:bCs w:val="0"/>
          <w:color w:val="auto"/>
          <w:sz w:val="24"/>
        </w:rPr>
        <w:t>监理</w:t>
      </w:r>
    </w:p>
    <w:p>
      <w:pPr>
        <w:spacing w:line="500" w:lineRule="exact"/>
        <w:ind w:firstLine="480" w:firstLineChars="200"/>
        <w:rPr>
          <w:rStyle w:val="73"/>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kern w:val="0"/>
          <w:sz w:val="24"/>
          <w:lang w:eastAsia="en-US"/>
        </w:rPr>
        <w:t>项目编号：</w:t>
      </w:r>
      <w:r>
        <w:rPr>
          <w:rStyle w:val="73"/>
          <w:rFonts w:ascii="仿宋" w:hAnsi="仿宋" w:eastAsia="仿宋" w:cs="仿宋"/>
          <w:b w:val="0"/>
          <w:bCs w:val="0"/>
          <w:color w:val="auto"/>
          <w:sz w:val="24"/>
          <w:szCs w:val="24"/>
          <w:lang w:eastAsia="zh-CN"/>
        </w:rPr>
        <w:t>GYZB-KZDZFZ2023</w:t>
      </w:r>
      <w:r>
        <w:rPr>
          <w:rStyle w:val="73"/>
          <w:rFonts w:hint="eastAsia" w:ascii="仿宋" w:hAnsi="仿宋" w:eastAsia="仿宋" w:cs="仿宋"/>
          <w:b w:val="0"/>
          <w:bCs w:val="0"/>
          <w:color w:val="auto"/>
          <w:sz w:val="24"/>
          <w:szCs w:val="24"/>
          <w:lang w:val="en-US" w:eastAsia="zh-CN"/>
        </w:rPr>
        <w:t>-01</w:t>
      </w:r>
      <w:r>
        <w:rPr>
          <w:rStyle w:val="73"/>
          <w:rFonts w:ascii="仿宋" w:hAnsi="仿宋" w:eastAsia="仿宋" w:cs="仿宋"/>
          <w:b w:val="0"/>
          <w:bCs w:val="0"/>
          <w:color w:val="auto"/>
          <w:sz w:val="24"/>
          <w:szCs w:val="24"/>
        </w:rPr>
        <w:t>-0</w:t>
      </w:r>
      <w:r>
        <w:rPr>
          <w:rStyle w:val="73"/>
          <w:rFonts w:hint="eastAsia" w:ascii="仿宋" w:hAnsi="仿宋" w:eastAsia="仿宋" w:cs="仿宋"/>
          <w:b w:val="0"/>
          <w:bCs w:val="0"/>
          <w:color w:val="auto"/>
          <w:sz w:val="24"/>
          <w:szCs w:val="24"/>
          <w:lang w:val="en-US" w:eastAsia="zh-CN"/>
        </w:rPr>
        <w:t>6</w:t>
      </w:r>
    </w:p>
    <w:p>
      <w:pPr>
        <w:spacing w:line="500" w:lineRule="exact"/>
        <w:ind w:firstLine="480" w:firstLineChars="200"/>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项目费用</w:t>
      </w:r>
      <w:r>
        <w:rPr>
          <w:rStyle w:val="73"/>
          <w:rFonts w:hint="eastAsia" w:ascii="仿宋" w:hAnsi="仿宋" w:eastAsia="仿宋" w:cs="仿宋"/>
          <w:b w:val="0"/>
          <w:bCs w:val="0"/>
          <w:color w:val="auto"/>
          <w:sz w:val="24"/>
          <w:szCs w:val="24"/>
          <w:lang w:val="en-US" w:eastAsia="zh-CN"/>
        </w:rPr>
        <w:t>人民币</w:t>
      </w:r>
      <w:r>
        <w:rPr>
          <w:rFonts w:hint="eastAsia" w:ascii="仿宋" w:hAnsi="仿宋" w:eastAsia="仿宋" w:cs="仿宋"/>
          <w:b w:val="0"/>
          <w:bCs w:val="0"/>
          <w:color w:val="auto"/>
          <w:kern w:val="0"/>
          <w:sz w:val="24"/>
        </w:rPr>
        <w:t>：</w:t>
      </w:r>
      <w:r>
        <w:rPr>
          <w:rFonts w:hint="eastAsia" w:ascii="仿宋" w:hAnsi="仿宋" w:eastAsia="仿宋" w:cs="仿宋"/>
          <w:b w:val="0"/>
          <w:bCs w:val="0"/>
          <w:color w:val="auto"/>
          <w:sz w:val="24"/>
          <w:lang w:val="en-US" w:eastAsia="zh-CN"/>
        </w:rPr>
        <w:t>34.10</w:t>
      </w:r>
      <w:r>
        <w:rPr>
          <w:rFonts w:hint="eastAsia" w:ascii="仿宋" w:hAnsi="仿宋" w:eastAsia="仿宋" w:cs="仿宋"/>
          <w:b w:val="0"/>
          <w:bCs w:val="0"/>
          <w:color w:val="auto"/>
          <w:sz w:val="24"/>
        </w:rPr>
        <w:t>万元（</w:t>
      </w:r>
      <w:r>
        <w:rPr>
          <w:rFonts w:hint="eastAsia" w:ascii="仿宋" w:hAnsi="仿宋" w:eastAsia="仿宋" w:cs="仿宋"/>
          <w:b w:val="0"/>
          <w:bCs w:val="0"/>
          <w:color w:val="auto"/>
          <w:sz w:val="24"/>
          <w:lang w:val="en-US" w:eastAsia="zh-CN"/>
        </w:rPr>
        <w:t>叁拾肆万壹仟元整</w:t>
      </w:r>
      <w:r>
        <w:rPr>
          <w:rFonts w:hint="eastAsia" w:ascii="仿宋" w:hAnsi="仿宋" w:eastAsia="仿宋" w:cs="仿宋"/>
          <w:b w:val="0"/>
          <w:bCs w:val="0"/>
          <w:color w:val="auto"/>
          <w:sz w:val="24"/>
        </w:rPr>
        <w:t>）</w:t>
      </w:r>
    </w:p>
    <w:p>
      <w:pPr>
        <w:spacing w:line="500" w:lineRule="exact"/>
        <w:ind w:firstLine="480" w:firstLineChars="200"/>
        <w:outlineLvl w:val="1"/>
        <w:rPr>
          <w:rFonts w:ascii="仿宋" w:hAnsi="仿宋" w:eastAsia="仿宋" w:cs="仿宋"/>
          <w:b w:val="0"/>
          <w:bCs w:val="0"/>
          <w:color w:val="auto"/>
          <w:sz w:val="24"/>
        </w:rPr>
      </w:pPr>
      <w:bookmarkStart w:id="363" w:name="_Toc23342"/>
      <w:r>
        <w:rPr>
          <w:rFonts w:hint="eastAsia" w:ascii="仿宋" w:hAnsi="仿宋" w:eastAsia="仿宋" w:cs="仿宋"/>
          <w:b w:val="0"/>
          <w:bCs w:val="0"/>
          <w:color w:val="auto"/>
          <w:sz w:val="24"/>
        </w:rPr>
        <w:t>二、监理项目概况</w:t>
      </w:r>
      <w:bookmarkEnd w:id="363"/>
    </w:p>
    <w:p>
      <w:pPr>
        <w:spacing w:line="500" w:lineRule="exact"/>
        <w:ind w:firstLine="480" w:firstLineChars="200"/>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1.</w:t>
      </w:r>
      <w:r>
        <w:rPr>
          <w:rFonts w:hint="eastAsia" w:ascii="仿宋" w:hAnsi="仿宋" w:eastAsia="仿宋" w:cs="仿宋"/>
          <w:b w:val="0"/>
          <w:bCs w:val="0"/>
          <w:color w:val="auto"/>
          <w:sz w:val="24"/>
          <w:lang w:eastAsia="zh-CN"/>
        </w:rPr>
        <w:t>监理区</w:t>
      </w:r>
      <w:r>
        <w:rPr>
          <w:rFonts w:hint="eastAsia" w:ascii="仿宋" w:hAnsi="仿宋" w:eastAsia="仿宋" w:cs="仿宋"/>
          <w:b w:val="0"/>
          <w:bCs w:val="0"/>
          <w:color w:val="auto"/>
          <w:sz w:val="24"/>
        </w:rPr>
        <w:t>位于乌恰县吾合沙鲁乡政府东北侧。吾合沙鲁乡政府东距乌恰县公路里程约56千米，距阿图什市公路里程约156千米，中心地理坐标：东经74°47′26.69″、北纬39°40′29.73″。</w:t>
      </w:r>
    </w:p>
    <w:p>
      <w:pPr>
        <w:spacing w:line="500" w:lineRule="exact"/>
        <w:ind w:firstLine="480" w:firstLineChars="200"/>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2.监测区位于阿克陶县东南部山区，行政区划隶属于克孜勒苏柯尔克孜自治州阿克陶县克孜勒陶乡阿克达拉牧场2村管辖，防治区中心地理坐标为经度76°00′30.15″，纬度38°18′27.09″。</w:t>
      </w:r>
    </w:p>
    <w:p>
      <w:pPr>
        <w:spacing w:line="500" w:lineRule="exact"/>
        <w:ind w:firstLine="480" w:firstLineChars="200"/>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3.监测区涉及克孜勒苏柯尔克孜自治州整个行政区划范围。地理坐标北纬37°41'-41°49'，东经73°26'-78°59'。</w:t>
      </w:r>
    </w:p>
    <w:p>
      <w:pPr>
        <w:spacing w:line="480" w:lineRule="exact"/>
        <w:ind w:firstLine="480" w:firstLineChars="200"/>
        <w:rPr>
          <w:rFonts w:ascii="仿宋" w:hAnsi="仿宋" w:eastAsia="仿宋" w:cs="仿宋"/>
          <w:b w:val="0"/>
          <w:bCs w:val="0"/>
          <w:color w:val="auto"/>
          <w:sz w:val="24"/>
          <w:u w:val="single"/>
        </w:rPr>
      </w:pPr>
      <w:r>
        <w:rPr>
          <w:rFonts w:hint="eastAsia" w:ascii="仿宋" w:hAnsi="仿宋" w:eastAsia="仿宋" w:cs="仿宋"/>
          <w:b w:val="0"/>
          <w:bCs w:val="0"/>
          <w:color w:val="auto"/>
          <w:sz w:val="24"/>
          <w:u w:val="single"/>
        </w:rPr>
        <w:t>监理项目以批准的监理规划、监理实施细则确定的为准。</w:t>
      </w:r>
    </w:p>
    <w:p>
      <w:pPr>
        <w:spacing w:line="360" w:lineRule="auto"/>
        <w:ind w:firstLine="480" w:firstLineChars="200"/>
        <w:outlineLvl w:val="1"/>
        <w:rPr>
          <w:rFonts w:ascii="仿宋" w:hAnsi="仿宋" w:eastAsia="仿宋" w:cs="仿宋"/>
          <w:b w:val="0"/>
          <w:bCs w:val="0"/>
          <w:color w:val="auto"/>
          <w:sz w:val="24"/>
        </w:rPr>
      </w:pPr>
      <w:r>
        <w:rPr>
          <w:rFonts w:hint="eastAsia" w:ascii="仿宋" w:hAnsi="仿宋" w:eastAsia="仿宋" w:cs="仿宋"/>
          <w:b w:val="0"/>
          <w:bCs w:val="0"/>
          <w:color w:val="auto"/>
          <w:sz w:val="24"/>
        </w:rPr>
        <w:t xml:space="preserve"> </w:t>
      </w:r>
      <w:bookmarkStart w:id="364" w:name="_Toc10335"/>
      <w:r>
        <w:rPr>
          <w:rFonts w:hint="eastAsia" w:ascii="仿宋" w:hAnsi="仿宋" w:eastAsia="仿宋" w:cs="仿宋"/>
          <w:b w:val="0"/>
          <w:bCs w:val="0"/>
          <w:color w:val="auto"/>
          <w:sz w:val="24"/>
        </w:rPr>
        <w:t>三、监理主要内容</w:t>
      </w:r>
      <w:bookmarkEnd w:id="364"/>
    </w:p>
    <w:p>
      <w:pPr>
        <w:spacing w:line="360" w:lineRule="auto"/>
        <w:ind w:firstLine="480" w:firstLineChars="200"/>
        <w:rPr>
          <w:rFonts w:ascii="仿宋" w:hAnsi="仿宋" w:eastAsia="仿宋" w:cs="仿宋"/>
          <w:b w:val="0"/>
          <w:bCs w:val="0"/>
          <w:color w:val="auto"/>
          <w:sz w:val="24"/>
        </w:rPr>
      </w:pPr>
      <w:bookmarkStart w:id="365" w:name="（一）目标"/>
      <w:bookmarkEnd w:id="365"/>
      <w:r>
        <w:rPr>
          <w:rFonts w:hint="eastAsia" w:ascii="仿宋" w:hAnsi="仿宋" w:eastAsia="仿宋" w:cs="仿宋"/>
          <w:b w:val="0"/>
          <w:bCs w:val="0"/>
          <w:color w:val="auto"/>
          <w:sz w:val="24"/>
        </w:rPr>
        <w:t xml:space="preserve">（一）目标 </w:t>
      </w:r>
      <w:bookmarkStart w:id="366" w:name="通过项目监理工作的实施，达到项目的工期目标、质量目标及安全目标。"/>
      <w:bookmarkEnd w:id="366"/>
    </w:p>
    <w:p>
      <w:pPr>
        <w:spacing w:line="360" w:lineRule="auto"/>
        <w:ind w:firstLine="480" w:firstLineChars="200"/>
        <w:rPr>
          <w:rFonts w:ascii="仿宋" w:hAnsi="仿宋" w:eastAsia="仿宋" w:cs="仿宋"/>
          <w:b w:val="0"/>
          <w:bCs w:val="0"/>
          <w:color w:val="auto"/>
          <w:sz w:val="24"/>
        </w:rPr>
      </w:pPr>
      <w:r>
        <w:rPr>
          <w:rFonts w:hint="eastAsia" w:ascii="仿宋" w:hAnsi="仿宋" w:eastAsia="仿宋" w:cs="仿宋"/>
          <w:b w:val="0"/>
          <w:bCs w:val="0"/>
          <w:color w:val="auto"/>
          <w:sz w:val="24"/>
        </w:rPr>
        <w:t>通过监理工作的实施，达到项目工期目标、质量目标及安全目标。</w:t>
      </w:r>
    </w:p>
    <w:p>
      <w:pPr>
        <w:spacing w:line="360" w:lineRule="auto"/>
        <w:ind w:firstLine="480" w:firstLineChars="200"/>
        <w:rPr>
          <w:rFonts w:ascii="仿宋" w:hAnsi="仿宋" w:eastAsia="仿宋" w:cs="仿宋"/>
          <w:b w:val="0"/>
          <w:bCs w:val="0"/>
          <w:color w:val="auto"/>
          <w:sz w:val="24"/>
        </w:rPr>
      </w:pPr>
      <w:bookmarkStart w:id="367" w:name="（二）任务"/>
      <w:bookmarkEnd w:id="367"/>
      <w:r>
        <w:rPr>
          <w:rFonts w:hint="eastAsia" w:ascii="仿宋" w:hAnsi="仿宋" w:eastAsia="仿宋" w:cs="仿宋"/>
          <w:b w:val="0"/>
          <w:bCs w:val="0"/>
          <w:color w:val="auto"/>
          <w:sz w:val="24"/>
        </w:rPr>
        <w:t>（二）任务</w:t>
      </w:r>
    </w:p>
    <w:p>
      <w:pPr>
        <w:spacing w:line="360" w:lineRule="auto"/>
        <w:ind w:firstLine="480" w:firstLineChars="200"/>
        <w:rPr>
          <w:rFonts w:ascii="仿宋" w:hAnsi="仿宋" w:eastAsia="仿宋" w:cs="仿宋"/>
          <w:b w:val="0"/>
          <w:bCs w:val="0"/>
          <w:color w:val="auto"/>
          <w:sz w:val="24"/>
        </w:rPr>
      </w:pPr>
      <w:bookmarkStart w:id="368" w:name="（三）工作方法和主要技术要求"/>
      <w:bookmarkEnd w:id="368"/>
      <w:r>
        <w:rPr>
          <w:rFonts w:hint="eastAsia" w:ascii="仿宋" w:hAnsi="仿宋" w:eastAsia="仿宋" w:cs="仿宋"/>
          <w:b w:val="0"/>
          <w:bCs w:val="0"/>
          <w:color w:val="auto"/>
          <w:sz w:val="24"/>
        </w:rPr>
        <w:t>1.监测预警点建设项目：根据实际需要,专业预警点建设监理主要内容包括对专业预警点建设项目基础施工、监测对象基础资料录入、预警模型初设、并网运行、初验、终验、资料整理归档等监督检查，做好项目质量、进度、安全与环境保护、保修期、信息管理、工作量审核等各阶段控制及组织协调工作。</w:t>
      </w:r>
    </w:p>
    <w:p>
      <w:pPr>
        <w:spacing w:line="360" w:lineRule="auto"/>
        <w:ind w:firstLine="480" w:firstLineChars="200"/>
        <w:rPr>
          <w:rFonts w:ascii="仿宋" w:hAnsi="仿宋" w:eastAsia="仿宋" w:cs="仿宋"/>
          <w:b w:val="0"/>
          <w:bCs w:val="0"/>
          <w:color w:val="auto"/>
          <w:sz w:val="24"/>
        </w:rPr>
      </w:pPr>
      <w:r>
        <w:rPr>
          <w:rFonts w:hint="eastAsia" w:ascii="仿宋" w:hAnsi="仿宋" w:eastAsia="仿宋" w:cs="仿宋"/>
          <w:b w:val="0"/>
          <w:bCs w:val="0"/>
          <w:color w:val="auto"/>
          <w:sz w:val="24"/>
        </w:rPr>
        <w:t>2.协助自然资源局按时完成项目进度汇总上报工作。</w:t>
      </w:r>
    </w:p>
    <w:p>
      <w:pPr>
        <w:spacing w:line="360" w:lineRule="auto"/>
        <w:ind w:firstLine="480" w:firstLineChars="200"/>
        <w:rPr>
          <w:rFonts w:ascii="仿宋" w:hAnsi="仿宋" w:eastAsia="仿宋" w:cs="仿宋"/>
          <w:b w:val="0"/>
          <w:bCs w:val="0"/>
          <w:color w:val="auto"/>
          <w:sz w:val="24"/>
        </w:rPr>
      </w:pPr>
      <w:r>
        <w:rPr>
          <w:rFonts w:hint="eastAsia" w:ascii="仿宋" w:hAnsi="仿宋" w:eastAsia="仿宋" w:cs="仿宋"/>
          <w:b w:val="0"/>
          <w:bCs w:val="0"/>
          <w:color w:val="auto"/>
          <w:sz w:val="24"/>
        </w:rPr>
        <w:t>3.协助自然资源局完成项目初验工作。</w:t>
      </w:r>
    </w:p>
    <w:p>
      <w:pPr>
        <w:spacing w:line="360" w:lineRule="auto"/>
        <w:ind w:firstLine="480" w:firstLineChars="200"/>
        <w:rPr>
          <w:rFonts w:ascii="仿宋" w:hAnsi="仿宋" w:eastAsia="仿宋" w:cs="仿宋"/>
          <w:b w:val="0"/>
          <w:bCs w:val="0"/>
          <w:color w:val="auto"/>
          <w:sz w:val="24"/>
        </w:rPr>
      </w:pPr>
      <w:r>
        <w:rPr>
          <w:rFonts w:hint="eastAsia" w:ascii="仿宋" w:hAnsi="仿宋" w:eastAsia="仿宋" w:cs="仿宋"/>
          <w:b w:val="0"/>
          <w:bCs w:val="0"/>
          <w:color w:val="auto"/>
          <w:sz w:val="24"/>
        </w:rPr>
        <w:t>（三）工作方法和主要技术要求</w:t>
      </w:r>
    </w:p>
    <w:p>
      <w:pPr>
        <w:spacing w:line="360" w:lineRule="auto"/>
        <w:ind w:firstLine="480" w:firstLineChars="200"/>
        <w:rPr>
          <w:rFonts w:ascii="仿宋" w:hAnsi="仿宋" w:eastAsia="仿宋" w:cs="仿宋"/>
          <w:b w:val="0"/>
          <w:bCs w:val="0"/>
          <w:color w:val="auto"/>
          <w:sz w:val="24"/>
        </w:rPr>
      </w:pPr>
      <w:r>
        <w:rPr>
          <w:rFonts w:hint="eastAsia" w:ascii="仿宋" w:hAnsi="仿宋" w:eastAsia="仿宋" w:cs="仿宋"/>
          <w:b w:val="0"/>
          <w:bCs w:val="0"/>
          <w:color w:val="auto"/>
          <w:sz w:val="24"/>
        </w:rPr>
        <w:t xml:space="preserve"> </w:t>
      </w:r>
      <w:bookmarkStart w:id="369" w:name="1.工作方法"/>
      <w:bookmarkEnd w:id="369"/>
      <w:r>
        <w:rPr>
          <w:rFonts w:hint="eastAsia" w:ascii="仿宋" w:hAnsi="仿宋" w:eastAsia="仿宋" w:cs="仿宋"/>
          <w:b w:val="0"/>
          <w:bCs w:val="0"/>
          <w:color w:val="auto"/>
          <w:sz w:val="24"/>
        </w:rPr>
        <w:t>1.工作方法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采用监理巡查、旁站、测量和计量、指令性文件、抽查、现场记录、工序控制、协调及验收签证等工作方法，对建设项目质量、进度、安全及工作量进行控制。监测预警点建设项目应根据项目承担单位工作组情况派驻现场监理人员，每个工作组不少于1人，防治工程项目派驻现场监理人数，应保证每个项目不少于 1 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bookmarkStart w:id="370" w:name="2.主要技术要求"/>
      <w:bookmarkEnd w:id="370"/>
      <w:r>
        <w:rPr>
          <w:rFonts w:hint="eastAsia" w:ascii="仿宋" w:hAnsi="仿宋" w:eastAsia="仿宋" w:cs="仿宋"/>
          <w:b w:val="0"/>
          <w:bCs w:val="0"/>
          <w:color w:val="auto"/>
          <w:sz w:val="24"/>
        </w:rPr>
        <w:t>2.主要技术要求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（1）《地质灾害防治工程监理规范》（DZ/T 0222-2006）；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（2）《建设工程监理规范》（GB/T 50319-2013）；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（3）《地质灾害监测预警通讯技术要求》；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（4）《地质灾害专群结合监测预警技术规范》；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（5）《泥石流灾害防治工程勘查规范》（DZ/T 0220-2006）；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（6）《 泥石流防治工程施工技术规范（ 试 行 ）》（ T/CAGHP 061-2019）；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（7）《建筑机械使用安全技术规程》（JGJ 33-2012）；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（8）《建设工程施工现场供用电安全规范》（GB50194-2014）；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（9）《地质灾害防治工程监理预算标准》（T/CAGHP 015-2018）；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（10）其他有关规范、规程和技术要求。</w:t>
      </w:r>
      <w:bookmarkStart w:id="371" w:name="四、地质灾害专项勘查预期提交的监理文件"/>
      <w:bookmarkEnd w:id="37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仿宋" w:hAnsi="仿宋" w:eastAsia="仿宋" w:cs="仿宋"/>
          <w:b w:val="0"/>
          <w:bCs w:val="0"/>
          <w:color w:val="auto"/>
          <w:sz w:val="24"/>
        </w:rPr>
      </w:pPr>
      <w:bookmarkStart w:id="372" w:name="_Toc17475"/>
      <w:r>
        <w:rPr>
          <w:rFonts w:hint="eastAsia" w:ascii="仿宋" w:hAnsi="仿宋" w:eastAsia="仿宋" w:cs="仿宋"/>
          <w:b w:val="0"/>
          <w:bCs w:val="0"/>
          <w:color w:val="auto"/>
          <w:sz w:val="24"/>
        </w:rPr>
        <w:t>四、预期提交的监理文件</w:t>
      </w:r>
      <w:bookmarkEnd w:id="372"/>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 xml:space="preserve">（一）监理设计成果文件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1.《监理规划》；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2.《监理实施细则》。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（二）监理成果总结性文件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 xml:space="preserve">    1.《监理工作总结》；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2.《监理质量评估报告》；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3.《监理工作照片集》。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 xml:space="preserve">（三）实施过程中形成的文件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项目监理日志、监理月报、工地例会纪要、监理工程师通知单及回复单、工程报审表、工程验收文件等。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仿宋" w:hAnsi="仿宋" w:eastAsia="仿宋" w:cs="仿宋"/>
          <w:b w:val="0"/>
          <w:bCs w:val="0"/>
          <w:color w:val="auto"/>
          <w:sz w:val="24"/>
        </w:rPr>
      </w:pPr>
      <w:bookmarkStart w:id="373" w:name="_Toc24613"/>
      <w:r>
        <w:rPr>
          <w:rFonts w:hint="eastAsia" w:ascii="仿宋" w:hAnsi="仿宋" w:eastAsia="仿宋" w:cs="仿宋"/>
          <w:b w:val="0"/>
          <w:bCs w:val="0"/>
          <w:color w:val="auto"/>
          <w:sz w:val="24"/>
        </w:rPr>
        <w:t>五、监理汇交资料目录</w:t>
      </w:r>
      <w:bookmarkEnd w:id="37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监理资料整理应按照相关规范进行。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（一）监理规划、项目监理实施细则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（二）监理工作总结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（三）监理工作照片集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（四）工程质量评估报告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（五）项目监理日志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（六）监理月报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（七）第一次工地例会、工地例会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（八）监理工程师通知单、监理工程师回复单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（九）工程报审表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1.工程开工报审（开工报告报审表、开工报告、施工单位资质、人员资质证书、特种作业人员管理制度、特种作业人员花名册、 特种作业人员证件、施工现场管理检查记录）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2.工程进度计划报审（总进度报审表、总进度计划、月进度 报审表 月进度计划、旬进度计划报审表、旬进度计划）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（十）工程验收文件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1.工程竣工验收报验表 （竣工报验申请表、单位工程质量验收文件目录、单位工程质量控制资料记录、单位工程观感质量检查记录、单位质量竣工验收记录）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2.工程竣工报审（自检报告、工程竣工报告）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3.监理单位初验意见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 xml:space="preserve">4.局竣工验收意见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Fonts w:hint="eastAsia" w:ascii="仿宋" w:hAnsi="仿宋" w:eastAsia="仿宋" w:cs="仿宋"/>
          <w:b w:val="0"/>
          <w:bCs w:val="0"/>
          <w:color w:val="auto"/>
          <w:sz w:val="24"/>
        </w:rPr>
        <w:t>监理资料整理归档严格按照《地质资料汇交规范》DZ/T0273及相关管理办法规定执行。最终成果资料应按地质资料汇交要求向博州自然资源局汇交纸介质和电子版。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仿宋" w:hAnsi="仿宋" w:eastAsia="仿宋" w:cs="仿宋"/>
          <w:b w:val="0"/>
          <w:bCs w:val="0"/>
          <w:color w:val="auto"/>
          <w:sz w:val="24"/>
        </w:rPr>
      </w:pPr>
      <w:bookmarkStart w:id="374" w:name="_Toc4097"/>
      <w:r>
        <w:rPr>
          <w:rFonts w:hint="eastAsia" w:ascii="仿宋" w:hAnsi="仿宋" w:eastAsia="仿宋" w:cs="仿宋"/>
          <w:b w:val="0"/>
          <w:bCs w:val="0"/>
          <w:color w:val="auto"/>
          <w:sz w:val="24"/>
        </w:rPr>
        <w:t>六、工作周期</w:t>
      </w:r>
      <w:bookmarkEnd w:id="37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val="0"/>
          <w:bCs w:val="0"/>
          <w:color w:val="auto"/>
          <w:sz w:val="24"/>
        </w:rPr>
      </w:pPr>
      <w:r>
        <w:rPr>
          <w:rStyle w:val="73"/>
          <w:rFonts w:ascii="仿宋" w:hAnsi="仿宋" w:eastAsia="仿宋" w:cs="仿宋"/>
          <w:b w:val="0"/>
          <w:bCs w:val="0"/>
          <w:color w:val="auto"/>
          <w:sz w:val="24"/>
          <w:szCs w:val="24"/>
        </w:rPr>
        <w:t>同项目施工期一致，</w:t>
      </w:r>
      <w:r>
        <w:rPr>
          <w:rFonts w:hint="eastAsia" w:ascii="仿宋" w:hAnsi="仿宋" w:eastAsia="仿宋" w:cs="仿宋"/>
          <w:b w:val="0"/>
          <w:bCs w:val="0"/>
          <w:color w:val="auto"/>
          <w:sz w:val="24"/>
        </w:rPr>
        <w:t>2023年4月20前完成设备安装及试运行，5月10日前完成野外工作初验，5月20日前全面完成监测对象基础资料录入、预警模型初设等工作，正式并网运行，10月底前完成项目运行维护工作；10月30日前提交项目年度成果报告。</w:t>
      </w:r>
    </w:p>
    <w:p>
      <w:pPr>
        <w:pStyle w:val="27"/>
        <w:rPr>
          <w:color w:val="auto"/>
        </w:rPr>
      </w:pPr>
    </w:p>
    <w:p>
      <w:pPr>
        <w:rPr>
          <w:rFonts w:ascii="仿宋" w:hAnsi="仿宋" w:eastAsia="仿宋" w:cs="仿宋"/>
          <w:color w:val="auto"/>
          <w:sz w:val="24"/>
        </w:rPr>
      </w:pPr>
      <w:r>
        <w:rPr>
          <w:rFonts w:hint="eastAsia" w:ascii="仿宋" w:hAnsi="仿宋" w:eastAsia="仿宋" w:cs="仿宋"/>
          <w:color w:val="auto"/>
          <w:sz w:val="24"/>
        </w:rPr>
        <w:br w:type="page"/>
      </w:r>
    </w:p>
    <w:p>
      <w:pPr>
        <w:pStyle w:val="27"/>
        <w:rPr>
          <w:color w:val="auto"/>
        </w:rPr>
      </w:pPr>
    </w:p>
    <w:p>
      <w:pPr>
        <w:spacing w:line="240" w:lineRule="atLeast"/>
        <w:jc w:val="center"/>
        <w:outlineLvl w:val="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bookmarkStart w:id="375" w:name="_Toc16210"/>
      <w:bookmarkStart w:id="376" w:name="_Toc7572"/>
      <w:r>
        <w:rPr>
          <w:rFonts w:hint="eastAsia" w:ascii="仿宋" w:hAnsi="仿宋" w:eastAsia="仿宋" w:cs="仿宋"/>
          <w:b/>
          <w:bCs/>
          <w:color w:val="auto"/>
          <w:sz w:val="28"/>
          <w:szCs w:val="28"/>
        </w:rPr>
        <w:t>第6章</w:t>
      </w:r>
      <w:r>
        <w:rPr>
          <w:rFonts w:hint="eastAsia" w:ascii="仿宋" w:hAnsi="仿宋" w:eastAsia="仿宋" w:cs="仿宋"/>
          <w:color w:val="auto"/>
        </w:rPr>
        <w:t xml:space="preserve"> </w:t>
      </w:r>
      <w:r>
        <w:rPr>
          <w:rFonts w:hint="eastAsia" w:ascii="仿宋" w:hAnsi="仿宋" w:eastAsia="仿宋" w:cs="仿宋"/>
          <w:b/>
          <w:bCs/>
          <w:color w:val="auto"/>
          <w:sz w:val="28"/>
          <w:szCs w:val="28"/>
        </w:rPr>
        <w:t xml:space="preserve"> </w:t>
      </w:r>
      <w:bookmarkStart w:id="377" w:name="_Toc507399907"/>
      <w:bookmarkStart w:id="378" w:name="_Toc518923127"/>
      <w:r>
        <w:rPr>
          <w:rFonts w:hint="eastAsia" w:ascii="仿宋" w:hAnsi="仿宋" w:eastAsia="仿宋" w:cs="仿宋"/>
          <w:b/>
          <w:bCs/>
          <w:color w:val="auto"/>
          <w:sz w:val="28"/>
          <w:szCs w:val="28"/>
        </w:rPr>
        <w:t>评标方法和标准</w:t>
      </w:r>
      <w:bookmarkEnd w:id="358"/>
      <w:bookmarkEnd w:id="359"/>
      <w:bookmarkEnd w:id="360"/>
      <w:bookmarkEnd w:id="375"/>
      <w:bookmarkEnd w:id="376"/>
      <w:bookmarkEnd w:id="377"/>
      <w:bookmarkEnd w:id="378"/>
    </w:p>
    <w:p>
      <w:pPr>
        <w:pStyle w:val="2"/>
        <w:tabs>
          <w:tab w:val="clear" w:pos="567"/>
        </w:tabs>
        <w:spacing w:before="0" w:line="240" w:lineRule="atLeast"/>
        <w:ind w:firstLine="540" w:firstLineChars="225"/>
        <w:rPr>
          <w:rFonts w:ascii="仿宋" w:hAnsi="仿宋" w:eastAsia="仿宋" w:cs="仿宋"/>
          <w:color w:val="auto"/>
        </w:rPr>
      </w:pPr>
    </w:p>
    <w:p>
      <w:pPr>
        <w:keepNext/>
        <w:keepLines/>
        <w:autoSpaceDE w:val="0"/>
        <w:autoSpaceDN w:val="0"/>
        <w:adjustRightInd w:val="0"/>
        <w:spacing w:line="240" w:lineRule="atLeast"/>
        <w:ind w:firstLine="562" w:firstLineChars="200"/>
        <w:rPr>
          <w:rFonts w:ascii="仿宋" w:hAnsi="仿宋" w:eastAsia="仿宋" w:cs="仿宋"/>
          <w:b/>
          <w:bCs/>
          <w:color w:val="auto"/>
          <w:sz w:val="28"/>
          <w:szCs w:val="36"/>
        </w:rPr>
      </w:pPr>
      <w:r>
        <w:rPr>
          <w:rFonts w:hint="eastAsia" w:ascii="仿宋" w:hAnsi="仿宋" w:eastAsia="仿宋" w:cs="仿宋"/>
          <w:b/>
          <w:bCs/>
          <w:color w:val="auto"/>
          <w:sz w:val="28"/>
          <w:szCs w:val="36"/>
        </w:rPr>
        <w:t>本项目将按照采购文件第一章供应商须知中“五 开标及评标”“六 确定中标”及本章的规定评标。</w:t>
      </w:r>
    </w:p>
    <w:p>
      <w:pPr>
        <w:pStyle w:val="2"/>
        <w:tabs>
          <w:tab w:val="clear" w:pos="567"/>
        </w:tabs>
        <w:spacing w:before="100" w:beforeAutospacing="1" w:after="100" w:afterAutospacing="1" w:line="240" w:lineRule="atLeast"/>
        <w:ind w:left="1080" w:leftChars="257" w:hanging="540"/>
        <w:outlineLvl w:val="1"/>
        <w:rPr>
          <w:rFonts w:ascii="仿宋" w:hAnsi="仿宋" w:eastAsia="仿宋" w:cs="仿宋"/>
          <w:iCs/>
          <w:color w:val="auto"/>
          <w:sz w:val="28"/>
          <w:szCs w:val="28"/>
        </w:rPr>
      </w:pPr>
      <w:bookmarkStart w:id="379" w:name="_Toc22625"/>
      <w:r>
        <w:rPr>
          <w:rFonts w:hint="eastAsia" w:ascii="仿宋" w:hAnsi="仿宋" w:eastAsia="仿宋" w:cs="仿宋"/>
          <w:iCs/>
          <w:color w:val="auto"/>
          <w:sz w:val="28"/>
          <w:szCs w:val="28"/>
        </w:rPr>
        <w:t>（内容包括</w:t>
      </w:r>
      <w:r>
        <w:rPr>
          <w:rFonts w:hint="eastAsia" w:ascii="仿宋" w:hAnsi="仿宋" w:eastAsia="仿宋" w:cs="仿宋"/>
          <w:b/>
          <w:iCs/>
          <w:color w:val="auto"/>
          <w:sz w:val="28"/>
          <w:szCs w:val="28"/>
        </w:rPr>
        <w:t>投标无效</w:t>
      </w:r>
      <w:r>
        <w:rPr>
          <w:rFonts w:hint="eastAsia" w:ascii="仿宋" w:hAnsi="仿宋" w:eastAsia="仿宋" w:cs="仿宋"/>
          <w:iCs/>
          <w:color w:val="auto"/>
          <w:sz w:val="28"/>
          <w:szCs w:val="28"/>
        </w:rPr>
        <w:t>界定和详细评标标准）</w:t>
      </w:r>
      <w:bookmarkEnd w:id="379"/>
    </w:p>
    <w:p>
      <w:pPr>
        <w:pStyle w:val="2"/>
        <w:tabs>
          <w:tab w:val="clear" w:pos="567"/>
        </w:tabs>
        <w:spacing w:before="0" w:line="360" w:lineRule="auto"/>
        <w:ind w:left="-181" w:leftChars="-86" w:firstLine="660" w:firstLineChars="275"/>
        <w:outlineLvl w:val="1"/>
        <w:rPr>
          <w:rFonts w:ascii="仿宋" w:hAnsi="仿宋" w:eastAsia="仿宋" w:cs="仿宋"/>
          <w:color w:val="auto"/>
          <w:kern w:val="0"/>
        </w:rPr>
      </w:pPr>
      <w:bookmarkStart w:id="380" w:name="_Toc11554"/>
      <w:r>
        <w:rPr>
          <w:rFonts w:hint="eastAsia" w:ascii="仿宋" w:hAnsi="仿宋" w:eastAsia="仿宋" w:cs="仿宋"/>
          <w:color w:val="auto"/>
          <w:kern w:val="0"/>
        </w:rPr>
        <w:t>1. 总则</w:t>
      </w:r>
      <w:bookmarkEnd w:id="380"/>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1.1 根据《中华人民共和国政府采购法》《中华人民共和国政府采购法实施条例》《政府采购货物和服务招标投标管理办法（财政部第87号令）》等法律制度，结合采购项目特点制定本评标办法。</w:t>
      </w:r>
    </w:p>
    <w:p>
      <w:pPr>
        <w:pStyle w:val="2"/>
        <w:tabs>
          <w:tab w:val="clear" w:pos="567"/>
        </w:tabs>
        <w:spacing w:before="0" w:line="360" w:lineRule="auto"/>
        <w:ind w:left="-181" w:leftChars="-86" w:firstLine="660" w:firstLineChars="275"/>
        <w:rPr>
          <w:rFonts w:hint="eastAsia" w:ascii="仿宋" w:hAnsi="仿宋" w:eastAsia="仿宋" w:cs="仿宋"/>
          <w:color w:val="auto"/>
          <w:kern w:val="0"/>
          <w:lang w:eastAsia="zh-CN"/>
        </w:rPr>
      </w:pPr>
      <w:r>
        <w:rPr>
          <w:rFonts w:hint="eastAsia" w:ascii="仿宋" w:hAnsi="仿宋" w:eastAsia="仿宋" w:cs="仿宋"/>
          <w:color w:val="auto"/>
          <w:kern w:val="0"/>
        </w:rPr>
        <w:t>1.2 评标工作由采购代理机构负责组织，具体评标事务由采购代理机构依法组建的评标委员会负责。评标委员会由采购人代表和有关技术、经济、法律等方面的专家组成。（本项目评标委员会由5人组成，从自然资源厅专家库中随机抽取后在政府采购网按3</w:t>
      </w:r>
      <w:r>
        <w:rPr>
          <w:rFonts w:hint="eastAsia" w:ascii="仿宋" w:hAnsi="仿宋" w:eastAsia="仿宋" w:cs="仿宋"/>
          <w:color w:val="auto"/>
          <w:kern w:val="0"/>
          <w:lang w:eastAsia="zh-CN"/>
        </w:rPr>
        <w:t>∶</w:t>
      </w:r>
      <w:r>
        <w:rPr>
          <w:rFonts w:hint="eastAsia" w:ascii="仿宋" w:hAnsi="仿宋" w:eastAsia="仿宋" w:cs="仿宋"/>
          <w:color w:val="auto"/>
          <w:kern w:val="0"/>
        </w:rPr>
        <w:t>1比例自行组建并随机抽取）</w:t>
      </w:r>
      <w:r>
        <w:rPr>
          <w:rFonts w:hint="eastAsia" w:ascii="仿宋" w:hAnsi="仿宋" w:eastAsia="仿宋" w:cs="仿宋"/>
          <w:color w:val="auto"/>
          <w:kern w:val="0"/>
          <w:lang w:eastAsia="zh-CN"/>
        </w:rPr>
        <w:t>。</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1.3 评标工作应遵循公平、公正、科学及择优的原则，并以相同的评标程序和标准对待所有的供应商。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1.4 评标委员会按照采购文件规定的评标方法和标准进行评标，并独立履行下列职责：</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（一）对供应商的资格性、符合性进行审查；</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（二）审查、评价投标文件是否符合采购文件的商务、技术等实质性要求；</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（三）要求供应商对投标文件有关事项作出澄清或者说明；</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（四）对投标文件进行比较和评价；</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（五）确定中标候选人名单，以及根据采购人委托直接确定中标人；</w:t>
      </w:r>
    </w:p>
    <w:p>
      <w:pPr>
        <w:pStyle w:val="2"/>
        <w:tabs>
          <w:tab w:val="clear" w:pos="567"/>
        </w:tabs>
        <w:spacing w:before="0" w:line="360" w:lineRule="auto"/>
        <w:rPr>
          <w:rFonts w:hint="eastAsia" w:ascii="仿宋" w:hAnsi="仿宋" w:eastAsia="仿宋" w:cs="仿宋"/>
          <w:color w:val="auto"/>
          <w:kern w:val="0"/>
          <w:lang w:eastAsia="zh-CN"/>
        </w:rPr>
      </w:pPr>
      <w:r>
        <w:rPr>
          <w:rFonts w:hint="eastAsia" w:ascii="仿宋" w:hAnsi="仿宋" w:eastAsia="仿宋" w:cs="仿宋"/>
          <w:color w:val="auto"/>
          <w:kern w:val="0"/>
        </w:rPr>
        <w:t>（六）向采购人、采购代理机构或者有关部门报告评标中发现的违法行为</w:t>
      </w:r>
      <w:r>
        <w:rPr>
          <w:rFonts w:hint="eastAsia" w:ascii="仿宋" w:hAnsi="仿宋" w:eastAsia="仿宋" w:cs="仿宋"/>
          <w:color w:val="auto"/>
          <w:kern w:val="0"/>
          <w:lang w:eastAsia="zh-CN"/>
        </w:rPr>
        <w:t>；</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（七）法律、法规和规章规定的其他职责。</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1.5 评标过程独立、保密。供应商非法干预评标过程的行为将导致其投标文件作为无效处理。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1.6评标委员会评价投标文件的响应性，对于供应商而言，除评标委员会要求其澄清、说明或者更正而提供的资料外，仅依据投标文件本身的内容，不寻求其他外部证据。</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 xml:space="preserve"> 1.7采购人或者采购代理机构负责组织评标工作，并履行下列职责：</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（一）核对评审专家身份和采购人代表信息，对评审专家在政府采购活动中的职责履行情况予以记录，并及时将有关违法违规行为向财政部门报告；</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（二）宣布评标纪律；</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（三）公布供应商名单，告知评审专家应当回避的情形；</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（四）组织评标委员会推选评标组长，采购人代表不得担任组长；</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（五）在评标期间采取必要的通讯管理措施，保证评标活动不受外界干扰；</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（六）根据评标委员会的要求介绍政府采购相关政策法规、采购文件；</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（七）维护评标秩序，监督评标委员会依照采购文件规定的评标程序、方法和标准进行独立评审，及时制止和纠正采购人代表、评审专家的倾向性言论或者违法违规行为；</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（八）核对评标结果，有财政部87号令第六十四条规定情形的，要求评标委员会复核或者书面说明理由，评标委员会拒绝的，应予记录并向本级财政部门报告；</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　（九）处理与评标有关的其他事项。</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采购人可以在评标前说明项目背景和采购需求，说明内容不得含有歧视性、倾向性意见，不得超出采购文件所述范围。说明应当提交书面材料，并随采购文件一并存档。</w:t>
      </w:r>
    </w:p>
    <w:p>
      <w:pPr>
        <w:pStyle w:val="2"/>
        <w:tabs>
          <w:tab w:val="clear" w:pos="567"/>
        </w:tabs>
        <w:spacing w:before="0" w:line="360" w:lineRule="auto"/>
        <w:ind w:left="-181" w:leftChars="-86" w:firstLine="663" w:firstLineChars="275"/>
        <w:outlineLvl w:val="1"/>
        <w:rPr>
          <w:rFonts w:ascii="仿宋" w:hAnsi="仿宋" w:eastAsia="仿宋" w:cs="仿宋"/>
          <w:b/>
          <w:bCs/>
          <w:color w:val="auto"/>
          <w:kern w:val="0"/>
        </w:rPr>
      </w:pPr>
      <w:bookmarkStart w:id="381" w:name="_Toc20547"/>
      <w:r>
        <w:rPr>
          <w:rFonts w:hint="eastAsia" w:ascii="仿宋" w:hAnsi="仿宋" w:eastAsia="仿宋" w:cs="仿宋"/>
          <w:b/>
          <w:bCs/>
          <w:color w:val="auto"/>
          <w:kern w:val="0"/>
        </w:rPr>
        <w:t>2.评标方法</w:t>
      </w:r>
      <w:bookmarkEnd w:id="381"/>
    </w:p>
    <w:p>
      <w:pPr>
        <w:pStyle w:val="28"/>
        <w:ind w:firstLine="482" w:firstLineChars="200"/>
        <w:rPr>
          <w:rFonts w:ascii="仿宋" w:hAnsi="仿宋" w:eastAsia="仿宋" w:cs="仿宋"/>
          <w:color w:val="auto"/>
          <w:kern w:val="0"/>
          <w:sz w:val="24"/>
          <w:szCs w:val="24"/>
        </w:rPr>
      </w:pPr>
      <w:r>
        <w:rPr>
          <w:rFonts w:hint="eastAsia" w:ascii="仿宋" w:hAnsi="仿宋" w:eastAsia="仿宋" w:cs="仿宋"/>
          <w:b/>
          <w:bCs/>
          <w:color w:val="auto"/>
          <w:kern w:val="0"/>
          <w:sz w:val="24"/>
          <w:szCs w:val="24"/>
        </w:rPr>
        <w:t>本项目评标方法为：综合评分法。</w:t>
      </w:r>
      <w:r>
        <w:rPr>
          <w:rFonts w:hint="eastAsia" w:ascii="仿宋" w:hAnsi="仿宋" w:eastAsia="仿宋" w:cs="仿宋"/>
          <w:b/>
          <w:bCs/>
          <w:color w:val="auto"/>
          <w:sz w:val="24"/>
          <w:szCs w:val="24"/>
        </w:rPr>
        <w:t xml:space="preserve">详细评标标准：采用综合评标法，则：评标结果按评审后得分由高到低顺序排列。得分相同的，按投标报价由低到高顺序排列。得分且投标报价相同的并列。投标文件满足采购文件全部实质性要求，且按照评审因素的量化指标评审得分最高的供应商为排名第一的中标候选人。 </w:t>
      </w:r>
    </w:p>
    <w:p>
      <w:pPr>
        <w:pStyle w:val="2"/>
        <w:tabs>
          <w:tab w:val="clear" w:pos="567"/>
        </w:tabs>
        <w:spacing w:before="0" w:line="360" w:lineRule="auto"/>
        <w:ind w:firstLine="482" w:firstLineChars="200"/>
        <w:outlineLvl w:val="1"/>
        <w:rPr>
          <w:rFonts w:ascii="仿宋" w:hAnsi="仿宋" w:eastAsia="仿宋" w:cs="仿宋"/>
          <w:b/>
          <w:bCs/>
          <w:color w:val="auto"/>
          <w:kern w:val="0"/>
        </w:rPr>
      </w:pPr>
      <w:bookmarkStart w:id="382" w:name="_Toc16162"/>
      <w:r>
        <w:rPr>
          <w:rFonts w:hint="eastAsia" w:ascii="仿宋" w:hAnsi="仿宋" w:eastAsia="仿宋" w:cs="仿宋"/>
          <w:b/>
          <w:bCs/>
          <w:color w:val="auto"/>
          <w:kern w:val="0"/>
        </w:rPr>
        <w:t>3.评标程序</w:t>
      </w:r>
      <w:bookmarkEnd w:id="382"/>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3.1熟悉和理解采购文件和停止评标。</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3.1.1评标委员会正式评标前，应当对采购文件进行熟悉和理解，内容主要包括采购文件中采购项目技术、规格型号和商务要求、评标方法和标准以及可能涉及签订政府采购合同的内容等。</w:t>
      </w:r>
    </w:p>
    <w:p>
      <w:pPr>
        <w:pStyle w:val="2"/>
        <w:tabs>
          <w:tab w:val="clear" w:pos="567"/>
        </w:tabs>
        <w:spacing w:before="0" w:line="360" w:lineRule="auto"/>
        <w:ind w:left="-199" w:leftChars="-95" w:firstLine="199" w:firstLineChars="83"/>
        <w:rPr>
          <w:rFonts w:ascii="仿宋" w:hAnsi="仿宋" w:eastAsia="仿宋" w:cs="仿宋"/>
          <w:color w:val="auto"/>
          <w:kern w:val="0"/>
        </w:rPr>
      </w:pPr>
      <w:r>
        <w:rPr>
          <w:rFonts w:hint="eastAsia" w:ascii="仿宋" w:hAnsi="仿宋" w:eastAsia="仿宋" w:cs="仿宋"/>
          <w:color w:val="auto"/>
          <w:kern w:val="0"/>
        </w:rPr>
        <w:t xml:space="preserve"> 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3.2资格性检查（见综合评分表前附表）。</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3.3符合性检查（见综合评分表前附表）。</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3.3.1评标委员会依据本采购文件的实质性要求，对符合资格的投标文件进行审查，以确定其是否满足本采购文件的实质性要求。</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3.3.2本项目符合性审查事项仅限于本采购文件的明确规定。投标文件是否满足采购文件的实质性要求，必须以本采购文件的明确规定作为依据，否则，不能对投标文件作为无效处理，评标委员会不得臆测符合性审查事项。</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3.3.3投标文件以骑缝章的形式代替投标文件内容逐页盖章的（但是骑缝章模糊不清，印章名称无法辨认的除外）本项目不作为实质性要求进行规定，即不作为符合性审查事项，不得作为无效投标处理：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3.4比较与评价。按采购文件中规定的评标方法和标准，对未作无效投标处理的投标文件进行技术、型号、商务等方面评估，综合比较与评价。</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3.4.1评标委员会首先按照采购文件要求对投标文件中的供应商资格、供应商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评审完毕，评标委员会根据汇总各供应商的综合得分，按照得分高低进行排序，取前三名作为中标候选人推荐给招标委员会。如果两供应商的得分相同，投标价格低者排在前。</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本项目参数要求、评审内容如有指向性，仅作为招标参考，投标服务不应低于招标要求，如有不符合要求，视为不响应采购文件规定。</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3.5复核。评分汇总结束后，评标委员会应当进行复核，特别要对拟推荐为中标候选供应商的、报价最低的、投标文件被认定为无效的进行重点复核。</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3.6推荐</w:t>
      </w:r>
      <w:r>
        <w:rPr>
          <w:rFonts w:hint="eastAsia" w:ascii="仿宋" w:hAnsi="仿宋" w:eastAsia="仿宋" w:cs="仿宋"/>
          <w:color w:val="auto"/>
          <w:kern w:val="0"/>
          <w:lang w:eastAsia="zh-CN"/>
        </w:rPr>
        <w:t>成交</w:t>
      </w:r>
      <w:r>
        <w:rPr>
          <w:rFonts w:hint="eastAsia" w:ascii="仿宋" w:hAnsi="仿宋" w:eastAsia="仿宋" w:cs="仿宋"/>
          <w:color w:val="auto"/>
          <w:kern w:val="0"/>
        </w:rPr>
        <w:t>候选供应商。</w:t>
      </w:r>
      <w:r>
        <w:rPr>
          <w:rFonts w:hint="eastAsia" w:ascii="仿宋" w:hAnsi="仿宋" w:eastAsia="仿宋" w:cs="仿宋"/>
          <w:color w:val="auto"/>
          <w:kern w:val="0"/>
          <w:lang w:eastAsia="zh-CN"/>
        </w:rPr>
        <w:t>成交</w:t>
      </w:r>
      <w:r>
        <w:rPr>
          <w:rFonts w:hint="eastAsia" w:ascii="仿宋" w:hAnsi="仿宋" w:eastAsia="仿宋" w:cs="仿宋"/>
          <w:color w:val="auto"/>
          <w:kern w:val="0"/>
        </w:rPr>
        <w:t>候选供应商应当排序。</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3.7出具评</w:t>
      </w:r>
      <w:r>
        <w:rPr>
          <w:rFonts w:hint="eastAsia" w:ascii="仿宋" w:hAnsi="仿宋" w:eastAsia="仿宋" w:cs="仿宋"/>
          <w:color w:val="auto"/>
          <w:kern w:val="0"/>
          <w:lang w:eastAsia="zh-CN"/>
        </w:rPr>
        <w:t>审</w:t>
      </w:r>
      <w:r>
        <w:rPr>
          <w:rFonts w:hint="eastAsia" w:ascii="仿宋" w:hAnsi="仿宋" w:eastAsia="仿宋" w:cs="仿宋"/>
          <w:color w:val="auto"/>
          <w:kern w:val="0"/>
        </w:rPr>
        <w:t>报告。评标委员会推荐</w:t>
      </w:r>
      <w:r>
        <w:rPr>
          <w:rFonts w:hint="eastAsia" w:ascii="仿宋" w:hAnsi="仿宋" w:eastAsia="仿宋" w:cs="仿宋"/>
          <w:color w:val="auto"/>
          <w:kern w:val="0"/>
          <w:lang w:eastAsia="zh-CN"/>
        </w:rPr>
        <w:t>成交</w:t>
      </w:r>
      <w:r>
        <w:rPr>
          <w:rFonts w:hint="eastAsia" w:ascii="仿宋" w:hAnsi="仿宋" w:eastAsia="仿宋" w:cs="仿宋"/>
          <w:color w:val="auto"/>
          <w:kern w:val="0"/>
        </w:rPr>
        <w:t>候选供应商后，应当向采购单位出具评</w:t>
      </w:r>
      <w:r>
        <w:rPr>
          <w:rFonts w:hint="eastAsia" w:ascii="仿宋" w:hAnsi="仿宋" w:eastAsia="仿宋" w:cs="仿宋"/>
          <w:color w:val="auto"/>
          <w:kern w:val="0"/>
          <w:lang w:eastAsia="zh-CN"/>
        </w:rPr>
        <w:t>审</w:t>
      </w:r>
      <w:r>
        <w:rPr>
          <w:rFonts w:hint="eastAsia" w:ascii="仿宋" w:hAnsi="仿宋" w:eastAsia="仿宋" w:cs="仿宋"/>
          <w:color w:val="auto"/>
          <w:kern w:val="0"/>
        </w:rPr>
        <w:t>报告。评</w:t>
      </w:r>
      <w:r>
        <w:rPr>
          <w:rFonts w:hint="eastAsia" w:ascii="仿宋" w:hAnsi="仿宋" w:eastAsia="仿宋" w:cs="仿宋"/>
          <w:color w:val="auto"/>
          <w:kern w:val="0"/>
          <w:lang w:eastAsia="zh-CN"/>
        </w:rPr>
        <w:t>审</w:t>
      </w:r>
      <w:r>
        <w:rPr>
          <w:rFonts w:hint="eastAsia" w:ascii="仿宋" w:hAnsi="仿宋" w:eastAsia="仿宋" w:cs="仿宋"/>
          <w:color w:val="auto"/>
          <w:kern w:val="0"/>
        </w:rPr>
        <w:t>报告应当包括下列内容：</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（一）招标公告刊登的媒体名称、开标日期和地点；</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（二）评标委员会成员名单；</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（三）评标方法和标准；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（四）开标记录和评标情况及说明，包括无效供应商名单及原因；</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（五）评标结果，确定的中标候选人名单或者经采购人委托直接确定的中标人；</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（六）其他需要说明的情况，包括评标过程中供应商根据评标委员会要求进行的澄清、说明或者补正，评标委员会成员的更换等。</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3.8评标争议处理规则。评标委员会在评审过程中，对于符合性审查、对供应商投标文件做无效投标处理及其他需要共同认定的事项存在争议的，应当以少数服从多数的原则做出结论，但不得违背法律法规和采购文件规定。有不同意见的评标委员会成员认为认定过程和结果不符合法律法规或者采购文件规定的，应当及时向招标采购单位书面反映。招标采购单位收到书面反映后，应当书面报告采购项目同级财政部门依法处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3.9供应商应当书面澄清、说明或者更正。</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供应商的澄清、说明或者补正不得超出投标文件的范围或者改变投标文件的实质性内容。</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3.9.3评标委员会要求供应商澄清、说明或者更正，不得超出采购文件的范围，不得以此让供应商实质改变投标文件的内容，不得影响供应商公平竞争。本项目下列内容不得澄清：</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（一）按财政部规定应当在评标时不予承认的投标文件内容事项；</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（二）投标文件中已经明确的内容事项；</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（三）投标文件未提供的材料。</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3.10评标委员会认为供应商的报价明显低于其他通过符合性审查供应商的报价，有可能影响产品质量或者不能诚信履约的，评标委员会组长在评标现场发起“在线询标”，必要时提交相关证明材料；供应商不能证明其报价合理性的，评标委员会应当将其作为无效投标处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3.11招标采购单位现场复核评标结果。</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3.11.1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2"/>
        <w:tabs>
          <w:tab w:val="clear" w:pos="567"/>
        </w:tabs>
        <w:spacing w:before="0" w:line="360" w:lineRule="auto"/>
        <w:ind w:left="-181" w:leftChars="-86" w:firstLine="663" w:firstLineChars="275"/>
        <w:outlineLvl w:val="1"/>
        <w:rPr>
          <w:rFonts w:ascii="仿宋" w:hAnsi="仿宋" w:eastAsia="仿宋" w:cs="仿宋"/>
          <w:b/>
          <w:bCs/>
          <w:color w:val="auto"/>
          <w:kern w:val="0"/>
        </w:rPr>
      </w:pPr>
      <w:bookmarkStart w:id="383" w:name="_Toc29806"/>
      <w:r>
        <w:rPr>
          <w:rFonts w:hint="eastAsia" w:ascii="仿宋" w:hAnsi="仿宋" w:eastAsia="仿宋" w:cs="仿宋"/>
          <w:b/>
          <w:bCs/>
          <w:color w:val="auto"/>
          <w:kern w:val="0"/>
        </w:rPr>
        <w:t>4.废标</w:t>
      </w:r>
      <w:bookmarkEnd w:id="383"/>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废标后，采购代理机构应在网上公告。供应商需要知晓导致废标情形的具体原因和理由的，可以通过书面形式询问招标采购单位。</w:t>
      </w:r>
    </w:p>
    <w:p>
      <w:pPr>
        <w:pStyle w:val="2"/>
        <w:tabs>
          <w:tab w:val="clear" w:pos="567"/>
        </w:tabs>
        <w:spacing w:before="0" w:line="360" w:lineRule="auto"/>
        <w:ind w:left="-181" w:leftChars="-86" w:firstLine="660" w:firstLineChars="275"/>
        <w:rPr>
          <w:rFonts w:ascii="仿宋" w:hAnsi="仿宋" w:eastAsia="仿宋" w:cs="仿宋"/>
          <w:b/>
          <w:bCs/>
          <w:color w:val="auto"/>
          <w:kern w:val="0"/>
        </w:rPr>
      </w:pPr>
      <w:r>
        <w:rPr>
          <w:rFonts w:hint="eastAsia" w:ascii="仿宋" w:hAnsi="仿宋" w:eastAsia="仿宋" w:cs="仿宋"/>
          <w:color w:val="auto"/>
          <w:kern w:val="0"/>
        </w:rPr>
        <w:t>对于评标过程中废标的采购项目，评标委员会应当对采购文件是否存在倾向性和歧视性、是否存在不合理条款进行论证，并出具书面论证意见。</w:t>
      </w:r>
    </w:p>
    <w:p>
      <w:pPr>
        <w:pStyle w:val="2"/>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如发现下列情况之一的，其投标将被认定为投标无效：</w:t>
      </w:r>
    </w:p>
    <w:p>
      <w:pPr>
        <w:pStyle w:val="2"/>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①未按采购文件规定的形式和金额提交投标保证金的；</w:t>
      </w:r>
    </w:p>
    <w:p>
      <w:pPr>
        <w:pStyle w:val="2"/>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②未按照采购文件规定要求签署、盖章的；</w:t>
      </w:r>
    </w:p>
    <w:p>
      <w:pPr>
        <w:pStyle w:val="2"/>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③未满足采购文件中技术条款的实质性要求；</w:t>
      </w:r>
    </w:p>
    <w:p>
      <w:pPr>
        <w:pStyle w:val="2"/>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④与其他供应商串通投标，或者与招标人串通投标；</w:t>
      </w:r>
    </w:p>
    <w:p>
      <w:pPr>
        <w:pStyle w:val="2"/>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⑤属于采购文件规定的其他投标无效情形；</w:t>
      </w:r>
    </w:p>
    <w:p>
      <w:pPr>
        <w:pStyle w:val="2"/>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⑥评标委员会认为供应商的报价明显低于其他通过符合性检查供应商的报价，有可能影响履约的，且供应商未按照规定证明其报价合理性的；</w:t>
      </w:r>
    </w:p>
    <w:p>
      <w:pPr>
        <w:pStyle w:val="2"/>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⑦投标文件含有采购人不能接受的附加条件的；</w:t>
      </w:r>
    </w:p>
    <w:p>
      <w:pPr>
        <w:pStyle w:val="2"/>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⑧不符合法规和采购文件中规定的其他实质性要求的。</w:t>
      </w:r>
    </w:p>
    <w:p>
      <w:pPr>
        <w:pStyle w:val="2"/>
        <w:tabs>
          <w:tab w:val="clear" w:pos="567"/>
        </w:tabs>
        <w:spacing w:before="0" w:line="360" w:lineRule="auto"/>
        <w:ind w:left="-181" w:leftChars="-86" w:firstLine="663" w:firstLineChars="275"/>
        <w:outlineLvl w:val="1"/>
        <w:rPr>
          <w:rFonts w:ascii="仿宋" w:hAnsi="仿宋" w:eastAsia="仿宋" w:cs="仿宋"/>
          <w:b/>
          <w:bCs/>
          <w:color w:val="auto"/>
          <w:kern w:val="0"/>
        </w:rPr>
      </w:pPr>
      <w:bookmarkStart w:id="384" w:name="_Toc28357"/>
      <w:r>
        <w:rPr>
          <w:rFonts w:hint="eastAsia" w:ascii="仿宋" w:hAnsi="仿宋" w:eastAsia="仿宋" w:cs="仿宋"/>
          <w:b/>
          <w:bCs/>
          <w:color w:val="auto"/>
          <w:kern w:val="0"/>
        </w:rPr>
        <w:t>5.定标</w:t>
      </w:r>
      <w:bookmarkEnd w:id="384"/>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5.1. 定标原则：由采购人根据评标委员会的推荐意见确定</w:t>
      </w:r>
      <w:r>
        <w:rPr>
          <w:rFonts w:hint="eastAsia" w:ascii="仿宋" w:hAnsi="仿宋" w:eastAsia="仿宋" w:cs="仿宋"/>
          <w:color w:val="auto"/>
          <w:kern w:val="0"/>
          <w:lang w:eastAsia="zh-CN"/>
        </w:rPr>
        <w:t>成交</w:t>
      </w:r>
      <w:r>
        <w:rPr>
          <w:rFonts w:hint="eastAsia" w:ascii="仿宋" w:hAnsi="仿宋" w:eastAsia="仿宋" w:cs="仿宋"/>
          <w:color w:val="auto"/>
          <w:kern w:val="0"/>
        </w:rPr>
        <w:t>供应商。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 定标程序</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5.2.1 评标委员会将评标情况写出书面报告，推荐</w:t>
      </w:r>
      <w:r>
        <w:rPr>
          <w:rFonts w:hint="eastAsia" w:ascii="仿宋" w:hAnsi="仿宋" w:eastAsia="仿宋" w:cs="仿宋"/>
          <w:color w:val="auto"/>
          <w:kern w:val="0"/>
          <w:lang w:eastAsia="zh-CN"/>
        </w:rPr>
        <w:t>成交</w:t>
      </w:r>
      <w:r>
        <w:rPr>
          <w:rFonts w:hint="eastAsia" w:ascii="仿宋" w:hAnsi="仿宋" w:eastAsia="仿宋" w:cs="仿宋"/>
          <w:color w:val="auto"/>
          <w:kern w:val="0"/>
        </w:rPr>
        <w:t>候选供应商。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5.2.2 采购代理机构在评标结束后2个工作日内将采购结果确认单和评标报告发至采购人处。</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5.2.3 采购人在收到后5个工作日内，按照评标报告中推荐的</w:t>
      </w:r>
      <w:r>
        <w:rPr>
          <w:rFonts w:hint="eastAsia" w:ascii="仿宋" w:hAnsi="仿宋" w:eastAsia="仿宋" w:cs="仿宋"/>
          <w:color w:val="auto"/>
          <w:kern w:val="0"/>
          <w:lang w:eastAsia="zh-CN"/>
        </w:rPr>
        <w:t>成交</w:t>
      </w:r>
      <w:r>
        <w:rPr>
          <w:rFonts w:hint="eastAsia" w:ascii="仿宋" w:hAnsi="仿宋" w:eastAsia="仿宋" w:cs="仿宋"/>
          <w:color w:val="auto"/>
          <w:kern w:val="0"/>
        </w:rPr>
        <w:t>候选供应商顺序确定中标供应商。采用综合评分法的，评标结果按投标报价由低到高顺序排列；投标报价相同的并列，投标文件满足采购文件全部实质性要求且投标报价最低的供应商为</w:t>
      </w:r>
      <w:r>
        <w:rPr>
          <w:rFonts w:hint="eastAsia" w:ascii="仿宋" w:hAnsi="仿宋" w:eastAsia="仿宋" w:cs="仿宋"/>
          <w:color w:val="auto"/>
          <w:kern w:val="0"/>
          <w:lang w:eastAsia="zh-CN"/>
        </w:rPr>
        <w:t>成交</w:t>
      </w:r>
      <w:r>
        <w:rPr>
          <w:rFonts w:hint="eastAsia" w:ascii="仿宋" w:hAnsi="仿宋" w:eastAsia="仿宋" w:cs="仿宋"/>
          <w:color w:val="auto"/>
          <w:kern w:val="0"/>
        </w:rPr>
        <w:t>候选供应商；报价相同且满足采购文件全部实质性要求的并列，由采购人自主采取公平、择优的方式选择</w:t>
      </w:r>
      <w:r>
        <w:rPr>
          <w:rFonts w:hint="eastAsia" w:ascii="仿宋" w:hAnsi="仿宋" w:eastAsia="仿宋" w:cs="仿宋"/>
          <w:color w:val="auto"/>
          <w:kern w:val="0"/>
          <w:lang w:eastAsia="zh-CN"/>
        </w:rPr>
        <w:t>成交</w:t>
      </w:r>
      <w:r>
        <w:rPr>
          <w:rFonts w:hint="eastAsia" w:ascii="仿宋" w:hAnsi="仿宋" w:eastAsia="仿宋" w:cs="仿宋"/>
          <w:color w:val="auto"/>
          <w:kern w:val="0"/>
        </w:rPr>
        <w:t>供应商。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5.2.4 根据采购人确定的</w:t>
      </w:r>
      <w:r>
        <w:rPr>
          <w:rFonts w:hint="eastAsia" w:ascii="仿宋" w:hAnsi="仿宋" w:eastAsia="仿宋" w:cs="仿宋"/>
          <w:color w:val="auto"/>
          <w:kern w:val="0"/>
          <w:lang w:eastAsia="zh-CN"/>
        </w:rPr>
        <w:t>成交</w:t>
      </w:r>
      <w:r>
        <w:rPr>
          <w:rFonts w:hint="eastAsia" w:ascii="仿宋" w:hAnsi="仿宋" w:eastAsia="仿宋" w:cs="仿宋"/>
          <w:color w:val="auto"/>
          <w:kern w:val="0"/>
        </w:rPr>
        <w:t>供应商，采购代理机构在新疆政府采购网上发布</w:t>
      </w:r>
      <w:r>
        <w:rPr>
          <w:rFonts w:hint="eastAsia" w:ascii="仿宋" w:hAnsi="仿宋" w:eastAsia="仿宋" w:cs="仿宋"/>
          <w:color w:val="auto"/>
          <w:kern w:val="0"/>
          <w:lang w:eastAsia="zh-CN"/>
        </w:rPr>
        <w:t>成交结果</w:t>
      </w:r>
      <w:r>
        <w:rPr>
          <w:rFonts w:hint="eastAsia" w:ascii="仿宋" w:hAnsi="仿宋" w:eastAsia="仿宋" w:cs="仿宋"/>
          <w:color w:val="auto"/>
          <w:kern w:val="0"/>
        </w:rPr>
        <w:t>公告，并自采购人确定中标之日起3个工作日内向</w:t>
      </w:r>
      <w:r>
        <w:rPr>
          <w:rFonts w:hint="eastAsia" w:ascii="仿宋" w:hAnsi="仿宋" w:eastAsia="仿宋" w:cs="仿宋"/>
          <w:color w:val="auto"/>
          <w:kern w:val="0"/>
          <w:lang w:eastAsia="zh-CN"/>
        </w:rPr>
        <w:t>成交</w:t>
      </w:r>
      <w:r>
        <w:rPr>
          <w:rFonts w:hint="eastAsia" w:ascii="仿宋" w:hAnsi="仿宋" w:eastAsia="仿宋" w:cs="仿宋"/>
          <w:color w:val="auto"/>
          <w:kern w:val="0"/>
        </w:rPr>
        <w:t>供应商发出中标通知书。</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5.2.5 招标采购单位不退回供应商投标文件和其他投标资料。</w:t>
      </w:r>
    </w:p>
    <w:p>
      <w:pPr>
        <w:pStyle w:val="2"/>
        <w:tabs>
          <w:tab w:val="clear" w:pos="567"/>
        </w:tabs>
        <w:spacing w:before="0" w:line="360" w:lineRule="auto"/>
        <w:ind w:left="-181" w:leftChars="-86" w:firstLine="663" w:firstLineChars="275"/>
        <w:outlineLvl w:val="1"/>
        <w:rPr>
          <w:rFonts w:ascii="仿宋" w:hAnsi="仿宋" w:eastAsia="仿宋" w:cs="仿宋"/>
          <w:color w:val="auto"/>
          <w:kern w:val="0"/>
        </w:rPr>
      </w:pPr>
      <w:bookmarkStart w:id="385" w:name="_Toc4417"/>
      <w:r>
        <w:rPr>
          <w:rFonts w:hint="eastAsia" w:ascii="仿宋" w:hAnsi="仿宋" w:eastAsia="仿宋" w:cs="仿宋"/>
          <w:b/>
          <w:bCs/>
          <w:color w:val="auto"/>
          <w:kern w:val="0"/>
        </w:rPr>
        <w:t>6.详细的评标标准：（具体内容详见综合评分表）</w:t>
      </w:r>
      <w:bookmarkEnd w:id="385"/>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各供应商的价格得分的计算公式：采用低价优先法计算，即满足采购文件要求且投标价格最低的投标报价为评标基准价，其价格分为满分。其他供应商的价格分统一按照下列公式计算：</w:t>
      </w:r>
    </w:p>
    <w:p>
      <w:pPr>
        <w:pStyle w:val="2"/>
        <w:tabs>
          <w:tab w:val="clear" w:pos="567"/>
        </w:tabs>
        <w:spacing w:before="0" w:line="360" w:lineRule="auto"/>
        <w:ind w:left="-181" w:leftChars="-86" w:firstLine="660" w:firstLineChars="275"/>
        <w:outlineLvl w:val="0"/>
        <w:rPr>
          <w:rFonts w:ascii="仿宋" w:hAnsi="仿宋" w:eastAsia="仿宋" w:cs="仿宋"/>
          <w:color w:val="auto"/>
          <w:kern w:val="0"/>
        </w:rPr>
      </w:pPr>
      <w:bookmarkStart w:id="386" w:name="_Toc11069"/>
      <w:r>
        <w:rPr>
          <w:rFonts w:hint="eastAsia" w:ascii="仿宋" w:hAnsi="仿宋" w:eastAsia="仿宋" w:cs="仿宋"/>
          <w:color w:val="auto"/>
          <w:kern w:val="0"/>
        </w:rPr>
        <w:t>投标报价得分=(评标基准价／投标报价)×价格权值</w:t>
      </w:r>
      <w:bookmarkEnd w:id="386"/>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计算分数时四舍五入取小数点后两位,标项一、二、三、四分数最高不超过10分。由监标人员负责核准每个合格供应商的价格得分。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注：若为中小企业，其投标报价扣除10%后参与评审，提供相关证明资料，否则无效。</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标项一、二、三</w:t>
      </w:r>
      <w:r>
        <w:rPr>
          <w:rFonts w:hint="eastAsia" w:ascii="仿宋" w:hAnsi="仿宋" w:eastAsia="仿宋" w:cs="仿宋"/>
          <w:color w:val="auto"/>
          <w:kern w:val="0"/>
          <w:lang w:eastAsia="zh-CN"/>
        </w:rPr>
        <w:t>、</w:t>
      </w:r>
      <w:r>
        <w:rPr>
          <w:rFonts w:hint="eastAsia" w:ascii="仿宋" w:hAnsi="仿宋" w:eastAsia="仿宋" w:cs="仿宋"/>
          <w:color w:val="auto"/>
          <w:kern w:val="0"/>
          <w:lang w:val="en-US" w:eastAsia="zh-CN"/>
        </w:rPr>
        <w:t>四、五</w:t>
      </w:r>
      <w:r>
        <w:rPr>
          <w:rFonts w:hint="eastAsia" w:ascii="仿宋" w:hAnsi="仿宋" w:eastAsia="仿宋" w:cs="仿宋"/>
          <w:color w:val="auto"/>
          <w:kern w:val="0"/>
        </w:rPr>
        <w:t>技术占70%，商务20%；标项</w:t>
      </w:r>
      <w:r>
        <w:rPr>
          <w:rFonts w:hint="eastAsia" w:ascii="仿宋" w:hAnsi="仿宋" w:eastAsia="仿宋" w:cs="仿宋"/>
          <w:color w:val="auto"/>
          <w:kern w:val="0"/>
          <w:lang w:val="en-US" w:eastAsia="zh-CN"/>
        </w:rPr>
        <w:t>六</w:t>
      </w:r>
      <w:r>
        <w:rPr>
          <w:rFonts w:hint="eastAsia" w:ascii="仿宋" w:hAnsi="仿宋" w:eastAsia="仿宋" w:cs="仿宋"/>
          <w:color w:val="auto"/>
          <w:kern w:val="0"/>
        </w:rPr>
        <w:t>技术占80%，商务占10%。</w:t>
      </w:r>
    </w:p>
    <w:p>
      <w:pPr>
        <w:pStyle w:val="4"/>
        <w:ind w:firstLine="0" w:firstLineChars="0"/>
        <w:rPr>
          <w:rFonts w:ascii="仿宋" w:hAnsi="仿宋" w:eastAsia="仿宋" w:cs="仿宋"/>
          <w:b/>
          <w:bCs/>
          <w:color w:val="auto"/>
          <w:kern w:val="0"/>
          <w:sz w:val="32"/>
          <w:szCs w:val="32"/>
        </w:rPr>
      </w:pPr>
      <w:bookmarkStart w:id="387" w:name="_Toc507399904"/>
      <w:r>
        <w:rPr>
          <w:rFonts w:hint="eastAsia" w:ascii="仿宋" w:hAnsi="仿宋" w:eastAsia="仿宋" w:cs="仿宋"/>
          <w:b/>
          <w:bCs/>
          <w:color w:val="auto"/>
          <w:kern w:val="0"/>
          <w:sz w:val="32"/>
          <w:szCs w:val="32"/>
        </w:rPr>
        <w:br w:type="page"/>
      </w:r>
    </w:p>
    <w:p>
      <w:pPr>
        <w:jc w:val="left"/>
        <w:outlineLvl w:val="2"/>
        <w:rPr>
          <w:rFonts w:hint="eastAsia" w:ascii="仿宋" w:hAnsi="仿宋" w:eastAsia="仿宋" w:cs="仿宋"/>
          <w:b/>
          <w:bCs/>
          <w:color w:val="auto"/>
          <w:kern w:val="0"/>
          <w:sz w:val="32"/>
          <w:szCs w:val="32"/>
        </w:rPr>
      </w:pPr>
      <w:bookmarkStart w:id="388" w:name="_Toc16683"/>
      <w:r>
        <w:rPr>
          <w:rFonts w:hint="eastAsia" w:ascii="仿宋" w:hAnsi="仿宋" w:eastAsia="仿宋" w:cs="宋体"/>
          <w:b/>
          <w:bCs/>
          <w:color w:val="auto"/>
          <w:kern w:val="0"/>
          <w:sz w:val="32"/>
          <w:szCs w:val="32"/>
        </w:rPr>
        <w:t>综合评分表</w:t>
      </w:r>
      <w:bookmarkEnd w:id="388"/>
    </w:p>
    <w:p>
      <w:pPr>
        <w:widowControl/>
        <w:jc w:val="center"/>
        <w:outlineLvl w:val="2"/>
        <w:rPr>
          <w:rFonts w:ascii="仿宋" w:hAnsi="仿宋" w:eastAsia="仿宋" w:cs="仿宋"/>
          <w:b/>
          <w:color w:val="auto"/>
          <w:kern w:val="0"/>
          <w:sz w:val="32"/>
          <w:szCs w:val="32"/>
        </w:rPr>
      </w:pPr>
      <w:bookmarkStart w:id="389" w:name="_Toc14934"/>
      <w:r>
        <w:rPr>
          <w:rFonts w:hint="eastAsia" w:ascii="仿宋" w:hAnsi="仿宋" w:eastAsia="仿宋" w:cs="仿宋"/>
          <w:b/>
          <w:bCs/>
          <w:color w:val="auto"/>
          <w:kern w:val="0"/>
          <w:sz w:val="32"/>
          <w:szCs w:val="32"/>
        </w:rPr>
        <w:t>资格审查表</w:t>
      </w:r>
      <w:bookmarkEnd w:id="389"/>
    </w:p>
    <w:tbl>
      <w:tblPr>
        <w:tblStyle w:val="37"/>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供应商</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pPr>
              <w:widowControl/>
              <w:jc w:val="left"/>
              <w:rPr>
                <w:rFonts w:ascii="仿宋" w:hAnsi="仿宋" w:eastAsia="仿宋" w:cs="仿宋"/>
                <w:b/>
                <w:bCs/>
                <w:color w:val="auto"/>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pPr>
              <w:widowControl/>
              <w:jc w:val="left"/>
              <w:rPr>
                <w:rFonts w:ascii="仿宋" w:hAnsi="仿宋" w:eastAsia="仿宋" w:cs="仿宋"/>
                <w:b/>
                <w:bCs/>
                <w:color w:val="auto"/>
                <w:kern w:val="0"/>
                <w:sz w:val="22"/>
                <w:szCs w:val="22"/>
              </w:rPr>
            </w:pPr>
          </w:p>
        </w:tc>
        <w:tc>
          <w:tcPr>
            <w:tcW w:w="925"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是</w:t>
            </w:r>
          </w:p>
        </w:tc>
        <w:tc>
          <w:tcPr>
            <w:tcW w:w="937" w:type="dxa"/>
            <w:tcBorders>
              <w:top w:val="nil"/>
              <w:left w:val="nil"/>
              <w:bottom w:val="single" w:color="auto" w:sz="4" w:space="0"/>
              <w:right w:val="single" w:color="auto" w:sz="4" w:space="0"/>
            </w:tcBorders>
            <w:shd w:val="clear" w:color="auto" w:fill="FFFFFF" w:themeFill="background1"/>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有效的营业执照正本或副本；</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2</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val="en-US" w:eastAsia="zh-CN"/>
              </w:rPr>
              <w:t>供应商</w:t>
            </w:r>
            <w:r>
              <w:rPr>
                <w:rFonts w:hint="eastAsia" w:ascii="仿宋" w:hAnsi="仿宋" w:eastAsia="仿宋" w:cs="仿宋"/>
                <w:color w:val="auto"/>
                <w:kern w:val="0"/>
                <w:sz w:val="22"/>
                <w:szCs w:val="22"/>
              </w:rPr>
              <w:t>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重大严重失信记录不得参加本项目</w:t>
            </w:r>
            <w:r>
              <w:rPr>
                <w:rFonts w:hint="eastAsia" w:ascii="仿宋" w:hAnsi="仿宋" w:eastAsia="仿宋" w:cs="仿宋"/>
                <w:color w:val="auto"/>
                <w:kern w:val="0"/>
                <w:sz w:val="22"/>
                <w:szCs w:val="22"/>
                <w:lang w:eastAsia="zh-CN"/>
              </w:rPr>
              <w:t>；</w:t>
            </w:r>
          </w:p>
        </w:tc>
        <w:tc>
          <w:tcPr>
            <w:tcW w:w="925"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3</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供应商投标标项一、二提供地质灾害治理工程勘查乙级（含乙级）以上资质；标项三、四提供地质灾害治理工程设计和施工乙级（含乙级）以上资质；标项五提供地质灾害治理工程勘查乙级（含乙级）以上资质并与设备供应商（一家或多家）组成联合体投标,所采购设备技术参数应符合《地质灾害监测预警通讯技术要求》和《地质灾害群专结合监测预警技术指南（试行）》；标项六提供地质灾害防治工程监理乙级（含乙级）以上资质；</w:t>
            </w:r>
          </w:p>
        </w:tc>
        <w:tc>
          <w:tcPr>
            <w:tcW w:w="925"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4</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提供针对本次项目的反商业贿赂承诺书；</w:t>
            </w:r>
          </w:p>
        </w:tc>
        <w:tc>
          <w:tcPr>
            <w:tcW w:w="925"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5</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具有良好的商业信誉和健全的财务会计制度；</w:t>
            </w:r>
          </w:p>
        </w:tc>
        <w:tc>
          <w:tcPr>
            <w:tcW w:w="925"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6</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具有履行合同所必需的设备和专业技术能力；</w:t>
            </w:r>
          </w:p>
        </w:tc>
        <w:tc>
          <w:tcPr>
            <w:tcW w:w="925"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7</w:t>
            </w:r>
          </w:p>
        </w:tc>
        <w:tc>
          <w:tcPr>
            <w:tcW w:w="6114" w:type="dxa"/>
            <w:tcBorders>
              <w:top w:val="nil"/>
              <w:left w:val="nil"/>
              <w:bottom w:val="single" w:color="auto" w:sz="4" w:space="0"/>
              <w:right w:val="single" w:color="auto" w:sz="4" w:space="0"/>
            </w:tcBorders>
            <w:vAlign w:val="center"/>
          </w:tcPr>
          <w:p>
            <w:pPr>
              <w:widowControl/>
              <w:jc w:val="left"/>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有依法缴纳税收和社会保障资金的良好记录；(需提供近期3个月社保部门出具的投标单位的缴纳社保证明和依法纳税的相关证明文件)</w:t>
            </w:r>
          </w:p>
        </w:tc>
        <w:tc>
          <w:tcPr>
            <w:tcW w:w="925"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8</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参加政府采购活动前三年内，在经营活动中没有重大违法记录承诺书；</w:t>
            </w:r>
          </w:p>
        </w:tc>
        <w:tc>
          <w:tcPr>
            <w:tcW w:w="925"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69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9</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rPr>
              <w:t>供应商为中小企业/小微企业声明函</w:t>
            </w:r>
            <w:r>
              <w:rPr>
                <w:rFonts w:hint="eastAsia" w:ascii="仿宋" w:hAnsi="仿宋" w:eastAsia="仿宋" w:cs="仿宋"/>
                <w:color w:val="auto"/>
                <w:kern w:val="0"/>
                <w:sz w:val="22"/>
                <w:szCs w:val="22"/>
                <w:lang w:eastAsia="zh-CN"/>
              </w:rPr>
              <w:t>；（</w:t>
            </w:r>
            <w:r>
              <w:rPr>
                <w:rFonts w:hint="eastAsia" w:ascii="仿宋" w:hAnsi="仿宋" w:eastAsia="仿宋" w:cs="仿宋"/>
                <w:color w:val="auto"/>
                <w:kern w:val="0"/>
                <w:sz w:val="22"/>
                <w:szCs w:val="22"/>
                <w:lang w:val="en-US" w:eastAsia="zh-CN"/>
              </w:rPr>
              <w:t>如有）</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69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10</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有效的投标保证金缴纳凭证；</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69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11</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联合体协议书（如有）。</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631"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结论</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结论：是否通过评审（须填写通过或不通过）</w:t>
            </w:r>
          </w:p>
          <w:p>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注：如有一项不合格，作废标处理。</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bl>
    <w:p>
      <w:pPr>
        <w:rPr>
          <w:rFonts w:ascii="仿宋" w:hAnsi="仿宋" w:eastAsia="仿宋" w:cs="仿宋"/>
          <w:color w:val="auto"/>
        </w:rPr>
      </w:pPr>
    </w:p>
    <w:p>
      <w:pPr>
        <w:rPr>
          <w:color w:val="auto"/>
        </w:rPr>
      </w:pPr>
      <w:r>
        <w:rPr>
          <w:rFonts w:hint="eastAsia"/>
          <w:color w:val="auto"/>
        </w:rPr>
        <w:br w:type="page"/>
      </w:r>
    </w:p>
    <w:p>
      <w:pPr>
        <w:widowControl/>
        <w:jc w:val="center"/>
        <w:outlineLvl w:val="2"/>
        <w:rPr>
          <w:rFonts w:ascii="仿宋" w:hAnsi="仿宋" w:eastAsia="仿宋" w:cs="仿宋"/>
          <w:b/>
          <w:bCs/>
          <w:color w:val="auto"/>
          <w:kern w:val="0"/>
          <w:sz w:val="32"/>
          <w:szCs w:val="32"/>
        </w:rPr>
      </w:pPr>
      <w:bookmarkStart w:id="390" w:name="_Toc23346"/>
      <w:r>
        <w:rPr>
          <w:rFonts w:hint="eastAsia" w:ascii="仿宋" w:hAnsi="仿宋" w:eastAsia="仿宋" w:cs="仿宋"/>
          <w:b/>
          <w:bCs/>
          <w:color w:val="auto"/>
          <w:kern w:val="0"/>
          <w:sz w:val="32"/>
          <w:szCs w:val="32"/>
        </w:rPr>
        <w:t>符合性检查表</w:t>
      </w:r>
      <w:bookmarkEnd w:id="390"/>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766"/>
        <w:gridCol w:w="4542"/>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序号</w:t>
            </w:r>
          </w:p>
        </w:tc>
        <w:tc>
          <w:tcPr>
            <w:tcW w:w="371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审核内容</w:t>
            </w:r>
          </w:p>
        </w:tc>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b/>
                <w:bCs/>
                <w:color w:val="auto"/>
                <w:kern w:val="0"/>
                <w:sz w:val="22"/>
                <w:szCs w:val="22"/>
                <w:lang w:val="en-US" w:eastAsia="zh-CN"/>
              </w:rPr>
            </w:pPr>
            <w:r>
              <w:rPr>
                <w:rFonts w:hint="eastAsia" w:ascii="仿宋" w:hAnsi="仿宋" w:eastAsia="仿宋" w:cs="仿宋"/>
                <w:b/>
                <w:bCs/>
                <w:color w:val="auto"/>
                <w:kern w:val="0"/>
                <w:sz w:val="22"/>
                <w:szCs w:val="22"/>
                <w:lang w:val="en-US" w:eastAsia="zh-CN"/>
              </w:rPr>
              <w:t>偏差标记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10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供应商名称</w:t>
            </w:r>
          </w:p>
        </w:tc>
        <w:tc>
          <w:tcPr>
            <w:tcW w:w="26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与营业执照一致</w:t>
            </w:r>
          </w:p>
        </w:tc>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10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投标文件的格式</w:t>
            </w:r>
          </w:p>
        </w:tc>
        <w:tc>
          <w:tcPr>
            <w:tcW w:w="26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投标文件按照采购文件格式完整提供</w:t>
            </w:r>
          </w:p>
        </w:tc>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10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投标文件签署</w:t>
            </w:r>
          </w:p>
        </w:tc>
        <w:tc>
          <w:tcPr>
            <w:tcW w:w="26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投标文件的签章符合采购文件规定</w:t>
            </w:r>
          </w:p>
        </w:tc>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4</w:t>
            </w:r>
          </w:p>
        </w:tc>
        <w:tc>
          <w:tcPr>
            <w:tcW w:w="10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投标报价</w:t>
            </w:r>
          </w:p>
        </w:tc>
        <w:tc>
          <w:tcPr>
            <w:tcW w:w="26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投标报价未超过项目预算</w:t>
            </w:r>
          </w:p>
        </w:tc>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5</w:t>
            </w:r>
          </w:p>
        </w:tc>
        <w:tc>
          <w:tcPr>
            <w:tcW w:w="10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合同条款</w:t>
            </w:r>
          </w:p>
        </w:tc>
        <w:tc>
          <w:tcPr>
            <w:tcW w:w="26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对采购文件规定的服务条款作出响应</w:t>
            </w:r>
          </w:p>
        </w:tc>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6</w:t>
            </w:r>
          </w:p>
        </w:tc>
        <w:tc>
          <w:tcPr>
            <w:tcW w:w="10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投标文件制作</w:t>
            </w:r>
          </w:p>
        </w:tc>
        <w:tc>
          <w:tcPr>
            <w:tcW w:w="26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满足采购文件规定</w:t>
            </w:r>
          </w:p>
        </w:tc>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7</w:t>
            </w:r>
          </w:p>
        </w:tc>
        <w:tc>
          <w:tcPr>
            <w:tcW w:w="10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投标有效期</w:t>
            </w:r>
          </w:p>
        </w:tc>
        <w:tc>
          <w:tcPr>
            <w:tcW w:w="26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满足采购文件规定</w:t>
            </w:r>
          </w:p>
        </w:tc>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8</w:t>
            </w:r>
          </w:p>
        </w:tc>
        <w:tc>
          <w:tcPr>
            <w:tcW w:w="10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其他</w:t>
            </w:r>
          </w:p>
        </w:tc>
        <w:tc>
          <w:tcPr>
            <w:tcW w:w="26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投标文件未附有采购人不能接受的附加条件及法律、法规和采购文件规定的其他无效情形</w:t>
            </w:r>
          </w:p>
        </w:tc>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9</w:t>
            </w:r>
          </w:p>
        </w:tc>
        <w:tc>
          <w:tcPr>
            <w:tcW w:w="10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响应实质性条款</w:t>
            </w:r>
          </w:p>
        </w:tc>
        <w:tc>
          <w:tcPr>
            <w:tcW w:w="26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对采购文件实质性条款作出响应</w:t>
            </w:r>
          </w:p>
        </w:tc>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25"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检查结果</w:t>
            </w:r>
          </w:p>
        </w:tc>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注：投标文件有不符合上述情形之一的，作废标处理。出现偏差的标记“×”，没有出现偏差的标记“√” 。</w:t>
            </w:r>
          </w:p>
        </w:tc>
      </w:tr>
    </w:tbl>
    <w:p>
      <w:pPr>
        <w:spacing w:line="240" w:lineRule="atLeast"/>
        <w:jc w:val="center"/>
        <w:rPr>
          <w:rFonts w:ascii="仿宋" w:hAnsi="仿宋" w:eastAsia="仿宋" w:cs="仿宋"/>
          <w:color w:val="auto"/>
        </w:rPr>
      </w:pPr>
    </w:p>
    <w:p>
      <w:pPr>
        <w:rPr>
          <w:rFonts w:ascii="仿宋" w:hAnsi="仿宋" w:eastAsia="仿宋" w:cs="仿宋"/>
          <w:color w:val="auto"/>
        </w:rPr>
      </w:pPr>
      <w:r>
        <w:rPr>
          <w:rFonts w:hint="eastAsia" w:ascii="仿宋" w:hAnsi="仿宋" w:eastAsia="仿宋" w:cs="仿宋"/>
          <w:color w:val="auto"/>
        </w:rPr>
        <w:br w:type="page"/>
      </w:r>
    </w:p>
    <w:p>
      <w:pPr>
        <w:spacing w:line="360" w:lineRule="auto"/>
        <w:outlineLvl w:val="1"/>
        <w:rPr>
          <w:rFonts w:ascii="楷体" w:hAnsi="楷体" w:eastAsia="楷体" w:cs="楷体"/>
          <w:b/>
          <w:color w:val="auto"/>
          <w:sz w:val="24"/>
        </w:rPr>
      </w:pPr>
      <w:bookmarkStart w:id="391" w:name="_Toc8159"/>
      <w:bookmarkStart w:id="392" w:name="_Toc27379"/>
      <w:r>
        <w:rPr>
          <w:rFonts w:hint="eastAsia" w:ascii="楷体" w:hAnsi="楷体" w:eastAsia="楷体" w:cs="楷体"/>
          <w:b/>
          <w:color w:val="auto"/>
          <w:sz w:val="24"/>
        </w:rPr>
        <w:t>详细评审表：</w:t>
      </w:r>
      <w:bookmarkEnd w:id="391"/>
      <w:bookmarkEnd w:id="392"/>
    </w:p>
    <w:p>
      <w:pPr>
        <w:spacing w:line="360" w:lineRule="auto"/>
        <w:outlineLvl w:val="1"/>
        <w:rPr>
          <w:rFonts w:ascii="楷体" w:hAnsi="楷体" w:eastAsia="楷体" w:cs="楷体"/>
          <w:b/>
          <w:color w:val="auto"/>
          <w:sz w:val="24"/>
        </w:rPr>
      </w:pPr>
      <w:bookmarkStart w:id="393" w:name="_Toc24168"/>
      <w:bookmarkStart w:id="394" w:name="_Toc2196"/>
      <w:r>
        <w:rPr>
          <w:rFonts w:hint="eastAsia" w:ascii="楷体" w:hAnsi="楷体" w:eastAsia="楷体" w:cs="楷体"/>
          <w:b/>
          <w:color w:val="auto"/>
          <w:sz w:val="24"/>
        </w:rPr>
        <w:t>标项一、二评分标准</w:t>
      </w:r>
      <w:bookmarkEnd w:id="393"/>
      <w:bookmarkEnd w:id="394"/>
    </w:p>
    <w:p>
      <w:pPr>
        <w:tabs>
          <w:tab w:val="right" w:pos="9213"/>
        </w:tabs>
        <w:jc w:val="center"/>
        <w:rPr>
          <w:rFonts w:ascii="仿宋" w:hAnsi="仿宋" w:eastAsia="仿宋" w:cs="仿宋"/>
          <w:b/>
          <w:color w:val="auto"/>
          <w:sz w:val="24"/>
          <w:szCs w:val="20"/>
        </w:rPr>
      </w:pPr>
      <w:bookmarkStart w:id="395" w:name="_Toc17812"/>
      <w:bookmarkStart w:id="396" w:name="_Toc21584"/>
      <w:bookmarkStart w:id="397" w:name="_Toc27405"/>
      <w:r>
        <w:rPr>
          <w:rFonts w:hint="eastAsia" w:ascii="仿宋" w:hAnsi="仿宋" w:eastAsia="仿宋" w:cs="仿宋"/>
          <w:b/>
          <w:color w:val="auto"/>
          <w:sz w:val="24"/>
          <w:szCs w:val="20"/>
        </w:rPr>
        <w:t>商务评分表</w:t>
      </w:r>
      <w:bookmarkEnd w:id="395"/>
      <w:bookmarkEnd w:id="396"/>
      <w:bookmarkEnd w:id="397"/>
    </w:p>
    <w:tbl>
      <w:tblPr>
        <w:tblStyle w:val="37"/>
        <w:tblW w:w="9423" w:type="dxa"/>
        <w:tblInd w:w="0" w:type="dxa"/>
        <w:tblLayout w:type="fixed"/>
        <w:tblCellMar>
          <w:top w:w="0" w:type="dxa"/>
          <w:left w:w="108" w:type="dxa"/>
          <w:bottom w:w="0" w:type="dxa"/>
          <w:right w:w="108" w:type="dxa"/>
        </w:tblCellMar>
      </w:tblPr>
      <w:tblGrid>
        <w:gridCol w:w="457"/>
        <w:gridCol w:w="1340"/>
        <w:gridCol w:w="6745"/>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auto"/>
                <w:sz w:val="24"/>
              </w:rPr>
            </w:pPr>
          </w:p>
        </w:tc>
        <w:tc>
          <w:tcPr>
            <w:tcW w:w="6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20分</w:t>
            </w:r>
          </w:p>
        </w:tc>
      </w:tr>
      <w:tr>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送审材料</w:t>
            </w:r>
          </w:p>
        </w:tc>
        <w:tc>
          <w:tcPr>
            <w:tcW w:w="674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auto"/>
                <w:sz w:val="20"/>
                <w:szCs w:val="20"/>
              </w:rPr>
            </w:pPr>
            <w:r>
              <w:rPr>
                <w:rFonts w:hint="eastAsia" w:ascii="仿宋" w:hAnsi="仿宋" w:eastAsia="仿宋" w:cs="仿宋"/>
                <w:color w:val="auto"/>
                <w:kern w:val="0"/>
                <w:sz w:val="20"/>
                <w:szCs w:val="20"/>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适用表式</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3</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编制方法</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4</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预算标准</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6</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计算和勾稽关系</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sz w:val="24"/>
              </w:rPr>
              <w:t>1</w:t>
            </w:r>
          </w:p>
        </w:tc>
      </w:tr>
      <w:tr>
        <w:tblPrEx>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7</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与技术方案工作量平衡</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预算编制说明</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项目投标报价及承诺、项目概况、项目设计预算编制依据、工程方案内容及工作量情况、采用的费用标准和计算方法、工程技术指标分析及需要说明的问题等方面完整4分。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主要工作业绩</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10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相关承诺</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auto"/>
                <w:sz w:val="24"/>
              </w:rPr>
            </w:pPr>
            <w:r>
              <w:rPr>
                <w:rFonts w:hint="eastAsia" w:ascii="仿宋" w:hAnsi="仿宋" w:eastAsia="仿宋" w:cs="仿宋"/>
                <w:b/>
                <w:bCs/>
                <w:color w:val="auto"/>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w:t>
            </w:r>
          </w:p>
        </w:tc>
      </w:tr>
    </w:tbl>
    <w:p>
      <w:pPr>
        <w:pStyle w:val="28"/>
        <w:rPr>
          <w:color w:val="auto"/>
        </w:rPr>
      </w:pPr>
    </w:p>
    <w:p>
      <w:pPr>
        <w:spacing w:line="440" w:lineRule="exact"/>
        <w:jc w:val="center"/>
        <w:rPr>
          <w:rFonts w:ascii="仿宋" w:hAnsi="仿宋" w:eastAsia="仿宋" w:cs="仿宋"/>
          <w:color w:val="auto"/>
          <w:sz w:val="24"/>
        </w:rPr>
      </w:pPr>
      <w:r>
        <w:rPr>
          <w:rFonts w:hint="eastAsia" w:ascii="仿宋" w:hAnsi="仿宋" w:eastAsia="仿宋" w:cs="仿宋"/>
          <w:color w:val="auto"/>
          <w:sz w:val="24"/>
        </w:rPr>
        <w:br w:type="page"/>
      </w:r>
    </w:p>
    <w:p>
      <w:pPr>
        <w:tabs>
          <w:tab w:val="right" w:pos="9213"/>
        </w:tabs>
        <w:jc w:val="center"/>
        <w:rPr>
          <w:rFonts w:ascii="仿宋" w:hAnsi="仿宋" w:eastAsia="仿宋" w:cs="仿宋"/>
          <w:b/>
          <w:color w:val="auto"/>
          <w:sz w:val="24"/>
          <w:szCs w:val="20"/>
        </w:rPr>
      </w:pPr>
      <w:bookmarkStart w:id="398" w:name="_Toc21762"/>
      <w:bookmarkStart w:id="399" w:name="_Toc24632"/>
      <w:bookmarkStart w:id="400" w:name="_Toc22692"/>
      <w:r>
        <w:rPr>
          <w:rFonts w:hint="eastAsia" w:ascii="仿宋" w:hAnsi="仿宋" w:eastAsia="仿宋" w:cs="仿宋"/>
          <w:b/>
          <w:color w:val="auto"/>
          <w:sz w:val="24"/>
          <w:szCs w:val="20"/>
        </w:rPr>
        <w:t>技术评分表</w:t>
      </w:r>
      <w:bookmarkEnd w:id="398"/>
      <w:bookmarkEnd w:id="399"/>
      <w:bookmarkEnd w:id="400"/>
    </w:p>
    <w:tbl>
      <w:tblPr>
        <w:tblStyle w:val="37"/>
        <w:tblW w:w="9423" w:type="dxa"/>
        <w:tblInd w:w="0" w:type="dxa"/>
        <w:tblLayout w:type="fixed"/>
        <w:tblCellMar>
          <w:top w:w="0" w:type="dxa"/>
          <w:left w:w="108" w:type="dxa"/>
          <w:bottom w:w="0" w:type="dxa"/>
          <w:right w:w="108" w:type="dxa"/>
        </w:tblCellMar>
      </w:tblPr>
      <w:tblGrid>
        <w:gridCol w:w="457"/>
        <w:gridCol w:w="4895"/>
        <w:gridCol w:w="3190"/>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序号</w:t>
            </w:r>
          </w:p>
        </w:tc>
        <w:tc>
          <w:tcPr>
            <w:tcW w:w="489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b/>
                <w:bCs/>
                <w:color w:val="auto"/>
                <w:sz w:val="24"/>
              </w:rPr>
            </w:pPr>
            <w:r>
              <w:rPr>
                <w:rFonts w:hint="eastAsia" w:ascii="仿宋" w:hAnsi="仿宋" w:eastAsia="仿宋" w:cs="仿宋"/>
                <w:b/>
                <w:bCs/>
                <w:color w:val="auto"/>
                <w:kern w:val="0"/>
                <w:sz w:val="24"/>
              </w:rPr>
              <w:t>评分内容</w:t>
            </w:r>
          </w:p>
        </w:tc>
        <w:tc>
          <w:tcPr>
            <w:tcW w:w="31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auto"/>
                <w:sz w:val="24"/>
              </w:rPr>
            </w:pPr>
            <w:r>
              <w:rPr>
                <w:rFonts w:hint="eastAsia" w:ascii="仿宋" w:hAnsi="仿宋" w:eastAsia="仿宋" w:cs="仿宋"/>
                <w:b/>
                <w:bCs/>
                <w:color w:val="auto"/>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489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b/>
                <w:bCs/>
                <w:color w:val="auto"/>
                <w:sz w:val="24"/>
              </w:rPr>
            </w:pPr>
          </w:p>
        </w:tc>
        <w:tc>
          <w:tcPr>
            <w:tcW w:w="31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b/>
                <w:bCs/>
                <w:color w:val="auto"/>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70分</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1</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依据充分，且目标任务明确。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完全符合要求3.5分；基本符合要求1-2分；不符合0分。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3.5</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2</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全面收集了调查区自然地理、地质、社会经济、规划等方面的资料，并结合调查工作进行了阐述。</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资料收集完整、内容全面5-7分；资料收集基本完整、内容基本全面1-4分；无资料收集和阐述内容0分。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7</w:t>
            </w:r>
          </w:p>
        </w:tc>
      </w:tr>
      <w:tr>
        <w:tblPrEx>
          <w:tblCellMar>
            <w:top w:w="0" w:type="dxa"/>
            <w:left w:w="108" w:type="dxa"/>
            <w:bottom w:w="0" w:type="dxa"/>
            <w:right w:w="108" w:type="dxa"/>
          </w:tblCellMar>
        </w:tblPrEx>
        <w:trPr>
          <w:trHeight w:val="19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3</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工作思路、工作部署、工作量布置、进度安排明确清晰。主要内容包括：</w:t>
            </w:r>
          </w:p>
          <w:p>
            <w:pPr>
              <w:widowControl/>
              <w:numPr>
                <w:ilvl w:val="0"/>
                <w:numId w:val="8"/>
              </w:numPr>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调查、评价和预测滑坡、崩塌、泥石流发展趋势，进行环境工程地质条件区划；</w:t>
            </w:r>
          </w:p>
          <w:p>
            <w:pPr>
              <w:widowControl/>
              <w:numPr>
                <w:ilvl w:val="0"/>
                <w:numId w:val="8"/>
              </w:numPr>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调查潜在和已发生滑坡、崩塌、泥石流等地质灾害点并评估复活性、危险性、危害性，提出防治措施建议；</w:t>
            </w:r>
          </w:p>
          <w:p>
            <w:pPr>
              <w:widowControl/>
              <w:numPr>
                <w:ilvl w:val="0"/>
                <w:numId w:val="8"/>
              </w:numPr>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部署重大单体地质灾害初步勘查，工作部署和量科学合理；</w:t>
            </w:r>
          </w:p>
          <w:p>
            <w:pPr>
              <w:widowControl/>
              <w:numPr>
                <w:ilvl w:val="0"/>
                <w:numId w:val="8"/>
              </w:numPr>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开展地质灾害信息系统建设；</w:t>
            </w:r>
          </w:p>
          <w:p>
            <w:pPr>
              <w:widowControl/>
              <w:numPr>
                <w:ilvl w:val="0"/>
                <w:numId w:val="8"/>
              </w:numPr>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进行地质灾害分区评价，圈定易发区和危险区，编制（或完善）地质灾害防治区划（建议）；协助地方政府完善地质灾害群测群防网络，编制重要地质灾害隐患点防灾预案，对重大地质灾害点推荐应急搬迁避让新址，并进行工程建设适宜性初步评估等。</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内容全面、合理21分，每缺1项扣3.5分。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4</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工作方法手段得当、适宜，技术要求明确，采用遥感解译、地面调查等工作手段等。完善地质灾害信息系统，健全完善群测群防的监测网络，为减灾防灾和制定防灾规划提供基础地质依据。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工作方法具有针对性，符合技术规范要求，适宜明确10-14分；针对性较好、基本符合规范要5-9分；无针对性、不符合规范要求0分。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14</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5</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绩效目标明确合理。</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预期成果与招标任务书要求完全一致5分，基本一致2-4分，完全不一致0分。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5</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6</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预期成果应对提交的成果报告、附图、附件、信息系统建设等予以明确。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预期成果与招标任务书要求完全一致7分，基本一致3-6分，完全不一致0分。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7</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0"/>
                <w:szCs w:val="20"/>
              </w:rPr>
            </w:pPr>
            <w:r>
              <w:rPr>
                <w:rFonts w:hint="eastAsia" w:ascii="仿宋" w:hAnsi="仿宋" w:eastAsia="仿宋" w:cs="仿宋"/>
                <w:b/>
                <w:bCs/>
                <w:color w:val="auto"/>
                <w:kern w:val="0"/>
                <w:sz w:val="20"/>
                <w:szCs w:val="20"/>
              </w:rPr>
              <w:t>7</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lang w:val="zh-CN"/>
              </w:rPr>
              <w:t>组织管理机构</w:t>
            </w:r>
            <w:r>
              <w:rPr>
                <w:rFonts w:hint="eastAsia" w:ascii="仿宋" w:hAnsi="仿宋" w:eastAsia="仿宋" w:cs="仿宋"/>
                <w:color w:val="auto"/>
                <w:kern w:val="0"/>
                <w:sz w:val="20"/>
                <w:szCs w:val="20"/>
              </w:rPr>
              <w:t>和</w:t>
            </w:r>
            <w:r>
              <w:rPr>
                <w:rFonts w:hint="eastAsia" w:ascii="仿宋" w:hAnsi="仿宋" w:eastAsia="仿宋" w:cs="仿宋"/>
                <w:color w:val="auto"/>
                <w:kern w:val="0"/>
                <w:sz w:val="20"/>
                <w:szCs w:val="20"/>
                <w:lang w:val="zh-CN"/>
              </w:rPr>
              <w:t>主要技术人员配备</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管理机构健全明确、项目人员专业组成全面、分工合理4分，基本健全明确、基本全面、合理、基本满足1-3分，无内容0分.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8</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主要设备配置应齐备。</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符合项目技术要求、齐备3.5分，基本符合1-3分，不符合0分。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3.5</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9</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质量、进度、安全的保障体系应健全，主要措施应明确。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健全明确5分，基本健全明确1-4分，无内容0分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5</w:t>
            </w:r>
          </w:p>
        </w:tc>
      </w:tr>
      <w:tr>
        <w:tblPrEx>
          <w:tblCellMar>
            <w:top w:w="0" w:type="dxa"/>
            <w:left w:w="108" w:type="dxa"/>
            <w:bottom w:w="0" w:type="dxa"/>
            <w:right w:w="108" w:type="dxa"/>
          </w:tblCellMar>
        </w:tblPrEx>
        <w:trPr>
          <w:trHeight w:val="315" w:hRule="atLeast"/>
        </w:trPr>
        <w:tc>
          <w:tcPr>
            <w:tcW w:w="854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b/>
                <w:bCs/>
                <w:color w:val="auto"/>
                <w:sz w:val="20"/>
                <w:szCs w:val="20"/>
              </w:rPr>
            </w:pPr>
            <w:r>
              <w:rPr>
                <w:rFonts w:hint="eastAsia" w:ascii="仿宋" w:hAnsi="仿宋" w:eastAsia="仿宋" w:cs="仿宋"/>
                <w:b/>
                <w:bCs/>
                <w:color w:val="auto"/>
                <w:kern w:val="0"/>
                <w:sz w:val="20"/>
                <w:szCs w:val="20"/>
              </w:rPr>
              <w:t>总得分V</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70</w:t>
            </w:r>
          </w:p>
        </w:tc>
      </w:tr>
    </w:tbl>
    <w:p>
      <w:pPr>
        <w:tabs>
          <w:tab w:val="right" w:pos="9213"/>
        </w:tabs>
        <w:jc w:val="center"/>
        <w:rPr>
          <w:rFonts w:ascii="仿宋" w:hAnsi="仿宋" w:eastAsia="仿宋" w:cs="仿宋"/>
          <w:b/>
          <w:color w:val="auto"/>
          <w:sz w:val="24"/>
          <w:szCs w:val="20"/>
        </w:rPr>
      </w:pPr>
      <w:r>
        <w:rPr>
          <w:rFonts w:hint="eastAsia"/>
          <w:color w:val="auto"/>
        </w:rPr>
        <w:br w:type="page"/>
      </w:r>
    </w:p>
    <w:p>
      <w:pPr>
        <w:tabs>
          <w:tab w:val="right" w:pos="9213"/>
        </w:tabs>
        <w:jc w:val="center"/>
        <w:rPr>
          <w:rFonts w:ascii="仿宋" w:hAnsi="仿宋" w:eastAsia="仿宋" w:cs="仿宋"/>
          <w:b/>
          <w:color w:val="auto"/>
          <w:sz w:val="24"/>
          <w:szCs w:val="20"/>
        </w:rPr>
      </w:pPr>
      <w:bookmarkStart w:id="401" w:name="_Toc1538"/>
      <w:bookmarkStart w:id="402" w:name="_Toc32741"/>
      <w:bookmarkStart w:id="403" w:name="_Toc18406"/>
      <w:bookmarkStart w:id="404" w:name="_Toc4943"/>
      <w:bookmarkStart w:id="405" w:name="_Toc32388"/>
      <w:r>
        <w:rPr>
          <w:rFonts w:hint="eastAsia" w:ascii="仿宋" w:hAnsi="仿宋" w:eastAsia="仿宋" w:cs="仿宋"/>
          <w:b/>
          <w:color w:val="auto"/>
          <w:sz w:val="24"/>
          <w:szCs w:val="20"/>
        </w:rPr>
        <w:t>报价评分表</w:t>
      </w:r>
      <w:bookmarkEnd w:id="401"/>
      <w:bookmarkEnd w:id="402"/>
      <w:bookmarkEnd w:id="403"/>
      <w:bookmarkEnd w:id="404"/>
      <w:bookmarkEnd w:id="405"/>
    </w:p>
    <w:p>
      <w:pPr>
        <w:pStyle w:val="27"/>
        <w:rPr>
          <w:color w:val="auto"/>
        </w:rPr>
      </w:pPr>
    </w:p>
    <w:tbl>
      <w:tblPr>
        <w:tblStyle w:val="3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color w:val="auto"/>
              </w:rPr>
            </w:pPr>
            <w:r>
              <w:rPr>
                <w:rFonts w:hint="eastAsia" w:ascii="仿宋" w:hAnsi="仿宋" w:eastAsia="仿宋" w:cs="仿宋"/>
                <w:color w:val="auto"/>
              </w:rPr>
              <w:t>报价评审</w:t>
            </w:r>
          </w:p>
        </w:tc>
        <w:tc>
          <w:tcPr>
            <w:tcW w:w="681" w:type="dxa"/>
            <w:vAlign w:val="center"/>
          </w:tcPr>
          <w:p>
            <w:pPr>
              <w:jc w:val="center"/>
              <w:rPr>
                <w:rFonts w:ascii="仿宋" w:hAnsi="仿宋" w:eastAsia="仿宋" w:cs="仿宋"/>
                <w:color w:val="auto"/>
              </w:rPr>
            </w:pPr>
            <w:r>
              <w:rPr>
                <w:rFonts w:hint="eastAsia" w:ascii="仿宋" w:hAnsi="仿宋" w:eastAsia="仿宋" w:cs="仿宋"/>
                <w:color w:val="auto"/>
              </w:rPr>
              <w:t>10</w:t>
            </w:r>
          </w:p>
        </w:tc>
        <w:tc>
          <w:tcPr>
            <w:tcW w:w="6698" w:type="dxa"/>
            <w:vAlign w:val="center"/>
          </w:tcPr>
          <w:p>
            <w:pPr>
              <w:spacing w:line="440" w:lineRule="exact"/>
              <w:rPr>
                <w:rFonts w:ascii="仿宋" w:hAnsi="仿宋" w:eastAsia="仿宋" w:cs="仿宋"/>
                <w:color w:val="auto"/>
              </w:rPr>
            </w:pPr>
            <w:r>
              <w:rPr>
                <w:rFonts w:hint="eastAsia" w:ascii="仿宋" w:hAnsi="仿宋" w:eastAsia="仿宋" w:cs="仿宋"/>
                <w:color w:val="auto"/>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注：若报价单位为中小企业，其投标报价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color w:val="auto"/>
              </w:rPr>
            </w:pPr>
            <w:r>
              <w:rPr>
                <w:rFonts w:hint="eastAsia" w:ascii="仿宋" w:hAnsi="仿宋" w:eastAsia="仿宋" w:cs="仿宋"/>
                <w:color w:val="auto"/>
              </w:rPr>
              <w:t>报价分合计</w:t>
            </w:r>
          </w:p>
        </w:tc>
        <w:tc>
          <w:tcPr>
            <w:tcW w:w="6698" w:type="dxa"/>
            <w:vAlign w:val="center"/>
          </w:tcPr>
          <w:p>
            <w:pPr>
              <w:jc w:val="center"/>
              <w:rPr>
                <w:rFonts w:ascii="仿宋" w:hAnsi="仿宋" w:eastAsia="仿宋" w:cs="仿宋"/>
                <w:color w:val="auto"/>
              </w:rPr>
            </w:pPr>
            <w:r>
              <w:rPr>
                <w:rFonts w:hint="eastAsia" w:ascii="仿宋" w:hAnsi="仿宋" w:eastAsia="仿宋" w:cs="仿宋"/>
                <w:color w:val="auto"/>
              </w:rPr>
              <w:t>10</w:t>
            </w:r>
          </w:p>
        </w:tc>
      </w:tr>
    </w:tbl>
    <w:p>
      <w:pPr>
        <w:spacing w:line="240" w:lineRule="atLeast"/>
        <w:jc w:val="center"/>
        <w:rPr>
          <w:rFonts w:ascii="仿宋" w:hAnsi="仿宋" w:eastAsia="仿宋" w:cs="仿宋"/>
          <w:b/>
          <w:bCs/>
          <w:color w:val="auto"/>
          <w:sz w:val="28"/>
          <w:szCs w:val="28"/>
        </w:rPr>
      </w:pPr>
    </w:p>
    <w:p>
      <w:pPr>
        <w:spacing w:line="240" w:lineRule="atLeast"/>
        <w:jc w:val="left"/>
        <w:outlineLvl w:val="1"/>
        <w:rPr>
          <w:rFonts w:ascii="楷体" w:hAnsi="楷体" w:eastAsia="楷体" w:cs="楷体"/>
          <w:b/>
          <w:color w:val="auto"/>
          <w:sz w:val="24"/>
        </w:rPr>
      </w:pPr>
      <w:r>
        <w:rPr>
          <w:rFonts w:hint="eastAsia" w:ascii="楷体" w:hAnsi="楷体" w:eastAsia="楷体" w:cs="楷体"/>
          <w:b/>
          <w:color w:val="auto"/>
          <w:sz w:val="24"/>
        </w:rPr>
        <w:br w:type="page"/>
      </w:r>
      <w:bookmarkStart w:id="406" w:name="_Toc28369"/>
      <w:bookmarkStart w:id="407" w:name="_Toc27928"/>
      <w:r>
        <w:rPr>
          <w:rFonts w:hint="eastAsia" w:ascii="楷体" w:hAnsi="楷体" w:eastAsia="楷体" w:cs="楷体"/>
          <w:b/>
          <w:color w:val="auto"/>
          <w:sz w:val="24"/>
        </w:rPr>
        <w:t>标项三、四评分标准</w:t>
      </w:r>
      <w:bookmarkEnd w:id="406"/>
      <w:bookmarkEnd w:id="407"/>
    </w:p>
    <w:p>
      <w:pPr>
        <w:tabs>
          <w:tab w:val="right" w:pos="9213"/>
        </w:tabs>
        <w:jc w:val="center"/>
        <w:rPr>
          <w:rFonts w:ascii="仿宋" w:hAnsi="仿宋" w:eastAsia="仿宋" w:cs="仿宋"/>
          <w:b/>
          <w:color w:val="auto"/>
          <w:sz w:val="24"/>
          <w:szCs w:val="20"/>
        </w:rPr>
      </w:pPr>
      <w:bookmarkStart w:id="408" w:name="_Toc26151"/>
      <w:bookmarkStart w:id="409" w:name="_Toc1728"/>
      <w:bookmarkStart w:id="410" w:name="_Toc17358"/>
      <w:r>
        <w:rPr>
          <w:rFonts w:hint="eastAsia" w:ascii="仿宋" w:hAnsi="仿宋" w:eastAsia="仿宋" w:cs="仿宋"/>
          <w:b/>
          <w:color w:val="auto"/>
          <w:sz w:val="24"/>
          <w:szCs w:val="20"/>
        </w:rPr>
        <w:t>商务评分表</w:t>
      </w:r>
      <w:bookmarkEnd w:id="408"/>
      <w:bookmarkEnd w:id="409"/>
      <w:bookmarkEnd w:id="410"/>
    </w:p>
    <w:p>
      <w:pPr>
        <w:pStyle w:val="28"/>
        <w:rPr>
          <w:color w:val="auto"/>
        </w:rPr>
      </w:pPr>
    </w:p>
    <w:tbl>
      <w:tblPr>
        <w:tblStyle w:val="37"/>
        <w:tblW w:w="9423" w:type="dxa"/>
        <w:tblInd w:w="0" w:type="dxa"/>
        <w:tblLayout w:type="fixed"/>
        <w:tblCellMar>
          <w:top w:w="0" w:type="dxa"/>
          <w:left w:w="108" w:type="dxa"/>
          <w:bottom w:w="0" w:type="dxa"/>
          <w:right w:w="108" w:type="dxa"/>
        </w:tblCellMar>
      </w:tblPr>
      <w:tblGrid>
        <w:gridCol w:w="457"/>
        <w:gridCol w:w="1340"/>
        <w:gridCol w:w="6745"/>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auto"/>
                <w:sz w:val="24"/>
              </w:rPr>
            </w:pPr>
          </w:p>
        </w:tc>
        <w:tc>
          <w:tcPr>
            <w:tcW w:w="6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20分</w:t>
            </w:r>
          </w:p>
        </w:tc>
      </w:tr>
      <w:tr>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送审材料</w:t>
            </w:r>
          </w:p>
        </w:tc>
        <w:tc>
          <w:tcPr>
            <w:tcW w:w="674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auto"/>
                <w:sz w:val="20"/>
                <w:szCs w:val="20"/>
              </w:rPr>
            </w:pPr>
            <w:r>
              <w:rPr>
                <w:rFonts w:hint="eastAsia" w:ascii="仿宋" w:hAnsi="仿宋" w:eastAsia="仿宋" w:cs="仿宋"/>
                <w:color w:val="auto"/>
                <w:kern w:val="0"/>
                <w:sz w:val="20"/>
                <w:szCs w:val="20"/>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适用表式</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3</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编制方法</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4</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预算标准</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6</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计算和勾稽关系</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sz w:val="24"/>
              </w:rPr>
              <w:t>1</w:t>
            </w:r>
          </w:p>
        </w:tc>
      </w:tr>
      <w:tr>
        <w:tblPrEx>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7</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与技术方案工作量平衡</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预算编制说明</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项目投标报价及承诺、项目概况、项目设计预算编制依据、工程方案内容及工作量情况、采用的费用标准和计算方法、工程技术指标分析及需要说明的问题等方面完整4分。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主要工作业绩</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10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相关承诺</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auto"/>
                <w:sz w:val="24"/>
              </w:rPr>
            </w:pPr>
            <w:r>
              <w:rPr>
                <w:rFonts w:hint="eastAsia" w:ascii="仿宋" w:hAnsi="仿宋" w:eastAsia="仿宋" w:cs="仿宋"/>
                <w:b/>
                <w:bCs/>
                <w:color w:val="auto"/>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w:t>
            </w:r>
          </w:p>
        </w:tc>
      </w:tr>
    </w:tbl>
    <w:p>
      <w:pPr>
        <w:spacing w:line="440" w:lineRule="exact"/>
        <w:jc w:val="center"/>
        <w:rPr>
          <w:rFonts w:ascii="仿宋" w:hAnsi="仿宋" w:eastAsia="仿宋" w:cs="仿宋"/>
          <w:color w:val="auto"/>
          <w:sz w:val="24"/>
        </w:rPr>
      </w:pPr>
      <w:r>
        <w:rPr>
          <w:rFonts w:hint="eastAsia" w:ascii="仿宋" w:hAnsi="仿宋" w:eastAsia="仿宋" w:cs="仿宋"/>
          <w:color w:val="auto"/>
          <w:sz w:val="24"/>
        </w:rPr>
        <w:br w:type="page"/>
      </w:r>
    </w:p>
    <w:p>
      <w:pPr>
        <w:tabs>
          <w:tab w:val="right" w:pos="9213"/>
        </w:tabs>
        <w:jc w:val="center"/>
        <w:rPr>
          <w:rFonts w:ascii="仿宋" w:hAnsi="仿宋" w:eastAsia="仿宋" w:cs="仿宋"/>
          <w:b/>
          <w:color w:val="auto"/>
          <w:sz w:val="24"/>
          <w:szCs w:val="20"/>
        </w:rPr>
      </w:pPr>
      <w:bookmarkStart w:id="411" w:name="_Toc8799"/>
      <w:bookmarkStart w:id="412" w:name="_Toc17451"/>
      <w:bookmarkStart w:id="413" w:name="_Toc19788"/>
      <w:r>
        <w:rPr>
          <w:rFonts w:hint="eastAsia" w:ascii="仿宋" w:hAnsi="仿宋" w:eastAsia="仿宋" w:cs="仿宋"/>
          <w:b/>
          <w:color w:val="auto"/>
          <w:sz w:val="24"/>
          <w:szCs w:val="20"/>
        </w:rPr>
        <w:t>技术评分表</w:t>
      </w:r>
      <w:bookmarkEnd w:id="411"/>
      <w:bookmarkEnd w:id="412"/>
      <w:bookmarkEnd w:id="413"/>
    </w:p>
    <w:tbl>
      <w:tblPr>
        <w:tblStyle w:val="37"/>
        <w:tblW w:w="9237" w:type="dxa"/>
        <w:tblInd w:w="0" w:type="dxa"/>
        <w:tblLayout w:type="fixed"/>
        <w:tblCellMar>
          <w:top w:w="0" w:type="dxa"/>
          <w:left w:w="0" w:type="dxa"/>
          <w:bottom w:w="0" w:type="dxa"/>
          <w:right w:w="0" w:type="dxa"/>
        </w:tblCellMar>
      </w:tblPr>
      <w:tblGrid>
        <w:gridCol w:w="576"/>
        <w:gridCol w:w="3766"/>
        <w:gridCol w:w="3760"/>
        <w:gridCol w:w="1135"/>
      </w:tblGrid>
      <w:tr>
        <w:tblPrEx>
          <w:tblCellMar>
            <w:top w:w="0" w:type="dxa"/>
            <w:left w:w="0" w:type="dxa"/>
            <w:bottom w:w="0" w:type="dxa"/>
            <w:right w:w="0" w:type="dxa"/>
          </w:tblCellMar>
        </w:tblPrEx>
        <w:trPr>
          <w:trHeight w:val="312" w:hRule="atLeast"/>
        </w:trPr>
        <w:tc>
          <w:tcPr>
            <w:tcW w:w="5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序号</w:t>
            </w:r>
          </w:p>
        </w:tc>
        <w:tc>
          <w:tcPr>
            <w:tcW w:w="376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评分内容</w:t>
            </w:r>
          </w:p>
        </w:tc>
        <w:tc>
          <w:tcPr>
            <w:tcW w:w="37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评分标准</w:t>
            </w: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满分</w:t>
            </w:r>
          </w:p>
        </w:tc>
      </w:tr>
      <w:tr>
        <w:tblPrEx>
          <w:tblCellMar>
            <w:top w:w="0" w:type="dxa"/>
            <w:left w:w="0" w:type="dxa"/>
            <w:bottom w:w="0" w:type="dxa"/>
            <w:right w:w="0" w:type="dxa"/>
          </w:tblCellMar>
        </w:tblPrEx>
        <w:trPr>
          <w:trHeight w:val="312" w:hRule="atLeast"/>
        </w:trPr>
        <w:tc>
          <w:tcPr>
            <w:tcW w:w="5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376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 w:hAnsi="仿宋" w:eastAsia="仿宋" w:cs="仿宋"/>
                <w:b/>
                <w:color w:val="auto"/>
                <w:sz w:val="24"/>
              </w:rPr>
            </w:pPr>
          </w:p>
        </w:tc>
        <w:tc>
          <w:tcPr>
            <w:tcW w:w="37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70分</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1</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标书的完整性及与采购文件的响应性。</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完全响应和完整3.5分；部分未响应或不完整1.5-3分；未响应部分份额较大且不完整≤1分。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3.5</w:t>
            </w:r>
          </w:p>
        </w:tc>
      </w:tr>
      <w:tr>
        <w:tblPrEx>
          <w:tblCellMar>
            <w:top w:w="0" w:type="dxa"/>
            <w:left w:w="0" w:type="dxa"/>
            <w:bottom w:w="0" w:type="dxa"/>
            <w:right w:w="0"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2</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施工设计目标任务、工作内容、工程布置、施工方案、工程量、进度安排的明确清晰程度及合理性；工作方法的可行性、技术要求的明确程度。</w:t>
            </w:r>
          </w:p>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施工设计图内容是否齐全；设计图规范、图面美观，设计参数标注是否齐全完整。</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施工设计目标任务、工作内容、工程布置、施工方案、工程量、进度安排明确合理0—7分；施工图设计齐全0－3.5分；设计指标明确，技术要求全面、明确0—3.5分；设计工作量与采购文件响应0－3.5分；设计图规范、图面美观，设计参数标注齐全完整0－3.5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21</w:t>
            </w:r>
          </w:p>
        </w:tc>
      </w:tr>
      <w:tr>
        <w:tblPrEx>
          <w:tblCellMar>
            <w:top w:w="0" w:type="dxa"/>
            <w:left w:w="0" w:type="dxa"/>
            <w:bottom w:w="0" w:type="dxa"/>
            <w:right w:w="0"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3</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施工组织设计内容是否齐全完整；工作方法应与施工图设计相衔接，技术要求应符合当地实际，满足相关标准、规范，施工组织严密，附施工平面图。</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施工组织设计内容齐全完整0－3.5分；</w:t>
            </w:r>
          </w:p>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工作方法可行、技术要求明确，工作方法与施工图设计衔接0－7分；技术要求符合项目治理方案和实际，满足相关标准、规范，施工组织严密，并附施工平面图0－7分，安全施工0-1.5分，环保施工0-2分。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21</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4</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预期成果的全面程度。</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预期成果包括治理效果和提交的成果资料全面3.5分；基本全面2-3分；不全面≤1分。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 xml:space="preserve"> 3.5</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5</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组织管理、质量、进度、安全、环境的保障体系及主要措施。</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保障体系齐全、措施有效7分；保障体系基本齐全、措施基本有效3-6分；保障体系不健全≤2分。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r>
              <w:rPr>
                <w:rFonts w:hint="eastAsia" w:ascii="仿宋" w:hAnsi="仿宋" w:eastAsia="仿宋" w:cs="仿宋"/>
                <w:b/>
                <w:color w:val="auto"/>
                <w:sz w:val="24"/>
              </w:rPr>
              <w:t>7</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6</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人员数量满足施工要求，工种齐全，人员专业结构配备合理。</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人员数量情况0—3分；工种搭配情况0—2分；专业结构情况0—2分。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r>
              <w:rPr>
                <w:rFonts w:hint="eastAsia" w:ascii="仿宋" w:hAnsi="仿宋" w:eastAsia="仿宋" w:cs="仿宋"/>
                <w:b/>
                <w:color w:val="auto"/>
                <w:sz w:val="24"/>
              </w:rPr>
              <w:t>7</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7</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仪器、设备配置</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设备齐全且符合要求3.5分；设备较齐全2-3分；其他情况≤1分。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r>
              <w:rPr>
                <w:rFonts w:hint="eastAsia" w:ascii="仿宋" w:hAnsi="仿宋" w:eastAsia="仿宋" w:cs="仿宋"/>
                <w:b/>
                <w:color w:val="auto"/>
                <w:sz w:val="24"/>
              </w:rPr>
              <w:t>3.5</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8</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组织管理机构应健全，应建立领导小组。</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健全明确3.5分，基本健全明确1-3分，无内容0分。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r>
              <w:rPr>
                <w:rFonts w:hint="eastAsia" w:ascii="仿宋" w:hAnsi="仿宋" w:eastAsia="仿宋" w:cs="仿宋"/>
                <w:b/>
                <w:color w:val="auto"/>
                <w:sz w:val="24"/>
              </w:rPr>
              <w:t>3.5</w:t>
            </w:r>
          </w:p>
        </w:tc>
      </w:tr>
      <w:tr>
        <w:tblPrEx>
          <w:tblCellMar>
            <w:top w:w="0" w:type="dxa"/>
            <w:left w:w="0" w:type="dxa"/>
            <w:bottom w:w="0" w:type="dxa"/>
            <w:right w:w="0" w:type="dxa"/>
          </w:tblCellMar>
        </w:tblPrEx>
        <w:trPr>
          <w:trHeight w:val="480" w:hRule="atLeast"/>
        </w:trPr>
        <w:tc>
          <w:tcPr>
            <w:tcW w:w="810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b/>
                <w:bCs/>
                <w:color w:val="auto"/>
                <w:kern w:val="0"/>
                <w:sz w:val="24"/>
              </w:rPr>
              <w:t>总得分V</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r>
              <w:rPr>
                <w:rFonts w:hint="eastAsia" w:ascii="仿宋" w:hAnsi="仿宋" w:eastAsia="仿宋" w:cs="仿宋"/>
                <w:b/>
                <w:color w:val="auto"/>
                <w:sz w:val="24"/>
              </w:rPr>
              <w:t>70</w:t>
            </w:r>
          </w:p>
        </w:tc>
      </w:tr>
    </w:tbl>
    <w:p>
      <w:pPr>
        <w:pStyle w:val="27"/>
        <w:rPr>
          <w:rFonts w:ascii="仿宋" w:hAnsi="仿宋" w:eastAsia="仿宋" w:cs="仿宋"/>
          <w:color w:val="auto"/>
        </w:rPr>
      </w:pPr>
    </w:p>
    <w:p>
      <w:pPr>
        <w:rPr>
          <w:color w:val="auto"/>
        </w:rPr>
      </w:pPr>
    </w:p>
    <w:p>
      <w:pPr>
        <w:rPr>
          <w:color w:val="auto"/>
        </w:rPr>
      </w:pPr>
    </w:p>
    <w:p>
      <w:pPr>
        <w:tabs>
          <w:tab w:val="right" w:pos="9213"/>
        </w:tabs>
        <w:jc w:val="center"/>
        <w:rPr>
          <w:color w:val="auto"/>
        </w:rPr>
      </w:pPr>
      <w:r>
        <w:rPr>
          <w:rFonts w:hint="eastAsia"/>
          <w:color w:val="auto"/>
        </w:rPr>
        <w:br w:type="page"/>
      </w:r>
    </w:p>
    <w:p>
      <w:pPr>
        <w:tabs>
          <w:tab w:val="right" w:pos="9213"/>
        </w:tabs>
        <w:jc w:val="center"/>
        <w:rPr>
          <w:rFonts w:ascii="仿宋" w:hAnsi="仿宋" w:eastAsia="仿宋" w:cs="仿宋"/>
          <w:b/>
          <w:color w:val="auto"/>
          <w:sz w:val="24"/>
          <w:szCs w:val="20"/>
        </w:rPr>
      </w:pPr>
      <w:bookmarkStart w:id="414" w:name="_Toc20213"/>
      <w:r>
        <w:rPr>
          <w:rFonts w:hint="eastAsia" w:ascii="仿宋" w:hAnsi="仿宋" w:eastAsia="仿宋" w:cs="仿宋"/>
          <w:b/>
          <w:color w:val="auto"/>
          <w:sz w:val="24"/>
          <w:szCs w:val="20"/>
        </w:rPr>
        <w:t>报价评分表</w:t>
      </w:r>
      <w:bookmarkEnd w:id="414"/>
    </w:p>
    <w:p>
      <w:pPr>
        <w:pStyle w:val="27"/>
        <w:rPr>
          <w:color w:val="auto"/>
        </w:rPr>
      </w:pPr>
    </w:p>
    <w:tbl>
      <w:tblPr>
        <w:tblStyle w:val="3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color w:val="auto"/>
              </w:rPr>
            </w:pPr>
            <w:r>
              <w:rPr>
                <w:rFonts w:hint="eastAsia" w:ascii="仿宋" w:hAnsi="仿宋" w:eastAsia="仿宋" w:cs="仿宋"/>
                <w:color w:val="auto"/>
              </w:rPr>
              <w:t>报价评审</w:t>
            </w:r>
          </w:p>
        </w:tc>
        <w:tc>
          <w:tcPr>
            <w:tcW w:w="681" w:type="dxa"/>
            <w:vAlign w:val="center"/>
          </w:tcPr>
          <w:p>
            <w:pPr>
              <w:jc w:val="center"/>
              <w:rPr>
                <w:rFonts w:ascii="仿宋" w:hAnsi="仿宋" w:eastAsia="仿宋" w:cs="仿宋"/>
                <w:color w:val="auto"/>
              </w:rPr>
            </w:pPr>
            <w:r>
              <w:rPr>
                <w:rFonts w:hint="eastAsia" w:ascii="仿宋" w:hAnsi="仿宋" w:eastAsia="仿宋" w:cs="仿宋"/>
                <w:color w:val="auto"/>
              </w:rPr>
              <w:t>10</w:t>
            </w:r>
          </w:p>
        </w:tc>
        <w:tc>
          <w:tcPr>
            <w:tcW w:w="6698" w:type="dxa"/>
            <w:vAlign w:val="center"/>
          </w:tcPr>
          <w:p>
            <w:pPr>
              <w:spacing w:line="440" w:lineRule="exact"/>
              <w:rPr>
                <w:rFonts w:ascii="仿宋" w:hAnsi="仿宋" w:eastAsia="仿宋" w:cs="仿宋"/>
                <w:color w:val="auto"/>
              </w:rPr>
            </w:pPr>
            <w:r>
              <w:rPr>
                <w:rFonts w:hint="eastAsia" w:ascii="仿宋" w:hAnsi="仿宋" w:eastAsia="仿宋" w:cs="仿宋"/>
                <w:color w:val="auto"/>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注：若报价单位为中小企业，其投标报价扣除10 %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color w:val="auto"/>
              </w:rPr>
            </w:pPr>
            <w:r>
              <w:rPr>
                <w:rFonts w:hint="eastAsia" w:ascii="仿宋" w:hAnsi="仿宋" w:eastAsia="仿宋" w:cs="仿宋"/>
                <w:color w:val="auto"/>
              </w:rPr>
              <w:t>报价分合计</w:t>
            </w:r>
          </w:p>
        </w:tc>
        <w:tc>
          <w:tcPr>
            <w:tcW w:w="6698" w:type="dxa"/>
            <w:vAlign w:val="center"/>
          </w:tcPr>
          <w:p>
            <w:pPr>
              <w:jc w:val="center"/>
              <w:rPr>
                <w:rFonts w:ascii="仿宋" w:hAnsi="仿宋" w:eastAsia="仿宋" w:cs="仿宋"/>
                <w:color w:val="auto"/>
              </w:rPr>
            </w:pPr>
            <w:r>
              <w:rPr>
                <w:rFonts w:hint="eastAsia" w:ascii="仿宋" w:hAnsi="仿宋" w:eastAsia="仿宋" w:cs="仿宋"/>
                <w:color w:val="auto"/>
              </w:rPr>
              <w:t>10</w:t>
            </w:r>
          </w:p>
        </w:tc>
      </w:tr>
    </w:tbl>
    <w:p>
      <w:pPr>
        <w:rPr>
          <w:rFonts w:ascii="楷体" w:hAnsi="楷体" w:eastAsia="楷体" w:cs="楷体"/>
          <w:b/>
          <w:color w:val="auto"/>
          <w:sz w:val="24"/>
        </w:rPr>
      </w:pPr>
      <w:r>
        <w:rPr>
          <w:rFonts w:hint="eastAsia" w:ascii="楷体" w:hAnsi="楷体" w:eastAsia="楷体" w:cs="楷体"/>
          <w:b/>
          <w:color w:val="auto"/>
          <w:sz w:val="24"/>
        </w:rPr>
        <w:br w:type="page"/>
      </w:r>
    </w:p>
    <w:p>
      <w:pPr>
        <w:spacing w:line="240" w:lineRule="atLeast"/>
        <w:jc w:val="left"/>
        <w:outlineLvl w:val="1"/>
        <w:rPr>
          <w:rFonts w:ascii="楷体" w:hAnsi="楷体" w:eastAsia="楷体" w:cs="楷体"/>
          <w:b/>
          <w:color w:val="auto"/>
          <w:sz w:val="24"/>
        </w:rPr>
      </w:pPr>
      <w:bookmarkStart w:id="415" w:name="_Toc17518"/>
      <w:bookmarkStart w:id="416" w:name="_Toc3641"/>
      <w:r>
        <w:rPr>
          <w:rFonts w:hint="eastAsia" w:ascii="楷体" w:hAnsi="楷体" w:eastAsia="楷体" w:cs="楷体"/>
          <w:b/>
          <w:color w:val="auto"/>
          <w:sz w:val="24"/>
        </w:rPr>
        <w:t>标项</w:t>
      </w:r>
      <w:r>
        <w:rPr>
          <w:rFonts w:hint="eastAsia" w:ascii="楷体" w:hAnsi="楷体" w:eastAsia="楷体" w:cs="楷体"/>
          <w:b/>
          <w:color w:val="auto"/>
          <w:sz w:val="24"/>
          <w:lang w:val="en-US" w:eastAsia="zh-CN"/>
        </w:rPr>
        <w:t>五</w:t>
      </w:r>
      <w:r>
        <w:rPr>
          <w:rFonts w:hint="eastAsia" w:ascii="楷体" w:hAnsi="楷体" w:eastAsia="楷体" w:cs="楷体"/>
          <w:b/>
          <w:color w:val="auto"/>
          <w:sz w:val="24"/>
        </w:rPr>
        <w:t>评分标准</w:t>
      </w:r>
      <w:bookmarkEnd w:id="415"/>
      <w:bookmarkEnd w:id="416"/>
    </w:p>
    <w:p>
      <w:pPr>
        <w:tabs>
          <w:tab w:val="right" w:pos="9213"/>
        </w:tabs>
        <w:jc w:val="center"/>
        <w:rPr>
          <w:rFonts w:ascii="仿宋" w:hAnsi="仿宋" w:eastAsia="仿宋" w:cs="仿宋"/>
          <w:b/>
          <w:color w:val="auto"/>
          <w:sz w:val="24"/>
          <w:szCs w:val="20"/>
        </w:rPr>
      </w:pPr>
      <w:bookmarkStart w:id="417" w:name="_Toc20946"/>
      <w:r>
        <w:rPr>
          <w:rFonts w:hint="eastAsia" w:ascii="仿宋" w:hAnsi="仿宋" w:eastAsia="仿宋" w:cs="仿宋"/>
          <w:b/>
          <w:color w:val="auto"/>
          <w:sz w:val="24"/>
          <w:szCs w:val="20"/>
        </w:rPr>
        <w:t>商务评分表</w:t>
      </w:r>
      <w:bookmarkEnd w:id="417"/>
    </w:p>
    <w:tbl>
      <w:tblPr>
        <w:tblStyle w:val="37"/>
        <w:tblW w:w="9423" w:type="dxa"/>
        <w:tblInd w:w="0" w:type="dxa"/>
        <w:tblLayout w:type="fixed"/>
        <w:tblCellMar>
          <w:top w:w="0" w:type="dxa"/>
          <w:left w:w="108" w:type="dxa"/>
          <w:bottom w:w="0" w:type="dxa"/>
          <w:right w:w="108" w:type="dxa"/>
        </w:tblCellMar>
      </w:tblPr>
      <w:tblGrid>
        <w:gridCol w:w="457"/>
        <w:gridCol w:w="1340"/>
        <w:gridCol w:w="6745"/>
        <w:gridCol w:w="881"/>
      </w:tblGrid>
      <w:tr>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auto"/>
                <w:sz w:val="24"/>
              </w:rPr>
            </w:pPr>
          </w:p>
        </w:tc>
        <w:tc>
          <w:tcPr>
            <w:tcW w:w="6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20分</w:t>
            </w:r>
          </w:p>
        </w:tc>
      </w:tr>
      <w:tr>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送审材料</w:t>
            </w:r>
          </w:p>
        </w:tc>
        <w:tc>
          <w:tcPr>
            <w:tcW w:w="674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auto"/>
                <w:sz w:val="20"/>
                <w:szCs w:val="20"/>
              </w:rPr>
            </w:pPr>
            <w:r>
              <w:rPr>
                <w:rFonts w:hint="eastAsia" w:ascii="仿宋" w:hAnsi="仿宋" w:eastAsia="仿宋" w:cs="仿宋"/>
                <w:color w:val="auto"/>
                <w:kern w:val="0"/>
                <w:sz w:val="20"/>
                <w:szCs w:val="20"/>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适用表式</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3</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编制方法</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4</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预算标准</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6</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计算和勾稽关系</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sz w:val="24"/>
              </w:rPr>
              <w:t>1</w:t>
            </w:r>
          </w:p>
        </w:tc>
      </w:tr>
      <w:tr>
        <w:tblPrEx>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7</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与技术方案工作量平衡</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预算编制说明</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项目投标报价及承诺、项目概况、项目设计预算编制依据、工程方案内容及工作量情况、采用的费用标准和计算方法、工程技术指标分析及需要说明的问题等方面完整4分。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主要工作业绩</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10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相关承诺</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auto"/>
                <w:sz w:val="24"/>
              </w:rPr>
            </w:pPr>
            <w:r>
              <w:rPr>
                <w:rFonts w:hint="eastAsia" w:ascii="仿宋" w:hAnsi="仿宋" w:eastAsia="仿宋" w:cs="仿宋"/>
                <w:b/>
                <w:bCs/>
                <w:color w:val="auto"/>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w:t>
            </w:r>
          </w:p>
        </w:tc>
      </w:tr>
    </w:tbl>
    <w:p>
      <w:pPr>
        <w:pStyle w:val="28"/>
        <w:rPr>
          <w:color w:val="auto"/>
        </w:rPr>
      </w:pPr>
    </w:p>
    <w:p>
      <w:pPr>
        <w:spacing w:line="440" w:lineRule="exact"/>
        <w:jc w:val="center"/>
        <w:rPr>
          <w:rFonts w:ascii="仿宋" w:hAnsi="仿宋" w:eastAsia="仿宋" w:cs="仿宋"/>
          <w:color w:val="auto"/>
          <w:sz w:val="24"/>
        </w:rPr>
      </w:pPr>
      <w:r>
        <w:rPr>
          <w:rFonts w:hint="eastAsia" w:ascii="仿宋" w:hAnsi="仿宋" w:eastAsia="仿宋" w:cs="仿宋"/>
          <w:color w:val="auto"/>
          <w:sz w:val="24"/>
        </w:rPr>
        <w:br w:type="page"/>
      </w:r>
    </w:p>
    <w:p>
      <w:pPr>
        <w:tabs>
          <w:tab w:val="right" w:pos="9213"/>
        </w:tabs>
        <w:jc w:val="center"/>
        <w:rPr>
          <w:rFonts w:ascii="仿宋" w:hAnsi="仿宋" w:eastAsia="仿宋" w:cs="仿宋"/>
          <w:b/>
          <w:color w:val="auto"/>
          <w:sz w:val="24"/>
          <w:szCs w:val="20"/>
        </w:rPr>
      </w:pPr>
      <w:bookmarkStart w:id="418" w:name="_Toc32103"/>
      <w:r>
        <w:rPr>
          <w:rFonts w:hint="eastAsia" w:ascii="仿宋" w:hAnsi="仿宋" w:eastAsia="仿宋" w:cs="仿宋"/>
          <w:b/>
          <w:color w:val="auto"/>
          <w:sz w:val="24"/>
          <w:szCs w:val="20"/>
        </w:rPr>
        <w:t>技术评分表</w:t>
      </w:r>
      <w:bookmarkEnd w:id="418"/>
    </w:p>
    <w:tbl>
      <w:tblPr>
        <w:tblStyle w:val="37"/>
        <w:tblW w:w="9420" w:type="dxa"/>
        <w:tblInd w:w="0" w:type="dxa"/>
        <w:tblLayout w:type="fixed"/>
        <w:tblCellMar>
          <w:top w:w="0" w:type="dxa"/>
          <w:left w:w="108" w:type="dxa"/>
          <w:bottom w:w="0" w:type="dxa"/>
          <w:right w:w="108" w:type="dxa"/>
        </w:tblCellMar>
      </w:tblPr>
      <w:tblGrid>
        <w:gridCol w:w="457"/>
        <w:gridCol w:w="4224"/>
        <w:gridCol w:w="3858"/>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序号</w:t>
            </w:r>
          </w:p>
        </w:tc>
        <w:tc>
          <w:tcPr>
            <w:tcW w:w="422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评分内容</w:t>
            </w:r>
          </w:p>
        </w:tc>
        <w:tc>
          <w:tcPr>
            <w:tcW w:w="38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42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auto"/>
                <w:sz w:val="24"/>
              </w:rPr>
            </w:pPr>
          </w:p>
        </w:tc>
        <w:tc>
          <w:tcPr>
            <w:tcW w:w="3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70分</w:t>
            </w:r>
          </w:p>
        </w:tc>
      </w:tr>
      <w:tr>
        <w:tblPrEx>
          <w:tblCellMar>
            <w:top w:w="0" w:type="dxa"/>
            <w:left w:w="108" w:type="dxa"/>
            <w:bottom w:w="0" w:type="dxa"/>
            <w:right w:w="108" w:type="dxa"/>
          </w:tblCellMar>
        </w:tblPrEx>
        <w:trPr>
          <w:trHeight w:val="6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1</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编制依据说明清晰,且目标任务明确。</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完全符合要求3分；基本符合要求1-2分；不符合0分。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2</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技术方案的规范性、完整性，对本项目设计目标和原则的响应程度。</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完全响应5-7分，部分响应要求1-4分，不响应0分。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7</w:t>
            </w:r>
          </w:p>
        </w:tc>
      </w:tr>
      <w:tr>
        <w:tblPrEx>
          <w:tblCellMar>
            <w:top w:w="0" w:type="dxa"/>
            <w:left w:w="108" w:type="dxa"/>
            <w:bottom w:w="0" w:type="dxa"/>
            <w:right w:w="108" w:type="dxa"/>
          </w:tblCellMar>
        </w:tblPrEx>
        <w:trPr>
          <w:trHeight w:val="20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3</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供应设备的技术条款、技术参数、技术指标、设备质保及其他指标完全满足本项目任务书要求。</w:t>
            </w:r>
          </w:p>
        </w:tc>
        <w:tc>
          <w:tcPr>
            <w:tcW w:w="3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ind w:firstLine="400" w:firstLineChars="200"/>
              <w:jc w:val="left"/>
              <w:textAlignment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①</w:t>
            </w:r>
            <w:r>
              <w:rPr>
                <w:rFonts w:hint="eastAsia" w:ascii="仿宋" w:hAnsi="仿宋" w:eastAsia="仿宋" w:cs="仿宋"/>
                <w:color w:val="auto"/>
                <w:kern w:val="0"/>
                <w:sz w:val="20"/>
                <w:szCs w:val="20"/>
              </w:rPr>
              <w:t>设备适宜监测对象3.5分</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设备基本适宜监测对象1.5-3分</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设备不适宜监测对象≤1分</w:t>
            </w:r>
            <w:r>
              <w:rPr>
                <w:rFonts w:hint="eastAsia" w:ascii="仿宋" w:hAnsi="仿宋" w:eastAsia="仿宋" w:cs="仿宋"/>
                <w:color w:val="auto"/>
                <w:kern w:val="0"/>
                <w:sz w:val="20"/>
                <w:szCs w:val="20"/>
                <w:lang w:eastAsia="zh-CN"/>
              </w:rPr>
              <w:t>。</w:t>
            </w:r>
          </w:p>
          <w:p>
            <w:pPr>
              <w:keepNext w:val="0"/>
              <w:keepLines w:val="0"/>
              <w:pageBreakBefore w:val="0"/>
              <w:widowControl/>
              <w:kinsoku/>
              <w:wordWrap/>
              <w:overflowPunct/>
              <w:topLinePunct w:val="0"/>
              <w:autoSpaceDE/>
              <w:autoSpaceDN/>
              <w:bidi w:val="0"/>
              <w:adjustRightInd/>
              <w:snapToGrid/>
              <w:ind w:firstLine="400" w:firstLineChars="200"/>
              <w:jc w:val="left"/>
              <w:textAlignment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②</w:t>
            </w:r>
            <w:r>
              <w:rPr>
                <w:rFonts w:hint="eastAsia" w:ascii="仿宋" w:hAnsi="仿宋" w:eastAsia="仿宋" w:cs="仿宋"/>
                <w:color w:val="auto"/>
                <w:kern w:val="0"/>
                <w:sz w:val="20"/>
                <w:szCs w:val="20"/>
              </w:rPr>
              <w:t>技术参数、指标和条款完全满足任务书要求10-14分</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技术参数、指标和条款基本满足任务书要求5-9分</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技术参数、指标和条款完全不满足任务书要求0-4分</w:t>
            </w:r>
            <w:r>
              <w:rPr>
                <w:rFonts w:hint="eastAsia" w:ascii="仿宋" w:hAnsi="仿宋" w:eastAsia="仿宋" w:cs="仿宋"/>
                <w:color w:val="auto"/>
                <w:kern w:val="0"/>
                <w:sz w:val="20"/>
                <w:szCs w:val="20"/>
                <w:lang w:eastAsia="zh-CN"/>
              </w:rPr>
              <w:t>。</w:t>
            </w:r>
          </w:p>
          <w:p>
            <w:pPr>
              <w:keepNext w:val="0"/>
              <w:keepLines w:val="0"/>
              <w:pageBreakBefore w:val="0"/>
              <w:widowControl/>
              <w:kinsoku/>
              <w:wordWrap/>
              <w:overflowPunct/>
              <w:topLinePunct w:val="0"/>
              <w:autoSpaceDE/>
              <w:autoSpaceDN/>
              <w:bidi w:val="0"/>
              <w:adjustRightInd/>
              <w:snapToGrid/>
              <w:ind w:firstLine="400" w:firstLineChars="200"/>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eastAsia="zh-CN"/>
              </w:rPr>
              <w:t>③</w:t>
            </w:r>
            <w:r>
              <w:rPr>
                <w:rFonts w:hint="eastAsia" w:ascii="仿宋" w:hAnsi="仿宋" w:eastAsia="仿宋" w:cs="仿宋"/>
                <w:color w:val="auto"/>
                <w:kern w:val="0"/>
                <w:sz w:val="20"/>
                <w:szCs w:val="20"/>
              </w:rPr>
              <w:t>质保及其他指标完全满足3.5分；质保及其他指标基本满足1-2分；质保及其他指标不满足0分。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21</w:t>
            </w:r>
          </w:p>
        </w:tc>
      </w:tr>
      <w:tr>
        <w:tblPrEx>
          <w:tblCellMar>
            <w:top w:w="0" w:type="dxa"/>
            <w:left w:w="108" w:type="dxa"/>
            <w:bottom w:w="0" w:type="dxa"/>
            <w:right w:w="108" w:type="dxa"/>
          </w:tblCellMar>
        </w:tblPrEx>
        <w:trPr>
          <w:trHeight w:val="60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4</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基础施工、设备安装及设备管理完全满足本项目任务书要求。</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完全满足6-8分，部分满足1-5分，不满足0分。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8</w:t>
            </w:r>
          </w:p>
        </w:tc>
      </w:tr>
      <w:tr>
        <w:tblPrEx>
          <w:tblCellMar>
            <w:top w:w="0" w:type="dxa"/>
            <w:left w:w="108" w:type="dxa"/>
            <w:bottom w:w="0" w:type="dxa"/>
            <w:right w:w="108" w:type="dxa"/>
          </w:tblCellMar>
        </w:tblPrEx>
        <w:trPr>
          <w:trHeight w:val="100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5</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设备安装完成后，是否对安装的所有监测仪器支架、防护网等进行接地电阻测试，达到防雷设计规范。并及时清理安装现场残余垃圾，保护环境。</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完全符合设计规范4分，部分符合1-3分，不符合0分。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10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6</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绩效目标明确合理。</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绩效目标与任务书完全一致，量化指标不低于75%，5-7分；绩效目标与任务书基本一致，量化指标低于75%，2-4分；绩效目标与任务书不一致，0分。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7</w:t>
            </w:r>
          </w:p>
        </w:tc>
      </w:tr>
      <w:tr>
        <w:tblPrEx>
          <w:tblCellMar>
            <w:top w:w="0" w:type="dxa"/>
            <w:left w:w="108" w:type="dxa"/>
            <w:bottom w:w="0" w:type="dxa"/>
            <w:right w:w="108" w:type="dxa"/>
          </w:tblCellMar>
        </w:tblPrEx>
        <w:trPr>
          <w:trHeight w:val="10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7</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预期成果应对提交的监测设备安装、调试记录表；各种野外工作照片；其他原始资料，包括设备清单、设备合格证、交接记录等予以明确。</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预期成果与招标任务书要求完全一致4分，基本一致1-3分，完全不一致0分。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10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8</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lang w:val="zh-CN"/>
              </w:rPr>
              <w:t>组织管理机构、主要技术人员配备。</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管理机构健全明确、项目人员专业组成全面、分工合理4分，基本健全明确、基本全面、合理1-3分，无内容0分。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716"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9</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主要设备配置应齐备。</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符合项目技术要求、齐备4分，基本符合1-3分，不符合0分。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7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10</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工程实施计划、培训计划、售后服务计划的合理性和售后服务要求的响应程度。</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完全响应4分，部分响应1-3分，不响应0分。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11</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质量、进度、安全的保障体系应健全，主要措施应明确。</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健全明确4分，基本健全明确1-3分，无内容0分。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478" w:hRule="atLeast"/>
        </w:trPr>
        <w:tc>
          <w:tcPr>
            <w:tcW w:w="853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b/>
                <w:bCs/>
                <w:color w:val="auto"/>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70</w:t>
            </w:r>
          </w:p>
        </w:tc>
      </w:tr>
    </w:tbl>
    <w:p>
      <w:pPr>
        <w:tabs>
          <w:tab w:val="right" w:pos="9213"/>
        </w:tabs>
        <w:jc w:val="left"/>
        <w:rPr>
          <w:color w:val="auto"/>
        </w:rPr>
      </w:pPr>
      <w:r>
        <w:rPr>
          <w:rFonts w:hint="eastAsia"/>
          <w:color w:val="auto"/>
        </w:rPr>
        <w:tab/>
      </w:r>
    </w:p>
    <w:p>
      <w:pPr>
        <w:tabs>
          <w:tab w:val="right" w:pos="9213"/>
        </w:tabs>
        <w:rPr>
          <w:color w:val="auto"/>
        </w:rPr>
      </w:pPr>
    </w:p>
    <w:p>
      <w:pPr>
        <w:tabs>
          <w:tab w:val="right" w:pos="9213"/>
        </w:tabs>
        <w:jc w:val="center"/>
        <w:rPr>
          <w:rFonts w:ascii="仿宋" w:hAnsi="仿宋" w:eastAsia="仿宋" w:cs="仿宋"/>
          <w:b/>
          <w:color w:val="auto"/>
          <w:sz w:val="24"/>
          <w:szCs w:val="20"/>
        </w:rPr>
      </w:pPr>
      <w:bookmarkStart w:id="419" w:name="_Toc14508"/>
    </w:p>
    <w:p>
      <w:pPr>
        <w:tabs>
          <w:tab w:val="right" w:pos="9213"/>
        </w:tabs>
        <w:jc w:val="center"/>
        <w:rPr>
          <w:rFonts w:ascii="仿宋" w:hAnsi="仿宋" w:eastAsia="仿宋" w:cs="仿宋"/>
          <w:b/>
          <w:color w:val="auto"/>
          <w:sz w:val="24"/>
          <w:szCs w:val="20"/>
        </w:rPr>
      </w:pPr>
    </w:p>
    <w:p>
      <w:pPr>
        <w:tabs>
          <w:tab w:val="right" w:pos="9213"/>
        </w:tabs>
        <w:jc w:val="center"/>
        <w:rPr>
          <w:rFonts w:ascii="仿宋" w:hAnsi="仿宋" w:eastAsia="仿宋" w:cs="仿宋"/>
          <w:b/>
          <w:color w:val="auto"/>
          <w:sz w:val="24"/>
          <w:szCs w:val="20"/>
        </w:rPr>
      </w:pPr>
    </w:p>
    <w:p>
      <w:pPr>
        <w:pStyle w:val="27"/>
        <w:rPr>
          <w:rFonts w:ascii="仿宋" w:hAnsi="仿宋" w:eastAsia="仿宋" w:cs="仿宋"/>
          <w:b/>
          <w:color w:val="auto"/>
        </w:rPr>
      </w:pPr>
    </w:p>
    <w:p>
      <w:pPr>
        <w:pStyle w:val="27"/>
        <w:rPr>
          <w:rFonts w:ascii="仿宋" w:hAnsi="仿宋" w:eastAsia="仿宋" w:cs="仿宋"/>
          <w:b/>
          <w:color w:val="auto"/>
        </w:rPr>
      </w:pPr>
    </w:p>
    <w:p>
      <w:pPr>
        <w:pStyle w:val="27"/>
        <w:rPr>
          <w:rFonts w:ascii="仿宋" w:hAnsi="仿宋" w:eastAsia="仿宋" w:cs="仿宋"/>
          <w:b/>
          <w:color w:val="auto"/>
        </w:rPr>
      </w:pPr>
    </w:p>
    <w:p>
      <w:pPr>
        <w:tabs>
          <w:tab w:val="right" w:pos="9213"/>
        </w:tabs>
        <w:jc w:val="center"/>
        <w:rPr>
          <w:rFonts w:ascii="仿宋" w:hAnsi="仿宋" w:eastAsia="仿宋" w:cs="仿宋"/>
          <w:b/>
          <w:color w:val="auto"/>
          <w:sz w:val="24"/>
          <w:szCs w:val="20"/>
        </w:rPr>
      </w:pPr>
      <w:r>
        <w:rPr>
          <w:rFonts w:hint="eastAsia" w:ascii="仿宋" w:hAnsi="仿宋" w:eastAsia="仿宋" w:cs="仿宋"/>
          <w:b/>
          <w:color w:val="auto"/>
          <w:sz w:val="24"/>
          <w:szCs w:val="20"/>
        </w:rPr>
        <w:t>报价评分表</w:t>
      </w:r>
      <w:bookmarkEnd w:id="419"/>
    </w:p>
    <w:p>
      <w:pPr>
        <w:pStyle w:val="27"/>
        <w:rPr>
          <w:color w:val="auto"/>
        </w:rPr>
      </w:pPr>
    </w:p>
    <w:tbl>
      <w:tblPr>
        <w:tblStyle w:val="3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color w:val="auto"/>
              </w:rPr>
            </w:pPr>
            <w:r>
              <w:rPr>
                <w:rFonts w:hint="eastAsia" w:ascii="仿宋" w:hAnsi="仿宋" w:eastAsia="仿宋" w:cs="仿宋"/>
                <w:color w:val="auto"/>
              </w:rPr>
              <w:t>报价评审</w:t>
            </w:r>
          </w:p>
        </w:tc>
        <w:tc>
          <w:tcPr>
            <w:tcW w:w="681" w:type="dxa"/>
            <w:vAlign w:val="center"/>
          </w:tcPr>
          <w:p>
            <w:pPr>
              <w:jc w:val="center"/>
              <w:rPr>
                <w:rFonts w:ascii="仿宋" w:hAnsi="仿宋" w:eastAsia="仿宋" w:cs="仿宋"/>
                <w:color w:val="auto"/>
              </w:rPr>
            </w:pPr>
            <w:r>
              <w:rPr>
                <w:rFonts w:hint="eastAsia" w:ascii="仿宋" w:hAnsi="仿宋" w:eastAsia="仿宋" w:cs="仿宋"/>
                <w:color w:val="auto"/>
              </w:rPr>
              <w:t>10</w:t>
            </w:r>
          </w:p>
        </w:tc>
        <w:tc>
          <w:tcPr>
            <w:tcW w:w="6698" w:type="dxa"/>
            <w:vAlign w:val="center"/>
          </w:tcPr>
          <w:p>
            <w:pPr>
              <w:spacing w:line="440" w:lineRule="exact"/>
              <w:rPr>
                <w:rFonts w:ascii="仿宋" w:hAnsi="仿宋" w:eastAsia="仿宋" w:cs="仿宋"/>
                <w:color w:val="auto"/>
              </w:rPr>
            </w:pPr>
            <w:r>
              <w:rPr>
                <w:rFonts w:hint="eastAsia" w:ascii="仿宋" w:hAnsi="仿宋" w:eastAsia="仿宋" w:cs="仿宋"/>
                <w:color w:val="auto"/>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注：若报价单位为中小企业，其投标报价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color w:val="auto"/>
              </w:rPr>
            </w:pPr>
            <w:r>
              <w:rPr>
                <w:rFonts w:hint="eastAsia" w:ascii="仿宋" w:hAnsi="仿宋" w:eastAsia="仿宋" w:cs="仿宋"/>
                <w:color w:val="auto"/>
              </w:rPr>
              <w:t>报价分合计</w:t>
            </w:r>
          </w:p>
        </w:tc>
        <w:tc>
          <w:tcPr>
            <w:tcW w:w="6698" w:type="dxa"/>
            <w:vAlign w:val="center"/>
          </w:tcPr>
          <w:p>
            <w:pPr>
              <w:jc w:val="center"/>
              <w:rPr>
                <w:rFonts w:ascii="仿宋" w:hAnsi="仿宋" w:eastAsia="仿宋" w:cs="仿宋"/>
                <w:color w:val="auto"/>
              </w:rPr>
            </w:pPr>
            <w:r>
              <w:rPr>
                <w:rFonts w:hint="eastAsia" w:ascii="仿宋" w:hAnsi="仿宋" w:eastAsia="仿宋" w:cs="仿宋"/>
                <w:color w:val="auto"/>
              </w:rPr>
              <w:t>10</w:t>
            </w:r>
          </w:p>
        </w:tc>
      </w:tr>
    </w:tbl>
    <w:p>
      <w:pPr>
        <w:spacing w:line="240" w:lineRule="atLeast"/>
        <w:jc w:val="left"/>
        <w:rPr>
          <w:rFonts w:ascii="楷体" w:hAnsi="楷体" w:eastAsia="楷体" w:cs="楷体"/>
          <w:b/>
          <w:color w:val="auto"/>
          <w:sz w:val="24"/>
        </w:rPr>
      </w:pPr>
    </w:p>
    <w:p>
      <w:pPr>
        <w:tabs>
          <w:tab w:val="right" w:pos="9213"/>
        </w:tabs>
        <w:jc w:val="center"/>
        <w:rPr>
          <w:rFonts w:ascii="楷体" w:hAnsi="楷体" w:eastAsia="楷体" w:cs="楷体"/>
          <w:b/>
          <w:color w:val="auto"/>
          <w:sz w:val="24"/>
        </w:rPr>
      </w:pPr>
      <w:r>
        <w:rPr>
          <w:rFonts w:hint="eastAsia" w:ascii="楷体" w:hAnsi="楷体" w:eastAsia="楷体" w:cs="楷体"/>
          <w:b/>
          <w:color w:val="auto"/>
          <w:sz w:val="24"/>
        </w:rPr>
        <w:br w:type="page"/>
      </w:r>
    </w:p>
    <w:p>
      <w:pPr>
        <w:spacing w:line="240" w:lineRule="atLeast"/>
        <w:jc w:val="left"/>
        <w:outlineLvl w:val="1"/>
        <w:rPr>
          <w:rFonts w:ascii="楷体" w:hAnsi="楷体" w:eastAsia="楷体" w:cs="楷体"/>
          <w:b/>
          <w:color w:val="auto"/>
          <w:sz w:val="24"/>
        </w:rPr>
      </w:pPr>
      <w:bookmarkStart w:id="420" w:name="_Toc22517"/>
      <w:bookmarkStart w:id="421" w:name="_Toc6526"/>
      <w:r>
        <w:rPr>
          <w:rFonts w:hint="eastAsia" w:ascii="楷体" w:hAnsi="楷体" w:eastAsia="楷体" w:cs="楷体"/>
          <w:b/>
          <w:color w:val="auto"/>
          <w:sz w:val="24"/>
        </w:rPr>
        <w:t>标项</w:t>
      </w:r>
      <w:r>
        <w:rPr>
          <w:rFonts w:hint="eastAsia" w:ascii="楷体" w:hAnsi="楷体" w:eastAsia="楷体" w:cs="楷体"/>
          <w:b/>
          <w:color w:val="auto"/>
          <w:sz w:val="24"/>
          <w:lang w:val="en-US" w:eastAsia="zh-CN"/>
        </w:rPr>
        <w:t>六</w:t>
      </w:r>
      <w:r>
        <w:rPr>
          <w:rFonts w:hint="eastAsia" w:ascii="楷体" w:hAnsi="楷体" w:eastAsia="楷体" w:cs="楷体"/>
          <w:b/>
          <w:color w:val="auto"/>
          <w:sz w:val="24"/>
        </w:rPr>
        <w:t>评分标准</w:t>
      </w:r>
      <w:bookmarkEnd w:id="420"/>
      <w:bookmarkEnd w:id="421"/>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仿宋" w:hAnsi="仿宋" w:eastAsia="仿宋" w:cs="仿宋"/>
          <w:b/>
          <w:color w:val="auto"/>
          <w:sz w:val="24"/>
          <w:szCs w:val="20"/>
        </w:rPr>
      </w:pPr>
      <w:r>
        <w:rPr>
          <w:rFonts w:hint="eastAsia" w:ascii="仿宋" w:hAnsi="仿宋" w:eastAsia="仿宋" w:cs="仿宋"/>
          <w:b/>
          <w:color w:val="auto"/>
          <w:sz w:val="24"/>
          <w:szCs w:val="20"/>
        </w:rPr>
        <w:t>商务评分表</w:t>
      </w:r>
    </w:p>
    <w:tbl>
      <w:tblPr>
        <w:tblStyle w:val="37"/>
        <w:tblpPr w:leftFromText="180" w:rightFromText="180" w:vertAnchor="text" w:horzAnchor="page" w:tblpXSpec="center" w:tblpY="191"/>
        <w:tblOverlap w:val="never"/>
        <w:tblW w:w="8498" w:type="dxa"/>
        <w:jc w:val="center"/>
        <w:tblLayout w:type="fixed"/>
        <w:tblCellMar>
          <w:top w:w="0" w:type="dxa"/>
          <w:left w:w="0" w:type="dxa"/>
          <w:bottom w:w="0" w:type="dxa"/>
          <w:right w:w="0" w:type="dxa"/>
        </w:tblCellMar>
      </w:tblPr>
      <w:tblGrid>
        <w:gridCol w:w="639"/>
        <w:gridCol w:w="3876"/>
        <w:gridCol w:w="3202"/>
        <w:gridCol w:w="781"/>
      </w:tblGrid>
      <w:tr>
        <w:tblPrEx>
          <w:tblCellMar>
            <w:top w:w="0" w:type="dxa"/>
            <w:left w:w="0" w:type="dxa"/>
            <w:bottom w:w="0" w:type="dxa"/>
            <w:right w:w="0" w:type="dxa"/>
          </w:tblCellMar>
        </w:tblPrEx>
        <w:trPr>
          <w:trHeight w:val="360" w:hRule="atLeast"/>
          <w:jc w:val="center"/>
        </w:trPr>
        <w:tc>
          <w:tcPr>
            <w:tcW w:w="63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序号</w:t>
            </w:r>
          </w:p>
        </w:tc>
        <w:tc>
          <w:tcPr>
            <w:tcW w:w="38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评分内容</w:t>
            </w:r>
          </w:p>
        </w:tc>
        <w:tc>
          <w:tcPr>
            <w:tcW w:w="320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评分标准</w:t>
            </w:r>
          </w:p>
        </w:tc>
        <w:tc>
          <w:tcPr>
            <w:tcW w:w="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满分</w:t>
            </w:r>
          </w:p>
        </w:tc>
      </w:tr>
      <w:tr>
        <w:tblPrEx>
          <w:tblCellMar>
            <w:top w:w="0" w:type="dxa"/>
            <w:left w:w="0" w:type="dxa"/>
            <w:bottom w:w="0" w:type="dxa"/>
            <w:right w:w="0" w:type="dxa"/>
          </w:tblCellMar>
        </w:tblPrEx>
        <w:trPr>
          <w:trHeight w:val="36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38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320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10分</w:t>
            </w:r>
          </w:p>
        </w:tc>
      </w:tr>
      <w:tr>
        <w:tblPrEx>
          <w:tblCellMar>
            <w:top w:w="0" w:type="dxa"/>
            <w:left w:w="0" w:type="dxa"/>
            <w:bottom w:w="0" w:type="dxa"/>
            <w:right w:w="0" w:type="dxa"/>
          </w:tblCellMar>
        </w:tblPrEx>
        <w:trPr>
          <w:trHeight w:val="95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1</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abs>
                <w:tab w:val="left" w:pos="1381"/>
              </w:tabs>
              <w:jc w:val="left"/>
              <w:textAlignment w:val="center"/>
              <w:rPr>
                <w:rFonts w:ascii="仿宋" w:hAnsi="仿宋" w:eastAsia="仿宋" w:cs="仿宋"/>
                <w:color w:val="auto"/>
                <w:sz w:val="22"/>
                <w:szCs w:val="22"/>
              </w:rPr>
            </w:pPr>
            <w:r>
              <w:rPr>
                <w:rFonts w:hint="eastAsia" w:ascii="仿宋" w:hAnsi="仿宋" w:eastAsia="仿宋" w:cs="仿宋"/>
                <w:color w:val="auto"/>
                <w:sz w:val="22"/>
                <w:szCs w:val="22"/>
              </w:rPr>
              <w:t>对招标文件及合同条款的确认。</w:t>
            </w:r>
          </w:p>
        </w:tc>
        <w:tc>
          <w:tcPr>
            <w:tcW w:w="32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仿宋" w:hAnsi="仿宋" w:eastAsia="仿宋" w:cs="仿宋"/>
                <w:color w:val="auto"/>
                <w:sz w:val="22"/>
                <w:szCs w:val="22"/>
              </w:rPr>
            </w:pPr>
            <w:r>
              <w:rPr>
                <w:rFonts w:hint="eastAsia" w:ascii="仿宋" w:hAnsi="仿宋" w:eastAsia="仿宋" w:cs="仿宋"/>
                <w:color w:val="auto"/>
                <w:sz w:val="22"/>
                <w:szCs w:val="22"/>
              </w:rPr>
              <w:t>具有明确的确认说明1分，无说明不得分。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w:t>
            </w:r>
          </w:p>
        </w:tc>
      </w:tr>
      <w:tr>
        <w:tblPrEx>
          <w:tblCellMar>
            <w:top w:w="0" w:type="dxa"/>
            <w:left w:w="0" w:type="dxa"/>
            <w:bottom w:w="0" w:type="dxa"/>
            <w:right w:w="0" w:type="dxa"/>
          </w:tblCellMar>
        </w:tblPrEx>
        <w:trPr>
          <w:trHeight w:val="95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2</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投入项目人员数量满足要求，工种齐全，人员专业结构配备合理。</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人员数量情况1-1.5分；工种搭配情况0.5-0.9分；专业结构情况≤0.4分。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1.5</w:t>
            </w:r>
          </w:p>
        </w:tc>
      </w:tr>
      <w:tr>
        <w:tblPrEx>
          <w:tblCellMar>
            <w:top w:w="0" w:type="dxa"/>
            <w:left w:w="0" w:type="dxa"/>
            <w:bottom w:w="0" w:type="dxa"/>
            <w:right w:w="0" w:type="dxa"/>
          </w:tblCellMar>
        </w:tblPrEx>
        <w:trPr>
          <w:trHeight w:val="114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3</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仪器、设备配置。</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设备齐全且满足需求1分；设备较齐全0.5分；其他情况≤0.4分。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w:t>
            </w:r>
          </w:p>
        </w:tc>
      </w:tr>
      <w:tr>
        <w:tblPrEx>
          <w:tblCellMar>
            <w:top w:w="0" w:type="dxa"/>
            <w:left w:w="0" w:type="dxa"/>
            <w:bottom w:w="0" w:type="dxa"/>
            <w:right w:w="0" w:type="dxa"/>
          </w:tblCellMar>
        </w:tblPrEx>
        <w:trPr>
          <w:trHeight w:val="645"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4</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sz w:val="22"/>
                <w:szCs w:val="22"/>
              </w:rPr>
              <w:t>近三年资产状况。</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sz w:val="22"/>
                <w:szCs w:val="22"/>
              </w:rPr>
              <w:t>资产状况良级及以上1分，良级以下不得分。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w:t>
            </w:r>
          </w:p>
        </w:tc>
      </w:tr>
      <w:tr>
        <w:tblPrEx>
          <w:tblCellMar>
            <w:top w:w="0" w:type="dxa"/>
            <w:left w:w="0" w:type="dxa"/>
            <w:bottom w:w="0" w:type="dxa"/>
            <w:right w:w="0" w:type="dxa"/>
          </w:tblCellMar>
        </w:tblPrEx>
        <w:trPr>
          <w:trHeight w:val="142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5</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组织管理、质量、进度、安全的保障体系及主要措施。</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保障体系齐全、措施有效1.5分；保障体系基本齐全、措施基本有效0.5-0.9分；保障体系不健全≤0.4分。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1.5</w:t>
            </w:r>
          </w:p>
        </w:tc>
      </w:tr>
      <w:tr>
        <w:tblPrEx>
          <w:tblCellMar>
            <w:top w:w="0" w:type="dxa"/>
            <w:left w:w="0" w:type="dxa"/>
            <w:bottom w:w="0" w:type="dxa"/>
            <w:right w:w="0" w:type="dxa"/>
          </w:tblCellMar>
        </w:tblPrEx>
        <w:trPr>
          <w:trHeight w:val="779"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6</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组织管理机构应健全，应建立领导小组。</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健全明确1分，基本健全明确0.5-0.9分，无内容≤0.4分。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w:t>
            </w:r>
          </w:p>
        </w:tc>
      </w:tr>
      <w:tr>
        <w:tblPrEx>
          <w:tblCellMar>
            <w:top w:w="0" w:type="dxa"/>
            <w:left w:w="0" w:type="dxa"/>
            <w:bottom w:w="0" w:type="dxa"/>
            <w:right w:w="0" w:type="dxa"/>
          </w:tblCellMar>
        </w:tblPrEx>
        <w:trPr>
          <w:trHeight w:val="779"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 w:val="22"/>
                <w:szCs w:val="22"/>
              </w:rPr>
            </w:pPr>
            <w:r>
              <w:rPr>
                <w:rFonts w:hint="eastAsia" w:ascii="仿宋" w:hAnsi="仿宋" w:eastAsia="仿宋" w:cs="仿宋"/>
                <w:b/>
                <w:color w:val="auto"/>
                <w:kern w:val="0"/>
                <w:sz w:val="22"/>
                <w:szCs w:val="22"/>
              </w:rPr>
              <w:t>7</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拟派出的总监、总监代表人的职称。</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总监、总监代表人具有全国地质灾害治理工程培训证书1分，没有不得分。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Cs w:val="21"/>
              </w:rPr>
            </w:pPr>
            <w:r>
              <w:rPr>
                <w:rFonts w:hint="eastAsia" w:ascii="仿宋" w:hAnsi="仿宋" w:eastAsia="仿宋" w:cs="仿宋"/>
                <w:b/>
                <w:color w:val="auto"/>
                <w:kern w:val="0"/>
                <w:szCs w:val="21"/>
              </w:rPr>
              <w:t>1</w:t>
            </w:r>
          </w:p>
        </w:tc>
      </w:tr>
      <w:tr>
        <w:tblPrEx>
          <w:tblCellMar>
            <w:top w:w="0" w:type="dxa"/>
            <w:left w:w="0" w:type="dxa"/>
            <w:bottom w:w="0" w:type="dxa"/>
            <w:right w:w="0" w:type="dxa"/>
          </w:tblCellMar>
        </w:tblPrEx>
        <w:trPr>
          <w:trHeight w:val="863"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 w:val="22"/>
                <w:szCs w:val="22"/>
              </w:rPr>
            </w:pPr>
            <w:r>
              <w:rPr>
                <w:rFonts w:hint="eastAsia" w:ascii="仿宋" w:hAnsi="仿宋" w:eastAsia="仿宋" w:cs="仿宋"/>
                <w:b/>
                <w:color w:val="auto"/>
                <w:kern w:val="0"/>
                <w:sz w:val="22"/>
                <w:szCs w:val="22"/>
              </w:rPr>
              <w:t>8</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主要业绩。</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每提供近三年一项类似业绩并提供证明材料得0.5分，未提供证明材料不得分，本项最高得1.5分。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Cs w:val="21"/>
              </w:rPr>
            </w:pPr>
            <w:r>
              <w:rPr>
                <w:rFonts w:hint="eastAsia" w:ascii="仿宋" w:hAnsi="仿宋" w:eastAsia="仿宋" w:cs="仿宋"/>
                <w:b/>
                <w:color w:val="auto"/>
                <w:kern w:val="0"/>
                <w:szCs w:val="21"/>
              </w:rPr>
              <w:t>1.5</w:t>
            </w:r>
          </w:p>
        </w:tc>
      </w:tr>
      <w:tr>
        <w:tblPrEx>
          <w:tblCellMar>
            <w:top w:w="0" w:type="dxa"/>
            <w:left w:w="0" w:type="dxa"/>
            <w:bottom w:w="0" w:type="dxa"/>
            <w:right w:w="0" w:type="dxa"/>
          </w:tblCellMar>
        </w:tblPrEx>
        <w:trPr>
          <w:trHeight w:val="779"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 w:val="22"/>
                <w:szCs w:val="22"/>
              </w:rPr>
            </w:pPr>
            <w:r>
              <w:rPr>
                <w:rFonts w:hint="eastAsia" w:ascii="仿宋" w:hAnsi="仿宋" w:eastAsia="仿宋" w:cs="仿宋"/>
                <w:b/>
                <w:color w:val="auto"/>
                <w:kern w:val="0"/>
                <w:sz w:val="22"/>
                <w:szCs w:val="22"/>
              </w:rPr>
              <w:t>9</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相关承诺。</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承诺全面0.5分，基本全面0.3分，无承诺不得分。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Cs w:val="21"/>
              </w:rPr>
            </w:pPr>
            <w:r>
              <w:rPr>
                <w:rFonts w:hint="eastAsia" w:ascii="仿宋" w:hAnsi="仿宋" w:eastAsia="仿宋" w:cs="仿宋"/>
                <w:b/>
                <w:color w:val="auto"/>
                <w:kern w:val="0"/>
                <w:szCs w:val="21"/>
              </w:rPr>
              <w:t>0.5</w:t>
            </w:r>
          </w:p>
        </w:tc>
      </w:tr>
      <w:tr>
        <w:tblPrEx>
          <w:tblCellMar>
            <w:top w:w="0" w:type="dxa"/>
            <w:left w:w="0" w:type="dxa"/>
            <w:bottom w:w="0" w:type="dxa"/>
            <w:right w:w="0" w:type="dxa"/>
          </w:tblCellMar>
        </w:tblPrEx>
        <w:trPr>
          <w:trHeight w:val="466" w:hRule="atLeast"/>
          <w:jc w:val="center"/>
        </w:trPr>
        <w:tc>
          <w:tcPr>
            <w:tcW w:w="7717"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总得分V</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10</w:t>
            </w:r>
          </w:p>
        </w:tc>
      </w:tr>
    </w:tbl>
    <w:p>
      <w:pPr>
        <w:pStyle w:val="28"/>
        <w:rPr>
          <w:color w:val="auto"/>
        </w:rPr>
      </w:pPr>
    </w:p>
    <w:p>
      <w:pPr>
        <w:tabs>
          <w:tab w:val="right" w:pos="9213"/>
        </w:tabs>
        <w:jc w:val="center"/>
        <w:rPr>
          <w:rFonts w:ascii="仿宋" w:hAnsi="仿宋" w:eastAsia="仿宋" w:cs="仿宋"/>
          <w:b/>
          <w:color w:val="auto"/>
          <w:sz w:val="24"/>
          <w:szCs w:val="20"/>
        </w:rPr>
      </w:pPr>
      <w:r>
        <w:rPr>
          <w:rFonts w:hint="eastAsia" w:ascii="仿宋" w:hAnsi="仿宋" w:eastAsia="仿宋" w:cs="仿宋"/>
          <w:color w:val="auto"/>
          <w:sz w:val="24"/>
        </w:rPr>
        <w:br w:type="page"/>
      </w:r>
    </w:p>
    <w:p>
      <w:pPr>
        <w:tabs>
          <w:tab w:val="right" w:pos="9213"/>
        </w:tabs>
        <w:jc w:val="center"/>
        <w:rPr>
          <w:rFonts w:ascii="仿宋" w:hAnsi="仿宋" w:eastAsia="仿宋" w:cs="仿宋"/>
          <w:b/>
          <w:color w:val="auto"/>
          <w:sz w:val="24"/>
          <w:szCs w:val="20"/>
        </w:rPr>
      </w:pPr>
      <w:r>
        <w:rPr>
          <w:rFonts w:hint="eastAsia" w:ascii="仿宋" w:hAnsi="仿宋" w:eastAsia="仿宋" w:cs="仿宋"/>
          <w:b/>
          <w:color w:val="auto"/>
          <w:sz w:val="24"/>
          <w:szCs w:val="20"/>
        </w:rPr>
        <w:t>技术评分表</w:t>
      </w:r>
    </w:p>
    <w:tbl>
      <w:tblPr>
        <w:tblStyle w:val="37"/>
        <w:tblW w:w="8278" w:type="dxa"/>
        <w:tblInd w:w="0" w:type="dxa"/>
        <w:tblLayout w:type="fixed"/>
        <w:tblCellMar>
          <w:top w:w="0" w:type="dxa"/>
          <w:left w:w="0" w:type="dxa"/>
          <w:bottom w:w="0" w:type="dxa"/>
          <w:right w:w="0" w:type="dxa"/>
        </w:tblCellMar>
      </w:tblPr>
      <w:tblGrid>
        <w:gridCol w:w="622"/>
        <w:gridCol w:w="3776"/>
        <w:gridCol w:w="3119"/>
        <w:gridCol w:w="761"/>
      </w:tblGrid>
      <w:tr>
        <w:trPr>
          <w:trHeight w:val="408" w:hRule="atLeast"/>
        </w:trPr>
        <w:tc>
          <w:tcPr>
            <w:tcW w:w="62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序号</w:t>
            </w:r>
          </w:p>
        </w:tc>
        <w:tc>
          <w:tcPr>
            <w:tcW w:w="37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评分内容</w:t>
            </w:r>
          </w:p>
        </w:tc>
        <w:tc>
          <w:tcPr>
            <w:tcW w:w="31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评分标准</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满分</w:t>
            </w:r>
          </w:p>
        </w:tc>
      </w:tr>
      <w:tr>
        <w:tblPrEx>
          <w:tblCellMar>
            <w:top w:w="0" w:type="dxa"/>
            <w:left w:w="0" w:type="dxa"/>
            <w:bottom w:w="0" w:type="dxa"/>
            <w:right w:w="0" w:type="dxa"/>
          </w:tblCellMar>
        </w:tblPrEx>
        <w:trPr>
          <w:trHeight w:val="408" w:hRule="atLeast"/>
        </w:trPr>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37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31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80分</w:t>
            </w:r>
          </w:p>
        </w:tc>
      </w:tr>
      <w:tr>
        <w:tblPrEx>
          <w:tblCellMar>
            <w:top w:w="0" w:type="dxa"/>
            <w:left w:w="0" w:type="dxa"/>
            <w:bottom w:w="0" w:type="dxa"/>
            <w:right w:w="0" w:type="dxa"/>
          </w:tblCellMar>
        </w:tblPrEx>
        <w:trPr>
          <w:trHeight w:val="1084"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1</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标书与招标文件的响应性或完整性。</w:t>
            </w:r>
          </w:p>
        </w:tc>
        <w:tc>
          <w:tcPr>
            <w:tcW w:w="31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完全响应和完整8分；部分响应或部分完整4-7分；未响应部分分额较大且不完整≤3分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8</w:t>
            </w:r>
          </w:p>
        </w:tc>
      </w:tr>
      <w:tr>
        <w:tblPrEx>
          <w:tblCellMar>
            <w:top w:w="0" w:type="dxa"/>
            <w:left w:w="0" w:type="dxa"/>
            <w:bottom w:w="0" w:type="dxa"/>
            <w:right w:w="0" w:type="dxa"/>
          </w:tblCellMar>
        </w:tblPrEx>
        <w:trPr>
          <w:trHeight w:val="1084"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2</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监理工作范围、内容、目标及依据，监理机构和组织形式健全。</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合理20-24分；较合理14-19分；其他情况≤13分（一项不合理扣2分）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24</w:t>
            </w:r>
          </w:p>
        </w:tc>
      </w:tr>
      <w:tr>
        <w:tblPrEx>
          <w:tblCellMar>
            <w:top w:w="0" w:type="dxa"/>
            <w:left w:w="0" w:type="dxa"/>
            <w:bottom w:w="0" w:type="dxa"/>
            <w:right w:w="0" w:type="dxa"/>
          </w:tblCellMar>
        </w:tblPrEx>
        <w:trPr>
          <w:trHeight w:val="1299"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3</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监理工作程序的合理性，技术要求的可行性。技术要求应符合相关地质灾害工程监理规范</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合理16-20分；较合理10-15分；其他情况≤</w:t>
            </w:r>
            <w:r>
              <w:rPr>
                <w:rFonts w:hint="eastAsia" w:ascii="仿宋" w:hAnsi="仿宋" w:eastAsia="仿宋" w:cs="仿宋"/>
                <w:color w:val="auto"/>
                <w:kern w:val="0"/>
                <w:sz w:val="22"/>
                <w:szCs w:val="22"/>
                <w:lang w:val="en-US" w:eastAsia="zh-CN"/>
              </w:rPr>
              <w:t>9</w:t>
            </w:r>
            <w:r>
              <w:rPr>
                <w:rFonts w:hint="eastAsia" w:ascii="仿宋" w:hAnsi="仿宋" w:eastAsia="仿宋" w:cs="仿宋"/>
                <w:color w:val="auto"/>
                <w:kern w:val="0"/>
                <w:sz w:val="22"/>
                <w:szCs w:val="22"/>
              </w:rPr>
              <w:t>分（一项不合理扣2分）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20</w:t>
            </w:r>
          </w:p>
        </w:tc>
      </w:tr>
      <w:tr>
        <w:tblPrEx>
          <w:tblCellMar>
            <w:top w:w="0" w:type="dxa"/>
            <w:left w:w="0" w:type="dxa"/>
            <w:bottom w:w="0" w:type="dxa"/>
            <w:right w:w="0" w:type="dxa"/>
          </w:tblCellMar>
        </w:tblPrEx>
        <w:trPr>
          <w:trHeight w:val="731"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4</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监理工作方法、措施和制度，工程质量控制方法及措施全面合理。</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全面16分；较全面8-15分；其他情况≤7分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16</w:t>
            </w:r>
          </w:p>
        </w:tc>
      </w:tr>
      <w:tr>
        <w:tblPrEx>
          <w:tblCellMar>
            <w:top w:w="0" w:type="dxa"/>
            <w:left w:w="0" w:type="dxa"/>
            <w:bottom w:w="0" w:type="dxa"/>
            <w:right w:w="0" w:type="dxa"/>
          </w:tblCellMar>
        </w:tblPrEx>
        <w:trPr>
          <w:trHeight w:val="1617"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5</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预期成果应包括：监理规划、项目监理实施细则；监理工作总结、质量评估报告；监理工作照片集、监理日志、月报、通知单及相关记录，其他原始资料等</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齐全有效8分；基本齐全有效4-7分；其他情况≤3分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8</w:t>
            </w:r>
          </w:p>
        </w:tc>
      </w:tr>
      <w:tr>
        <w:tblPrEx>
          <w:tblCellMar>
            <w:top w:w="0" w:type="dxa"/>
            <w:left w:w="0" w:type="dxa"/>
            <w:bottom w:w="0" w:type="dxa"/>
            <w:right w:w="0" w:type="dxa"/>
          </w:tblCellMar>
        </w:tblPrEx>
        <w:trPr>
          <w:trHeight w:val="883"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6</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项目负责人及主要技术人员的配备应全面，人员结构应合理。</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人员配置合理4分，较合理≤3分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4</w:t>
            </w:r>
          </w:p>
        </w:tc>
      </w:tr>
      <w:tr>
        <w:tblPrEx>
          <w:tblCellMar>
            <w:top w:w="0" w:type="dxa"/>
            <w:left w:w="0" w:type="dxa"/>
            <w:bottom w:w="0" w:type="dxa"/>
            <w:right w:w="0" w:type="dxa"/>
          </w:tblCellMar>
        </w:tblPrEx>
        <w:trPr>
          <w:trHeight w:val="528" w:hRule="atLeast"/>
        </w:trPr>
        <w:tc>
          <w:tcPr>
            <w:tcW w:w="7517"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总得分V</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80</w:t>
            </w:r>
          </w:p>
        </w:tc>
      </w:tr>
    </w:tbl>
    <w:p>
      <w:pPr>
        <w:pStyle w:val="27"/>
        <w:rPr>
          <w:rFonts w:ascii="仿宋" w:hAnsi="仿宋" w:eastAsia="仿宋" w:cs="仿宋"/>
          <w:color w:val="auto"/>
        </w:rPr>
      </w:pPr>
    </w:p>
    <w:p>
      <w:pPr>
        <w:rPr>
          <w:color w:val="auto"/>
        </w:rPr>
      </w:pPr>
    </w:p>
    <w:p>
      <w:pPr>
        <w:rPr>
          <w:color w:val="auto"/>
        </w:rPr>
      </w:pPr>
    </w:p>
    <w:p>
      <w:pPr>
        <w:tabs>
          <w:tab w:val="right" w:pos="9213"/>
        </w:tabs>
        <w:jc w:val="center"/>
        <w:rPr>
          <w:color w:val="auto"/>
        </w:rPr>
      </w:pPr>
      <w:r>
        <w:rPr>
          <w:rFonts w:hint="eastAsia"/>
          <w:color w:val="auto"/>
        </w:rPr>
        <w:br w:type="page"/>
      </w:r>
    </w:p>
    <w:p>
      <w:pPr>
        <w:tabs>
          <w:tab w:val="right" w:pos="9213"/>
        </w:tabs>
        <w:jc w:val="center"/>
        <w:rPr>
          <w:color w:val="auto"/>
        </w:rPr>
      </w:pPr>
      <w:bookmarkStart w:id="422" w:name="_Toc24923"/>
      <w:r>
        <w:rPr>
          <w:rFonts w:hint="eastAsia" w:ascii="仿宋" w:hAnsi="仿宋" w:eastAsia="仿宋" w:cs="仿宋"/>
          <w:b/>
          <w:color w:val="auto"/>
          <w:sz w:val="24"/>
          <w:szCs w:val="20"/>
        </w:rPr>
        <w:t>报价评分表</w:t>
      </w:r>
      <w:bookmarkEnd w:id="422"/>
    </w:p>
    <w:p>
      <w:pPr>
        <w:pStyle w:val="27"/>
        <w:rPr>
          <w:color w:val="auto"/>
        </w:rPr>
      </w:pPr>
    </w:p>
    <w:tbl>
      <w:tblPr>
        <w:tblStyle w:val="3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color w:val="auto"/>
              </w:rPr>
            </w:pPr>
            <w:r>
              <w:rPr>
                <w:rFonts w:hint="eastAsia" w:ascii="仿宋" w:hAnsi="仿宋" w:eastAsia="仿宋" w:cs="仿宋"/>
                <w:color w:val="auto"/>
              </w:rPr>
              <w:t>报价评审</w:t>
            </w:r>
          </w:p>
        </w:tc>
        <w:tc>
          <w:tcPr>
            <w:tcW w:w="681" w:type="dxa"/>
            <w:vAlign w:val="center"/>
          </w:tcPr>
          <w:p>
            <w:pPr>
              <w:jc w:val="center"/>
              <w:rPr>
                <w:rFonts w:ascii="仿宋" w:hAnsi="仿宋" w:eastAsia="仿宋" w:cs="仿宋"/>
                <w:color w:val="auto"/>
              </w:rPr>
            </w:pPr>
            <w:r>
              <w:rPr>
                <w:rFonts w:hint="eastAsia" w:ascii="仿宋" w:hAnsi="仿宋" w:eastAsia="仿宋" w:cs="仿宋"/>
                <w:color w:val="auto"/>
              </w:rPr>
              <w:t>10</w:t>
            </w:r>
          </w:p>
        </w:tc>
        <w:tc>
          <w:tcPr>
            <w:tcW w:w="6698" w:type="dxa"/>
            <w:vAlign w:val="center"/>
          </w:tcPr>
          <w:p>
            <w:pPr>
              <w:spacing w:line="440" w:lineRule="exact"/>
              <w:rPr>
                <w:rFonts w:ascii="仿宋" w:hAnsi="仿宋" w:eastAsia="仿宋" w:cs="仿宋"/>
                <w:color w:val="auto"/>
              </w:rPr>
            </w:pPr>
            <w:r>
              <w:rPr>
                <w:rFonts w:hint="eastAsia" w:ascii="仿宋" w:hAnsi="仿宋" w:eastAsia="仿宋" w:cs="仿宋"/>
                <w:color w:val="auto"/>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计算分数时四舍五入取小数点后两位。由监标人员负责核准每个合格供应商的价格得分。（注：若报价单位为中小企业，其投标报价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color w:val="auto"/>
              </w:rPr>
            </w:pPr>
            <w:r>
              <w:rPr>
                <w:rFonts w:hint="eastAsia" w:ascii="仿宋" w:hAnsi="仿宋" w:eastAsia="仿宋" w:cs="仿宋"/>
                <w:color w:val="auto"/>
              </w:rPr>
              <w:t>报价分合计</w:t>
            </w:r>
          </w:p>
        </w:tc>
        <w:tc>
          <w:tcPr>
            <w:tcW w:w="6698" w:type="dxa"/>
            <w:vAlign w:val="center"/>
          </w:tcPr>
          <w:p>
            <w:pPr>
              <w:jc w:val="center"/>
              <w:rPr>
                <w:rFonts w:ascii="仿宋" w:hAnsi="仿宋" w:eastAsia="仿宋" w:cs="仿宋"/>
                <w:color w:val="auto"/>
              </w:rPr>
            </w:pPr>
            <w:r>
              <w:rPr>
                <w:rFonts w:hint="eastAsia" w:ascii="仿宋" w:hAnsi="仿宋" w:eastAsia="仿宋" w:cs="仿宋"/>
                <w:color w:val="auto"/>
              </w:rPr>
              <w:t>10</w:t>
            </w:r>
          </w:p>
        </w:tc>
      </w:tr>
    </w:tbl>
    <w:p>
      <w:pPr>
        <w:rPr>
          <w:rFonts w:ascii="楷体" w:hAnsi="楷体" w:eastAsia="楷体" w:cs="楷体"/>
          <w:b/>
          <w:color w:val="auto"/>
          <w:sz w:val="24"/>
        </w:rPr>
      </w:pPr>
    </w:p>
    <w:p>
      <w:pPr>
        <w:rPr>
          <w:color w:val="auto"/>
        </w:rPr>
      </w:pPr>
      <w:r>
        <w:rPr>
          <w:rFonts w:hint="eastAsia"/>
          <w:color w:val="auto"/>
        </w:rPr>
        <w:br w:type="page"/>
      </w:r>
    </w:p>
    <w:p>
      <w:pPr>
        <w:pStyle w:val="3"/>
        <w:ind w:firstLine="480"/>
        <w:rPr>
          <w:color w:val="auto"/>
        </w:rPr>
      </w:pPr>
    </w:p>
    <w:p>
      <w:pPr>
        <w:pStyle w:val="4"/>
        <w:ind w:firstLine="480"/>
        <w:rPr>
          <w:color w:val="auto"/>
        </w:rPr>
      </w:pPr>
    </w:p>
    <w:p>
      <w:pPr>
        <w:widowControl/>
        <w:jc w:val="center"/>
        <w:rPr>
          <w:rFonts w:ascii="仿宋" w:hAnsi="仿宋" w:eastAsia="仿宋" w:cs="仿宋"/>
          <w:b/>
          <w:color w:val="auto"/>
          <w:sz w:val="48"/>
          <w:szCs w:val="48"/>
        </w:rPr>
      </w:pPr>
    </w:p>
    <w:p>
      <w:pPr>
        <w:widowControl/>
        <w:jc w:val="center"/>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克州</w:t>
      </w:r>
      <w:r>
        <w:rPr>
          <w:rFonts w:hint="eastAsia" w:ascii="仿宋" w:hAnsi="仿宋" w:eastAsia="仿宋" w:cs="仿宋"/>
          <w:b/>
          <w:color w:val="auto"/>
          <w:sz w:val="36"/>
          <w:szCs w:val="36"/>
        </w:rPr>
        <w:t>2023年</w:t>
      </w:r>
      <w:r>
        <w:rPr>
          <w:rFonts w:hint="eastAsia" w:ascii="仿宋" w:hAnsi="仿宋" w:eastAsia="仿宋" w:cs="仿宋"/>
          <w:b/>
          <w:color w:val="auto"/>
          <w:sz w:val="36"/>
          <w:szCs w:val="36"/>
          <w:lang w:val="en-US" w:eastAsia="zh-CN"/>
        </w:rPr>
        <w:t>自然</w:t>
      </w:r>
      <w:r>
        <w:rPr>
          <w:rFonts w:hint="eastAsia" w:ascii="仿宋" w:hAnsi="仿宋" w:eastAsia="仿宋" w:cs="仿宋"/>
          <w:b/>
          <w:color w:val="auto"/>
          <w:sz w:val="36"/>
          <w:szCs w:val="36"/>
        </w:rPr>
        <w:t>灾害防治体系建设</w:t>
      </w:r>
      <w:r>
        <w:rPr>
          <w:rFonts w:hint="eastAsia" w:ascii="仿宋" w:hAnsi="仿宋" w:eastAsia="仿宋" w:cs="仿宋"/>
          <w:b/>
          <w:color w:val="auto"/>
          <w:sz w:val="36"/>
          <w:szCs w:val="36"/>
          <w:lang w:val="en-US" w:eastAsia="zh-CN"/>
        </w:rPr>
        <w:t>补助资金</w:t>
      </w:r>
      <w:r>
        <w:rPr>
          <w:rFonts w:hint="eastAsia" w:ascii="仿宋" w:hAnsi="仿宋" w:eastAsia="仿宋" w:cs="仿宋"/>
          <w:b/>
          <w:color w:val="auto"/>
          <w:sz w:val="36"/>
          <w:szCs w:val="36"/>
        </w:rPr>
        <w:t>项目</w:t>
      </w:r>
    </w:p>
    <w:p>
      <w:pPr>
        <w:pStyle w:val="27"/>
        <w:rPr>
          <w:rFonts w:ascii="仿宋" w:hAnsi="仿宋" w:eastAsia="仿宋" w:cs="仿宋"/>
          <w:b/>
          <w:color w:val="auto"/>
          <w:sz w:val="48"/>
          <w:szCs w:val="48"/>
        </w:rPr>
      </w:pPr>
    </w:p>
    <w:p>
      <w:pPr>
        <w:widowControl/>
        <w:jc w:val="left"/>
        <w:rPr>
          <w:rFonts w:ascii="仿宋" w:hAnsi="仿宋" w:eastAsia="仿宋" w:cs="仿宋"/>
          <w:color w:val="auto"/>
        </w:rPr>
      </w:pPr>
    </w:p>
    <w:p>
      <w:pPr>
        <w:pStyle w:val="4"/>
        <w:ind w:firstLine="480"/>
        <w:rPr>
          <w:color w:val="auto"/>
        </w:rPr>
      </w:pPr>
    </w:p>
    <w:p>
      <w:pPr>
        <w:spacing w:line="240" w:lineRule="atLeast"/>
        <w:jc w:val="center"/>
        <w:rPr>
          <w:rFonts w:ascii="仿宋" w:hAnsi="仿宋" w:eastAsia="仿宋" w:cs="仿宋"/>
          <w:bCs/>
          <w:color w:val="auto"/>
          <w:sz w:val="52"/>
          <w:szCs w:val="52"/>
        </w:rPr>
      </w:pPr>
      <w:r>
        <w:rPr>
          <w:rFonts w:hint="eastAsia" w:ascii="仿宋" w:hAnsi="仿宋" w:eastAsia="仿宋" w:cs="仿宋"/>
          <w:bCs/>
          <w:color w:val="auto"/>
          <w:sz w:val="52"/>
          <w:szCs w:val="52"/>
        </w:rPr>
        <w:t xml:space="preserve"> </w:t>
      </w:r>
      <w:r>
        <w:rPr>
          <w:rFonts w:hint="eastAsia" w:ascii="仿宋" w:hAnsi="仿宋" w:eastAsia="仿宋" w:cs="仿宋"/>
          <w:b/>
          <w:color w:val="auto"/>
          <w:sz w:val="52"/>
          <w:szCs w:val="52"/>
        </w:rPr>
        <w:t>采购文件</w:t>
      </w:r>
    </w:p>
    <w:p>
      <w:pPr>
        <w:spacing w:line="240" w:lineRule="atLeast"/>
        <w:ind w:left="1080" w:leftChars="257" w:hanging="540"/>
        <w:jc w:val="center"/>
        <w:rPr>
          <w:rFonts w:ascii="仿宋" w:hAnsi="仿宋" w:eastAsia="仿宋" w:cs="仿宋"/>
          <w:bCs/>
          <w:color w:val="auto"/>
          <w:sz w:val="52"/>
          <w:szCs w:val="52"/>
        </w:rPr>
      </w:pPr>
    </w:p>
    <w:p>
      <w:pPr>
        <w:spacing w:line="240" w:lineRule="atLeast"/>
        <w:ind w:left="1080" w:leftChars="257" w:hanging="540"/>
        <w:jc w:val="center"/>
        <w:rPr>
          <w:rFonts w:ascii="仿宋" w:hAnsi="仿宋" w:eastAsia="仿宋" w:cs="仿宋"/>
          <w:bCs/>
          <w:color w:val="auto"/>
          <w:sz w:val="32"/>
          <w:szCs w:val="32"/>
        </w:rPr>
      </w:pPr>
      <w:r>
        <w:rPr>
          <w:rFonts w:hint="eastAsia" w:ascii="仿宋" w:hAnsi="仿宋" w:eastAsia="仿宋" w:cs="仿宋"/>
          <w:bCs/>
          <w:color w:val="auto"/>
          <w:sz w:val="32"/>
          <w:szCs w:val="32"/>
        </w:rPr>
        <w:t>（项目编号：</w:t>
      </w:r>
      <w:r>
        <w:rPr>
          <w:rFonts w:hint="eastAsia" w:ascii="仿宋" w:hAnsi="仿宋" w:eastAsia="仿宋" w:cs="仿宋"/>
          <w:bCs/>
          <w:color w:val="auto"/>
          <w:sz w:val="32"/>
          <w:szCs w:val="32"/>
          <w:lang w:eastAsia="zh-CN"/>
        </w:rPr>
        <w:t>GYZB-KZDZFZ2023</w:t>
      </w:r>
      <w:r>
        <w:rPr>
          <w:rFonts w:hint="eastAsia" w:ascii="仿宋" w:hAnsi="仿宋" w:eastAsia="仿宋" w:cs="仿宋"/>
          <w:bCs/>
          <w:color w:val="auto"/>
          <w:sz w:val="32"/>
          <w:szCs w:val="32"/>
          <w:lang w:val="en-US" w:eastAsia="zh-CN"/>
        </w:rPr>
        <w:t>-01</w:t>
      </w:r>
      <w:r>
        <w:rPr>
          <w:rFonts w:hint="eastAsia" w:ascii="仿宋" w:hAnsi="仿宋" w:eastAsia="仿宋" w:cs="仿宋"/>
          <w:bCs/>
          <w:color w:val="auto"/>
          <w:sz w:val="32"/>
          <w:szCs w:val="32"/>
        </w:rPr>
        <w:t>）</w:t>
      </w:r>
    </w:p>
    <w:p>
      <w:pPr>
        <w:pStyle w:val="11"/>
        <w:ind w:firstLine="0"/>
        <w:rPr>
          <w:color w:val="auto"/>
        </w:rPr>
      </w:pPr>
    </w:p>
    <w:p>
      <w:pPr>
        <w:spacing w:line="240" w:lineRule="atLeast"/>
        <w:ind w:left="1080" w:leftChars="257" w:hanging="540"/>
        <w:jc w:val="center"/>
        <w:rPr>
          <w:rFonts w:ascii="仿宋" w:hAnsi="仿宋" w:eastAsia="仿宋" w:cs="仿宋"/>
          <w:b/>
          <w:color w:val="auto"/>
          <w:sz w:val="52"/>
        </w:rPr>
      </w:pPr>
    </w:p>
    <w:p>
      <w:pPr>
        <w:spacing w:line="240" w:lineRule="atLeast"/>
        <w:ind w:left="1079" w:leftChars="257" w:hanging="539"/>
        <w:jc w:val="center"/>
        <w:outlineLvl w:val="0"/>
        <w:rPr>
          <w:rFonts w:ascii="仿宋" w:hAnsi="仿宋" w:eastAsia="仿宋" w:cs="仿宋"/>
          <w:b/>
          <w:color w:val="auto"/>
          <w:sz w:val="36"/>
          <w:szCs w:val="36"/>
        </w:rPr>
      </w:pPr>
      <w:bookmarkStart w:id="423" w:name="_Toc487"/>
      <w:bookmarkStart w:id="424" w:name="_Toc6470"/>
      <w:r>
        <w:rPr>
          <w:rFonts w:hint="eastAsia" w:ascii="仿宋" w:hAnsi="仿宋" w:eastAsia="仿宋" w:cs="仿宋"/>
          <w:b/>
          <w:color w:val="auto"/>
          <w:sz w:val="36"/>
          <w:szCs w:val="36"/>
        </w:rPr>
        <w:t>第三册</w:t>
      </w:r>
      <w:bookmarkEnd w:id="423"/>
      <w:bookmarkEnd w:id="424"/>
    </w:p>
    <w:p>
      <w:pPr>
        <w:pStyle w:val="3"/>
        <w:ind w:firstLine="1044"/>
        <w:rPr>
          <w:rFonts w:ascii="仿宋" w:hAnsi="仿宋" w:eastAsia="仿宋" w:cs="仿宋"/>
          <w:b/>
          <w:color w:val="auto"/>
          <w:sz w:val="52"/>
        </w:rPr>
      </w:pPr>
    </w:p>
    <w:p>
      <w:pPr>
        <w:pStyle w:val="4"/>
        <w:ind w:firstLine="480"/>
        <w:rPr>
          <w:color w:val="auto"/>
        </w:rPr>
      </w:pPr>
    </w:p>
    <w:p>
      <w:pPr>
        <w:spacing w:line="360" w:lineRule="auto"/>
        <w:ind w:firstLine="837" w:firstLineChars="299"/>
        <w:jc w:val="left"/>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采 购 人：</w:t>
      </w:r>
      <w:r>
        <w:rPr>
          <w:rFonts w:hint="eastAsia" w:ascii="仿宋" w:hAnsi="仿宋" w:eastAsia="仿宋" w:cs="仿宋"/>
          <w:color w:val="auto"/>
          <w:sz w:val="28"/>
          <w:szCs w:val="28"/>
          <w:u w:val="single"/>
          <w:lang w:eastAsia="zh-CN"/>
        </w:rPr>
        <w:t>克孜勒苏柯尔克孜自治州自然资源局</w:t>
      </w:r>
    </w:p>
    <w:p>
      <w:pPr>
        <w:spacing w:line="600" w:lineRule="exact"/>
        <w:ind w:firstLine="837" w:firstLineChars="299"/>
        <w:rPr>
          <w:rFonts w:ascii="仿宋" w:hAnsi="仿宋" w:eastAsia="仿宋" w:cs="仿宋"/>
          <w:color w:val="auto"/>
          <w:sz w:val="28"/>
          <w:szCs w:val="28"/>
        </w:rPr>
      </w:pPr>
      <w:r>
        <w:rPr>
          <w:rFonts w:hint="eastAsia" w:ascii="仿宋" w:hAnsi="仿宋" w:eastAsia="仿宋" w:cs="仿宋"/>
          <w:color w:val="auto"/>
          <w:sz w:val="28"/>
          <w:szCs w:val="28"/>
        </w:rPr>
        <w:t>采购机构：</w:t>
      </w:r>
      <w:r>
        <w:rPr>
          <w:rFonts w:hint="eastAsia" w:ascii="仿宋" w:hAnsi="仿宋" w:eastAsia="仿宋" w:cs="仿宋"/>
          <w:color w:val="auto"/>
          <w:sz w:val="28"/>
          <w:szCs w:val="28"/>
          <w:u w:val="single"/>
        </w:rPr>
        <w:t>新疆国源土地矿产资源交易中心（有限公司）</w:t>
      </w:r>
      <w:r>
        <w:rPr>
          <w:rFonts w:hint="eastAsia" w:ascii="仿宋" w:hAnsi="仿宋" w:eastAsia="仿宋" w:cs="仿宋"/>
          <w:color w:val="auto"/>
          <w:sz w:val="28"/>
          <w:szCs w:val="28"/>
        </w:rPr>
        <w:t xml:space="preserve"> </w:t>
      </w:r>
    </w:p>
    <w:p>
      <w:pPr>
        <w:spacing w:line="600" w:lineRule="exact"/>
        <w:ind w:firstLine="837" w:firstLineChars="299"/>
        <w:rPr>
          <w:rFonts w:ascii="仿宋" w:hAnsi="仿宋" w:eastAsia="仿宋" w:cs="仿宋"/>
          <w:color w:val="auto"/>
          <w:sz w:val="28"/>
          <w:szCs w:val="28"/>
          <w:u w:val="single"/>
        </w:rPr>
      </w:pPr>
      <w:r>
        <w:rPr>
          <w:rFonts w:hint="eastAsia" w:ascii="仿宋" w:hAnsi="仿宋" w:eastAsia="仿宋" w:cs="仿宋"/>
          <w:color w:val="auto"/>
          <w:sz w:val="28"/>
          <w:szCs w:val="28"/>
        </w:rPr>
        <w:t>发出日期：</w:t>
      </w:r>
      <w:r>
        <w:rPr>
          <w:rFonts w:hint="eastAsia" w:ascii="仿宋" w:hAnsi="仿宋" w:eastAsia="仿宋" w:cs="仿宋"/>
          <w:color w:val="auto"/>
          <w:sz w:val="28"/>
          <w:szCs w:val="28"/>
          <w:u w:val="single"/>
        </w:rPr>
        <w:t>2023年2月</w:t>
      </w:r>
    </w:p>
    <w:p>
      <w:pPr>
        <w:pStyle w:val="4"/>
        <w:ind w:firstLine="560"/>
        <w:rPr>
          <w:rFonts w:ascii="仿宋" w:hAnsi="仿宋" w:eastAsia="仿宋" w:cs="仿宋"/>
          <w:color w:val="auto"/>
          <w:sz w:val="28"/>
          <w:szCs w:val="28"/>
          <w:u w:val="single"/>
        </w:rPr>
      </w:pPr>
      <w:r>
        <w:rPr>
          <w:rFonts w:hint="eastAsia" w:ascii="仿宋" w:hAnsi="仿宋" w:eastAsia="仿宋" w:cs="仿宋"/>
          <w:color w:val="auto"/>
          <w:sz w:val="28"/>
          <w:szCs w:val="28"/>
          <w:u w:val="single"/>
        </w:rPr>
        <w:br w:type="page"/>
      </w:r>
    </w:p>
    <w:p>
      <w:pPr>
        <w:pStyle w:val="7"/>
        <w:tabs>
          <w:tab w:val="left" w:pos="0"/>
        </w:tabs>
        <w:spacing w:before="0" w:after="0" w:line="240" w:lineRule="atLeast"/>
        <w:ind w:firstLine="2249" w:firstLineChars="700"/>
        <w:jc w:val="both"/>
        <w:rPr>
          <w:rFonts w:ascii="仿宋" w:hAnsi="仿宋" w:eastAsia="仿宋" w:cs="仿宋"/>
          <w:color w:val="auto"/>
        </w:rPr>
      </w:pPr>
      <w:bookmarkStart w:id="425" w:name="_Toc518923128"/>
      <w:bookmarkStart w:id="426" w:name="_Toc3667"/>
      <w:bookmarkStart w:id="427" w:name="_Toc22765"/>
      <w:r>
        <w:rPr>
          <w:rFonts w:hint="eastAsia" w:ascii="仿宋" w:hAnsi="仿宋" w:eastAsia="仿宋" w:cs="仿宋"/>
          <w:color w:val="auto"/>
        </w:rPr>
        <w:t>第7章  政府采购合同</w:t>
      </w:r>
      <w:bookmarkEnd w:id="387"/>
      <w:bookmarkEnd w:id="425"/>
      <w:bookmarkEnd w:id="426"/>
      <w:bookmarkEnd w:id="427"/>
      <w:bookmarkStart w:id="428" w:name="_Hlt487972895"/>
      <w:bookmarkEnd w:id="428"/>
      <w:bookmarkStart w:id="429" w:name="_Toc487900382"/>
      <w:bookmarkStart w:id="430" w:name="_Toc216513788"/>
    </w:p>
    <w:bookmarkEnd w:id="429"/>
    <w:bookmarkEnd w:id="430"/>
    <w:p>
      <w:pPr>
        <w:pStyle w:val="11"/>
        <w:spacing w:line="240" w:lineRule="atLeast"/>
        <w:ind w:left="1080" w:leftChars="257" w:hanging="540"/>
        <w:rPr>
          <w:rFonts w:ascii="仿宋" w:hAnsi="仿宋" w:eastAsia="仿宋" w:cs="仿宋"/>
          <w:color w:val="auto"/>
          <w:sz w:val="28"/>
        </w:rPr>
      </w:pPr>
    </w:p>
    <w:p>
      <w:pPr>
        <w:spacing w:line="240" w:lineRule="atLeast"/>
        <w:ind w:left="-567" w:leftChars="-270" w:firstLine="540"/>
        <w:jc w:val="center"/>
        <w:rPr>
          <w:rFonts w:ascii="仿宋" w:hAnsi="仿宋" w:eastAsia="仿宋" w:cs="仿宋"/>
          <w:color w:val="auto"/>
          <w:kern w:val="44"/>
          <w:sz w:val="28"/>
          <w:szCs w:val="28"/>
        </w:rPr>
      </w:pPr>
      <w:r>
        <w:rPr>
          <w:rFonts w:hint="eastAsia" w:ascii="仿宋" w:hAnsi="仿宋" w:eastAsia="仿宋" w:cs="仿宋"/>
          <w:color w:val="auto"/>
          <w:kern w:val="44"/>
          <w:sz w:val="28"/>
          <w:szCs w:val="28"/>
        </w:rPr>
        <w:t>请参照服务类政府采购合同参考范本订立采购合同。</w:t>
      </w:r>
    </w:p>
    <w:p>
      <w:pPr>
        <w:rPr>
          <w:rFonts w:ascii="仿宋" w:hAnsi="仿宋" w:eastAsia="仿宋" w:cs="仿宋"/>
          <w:color w:val="auto"/>
          <w:sz w:val="28"/>
          <w:szCs w:val="28"/>
          <w:u w:val="single"/>
        </w:rPr>
      </w:pPr>
      <w:r>
        <w:rPr>
          <w:rFonts w:hint="eastAsia" w:ascii="仿宋" w:hAnsi="仿宋" w:eastAsia="仿宋" w:cs="仿宋"/>
          <w:color w:val="auto"/>
          <w:sz w:val="28"/>
          <w:szCs w:val="28"/>
        </w:rPr>
        <w:t>合同编号：</w:t>
      </w:r>
      <w:r>
        <w:rPr>
          <w:rFonts w:hint="eastAsia" w:ascii="仿宋" w:hAnsi="仿宋" w:eastAsia="仿宋" w:cs="仿宋"/>
          <w:color w:val="auto"/>
          <w:sz w:val="28"/>
          <w:szCs w:val="28"/>
          <w:u w:val="single"/>
        </w:rPr>
        <w:t xml:space="preserve">           </w:t>
      </w:r>
    </w:p>
    <w:p>
      <w:pPr>
        <w:spacing w:line="480" w:lineRule="auto"/>
        <w:rPr>
          <w:rFonts w:ascii="仿宋" w:hAnsi="仿宋" w:eastAsia="仿宋" w:cs="仿宋"/>
          <w:b/>
          <w:bCs/>
          <w:color w:val="auto"/>
          <w:sz w:val="28"/>
          <w:szCs w:val="28"/>
        </w:rPr>
      </w:pPr>
    </w:p>
    <w:p>
      <w:pPr>
        <w:spacing w:line="480" w:lineRule="auto"/>
        <w:jc w:val="center"/>
        <w:outlineLvl w:val="1"/>
        <w:rPr>
          <w:rFonts w:ascii="仿宋" w:hAnsi="仿宋" w:eastAsia="仿宋" w:cs="仿宋"/>
          <w:b/>
          <w:bCs/>
          <w:color w:val="auto"/>
          <w:sz w:val="28"/>
          <w:szCs w:val="28"/>
        </w:rPr>
      </w:pPr>
      <w:bookmarkStart w:id="431" w:name="_Toc11060"/>
      <w:r>
        <w:rPr>
          <w:rFonts w:hint="eastAsia" w:ascii="仿宋" w:hAnsi="仿宋" w:eastAsia="仿宋" w:cs="仿宋"/>
          <w:b/>
          <w:bCs/>
          <w:color w:val="auto"/>
          <w:sz w:val="28"/>
          <w:szCs w:val="28"/>
          <w:lang w:val="en-US" w:eastAsia="zh-CN"/>
        </w:rPr>
        <w:t>克</w:t>
      </w:r>
      <w:r>
        <w:rPr>
          <w:rFonts w:hint="eastAsia" w:ascii="仿宋" w:hAnsi="仿宋" w:eastAsia="仿宋" w:cs="仿宋"/>
          <w:b/>
          <w:bCs/>
          <w:color w:val="auto"/>
          <w:sz w:val="28"/>
          <w:szCs w:val="28"/>
        </w:rPr>
        <w:t>州政府采购合同</w:t>
      </w:r>
      <w:bookmarkEnd w:id="431"/>
    </w:p>
    <w:p>
      <w:pPr>
        <w:pStyle w:val="53"/>
        <w:ind w:firstLine="0"/>
        <w:rPr>
          <w:rFonts w:ascii="仿宋" w:hAnsi="仿宋" w:eastAsia="仿宋" w:cs="仿宋"/>
          <w:color w:val="auto"/>
          <w:sz w:val="28"/>
          <w:szCs w:val="28"/>
        </w:rPr>
      </w:pPr>
    </w:p>
    <w:p>
      <w:pPr>
        <w:pStyle w:val="53"/>
        <w:ind w:firstLine="0"/>
        <w:rPr>
          <w:rFonts w:ascii="仿宋" w:hAnsi="仿宋" w:eastAsia="仿宋" w:cs="仿宋"/>
          <w:color w:val="auto"/>
          <w:sz w:val="28"/>
          <w:szCs w:val="28"/>
        </w:rPr>
      </w:pPr>
    </w:p>
    <w:p>
      <w:pPr>
        <w:pStyle w:val="53"/>
        <w:ind w:firstLine="0"/>
        <w:jc w:val="center"/>
        <w:outlineLvl w:val="1"/>
        <w:rPr>
          <w:rFonts w:ascii="仿宋" w:hAnsi="仿宋" w:eastAsia="仿宋" w:cs="仿宋"/>
          <w:b/>
          <w:bCs/>
          <w:color w:val="auto"/>
          <w:sz w:val="28"/>
          <w:szCs w:val="28"/>
        </w:rPr>
      </w:pPr>
      <w:bookmarkStart w:id="432" w:name="_Toc11090"/>
      <w:r>
        <w:rPr>
          <w:rFonts w:hint="eastAsia" w:ascii="仿宋" w:hAnsi="仿宋" w:eastAsia="仿宋" w:cs="仿宋"/>
          <w:b/>
          <w:bCs/>
          <w:color w:val="auto"/>
          <w:sz w:val="28"/>
          <w:szCs w:val="28"/>
        </w:rPr>
        <w:t>第一部分 合同书</w:t>
      </w:r>
      <w:bookmarkEnd w:id="432"/>
    </w:p>
    <w:p>
      <w:pPr>
        <w:pStyle w:val="53"/>
        <w:ind w:firstLine="0"/>
        <w:rPr>
          <w:rFonts w:ascii="仿宋" w:hAnsi="仿宋" w:eastAsia="仿宋" w:cs="仿宋"/>
          <w:color w:val="auto"/>
          <w:sz w:val="28"/>
          <w:szCs w:val="28"/>
        </w:rPr>
      </w:pPr>
    </w:p>
    <w:p>
      <w:pPr>
        <w:pStyle w:val="53"/>
        <w:ind w:firstLine="0"/>
        <w:rPr>
          <w:rFonts w:ascii="仿宋" w:hAnsi="仿宋" w:eastAsia="仿宋" w:cs="仿宋"/>
          <w:color w:val="auto"/>
          <w:sz w:val="28"/>
          <w:szCs w:val="28"/>
        </w:rPr>
      </w:pPr>
    </w:p>
    <w:p>
      <w:pPr>
        <w:spacing w:before="120" w:line="22" w:lineRule="atLeast"/>
        <w:rPr>
          <w:rFonts w:ascii="仿宋" w:hAnsi="仿宋" w:eastAsia="仿宋" w:cs="仿宋"/>
          <w:color w:val="auto"/>
          <w:sz w:val="28"/>
          <w:szCs w:val="28"/>
        </w:rPr>
      </w:pPr>
    </w:p>
    <w:p>
      <w:pPr>
        <w:spacing w:before="120" w:line="22" w:lineRule="atLeast"/>
        <w:ind w:left="96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p>
    <w:p>
      <w:pPr>
        <w:pStyle w:val="51"/>
        <w:spacing w:before="120" w:line="22" w:lineRule="atLeast"/>
        <w:rPr>
          <w:rFonts w:ascii="仿宋" w:hAnsi="仿宋" w:eastAsia="仿宋" w:cs="仿宋"/>
          <w:color w:val="auto"/>
          <w:szCs w:val="24"/>
        </w:rPr>
      </w:pPr>
    </w:p>
    <w:p>
      <w:pPr>
        <w:pStyle w:val="51"/>
        <w:spacing w:before="120" w:line="22" w:lineRule="atLeast"/>
        <w:rPr>
          <w:rFonts w:ascii="仿宋" w:hAnsi="仿宋" w:eastAsia="仿宋" w:cs="仿宋"/>
          <w:color w:val="auto"/>
          <w:szCs w:val="24"/>
        </w:rPr>
      </w:pPr>
    </w:p>
    <w:p>
      <w:pPr>
        <w:rPr>
          <w:rFonts w:ascii="仿宋" w:hAnsi="仿宋" w:eastAsia="仿宋" w:cs="仿宋"/>
          <w:color w:val="auto"/>
          <w:sz w:val="24"/>
        </w:rPr>
      </w:pPr>
    </w:p>
    <w:p>
      <w:pPr>
        <w:spacing w:before="120" w:line="22" w:lineRule="atLeast"/>
        <w:ind w:left="960"/>
        <w:rPr>
          <w:rFonts w:ascii="仿宋" w:hAnsi="仿宋" w:eastAsia="仿宋" w:cs="仿宋"/>
          <w:color w:val="auto"/>
          <w:sz w:val="24"/>
          <w:u w:val="single"/>
        </w:rPr>
      </w:pPr>
      <w:r>
        <w:rPr>
          <w:rFonts w:hint="eastAsia" w:ascii="仿宋" w:hAnsi="仿宋" w:eastAsia="仿宋" w:cs="仿宋"/>
          <w:color w:val="auto"/>
          <w:sz w:val="24"/>
        </w:rPr>
        <w:t>甲方：</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left="960"/>
        <w:rPr>
          <w:rFonts w:ascii="仿宋" w:hAnsi="仿宋" w:eastAsia="仿宋" w:cs="仿宋"/>
          <w:color w:val="auto"/>
          <w:sz w:val="24"/>
          <w:u w:val="single"/>
        </w:rPr>
      </w:pPr>
      <w:r>
        <w:rPr>
          <w:rFonts w:hint="eastAsia" w:ascii="仿宋" w:hAnsi="仿宋" w:eastAsia="仿宋" w:cs="仿宋"/>
          <w:color w:val="auto"/>
          <w:sz w:val="24"/>
        </w:rPr>
        <w:t>乙方：</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firstLine="960" w:firstLineChars="400"/>
        <w:rPr>
          <w:rFonts w:ascii="仿宋" w:hAnsi="仿宋" w:eastAsia="仿宋" w:cs="仿宋"/>
          <w:color w:val="auto"/>
          <w:sz w:val="24"/>
          <w:u w:val="single"/>
        </w:rPr>
      </w:pPr>
      <w:r>
        <w:rPr>
          <w:rFonts w:hint="eastAsia" w:ascii="仿宋" w:hAnsi="仿宋" w:eastAsia="仿宋" w:cs="仿宋"/>
          <w:color w:val="auto"/>
          <w:sz w:val="24"/>
        </w:rPr>
        <w:t>签订地：</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firstLine="960" w:firstLineChars="400"/>
        <w:rPr>
          <w:rFonts w:ascii="仿宋" w:hAnsi="仿宋" w:eastAsia="仿宋" w:cs="仿宋"/>
          <w:color w:val="auto"/>
          <w:sz w:val="24"/>
          <w:u w:val="single"/>
        </w:rPr>
      </w:pPr>
      <w:r>
        <w:rPr>
          <w:rFonts w:hint="eastAsia" w:ascii="仿宋" w:hAnsi="仿宋" w:eastAsia="仿宋" w:cs="仿宋"/>
          <w:color w:val="auto"/>
          <w:sz w:val="24"/>
        </w:rPr>
        <w:t>签订日期：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autoSpaceDE w:val="0"/>
        <w:autoSpaceDN w:val="0"/>
        <w:adjustRightInd w:val="0"/>
        <w:spacing w:line="600" w:lineRule="exact"/>
        <w:ind w:firstLine="640"/>
        <w:jc w:val="center"/>
        <w:rPr>
          <w:rFonts w:ascii="仿宋" w:hAnsi="仿宋" w:eastAsia="仿宋" w:cs="仿宋"/>
          <w:color w:val="auto"/>
          <w:sz w:val="24"/>
        </w:rPr>
        <w:sectPr>
          <w:headerReference r:id="rId8" w:type="default"/>
          <w:footerReference r:id="rId9"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eastAsia="zh-CN"/>
        </w:rPr>
        <w:t>克孜勒苏柯尔克孜自治州自然资源局</w:t>
      </w:r>
      <w:r>
        <w:rPr>
          <w:rFonts w:hint="eastAsia" w:ascii="仿宋" w:hAnsi="仿宋" w:eastAsia="仿宋" w:cs="仿宋"/>
          <w:color w:val="auto"/>
          <w:sz w:val="24"/>
          <w:u w:val="single"/>
        </w:rPr>
        <w:t xml:space="preserve">  </w:t>
      </w:r>
      <w:r>
        <w:rPr>
          <w:rFonts w:hint="eastAsia" w:ascii="仿宋" w:hAnsi="仿宋" w:eastAsia="仿宋" w:cs="仿宋"/>
          <w:color w:val="auto"/>
          <w:sz w:val="24"/>
        </w:rPr>
        <w:t>以</w:t>
      </w:r>
      <w:r>
        <w:rPr>
          <w:rFonts w:hint="eastAsia" w:ascii="仿宋" w:hAnsi="仿宋" w:eastAsia="仿宋" w:cs="仿宋"/>
          <w:color w:val="auto"/>
          <w:sz w:val="24"/>
          <w:u w:val="single"/>
        </w:rPr>
        <w:t xml:space="preserve">公开招标方式  </w:t>
      </w:r>
      <w:r>
        <w:rPr>
          <w:rFonts w:hint="eastAsia" w:ascii="仿宋" w:hAnsi="仿宋" w:eastAsia="仿宋" w:cs="仿宋"/>
          <w:color w:val="auto"/>
          <w:sz w:val="24"/>
        </w:rPr>
        <w:t>对</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项目进行了采购。经</w:t>
      </w:r>
      <w:r>
        <w:rPr>
          <w:rFonts w:hint="eastAsia" w:ascii="仿宋" w:hAnsi="仿宋" w:eastAsia="仿宋" w:cs="仿宋"/>
          <w:color w:val="auto"/>
          <w:sz w:val="24"/>
          <w:u w:val="single"/>
        </w:rPr>
        <w:t xml:space="preserve">   （相关评定主体名称）   </w:t>
      </w:r>
      <w:r>
        <w:rPr>
          <w:rFonts w:hint="eastAsia" w:ascii="仿宋" w:hAnsi="仿宋" w:eastAsia="仿宋" w:cs="仿宋"/>
          <w:color w:val="auto"/>
          <w:sz w:val="24"/>
        </w:rPr>
        <w:t>评定，</w:t>
      </w:r>
      <w:r>
        <w:rPr>
          <w:rFonts w:hint="eastAsia" w:ascii="仿宋" w:hAnsi="仿宋" w:eastAsia="仿宋" w:cs="仿宋"/>
          <w:color w:val="auto"/>
          <w:sz w:val="24"/>
          <w:u w:val="single"/>
        </w:rPr>
        <w:t xml:space="preserve">   （中标供应商名称） </w:t>
      </w:r>
      <w:r>
        <w:rPr>
          <w:rFonts w:hint="eastAsia" w:ascii="仿宋" w:hAnsi="仿宋" w:eastAsia="仿宋" w:cs="仿宋"/>
          <w:color w:val="auto"/>
          <w:sz w:val="24"/>
        </w:rPr>
        <w:t>为该项目中标供应商。现于中标通知书发出之日起三十日内，按照采购文件确定的事项签订本合同。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 w:val="24"/>
          <w:u w:val="single"/>
        </w:rPr>
        <w:t xml:space="preserve">   （采购人名称）   </w:t>
      </w:r>
      <w:r>
        <w:rPr>
          <w:rFonts w:hint="eastAsia" w:ascii="仿宋" w:hAnsi="仿宋" w:eastAsia="仿宋" w:cs="仿宋"/>
          <w:color w:val="auto"/>
          <w:sz w:val="24"/>
          <w:lang w:val="zh-CN"/>
        </w:rPr>
        <w:t>(以下简称：甲方)和</w:t>
      </w:r>
      <w:r>
        <w:rPr>
          <w:rFonts w:hint="eastAsia" w:ascii="仿宋" w:hAnsi="仿宋" w:eastAsia="仿宋" w:cs="仿宋"/>
          <w:color w:val="auto"/>
          <w:sz w:val="24"/>
          <w:u w:val="single"/>
        </w:rPr>
        <w:t xml:space="preserve">   （中标供应商名称）   </w:t>
      </w:r>
      <w:r>
        <w:rPr>
          <w:rFonts w:hint="eastAsia" w:ascii="仿宋" w:hAnsi="仿宋" w:eastAsia="仿宋" w:cs="仿宋"/>
          <w:color w:val="auto"/>
          <w:sz w:val="24"/>
          <w:lang w:val="zh-CN"/>
        </w:rPr>
        <w:t>(以下简称：乙方)协商一致，约定以下合同</w:t>
      </w:r>
      <w:r>
        <w:rPr>
          <w:rFonts w:hint="eastAsia" w:ascii="仿宋" w:hAnsi="仿宋" w:eastAsia="仿宋" w:cs="仿宋"/>
          <w:color w:val="auto"/>
          <w:sz w:val="24"/>
        </w:rPr>
        <w:t>条款，以兹共同遵守、全面履行。</w:t>
      </w:r>
    </w:p>
    <w:p>
      <w:pPr>
        <w:spacing w:line="560" w:lineRule="exact"/>
        <w:ind w:firstLine="482" w:firstLineChars="200"/>
        <w:outlineLvl w:val="0"/>
        <w:rPr>
          <w:rFonts w:ascii="仿宋" w:hAnsi="仿宋" w:eastAsia="仿宋" w:cs="仿宋"/>
          <w:color w:val="auto"/>
          <w:sz w:val="24"/>
        </w:rPr>
      </w:pPr>
      <w:bookmarkStart w:id="433" w:name="_Toc22967"/>
      <w:bookmarkStart w:id="434" w:name="_Toc15367"/>
      <w:bookmarkStart w:id="435" w:name="_Toc3882"/>
      <w:bookmarkStart w:id="436" w:name="_Toc20421"/>
      <w:bookmarkStart w:id="437" w:name="_Toc19273"/>
      <w:bookmarkStart w:id="438" w:name="_Toc28855"/>
      <w:bookmarkStart w:id="439" w:name="_Toc17242"/>
      <w:r>
        <w:rPr>
          <w:rFonts w:hint="eastAsia" w:ascii="仿宋" w:hAnsi="仿宋" w:eastAsia="仿宋" w:cs="仿宋"/>
          <w:b/>
          <w:bCs/>
          <w:color w:val="auto"/>
          <w:sz w:val="24"/>
        </w:rPr>
        <w:t>1.1 合同组成部分</w:t>
      </w:r>
      <w:bookmarkEnd w:id="433"/>
      <w:bookmarkEnd w:id="434"/>
      <w:bookmarkEnd w:id="435"/>
      <w:bookmarkEnd w:id="436"/>
      <w:bookmarkEnd w:id="437"/>
      <w:bookmarkEnd w:id="438"/>
      <w:bookmarkEnd w:id="439"/>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1.1.1 本合同及其补充合同、变更协议；</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1.1.2 中标通知书；</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1.1.3 投标文件（含澄清或者说明文件）；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1.1.4 采购文件（含澄清或者修改文件）；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1.1.5 其他相关采购文件。</w:t>
      </w:r>
    </w:p>
    <w:p>
      <w:pPr>
        <w:spacing w:line="560" w:lineRule="exact"/>
        <w:ind w:firstLine="482" w:firstLineChars="200"/>
        <w:outlineLvl w:val="0"/>
        <w:rPr>
          <w:rFonts w:ascii="仿宋" w:hAnsi="仿宋" w:eastAsia="仿宋" w:cs="仿宋"/>
          <w:b/>
          <w:bCs/>
          <w:color w:val="auto"/>
          <w:sz w:val="24"/>
        </w:rPr>
      </w:pPr>
      <w:bookmarkStart w:id="440" w:name="_Toc6773"/>
      <w:bookmarkStart w:id="441" w:name="_Toc22185"/>
      <w:bookmarkStart w:id="442" w:name="_Toc15802"/>
      <w:bookmarkStart w:id="443" w:name="_Toc3812"/>
      <w:bookmarkStart w:id="444" w:name="_Toc2918"/>
      <w:bookmarkStart w:id="445" w:name="_Toc6311"/>
      <w:bookmarkStart w:id="446" w:name="_Toc18585"/>
      <w:r>
        <w:rPr>
          <w:rFonts w:hint="eastAsia" w:ascii="仿宋" w:hAnsi="仿宋" w:eastAsia="仿宋" w:cs="仿宋"/>
          <w:b/>
          <w:bCs/>
          <w:color w:val="auto"/>
          <w:sz w:val="24"/>
        </w:rPr>
        <w:t>1.2 标的</w:t>
      </w:r>
      <w:bookmarkEnd w:id="440"/>
      <w:bookmarkEnd w:id="441"/>
      <w:bookmarkEnd w:id="442"/>
      <w:bookmarkEnd w:id="443"/>
      <w:bookmarkEnd w:id="444"/>
      <w:bookmarkEnd w:id="445"/>
      <w:bookmarkEnd w:id="446"/>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1.2.1 标的名称：</w:t>
      </w:r>
      <w:r>
        <w:rPr>
          <w:rFonts w:hint="eastAsia" w:ascii="仿宋" w:hAnsi="仿宋" w:eastAsia="仿宋" w:cs="仿宋"/>
          <w:color w:val="auto"/>
          <w:sz w:val="24"/>
          <w:u w:val="single"/>
        </w:rPr>
        <w:t xml:space="preserve">                （详见清单）</w:t>
      </w:r>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1.2.2 标的数量：</w:t>
      </w:r>
      <w:r>
        <w:rPr>
          <w:rFonts w:hint="eastAsia" w:ascii="仿宋" w:hAnsi="仿宋" w:eastAsia="仿宋" w:cs="仿宋"/>
          <w:color w:val="auto"/>
          <w:sz w:val="24"/>
          <w:u w:val="single"/>
        </w:rPr>
        <w:t>按采购文件要求（详见清单）</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1.2.3 标的质量：</w:t>
      </w:r>
      <w:r>
        <w:rPr>
          <w:rFonts w:hint="eastAsia" w:ascii="仿宋" w:hAnsi="仿宋" w:eastAsia="仿宋" w:cs="仿宋"/>
          <w:color w:val="auto"/>
          <w:sz w:val="24"/>
          <w:u w:val="single"/>
        </w:rPr>
        <w:t>按采购文件要求和投标文件的实际填写。</w:t>
      </w:r>
    </w:p>
    <w:p>
      <w:pPr>
        <w:spacing w:line="560" w:lineRule="exact"/>
        <w:ind w:firstLine="482" w:firstLineChars="200"/>
        <w:outlineLvl w:val="0"/>
        <w:rPr>
          <w:rFonts w:ascii="仿宋" w:hAnsi="仿宋" w:eastAsia="仿宋" w:cs="仿宋"/>
          <w:b/>
          <w:bCs/>
          <w:color w:val="auto"/>
          <w:sz w:val="24"/>
        </w:rPr>
      </w:pPr>
      <w:bookmarkStart w:id="447" w:name="_Toc1386"/>
      <w:bookmarkStart w:id="448" w:name="_Toc5635"/>
      <w:bookmarkStart w:id="449" w:name="_Toc4929"/>
      <w:bookmarkStart w:id="450" w:name="_Toc20397"/>
      <w:bookmarkStart w:id="451" w:name="_Toc21124"/>
      <w:bookmarkStart w:id="452" w:name="_Toc9410"/>
      <w:bookmarkStart w:id="453" w:name="_Toc13918"/>
      <w:r>
        <w:rPr>
          <w:rFonts w:hint="eastAsia" w:ascii="仿宋" w:hAnsi="仿宋" w:eastAsia="仿宋" w:cs="仿宋"/>
          <w:b/>
          <w:bCs/>
          <w:color w:val="auto"/>
          <w:sz w:val="24"/>
        </w:rPr>
        <w:t>1.3 价款</w:t>
      </w:r>
      <w:bookmarkEnd w:id="447"/>
      <w:bookmarkEnd w:id="448"/>
      <w:bookmarkEnd w:id="449"/>
      <w:bookmarkEnd w:id="450"/>
      <w:bookmarkEnd w:id="451"/>
      <w:bookmarkEnd w:id="452"/>
      <w:bookmarkEnd w:id="45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本合同总价为：￥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元人民币）。</w:t>
      </w:r>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3402" w:type="dxa"/>
            <w:vAlign w:val="center"/>
          </w:tcPr>
          <w:p>
            <w:pPr>
              <w:pStyle w:val="52"/>
              <w:spacing w:line="560" w:lineRule="exact"/>
              <w:ind w:firstLine="20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产品名称</w:t>
            </w:r>
          </w:p>
        </w:tc>
        <w:tc>
          <w:tcPr>
            <w:tcW w:w="2552" w:type="dxa"/>
            <w:vAlign w:val="center"/>
          </w:tcPr>
          <w:p>
            <w:pPr>
              <w:pStyle w:val="52"/>
              <w:spacing w:line="560" w:lineRule="exact"/>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ascii="仿宋" w:hAnsi="仿宋" w:eastAsia="仿宋" w:cs="仿宋"/>
                <w:color w:val="auto"/>
                <w:kern w:val="2"/>
                <w:sz w:val="24"/>
                <w:szCs w:val="24"/>
              </w:rPr>
            </w:pPr>
          </w:p>
        </w:tc>
        <w:tc>
          <w:tcPr>
            <w:tcW w:w="3402" w:type="dxa"/>
            <w:vAlign w:val="center"/>
          </w:tcPr>
          <w:p>
            <w:pPr>
              <w:pStyle w:val="52"/>
              <w:spacing w:line="560" w:lineRule="exact"/>
              <w:ind w:firstLine="200"/>
              <w:jc w:val="center"/>
              <w:rPr>
                <w:rFonts w:ascii="仿宋" w:hAnsi="仿宋" w:eastAsia="仿宋" w:cs="仿宋"/>
                <w:color w:val="auto"/>
                <w:kern w:val="2"/>
                <w:sz w:val="24"/>
                <w:szCs w:val="24"/>
              </w:rPr>
            </w:pPr>
          </w:p>
        </w:tc>
        <w:tc>
          <w:tcPr>
            <w:tcW w:w="2552" w:type="dxa"/>
            <w:vAlign w:val="center"/>
          </w:tcPr>
          <w:p>
            <w:pPr>
              <w:pStyle w:val="52"/>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ascii="仿宋" w:hAnsi="仿宋" w:eastAsia="仿宋" w:cs="仿宋"/>
                <w:color w:val="auto"/>
                <w:kern w:val="2"/>
                <w:sz w:val="24"/>
                <w:szCs w:val="24"/>
              </w:rPr>
            </w:pPr>
          </w:p>
        </w:tc>
        <w:tc>
          <w:tcPr>
            <w:tcW w:w="3402" w:type="dxa"/>
            <w:vAlign w:val="center"/>
          </w:tcPr>
          <w:p>
            <w:pPr>
              <w:pStyle w:val="52"/>
              <w:spacing w:line="560" w:lineRule="exact"/>
              <w:ind w:firstLine="200"/>
              <w:jc w:val="center"/>
              <w:rPr>
                <w:rFonts w:ascii="仿宋" w:hAnsi="仿宋" w:eastAsia="仿宋" w:cs="仿宋"/>
                <w:color w:val="auto"/>
                <w:kern w:val="2"/>
                <w:sz w:val="24"/>
                <w:szCs w:val="24"/>
              </w:rPr>
            </w:pPr>
          </w:p>
        </w:tc>
        <w:tc>
          <w:tcPr>
            <w:tcW w:w="2552" w:type="dxa"/>
            <w:vAlign w:val="center"/>
          </w:tcPr>
          <w:p>
            <w:pPr>
              <w:pStyle w:val="52"/>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ascii="仿宋" w:hAnsi="仿宋" w:eastAsia="仿宋" w:cs="仿宋"/>
                <w:color w:val="auto"/>
                <w:kern w:val="2"/>
                <w:sz w:val="24"/>
                <w:szCs w:val="24"/>
              </w:rPr>
            </w:pPr>
          </w:p>
        </w:tc>
        <w:tc>
          <w:tcPr>
            <w:tcW w:w="3402" w:type="dxa"/>
            <w:vAlign w:val="center"/>
          </w:tcPr>
          <w:p>
            <w:pPr>
              <w:pStyle w:val="52"/>
              <w:spacing w:line="560" w:lineRule="exact"/>
              <w:ind w:firstLine="200"/>
              <w:jc w:val="center"/>
              <w:rPr>
                <w:rFonts w:ascii="仿宋" w:hAnsi="仿宋" w:eastAsia="仿宋" w:cs="仿宋"/>
                <w:color w:val="auto"/>
                <w:kern w:val="2"/>
                <w:sz w:val="24"/>
                <w:szCs w:val="24"/>
              </w:rPr>
            </w:pPr>
          </w:p>
        </w:tc>
        <w:tc>
          <w:tcPr>
            <w:tcW w:w="2552" w:type="dxa"/>
            <w:vAlign w:val="center"/>
          </w:tcPr>
          <w:p>
            <w:pPr>
              <w:pStyle w:val="52"/>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ascii="仿宋" w:hAnsi="仿宋" w:eastAsia="仿宋" w:cs="仿宋"/>
                <w:color w:val="auto"/>
                <w:kern w:val="2"/>
                <w:sz w:val="24"/>
                <w:szCs w:val="24"/>
              </w:rPr>
            </w:pPr>
          </w:p>
        </w:tc>
        <w:tc>
          <w:tcPr>
            <w:tcW w:w="3402" w:type="dxa"/>
            <w:vAlign w:val="center"/>
          </w:tcPr>
          <w:p>
            <w:pPr>
              <w:pStyle w:val="52"/>
              <w:spacing w:line="560" w:lineRule="exact"/>
              <w:ind w:firstLine="200"/>
              <w:jc w:val="center"/>
              <w:rPr>
                <w:rFonts w:ascii="仿宋" w:hAnsi="仿宋" w:eastAsia="仿宋" w:cs="仿宋"/>
                <w:color w:val="auto"/>
                <w:kern w:val="2"/>
                <w:sz w:val="24"/>
                <w:szCs w:val="24"/>
              </w:rPr>
            </w:pPr>
          </w:p>
        </w:tc>
        <w:tc>
          <w:tcPr>
            <w:tcW w:w="2552" w:type="dxa"/>
            <w:vAlign w:val="center"/>
          </w:tcPr>
          <w:p>
            <w:pPr>
              <w:pStyle w:val="52"/>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2"/>
              <w:spacing w:line="560" w:lineRule="exact"/>
              <w:ind w:firstLine="20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总价</w:t>
            </w:r>
          </w:p>
        </w:tc>
        <w:tc>
          <w:tcPr>
            <w:tcW w:w="2552" w:type="dxa"/>
            <w:vAlign w:val="center"/>
          </w:tcPr>
          <w:p>
            <w:pPr>
              <w:pStyle w:val="52"/>
              <w:spacing w:line="560" w:lineRule="exact"/>
              <w:ind w:firstLine="200"/>
              <w:jc w:val="center"/>
              <w:rPr>
                <w:rFonts w:ascii="仿宋" w:hAnsi="仿宋" w:eastAsia="仿宋" w:cs="仿宋"/>
                <w:color w:val="auto"/>
                <w:kern w:val="2"/>
                <w:sz w:val="24"/>
                <w:szCs w:val="24"/>
              </w:rPr>
            </w:pPr>
          </w:p>
        </w:tc>
      </w:tr>
    </w:tbl>
    <w:p>
      <w:pPr>
        <w:spacing w:line="560" w:lineRule="exact"/>
        <w:ind w:firstLine="482" w:firstLineChars="200"/>
        <w:outlineLvl w:val="0"/>
        <w:rPr>
          <w:rFonts w:ascii="仿宋" w:hAnsi="仿宋" w:eastAsia="仿宋" w:cs="仿宋"/>
          <w:b/>
          <w:bCs/>
          <w:color w:val="auto"/>
          <w:sz w:val="24"/>
        </w:rPr>
      </w:pPr>
      <w:bookmarkStart w:id="454" w:name="_Toc30158"/>
      <w:bookmarkStart w:id="455" w:name="_Toc14993"/>
      <w:bookmarkStart w:id="456" w:name="_Toc3654"/>
      <w:bookmarkStart w:id="457" w:name="_Toc26916"/>
      <w:bookmarkStart w:id="458" w:name="_Toc32033"/>
      <w:bookmarkStart w:id="459" w:name="_Toc30506"/>
      <w:bookmarkStart w:id="460" w:name="_Toc28390"/>
      <w:r>
        <w:rPr>
          <w:rFonts w:hint="eastAsia" w:ascii="仿宋" w:hAnsi="仿宋" w:eastAsia="仿宋" w:cs="仿宋"/>
          <w:b/>
          <w:bCs/>
          <w:color w:val="auto"/>
          <w:sz w:val="24"/>
        </w:rPr>
        <w:t>1.4 付款方式和发票开具方式</w:t>
      </w:r>
      <w:bookmarkEnd w:id="454"/>
      <w:bookmarkEnd w:id="455"/>
      <w:bookmarkEnd w:id="456"/>
      <w:bookmarkEnd w:id="457"/>
      <w:bookmarkEnd w:id="458"/>
      <w:bookmarkEnd w:id="459"/>
      <w:bookmarkEnd w:id="460"/>
    </w:p>
    <w:p>
      <w:pPr>
        <w:pStyle w:val="17"/>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1.4.1付款方式：详见采购文件要求。</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1.4.2 发票开具方式：乙方提供发票</w:t>
      </w:r>
    </w:p>
    <w:p>
      <w:pPr>
        <w:spacing w:line="560" w:lineRule="exact"/>
        <w:ind w:firstLine="482" w:firstLineChars="200"/>
        <w:outlineLvl w:val="0"/>
        <w:rPr>
          <w:rFonts w:ascii="仿宋" w:hAnsi="仿宋" w:eastAsia="仿宋" w:cs="仿宋"/>
          <w:b/>
          <w:bCs/>
          <w:color w:val="auto"/>
          <w:sz w:val="24"/>
        </w:rPr>
      </w:pPr>
      <w:bookmarkStart w:id="461" w:name="_Toc4760"/>
      <w:bookmarkStart w:id="462" w:name="_Toc8772"/>
      <w:bookmarkStart w:id="463" w:name="_Toc3625"/>
      <w:bookmarkStart w:id="464" w:name="_Toc22097"/>
      <w:bookmarkStart w:id="465" w:name="_Toc31421"/>
      <w:bookmarkStart w:id="466" w:name="_Toc11108"/>
      <w:bookmarkStart w:id="467" w:name="_Toc19889"/>
      <w:r>
        <w:rPr>
          <w:rFonts w:hint="eastAsia" w:ascii="仿宋" w:hAnsi="仿宋" w:eastAsia="仿宋" w:cs="仿宋"/>
          <w:b/>
          <w:bCs/>
          <w:color w:val="auto"/>
          <w:sz w:val="24"/>
        </w:rPr>
        <w:t>1.5 履行期限、地点和方式</w:t>
      </w:r>
      <w:bookmarkEnd w:id="461"/>
      <w:bookmarkEnd w:id="462"/>
      <w:bookmarkEnd w:id="463"/>
      <w:bookmarkEnd w:id="464"/>
      <w:bookmarkEnd w:id="465"/>
      <w:bookmarkEnd w:id="466"/>
      <w:bookmarkEnd w:id="467"/>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1.5.1 履行期限：</w:t>
      </w:r>
      <w:r>
        <w:rPr>
          <w:rFonts w:hint="eastAsia" w:ascii="仿宋" w:hAnsi="仿宋" w:eastAsia="仿宋" w:cs="仿宋"/>
          <w:color w:val="auto"/>
          <w:sz w:val="24"/>
          <w:u w:val="single"/>
        </w:rPr>
        <w:t xml:space="preserve">  按采购文件要求      </w:t>
      </w:r>
    </w:p>
    <w:p>
      <w:pPr>
        <w:spacing w:line="56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 xml:space="preserve">1.5.2 </w:t>
      </w:r>
      <w:r>
        <w:rPr>
          <w:rFonts w:hint="eastAsia" w:ascii="仿宋" w:hAnsi="仿宋" w:eastAsia="仿宋" w:cs="仿宋"/>
          <w:b/>
          <w:bCs/>
          <w:color w:val="auto"/>
          <w:sz w:val="24"/>
        </w:rPr>
        <w:t>履行地点：采购人指定地点</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1.5.3 履行方式：现场验收。</w:t>
      </w:r>
    </w:p>
    <w:p>
      <w:pPr>
        <w:spacing w:line="560" w:lineRule="exact"/>
        <w:ind w:firstLine="482" w:firstLineChars="200"/>
        <w:outlineLvl w:val="0"/>
        <w:rPr>
          <w:rFonts w:ascii="仿宋" w:hAnsi="仿宋" w:eastAsia="仿宋" w:cs="仿宋"/>
          <w:color w:val="auto"/>
          <w:sz w:val="24"/>
          <w:u w:val="single"/>
        </w:rPr>
      </w:pPr>
      <w:bookmarkStart w:id="468" w:name="_Toc2375"/>
      <w:bookmarkStart w:id="469" w:name="_Toc6232"/>
      <w:bookmarkStart w:id="470" w:name="_Toc5698"/>
      <w:bookmarkStart w:id="471" w:name="_Toc24662"/>
      <w:bookmarkStart w:id="472" w:name="_Toc8586"/>
      <w:bookmarkStart w:id="473" w:name="_Toc3079"/>
      <w:bookmarkStart w:id="474" w:name="_Toc17356"/>
      <w:r>
        <w:rPr>
          <w:rFonts w:hint="eastAsia" w:ascii="仿宋" w:hAnsi="仿宋" w:eastAsia="仿宋" w:cs="仿宋"/>
          <w:b/>
          <w:bCs/>
          <w:color w:val="auto"/>
          <w:sz w:val="24"/>
        </w:rPr>
        <w:t>1.6 违约责任</w:t>
      </w:r>
      <w:bookmarkEnd w:id="468"/>
      <w:bookmarkEnd w:id="469"/>
      <w:bookmarkEnd w:id="470"/>
      <w:bookmarkEnd w:id="471"/>
      <w:bookmarkEnd w:id="472"/>
      <w:bookmarkEnd w:id="473"/>
      <w:bookmarkEnd w:id="474"/>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%；迟延履行的违约金计算数额达到前述最高限额之日起，甲方有权在要求乙方支付违约金的同时，书面通知乙方解除本合同；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仿宋" w:hAnsi="仿宋" w:eastAsia="仿宋" w:cs="仿宋"/>
          <w:b/>
          <w:bCs/>
          <w:color w:val="auto"/>
          <w:sz w:val="24"/>
        </w:rPr>
      </w:pPr>
      <w:bookmarkStart w:id="475" w:name="_Toc26807"/>
      <w:bookmarkStart w:id="476" w:name="_Toc18683"/>
      <w:bookmarkStart w:id="477" w:name="_Toc9497"/>
      <w:bookmarkStart w:id="478" w:name="_Toc30329"/>
      <w:bookmarkStart w:id="479" w:name="_Toc26428"/>
      <w:bookmarkStart w:id="480" w:name="_Toc32454"/>
      <w:bookmarkStart w:id="481" w:name="_Toc30499"/>
      <w:r>
        <w:rPr>
          <w:rFonts w:hint="eastAsia" w:ascii="仿宋" w:hAnsi="仿宋" w:eastAsia="仿宋" w:cs="仿宋"/>
          <w:b/>
          <w:bCs/>
          <w:color w:val="auto"/>
          <w:sz w:val="24"/>
        </w:rPr>
        <w:t>1.7 合同争议的解决</w:t>
      </w:r>
      <w:bookmarkEnd w:id="475"/>
      <w:bookmarkEnd w:id="476"/>
      <w:bookmarkEnd w:id="477"/>
      <w:bookmarkEnd w:id="478"/>
      <w:bookmarkEnd w:id="479"/>
      <w:bookmarkEnd w:id="480"/>
      <w:bookmarkEnd w:id="481"/>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u w:val="single"/>
        </w:rPr>
        <w:t xml:space="preserve"> 2 </w:t>
      </w:r>
      <w:r>
        <w:rPr>
          <w:rFonts w:hint="eastAsia" w:ascii="仿宋" w:hAnsi="仿宋" w:eastAsia="仿宋" w:cs="仿宋"/>
          <w:color w:val="auto"/>
          <w:sz w:val="24"/>
        </w:rPr>
        <w:t>种方式解决：</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1.7.1 将争议提交</w:t>
      </w:r>
      <w:r>
        <w:rPr>
          <w:rFonts w:hint="eastAsia" w:ascii="仿宋" w:hAnsi="仿宋" w:eastAsia="仿宋" w:cs="仿宋"/>
          <w:color w:val="auto"/>
          <w:sz w:val="24"/>
          <w:u w:val="single"/>
        </w:rPr>
        <w:t xml:space="preserve">              </w:t>
      </w:r>
      <w:r>
        <w:rPr>
          <w:rFonts w:hint="eastAsia" w:ascii="仿宋" w:hAnsi="仿宋" w:eastAsia="仿宋" w:cs="仿宋"/>
          <w:color w:val="auto"/>
          <w:sz w:val="24"/>
        </w:rPr>
        <w:t>仲裁委员会依申请仲裁时其现行有效的仲裁规则裁决；</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1.7.2 向</w:t>
      </w:r>
      <w:r>
        <w:rPr>
          <w:rFonts w:hint="eastAsia" w:ascii="仿宋" w:hAnsi="仿宋" w:eastAsia="仿宋" w:cs="仿宋"/>
          <w:color w:val="auto"/>
          <w:sz w:val="24"/>
          <w:u w:val="single"/>
          <w:lang w:val="en-US" w:eastAsia="zh-CN"/>
        </w:rPr>
        <w:t>阿图什</w:t>
      </w:r>
      <w:r>
        <w:rPr>
          <w:rFonts w:hint="eastAsia" w:ascii="仿宋" w:hAnsi="仿宋" w:eastAsia="仿宋" w:cs="仿宋"/>
          <w:color w:val="auto"/>
          <w:sz w:val="24"/>
          <w:u w:val="single"/>
        </w:rPr>
        <w:t>市</w:t>
      </w:r>
      <w:r>
        <w:rPr>
          <w:rFonts w:hint="eastAsia" w:ascii="仿宋" w:hAnsi="仿宋" w:eastAsia="仿宋" w:cs="仿宋"/>
          <w:color w:val="auto"/>
          <w:sz w:val="24"/>
        </w:rPr>
        <w:t>人民法院起诉。</w:t>
      </w:r>
    </w:p>
    <w:p>
      <w:pPr>
        <w:spacing w:line="560" w:lineRule="exact"/>
        <w:ind w:firstLine="482" w:firstLineChars="200"/>
        <w:outlineLvl w:val="0"/>
        <w:rPr>
          <w:rFonts w:ascii="仿宋" w:hAnsi="仿宋" w:eastAsia="仿宋" w:cs="仿宋"/>
          <w:b/>
          <w:bCs/>
          <w:color w:val="auto"/>
          <w:sz w:val="24"/>
        </w:rPr>
      </w:pPr>
      <w:bookmarkStart w:id="482" w:name="_Toc12273"/>
      <w:bookmarkStart w:id="483" w:name="_Toc16417"/>
      <w:bookmarkStart w:id="484" w:name="_Toc29940"/>
      <w:bookmarkStart w:id="485" w:name="_Toc23784"/>
      <w:bookmarkStart w:id="486" w:name="_Toc26227"/>
      <w:bookmarkStart w:id="487" w:name="_Toc569"/>
      <w:bookmarkStart w:id="488" w:name="_Toc15827"/>
      <w:r>
        <w:rPr>
          <w:rFonts w:hint="eastAsia" w:ascii="仿宋" w:hAnsi="仿宋" w:eastAsia="仿宋" w:cs="仿宋"/>
          <w:b/>
          <w:bCs/>
          <w:color w:val="auto"/>
          <w:sz w:val="24"/>
        </w:rPr>
        <w:t>1.8 合同生效</w:t>
      </w:r>
      <w:bookmarkEnd w:id="482"/>
      <w:bookmarkEnd w:id="483"/>
      <w:bookmarkEnd w:id="484"/>
      <w:bookmarkEnd w:id="485"/>
      <w:bookmarkEnd w:id="486"/>
      <w:bookmarkEnd w:id="487"/>
      <w:bookmarkEnd w:id="488"/>
    </w:p>
    <w:p>
      <w:pPr>
        <w:spacing w:line="56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本合同自双方当事人盖章或者签字时生效。</w:t>
      </w:r>
    </w:p>
    <w:p>
      <w:pPr>
        <w:autoSpaceDE w:val="0"/>
        <w:autoSpaceDN w:val="0"/>
        <w:adjustRightInd w:val="0"/>
        <w:spacing w:line="560" w:lineRule="exact"/>
        <w:rPr>
          <w:rFonts w:ascii="仿宋" w:hAnsi="仿宋" w:eastAsia="仿宋" w:cs="仿宋"/>
          <w:color w:val="auto"/>
          <w:sz w:val="24"/>
          <w:lang w:val="zh-CN"/>
        </w:rPr>
      </w:pP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b/>
          <w:bCs/>
          <w:color w:val="auto"/>
          <w:sz w:val="24"/>
          <w:lang w:val="zh-CN"/>
        </w:rPr>
        <w:t>甲方</w:t>
      </w:r>
      <w:r>
        <w:rPr>
          <w:rFonts w:hint="eastAsia" w:ascii="仿宋" w:hAnsi="仿宋" w:eastAsia="仿宋" w:cs="仿宋"/>
          <w:color w:val="auto"/>
          <w:sz w:val="24"/>
          <w:lang w:val="zh-CN"/>
        </w:rPr>
        <w:t xml:space="preserve">：                             </w:t>
      </w:r>
      <w:r>
        <w:rPr>
          <w:rFonts w:hint="eastAsia" w:ascii="仿宋" w:hAnsi="仿宋" w:eastAsia="仿宋" w:cs="仿宋"/>
          <w:b/>
          <w:bCs/>
          <w:color w:val="auto"/>
          <w:sz w:val="24"/>
          <w:lang w:val="zh-CN"/>
        </w:rPr>
        <w:t xml:space="preserve">      乙方</w:t>
      </w:r>
      <w:r>
        <w:rPr>
          <w:rFonts w:hint="eastAsia" w:ascii="仿宋" w:hAnsi="仿宋" w:eastAsia="仿宋" w:cs="仿宋"/>
          <w:color w:val="auto"/>
          <w:sz w:val="24"/>
          <w:lang w:val="zh-CN"/>
        </w:rPr>
        <w:t>：</w:t>
      </w:r>
    </w:p>
    <w:p>
      <w:pPr>
        <w:autoSpaceDE w:val="0"/>
        <w:autoSpaceDN w:val="0"/>
        <w:adjustRightInd w:val="0"/>
        <w:spacing w:line="560" w:lineRule="exact"/>
        <w:ind w:left="5040" w:hanging="5040" w:hangingChars="2100"/>
        <w:rPr>
          <w:rFonts w:ascii="仿宋" w:hAnsi="仿宋" w:eastAsia="仿宋" w:cs="仿宋"/>
          <w:color w:val="auto"/>
          <w:sz w:val="24"/>
          <w:lang w:val="zh-CN"/>
        </w:rPr>
      </w:pPr>
      <w:r>
        <w:rPr>
          <w:rFonts w:hint="eastAsia" w:ascii="仿宋" w:hAnsi="仿宋" w:eastAsia="仿宋" w:cs="仿宋"/>
          <w:color w:val="auto"/>
          <w:sz w:val="24"/>
          <w:lang w:val="zh-CN"/>
        </w:rPr>
        <w:t>统一社会信用代码：                        统一社会信用代码或身份证号码：</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住所：                                   住所：</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法定代表人或                             法定代表人</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授权代表（签字）：                        或授权代表（签字）: </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联系人：                                 联系人：</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约定送达地址：                           约定送达地址：</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邮政编码：                               邮政编码：</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电话:                                    电话: </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传真:                                    传真:</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lang w:val="zh-CN"/>
        </w:rPr>
        <w:t>电子邮箱：                               电子邮箱：</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 xml:space="preserve">开户银行：                               开户银行： </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 xml:space="preserve">开户名称：                               开户名称： </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开户账号：</w:t>
      </w:r>
      <w:r>
        <w:rPr>
          <w:rFonts w:hint="eastAsia" w:ascii="仿宋" w:hAnsi="仿宋" w:eastAsia="仿宋" w:cs="仿宋"/>
          <w:color w:val="auto"/>
          <w:sz w:val="24"/>
          <w:lang w:val="zh-CN"/>
        </w:rPr>
        <w:t xml:space="preserve">                               </w:t>
      </w:r>
      <w:r>
        <w:rPr>
          <w:rFonts w:hint="eastAsia" w:ascii="仿宋" w:hAnsi="仿宋" w:eastAsia="仿宋" w:cs="仿宋"/>
          <w:color w:val="auto"/>
          <w:sz w:val="24"/>
        </w:rPr>
        <w:t>开户账号：</w:t>
      </w:r>
    </w:p>
    <w:p>
      <w:pPr>
        <w:widowControl/>
        <w:spacing w:line="560" w:lineRule="exact"/>
        <w:jc w:val="left"/>
        <w:rPr>
          <w:rFonts w:ascii="仿宋" w:hAnsi="仿宋" w:eastAsia="仿宋" w:cs="仿宋"/>
          <w:b/>
          <w:bCs/>
          <w:color w:val="auto"/>
          <w:sz w:val="24"/>
        </w:rPr>
      </w:pPr>
    </w:p>
    <w:p>
      <w:pPr>
        <w:widowControl/>
        <w:spacing w:line="560" w:lineRule="exact"/>
        <w:jc w:val="left"/>
        <w:rPr>
          <w:rFonts w:ascii="仿宋" w:hAnsi="仿宋" w:eastAsia="仿宋" w:cs="仿宋"/>
          <w:b/>
          <w:bCs/>
          <w:color w:val="auto"/>
          <w:kern w:val="0"/>
          <w:sz w:val="24"/>
        </w:rPr>
      </w:pPr>
    </w:p>
    <w:p>
      <w:pPr>
        <w:pStyle w:val="53"/>
        <w:spacing w:line="560" w:lineRule="exact"/>
        <w:ind w:firstLine="200"/>
        <w:jc w:val="center"/>
        <w:outlineLvl w:val="1"/>
        <w:rPr>
          <w:rFonts w:ascii="仿宋" w:hAnsi="仿宋" w:eastAsia="仿宋" w:cs="仿宋"/>
          <w:b/>
          <w:bCs/>
          <w:color w:val="auto"/>
          <w:szCs w:val="24"/>
        </w:rPr>
      </w:pPr>
      <w:bookmarkStart w:id="489" w:name="_Toc21108"/>
      <w:r>
        <w:rPr>
          <w:rFonts w:hint="eastAsia" w:ascii="仿宋" w:hAnsi="仿宋" w:eastAsia="仿宋" w:cs="仿宋"/>
          <w:b/>
          <w:bCs/>
          <w:color w:val="auto"/>
          <w:szCs w:val="24"/>
        </w:rPr>
        <w:t>第二部分 合同一般条款</w:t>
      </w:r>
      <w:bookmarkEnd w:id="489"/>
    </w:p>
    <w:p>
      <w:pPr>
        <w:spacing w:line="560" w:lineRule="exact"/>
        <w:ind w:firstLine="482" w:firstLineChars="200"/>
        <w:outlineLvl w:val="0"/>
        <w:rPr>
          <w:rFonts w:ascii="仿宋" w:hAnsi="仿宋" w:eastAsia="仿宋" w:cs="仿宋"/>
          <w:b/>
          <w:bCs/>
          <w:color w:val="auto"/>
          <w:sz w:val="24"/>
        </w:rPr>
      </w:pPr>
      <w:bookmarkStart w:id="490" w:name="_Toc31297"/>
      <w:bookmarkStart w:id="491" w:name="_Toc14021"/>
      <w:bookmarkStart w:id="492" w:name="_Toc6607"/>
      <w:bookmarkStart w:id="493" w:name="_Toc19680"/>
      <w:bookmarkStart w:id="494" w:name="_Toc5228"/>
      <w:bookmarkStart w:id="495" w:name="_Toc25079"/>
      <w:bookmarkStart w:id="496" w:name="_Toc7603"/>
      <w:r>
        <w:rPr>
          <w:rFonts w:hint="eastAsia" w:ascii="仿宋" w:hAnsi="仿宋" w:eastAsia="仿宋" w:cs="仿宋"/>
          <w:b/>
          <w:bCs/>
          <w:color w:val="auto"/>
          <w:sz w:val="24"/>
        </w:rPr>
        <w:t>2.1 定义</w:t>
      </w:r>
      <w:bookmarkEnd w:id="490"/>
      <w:bookmarkEnd w:id="491"/>
      <w:bookmarkEnd w:id="492"/>
      <w:bookmarkEnd w:id="493"/>
      <w:bookmarkEnd w:id="494"/>
      <w:bookmarkEnd w:id="495"/>
      <w:bookmarkEnd w:id="496"/>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本合同中的下列词语应按以下内容进行解释：</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2.1.1 “合同”系指采购人和中标供应商签订的载明双方当事人所达成的协议，并包括所有的附件、附录和构成合同的其他文件。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2.1.2 “合同价”系指根据合同约定，中标供应商在完全履行合同义务后，采购人应支付给中标供应商的价格。</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 “甲方”系指与中标供应商签署合同的采购人；采购人委托采购代理机构代表其与乙方签订合同的，采购人的授权委托书作为合同附件。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 “现场”系指合同约定提供服务的地点。</w:t>
      </w:r>
    </w:p>
    <w:p>
      <w:pPr>
        <w:spacing w:line="560" w:lineRule="exact"/>
        <w:ind w:firstLine="482" w:firstLineChars="200"/>
        <w:outlineLvl w:val="0"/>
        <w:rPr>
          <w:rFonts w:ascii="仿宋" w:hAnsi="仿宋" w:eastAsia="仿宋" w:cs="仿宋"/>
          <w:b/>
          <w:bCs/>
          <w:color w:val="auto"/>
          <w:sz w:val="24"/>
        </w:rPr>
      </w:pPr>
      <w:bookmarkStart w:id="497" w:name="_Toc15264"/>
      <w:bookmarkStart w:id="498" w:name="_Toc3769"/>
      <w:bookmarkStart w:id="499" w:name="_Toc23289"/>
      <w:bookmarkStart w:id="500" w:name="_Toc16752"/>
      <w:bookmarkStart w:id="501" w:name="_Toc31402"/>
      <w:bookmarkStart w:id="502" w:name="_Toc13852"/>
      <w:bookmarkStart w:id="503" w:name="_Toc19539"/>
      <w:r>
        <w:rPr>
          <w:rFonts w:hint="eastAsia" w:ascii="仿宋" w:hAnsi="仿宋" w:eastAsia="仿宋" w:cs="仿宋"/>
          <w:b/>
          <w:bCs/>
          <w:color w:val="auto"/>
          <w:sz w:val="24"/>
        </w:rPr>
        <w:t>2.2 技术规范</w:t>
      </w:r>
      <w:bookmarkEnd w:id="497"/>
      <w:bookmarkEnd w:id="498"/>
      <w:bookmarkEnd w:id="499"/>
      <w:bookmarkEnd w:id="500"/>
      <w:bookmarkEnd w:id="501"/>
      <w:bookmarkEnd w:id="502"/>
      <w:bookmarkEnd w:id="50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仿宋" w:hAnsi="仿宋" w:eastAsia="仿宋" w:cs="仿宋"/>
          <w:b/>
          <w:bCs/>
          <w:color w:val="auto"/>
          <w:sz w:val="24"/>
        </w:rPr>
      </w:pPr>
      <w:bookmarkStart w:id="504" w:name="_Toc27945"/>
      <w:bookmarkStart w:id="505" w:name="_Toc12216"/>
      <w:bookmarkStart w:id="506" w:name="_Toc12412"/>
      <w:bookmarkStart w:id="507" w:name="_Toc4133"/>
      <w:bookmarkStart w:id="508" w:name="_Toc13673"/>
      <w:bookmarkStart w:id="509" w:name="_Toc9161"/>
      <w:bookmarkStart w:id="510" w:name="_Toc5197"/>
      <w:r>
        <w:rPr>
          <w:rFonts w:hint="eastAsia" w:ascii="仿宋" w:hAnsi="仿宋" w:eastAsia="仿宋" w:cs="仿宋"/>
          <w:b/>
          <w:bCs/>
          <w:color w:val="auto"/>
          <w:sz w:val="24"/>
        </w:rPr>
        <w:t>2.3 知识产权</w:t>
      </w:r>
      <w:bookmarkEnd w:id="504"/>
      <w:bookmarkEnd w:id="505"/>
      <w:bookmarkEnd w:id="506"/>
      <w:bookmarkEnd w:id="507"/>
      <w:bookmarkEnd w:id="508"/>
      <w:bookmarkEnd w:id="509"/>
      <w:bookmarkEnd w:id="510"/>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2.4 履约检查和问题反馈</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2.4.1甲方有权在其认为必要时，对乙方是否能够按照合同约定提供服务进行履约检查，以确保乙方所提供的服务能够依约满足甲方之采购需求，但不得因履约检查妨碍乙方的正常工作，乙方应予积极配合；</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2.4.2 合同履行期间，甲方有权将履行过程中出现的问题反馈给乙方，双方当事人应以书面形式约定需要完善和改进的内容。</w:t>
      </w:r>
    </w:p>
    <w:p>
      <w:pPr>
        <w:spacing w:line="560" w:lineRule="exact"/>
        <w:ind w:firstLine="482" w:firstLineChars="200"/>
        <w:outlineLvl w:val="0"/>
        <w:rPr>
          <w:rFonts w:ascii="仿宋" w:hAnsi="仿宋" w:eastAsia="仿宋" w:cs="仿宋"/>
          <w:b/>
          <w:bCs/>
          <w:color w:val="auto"/>
          <w:sz w:val="24"/>
        </w:rPr>
      </w:pPr>
      <w:bookmarkStart w:id="511" w:name="_Toc476"/>
      <w:bookmarkStart w:id="512" w:name="_Toc30507"/>
      <w:bookmarkStart w:id="513" w:name="_Toc13467"/>
      <w:bookmarkStart w:id="514" w:name="_Toc13154"/>
      <w:bookmarkStart w:id="515" w:name="_Toc18990"/>
      <w:bookmarkStart w:id="516" w:name="_Toc16163"/>
      <w:bookmarkStart w:id="517" w:name="_Toc19715"/>
      <w:r>
        <w:rPr>
          <w:rFonts w:hint="eastAsia" w:ascii="仿宋" w:hAnsi="仿宋" w:eastAsia="仿宋" w:cs="仿宋"/>
          <w:b/>
          <w:bCs/>
          <w:color w:val="auto"/>
          <w:sz w:val="24"/>
        </w:rPr>
        <w:t>2.5 技术资料和保密义务</w:t>
      </w:r>
      <w:bookmarkEnd w:id="511"/>
      <w:bookmarkEnd w:id="512"/>
      <w:bookmarkEnd w:id="513"/>
      <w:bookmarkEnd w:id="514"/>
      <w:bookmarkEnd w:id="515"/>
      <w:bookmarkEnd w:id="516"/>
      <w:bookmarkEnd w:id="517"/>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2.5.1 乙方有权依据合同约定和项目需要，向甲方了解有关情况，调阅有关资料等，甲方应予积极配合；</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2.5.2 乙方有义务妥善保管和保护由甲方提供的前款信息和资料等；</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仿宋" w:hAnsi="仿宋" w:eastAsia="仿宋" w:cs="仿宋"/>
          <w:b/>
          <w:bCs/>
          <w:color w:val="auto"/>
          <w:sz w:val="24"/>
        </w:rPr>
      </w:pPr>
      <w:bookmarkStart w:id="518" w:name="_Toc19069"/>
      <w:bookmarkStart w:id="519" w:name="_Toc7899"/>
      <w:bookmarkStart w:id="520" w:name="_Toc31862"/>
      <w:r>
        <w:rPr>
          <w:rFonts w:hint="eastAsia" w:ascii="仿宋" w:hAnsi="仿宋" w:eastAsia="仿宋" w:cs="仿宋"/>
          <w:b/>
          <w:bCs/>
          <w:color w:val="auto"/>
          <w:sz w:val="24"/>
        </w:rPr>
        <w:t>2.6 质量保证</w:t>
      </w:r>
      <w:bookmarkEnd w:id="518"/>
      <w:bookmarkEnd w:id="519"/>
      <w:bookmarkEnd w:id="520"/>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2.6.1 乙方应建立和完善履行合同的内部质量保证体系，并提供相关内部规章制度给甲方，以便甲方进行监督检查；</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仿宋" w:hAnsi="仿宋" w:eastAsia="仿宋" w:cs="仿宋"/>
          <w:b/>
          <w:bCs/>
          <w:color w:val="auto"/>
          <w:sz w:val="24"/>
        </w:rPr>
      </w:pPr>
      <w:bookmarkStart w:id="521" w:name="_Toc22267"/>
      <w:bookmarkStart w:id="522" w:name="_Toc28612"/>
      <w:bookmarkStart w:id="523" w:name="_Toc10459"/>
      <w:r>
        <w:rPr>
          <w:rFonts w:hint="eastAsia" w:ascii="仿宋" w:hAnsi="仿宋" w:eastAsia="仿宋" w:cs="仿宋"/>
          <w:b/>
          <w:bCs/>
          <w:color w:val="auto"/>
          <w:sz w:val="24"/>
        </w:rPr>
        <w:t>2.7 延迟履行</w:t>
      </w:r>
      <w:bookmarkEnd w:id="521"/>
      <w:bookmarkEnd w:id="522"/>
      <w:bookmarkEnd w:id="52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仿宋" w:hAnsi="仿宋" w:eastAsia="仿宋" w:cs="仿宋"/>
          <w:b/>
          <w:bCs/>
          <w:color w:val="auto"/>
          <w:sz w:val="24"/>
        </w:rPr>
      </w:pPr>
      <w:bookmarkStart w:id="524" w:name="_Toc9652"/>
      <w:bookmarkStart w:id="525" w:name="_Toc22062"/>
      <w:bookmarkStart w:id="526" w:name="_Toc10611"/>
      <w:r>
        <w:rPr>
          <w:rFonts w:hint="eastAsia" w:ascii="仿宋" w:hAnsi="仿宋" w:eastAsia="仿宋" w:cs="仿宋"/>
          <w:b/>
          <w:bCs/>
          <w:color w:val="auto"/>
          <w:sz w:val="24"/>
        </w:rPr>
        <w:t>2.8 合同变更</w:t>
      </w:r>
      <w:bookmarkEnd w:id="524"/>
      <w:bookmarkEnd w:id="525"/>
      <w:bookmarkEnd w:id="526"/>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color w:val="auto"/>
          <w:sz w:val="24"/>
        </w:rPr>
      </w:pPr>
      <w:bookmarkStart w:id="527" w:name="_Toc26689"/>
      <w:bookmarkStart w:id="528" w:name="_Toc23368"/>
      <w:bookmarkStart w:id="529" w:name="_Toc42"/>
      <w:bookmarkStart w:id="530" w:name="_Toc21830"/>
      <w:bookmarkStart w:id="531" w:name="_Toc20079"/>
      <w:bookmarkStart w:id="532" w:name="_Toc26821"/>
      <w:bookmarkStart w:id="533" w:name="_Toc10663"/>
      <w:r>
        <w:rPr>
          <w:rFonts w:hint="eastAsia" w:ascii="仿宋" w:hAnsi="仿宋" w:eastAsia="仿宋" w:cs="仿宋"/>
          <w:b/>
          <w:bCs/>
          <w:color w:val="auto"/>
          <w:sz w:val="24"/>
        </w:rPr>
        <w:t>2.9 合同转让和分包</w:t>
      </w:r>
      <w:bookmarkEnd w:id="527"/>
      <w:bookmarkEnd w:id="528"/>
      <w:bookmarkEnd w:id="529"/>
      <w:bookmarkEnd w:id="530"/>
      <w:bookmarkEnd w:id="531"/>
      <w:bookmarkEnd w:id="532"/>
      <w:bookmarkEnd w:id="53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仿宋" w:hAnsi="仿宋" w:eastAsia="仿宋" w:cs="仿宋"/>
          <w:b/>
          <w:bCs/>
          <w:color w:val="auto"/>
          <w:sz w:val="24"/>
        </w:rPr>
      </w:pPr>
      <w:bookmarkStart w:id="534" w:name="_Toc4720"/>
      <w:bookmarkStart w:id="535" w:name="_Toc32372"/>
      <w:bookmarkStart w:id="536" w:name="_Toc29600"/>
      <w:bookmarkStart w:id="537" w:name="_Toc14371"/>
      <w:bookmarkStart w:id="538" w:name="_Toc26633"/>
      <w:bookmarkStart w:id="539" w:name="_Toc25571"/>
      <w:bookmarkStart w:id="540" w:name="_Toc32494"/>
      <w:r>
        <w:rPr>
          <w:rFonts w:hint="eastAsia" w:ascii="仿宋" w:hAnsi="仿宋" w:eastAsia="仿宋" w:cs="仿宋"/>
          <w:b/>
          <w:bCs/>
          <w:color w:val="auto"/>
          <w:sz w:val="24"/>
        </w:rPr>
        <w:t>2.10 不可抗力</w:t>
      </w:r>
      <w:bookmarkEnd w:id="534"/>
      <w:bookmarkEnd w:id="535"/>
      <w:bookmarkEnd w:id="536"/>
      <w:bookmarkEnd w:id="537"/>
      <w:bookmarkEnd w:id="538"/>
      <w:bookmarkEnd w:id="539"/>
      <w:bookmarkEnd w:id="540"/>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2.10.2 因不可抗力致使不能实现合同目的的，当事人可以解除合同；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2.10.3 因不可抗力致使合同有变更必要的，双方当事人应在</w:t>
      </w:r>
      <w:r>
        <w:rPr>
          <w:rFonts w:hint="eastAsia" w:ascii="仿宋" w:hAnsi="仿宋" w:eastAsia="仿宋" w:cs="仿宋"/>
          <w:b/>
          <w:bCs/>
          <w:i/>
          <w:iCs/>
          <w:color w:val="auto"/>
          <w:sz w:val="24"/>
          <w:u w:val="single"/>
        </w:rPr>
        <w:t>5个工作日</w:t>
      </w:r>
      <w:r>
        <w:rPr>
          <w:rFonts w:hint="eastAsia" w:ascii="仿宋" w:hAnsi="仿宋" w:eastAsia="仿宋" w:cs="仿宋"/>
          <w:color w:val="auto"/>
          <w:sz w:val="24"/>
        </w:rPr>
        <w:t>内以书面形式变更合同；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2.10.4受不可抗力影响的一方在不可抗力发生后，应在</w:t>
      </w:r>
      <w:r>
        <w:rPr>
          <w:rFonts w:hint="eastAsia" w:ascii="仿宋" w:hAnsi="仿宋" w:eastAsia="仿宋" w:cs="仿宋"/>
          <w:b/>
          <w:bCs/>
          <w:i/>
          <w:iCs/>
          <w:color w:val="auto"/>
          <w:sz w:val="24"/>
          <w:u w:val="single"/>
        </w:rPr>
        <w:t>3个工作日</w:t>
      </w:r>
      <w:r>
        <w:rPr>
          <w:rFonts w:hint="eastAsia" w:ascii="仿宋" w:hAnsi="仿宋" w:eastAsia="仿宋" w:cs="仿宋"/>
          <w:color w:val="auto"/>
          <w:sz w:val="24"/>
        </w:rPr>
        <w:t>内以书面形式通知对方当事人，并在</w:t>
      </w:r>
      <w:r>
        <w:rPr>
          <w:rFonts w:hint="eastAsia" w:ascii="仿宋" w:hAnsi="仿宋" w:eastAsia="仿宋" w:cs="仿宋"/>
          <w:b/>
          <w:bCs/>
          <w:i/>
          <w:iCs/>
          <w:color w:val="auto"/>
          <w:sz w:val="24"/>
          <w:u w:val="single"/>
        </w:rPr>
        <w:t>5个工作日</w:t>
      </w:r>
      <w:r>
        <w:rPr>
          <w:rFonts w:hint="eastAsia" w:ascii="仿宋" w:hAnsi="仿宋" w:eastAsia="仿宋" w:cs="仿宋"/>
          <w:color w:val="auto"/>
          <w:sz w:val="24"/>
        </w:rPr>
        <w:t>内，将有关部门出具的证明文件送达对方当事人。</w:t>
      </w:r>
    </w:p>
    <w:p>
      <w:pPr>
        <w:spacing w:line="560" w:lineRule="exact"/>
        <w:ind w:firstLine="482" w:firstLineChars="200"/>
        <w:outlineLvl w:val="0"/>
        <w:rPr>
          <w:rFonts w:ascii="仿宋" w:hAnsi="仿宋" w:eastAsia="仿宋" w:cs="仿宋"/>
          <w:b/>
          <w:bCs/>
          <w:color w:val="auto"/>
          <w:sz w:val="24"/>
        </w:rPr>
      </w:pPr>
      <w:bookmarkStart w:id="541" w:name="_Toc14115"/>
      <w:bookmarkStart w:id="542" w:name="_Toc23854"/>
      <w:bookmarkStart w:id="543" w:name="_Toc3800"/>
      <w:bookmarkStart w:id="544" w:name="_Toc25783"/>
      <w:bookmarkStart w:id="545" w:name="_Toc3638"/>
      <w:bookmarkStart w:id="546" w:name="_Toc6074"/>
      <w:bookmarkStart w:id="547" w:name="_Toc24465"/>
      <w:r>
        <w:rPr>
          <w:rFonts w:hint="eastAsia" w:ascii="仿宋" w:hAnsi="仿宋" w:eastAsia="仿宋" w:cs="仿宋"/>
          <w:b/>
          <w:bCs/>
          <w:color w:val="auto"/>
          <w:sz w:val="24"/>
        </w:rPr>
        <w:t>2.11 税费</w:t>
      </w:r>
      <w:bookmarkEnd w:id="541"/>
      <w:bookmarkEnd w:id="542"/>
      <w:bookmarkEnd w:id="543"/>
      <w:bookmarkEnd w:id="544"/>
      <w:bookmarkEnd w:id="545"/>
      <w:bookmarkEnd w:id="546"/>
      <w:bookmarkEnd w:id="547"/>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与合同有关的一切税费，均按照中华人民共和国法律的相关规定缴纳。</w:t>
      </w:r>
    </w:p>
    <w:p>
      <w:pPr>
        <w:spacing w:line="560" w:lineRule="exact"/>
        <w:ind w:firstLine="482" w:firstLineChars="200"/>
        <w:outlineLvl w:val="0"/>
        <w:rPr>
          <w:rFonts w:ascii="仿宋" w:hAnsi="仿宋" w:eastAsia="仿宋" w:cs="仿宋"/>
          <w:b/>
          <w:bCs/>
          <w:color w:val="auto"/>
          <w:sz w:val="24"/>
        </w:rPr>
      </w:pPr>
      <w:bookmarkStart w:id="548" w:name="_Toc7315"/>
      <w:bookmarkStart w:id="549" w:name="_Toc26883"/>
      <w:bookmarkStart w:id="550" w:name="_Toc14814"/>
      <w:bookmarkStart w:id="551" w:name="_Toc30105"/>
      <w:bookmarkStart w:id="552" w:name="_Toc13531"/>
      <w:bookmarkStart w:id="553" w:name="_Toc25525"/>
      <w:bookmarkStart w:id="554" w:name="_Toc8712"/>
      <w:r>
        <w:rPr>
          <w:rFonts w:hint="eastAsia" w:ascii="仿宋" w:hAnsi="仿宋" w:eastAsia="仿宋" w:cs="仿宋"/>
          <w:b/>
          <w:bCs/>
          <w:color w:val="auto"/>
          <w:sz w:val="24"/>
        </w:rPr>
        <w:t>2.12 乙方破产</w:t>
      </w:r>
      <w:bookmarkEnd w:id="548"/>
      <w:bookmarkEnd w:id="549"/>
      <w:bookmarkEnd w:id="550"/>
      <w:bookmarkEnd w:id="551"/>
      <w:bookmarkEnd w:id="552"/>
      <w:bookmarkEnd w:id="553"/>
      <w:bookmarkEnd w:id="554"/>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仿宋" w:hAnsi="仿宋" w:eastAsia="仿宋" w:cs="仿宋"/>
          <w:b/>
          <w:bCs/>
          <w:color w:val="auto"/>
          <w:sz w:val="24"/>
        </w:rPr>
      </w:pPr>
      <w:bookmarkStart w:id="555" w:name="_Toc1123"/>
      <w:bookmarkStart w:id="556" w:name="_Toc2016"/>
      <w:bookmarkStart w:id="557" w:name="_Toc13263"/>
      <w:bookmarkStart w:id="558" w:name="_Toc23323"/>
      <w:bookmarkStart w:id="559" w:name="_Toc12642"/>
      <w:r>
        <w:rPr>
          <w:rFonts w:hint="eastAsia" w:ascii="仿宋" w:hAnsi="仿宋" w:eastAsia="仿宋" w:cs="仿宋"/>
          <w:b/>
          <w:bCs/>
          <w:color w:val="auto"/>
          <w:sz w:val="24"/>
        </w:rPr>
        <w:t>2.13 合同中止、终止</w:t>
      </w:r>
      <w:bookmarkEnd w:id="555"/>
      <w:bookmarkEnd w:id="556"/>
      <w:bookmarkEnd w:id="557"/>
      <w:bookmarkEnd w:id="558"/>
      <w:bookmarkEnd w:id="559"/>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2.13.1 双方当事人不得擅自中止或者终止合同；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color w:val="auto"/>
          <w:sz w:val="24"/>
        </w:rPr>
      </w:pPr>
      <w:bookmarkStart w:id="560" w:name="_Toc14525"/>
      <w:bookmarkStart w:id="561" w:name="_Toc1969"/>
      <w:bookmarkStart w:id="562" w:name="_Toc579"/>
      <w:bookmarkStart w:id="563" w:name="_Toc17363"/>
      <w:bookmarkStart w:id="564" w:name="_Toc16475"/>
      <w:r>
        <w:rPr>
          <w:rFonts w:hint="eastAsia" w:ascii="仿宋" w:hAnsi="仿宋" w:eastAsia="仿宋" w:cs="仿宋"/>
          <w:b/>
          <w:bCs/>
          <w:color w:val="auto"/>
          <w:sz w:val="24"/>
        </w:rPr>
        <w:t>2.14 检验和验收</w:t>
      </w:r>
      <w:bookmarkEnd w:id="560"/>
      <w:bookmarkEnd w:id="561"/>
      <w:bookmarkEnd w:id="562"/>
      <w:bookmarkEnd w:id="563"/>
      <w:bookmarkEnd w:id="564"/>
    </w:p>
    <w:p>
      <w:pPr>
        <w:tabs>
          <w:tab w:val="left" w:pos="360"/>
          <w:tab w:val="left" w:pos="540"/>
          <w:tab w:val="left" w:pos="1080"/>
        </w:tabs>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2.14.2 检验和验收标准、程序等具体内容以及前述验收书的效力详见磋商文件及投标文件要求。</w:t>
      </w:r>
    </w:p>
    <w:p>
      <w:pPr>
        <w:spacing w:line="560" w:lineRule="exact"/>
        <w:ind w:firstLine="482" w:firstLineChars="200"/>
        <w:outlineLvl w:val="0"/>
        <w:rPr>
          <w:rFonts w:ascii="仿宋" w:hAnsi="仿宋" w:eastAsia="仿宋" w:cs="仿宋"/>
          <w:b/>
          <w:bCs/>
          <w:color w:val="auto"/>
          <w:sz w:val="24"/>
        </w:rPr>
      </w:pPr>
      <w:bookmarkStart w:id="565" w:name="_Toc25198"/>
      <w:bookmarkStart w:id="566" w:name="_Toc2308"/>
      <w:bookmarkStart w:id="567" w:name="_Toc17858"/>
      <w:bookmarkStart w:id="568" w:name="_Toc12666"/>
      <w:bookmarkStart w:id="569" w:name="_Toc9808"/>
      <w:bookmarkStart w:id="570" w:name="_Toc31892"/>
      <w:bookmarkStart w:id="571" w:name="_Toc6449"/>
      <w:r>
        <w:rPr>
          <w:rFonts w:hint="eastAsia" w:ascii="仿宋" w:hAnsi="仿宋" w:eastAsia="仿宋" w:cs="仿宋"/>
          <w:b/>
          <w:bCs/>
          <w:color w:val="auto"/>
          <w:sz w:val="24"/>
        </w:rPr>
        <w:t>2.15 通知和送达</w:t>
      </w:r>
      <w:bookmarkEnd w:id="565"/>
      <w:bookmarkEnd w:id="566"/>
      <w:bookmarkEnd w:id="567"/>
      <w:bookmarkEnd w:id="568"/>
      <w:bookmarkEnd w:id="569"/>
      <w:bookmarkEnd w:id="570"/>
      <w:bookmarkEnd w:id="571"/>
    </w:p>
    <w:p>
      <w:pPr>
        <w:spacing w:line="560" w:lineRule="exact"/>
        <w:ind w:firstLine="480" w:firstLineChars="200"/>
        <w:rPr>
          <w:rFonts w:ascii="仿宋" w:hAnsi="仿宋" w:eastAsia="仿宋" w:cs="仿宋"/>
          <w:color w:val="auto"/>
          <w:sz w:val="24"/>
        </w:rPr>
      </w:pPr>
      <w:bookmarkStart w:id="572" w:name="_Toc29220"/>
      <w:bookmarkStart w:id="573" w:name="_Toc7073"/>
      <w:r>
        <w:rPr>
          <w:rFonts w:hint="eastAsia" w:ascii="仿宋" w:hAnsi="仿宋" w:eastAsia="仿宋" w:cs="仿宋"/>
          <w:color w:val="auto"/>
          <w:sz w:val="24"/>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color w:val="auto"/>
          <w:sz w:val="24"/>
          <w:u w:val="single"/>
        </w:rPr>
        <w:t xml:space="preserve">   </w:t>
      </w:r>
      <w:r>
        <w:rPr>
          <w:rFonts w:hint="eastAsia" w:ascii="仿宋" w:hAnsi="仿宋" w:eastAsia="仿宋" w:cs="仿宋"/>
          <w:color w:val="auto"/>
          <w:sz w:val="24"/>
        </w:rPr>
        <w:t>个工作日内书面通知对方当事人，在对方当事人收到有关变更通知之前，变更前的约定送达方式或者地址仍视为有效。</w:t>
      </w:r>
      <w:bookmarkEnd w:id="572"/>
      <w:bookmarkEnd w:id="573"/>
    </w:p>
    <w:p>
      <w:pPr>
        <w:spacing w:line="560" w:lineRule="exact"/>
        <w:ind w:firstLine="480" w:firstLineChars="200"/>
        <w:rPr>
          <w:rFonts w:ascii="仿宋" w:hAnsi="仿宋" w:eastAsia="仿宋" w:cs="仿宋"/>
          <w:color w:val="auto"/>
          <w:sz w:val="24"/>
        </w:rPr>
      </w:pPr>
      <w:bookmarkStart w:id="574" w:name="_Toc27674"/>
      <w:bookmarkStart w:id="575" w:name="_Toc18401"/>
      <w:r>
        <w:rPr>
          <w:rFonts w:hint="eastAsia" w:ascii="仿宋" w:hAnsi="仿宋" w:eastAsia="仿宋" w:cs="仿宋"/>
          <w:color w:val="auto"/>
          <w:sz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574"/>
      <w:bookmarkEnd w:id="575"/>
    </w:p>
    <w:p>
      <w:pPr>
        <w:spacing w:line="560" w:lineRule="exact"/>
        <w:ind w:firstLine="482" w:firstLineChars="200"/>
        <w:outlineLvl w:val="0"/>
        <w:rPr>
          <w:rFonts w:ascii="仿宋" w:hAnsi="仿宋" w:eastAsia="仿宋" w:cs="仿宋"/>
          <w:b/>
          <w:bCs/>
          <w:color w:val="auto"/>
          <w:sz w:val="24"/>
        </w:rPr>
      </w:pPr>
      <w:bookmarkStart w:id="576" w:name="_Toc814"/>
      <w:bookmarkStart w:id="577" w:name="_Toc20808"/>
      <w:bookmarkStart w:id="578" w:name="_Toc19"/>
      <w:bookmarkStart w:id="579" w:name="_Toc27644"/>
      <w:bookmarkStart w:id="580" w:name="_Toc12254"/>
      <w:bookmarkStart w:id="581" w:name="_Toc28906"/>
      <w:bookmarkStart w:id="582" w:name="_Toc5063"/>
      <w:r>
        <w:rPr>
          <w:rFonts w:hint="eastAsia" w:ascii="仿宋" w:hAnsi="仿宋" w:eastAsia="仿宋" w:cs="仿宋"/>
          <w:b/>
          <w:bCs/>
          <w:color w:val="auto"/>
          <w:sz w:val="24"/>
        </w:rPr>
        <w:t>2.16 合同使用的文字和适用的法律</w:t>
      </w:r>
      <w:bookmarkEnd w:id="576"/>
      <w:bookmarkEnd w:id="577"/>
      <w:bookmarkEnd w:id="578"/>
      <w:bookmarkEnd w:id="579"/>
      <w:bookmarkEnd w:id="580"/>
      <w:bookmarkEnd w:id="581"/>
      <w:bookmarkEnd w:id="582"/>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2.16.1 合同使用汉语书就、变更和解释；</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2.16.2 合同适用中华人民共和国法律。</w:t>
      </w:r>
    </w:p>
    <w:p>
      <w:pPr>
        <w:spacing w:line="560" w:lineRule="exact"/>
        <w:ind w:firstLine="482" w:firstLineChars="200"/>
        <w:outlineLvl w:val="0"/>
        <w:rPr>
          <w:rFonts w:ascii="仿宋" w:hAnsi="仿宋" w:eastAsia="仿宋" w:cs="仿宋"/>
          <w:b/>
          <w:bCs/>
          <w:color w:val="auto"/>
          <w:sz w:val="24"/>
        </w:rPr>
      </w:pPr>
      <w:bookmarkStart w:id="583" w:name="_Toc1492"/>
      <w:bookmarkStart w:id="584" w:name="_Toc3362"/>
      <w:bookmarkStart w:id="585" w:name="_Toc27403"/>
      <w:bookmarkStart w:id="586" w:name="_Toc22507"/>
      <w:bookmarkStart w:id="587" w:name="_Toc22266"/>
      <w:bookmarkStart w:id="588" w:name="_Toc27127"/>
      <w:bookmarkStart w:id="589" w:name="_Toc30096"/>
      <w:r>
        <w:rPr>
          <w:rFonts w:hint="eastAsia" w:ascii="仿宋" w:hAnsi="仿宋" w:eastAsia="仿宋" w:cs="仿宋"/>
          <w:b/>
          <w:bCs/>
          <w:color w:val="auto"/>
          <w:sz w:val="24"/>
        </w:rPr>
        <w:t>2.17 履约保证金</w:t>
      </w:r>
      <w:bookmarkEnd w:id="583"/>
      <w:bookmarkEnd w:id="584"/>
      <w:bookmarkEnd w:id="585"/>
      <w:bookmarkEnd w:id="586"/>
      <w:bookmarkEnd w:id="587"/>
      <w:bookmarkEnd w:id="588"/>
      <w:bookmarkEnd w:id="589"/>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2.17.1 采购文件要求乙方提交履约保证金的，乙方应按合同金额的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计算向下取整至万元，以支票、汇票或者转账等非现金形式，在签订合同前5个日历日内向采购人交纳履约保证金；</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2.17.2 履约保证金在项目</w:t>
      </w:r>
      <w:r>
        <w:rPr>
          <w:rFonts w:hint="eastAsia" w:ascii="仿宋" w:hAnsi="仿宋" w:eastAsia="仿宋" w:cs="仿宋"/>
          <w:color w:val="auto"/>
          <w:sz w:val="24"/>
          <w:lang w:val="en-US" w:eastAsia="zh-CN"/>
        </w:rPr>
        <w:t>竣工</w:t>
      </w:r>
      <w:r>
        <w:rPr>
          <w:rFonts w:hint="eastAsia" w:ascii="仿宋" w:hAnsi="仿宋" w:eastAsia="仿宋" w:cs="仿宋"/>
          <w:color w:val="auto"/>
          <w:sz w:val="24"/>
        </w:rPr>
        <w:t>3个月验收合格后5个工作日内，将履约保证金退还乙方；</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2.18 合同份数</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合同一式四份，甲乙双方各持2份，每份均具有同等法律效力。</w:t>
      </w:r>
    </w:p>
    <w:p>
      <w:pPr>
        <w:pStyle w:val="11"/>
        <w:rPr>
          <w:rFonts w:ascii="仿宋" w:hAnsi="仿宋" w:eastAsia="仿宋" w:cs="仿宋"/>
          <w:color w:val="auto"/>
          <w:sz w:val="28"/>
          <w:szCs w:val="21"/>
          <w:highlight w:val="red"/>
        </w:rPr>
      </w:pPr>
    </w:p>
    <w:p>
      <w:pPr>
        <w:pStyle w:val="11"/>
        <w:rPr>
          <w:rFonts w:ascii="仿宋" w:hAnsi="仿宋" w:eastAsia="仿宋" w:cs="仿宋"/>
          <w:color w:val="auto"/>
          <w:kern w:val="44"/>
          <w:sz w:val="28"/>
          <w:szCs w:val="28"/>
        </w:rPr>
      </w:pPr>
      <w:r>
        <w:rPr>
          <w:rFonts w:hint="eastAsia" w:ascii="仿宋" w:hAnsi="仿宋" w:eastAsia="仿宋" w:cs="仿宋"/>
          <w:b/>
          <w:bCs/>
          <w:color w:val="auto"/>
          <w:kern w:val="2"/>
          <w:sz w:val="32"/>
          <w:szCs w:val="32"/>
        </w:rPr>
        <w:t>（本合同仅供参考）</w:t>
      </w:r>
    </w:p>
    <w:p>
      <w:pPr>
        <w:pStyle w:val="4"/>
        <w:ind w:firstLine="560"/>
        <w:rPr>
          <w:rFonts w:ascii="仿宋" w:hAnsi="仿宋" w:eastAsia="仿宋" w:cs="仿宋"/>
          <w:color w:val="auto"/>
          <w:kern w:val="44"/>
          <w:sz w:val="28"/>
          <w:szCs w:val="28"/>
        </w:rPr>
      </w:pPr>
    </w:p>
    <w:p>
      <w:pPr>
        <w:pStyle w:val="3"/>
        <w:ind w:firstLine="560"/>
        <w:rPr>
          <w:rFonts w:ascii="仿宋" w:hAnsi="仿宋" w:eastAsia="仿宋" w:cs="仿宋"/>
          <w:color w:val="auto"/>
          <w:kern w:val="44"/>
          <w:sz w:val="28"/>
          <w:szCs w:val="28"/>
        </w:rPr>
      </w:pPr>
    </w:p>
    <w:p>
      <w:pPr>
        <w:pStyle w:val="4"/>
        <w:ind w:firstLine="560"/>
        <w:rPr>
          <w:rFonts w:ascii="仿宋" w:hAnsi="仿宋" w:eastAsia="仿宋" w:cs="仿宋"/>
          <w:color w:val="auto"/>
          <w:kern w:val="44"/>
          <w:sz w:val="28"/>
          <w:szCs w:val="28"/>
        </w:rPr>
      </w:pPr>
    </w:p>
    <w:p>
      <w:pPr>
        <w:pStyle w:val="3"/>
        <w:ind w:firstLine="560"/>
        <w:rPr>
          <w:rFonts w:ascii="仿宋" w:hAnsi="仿宋" w:eastAsia="仿宋" w:cs="仿宋"/>
          <w:color w:val="auto"/>
          <w:kern w:val="44"/>
          <w:sz w:val="28"/>
          <w:szCs w:val="28"/>
        </w:rPr>
      </w:pPr>
    </w:p>
    <w:p>
      <w:pPr>
        <w:pStyle w:val="4"/>
        <w:ind w:firstLine="560"/>
        <w:rPr>
          <w:rFonts w:ascii="仿宋" w:hAnsi="仿宋" w:eastAsia="仿宋" w:cs="仿宋"/>
          <w:color w:val="auto"/>
          <w:kern w:val="44"/>
          <w:sz w:val="28"/>
          <w:szCs w:val="28"/>
        </w:rPr>
      </w:pPr>
    </w:p>
    <w:p>
      <w:pPr>
        <w:pStyle w:val="3"/>
        <w:ind w:firstLine="560"/>
        <w:rPr>
          <w:rFonts w:ascii="仿宋" w:hAnsi="仿宋" w:eastAsia="仿宋" w:cs="仿宋"/>
          <w:color w:val="auto"/>
          <w:kern w:val="44"/>
          <w:sz w:val="28"/>
          <w:szCs w:val="28"/>
        </w:rPr>
      </w:pPr>
    </w:p>
    <w:p>
      <w:pPr>
        <w:pStyle w:val="4"/>
        <w:ind w:firstLine="560"/>
        <w:rPr>
          <w:rFonts w:ascii="仿宋" w:hAnsi="仿宋" w:eastAsia="仿宋" w:cs="仿宋"/>
          <w:color w:val="auto"/>
          <w:kern w:val="44"/>
          <w:sz w:val="28"/>
          <w:szCs w:val="28"/>
        </w:rPr>
      </w:pPr>
    </w:p>
    <w:p>
      <w:pPr>
        <w:pStyle w:val="8"/>
        <w:spacing w:before="0" w:line="240" w:lineRule="atLeast"/>
        <w:jc w:val="both"/>
        <w:outlineLvl w:val="9"/>
        <w:rPr>
          <w:rFonts w:ascii="仿宋" w:hAnsi="仿宋" w:eastAsia="仿宋" w:cs="仿宋"/>
          <w:color w:val="auto"/>
          <w:sz w:val="24"/>
        </w:rPr>
      </w:pPr>
    </w:p>
    <w:sectPr>
      <w:headerReference r:id="rId10" w:type="default"/>
      <w:footerReference r:id="rId11"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2"/>
                            <w:rPr>
                              <w:rStyle w:val="41"/>
                            </w:rPr>
                          </w:pPr>
                          <w:r>
                            <w:fldChar w:fldCharType="begin"/>
                          </w:r>
                          <w:r>
                            <w:rPr>
                              <w:rStyle w:val="41"/>
                            </w:rPr>
                            <w:instrText xml:space="preserve">PAGE  </w:instrText>
                          </w:r>
                          <w:r>
                            <w:fldChar w:fldCharType="separate"/>
                          </w:r>
                          <w:r>
                            <w:rPr>
                              <w:rStyle w:val="41"/>
                            </w:rPr>
                            <w:t>32</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gLoFF0QAAAAMBAAAPAAAAAAAAAAEAIAAAACIAAABk&#10;cnMvZG93bnJldi54bWxQSwECFAAUAAAACACHTuJABe61JNQBAAClAwAADgAAAAAAAAABACAAAAAg&#10;AQAAZHJzL2Uyb0RvYy54bWxQSwUGAAAAAAYABgBZAQAAZgUAAAAA&#10;">
              <v:fill on="f" focussize="0,0"/>
              <v:stroke on="f"/>
              <v:imagedata o:title=""/>
              <o:lock v:ext="edit" aspectratio="f"/>
              <v:textbox inset="0mm,0mm,0mm,0mm" style="mso-fit-shape-to-text:t;">
                <w:txbxContent>
                  <w:p>
                    <w:pPr>
                      <w:pStyle w:val="22"/>
                      <w:rPr>
                        <w:rStyle w:val="41"/>
                      </w:rPr>
                    </w:pPr>
                    <w:r>
                      <w:fldChar w:fldCharType="begin"/>
                    </w:r>
                    <w:r>
                      <w:rPr>
                        <w:rStyle w:val="41"/>
                      </w:rPr>
                      <w:instrText xml:space="preserve">PAGE  </w:instrText>
                    </w:r>
                    <w:r>
                      <w:fldChar w:fldCharType="separate"/>
                    </w:r>
                    <w:r>
                      <w:rPr>
                        <w:rStyle w:val="41"/>
                      </w:rP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2"/>
                            <w:jc w:val="center"/>
                          </w:pPr>
                          <w:r>
                            <w:fldChar w:fldCharType="begin"/>
                          </w:r>
                          <w:r>
                            <w:instrText xml:space="preserve">PAGE   \* MERGEFORMAT</w:instrText>
                          </w:r>
                          <w:r>
                            <w:fldChar w:fldCharType="separate"/>
                          </w:r>
                          <w:r>
                            <w:rPr>
                              <w:lang w:val="zh-CN"/>
                            </w:rPr>
                            <w:t>74</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CkHLTOAQAAqAMAAA4AAAAAAAAAAQAgAAAAHgEAAGRycy9l&#10;Mm9Eb2MueG1sUEsFBgAAAAAGAAYAWQEAAF4FAAAAAA==&#10;">
              <v:fill on="f" focussize="0,0"/>
              <v:stroke on="f"/>
              <v:imagedata o:title=""/>
              <o:lock v:ext="edit" aspectratio="f"/>
              <v:textbox inset="0mm,0mm,0mm,0mm" style="mso-fit-shape-to-text:t;">
                <w:txbxContent>
                  <w:p>
                    <w:pPr>
                      <w:pStyle w:val="22"/>
                      <w:jc w:val="center"/>
                    </w:pPr>
                    <w:r>
                      <w:fldChar w:fldCharType="begin"/>
                    </w:r>
                    <w:r>
                      <w:instrText xml:space="preserve">PAGE   \* MERGEFORMAT</w:instrText>
                    </w:r>
                    <w:r>
                      <w:fldChar w:fldCharType="separate"/>
                    </w:r>
                    <w:r>
                      <w:rPr>
                        <w:lang w:val="zh-CN"/>
                      </w:rPr>
                      <w:t>74</w:t>
                    </w:r>
                    <w:r>
                      <w:rPr>
                        <w:lang w:val="zh-CN"/>
                      </w:rPr>
                      <w:fldChar w:fldCharType="end"/>
                    </w:r>
                  </w:p>
                </w:txbxContent>
              </v:textbox>
            </v:shape>
          </w:pict>
        </mc:Fallback>
      </mc:AlternateContent>
    </w:r>
  </w:p>
  <w:p>
    <w:pPr>
      <w:pStyle w:val="2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2"/>
                            <w:jc w:val="center"/>
                          </w:pPr>
                          <w:r>
                            <w:fldChar w:fldCharType="begin"/>
                          </w:r>
                          <w:r>
                            <w:instrText xml:space="preserve">PAGE   \* MERGEFORMAT</w:instrText>
                          </w:r>
                          <w:r>
                            <w:fldChar w:fldCharType="separate"/>
                          </w:r>
                          <w:r>
                            <w:rPr>
                              <w:lang w:val="zh-CN"/>
                            </w:rPr>
                            <w:t>83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AugUXRAAAAAwEAAA8AAAAAAAAAAQAgAAAAIgAAAGRy&#10;cy9kb3ducmV2LnhtbFBLAQIUABQAAAAIAIdO4kDDssxE0wEAAKUDAAAOAAAAAAAAAAEAIAAAACAB&#10;AABkcnMvZTJvRG9jLnhtbFBLBQYAAAAABgAGAFkBAABlBQAAAAA=&#10;">
              <v:fill on="f" focussize="0,0"/>
              <v:stroke on="f"/>
              <v:imagedata o:title=""/>
              <o:lock v:ext="edit" aspectratio="f"/>
              <v:textbox inset="0mm,0mm,0mm,0mm" style="mso-fit-shape-to-text:t;">
                <w:txbxContent>
                  <w:p>
                    <w:pPr>
                      <w:pStyle w:val="22"/>
                      <w:jc w:val="center"/>
                    </w:pPr>
                    <w:r>
                      <w:fldChar w:fldCharType="begin"/>
                    </w:r>
                    <w:r>
                      <w:instrText xml:space="preserve">PAGE   \* MERGEFORMAT</w:instrText>
                    </w:r>
                    <w:r>
                      <w:fldChar w:fldCharType="separate"/>
                    </w:r>
                    <w:r>
                      <w:rPr>
                        <w:lang w:val="zh-CN"/>
                      </w:rPr>
                      <w:t>83</w:t>
                    </w:r>
                    <w:r>
                      <w:fldChar w:fldCharType="end"/>
                    </w:r>
                  </w:p>
                </w:txbxContent>
              </v:textbox>
            </v:shape>
          </w:pict>
        </mc:Fallback>
      </mc:AlternateConten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3715F"/>
    <w:multiLevelType w:val="singleLevel"/>
    <w:tmpl w:val="E9C3715F"/>
    <w:lvl w:ilvl="0" w:tentative="0">
      <w:start w:val="1"/>
      <w:numFmt w:val="decimal"/>
      <w:lvlText w:val="%1."/>
      <w:lvlJc w:val="left"/>
      <w:pPr>
        <w:tabs>
          <w:tab w:val="left" w:pos="312"/>
        </w:tabs>
      </w:pPr>
    </w:lvl>
  </w:abstractNum>
  <w:abstractNum w:abstractNumId="1">
    <w:nsid w:val="EA747D3C"/>
    <w:multiLevelType w:val="singleLevel"/>
    <w:tmpl w:val="EA747D3C"/>
    <w:lvl w:ilvl="0" w:tentative="0">
      <w:start w:val="2"/>
      <w:numFmt w:val="chineseCounting"/>
      <w:suff w:val="nothing"/>
      <w:lvlText w:val="%1、"/>
      <w:lvlJc w:val="left"/>
      <w:rPr>
        <w:rFonts w:hint="eastAsia"/>
      </w:rPr>
    </w:lvl>
  </w:abstractNum>
  <w:abstractNum w:abstractNumId="2">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3">
    <w:nsid w:val="25E4E168"/>
    <w:multiLevelType w:val="singleLevel"/>
    <w:tmpl w:val="25E4E168"/>
    <w:lvl w:ilvl="0" w:tentative="0">
      <w:start w:val="2"/>
      <w:numFmt w:val="decimal"/>
      <w:suff w:val="nothing"/>
      <w:lvlText w:val="%1、"/>
      <w:lvlJc w:val="left"/>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41DF016E"/>
    <w:multiLevelType w:val="singleLevel"/>
    <w:tmpl w:val="41DF016E"/>
    <w:lvl w:ilvl="0" w:tentative="0">
      <w:start w:val="2"/>
      <w:numFmt w:val="chineseCounting"/>
      <w:suff w:val="space"/>
      <w:lvlText w:val="第%1部分"/>
      <w:lvlJc w:val="left"/>
      <w:rPr>
        <w:rFonts w:hint="eastAsia"/>
      </w:rPr>
    </w:lvl>
  </w:abstractNum>
  <w:abstractNum w:abstractNumId="6">
    <w:nsid w:val="53F98F85"/>
    <w:multiLevelType w:val="singleLevel"/>
    <w:tmpl w:val="53F98F85"/>
    <w:lvl w:ilvl="0" w:tentative="0">
      <w:start w:val="2"/>
      <w:numFmt w:val="chineseCounting"/>
      <w:suff w:val="nothing"/>
      <w:lvlText w:val="（%1）"/>
      <w:lvlJc w:val="left"/>
    </w:lvl>
  </w:abstractNum>
  <w:abstractNum w:abstractNumId="7">
    <w:nsid w:val="6B02DAB2"/>
    <w:multiLevelType w:val="singleLevel"/>
    <w:tmpl w:val="6B02DAB2"/>
    <w:lvl w:ilvl="0" w:tentative="0">
      <w:start w:val="3"/>
      <w:numFmt w:val="chineseCounting"/>
      <w:pStyle w:val="50"/>
      <w:suff w:val="nothing"/>
      <w:lvlText w:val="%1、"/>
      <w:lvlJc w:val="left"/>
      <w:rPr>
        <w:rFonts w:hint="eastAsia"/>
      </w:rPr>
    </w:lvl>
  </w:abstractNum>
  <w:num w:numId="1">
    <w:abstractNumId w:val="7"/>
  </w:num>
  <w:num w:numId="2">
    <w:abstractNumId w:val="1"/>
  </w:num>
  <w:num w:numId="3">
    <w:abstractNumId w:val="4"/>
  </w:num>
  <w:num w:numId="4">
    <w:abstractNumId w:val="2"/>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jljNGJjYzI5MzE1MDlkODM5MGY5YzNkM2EzYjkzNjYifQ=="/>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31D"/>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0E8"/>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3D5"/>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3782"/>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97C7E"/>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704A"/>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80D96"/>
    <w:rsid w:val="00C83560"/>
    <w:rsid w:val="00C836E3"/>
    <w:rsid w:val="00C83A19"/>
    <w:rsid w:val="00C851F6"/>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37BC"/>
    <w:rsid w:val="00CF41C5"/>
    <w:rsid w:val="00CF4D7B"/>
    <w:rsid w:val="00CF5F8F"/>
    <w:rsid w:val="00CF6914"/>
    <w:rsid w:val="00CF7F24"/>
    <w:rsid w:val="00CF7F30"/>
    <w:rsid w:val="00D003AF"/>
    <w:rsid w:val="00D049C3"/>
    <w:rsid w:val="00D056C1"/>
    <w:rsid w:val="00D07715"/>
    <w:rsid w:val="00D106FE"/>
    <w:rsid w:val="00D118E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4CD"/>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1976"/>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2C5761"/>
    <w:rsid w:val="012F41F1"/>
    <w:rsid w:val="017046B5"/>
    <w:rsid w:val="018F054B"/>
    <w:rsid w:val="024B26CE"/>
    <w:rsid w:val="02AB0B8E"/>
    <w:rsid w:val="02D347AB"/>
    <w:rsid w:val="03433819"/>
    <w:rsid w:val="03822C68"/>
    <w:rsid w:val="03CB50B5"/>
    <w:rsid w:val="041651F4"/>
    <w:rsid w:val="049F43DF"/>
    <w:rsid w:val="04B22E9E"/>
    <w:rsid w:val="051D1B41"/>
    <w:rsid w:val="05540833"/>
    <w:rsid w:val="05DF46DF"/>
    <w:rsid w:val="060E433A"/>
    <w:rsid w:val="061C08DF"/>
    <w:rsid w:val="06225B6E"/>
    <w:rsid w:val="06667684"/>
    <w:rsid w:val="07C1731B"/>
    <w:rsid w:val="081E1F70"/>
    <w:rsid w:val="08C84FC6"/>
    <w:rsid w:val="09A37CB3"/>
    <w:rsid w:val="09BD6E8E"/>
    <w:rsid w:val="09D449C2"/>
    <w:rsid w:val="0A6D7B49"/>
    <w:rsid w:val="0A774A1C"/>
    <w:rsid w:val="0A9C1B06"/>
    <w:rsid w:val="0AA8018E"/>
    <w:rsid w:val="0B1873A5"/>
    <w:rsid w:val="0B450737"/>
    <w:rsid w:val="0B49704E"/>
    <w:rsid w:val="0BC03108"/>
    <w:rsid w:val="0BDC744C"/>
    <w:rsid w:val="0BE47B36"/>
    <w:rsid w:val="0C054382"/>
    <w:rsid w:val="0C9A104D"/>
    <w:rsid w:val="0CDC6CA4"/>
    <w:rsid w:val="0D386B75"/>
    <w:rsid w:val="0DB74BA1"/>
    <w:rsid w:val="0EB16EFF"/>
    <w:rsid w:val="0F0136F4"/>
    <w:rsid w:val="0F3A3F99"/>
    <w:rsid w:val="0F7A70CC"/>
    <w:rsid w:val="0FA1651E"/>
    <w:rsid w:val="0FC50D8F"/>
    <w:rsid w:val="10451C7D"/>
    <w:rsid w:val="10794606"/>
    <w:rsid w:val="10A3646A"/>
    <w:rsid w:val="118848CF"/>
    <w:rsid w:val="124E25CC"/>
    <w:rsid w:val="13172843"/>
    <w:rsid w:val="132451DE"/>
    <w:rsid w:val="13472720"/>
    <w:rsid w:val="138A3509"/>
    <w:rsid w:val="14377EC4"/>
    <w:rsid w:val="14675B7E"/>
    <w:rsid w:val="14CE2B49"/>
    <w:rsid w:val="155E4085"/>
    <w:rsid w:val="15EC5AC1"/>
    <w:rsid w:val="168A6CDE"/>
    <w:rsid w:val="168E2D78"/>
    <w:rsid w:val="169F1276"/>
    <w:rsid w:val="16C04C56"/>
    <w:rsid w:val="16EB2471"/>
    <w:rsid w:val="172E2B9C"/>
    <w:rsid w:val="18003993"/>
    <w:rsid w:val="18196A06"/>
    <w:rsid w:val="18254FAC"/>
    <w:rsid w:val="182D3D5F"/>
    <w:rsid w:val="18434A76"/>
    <w:rsid w:val="18A272E6"/>
    <w:rsid w:val="18BA600F"/>
    <w:rsid w:val="1956552E"/>
    <w:rsid w:val="19583C58"/>
    <w:rsid w:val="1A1E209D"/>
    <w:rsid w:val="1A3426E3"/>
    <w:rsid w:val="1A7D3617"/>
    <w:rsid w:val="1A8523C2"/>
    <w:rsid w:val="1A853F9F"/>
    <w:rsid w:val="1AEC041D"/>
    <w:rsid w:val="1AEC419B"/>
    <w:rsid w:val="1AF6583C"/>
    <w:rsid w:val="1B792368"/>
    <w:rsid w:val="1C085136"/>
    <w:rsid w:val="1D1A1D54"/>
    <w:rsid w:val="1D242FC2"/>
    <w:rsid w:val="1DC01C11"/>
    <w:rsid w:val="1DE87BD4"/>
    <w:rsid w:val="1E054C48"/>
    <w:rsid w:val="1E1B3173"/>
    <w:rsid w:val="1E211684"/>
    <w:rsid w:val="1F2C37B2"/>
    <w:rsid w:val="1FCF77B6"/>
    <w:rsid w:val="20572949"/>
    <w:rsid w:val="20D65FDF"/>
    <w:rsid w:val="2133411B"/>
    <w:rsid w:val="214B4697"/>
    <w:rsid w:val="223A00A8"/>
    <w:rsid w:val="23447637"/>
    <w:rsid w:val="23F5768F"/>
    <w:rsid w:val="246529A6"/>
    <w:rsid w:val="25997426"/>
    <w:rsid w:val="25BF62B8"/>
    <w:rsid w:val="25CF59CB"/>
    <w:rsid w:val="260C39F2"/>
    <w:rsid w:val="261A0491"/>
    <w:rsid w:val="26C66E06"/>
    <w:rsid w:val="26D259BC"/>
    <w:rsid w:val="270246D4"/>
    <w:rsid w:val="271257BE"/>
    <w:rsid w:val="27645745"/>
    <w:rsid w:val="27C621B9"/>
    <w:rsid w:val="28855A7D"/>
    <w:rsid w:val="28E40298"/>
    <w:rsid w:val="299C178C"/>
    <w:rsid w:val="29A21E55"/>
    <w:rsid w:val="2A0A2D83"/>
    <w:rsid w:val="2A472991"/>
    <w:rsid w:val="2AAB0BA0"/>
    <w:rsid w:val="2AFB4D94"/>
    <w:rsid w:val="2B755F4B"/>
    <w:rsid w:val="2BA67271"/>
    <w:rsid w:val="2BE0319D"/>
    <w:rsid w:val="2BE95450"/>
    <w:rsid w:val="2C6544D8"/>
    <w:rsid w:val="2C8C39F6"/>
    <w:rsid w:val="2CD52E61"/>
    <w:rsid w:val="2CF2533C"/>
    <w:rsid w:val="2D632394"/>
    <w:rsid w:val="2DE515E5"/>
    <w:rsid w:val="2EB22755"/>
    <w:rsid w:val="2EB65D97"/>
    <w:rsid w:val="2EC64046"/>
    <w:rsid w:val="2F434FDE"/>
    <w:rsid w:val="2F725AED"/>
    <w:rsid w:val="30561E3F"/>
    <w:rsid w:val="306150E4"/>
    <w:rsid w:val="30735F9F"/>
    <w:rsid w:val="30A06F64"/>
    <w:rsid w:val="30CC197B"/>
    <w:rsid w:val="31B91D72"/>
    <w:rsid w:val="31E22C88"/>
    <w:rsid w:val="322C3A43"/>
    <w:rsid w:val="328205D3"/>
    <w:rsid w:val="32C9667D"/>
    <w:rsid w:val="32E853BA"/>
    <w:rsid w:val="33760457"/>
    <w:rsid w:val="33EB1895"/>
    <w:rsid w:val="34066E5C"/>
    <w:rsid w:val="350D4388"/>
    <w:rsid w:val="353A46B7"/>
    <w:rsid w:val="356F73C9"/>
    <w:rsid w:val="35B1151A"/>
    <w:rsid w:val="35B6520A"/>
    <w:rsid w:val="36035BCB"/>
    <w:rsid w:val="36524D5F"/>
    <w:rsid w:val="36593EB8"/>
    <w:rsid w:val="365E0BEC"/>
    <w:rsid w:val="3680580C"/>
    <w:rsid w:val="369B0D16"/>
    <w:rsid w:val="3799633A"/>
    <w:rsid w:val="37C07E80"/>
    <w:rsid w:val="37DD6BEF"/>
    <w:rsid w:val="38520B8E"/>
    <w:rsid w:val="39070852"/>
    <w:rsid w:val="3929383F"/>
    <w:rsid w:val="399B1DB8"/>
    <w:rsid w:val="3A12743D"/>
    <w:rsid w:val="3B181276"/>
    <w:rsid w:val="3BC978A7"/>
    <w:rsid w:val="3BFC46F4"/>
    <w:rsid w:val="3C183F80"/>
    <w:rsid w:val="3C18466D"/>
    <w:rsid w:val="3C792FD5"/>
    <w:rsid w:val="3CDB4807"/>
    <w:rsid w:val="3D2179C7"/>
    <w:rsid w:val="3D3E557C"/>
    <w:rsid w:val="3E2954D1"/>
    <w:rsid w:val="3E727BBA"/>
    <w:rsid w:val="3F3A5152"/>
    <w:rsid w:val="3FC833AB"/>
    <w:rsid w:val="3FDD5629"/>
    <w:rsid w:val="3FFC0940"/>
    <w:rsid w:val="40156849"/>
    <w:rsid w:val="40345B32"/>
    <w:rsid w:val="4049358C"/>
    <w:rsid w:val="40A904D7"/>
    <w:rsid w:val="40D85040"/>
    <w:rsid w:val="412214B2"/>
    <w:rsid w:val="4160274D"/>
    <w:rsid w:val="44086403"/>
    <w:rsid w:val="44086C32"/>
    <w:rsid w:val="44E504A9"/>
    <w:rsid w:val="44EF1B82"/>
    <w:rsid w:val="45644B25"/>
    <w:rsid w:val="45E77C31"/>
    <w:rsid w:val="45FD1FD2"/>
    <w:rsid w:val="461B2714"/>
    <w:rsid w:val="465855D4"/>
    <w:rsid w:val="469B2720"/>
    <w:rsid w:val="473D2DF8"/>
    <w:rsid w:val="491B7D4D"/>
    <w:rsid w:val="499B2B75"/>
    <w:rsid w:val="4A226C77"/>
    <w:rsid w:val="4A4C1516"/>
    <w:rsid w:val="4AF01045"/>
    <w:rsid w:val="4B307AE9"/>
    <w:rsid w:val="4B717BA7"/>
    <w:rsid w:val="4B862CAD"/>
    <w:rsid w:val="4BDA5CFE"/>
    <w:rsid w:val="4CFA39CE"/>
    <w:rsid w:val="4D282CB4"/>
    <w:rsid w:val="4D3B1AB9"/>
    <w:rsid w:val="4D48236F"/>
    <w:rsid w:val="4DC1760D"/>
    <w:rsid w:val="4DC62853"/>
    <w:rsid w:val="4E6B322B"/>
    <w:rsid w:val="4EC56C2F"/>
    <w:rsid w:val="4EEE449A"/>
    <w:rsid w:val="4F231585"/>
    <w:rsid w:val="4F7E6A86"/>
    <w:rsid w:val="4F9547EC"/>
    <w:rsid w:val="502D02BC"/>
    <w:rsid w:val="503700FB"/>
    <w:rsid w:val="51423F3F"/>
    <w:rsid w:val="516914A3"/>
    <w:rsid w:val="51750FFC"/>
    <w:rsid w:val="5176537C"/>
    <w:rsid w:val="517944E3"/>
    <w:rsid w:val="51933661"/>
    <w:rsid w:val="51AC6956"/>
    <w:rsid w:val="51E5108B"/>
    <w:rsid w:val="52D24297"/>
    <w:rsid w:val="52D32AFD"/>
    <w:rsid w:val="52E16C74"/>
    <w:rsid w:val="53240C30"/>
    <w:rsid w:val="535D0F42"/>
    <w:rsid w:val="55314071"/>
    <w:rsid w:val="556E1D75"/>
    <w:rsid w:val="56D97FD1"/>
    <w:rsid w:val="572A1B2D"/>
    <w:rsid w:val="57827D4C"/>
    <w:rsid w:val="578E58A0"/>
    <w:rsid w:val="57B53639"/>
    <w:rsid w:val="58881554"/>
    <w:rsid w:val="58A40196"/>
    <w:rsid w:val="59E11BC5"/>
    <w:rsid w:val="5AF56077"/>
    <w:rsid w:val="5B001520"/>
    <w:rsid w:val="5B9E0C30"/>
    <w:rsid w:val="5C223BC9"/>
    <w:rsid w:val="5C7C6396"/>
    <w:rsid w:val="5C9A03FD"/>
    <w:rsid w:val="5D8D419C"/>
    <w:rsid w:val="5DC155E2"/>
    <w:rsid w:val="5DD51960"/>
    <w:rsid w:val="5DED6DA2"/>
    <w:rsid w:val="5DF94AE0"/>
    <w:rsid w:val="5E3B443B"/>
    <w:rsid w:val="5EC42D73"/>
    <w:rsid w:val="5F197194"/>
    <w:rsid w:val="5F3D2878"/>
    <w:rsid w:val="5F55219B"/>
    <w:rsid w:val="5F944D2C"/>
    <w:rsid w:val="5FCB4D87"/>
    <w:rsid w:val="5FED68F6"/>
    <w:rsid w:val="5FF95CF0"/>
    <w:rsid w:val="60384F4A"/>
    <w:rsid w:val="603E49EB"/>
    <w:rsid w:val="60A05BA1"/>
    <w:rsid w:val="60C648E5"/>
    <w:rsid w:val="60C66115"/>
    <w:rsid w:val="60CD4825"/>
    <w:rsid w:val="61800D2B"/>
    <w:rsid w:val="61BC2A15"/>
    <w:rsid w:val="61D86AC2"/>
    <w:rsid w:val="62337EF3"/>
    <w:rsid w:val="624B51DE"/>
    <w:rsid w:val="62716BBC"/>
    <w:rsid w:val="627E7A26"/>
    <w:rsid w:val="634E7828"/>
    <w:rsid w:val="639F78D1"/>
    <w:rsid w:val="63B63F59"/>
    <w:rsid w:val="65117867"/>
    <w:rsid w:val="654639B4"/>
    <w:rsid w:val="66700908"/>
    <w:rsid w:val="668D28D9"/>
    <w:rsid w:val="66A40EC3"/>
    <w:rsid w:val="67375276"/>
    <w:rsid w:val="67A535E2"/>
    <w:rsid w:val="67A80762"/>
    <w:rsid w:val="688C19B0"/>
    <w:rsid w:val="689A7718"/>
    <w:rsid w:val="6917469A"/>
    <w:rsid w:val="697E2311"/>
    <w:rsid w:val="69B33D58"/>
    <w:rsid w:val="69F50936"/>
    <w:rsid w:val="6A0368D7"/>
    <w:rsid w:val="6A472730"/>
    <w:rsid w:val="6AA628DF"/>
    <w:rsid w:val="6B94314E"/>
    <w:rsid w:val="6B974B12"/>
    <w:rsid w:val="6BAB7017"/>
    <w:rsid w:val="6BD4551A"/>
    <w:rsid w:val="6BDD4FB2"/>
    <w:rsid w:val="6BEF2BAB"/>
    <w:rsid w:val="6C283CF7"/>
    <w:rsid w:val="6CC0101E"/>
    <w:rsid w:val="6D8816C8"/>
    <w:rsid w:val="6E505373"/>
    <w:rsid w:val="6EA16987"/>
    <w:rsid w:val="6EA25DF9"/>
    <w:rsid w:val="6F8D1FC2"/>
    <w:rsid w:val="6F8D5C1A"/>
    <w:rsid w:val="6FD27139"/>
    <w:rsid w:val="7010208F"/>
    <w:rsid w:val="703B6854"/>
    <w:rsid w:val="704A44DC"/>
    <w:rsid w:val="70BF1008"/>
    <w:rsid w:val="71326C39"/>
    <w:rsid w:val="716147BD"/>
    <w:rsid w:val="724725E3"/>
    <w:rsid w:val="72611DE4"/>
    <w:rsid w:val="726E545D"/>
    <w:rsid w:val="72B73FF5"/>
    <w:rsid w:val="72BB1D27"/>
    <w:rsid w:val="72FF44EF"/>
    <w:rsid w:val="74A165CC"/>
    <w:rsid w:val="755B645C"/>
    <w:rsid w:val="75615E2A"/>
    <w:rsid w:val="75776E8F"/>
    <w:rsid w:val="75B60F89"/>
    <w:rsid w:val="761728C2"/>
    <w:rsid w:val="76B07EDE"/>
    <w:rsid w:val="775D10FB"/>
    <w:rsid w:val="77695595"/>
    <w:rsid w:val="77D47CF8"/>
    <w:rsid w:val="77D74BCA"/>
    <w:rsid w:val="791D4BEA"/>
    <w:rsid w:val="7987697C"/>
    <w:rsid w:val="79D1422E"/>
    <w:rsid w:val="7A081EDB"/>
    <w:rsid w:val="7A9F47F8"/>
    <w:rsid w:val="7B602F54"/>
    <w:rsid w:val="7C1C6325"/>
    <w:rsid w:val="7C520C2F"/>
    <w:rsid w:val="7CC067C4"/>
    <w:rsid w:val="7D1A69A5"/>
    <w:rsid w:val="7D3E444E"/>
    <w:rsid w:val="7D447D3A"/>
    <w:rsid w:val="7D602FB4"/>
    <w:rsid w:val="7D622872"/>
    <w:rsid w:val="7DD74FBC"/>
    <w:rsid w:val="7E462371"/>
    <w:rsid w:val="7F083EE0"/>
    <w:rsid w:val="7F4B70A4"/>
    <w:rsid w:val="7F862913"/>
    <w:rsid w:val="7F991C92"/>
    <w:rsid w:val="7FBB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link w:val="7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0"/>
    <w:pPr>
      <w:tabs>
        <w:tab w:val="left" w:pos="567"/>
      </w:tabs>
      <w:spacing w:before="120" w:line="22" w:lineRule="atLeast"/>
    </w:pPr>
    <w:rPr>
      <w:rFonts w:ascii="宋体" w:hAnsi="宋体"/>
      <w:sz w:val="24"/>
    </w:rPr>
  </w:style>
  <w:style w:type="paragraph" w:styleId="3">
    <w:name w:val="Body Text First Indent"/>
    <w:basedOn w:val="2"/>
    <w:next w:val="4"/>
    <w:qFormat/>
    <w:uiPriority w:val="0"/>
    <w:pPr>
      <w:autoSpaceDE w:val="0"/>
      <w:autoSpaceDN w:val="0"/>
      <w:adjustRightInd w:val="0"/>
      <w:spacing w:line="360" w:lineRule="auto"/>
      <w:ind w:firstLine="420" w:firstLineChars="200"/>
    </w:pPr>
    <w:rPr>
      <w:rFonts w:ascii="Arial" w:hAnsi="Arial"/>
      <w:szCs w:val="21"/>
    </w:rPr>
  </w:style>
  <w:style w:type="paragraph" w:styleId="4">
    <w:name w:val="Body Text First Indent 2"/>
    <w:basedOn w:val="5"/>
    <w:next w:val="3"/>
    <w:unhideWhenUsed/>
    <w:qFormat/>
    <w:uiPriority w:val="99"/>
    <w:pPr>
      <w:ind w:firstLine="420" w:firstLineChars="200"/>
    </w:pPr>
  </w:style>
  <w:style w:type="paragraph" w:styleId="5">
    <w:name w:val="Body Text Indent"/>
    <w:basedOn w:val="1"/>
    <w:next w:val="6"/>
    <w:qFormat/>
    <w:uiPriority w:val="0"/>
    <w:pPr>
      <w:spacing w:line="360" w:lineRule="auto"/>
      <w:ind w:firstLine="570"/>
    </w:pPr>
    <w:rPr>
      <w:sz w:val="24"/>
    </w:rPr>
  </w:style>
  <w:style w:type="paragraph" w:styleId="10">
    <w:name w:val="toc 7"/>
    <w:basedOn w:val="1"/>
    <w:next w:val="1"/>
    <w:qFormat/>
    <w:uiPriority w:val="39"/>
    <w:pPr>
      <w:ind w:left="2520" w:leftChars="1200"/>
    </w:pPr>
  </w:style>
  <w:style w:type="paragraph" w:styleId="11">
    <w:name w:val="Normal Indent"/>
    <w:basedOn w:val="1"/>
    <w:next w:val="12"/>
    <w:qFormat/>
    <w:uiPriority w:val="0"/>
    <w:pPr>
      <w:autoSpaceDE w:val="0"/>
      <w:autoSpaceDN w:val="0"/>
      <w:adjustRightInd w:val="0"/>
      <w:ind w:firstLine="420"/>
      <w:jc w:val="left"/>
    </w:pPr>
    <w:rPr>
      <w:rFonts w:ascii="宋体"/>
      <w:kern w:val="0"/>
      <w:sz w:val="24"/>
      <w:szCs w:val="20"/>
    </w:rPr>
  </w:style>
  <w:style w:type="paragraph" w:customStyle="1" w:styleId="12">
    <w:name w:val="样式 正文缩进 + 首行缩进:  2 字符"/>
    <w:basedOn w:val="11"/>
    <w:qFormat/>
    <w:uiPriority w:val="0"/>
    <w:pPr>
      <w:ind w:firstLine="560" w:firstLineChars="200"/>
    </w:pPr>
    <w:rPr>
      <w:rFonts w:cs="宋体"/>
    </w:rPr>
  </w:style>
  <w:style w:type="paragraph" w:styleId="13">
    <w:name w:val="annotation text"/>
    <w:basedOn w:val="1"/>
    <w:link w:val="59"/>
    <w:qFormat/>
    <w:uiPriority w:val="99"/>
    <w:pPr>
      <w:jc w:val="left"/>
    </w:pPr>
  </w:style>
  <w:style w:type="paragraph" w:styleId="14">
    <w:name w:val="Body Text 3"/>
    <w:basedOn w:val="1"/>
    <w:unhideWhenUsed/>
    <w:qFormat/>
    <w:uiPriority w:val="99"/>
    <w:pPr>
      <w:spacing w:after="120"/>
    </w:pPr>
    <w:rPr>
      <w:rFonts w:eastAsia="宋体"/>
      <w:sz w:val="16"/>
      <w:szCs w:val="16"/>
    </w:r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link w:val="63"/>
    <w:qFormat/>
    <w:uiPriority w:val="0"/>
    <w:rPr>
      <w:rFonts w:ascii="宋体" w:hAnsi="Courier New"/>
      <w:szCs w:val="20"/>
    </w:rPr>
  </w:style>
  <w:style w:type="paragraph" w:styleId="18">
    <w:name w:val="toc 8"/>
    <w:basedOn w:val="1"/>
    <w:next w:val="1"/>
    <w:qFormat/>
    <w:uiPriority w:val="39"/>
    <w:pPr>
      <w:ind w:left="2940" w:leftChars="1400"/>
    </w:pPr>
  </w:style>
  <w:style w:type="paragraph" w:styleId="19">
    <w:name w:val="Date"/>
    <w:basedOn w:val="1"/>
    <w:next w:val="1"/>
    <w:link w:val="68"/>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61"/>
    <w:qFormat/>
    <w:uiPriority w:val="0"/>
    <w:rPr>
      <w:sz w:val="18"/>
      <w:szCs w:val="18"/>
    </w:rPr>
  </w:style>
  <w:style w:type="paragraph" w:styleId="22">
    <w:name w:val="footer"/>
    <w:basedOn w:val="1"/>
    <w:link w:val="5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envelope return"/>
    <w:basedOn w:val="1"/>
    <w:qFormat/>
    <w:uiPriority w:val="0"/>
    <w:pPr>
      <w:snapToGrid w:val="0"/>
    </w:pPr>
    <w:rPr>
      <w:rFonts w:ascii="Arial" w:hAnsi="Arial"/>
    </w:rPr>
  </w:style>
  <w:style w:type="paragraph" w:styleId="24">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List"/>
    <w:basedOn w:val="1"/>
    <w:qFormat/>
    <w:uiPriority w:val="0"/>
    <w:pPr>
      <w:ind w:left="420" w:hanging="420"/>
    </w:pPr>
    <w:rPr>
      <w:sz w:val="24"/>
      <w:szCs w:val="20"/>
    </w:rPr>
  </w:style>
  <w:style w:type="paragraph" w:styleId="28">
    <w:name w:val="footnote text"/>
    <w:basedOn w:val="1"/>
    <w:qFormat/>
    <w:uiPriority w:val="0"/>
    <w:pPr>
      <w:adjustRightInd w:val="0"/>
      <w:spacing w:line="315" w:lineRule="atLeast"/>
      <w:textAlignment w:val="baseline"/>
    </w:pPr>
    <w:rPr>
      <w:rFonts w:ascii="宋体" w:hAnsi="宋体"/>
      <w:sz w:val="18"/>
      <w:szCs w:val="18"/>
    </w:rPr>
  </w:style>
  <w:style w:type="paragraph" w:styleId="29">
    <w:name w:val="toc 6"/>
    <w:basedOn w:val="1"/>
    <w:next w:val="1"/>
    <w:qFormat/>
    <w:uiPriority w:val="39"/>
    <w:pPr>
      <w:ind w:left="2100" w:leftChars="1000"/>
    </w:pPr>
  </w:style>
  <w:style w:type="paragraph" w:styleId="30">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style>
  <w:style w:type="paragraph" w:styleId="33">
    <w:name w:val="Body Text 2"/>
    <w:basedOn w:val="1"/>
    <w:qFormat/>
    <w:uiPriority w:val="0"/>
    <w:pPr>
      <w:spacing w:after="120" w:line="480" w:lineRule="auto"/>
    </w:pPr>
    <w:rPr>
      <w:rFonts w:ascii="Arial" w:hAnsi="Arial"/>
      <w:sz w:val="24"/>
    </w:rPr>
  </w:style>
  <w:style w:type="paragraph" w:styleId="34">
    <w:name w:val="Normal (Web)"/>
    <w:basedOn w:val="1"/>
    <w:qFormat/>
    <w:uiPriority w:val="0"/>
    <w:pPr>
      <w:widowControl/>
      <w:jc w:val="left"/>
    </w:pPr>
    <w:rPr>
      <w:rFonts w:ascii="宋体" w:hAnsi="宋体" w:cs="宋体"/>
      <w:kern w:val="0"/>
      <w:sz w:val="24"/>
    </w:rPr>
  </w:style>
  <w:style w:type="paragraph" w:styleId="35">
    <w:name w:val="index 1"/>
    <w:basedOn w:val="1"/>
    <w:next w:val="1"/>
    <w:semiHidden/>
    <w:qFormat/>
    <w:uiPriority w:val="0"/>
    <w:rPr>
      <w:szCs w:val="20"/>
    </w:rPr>
  </w:style>
  <w:style w:type="paragraph" w:styleId="36">
    <w:name w:val="annotation subject"/>
    <w:basedOn w:val="13"/>
    <w:next w:val="13"/>
    <w:link w:val="62"/>
    <w:qFormat/>
    <w:uiPriority w:val="0"/>
    <w:rPr>
      <w:b/>
      <w:bCs/>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rFonts w:ascii="Arial" w:hAnsi="Arial" w:eastAsia="Times New Roman" w:cs="Verdana"/>
      <w:b/>
      <w:bCs/>
      <w:kern w:val="0"/>
      <w:sz w:val="24"/>
      <w:lang w:eastAsia="en-US"/>
    </w:rPr>
  </w:style>
  <w:style w:type="character" w:styleId="41">
    <w:name w:val="page number"/>
    <w:qFormat/>
    <w:uiPriority w:val="0"/>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paragraph" w:customStyle="1" w:styleId="44">
    <w:name w:val="Default"/>
    <w:next w:val="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5">
    <w:name w:val="样式1"/>
    <w:basedOn w:val="1"/>
    <w:qFormat/>
    <w:uiPriority w:val="0"/>
    <w:pPr>
      <w:adjustRightInd w:val="0"/>
      <w:textAlignment w:val="baseline"/>
    </w:pPr>
    <w:rPr>
      <w:rFonts w:ascii="宋体" w:hAnsi="宋体"/>
      <w:kern w:val="0"/>
      <w:szCs w:val="21"/>
    </w:rPr>
  </w:style>
  <w:style w:type="paragraph" w:customStyle="1" w:styleId="46">
    <w:name w:val="列出段落1"/>
    <w:basedOn w:val="1"/>
    <w:qFormat/>
    <w:uiPriority w:val="99"/>
    <w:pPr>
      <w:ind w:firstLine="420" w:firstLineChars="200"/>
    </w:pPr>
  </w:style>
  <w:style w:type="paragraph" w:customStyle="1" w:styleId="47">
    <w:name w:val="正文1"/>
    <w:basedOn w:val="1"/>
    <w:qFormat/>
    <w:uiPriority w:val="0"/>
    <w:pPr>
      <w:ind w:firstLine="420" w:firstLineChars="200"/>
    </w:pPr>
    <w:rPr>
      <w:rFonts w:ascii="宋体" w:hAnsi="宋体"/>
    </w:rPr>
  </w:style>
  <w:style w:type="paragraph" w:styleId="48">
    <w:name w:val="List Paragraph"/>
    <w:basedOn w:val="1"/>
    <w:qFormat/>
    <w:uiPriority w:val="34"/>
    <w:pPr>
      <w:widowControl/>
      <w:ind w:firstLine="420" w:firstLineChars="200"/>
      <w:jc w:val="left"/>
    </w:pPr>
    <w:rPr>
      <w:kern w:val="0"/>
      <w:sz w:val="24"/>
    </w:rPr>
  </w:style>
  <w:style w:type="paragraph" w:customStyle="1" w:styleId="49">
    <w:name w:val="Char"/>
    <w:basedOn w:val="1"/>
    <w:qFormat/>
    <w:uiPriority w:val="0"/>
    <w:pPr>
      <w:tabs>
        <w:tab w:val="left" w:pos="360"/>
      </w:tabs>
    </w:pPr>
    <w:rPr>
      <w:sz w:val="24"/>
    </w:rPr>
  </w:style>
  <w:style w:type="paragraph" w:customStyle="1" w:styleId="50">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51">
    <w:name w:val="索引 11"/>
    <w:basedOn w:val="1"/>
    <w:next w:val="1"/>
    <w:qFormat/>
    <w:uiPriority w:val="0"/>
    <w:pPr>
      <w:spacing w:line="360" w:lineRule="auto"/>
    </w:pPr>
    <w:rPr>
      <w:rFonts w:ascii="仿宋_GB2312" w:eastAsia="仿宋_GB2312"/>
      <w:sz w:val="24"/>
      <w:szCs w:val="20"/>
    </w:rPr>
  </w:style>
  <w:style w:type="paragraph" w:customStyle="1" w:styleId="52">
    <w:name w:val="纯文本1"/>
    <w:basedOn w:val="1"/>
    <w:link w:val="57"/>
    <w:qFormat/>
    <w:uiPriority w:val="0"/>
    <w:rPr>
      <w:rFonts w:ascii="宋体" w:hAnsi="Courier New"/>
      <w:kern w:val="0"/>
      <w:sz w:val="20"/>
      <w:szCs w:val="20"/>
    </w:rPr>
  </w:style>
  <w:style w:type="paragraph" w:customStyle="1" w:styleId="53">
    <w:name w:val="正文缩进1"/>
    <w:basedOn w:val="1"/>
    <w:link w:val="67"/>
    <w:qFormat/>
    <w:uiPriority w:val="0"/>
    <w:pPr>
      <w:autoSpaceDE w:val="0"/>
      <w:autoSpaceDN w:val="0"/>
      <w:adjustRightInd w:val="0"/>
      <w:ind w:firstLine="420"/>
      <w:jc w:val="left"/>
    </w:pPr>
    <w:rPr>
      <w:rFonts w:ascii="宋体"/>
      <w:kern w:val="0"/>
      <w:sz w:val="24"/>
      <w:szCs w:val="20"/>
    </w:rPr>
  </w:style>
  <w:style w:type="character" w:customStyle="1" w:styleId="54">
    <w:name w:val="页眉 Char1"/>
    <w:semiHidden/>
    <w:qFormat/>
    <w:uiPriority w:val="99"/>
    <w:rPr>
      <w:kern w:val="2"/>
      <w:sz w:val="18"/>
      <w:szCs w:val="18"/>
    </w:rPr>
  </w:style>
  <w:style w:type="character" w:customStyle="1" w:styleId="55">
    <w:name w:val="标题 2 Char"/>
    <w:link w:val="8"/>
    <w:qFormat/>
    <w:uiPriority w:val="0"/>
    <w:rPr>
      <w:rFonts w:ascii="Arial" w:hAnsi="Arial" w:eastAsia="黑体"/>
      <w:b/>
      <w:sz w:val="30"/>
    </w:rPr>
  </w:style>
  <w:style w:type="character" w:customStyle="1" w:styleId="56">
    <w:name w:val="页脚 Char"/>
    <w:link w:val="22"/>
    <w:qFormat/>
    <w:uiPriority w:val="99"/>
    <w:rPr>
      <w:rFonts w:ascii="宋体"/>
      <w:sz w:val="18"/>
    </w:rPr>
  </w:style>
  <w:style w:type="character" w:customStyle="1" w:styleId="57">
    <w:name w:val="纯文本 Char1"/>
    <w:link w:val="52"/>
    <w:qFormat/>
    <w:uiPriority w:val="0"/>
    <w:rPr>
      <w:rFonts w:ascii="宋体" w:hAnsi="Courier New"/>
    </w:rPr>
  </w:style>
  <w:style w:type="character" w:customStyle="1" w:styleId="58">
    <w:name w:val="NormalCharacter"/>
    <w:qFormat/>
    <w:uiPriority w:val="0"/>
  </w:style>
  <w:style w:type="character" w:customStyle="1" w:styleId="59">
    <w:name w:val="批注文字 Char"/>
    <w:link w:val="13"/>
    <w:qFormat/>
    <w:uiPriority w:val="99"/>
    <w:rPr>
      <w:kern w:val="2"/>
      <w:sz w:val="21"/>
      <w:szCs w:val="24"/>
    </w:rPr>
  </w:style>
  <w:style w:type="character" w:customStyle="1" w:styleId="60">
    <w:name w:val="批注主题 Char1"/>
    <w:semiHidden/>
    <w:qFormat/>
    <w:uiPriority w:val="99"/>
    <w:rPr>
      <w:b/>
      <w:bCs/>
      <w:kern w:val="2"/>
      <w:sz w:val="21"/>
      <w:szCs w:val="24"/>
    </w:rPr>
  </w:style>
  <w:style w:type="character" w:customStyle="1" w:styleId="61">
    <w:name w:val="批注框文本 Char"/>
    <w:link w:val="21"/>
    <w:qFormat/>
    <w:uiPriority w:val="0"/>
    <w:rPr>
      <w:kern w:val="2"/>
      <w:sz w:val="18"/>
      <w:szCs w:val="18"/>
    </w:rPr>
  </w:style>
  <w:style w:type="character" w:customStyle="1" w:styleId="62">
    <w:name w:val="批注主题 Char"/>
    <w:link w:val="36"/>
    <w:qFormat/>
    <w:uiPriority w:val="0"/>
    <w:rPr>
      <w:b/>
      <w:bCs/>
      <w:kern w:val="2"/>
      <w:sz w:val="21"/>
      <w:szCs w:val="24"/>
    </w:rPr>
  </w:style>
  <w:style w:type="character" w:customStyle="1" w:styleId="63">
    <w:name w:val="纯文本 Char"/>
    <w:link w:val="17"/>
    <w:qFormat/>
    <w:uiPriority w:val="0"/>
    <w:rPr>
      <w:rFonts w:ascii="宋体" w:hAnsi="Courier New"/>
      <w:kern w:val="2"/>
      <w:sz w:val="21"/>
    </w:rPr>
  </w:style>
  <w:style w:type="character" w:customStyle="1" w:styleId="64">
    <w:name w:val="标题 3 Char"/>
    <w:link w:val="9"/>
    <w:qFormat/>
    <w:uiPriority w:val="0"/>
    <w:rPr>
      <w:rFonts w:ascii="宋体"/>
      <w:b/>
      <w:sz w:val="24"/>
      <w:u w:val="single"/>
    </w:rPr>
  </w:style>
  <w:style w:type="character" w:customStyle="1" w:styleId="65">
    <w:name w:val="正文文本 Char"/>
    <w:link w:val="2"/>
    <w:qFormat/>
    <w:uiPriority w:val="0"/>
    <w:rPr>
      <w:rFonts w:ascii="宋体" w:hAnsi="宋体"/>
      <w:kern w:val="2"/>
      <w:sz w:val="24"/>
      <w:szCs w:val="24"/>
    </w:rPr>
  </w:style>
  <w:style w:type="character" w:customStyle="1" w:styleId="66">
    <w:name w:val="批注框文本 Char1"/>
    <w:semiHidden/>
    <w:qFormat/>
    <w:uiPriority w:val="99"/>
    <w:rPr>
      <w:kern w:val="2"/>
      <w:sz w:val="18"/>
      <w:szCs w:val="18"/>
    </w:rPr>
  </w:style>
  <w:style w:type="character" w:customStyle="1" w:styleId="67">
    <w:name w:val="正文缩进 Char1"/>
    <w:link w:val="53"/>
    <w:qFormat/>
    <w:uiPriority w:val="0"/>
    <w:rPr>
      <w:rFonts w:ascii="宋体"/>
      <w:sz w:val="24"/>
    </w:rPr>
  </w:style>
  <w:style w:type="character" w:customStyle="1" w:styleId="68">
    <w:name w:val="日期 Char"/>
    <w:link w:val="19"/>
    <w:qFormat/>
    <w:uiPriority w:val="0"/>
    <w:rPr>
      <w:rFonts w:ascii="仿宋_GB2312" w:hAnsi="宋体" w:eastAsia="仿宋_GB2312"/>
      <w:color w:val="000000"/>
      <w:kern w:val="2"/>
      <w:sz w:val="24"/>
      <w:szCs w:val="24"/>
    </w:rPr>
  </w:style>
  <w:style w:type="character" w:customStyle="1" w:styleId="69">
    <w:name w:val="页眉 Char"/>
    <w:link w:val="24"/>
    <w:qFormat/>
    <w:uiPriority w:val="0"/>
    <w:rPr>
      <w:kern w:val="2"/>
      <w:sz w:val="18"/>
      <w:szCs w:val="18"/>
    </w:rPr>
  </w:style>
  <w:style w:type="character" w:customStyle="1" w:styleId="70">
    <w:name w:val="标题 1 Char"/>
    <w:link w:val="7"/>
    <w:qFormat/>
    <w:uiPriority w:val="0"/>
    <w:rPr>
      <w:rFonts w:ascii="宋体"/>
      <w:b/>
      <w:kern w:val="44"/>
      <w:sz w:val="32"/>
    </w:rPr>
  </w:style>
  <w:style w:type="character" w:customStyle="1" w:styleId="71">
    <w:name w:val="批注文字 Char1"/>
    <w:semiHidden/>
    <w:qFormat/>
    <w:uiPriority w:val="99"/>
    <w:rPr>
      <w:kern w:val="2"/>
      <w:sz w:val="21"/>
      <w:szCs w:val="24"/>
    </w:rPr>
  </w:style>
  <w:style w:type="table" w:customStyle="1" w:styleId="72">
    <w:name w:val="Table Normal"/>
    <w:qFormat/>
    <w:uiPriority w:val="0"/>
    <w:tblPr>
      <w:tblCellMar>
        <w:top w:w="0" w:type="dxa"/>
        <w:left w:w="0" w:type="dxa"/>
        <w:bottom w:w="0" w:type="dxa"/>
        <w:right w:w="0" w:type="dxa"/>
      </w:tblCellMar>
    </w:tblPr>
  </w:style>
  <w:style w:type="character" w:customStyle="1" w:styleId="73">
    <w:name w:val="fontstyle01"/>
    <w:basedOn w:val="39"/>
    <w:qFormat/>
    <w:uiPriority w:val="0"/>
    <w:rPr>
      <w:rFonts w:hint="eastAsia" w:ascii="仿宋_GB2312" w:eastAsia="仿宋_GB2312"/>
      <w:color w:val="000000"/>
      <w:sz w:val="28"/>
      <w:szCs w:val="28"/>
    </w:rPr>
  </w:style>
  <w:style w:type="paragraph" w:customStyle="1" w:styleId="74">
    <w:name w:val="Table Paragraph"/>
    <w:basedOn w:val="1"/>
    <w:qFormat/>
    <w:uiPriority w:val="1"/>
    <w:rPr>
      <w:rFonts w:ascii="宋体" w:hAnsi="宋体" w:cs="宋体"/>
      <w:lang w:val="zh-CN" w:bidi="zh-CN"/>
    </w:rPr>
  </w:style>
  <w:style w:type="character" w:customStyle="1" w:styleId="75">
    <w:name w:val="标题 2 Char1"/>
    <w:link w:val="8"/>
    <w:qFormat/>
    <w:uiPriority w:val="0"/>
    <w:rPr>
      <w:rFonts w:ascii="Arial" w:hAnsi="Arial" w:eastAsia="黑体" w:cs="Times New Roman"/>
      <w:b/>
      <w:bCs/>
      <w:sz w:val="32"/>
      <w:szCs w:val="32"/>
    </w:rPr>
  </w:style>
  <w:style w:type="paragraph" w:customStyle="1" w:styleId="76">
    <w:name w:val="WPSOffice手动目录 1"/>
    <w:uiPriority w:val="0"/>
    <w:pPr>
      <w:ind w:leftChars="0"/>
    </w:pPr>
    <w:rPr>
      <w:rFonts w:ascii="Times New Roman" w:hAnsi="Times New Roman" w:eastAsia="宋体" w:cs="Times New Roman"/>
      <w:sz w:val="20"/>
      <w:szCs w:val="20"/>
    </w:rPr>
  </w:style>
  <w:style w:type="paragraph" w:customStyle="1" w:styleId="7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53702</Words>
  <Characters>58352</Characters>
  <Lines>399</Lines>
  <Paragraphs>112</Paragraphs>
  <TotalTime>1</TotalTime>
  <ScaleCrop>false</ScaleCrop>
  <LinksUpToDate>false</LinksUpToDate>
  <CharactersWithSpaces>61361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2021-04-05T13:24:00Z</dcterms:created>
  <dc:creator>USER-</dc:creator>
  <cp:lastModifiedBy>孙丽</cp:lastModifiedBy>
  <cp:lastPrinted>2021-11-29T04:41:00Z</cp:lastPrinted>
  <dcterms:modified xsi:type="dcterms:W3CDTF">2023-02-14T10:53:23Z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5526BFCA5DAA466BAB6D93D5890D9F64</vt:lpwstr>
  </property>
</Properties>
</file>