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cs="Times New Roman"/>
          <w:b/>
          <w:i w:val="0"/>
          <w:iCs w:val="0"/>
          <w:color w:val="auto"/>
          <w:sz w:val="52"/>
          <w:szCs w:val="52"/>
          <w:highlight w:val="none"/>
          <w:lang w:val="en-US" w:eastAsia="zh-CN"/>
        </w:rPr>
      </w:pPr>
      <w:bookmarkStart w:id="90" w:name="_GoBack"/>
      <w:bookmarkEnd w:id="90"/>
    </w:p>
    <w:p>
      <w:pPr>
        <w:pStyle w:val="2"/>
        <w:rPr>
          <w:rFonts w:hint="eastAsia"/>
          <w:i w:val="0"/>
          <w:iCs w:val="0"/>
          <w:color w:val="auto"/>
        </w:rPr>
      </w:pPr>
      <w:r>
        <w:rPr>
          <w:rFonts w:hint="eastAsia" w:ascii="宋体" w:cs="Times New Roman"/>
          <w:b/>
          <w:i w:val="0"/>
          <w:iCs w:val="0"/>
          <w:color w:val="auto"/>
          <w:sz w:val="52"/>
          <w:szCs w:val="52"/>
          <w:highlight w:val="none"/>
          <w:lang w:val="en-US" w:eastAsia="zh-CN"/>
        </w:rPr>
        <w:t>2023年2.45万亩高标准农田建设项目管理</w:t>
      </w: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pStyle w:val="2"/>
        <w:rPr>
          <w:rFonts w:hint="eastAsia"/>
        </w:rPr>
      </w:pPr>
    </w:p>
    <w:p>
      <w:pPr>
        <w:adjustRightInd w:val="0"/>
        <w:snapToGrid w:val="0"/>
        <w:spacing w:line="360" w:lineRule="auto"/>
        <w:rPr>
          <w:rFonts w:hint="eastAsia" w:ascii="宋体" w:hAnsi="宋体" w:cs="宋体"/>
          <w:i w:val="0"/>
          <w:iCs w:val="0"/>
          <w:color w:val="auto"/>
          <w:sz w:val="24"/>
          <w:highlight w:val="none"/>
        </w:rPr>
      </w:pPr>
    </w:p>
    <w:p>
      <w:pPr>
        <w:spacing w:line="360" w:lineRule="auto"/>
        <w:jc w:val="center"/>
        <w:outlineLvl w:val="0"/>
        <w:rPr>
          <w:rFonts w:hint="eastAsia" w:ascii="宋体" w:hAnsi="宋体" w:cs="宋体"/>
          <w:b/>
          <w:i w:val="0"/>
          <w:iCs w:val="0"/>
          <w:color w:val="auto"/>
          <w:sz w:val="96"/>
          <w:szCs w:val="96"/>
          <w:highlight w:val="none"/>
        </w:rPr>
      </w:pPr>
      <w:r>
        <w:rPr>
          <w:rFonts w:hint="eastAsia" w:ascii="宋体" w:hAnsi="宋体" w:cs="宋体"/>
          <w:b/>
          <w:i w:val="0"/>
          <w:iCs w:val="0"/>
          <w:color w:val="auto"/>
          <w:sz w:val="96"/>
          <w:szCs w:val="96"/>
          <w:highlight w:val="none"/>
          <w:lang w:eastAsia="zh-CN"/>
        </w:rPr>
        <w:t>竞争性磋商</w:t>
      </w:r>
      <w:r>
        <w:rPr>
          <w:rFonts w:hint="eastAsia" w:ascii="宋体" w:hAnsi="宋体" w:cs="宋体"/>
          <w:b/>
          <w:i w:val="0"/>
          <w:iCs w:val="0"/>
          <w:color w:val="auto"/>
          <w:sz w:val="96"/>
          <w:szCs w:val="96"/>
          <w:highlight w:val="none"/>
        </w:rPr>
        <w:t>文件</w:t>
      </w: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pStyle w:val="2"/>
        <w:rPr>
          <w:rFonts w:hint="eastAsia"/>
          <w:i w:val="0"/>
          <w:iCs w:val="0"/>
          <w:color w:val="auto"/>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ind w:firstLine="1285" w:firstLineChars="400"/>
        <w:outlineLvl w:val="0"/>
        <w:rPr>
          <w:rFonts w:hint="eastAsia" w:ascii="宋体" w:hAnsi="宋体" w:cs="宋体"/>
          <w:b/>
          <w:bCs/>
          <w:i w:val="0"/>
          <w:iCs w:val="0"/>
          <w:color w:val="auto"/>
          <w:sz w:val="32"/>
          <w:szCs w:val="32"/>
          <w:highlight w:val="none"/>
        </w:rPr>
      </w:pPr>
      <w:r>
        <w:rPr>
          <w:rFonts w:hint="eastAsia" w:ascii="宋体" w:hAnsi="宋体" w:cs="宋体"/>
          <w:b/>
          <w:bCs/>
          <w:i w:val="0"/>
          <w:iCs w:val="0"/>
          <w:color w:val="auto"/>
          <w:sz w:val="32"/>
          <w:szCs w:val="32"/>
          <w:highlight w:val="none"/>
        </w:rPr>
        <w:t>采 购 人：阿克苏市农村合作经济发展中心</w:t>
      </w:r>
    </w:p>
    <w:p>
      <w:pPr>
        <w:adjustRightInd w:val="0"/>
        <w:snapToGrid w:val="0"/>
        <w:spacing w:line="360" w:lineRule="auto"/>
        <w:ind w:firstLine="1285" w:firstLineChars="400"/>
        <w:outlineLvl w:val="0"/>
        <w:rPr>
          <w:rFonts w:hint="default" w:ascii="宋体" w:hAnsi="宋体" w:cs="宋体"/>
          <w:b/>
          <w:bCs/>
          <w:i w:val="0"/>
          <w:iCs w:val="0"/>
          <w:color w:val="auto"/>
          <w:sz w:val="32"/>
          <w:szCs w:val="32"/>
          <w:highlight w:val="none"/>
          <w:lang w:val="en-US"/>
        </w:rPr>
      </w:pPr>
      <w:r>
        <w:rPr>
          <w:rFonts w:hint="eastAsia" w:ascii="宋体" w:hAnsi="宋体" w:cs="宋体"/>
          <w:b/>
          <w:bCs/>
          <w:i w:val="0"/>
          <w:iCs w:val="0"/>
          <w:color w:val="auto"/>
          <w:sz w:val="32"/>
          <w:szCs w:val="32"/>
          <w:highlight w:val="none"/>
        </w:rPr>
        <w:t>招标编号：</w:t>
      </w:r>
      <w:r>
        <w:rPr>
          <w:rFonts w:hint="eastAsia" w:ascii="宋体" w:hAnsi="宋体" w:cs="宋体"/>
          <w:b/>
          <w:bCs/>
          <w:i w:val="0"/>
          <w:iCs w:val="0"/>
          <w:color w:val="auto"/>
          <w:sz w:val="32"/>
          <w:szCs w:val="32"/>
          <w:highlight w:val="none"/>
          <w:lang w:val="en-US" w:eastAsia="zh-CN"/>
        </w:rPr>
        <w:t>2023-C-11</w:t>
      </w:r>
    </w:p>
    <w:p>
      <w:pPr>
        <w:adjustRightInd w:val="0"/>
        <w:snapToGrid w:val="0"/>
        <w:spacing w:line="360" w:lineRule="auto"/>
        <w:ind w:firstLine="1285" w:firstLineChars="400"/>
        <w:outlineLvl w:val="0"/>
        <w:rPr>
          <w:rFonts w:hint="eastAsia" w:ascii="宋体" w:hAnsi="宋体" w:eastAsia="宋体" w:cs="宋体"/>
          <w:b/>
          <w:bCs/>
          <w:i w:val="0"/>
          <w:iCs w:val="0"/>
          <w:color w:val="auto"/>
          <w:sz w:val="32"/>
          <w:szCs w:val="32"/>
          <w:highlight w:val="none"/>
          <w:lang w:eastAsia="zh-CN"/>
        </w:rPr>
      </w:pPr>
      <w:r>
        <w:rPr>
          <w:rFonts w:hint="eastAsia" w:ascii="宋体" w:hAnsi="宋体" w:cs="宋体"/>
          <w:b/>
          <w:bCs/>
          <w:i w:val="0"/>
          <w:iCs w:val="0"/>
          <w:color w:val="auto"/>
          <w:sz w:val="32"/>
          <w:szCs w:val="32"/>
          <w:highlight w:val="none"/>
        </w:rPr>
        <w:t>采购代理机构：</w:t>
      </w:r>
      <w:r>
        <w:rPr>
          <w:rFonts w:hint="eastAsia" w:ascii="宋体" w:hAnsi="宋体" w:cs="宋体"/>
          <w:b/>
          <w:bCs/>
          <w:i w:val="0"/>
          <w:iCs w:val="0"/>
          <w:color w:val="auto"/>
          <w:sz w:val="32"/>
          <w:szCs w:val="32"/>
          <w:highlight w:val="none"/>
          <w:lang w:val="en-US" w:eastAsia="zh-CN"/>
        </w:rPr>
        <w:t>新疆润悦项目管理有限公司</w:t>
      </w:r>
    </w:p>
    <w:p>
      <w:pPr>
        <w:adjustRightInd w:val="0"/>
        <w:snapToGrid w:val="0"/>
        <w:spacing w:line="360" w:lineRule="auto"/>
        <w:jc w:val="center"/>
        <w:rPr>
          <w:rFonts w:hint="eastAsia" w:ascii="宋体" w:hAnsi="宋体" w:cs="宋体"/>
          <w:b/>
          <w:bCs/>
          <w:i w:val="0"/>
          <w:iCs w:val="0"/>
          <w:color w:val="auto"/>
          <w:sz w:val="32"/>
          <w:szCs w:val="32"/>
          <w:highlight w:val="none"/>
        </w:rPr>
      </w:pPr>
    </w:p>
    <w:p>
      <w:pPr>
        <w:adjustRightInd w:val="0"/>
        <w:snapToGrid w:val="0"/>
        <w:spacing w:line="360" w:lineRule="auto"/>
        <w:jc w:val="center"/>
        <w:outlineLvl w:val="0"/>
        <w:rPr>
          <w:rFonts w:hint="eastAsia" w:ascii="宋体" w:hAnsi="宋体" w:cs="宋体"/>
          <w:b/>
          <w:bCs/>
          <w:i w:val="0"/>
          <w:iCs w:val="0"/>
          <w:color w:val="auto"/>
          <w:sz w:val="32"/>
          <w:szCs w:val="32"/>
          <w:highlight w:val="none"/>
        </w:rPr>
      </w:pPr>
      <w:r>
        <w:rPr>
          <w:rFonts w:hint="eastAsia" w:ascii="宋体" w:hAnsi="宋体" w:cs="宋体"/>
          <w:b/>
          <w:bCs/>
          <w:i w:val="0"/>
          <w:iCs w:val="0"/>
          <w:color w:val="auto"/>
          <w:sz w:val="32"/>
          <w:szCs w:val="32"/>
          <w:highlight w:val="none"/>
        </w:rPr>
        <w:t>二〇二</w:t>
      </w:r>
      <w:r>
        <w:rPr>
          <w:rFonts w:hint="eastAsia" w:ascii="宋体" w:hAnsi="宋体" w:cs="宋体"/>
          <w:b/>
          <w:bCs/>
          <w:i w:val="0"/>
          <w:iCs w:val="0"/>
          <w:color w:val="auto"/>
          <w:sz w:val="32"/>
          <w:szCs w:val="32"/>
          <w:highlight w:val="none"/>
          <w:lang w:eastAsia="zh-CN"/>
        </w:rPr>
        <w:t>三</w:t>
      </w:r>
      <w:r>
        <w:rPr>
          <w:rFonts w:hint="eastAsia" w:ascii="宋体" w:hAnsi="宋体" w:cs="宋体"/>
          <w:b/>
          <w:bCs/>
          <w:i w:val="0"/>
          <w:iCs w:val="0"/>
          <w:color w:val="auto"/>
          <w:sz w:val="32"/>
          <w:szCs w:val="32"/>
          <w:highlight w:val="none"/>
        </w:rPr>
        <w:t>年</w:t>
      </w:r>
      <w:r>
        <w:rPr>
          <w:rFonts w:hint="eastAsia" w:ascii="宋体" w:hAnsi="宋体" w:cs="宋体"/>
          <w:b/>
          <w:bCs/>
          <w:i w:val="0"/>
          <w:iCs w:val="0"/>
          <w:color w:val="auto"/>
          <w:sz w:val="32"/>
          <w:szCs w:val="32"/>
          <w:highlight w:val="none"/>
          <w:lang w:val="en-US" w:eastAsia="zh-CN"/>
        </w:rPr>
        <w:t>三</w:t>
      </w:r>
      <w:r>
        <w:rPr>
          <w:rFonts w:hint="eastAsia" w:ascii="宋体" w:hAnsi="宋体" w:cs="宋体"/>
          <w:b/>
          <w:bCs/>
          <w:i w:val="0"/>
          <w:iCs w:val="0"/>
          <w:color w:val="auto"/>
          <w:sz w:val="32"/>
          <w:szCs w:val="32"/>
          <w:highlight w:val="none"/>
        </w:rPr>
        <w:t>月</w:t>
      </w:r>
    </w:p>
    <w:p>
      <w:pPr>
        <w:widowControl/>
        <w:spacing w:line="700" w:lineRule="exact"/>
        <w:jc w:val="center"/>
        <w:outlineLvl w:val="1"/>
        <w:rPr>
          <w:rFonts w:hint="eastAsia" w:ascii="宋体" w:hAnsi="宋体" w:cs="宋体"/>
          <w:bCs/>
          <w:i w:val="0"/>
          <w:iCs w:val="0"/>
          <w:color w:val="auto"/>
          <w:sz w:val="44"/>
          <w:szCs w:val="44"/>
          <w:highlight w:val="none"/>
          <w:lang w:eastAsia="zh-CN"/>
        </w:rPr>
      </w:pPr>
    </w:p>
    <w:p>
      <w:pPr>
        <w:widowControl/>
        <w:spacing w:line="700" w:lineRule="exact"/>
        <w:jc w:val="center"/>
        <w:outlineLvl w:val="1"/>
        <w:rPr>
          <w:rFonts w:hint="eastAsia" w:ascii="宋体" w:hAnsi="宋体" w:cs="宋体"/>
          <w:bCs/>
          <w:i w:val="0"/>
          <w:iCs w:val="0"/>
          <w:color w:val="auto"/>
          <w:sz w:val="44"/>
          <w:szCs w:val="44"/>
          <w:highlight w:val="none"/>
          <w:lang w:eastAsia="zh-CN"/>
        </w:rPr>
      </w:pPr>
    </w:p>
    <w:p>
      <w:pPr>
        <w:widowControl/>
        <w:spacing w:line="700" w:lineRule="exact"/>
        <w:jc w:val="center"/>
        <w:outlineLvl w:val="1"/>
        <w:rPr>
          <w:rFonts w:hint="eastAsia" w:ascii="宋体" w:hAnsi="宋体" w:cs="宋体"/>
          <w:bCs/>
          <w:i w:val="0"/>
          <w:iCs w:val="0"/>
          <w:color w:val="auto"/>
          <w:sz w:val="44"/>
          <w:szCs w:val="44"/>
          <w:highlight w:val="none"/>
          <w:lang w:eastAsia="zh-CN"/>
        </w:rPr>
        <w:sectPr>
          <w:headerReference r:id="rId3" w:type="default"/>
          <w:footerReference r:id="rId4" w:type="default"/>
          <w:footerReference r:id="rId5" w:type="even"/>
          <w:pgSz w:w="11906" w:h="16838"/>
          <w:pgMar w:top="1440" w:right="1080" w:bottom="1440" w:left="1080" w:header="851" w:footer="992" w:gutter="0"/>
          <w:pgNumType w:start="0"/>
          <w:cols w:space="720" w:num="1"/>
          <w:titlePg/>
          <w:docGrid w:type="lines" w:linePitch="312" w:charSpace="0"/>
        </w:sectPr>
      </w:pPr>
    </w:p>
    <w:p>
      <w:pPr>
        <w:pStyle w:val="2"/>
        <w:rPr>
          <w:rFonts w:hint="eastAsia"/>
          <w:lang w:eastAsia="zh-CN"/>
        </w:rPr>
      </w:pPr>
    </w:p>
    <w:p>
      <w:pPr>
        <w:widowControl/>
        <w:spacing w:line="700" w:lineRule="exact"/>
        <w:jc w:val="center"/>
        <w:outlineLvl w:val="1"/>
        <w:rPr>
          <w:rFonts w:ascii="宋体" w:hAnsi="宋体" w:cs="宋体"/>
          <w:bCs/>
          <w:i w:val="0"/>
          <w:iCs w:val="0"/>
          <w:color w:val="auto"/>
          <w:sz w:val="44"/>
          <w:szCs w:val="44"/>
          <w:highlight w:val="none"/>
        </w:rPr>
      </w:pPr>
      <w:r>
        <w:rPr>
          <w:rFonts w:hint="eastAsia" w:ascii="宋体" w:hAnsi="宋体" w:cs="宋体"/>
          <w:bCs/>
          <w:i w:val="0"/>
          <w:iCs w:val="0"/>
          <w:color w:val="auto"/>
          <w:sz w:val="44"/>
          <w:szCs w:val="44"/>
          <w:highlight w:val="none"/>
          <w:lang w:eastAsia="zh-CN"/>
        </w:rPr>
        <w:t>竞争性磋商</w:t>
      </w:r>
      <w:r>
        <w:rPr>
          <w:rFonts w:hint="eastAsia" w:ascii="宋体" w:hAnsi="宋体" w:cs="宋体"/>
          <w:bCs/>
          <w:i w:val="0"/>
          <w:iCs w:val="0"/>
          <w:color w:val="auto"/>
          <w:sz w:val="44"/>
          <w:szCs w:val="44"/>
          <w:highlight w:val="none"/>
        </w:rPr>
        <w:t>文件</w:t>
      </w:r>
    </w:p>
    <w:p>
      <w:pPr>
        <w:pStyle w:val="2"/>
        <w:rPr>
          <w:i w:val="0"/>
          <w:iCs w:val="0"/>
          <w:color w:val="auto"/>
          <w:highlight w:val="none"/>
        </w:rPr>
      </w:pPr>
    </w:p>
    <w:p>
      <w:pPr>
        <w:spacing w:line="360" w:lineRule="auto"/>
        <w:ind w:firstLine="560" w:firstLineChars="200"/>
        <w:outlineLvl w:val="1"/>
        <w:rPr>
          <w:rFonts w:hint="eastAsia" w:ascii="宋体" w:hAnsi="宋体" w:eastAsia="宋体" w:cs="宋体"/>
          <w:bCs/>
          <w:i w:val="0"/>
          <w:iCs w:val="0"/>
          <w:color w:val="auto"/>
          <w:sz w:val="28"/>
          <w:szCs w:val="28"/>
          <w:highlight w:val="none"/>
          <w:lang w:val="en-US" w:eastAsia="zh-CN"/>
        </w:rPr>
      </w:pPr>
      <w:r>
        <w:rPr>
          <w:rFonts w:hint="eastAsia" w:ascii="宋体" w:hAnsi="宋体" w:cs="宋体"/>
          <w:bCs/>
          <w:i w:val="0"/>
          <w:iCs w:val="0"/>
          <w:color w:val="auto"/>
          <w:sz w:val="28"/>
          <w:szCs w:val="28"/>
          <w:highlight w:val="none"/>
          <w:lang w:eastAsia="zh-CN"/>
        </w:rPr>
        <w:t>项目</w:t>
      </w:r>
      <w:r>
        <w:rPr>
          <w:rFonts w:hint="eastAsia" w:ascii="宋体" w:hAnsi="宋体" w:cs="宋体"/>
          <w:bCs/>
          <w:i w:val="0"/>
          <w:iCs w:val="0"/>
          <w:color w:val="auto"/>
          <w:sz w:val="28"/>
          <w:szCs w:val="28"/>
          <w:highlight w:val="none"/>
        </w:rPr>
        <w:t>名称：</w:t>
      </w:r>
      <w:r>
        <w:rPr>
          <w:rFonts w:hint="eastAsia" w:ascii="宋体" w:hAnsi="宋体" w:cs="宋体"/>
          <w:bCs/>
          <w:i w:val="0"/>
          <w:iCs w:val="0"/>
          <w:color w:val="auto"/>
          <w:sz w:val="28"/>
          <w:szCs w:val="28"/>
          <w:highlight w:val="none"/>
          <w:lang w:val="en-US" w:eastAsia="zh-CN"/>
        </w:rPr>
        <w:t>2023年2.45万亩高标准农田建设项目管理</w:t>
      </w:r>
    </w:p>
    <w:p>
      <w:pPr>
        <w:spacing w:line="600" w:lineRule="exact"/>
        <w:outlineLvl w:val="1"/>
        <w:rPr>
          <w:rFonts w:hint="eastAsia" w:ascii="宋体" w:hAnsi="宋体" w:eastAsia="宋体" w:cs="宋体"/>
          <w:bCs/>
          <w:i w:val="0"/>
          <w:iCs w:val="0"/>
          <w:color w:val="auto"/>
          <w:sz w:val="28"/>
          <w:szCs w:val="28"/>
          <w:highlight w:val="none"/>
          <w:lang w:eastAsia="zh-CN"/>
        </w:rPr>
      </w:pPr>
      <w:r>
        <w:rPr>
          <w:rFonts w:hint="eastAsia" w:ascii="宋体" w:hAnsi="宋体" w:cs="宋体"/>
          <w:bCs/>
          <w:i w:val="0"/>
          <w:iCs w:val="0"/>
          <w:color w:val="auto"/>
          <w:sz w:val="28"/>
          <w:szCs w:val="28"/>
          <w:highlight w:val="none"/>
        </w:rPr>
        <w:t xml:space="preserve">    招标人（公章）：阿克苏市农村合作经济发展中心</w:t>
      </w:r>
    </w:p>
    <w:p>
      <w:pPr>
        <w:spacing w:line="600" w:lineRule="exact"/>
        <w:outlineLvl w:val="1"/>
        <w:rPr>
          <w:rFonts w:ascii="宋体" w:hAnsi="宋体" w:cs="宋体"/>
          <w:bCs/>
          <w:i w:val="0"/>
          <w:iCs w:val="0"/>
          <w:color w:val="auto"/>
          <w:sz w:val="28"/>
          <w:szCs w:val="28"/>
          <w:highlight w:val="none"/>
        </w:rPr>
      </w:pPr>
      <w:r>
        <w:rPr>
          <w:rFonts w:hint="eastAsia" w:ascii="宋体" w:hAnsi="宋体" w:cs="宋体"/>
          <w:bCs/>
          <w:i w:val="0"/>
          <w:iCs w:val="0"/>
          <w:color w:val="auto"/>
          <w:sz w:val="28"/>
          <w:szCs w:val="28"/>
          <w:highlight w:val="none"/>
        </w:rPr>
        <w:t xml:space="preserve">    法定代表人（签章）： </w:t>
      </w:r>
    </w:p>
    <w:p>
      <w:pPr>
        <w:spacing w:line="600" w:lineRule="exact"/>
        <w:outlineLvl w:val="1"/>
        <w:rPr>
          <w:rFonts w:hint="eastAsia" w:ascii="宋体" w:hAnsi="宋体" w:eastAsia="宋体" w:cs="宋体"/>
          <w:bCs/>
          <w:i w:val="0"/>
          <w:iCs w:val="0"/>
          <w:color w:val="auto"/>
          <w:sz w:val="28"/>
          <w:szCs w:val="28"/>
          <w:highlight w:val="none"/>
          <w:lang w:val="en-US" w:eastAsia="zh-CN"/>
        </w:rPr>
      </w:pPr>
      <w:r>
        <w:rPr>
          <w:rFonts w:hint="eastAsia" w:ascii="宋体" w:hAnsi="宋体" w:cs="宋体"/>
          <w:bCs/>
          <w:i w:val="0"/>
          <w:iCs w:val="0"/>
          <w:color w:val="auto"/>
          <w:sz w:val="28"/>
          <w:szCs w:val="28"/>
          <w:highlight w:val="none"/>
        </w:rPr>
        <w:t xml:space="preserve">   </w:t>
      </w:r>
      <w:r>
        <w:rPr>
          <w:rFonts w:hint="eastAsia" w:ascii="宋体" w:hAnsi="宋体" w:eastAsia="宋体" w:cs="宋体"/>
          <w:bCs/>
          <w:i w:val="0"/>
          <w:iCs w:val="0"/>
          <w:color w:val="auto"/>
          <w:sz w:val="28"/>
          <w:szCs w:val="28"/>
          <w:highlight w:val="none"/>
        </w:rPr>
        <w:t xml:space="preserve"> 联系人：</w:t>
      </w:r>
      <w:r>
        <w:rPr>
          <w:rFonts w:hint="eastAsia" w:ascii="宋体" w:hAnsi="宋体" w:cs="宋体"/>
          <w:bCs/>
          <w:i w:val="0"/>
          <w:iCs w:val="0"/>
          <w:color w:val="auto"/>
          <w:sz w:val="28"/>
          <w:szCs w:val="28"/>
          <w:highlight w:val="none"/>
          <w:lang w:eastAsia="zh-CN"/>
        </w:rPr>
        <w:t>邢宇</w:t>
      </w:r>
    </w:p>
    <w:p>
      <w:pPr>
        <w:spacing w:line="600" w:lineRule="exact"/>
        <w:ind w:firstLine="560" w:firstLineChars="200"/>
        <w:outlineLvl w:val="1"/>
        <w:rPr>
          <w:rFonts w:hint="default" w:ascii="宋体" w:hAnsi="宋体" w:eastAsia="宋体" w:cs="宋体"/>
          <w:bCs/>
          <w:i w:val="0"/>
          <w:iCs w:val="0"/>
          <w:color w:val="auto"/>
          <w:sz w:val="28"/>
          <w:szCs w:val="28"/>
          <w:highlight w:val="none"/>
          <w:lang w:val="en-US"/>
        </w:rPr>
      </w:pPr>
      <w:r>
        <w:rPr>
          <w:rFonts w:hint="eastAsia" w:ascii="宋体" w:hAnsi="宋体" w:eastAsia="宋体" w:cs="宋体"/>
          <w:bCs/>
          <w:i w:val="0"/>
          <w:iCs w:val="0"/>
          <w:color w:val="auto"/>
          <w:sz w:val="28"/>
          <w:szCs w:val="28"/>
          <w:highlight w:val="none"/>
        </w:rPr>
        <w:t>联系电话：18699700819</w:t>
      </w:r>
    </w:p>
    <w:p>
      <w:pPr>
        <w:spacing w:line="480" w:lineRule="exact"/>
        <w:rPr>
          <w:rFonts w:ascii="宋体" w:hAnsi="宋体" w:cs="宋体"/>
          <w:bCs/>
          <w:i w:val="0"/>
          <w:iCs w:val="0"/>
          <w:color w:val="auto"/>
          <w:sz w:val="28"/>
          <w:szCs w:val="28"/>
          <w:highlight w:val="none"/>
        </w:rPr>
      </w:pPr>
    </w:p>
    <w:p>
      <w:pPr>
        <w:spacing w:line="480" w:lineRule="exact"/>
        <w:rPr>
          <w:rFonts w:ascii="宋体" w:hAnsi="宋体" w:cs="宋体"/>
          <w:bCs/>
          <w:i w:val="0"/>
          <w:iCs w:val="0"/>
          <w:color w:val="auto"/>
          <w:sz w:val="28"/>
          <w:szCs w:val="28"/>
          <w:highlight w:val="none"/>
        </w:rPr>
      </w:pPr>
    </w:p>
    <w:p>
      <w:pPr>
        <w:spacing w:line="480" w:lineRule="exact"/>
        <w:rPr>
          <w:rFonts w:ascii="宋体" w:hAnsi="宋体" w:cs="宋体"/>
          <w:bCs/>
          <w:i w:val="0"/>
          <w:iCs w:val="0"/>
          <w:color w:val="auto"/>
          <w:sz w:val="28"/>
          <w:szCs w:val="28"/>
          <w:highlight w:val="none"/>
        </w:rPr>
      </w:pPr>
    </w:p>
    <w:p>
      <w:pPr>
        <w:spacing w:line="480" w:lineRule="exact"/>
        <w:rPr>
          <w:rFonts w:ascii="宋体" w:hAnsi="宋体" w:cs="宋体"/>
          <w:bCs/>
          <w:i w:val="0"/>
          <w:iCs w:val="0"/>
          <w:color w:val="auto"/>
          <w:sz w:val="28"/>
          <w:szCs w:val="28"/>
          <w:highlight w:val="none"/>
        </w:rPr>
      </w:pPr>
    </w:p>
    <w:p>
      <w:pPr>
        <w:spacing w:line="600" w:lineRule="exact"/>
        <w:outlineLvl w:val="1"/>
        <w:rPr>
          <w:rFonts w:hint="eastAsia" w:ascii="宋体" w:hAnsi="宋体" w:eastAsia="宋体" w:cs="宋体"/>
          <w:bCs/>
          <w:i w:val="0"/>
          <w:iCs w:val="0"/>
          <w:color w:val="auto"/>
          <w:sz w:val="28"/>
          <w:szCs w:val="28"/>
          <w:highlight w:val="none"/>
          <w:lang w:eastAsia="zh-CN"/>
        </w:rPr>
      </w:pPr>
      <w:r>
        <w:rPr>
          <w:rFonts w:hint="eastAsia" w:ascii="宋体" w:hAnsi="宋体" w:cs="宋体"/>
          <w:bCs/>
          <w:i w:val="0"/>
          <w:iCs w:val="0"/>
          <w:color w:val="auto"/>
          <w:sz w:val="28"/>
          <w:szCs w:val="28"/>
          <w:highlight w:val="none"/>
        </w:rPr>
        <w:t xml:space="preserve">    招标代理机构（公章）：</w:t>
      </w:r>
      <w:r>
        <w:rPr>
          <w:rFonts w:hint="eastAsia" w:ascii="宋体" w:hAnsi="宋体" w:eastAsia="宋体" w:cs="宋体"/>
          <w:i w:val="0"/>
          <w:iCs w:val="0"/>
          <w:color w:val="auto"/>
          <w:sz w:val="28"/>
          <w:szCs w:val="28"/>
          <w:lang w:val="en-US" w:eastAsia="zh-CN"/>
        </w:rPr>
        <w:t>新疆润悦项目管理有限公司</w:t>
      </w:r>
    </w:p>
    <w:p>
      <w:pPr>
        <w:spacing w:line="600" w:lineRule="exact"/>
        <w:ind w:firstLine="560"/>
        <w:outlineLvl w:val="1"/>
        <w:rPr>
          <w:rFonts w:ascii="宋体" w:hAnsi="宋体" w:cs="宋体"/>
          <w:bCs/>
          <w:i w:val="0"/>
          <w:iCs w:val="0"/>
          <w:color w:val="auto"/>
          <w:sz w:val="28"/>
          <w:szCs w:val="28"/>
          <w:highlight w:val="none"/>
        </w:rPr>
      </w:pPr>
      <w:r>
        <w:rPr>
          <w:rFonts w:hint="eastAsia" w:ascii="宋体" w:hAnsi="宋体" w:cs="宋体"/>
          <w:bCs/>
          <w:i w:val="0"/>
          <w:iCs w:val="0"/>
          <w:color w:val="auto"/>
          <w:sz w:val="28"/>
          <w:szCs w:val="28"/>
          <w:highlight w:val="none"/>
        </w:rPr>
        <w:t>法定代表人（签章）：</w:t>
      </w:r>
    </w:p>
    <w:p>
      <w:pPr>
        <w:spacing w:line="600" w:lineRule="exact"/>
        <w:outlineLvl w:val="1"/>
        <w:rPr>
          <w:rFonts w:hint="eastAsia" w:ascii="宋体" w:hAnsi="宋体" w:eastAsia="宋体" w:cs="宋体"/>
          <w:bCs/>
          <w:i w:val="0"/>
          <w:iCs w:val="0"/>
          <w:color w:val="auto"/>
          <w:sz w:val="28"/>
          <w:szCs w:val="28"/>
          <w:highlight w:val="none"/>
          <w:lang w:eastAsia="zh-CN"/>
        </w:rPr>
      </w:pPr>
      <w:r>
        <w:rPr>
          <w:rFonts w:hint="eastAsia" w:ascii="宋体" w:hAnsi="宋体" w:cs="宋体"/>
          <w:bCs/>
          <w:i w:val="0"/>
          <w:iCs w:val="0"/>
          <w:color w:val="auto"/>
          <w:sz w:val="28"/>
          <w:szCs w:val="28"/>
          <w:highlight w:val="none"/>
        </w:rPr>
        <w:t xml:space="preserve">    联系人：</w:t>
      </w:r>
      <w:r>
        <w:rPr>
          <w:rFonts w:hint="eastAsia" w:ascii="宋体" w:hAnsi="宋体" w:cs="宋体"/>
          <w:i w:val="0"/>
          <w:iCs w:val="0"/>
          <w:color w:val="auto"/>
          <w:sz w:val="28"/>
          <w:szCs w:val="28"/>
          <w:highlight w:val="none"/>
          <w:lang w:val="en-US" w:eastAsia="zh-CN"/>
        </w:rPr>
        <w:t>张贺新</w:t>
      </w:r>
    </w:p>
    <w:p>
      <w:pPr>
        <w:spacing w:line="600" w:lineRule="exact"/>
        <w:outlineLvl w:val="1"/>
        <w:rPr>
          <w:rFonts w:hint="default" w:ascii="宋体" w:hAnsi="宋体" w:eastAsia="宋体" w:cs="宋体"/>
          <w:bCs/>
          <w:i w:val="0"/>
          <w:iCs w:val="0"/>
          <w:color w:val="auto"/>
          <w:sz w:val="28"/>
          <w:szCs w:val="28"/>
          <w:highlight w:val="none"/>
          <w:lang w:val="en-US" w:eastAsia="zh-CN"/>
        </w:rPr>
      </w:pPr>
      <w:r>
        <w:rPr>
          <w:rFonts w:hint="eastAsia" w:ascii="宋体" w:hAnsi="宋体" w:cs="宋体"/>
          <w:bCs/>
          <w:i w:val="0"/>
          <w:iCs w:val="0"/>
          <w:color w:val="auto"/>
          <w:sz w:val="28"/>
          <w:szCs w:val="28"/>
          <w:highlight w:val="none"/>
        </w:rPr>
        <w:t xml:space="preserve">    联系电话：</w:t>
      </w:r>
      <w:r>
        <w:rPr>
          <w:rFonts w:hint="eastAsia" w:ascii="宋体" w:hAnsi="宋体" w:cs="宋体"/>
          <w:bCs/>
          <w:i w:val="0"/>
          <w:iCs w:val="0"/>
          <w:color w:val="auto"/>
          <w:sz w:val="28"/>
          <w:szCs w:val="28"/>
          <w:highlight w:val="none"/>
          <w:lang w:val="en-US" w:eastAsia="zh-CN"/>
        </w:rPr>
        <w:t>15003027111</w:t>
      </w:r>
    </w:p>
    <w:p>
      <w:pPr>
        <w:spacing w:line="600" w:lineRule="exact"/>
        <w:ind w:left="559" w:leftChars="266" w:firstLine="0" w:firstLineChars="0"/>
        <w:outlineLvl w:val="1"/>
        <w:rPr>
          <w:rFonts w:hint="default" w:ascii="宋体" w:hAnsi="宋体" w:eastAsia="宋体" w:cs="宋体"/>
          <w:bCs/>
          <w:i w:val="0"/>
          <w:iCs w:val="0"/>
          <w:color w:val="auto"/>
          <w:sz w:val="28"/>
          <w:szCs w:val="28"/>
          <w:highlight w:val="none"/>
          <w:lang w:val="en-US" w:eastAsia="zh-CN"/>
        </w:rPr>
      </w:pPr>
      <w:r>
        <w:rPr>
          <w:rFonts w:hint="eastAsia" w:ascii="宋体" w:hAnsi="宋体" w:cs="宋体"/>
          <w:bCs/>
          <w:i w:val="0"/>
          <w:iCs w:val="0"/>
          <w:color w:val="auto"/>
          <w:sz w:val="28"/>
          <w:szCs w:val="28"/>
          <w:highlight w:val="none"/>
        </w:rPr>
        <w:t>联系地址：</w:t>
      </w:r>
      <w:r>
        <w:rPr>
          <w:rFonts w:hint="eastAsia" w:ascii="宋体" w:hAnsi="宋体" w:eastAsia="宋体" w:cs="宋体"/>
          <w:i w:val="0"/>
          <w:iCs w:val="0"/>
          <w:color w:val="auto"/>
          <w:sz w:val="28"/>
          <w:szCs w:val="28"/>
          <w:lang w:val="en-US" w:eastAsia="zh-CN"/>
        </w:rPr>
        <w:t>新疆阿克苏地区阿克苏市兰干街道英阿瓦提社区朝阳街7号银基王朝4号楼1701号</w:t>
      </w:r>
    </w:p>
    <w:p>
      <w:pPr>
        <w:spacing w:line="600" w:lineRule="exact"/>
        <w:rPr>
          <w:rFonts w:ascii="宋体" w:hAnsi="宋体" w:cs="宋体"/>
          <w:bCs/>
          <w:i w:val="0"/>
          <w:iCs w:val="0"/>
          <w:color w:val="auto"/>
          <w:sz w:val="28"/>
          <w:szCs w:val="28"/>
          <w:highlight w:val="none"/>
        </w:rPr>
      </w:pPr>
    </w:p>
    <w:p>
      <w:pPr>
        <w:spacing w:line="600" w:lineRule="exact"/>
        <w:rPr>
          <w:rFonts w:ascii="宋体" w:hAnsi="宋体" w:cs="宋体"/>
          <w:bCs/>
          <w:i w:val="0"/>
          <w:iCs w:val="0"/>
          <w:color w:val="auto"/>
          <w:sz w:val="28"/>
          <w:szCs w:val="28"/>
          <w:highlight w:val="none"/>
        </w:rPr>
      </w:pPr>
    </w:p>
    <w:p>
      <w:pPr>
        <w:spacing w:line="600" w:lineRule="exact"/>
        <w:ind w:firstLine="3920" w:firstLineChars="1400"/>
        <w:jc w:val="both"/>
        <w:rPr>
          <w:rFonts w:hint="default" w:ascii="宋体" w:hAnsi="宋体" w:eastAsia="宋体" w:cs="宋体"/>
          <w:bCs/>
          <w:i w:val="0"/>
          <w:iCs w:val="0"/>
          <w:color w:val="auto"/>
          <w:sz w:val="28"/>
          <w:szCs w:val="28"/>
          <w:highlight w:val="none"/>
          <w:lang w:val="en-US" w:eastAsia="zh-CN"/>
        </w:rPr>
      </w:pPr>
      <w:r>
        <w:rPr>
          <w:rFonts w:hint="eastAsia" w:ascii="宋体" w:hAnsi="宋体" w:cs="宋体"/>
          <w:bCs/>
          <w:i w:val="0"/>
          <w:iCs w:val="0"/>
          <w:color w:val="auto"/>
          <w:sz w:val="28"/>
          <w:szCs w:val="28"/>
          <w:highlight w:val="none"/>
          <w:lang w:val="en-US" w:eastAsia="zh-CN"/>
        </w:rPr>
        <w:t>二〇二三年三月</w:t>
      </w:r>
    </w:p>
    <w:p>
      <w:pPr>
        <w:pStyle w:val="11"/>
        <w:keepNext/>
        <w:pageBreakBefore/>
        <w:tabs>
          <w:tab w:val="right" w:leader="dot" w:pos="9354"/>
        </w:tabs>
        <w:spacing w:line="360" w:lineRule="auto"/>
        <w:jc w:val="center"/>
        <w:outlineLvl w:val="0"/>
        <w:rPr>
          <w:rFonts w:hint="eastAsia" w:ascii="宋体" w:hAnsi="宋体" w:cs="宋体"/>
          <w:b/>
          <w:bCs/>
          <w:i w:val="0"/>
          <w:iCs w:val="0"/>
          <w:color w:val="auto"/>
          <w:sz w:val="32"/>
          <w:szCs w:val="32"/>
          <w:highlight w:val="none"/>
        </w:rPr>
        <w:sectPr>
          <w:footerReference r:id="rId7" w:type="first"/>
          <w:footerReference r:id="rId6" w:type="default"/>
          <w:pgSz w:w="11906" w:h="16838"/>
          <w:pgMar w:top="1440" w:right="1080" w:bottom="1440" w:left="1080" w:header="851" w:footer="992" w:gutter="0"/>
          <w:pgNumType w:start="0"/>
          <w:cols w:space="720" w:num="1"/>
          <w:titlePg/>
          <w:docGrid w:type="lines" w:linePitch="312" w:charSpace="0"/>
        </w:sectPr>
      </w:pPr>
    </w:p>
    <w:p>
      <w:pPr>
        <w:pStyle w:val="11"/>
        <w:keepNext/>
        <w:pageBreakBefore/>
        <w:tabs>
          <w:tab w:val="right" w:leader="dot" w:pos="9354"/>
        </w:tabs>
        <w:spacing w:line="360" w:lineRule="auto"/>
        <w:jc w:val="center"/>
        <w:outlineLvl w:val="0"/>
        <w:rPr>
          <w:rFonts w:hint="eastAsia" w:ascii="宋体" w:hAnsi="宋体" w:cs="宋体"/>
          <w:b/>
          <w:bCs/>
          <w:i w:val="0"/>
          <w:iCs w:val="0"/>
          <w:color w:val="auto"/>
          <w:sz w:val="32"/>
          <w:szCs w:val="32"/>
          <w:highlight w:val="none"/>
        </w:rPr>
      </w:pPr>
      <w:r>
        <w:rPr>
          <w:rFonts w:hint="eastAsia" w:ascii="宋体" w:hAnsi="宋体" w:cs="宋体"/>
          <w:b/>
          <w:bCs/>
          <w:i w:val="0"/>
          <w:iCs w:val="0"/>
          <w:color w:val="auto"/>
          <w:sz w:val="32"/>
          <w:szCs w:val="32"/>
          <w:highlight w:val="none"/>
        </w:rPr>
        <w:t>目录</w:t>
      </w:r>
    </w:p>
    <w:p>
      <w:pPr>
        <w:pStyle w:val="6"/>
        <w:spacing w:line="360" w:lineRule="auto"/>
        <w:rPr>
          <w:rFonts w:hint="eastAsia"/>
          <w:i w:val="0"/>
          <w:iCs w:val="0"/>
          <w:color w:val="auto"/>
          <w:highlight w:val="none"/>
        </w:rPr>
      </w:pPr>
    </w:p>
    <w:p>
      <w:pPr>
        <w:pStyle w:val="11"/>
        <w:tabs>
          <w:tab w:val="right" w:leader="dot" w:pos="9746"/>
        </w:tabs>
        <w:rPr>
          <w:rFonts w:hint="eastAsia" w:ascii="宋体" w:hAnsi="宋体" w:cs="宋体"/>
          <w:i w:val="0"/>
          <w:iCs w:val="0"/>
          <w:color w:val="auto"/>
          <w:sz w:val="28"/>
          <w:szCs w:val="28"/>
          <w:highlight w:val="none"/>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TOC \o "1-1" \h \u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_Toc13366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 xml:space="preserve">第一章 </w:t>
      </w:r>
      <w:r>
        <w:rPr>
          <w:rFonts w:hint="eastAsia" w:ascii="宋体" w:hAnsi="宋体" w:cs="宋体"/>
          <w:i w:val="0"/>
          <w:iCs w:val="0"/>
          <w:color w:val="auto"/>
          <w:sz w:val="28"/>
          <w:szCs w:val="28"/>
          <w:highlight w:val="none"/>
          <w:lang w:val="en-US" w:eastAsia="zh-CN"/>
        </w:rPr>
        <w:t>竞争性磋商</w:t>
      </w:r>
      <w:r>
        <w:rPr>
          <w:rFonts w:hint="eastAsia" w:ascii="宋体" w:hAnsi="宋体" w:cs="宋体"/>
          <w:i w:val="0"/>
          <w:iCs w:val="0"/>
          <w:color w:val="auto"/>
          <w:sz w:val="28"/>
          <w:szCs w:val="28"/>
          <w:highlight w:val="none"/>
        </w:rPr>
        <w:t>公告</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t>1</w:t>
      </w:r>
      <w:r>
        <w:rPr>
          <w:rFonts w:hint="eastAsia" w:ascii="宋体" w:hAnsi="宋体" w:cs="宋体"/>
          <w:i w:val="0"/>
          <w:iCs w:val="0"/>
          <w:color w:val="auto"/>
          <w:sz w:val="28"/>
          <w:szCs w:val="28"/>
          <w:highlight w:val="none"/>
        </w:rPr>
        <w:fldChar w:fldCharType="end"/>
      </w:r>
    </w:p>
    <w:p>
      <w:pPr>
        <w:pStyle w:val="11"/>
        <w:tabs>
          <w:tab w:val="right" w:leader="dot" w:pos="9746"/>
        </w:tabs>
        <w:rPr>
          <w:rFonts w:hint="eastAsia" w:ascii="宋体" w:hAnsi="宋体" w:cs="宋体"/>
          <w:i w:val="0"/>
          <w:iCs w:val="0"/>
          <w:color w:val="auto"/>
          <w:sz w:val="28"/>
          <w:szCs w:val="28"/>
          <w:highlight w:val="none"/>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_Toc5463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第二章 投标人须知</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PAGEREF _Toc5463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5</w:t>
      </w:r>
      <w:r>
        <w:rPr>
          <w:rFonts w:hint="eastAsia" w:ascii="宋体" w:hAnsi="宋体" w:cs="宋体"/>
          <w:i w:val="0"/>
          <w:iCs w:val="0"/>
          <w:color w:val="auto"/>
          <w:sz w:val="28"/>
          <w:szCs w:val="28"/>
          <w:highlight w:val="none"/>
        </w:rPr>
        <w:fldChar w:fldCharType="end"/>
      </w:r>
      <w:r>
        <w:rPr>
          <w:rFonts w:hint="eastAsia" w:ascii="宋体" w:hAnsi="宋体" w:cs="宋体"/>
          <w:i w:val="0"/>
          <w:iCs w:val="0"/>
          <w:color w:val="auto"/>
          <w:sz w:val="28"/>
          <w:szCs w:val="28"/>
          <w:highlight w:val="none"/>
        </w:rPr>
        <w:fldChar w:fldCharType="end"/>
      </w:r>
    </w:p>
    <w:p>
      <w:pPr>
        <w:pStyle w:val="11"/>
        <w:tabs>
          <w:tab w:val="right" w:leader="dot" w:pos="9746"/>
        </w:tabs>
        <w:rPr>
          <w:rFonts w:hint="default" w:ascii="宋体" w:hAnsi="宋体" w:eastAsia="宋体" w:cs="宋体"/>
          <w:i w:val="0"/>
          <w:iCs w:val="0"/>
          <w:color w:val="auto"/>
          <w:sz w:val="28"/>
          <w:szCs w:val="28"/>
          <w:highlight w:val="none"/>
          <w:lang w:val="en-US" w:eastAsia="zh-CN"/>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_Toc7110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第三章 合同条款</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fldChar w:fldCharType="end"/>
      </w:r>
      <w:r>
        <w:rPr>
          <w:rFonts w:hint="eastAsia" w:ascii="宋体" w:hAnsi="宋体" w:cs="宋体"/>
          <w:i w:val="0"/>
          <w:iCs w:val="0"/>
          <w:color w:val="auto"/>
          <w:sz w:val="28"/>
          <w:szCs w:val="28"/>
          <w:highlight w:val="none"/>
          <w:lang w:val="en-US" w:eastAsia="zh-CN"/>
        </w:rPr>
        <w:t>36</w:t>
      </w:r>
    </w:p>
    <w:p>
      <w:pPr>
        <w:pStyle w:val="11"/>
        <w:tabs>
          <w:tab w:val="right" w:leader="dot" w:pos="9746"/>
        </w:tabs>
        <w:rPr>
          <w:rFonts w:hint="default" w:ascii="宋体" w:hAnsi="宋体" w:eastAsia="宋体" w:cs="宋体"/>
          <w:i w:val="0"/>
          <w:iCs w:val="0"/>
          <w:color w:val="auto"/>
          <w:sz w:val="28"/>
          <w:szCs w:val="28"/>
          <w:highlight w:val="none"/>
          <w:lang w:val="en-US" w:eastAsia="zh-CN"/>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_Toc27253 </w:instrText>
      </w:r>
      <w:r>
        <w:rPr>
          <w:rFonts w:hint="eastAsia" w:ascii="宋体" w:hAnsi="宋体" w:cs="宋体"/>
          <w:i w:val="0"/>
          <w:iCs w:val="0"/>
          <w:color w:val="auto"/>
          <w:sz w:val="28"/>
          <w:szCs w:val="28"/>
          <w:highlight w:val="none"/>
        </w:rPr>
        <w:fldChar w:fldCharType="separate"/>
      </w:r>
      <w:r>
        <w:rPr>
          <w:rFonts w:hint="eastAsia" w:ascii="宋体" w:hAnsi="宋体" w:cs="宋体"/>
          <w:bCs/>
          <w:i w:val="0"/>
          <w:iCs w:val="0"/>
          <w:color w:val="auto"/>
          <w:sz w:val="28"/>
          <w:szCs w:val="28"/>
          <w:highlight w:val="none"/>
        </w:rPr>
        <w:t>第四章 采购需求</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fldChar w:fldCharType="end"/>
      </w:r>
      <w:r>
        <w:rPr>
          <w:rFonts w:hint="eastAsia" w:ascii="宋体" w:hAnsi="宋体" w:cs="宋体"/>
          <w:i w:val="0"/>
          <w:iCs w:val="0"/>
          <w:color w:val="auto"/>
          <w:sz w:val="28"/>
          <w:szCs w:val="28"/>
          <w:highlight w:val="none"/>
          <w:lang w:val="en-US" w:eastAsia="zh-CN"/>
        </w:rPr>
        <w:t>37</w:t>
      </w:r>
    </w:p>
    <w:p>
      <w:pPr>
        <w:pStyle w:val="11"/>
        <w:tabs>
          <w:tab w:val="right" w:leader="dot" w:pos="9746"/>
        </w:tabs>
        <w:rPr>
          <w:rFonts w:hint="eastAsia" w:ascii="宋体" w:hAnsi="宋体" w:cs="宋体"/>
          <w:i w:val="0"/>
          <w:iCs w:val="0"/>
          <w:color w:val="auto"/>
          <w:sz w:val="28"/>
          <w:szCs w:val="28"/>
          <w:highlight w:val="none"/>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_Toc31265 </w:instrText>
      </w:r>
      <w:r>
        <w:rPr>
          <w:rFonts w:hint="eastAsia" w:ascii="宋体" w:hAnsi="宋体" w:cs="宋体"/>
          <w:i w:val="0"/>
          <w:iCs w:val="0"/>
          <w:color w:val="auto"/>
          <w:sz w:val="28"/>
          <w:szCs w:val="28"/>
          <w:highlight w:val="none"/>
        </w:rPr>
        <w:fldChar w:fldCharType="separate"/>
      </w:r>
      <w:r>
        <w:rPr>
          <w:rFonts w:hint="eastAsia" w:ascii="宋体" w:hAnsi="宋体" w:cs="宋体"/>
          <w:bCs/>
          <w:i w:val="0"/>
          <w:iCs w:val="0"/>
          <w:color w:val="auto"/>
          <w:sz w:val="28"/>
          <w:szCs w:val="28"/>
          <w:highlight w:val="none"/>
        </w:rPr>
        <w:t xml:space="preserve">第五章 </w:t>
      </w:r>
      <w:r>
        <w:rPr>
          <w:rFonts w:hint="eastAsia" w:ascii="宋体" w:hAnsi="宋体" w:cs="宋体"/>
          <w:bCs/>
          <w:i w:val="0"/>
          <w:iCs w:val="0"/>
          <w:color w:val="auto"/>
          <w:sz w:val="28"/>
          <w:szCs w:val="28"/>
          <w:highlight w:val="none"/>
          <w:lang w:eastAsia="zh-CN"/>
        </w:rPr>
        <w:t>响应文件</w:t>
      </w:r>
      <w:r>
        <w:rPr>
          <w:rFonts w:hint="eastAsia" w:ascii="宋体" w:hAnsi="宋体" w:cs="宋体"/>
          <w:bCs/>
          <w:i w:val="0"/>
          <w:iCs w:val="0"/>
          <w:color w:val="auto"/>
          <w:sz w:val="28"/>
          <w:szCs w:val="28"/>
          <w:highlight w:val="none"/>
        </w:rPr>
        <w:t>格式</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PAGEREF _Toc31265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35</w:t>
      </w:r>
      <w:r>
        <w:rPr>
          <w:rFonts w:hint="eastAsia" w:ascii="宋体" w:hAnsi="宋体" w:cs="宋体"/>
          <w:i w:val="0"/>
          <w:iCs w:val="0"/>
          <w:color w:val="auto"/>
          <w:sz w:val="28"/>
          <w:szCs w:val="28"/>
          <w:highlight w:val="none"/>
        </w:rPr>
        <w:fldChar w:fldCharType="end"/>
      </w:r>
      <w:r>
        <w:rPr>
          <w:rFonts w:hint="eastAsia" w:ascii="宋体" w:hAnsi="宋体" w:cs="宋体"/>
          <w:i w:val="0"/>
          <w:iCs w:val="0"/>
          <w:color w:val="auto"/>
          <w:sz w:val="28"/>
          <w:szCs w:val="28"/>
          <w:highlight w:val="none"/>
        </w:rPr>
        <w:fldChar w:fldCharType="end"/>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8"/>
          <w:szCs w:val="28"/>
          <w:highlight w:val="none"/>
        </w:rPr>
        <w:fldChar w:fldCharType="end"/>
      </w:r>
    </w:p>
    <w:p>
      <w:pPr>
        <w:adjustRightInd w:val="0"/>
        <w:snapToGrid w:val="0"/>
        <w:spacing w:line="360" w:lineRule="auto"/>
        <w:rPr>
          <w:rFonts w:hint="eastAsia" w:ascii="宋体" w:hAnsi="宋体" w:cs="宋体"/>
          <w:b/>
          <w:i w:val="0"/>
          <w:iCs w:val="0"/>
          <w:color w:val="auto"/>
          <w:sz w:val="24"/>
          <w:highlight w:val="none"/>
        </w:rPr>
        <w:sectPr>
          <w:footerReference r:id="rId9" w:type="first"/>
          <w:footerReference r:id="rId8" w:type="default"/>
          <w:pgSz w:w="11906" w:h="16838"/>
          <w:pgMar w:top="1440" w:right="1080" w:bottom="1440" w:left="1080" w:header="851" w:footer="992" w:gutter="0"/>
          <w:pgNumType w:start="0"/>
          <w:cols w:space="720" w:num="1"/>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color w:val="auto"/>
          <w:sz w:val="40"/>
          <w:szCs w:val="15"/>
          <w:highlight w:val="none"/>
          <w:lang w:val="en-US" w:eastAsia="zh-CN"/>
        </w:rPr>
      </w:pPr>
      <w:bookmarkStart w:id="0" w:name="_Toc9386"/>
      <w:r>
        <w:rPr>
          <w:rFonts w:hint="eastAsia"/>
          <w:color w:val="auto"/>
          <w:sz w:val="40"/>
          <w:szCs w:val="15"/>
          <w:highlight w:val="none"/>
          <w:lang w:val="en-US" w:eastAsia="zh-CN"/>
        </w:rPr>
        <w:t>第一章 招标公告</w:t>
      </w:r>
    </w:p>
    <w:p>
      <w:pPr>
        <w:pStyle w:val="3"/>
        <w:keepNext/>
        <w:keepLines/>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项目概况</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rPr>
      </w:pPr>
      <w:r>
        <w:rPr>
          <w:rFonts w:hint="eastAsia" w:ascii="宋体" w:hAnsi="宋体" w:cs="宋体"/>
          <w:bCs/>
          <w:i w:val="0"/>
          <w:iCs w:val="0"/>
          <w:color w:val="auto"/>
          <w:sz w:val="28"/>
          <w:szCs w:val="28"/>
          <w:highlight w:val="none"/>
          <w:lang w:val="en-US" w:eastAsia="zh-CN"/>
        </w:rPr>
        <w:t>2023年2.45万亩高标准农田建设项目管理</w:t>
      </w:r>
      <w:r>
        <w:rPr>
          <w:rFonts w:hint="eastAsia" w:ascii="宋体" w:hAnsi="宋体" w:eastAsia="宋体" w:cs="宋体"/>
          <w:i w:val="0"/>
          <w:iCs w:val="0"/>
          <w:color w:val="auto"/>
          <w:kern w:val="0"/>
          <w:sz w:val="28"/>
          <w:szCs w:val="28"/>
          <w:highlight w:val="none"/>
          <w:lang w:val="en-US"/>
        </w:rPr>
        <w:t>的潜在投标人</w:t>
      </w:r>
      <w:r>
        <w:rPr>
          <w:rFonts w:hint="eastAsia" w:ascii="宋体" w:hAnsi="宋体" w:eastAsia="宋体" w:cs="宋体"/>
          <w:i w:val="0"/>
          <w:iCs w:val="0"/>
          <w:color w:val="auto"/>
          <w:kern w:val="0"/>
          <w:sz w:val="28"/>
          <w:szCs w:val="28"/>
          <w:highlight w:val="none"/>
          <w:lang w:val="en-US" w:eastAsia="zh-CN"/>
        </w:rPr>
        <w:t>应在政府采购云平台获取（下载）采购文件</w:t>
      </w:r>
      <w:r>
        <w:rPr>
          <w:rFonts w:hint="eastAsia" w:ascii="宋体" w:hAnsi="宋体" w:eastAsia="宋体" w:cs="宋体"/>
          <w:i w:val="0"/>
          <w:iCs w:val="0"/>
          <w:color w:val="auto"/>
          <w:kern w:val="0"/>
          <w:sz w:val="28"/>
          <w:szCs w:val="28"/>
          <w:highlight w:val="none"/>
          <w:lang w:val="en-US"/>
        </w:rPr>
        <w:t>，并于202</w:t>
      </w:r>
      <w:r>
        <w:rPr>
          <w:rFonts w:hint="eastAsia" w:ascii="宋体" w:hAnsi="宋体" w:cs="宋体"/>
          <w:i w:val="0"/>
          <w:iCs w:val="0"/>
          <w:color w:val="auto"/>
          <w:kern w:val="0"/>
          <w:sz w:val="28"/>
          <w:szCs w:val="28"/>
          <w:highlight w:val="none"/>
          <w:lang w:val="en-US" w:eastAsia="zh-CN"/>
        </w:rPr>
        <w:t>3</w:t>
      </w:r>
      <w:r>
        <w:rPr>
          <w:rFonts w:hint="eastAsia" w:ascii="宋体" w:hAnsi="宋体" w:eastAsia="宋体" w:cs="宋体"/>
          <w:i w:val="0"/>
          <w:iCs w:val="0"/>
          <w:color w:val="auto"/>
          <w:kern w:val="0"/>
          <w:sz w:val="28"/>
          <w:szCs w:val="28"/>
          <w:highlight w:val="none"/>
          <w:lang w:val="en-US"/>
        </w:rPr>
        <w:t>年</w:t>
      </w:r>
      <w:r>
        <w:rPr>
          <w:rFonts w:hint="eastAsia" w:ascii="宋体" w:hAnsi="宋体" w:cs="宋体"/>
          <w:i w:val="0"/>
          <w:iCs w:val="0"/>
          <w:color w:val="auto"/>
          <w:kern w:val="0"/>
          <w:sz w:val="28"/>
          <w:szCs w:val="28"/>
          <w:highlight w:val="none"/>
          <w:lang w:val="en-US" w:eastAsia="zh-CN"/>
        </w:rPr>
        <w:t>03</w:t>
      </w:r>
      <w:r>
        <w:rPr>
          <w:rFonts w:hint="eastAsia" w:ascii="宋体" w:hAnsi="宋体" w:eastAsia="宋体" w:cs="宋体"/>
          <w:i w:val="0"/>
          <w:iCs w:val="0"/>
          <w:color w:val="auto"/>
          <w:kern w:val="0"/>
          <w:sz w:val="28"/>
          <w:szCs w:val="28"/>
          <w:highlight w:val="none"/>
          <w:lang w:val="en-US"/>
        </w:rPr>
        <w:t>月</w:t>
      </w:r>
      <w:r>
        <w:rPr>
          <w:rFonts w:hint="eastAsia" w:ascii="宋体" w:hAnsi="宋体" w:cs="宋体"/>
          <w:i w:val="0"/>
          <w:iCs w:val="0"/>
          <w:color w:val="auto"/>
          <w:kern w:val="0"/>
          <w:sz w:val="28"/>
          <w:szCs w:val="28"/>
          <w:highlight w:val="none"/>
          <w:lang w:val="en-US" w:eastAsia="zh-CN"/>
        </w:rPr>
        <w:t>13</w:t>
      </w:r>
      <w:r>
        <w:rPr>
          <w:rFonts w:hint="eastAsia" w:ascii="宋体" w:hAnsi="宋体" w:eastAsia="宋体" w:cs="宋体"/>
          <w:i w:val="0"/>
          <w:iCs w:val="0"/>
          <w:color w:val="auto"/>
          <w:kern w:val="0"/>
          <w:sz w:val="28"/>
          <w:szCs w:val="28"/>
          <w:highlight w:val="none"/>
          <w:lang w:val="en-US"/>
        </w:rPr>
        <w:t>日</w:t>
      </w:r>
      <w:r>
        <w:rPr>
          <w:rFonts w:hint="eastAsia" w:ascii="宋体" w:hAnsi="宋体" w:cs="宋体"/>
          <w:i w:val="0"/>
          <w:iCs w:val="0"/>
          <w:color w:val="auto"/>
          <w:kern w:val="0"/>
          <w:sz w:val="28"/>
          <w:szCs w:val="28"/>
          <w:highlight w:val="none"/>
          <w:lang w:val="en-US" w:eastAsia="zh-CN"/>
        </w:rPr>
        <w:t>11</w:t>
      </w:r>
      <w:r>
        <w:rPr>
          <w:rFonts w:hint="eastAsia" w:ascii="宋体" w:hAnsi="宋体" w:eastAsia="宋体" w:cs="宋体"/>
          <w:i w:val="0"/>
          <w:iCs w:val="0"/>
          <w:color w:val="auto"/>
          <w:kern w:val="0"/>
          <w:sz w:val="28"/>
          <w:szCs w:val="28"/>
          <w:highlight w:val="none"/>
          <w:lang w:val="en-US"/>
        </w:rPr>
        <w:t>点</w:t>
      </w:r>
      <w:r>
        <w:rPr>
          <w:rFonts w:hint="eastAsia" w:ascii="宋体" w:hAnsi="宋体" w:cs="宋体"/>
          <w:i w:val="0"/>
          <w:iCs w:val="0"/>
          <w:color w:val="auto"/>
          <w:kern w:val="0"/>
          <w:sz w:val="28"/>
          <w:szCs w:val="28"/>
          <w:highlight w:val="none"/>
          <w:lang w:val="en-US" w:eastAsia="zh-CN"/>
        </w:rPr>
        <w:t>00</w:t>
      </w:r>
      <w:r>
        <w:rPr>
          <w:rFonts w:hint="eastAsia" w:ascii="宋体" w:hAnsi="宋体" w:eastAsia="宋体" w:cs="宋体"/>
          <w:i w:val="0"/>
          <w:iCs w:val="0"/>
          <w:color w:val="auto"/>
          <w:kern w:val="0"/>
          <w:sz w:val="28"/>
          <w:szCs w:val="28"/>
          <w:highlight w:val="none"/>
          <w:lang w:val="en-US"/>
        </w:rPr>
        <w:t>分（北京时间）前递交</w:t>
      </w:r>
      <w:r>
        <w:rPr>
          <w:rFonts w:hint="eastAsia" w:ascii="宋体" w:hAnsi="宋体" w:eastAsia="宋体" w:cs="宋体"/>
          <w:i w:val="0"/>
          <w:iCs w:val="0"/>
          <w:color w:val="auto"/>
          <w:kern w:val="0"/>
          <w:sz w:val="28"/>
          <w:szCs w:val="28"/>
          <w:highlight w:val="none"/>
          <w:lang w:val="en-US" w:eastAsia="zh-CN"/>
        </w:rPr>
        <w:t>响应文件</w:t>
      </w:r>
      <w:r>
        <w:rPr>
          <w:rFonts w:hint="eastAsia" w:ascii="宋体" w:hAnsi="宋体" w:eastAsia="宋体" w:cs="宋体"/>
          <w:i w:val="0"/>
          <w:iCs w:val="0"/>
          <w:color w:val="auto"/>
          <w:kern w:val="0"/>
          <w:sz w:val="28"/>
          <w:szCs w:val="28"/>
          <w:highlight w:val="none"/>
          <w:lang w:val="en-US"/>
        </w:rPr>
        <w:t>。</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bookmarkStart w:id="1" w:name="_Toc35393621"/>
      <w:bookmarkStart w:id="2" w:name="_Toc35393790"/>
      <w:bookmarkStart w:id="3" w:name="_Toc28359002"/>
      <w:bookmarkStart w:id="4" w:name="_Toc28359079"/>
      <w:bookmarkStart w:id="5" w:name="_Hlk24379207"/>
      <w:r>
        <w:rPr>
          <w:rFonts w:hint="eastAsia" w:ascii="宋体" w:hAnsi="宋体" w:eastAsia="宋体" w:cs="宋体"/>
          <w:b/>
          <w:bCs/>
          <w:color w:val="auto"/>
          <w:sz w:val="28"/>
          <w:szCs w:val="28"/>
          <w:highlight w:val="none"/>
          <w:lang w:val="en-US" w:eastAsia="zh-CN"/>
        </w:rPr>
        <w:t>一、项目基本情况</w:t>
      </w:r>
      <w:bookmarkEnd w:id="1"/>
      <w:bookmarkEnd w:id="2"/>
      <w:bookmarkEnd w:id="3"/>
      <w:bookmarkEnd w:id="4"/>
    </w:p>
    <w:bookmarkEnd w:id="5"/>
    <w:p>
      <w:pPr>
        <w:pageBreakBefore w:val="0"/>
        <w:kinsoku/>
        <w:wordWrap/>
        <w:overflowPunct/>
        <w:topLinePunct w:val="0"/>
        <w:autoSpaceDE/>
        <w:autoSpaceDN/>
        <w:bidi w:val="0"/>
        <w:adjustRightInd/>
        <w:snapToGrid/>
        <w:spacing w:line="400" w:lineRule="exact"/>
        <w:ind w:firstLine="562" w:firstLineChars="200"/>
        <w:textAlignment w:val="auto"/>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项目编号：</w:t>
      </w:r>
      <w:r>
        <w:rPr>
          <w:rFonts w:hint="eastAsia" w:ascii="宋体" w:hAnsi="宋体" w:eastAsia="宋体" w:cs="宋体"/>
          <w:i w:val="0"/>
          <w:iCs w:val="0"/>
          <w:color w:val="auto"/>
          <w:kern w:val="0"/>
          <w:sz w:val="28"/>
          <w:szCs w:val="28"/>
          <w:highlight w:val="none"/>
          <w:lang w:val="en-US" w:eastAsia="zh-CN"/>
        </w:rPr>
        <w:t>2023-C-</w:t>
      </w:r>
      <w:r>
        <w:rPr>
          <w:rFonts w:hint="eastAsia" w:ascii="宋体" w:hAnsi="宋体" w:cs="宋体"/>
          <w:i w:val="0"/>
          <w:iCs w:val="0"/>
          <w:color w:val="auto"/>
          <w:kern w:val="0"/>
          <w:sz w:val="28"/>
          <w:szCs w:val="28"/>
          <w:highlight w:val="none"/>
          <w:lang w:val="en-US" w:eastAsia="zh-CN"/>
        </w:rPr>
        <w:t>11</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项目名称：</w:t>
      </w:r>
      <w:r>
        <w:rPr>
          <w:rFonts w:hint="eastAsia" w:ascii="宋体" w:hAnsi="宋体" w:cs="宋体"/>
          <w:bCs/>
          <w:i w:val="0"/>
          <w:iCs w:val="0"/>
          <w:color w:val="auto"/>
          <w:sz w:val="28"/>
          <w:szCs w:val="28"/>
          <w:highlight w:val="none"/>
          <w:lang w:val="en-US" w:eastAsia="zh-CN"/>
        </w:rPr>
        <w:t>2023年2.45万亩高标准农田建设项目管理</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采购方式：</w:t>
      </w:r>
      <w:r>
        <w:rPr>
          <w:rFonts w:hint="eastAsia" w:ascii="宋体" w:hAnsi="宋体" w:eastAsia="宋体" w:cs="宋体"/>
          <w:i w:val="0"/>
          <w:iCs w:val="0"/>
          <w:color w:val="auto"/>
          <w:kern w:val="0"/>
          <w:sz w:val="28"/>
          <w:szCs w:val="28"/>
          <w:highlight w:val="none"/>
          <w:lang w:val="en-US" w:eastAsia="zh-CN"/>
        </w:rPr>
        <w:t>竞争性磋商</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cs="宋体"/>
          <w:i w:val="0"/>
          <w:iCs w:val="0"/>
          <w:color w:val="auto"/>
          <w:kern w:val="0"/>
          <w:sz w:val="28"/>
          <w:szCs w:val="28"/>
          <w:highlight w:val="none"/>
          <w:lang w:val="en-US" w:eastAsia="zh-CN"/>
        </w:rPr>
        <w:t>668300元</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最高限价（元）：</w:t>
      </w:r>
      <w:r>
        <w:rPr>
          <w:rFonts w:hint="eastAsia" w:ascii="宋体" w:hAnsi="宋体" w:cs="宋体"/>
          <w:i w:val="0"/>
          <w:iCs w:val="0"/>
          <w:color w:val="auto"/>
          <w:kern w:val="0"/>
          <w:sz w:val="28"/>
          <w:szCs w:val="28"/>
          <w:highlight w:val="none"/>
          <w:lang w:val="en-US" w:eastAsia="zh-CN"/>
        </w:rPr>
        <w:t>668300元</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采购需求：</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标项名称:</w:t>
      </w:r>
      <w:r>
        <w:rPr>
          <w:rFonts w:hint="eastAsia" w:ascii="宋体" w:hAnsi="宋体" w:cs="宋体"/>
          <w:bCs/>
          <w:i w:val="0"/>
          <w:iCs w:val="0"/>
          <w:color w:val="auto"/>
          <w:sz w:val="28"/>
          <w:szCs w:val="28"/>
          <w:highlight w:val="none"/>
          <w:lang w:val="en-US" w:eastAsia="zh-CN"/>
        </w:rPr>
        <w:t>2023年2.45万亩高标准农田建设项目管理</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数量:</w:t>
      </w:r>
      <w:r>
        <w:rPr>
          <w:rFonts w:hint="eastAsia" w:ascii="宋体" w:hAnsi="宋体" w:eastAsia="宋体" w:cs="宋体"/>
          <w:i w:val="0"/>
          <w:iCs w:val="0"/>
          <w:color w:val="auto"/>
          <w:kern w:val="0"/>
          <w:sz w:val="28"/>
          <w:szCs w:val="28"/>
          <w:highlight w:val="none"/>
          <w:lang w:val="en-US" w:eastAsia="zh-CN"/>
        </w:rPr>
        <w:t>1</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cs="宋体"/>
          <w:i w:val="0"/>
          <w:iCs w:val="0"/>
          <w:color w:val="auto"/>
          <w:kern w:val="0"/>
          <w:sz w:val="28"/>
          <w:szCs w:val="28"/>
          <w:highlight w:val="none"/>
          <w:lang w:val="en-US" w:eastAsia="zh-CN"/>
        </w:rPr>
        <w:t>668300元</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单位：</w:t>
      </w:r>
      <w:r>
        <w:rPr>
          <w:rFonts w:hint="eastAsia" w:ascii="宋体" w:hAnsi="宋体" w:eastAsia="宋体" w:cs="宋体"/>
          <w:i w:val="0"/>
          <w:iCs w:val="0"/>
          <w:color w:val="auto"/>
          <w:kern w:val="0"/>
          <w:sz w:val="28"/>
          <w:szCs w:val="28"/>
          <w:highlight w:val="none"/>
          <w:lang w:val="en-US" w:eastAsia="zh-CN"/>
        </w:rPr>
        <w:t>项</w:t>
      </w:r>
      <w:r>
        <w:rPr>
          <w:rFonts w:hint="eastAsia" w:ascii="宋体" w:hAnsi="宋体" w:eastAsia="宋体" w:cs="宋体"/>
          <w:i w:val="0"/>
          <w:iCs w:val="0"/>
          <w:color w:val="auto"/>
          <w:kern w:val="0"/>
          <w:sz w:val="28"/>
          <w:szCs w:val="28"/>
          <w:highlight w:val="none"/>
          <w:lang w:val="en-US"/>
        </w:rPr>
        <w:t> </w:t>
      </w:r>
    </w:p>
    <w:p>
      <w:pPr>
        <w:pageBreakBefore w:val="0"/>
        <w:kinsoku/>
        <w:wordWrap/>
        <w:overflowPunct/>
        <w:topLinePunct w:val="0"/>
        <w:autoSpaceDE/>
        <w:autoSpaceDN/>
        <w:bidi w:val="0"/>
        <w:adjustRightInd/>
        <w:snapToGrid/>
        <w:spacing w:line="400" w:lineRule="exact"/>
        <w:ind w:firstLine="562" w:firstLineChars="200"/>
        <w:textAlignment w:val="auto"/>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简要规格描述：</w:t>
      </w:r>
      <w:r>
        <w:rPr>
          <w:rFonts w:hint="eastAsia" w:ascii="宋体" w:hAnsi="宋体" w:cs="宋体"/>
          <w:i w:val="0"/>
          <w:iCs w:val="0"/>
          <w:color w:val="auto"/>
          <w:kern w:val="0"/>
          <w:sz w:val="28"/>
          <w:szCs w:val="28"/>
          <w:highlight w:val="none"/>
          <w:lang w:val="en-US" w:eastAsia="zh-CN"/>
        </w:rPr>
        <w:t>详见采购需求</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合同履约期限：甲乙双方按照合同约定执行</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（1）具有独立承担民事责任的能力；</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（2）具有良好的商业信誉和健全的财务会计制度；</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（3）具有履行合同所必需的设备和专业技术能力；</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（4）有依法缴纳税收和社会保障资金的良好记录；</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（5）参加政府采购活动前三年内，在经营活动中没有重大违法记录；</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（6）法律、行政法规规定的其他条件。</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供应商为中小企业,供应商应为监狱企业,供应商应为残疾人福利企业,供应商为节能产品、环境标志产品企业,</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（1）《新疆维吾尔自治区政府采购促进中小企业发展管理实施办法》（新财规〔2021〕6号）；</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（2）《财政部、司法部关于政府采购支持监狱企业发展有关问题的通知》（财库〔2014〕68号）；</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（3）《国务院办公厅关于建立政府强制采购节能产品制度的通知》（国办发〔2007〕51号）；</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 xml:space="preserve">（4）《财政部 民政部 中国残疾人联合会关于促进残疾人就业政府采购政策的通知》财库〔2017〕141号。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Style w:val="15"/>
          <w:rFonts w:hint="default"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 xml:space="preserve">（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三、获取采购文件</w:t>
      </w:r>
      <w:r>
        <w:rPr>
          <w:rFonts w:hint="eastAsia" w:ascii="宋体" w:hAnsi="宋体" w:eastAsia="宋体" w:cs="宋体"/>
          <w:color w:val="auto"/>
          <w:sz w:val="28"/>
          <w:szCs w:val="28"/>
          <w:highlight w:val="none"/>
        </w:rPr>
        <w:t>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03</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02</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03</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08</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，每天上午10:00至14:00，下午</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0至</w:t>
      </w:r>
      <w:r>
        <w:rPr>
          <w:rFonts w:hint="eastAsia" w:ascii="宋体" w:hAnsi="宋体" w:cs="宋体"/>
          <w:color w:val="auto"/>
          <w:sz w:val="28"/>
          <w:szCs w:val="28"/>
          <w:highlight w:val="none"/>
          <w:lang w:val="en-US" w:eastAsia="zh-CN"/>
        </w:rPr>
        <w:t>19</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0（北京时间，法定节假日除外）</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lang w:val="en-US" w:eastAsia="zh-CN"/>
        </w:rPr>
        <w:t>新疆政府采购云平台</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四、响应文件提交</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截止时间：</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03</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13</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1:00</w:t>
      </w:r>
      <w:r>
        <w:rPr>
          <w:rFonts w:hint="eastAsia" w:ascii="宋体" w:hAnsi="宋体" w:eastAsia="宋体" w:cs="宋体"/>
          <w:color w:val="auto"/>
          <w:sz w:val="28"/>
          <w:szCs w:val="28"/>
          <w:highlight w:val="none"/>
        </w:rPr>
        <w:t>（北京时间）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五、响应文件开启</w:t>
      </w:r>
      <w:r>
        <w:rPr>
          <w:rFonts w:hint="eastAsia" w:ascii="宋体" w:hAnsi="宋体" w:eastAsia="宋体" w:cs="宋体"/>
          <w:color w:val="auto"/>
          <w:sz w:val="28"/>
          <w:szCs w:val="28"/>
          <w:highlight w:val="none"/>
        </w:rPr>
        <w:t>   </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03</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13</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1:00</w:t>
      </w:r>
      <w:r>
        <w:rPr>
          <w:rFonts w:hint="eastAsia" w:ascii="宋体" w:hAnsi="宋体" w:eastAsia="宋体" w:cs="宋体"/>
          <w:color w:val="auto"/>
          <w:sz w:val="28"/>
          <w:szCs w:val="28"/>
          <w:highlight w:val="none"/>
        </w:rPr>
        <w:t>（北京时间）</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点：政采云一站式政府采购云平台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六、公告期限</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自本公告发布之日起</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w:t>
      </w:r>
    </w:p>
    <w:p>
      <w:pPr>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其他补充事宜</w:t>
      </w:r>
    </w:p>
    <w:p>
      <w:pPr>
        <w:pStyle w:val="2"/>
        <w:ind w:firstLine="562" w:firstLineChars="200"/>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b w:val="0"/>
          <w:bCs/>
          <w:color w:val="auto"/>
          <w:sz w:val="28"/>
          <w:szCs w:val="28"/>
          <w:lang w:val="en-US" w:eastAsia="zh-CN"/>
        </w:rPr>
        <w:t xml:space="preserve"> </w:t>
      </w:r>
      <w:r>
        <w:rPr>
          <w:rFonts w:hint="eastAsia" w:ascii="宋体" w:hAnsi="宋体" w:cs="宋体"/>
          <w:color w:val="auto"/>
          <w:kern w:val="2"/>
          <w:sz w:val="28"/>
          <w:szCs w:val="28"/>
          <w:highlight w:val="none"/>
          <w:lang w:val="en-US" w:eastAsia="zh-CN" w:bidi="ar-SA"/>
        </w:rPr>
        <w:t>1、</w:t>
      </w:r>
      <w:r>
        <w:rPr>
          <w:rFonts w:hint="eastAsia" w:ascii="宋体" w:hAnsi="宋体" w:eastAsia="宋体" w:cs="宋体"/>
          <w:color w:val="auto"/>
          <w:kern w:val="2"/>
          <w:sz w:val="28"/>
          <w:szCs w:val="28"/>
          <w:highlight w:val="none"/>
          <w:lang w:val="en-US" w:eastAsia="zh-CN" w:bidi="ar-SA"/>
        </w:rPr>
        <w:t>本公告同时在新疆政府采购网和阿克苏地区行政公署网发布</w:t>
      </w:r>
      <w:r>
        <w:rPr>
          <w:rFonts w:hint="eastAsia" w:ascii="宋体" w:hAnsi="宋体" w:cs="宋体"/>
          <w:color w:val="auto"/>
          <w:kern w:val="2"/>
          <w:sz w:val="28"/>
          <w:szCs w:val="28"/>
          <w:highlight w:val="none"/>
          <w:lang w:val="en-US" w:eastAsia="zh-CN" w:bidi="ar-SA"/>
        </w:rPr>
        <w:t>。</w:t>
      </w:r>
    </w:p>
    <w:p>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2</w:t>
      </w:r>
      <w:r>
        <w:rPr>
          <w:rFonts w:hint="eastAsia" w:ascii="宋体" w:hAnsi="宋体" w:eastAsia="宋体" w:cs="宋体"/>
          <w:color w:val="auto"/>
          <w:kern w:val="2"/>
          <w:sz w:val="28"/>
          <w:szCs w:val="28"/>
          <w:highlight w:val="none"/>
          <w:lang w:val="en-US" w:eastAsia="zh-CN" w:bidi="ar-SA"/>
        </w:rPr>
        <w:t>、本项目实行电子招投标，供应商须登录政采云平台申请获取采购文件，并需要使用CA锁，登录政采云电子投标客户端制作响应文件，若供应商参与投标,自行承担与投标有关的一切费用。</w:t>
      </w:r>
    </w:p>
    <w:p>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w:t>
      </w:r>
      <w:r>
        <w:rPr>
          <w:rFonts w:hint="eastAsia" w:ascii="宋体" w:hAnsi="宋体" w:cs="宋体"/>
          <w:color w:val="auto"/>
          <w:kern w:val="2"/>
          <w:sz w:val="28"/>
          <w:szCs w:val="28"/>
          <w:highlight w:val="none"/>
          <w:lang w:val="en-US" w:eastAsia="zh-CN" w:bidi="ar-SA"/>
        </w:rPr>
        <w:t>3</w:t>
      </w:r>
      <w:r>
        <w:rPr>
          <w:rFonts w:hint="eastAsia" w:ascii="宋体" w:hAnsi="宋体" w:eastAsia="宋体" w:cs="宋体"/>
          <w:color w:val="auto"/>
          <w:kern w:val="2"/>
          <w:sz w:val="28"/>
          <w:szCs w:val="28"/>
          <w:highlight w:val="none"/>
          <w:lang w:val="en-US" w:eastAsia="zh-CN" w:bidi="ar-SA"/>
        </w:rPr>
        <w:t>、各供应商应在开标前确保是新疆维吾尔自治区政府采购网正式注册入库的供应商，并完成CA数字证书申领。因未注册入库、未办理CA数字证书等原因造成无法投标或投标失败等后果的由供应商自行承担。</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w:t>
      </w:r>
      <w:r>
        <w:rPr>
          <w:rFonts w:hint="eastAsia" w:ascii="宋体" w:hAnsi="宋体" w:cs="宋体"/>
          <w:color w:val="auto"/>
          <w:kern w:val="2"/>
          <w:sz w:val="28"/>
          <w:szCs w:val="28"/>
          <w:highlight w:val="none"/>
          <w:lang w:val="en-US" w:eastAsia="zh-CN" w:bidi="ar-SA"/>
        </w:rPr>
        <w:t>5、</w:t>
      </w:r>
      <w:r>
        <w:rPr>
          <w:rFonts w:hint="eastAsia" w:ascii="宋体" w:hAnsi="宋体" w:eastAsia="宋体" w:cs="宋体"/>
          <w:color w:val="auto"/>
          <w:kern w:val="2"/>
          <w:sz w:val="28"/>
          <w:szCs w:val="28"/>
          <w:highlight w:val="none"/>
          <w:lang w:val="en-US" w:eastAsia="zh-CN" w:bidi="ar-SA"/>
        </w:rPr>
        <w:t>供应商在开标时须携带制作加密电子响应文件所使用的CA锁，电脑须提前配置好浏览器（建议使用360浏览器或谷歌浏览器），以便开标时在线解密。</w:t>
      </w:r>
    </w:p>
    <w:p>
      <w:pPr>
        <w:pageBreakBefore w:val="0"/>
        <w:kinsoku/>
        <w:wordWrap/>
        <w:overflowPunct/>
        <w:topLinePunct w:val="0"/>
        <w:autoSpaceDE/>
        <w:autoSpaceDN/>
        <w:bidi w:val="0"/>
        <w:adjustRightInd/>
        <w:snapToGrid/>
        <w:spacing w:line="400" w:lineRule="exact"/>
        <w:textAlignment w:val="auto"/>
        <w:rPr>
          <w:rFonts w:hint="eastAsia"/>
          <w:color w:val="auto"/>
        </w:rPr>
      </w:pPr>
      <w:r>
        <w:rPr>
          <w:rFonts w:hint="eastAsia" w:ascii="宋体" w:hAnsi="宋体" w:eastAsia="宋体" w:cs="宋体"/>
          <w:color w:val="auto"/>
          <w:kern w:val="2"/>
          <w:sz w:val="28"/>
          <w:szCs w:val="28"/>
          <w:highlight w:val="none"/>
          <w:lang w:val="en-US" w:eastAsia="zh-CN" w:bidi="ar-SA"/>
        </w:rPr>
        <w:t xml:space="preserve">     </w:t>
      </w:r>
      <w:r>
        <w:rPr>
          <w:rFonts w:hint="eastAsia" w:ascii="宋体" w:hAnsi="宋体" w:cs="宋体"/>
          <w:color w:val="auto"/>
          <w:kern w:val="2"/>
          <w:sz w:val="28"/>
          <w:szCs w:val="28"/>
          <w:highlight w:val="none"/>
          <w:lang w:val="en-US" w:eastAsia="zh-CN" w:bidi="ar-SA"/>
        </w:rPr>
        <w:t>6、</w:t>
      </w:r>
      <w:r>
        <w:rPr>
          <w:rFonts w:hint="eastAsia" w:ascii="宋体" w:hAnsi="宋体" w:eastAsia="宋体" w:cs="宋体"/>
          <w:color w:val="auto"/>
          <w:kern w:val="2"/>
          <w:sz w:val="28"/>
          <w:szCs w:val="28"/>
          <w:highlight w:val="none"/>
          <w:lang w:val="en-US" w:eastAsia="zh-CN" w:bidi="ar-SA"/>
        </w:rPr>
        <w:t>投标供应商应当在投标截止时间前，将生成的“电子加密响应文件”上传递交至“政府采购云平台”，投标截止时间以后上传递交的响应文件将被“政府采购云平台”拒收。</w:t>
      </w:r>
    </w:p>
    <w:p>
      <w:pPr>
        <w:pageBreakBefore w:val="0"/>
        <w:kinsoku/>
        <w:wordWrap/>
        <w:overflowPunct/>
        <w:topLinePunct w:val="0"/>
        <w:autoSpaceDE/>
        <w:autoSpaceDN/>
        <w:bidi w:val="0"/>
        <w:adjustRightInd/>
        <w:snapToGrid/>
        <w:spacing w:line="400" w:lineRule="exact"/>
        <w:textAlignment w:val="auto"/>
        <w:rPr>
          <w:rFonts w:hint="eastAsia"/>
          <w:color w:val="auto"/>
        </w:rPr>
      </w:pPr>
    </w:p>
    <w:p>
      <w:pPr>
        <w:pStyle w:val="2"/>
        <w:pageBreakBefore w:val="0"/>
        <w:kinsoku/>
        <w:wordWrap/>
        <w:overflowPunct/>
        <w:topLinePunct w:val="0"/>
        <w:autoSpaceDE/>
        <w:autoSpaceDN/>
        <w:bidi w:val="0"/>
        <w:adjustRightInd/>
        <w:snapToGrid/>
        <w:spacing w:line="400" w:lineRule="exact"/>
        <w:ind w:left="842" w:leftChars="266" w:hanging="281" w:hangingChars="1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特别提示</w:t>
      </w:r>
      <w:r>
        <w:rPr>
          <w:rFonts w:hint="eastAsia" w:ascii="宋体" w:hAnsi="宋体" w:eastAsia="宋体" w:cs="宋体"/>
          <w:color w:val="auto"/>
          <w:kern w:val="2"/>
          <w:sz w:val="28"/>
          <w:szCs w:val="28"/>
          <w:highlight w:val="none"/>
          <w:lang w:val="en-US" w:eastAsia="zh-CN" w:bidi="ar-SA"/>
        </w:rPr>
        <w:t>：</w:t>
      </w:r>
    </w:p>
    <w:p>
      <w:pPr>
        <w:pStyle w:val="2"/>
        <w:pageBreakBefore w:val="0"/>
        <w:numPr>
          <w:ilvl w:val="0"/>
          <w:numId w:val="0"/>
        </w:numPr>
        <w:kinsoku/>
        <w:wordWrap/>
        <w:overflowPunct/>
        <w:topLinePunct w:val="0"/>
        <w:autoSpaceDE/>
        <w:autoSpaceDN/>
        <w:bidi w:val="0"/>
        <w:adjustRightInd/>
        <w:snapToGrid/>
        <w:spacing w:line="400" w:lineRule="exact"/>
        <w:ind w:leftChars="166"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pageBreakBefore w:val="0"/>
        <w:numPr>
          <w:ilvl w:val="0"/>
          <w:numId w:val="0"/>
        </w:numPr>
        <w:kinsoku/>
        <w:wordWrap/>
        <w:overflowPunct/>
        <w:topLinePunct w:val="0"/>
        <w:autoSpaceDE/>
        <w:autoSpaceDN/>
        <w:bidi w:val="0"/>
        <w:adjustRightInd/>
        <w:snapToGrid/>
        <w:spacing w:line="400" w:lineRule="exact"/>
        <w:ind w:left="280" w:leftChars="133"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pStyle w:val="2"/>
        <w:pageBreakBefore w:val="0"/>
        <w:numPr>
          <w:ilvl w:val="0"/>
          <w:numId w:val="0"/>
        </w:numPr>
        <w:kinsoku/>
        <w:wordWrap/>
        <w:overflowPunct/>
        <w:topLinePunct w:val="0"/>
        <w:autoSpaceDE/>
        <w:autoSpaceDN/>
        <w:bidi w:val="0"/>
        <w:adjustRightInd/>
        <w:snapToGrid/>
        <w:spacing w:line="400" w:lineRule="exact"/>
        <w:ind w:leftChars="166"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八、对本次采购提出询问，请按以下方式联系</w:t>
      </w:r>
      <w:r>
        <w:rPr>
          <w:rFonts w:hint="eastAsia" w:ascii="宋体" w:hAnsi="宋体" w:cs="宋体"/>
          <w:b/>
          <w:bCs/>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称：阿克苏市农村合作经济发展中心</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址：阿克苏市杭州大道4巷10号市老年福利院农业综合办公楼</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18699700819</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名    称：新疆润悦项目管理有限公司 </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地    址：新疆阿克苏地区阿克苏市兰干街道英阿瓦提社区朝阳街7号银基王朝4号楼1701号  </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项目联系人：</w:t>
      </w:r>
      <w:r>
        <w:rPr>
          <w:rFonts w:hint="eastAsia" w:ascii="宋体" w:hAnsi="宋体" w:cs="宋体"/>
          <w:color w:val="auto"/>
          <w:sz w:val="28"/>
          <w:szCs w:val="28"/>
          <w:highlight w:val="none"/>
          <w:lang w:val="en-US" w:eastAsia="zh-CN"/>
        </w:rPr>
        <w:t>张贺新</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15003027111</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3、监管部门信息</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名称：阿克苏市政府采购管理办公室</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联系人：任文斌</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电话：0997-2653610</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宋体" w:hAnsi="宋体" w:eastAsia="宋体" w:cs="宋体"/>
          <w:color w:val="auto"/>
          <w:sz w:val="28"/>
          <w:szCs w:val="28"/>
          <w:highlight w:val="none"/>
          <w:lang w:val="en-US" w:eastAsia="zh-CN"/>
        </w:rPr>
      </w:pPr>
    </w:p>
    <w:p>
      <w:pPr>
        <w:pStyle w:val="3"/>
        <w:keepLines w:val="0"/>
        <w:pageBreakBefore/>
        <w:numPr>
          <w:ilvl w:val="0"/>
          <w:numId w:val="0"/>
        </w:numPr>
        <w:adjustRightInd w:val="0"/>
        <w:snapToGrid w:val="0"/>
        <w:spacing w:before="120" w:after="120" w:line="360" w:lineRule="auto"/>
        <w:jc w:val="center"/>
        <w:outlineLvl w:val="0"/>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lang w:val="en-US" w:eastAsia="zh-CN"/>
        </w:rPr>
        <w:t>第二章</w:t>
      </w:r>
      <w:r>
        <w:rPr>
          <w:rFonts w:hint="eastAsia" w:ascii="宋体" w:hAnsi="宋体" w:eastAsia="宋体" w:cs="宋体"/>
          <w:b/>
          <w:bCs w:val="0"/>
          <w:i w:val="0"/>
          <w:iCs w:val="0"/>
          <w:color w:val="auto"/>
          <w:sz w:val="32"/>
          <w:szCs w:val="32"/>
          <w:highlight w:val="none"/>
        </w:rPr>
        <w:t xml:space="preserve"> </w:t>
      </w:r>
      <w:bookmarkStart w:id="6" w:name="_Toc5463"/>
      <w:bookmarkStart w:id="7" w:name="_Toc32321"/>
      <w:bookmarkStart w:id="8" w:name="_Toc10132"/>
      <w:r>
        <w:rPr>
          <w:rFonts w:hint="eastAsia" w:ascii="宋体" w:hAnsi="宋体" w:eastAsia="宋体" w:cs="宋体"/>
          <w:b/>
          <w:bCs w:val="0"/>
          <w:i w:val="0"/>
          <w:iCs w:val="0"/>
          <w:color w:val="auto"/>
          <w:sz w:val="32"/>
          <w:szCs w:val="32"/>
          <w:highlight w:val="none"/>
        </w:rPr>
        <w:t>投标人须知</w:t>
      </w:r>
      <w:bookmarkEnd w:id="0"/>
      <w:bookmarkEnd w:id="6"/>
      <w:bookmarkEnd w:id="7"/>
      <w:bookmarkEnd w:id="8"/>
    </w:p>
    <w:p>
      <w:pPr>
        <w:pStyle w:val="4"/>
        <w:keepNext w:val="0"/>
        <w:keepLines w:val="0"/>
        <w:adjustRightInd w:val="0"/>
        <w:snapToGrid w:val="0"/>
        <w:spacing w:before="120" w:after="120" w:line="360" w:lineRule="auto"/>
        <w:jc w:val="center"/>
        <w:outlineLvl w:val="1"/>
        <w:rPr>
          <w:rFonts w:hint="eastAsia" w:ascii="宋体" w:hAnsi="宋体" w:eastAsia="宋体" w:cs="宋体"/>
          <w:bCs w:val="0"/>
          <w:i w:val="0"/>
          <w:iCs w:val="0"/>
          <w:color w:val="auto"/>
          <w:sz w:val="28"/>
          <w:szCs w:val="28"/>
          <w:highlight w:val="none"/>
        </w:rPr>
      </w:pPr>
      <w:bookmarkStart w:id="9" w:name="_Toc152042304"/>
      <w:bookmarkStart w:id="10" w:name="_Toc665"/>
      <w:bookmarkStart w:id="11" w:name="_Toc13641"/>
      <w:bookmarkStart w:id="12" w:name="_Toc152045528"/>
      <w:bookmarkStart w:id="13" w:name="_Toc25446"/>
      <w:bookmarkStart w:id="14" w:name="_Toc179632545"/>
      <w:bookmarkStart w:id="15" w:name="_Toc144974496"/>
      <w:r>
        <w:rPr>
          <w:rFonts w:hint="eastAsia" w:ascii="宋体" w:hAnsi="宋体" w:eastAsia="宋体" w:cs="宋体"/>
          <w:bCs w:val="0"/>
          <w:i w:val="0"/>
          <w:iCs w:val="0"/>
          <w:color w:val="auto"/>
          <w:sz w:val="28"/>
          <w:szCs w:val="28"/>
          <w:highlight w:val="none"/>
        </w:rPr>
        <w:t>投标人须知前附表</w:t>
      </w:r>
      <w:bookmarkEnd w:id="9"/>
      <w:bookmarkEnd w:id="10"/>
      <w:bookmarkEnd w:id="11"/>
      <w:bookmarkEnd w:id="12"/>
      <w:bookmarkEnd w:id="13"/>
      <w:bookmarkEnd w:id="14"/>
      <w:bookmarkEnd w:id="15"/>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082"/>
        <w:gridCol w:w="712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bookmarkStart w:id="16" w:name="_Toc21488"/>
            <w:bookmarkStart w:id="17" w:name="_Toc2427"/>
            <w:bookmarkStart w:id="18" w:name="_Toc26931"/>
            <w:bookmarkStart w:id="19" w:name="_Toc152042305"/>
            <w:bookmarkStart w:id="20" w:name="_Toc152045529"/>
            <w:bookmarkStart w:id="21" w:name="_Toc179632546"/>
            <w:bookmarkStart w:id="22" w:name="_Toc144974497"/>
            <w:r>
              <w:rPr>
                <w:rFonts w:hint="eastAsia" w:ascii="宋体" w:hAnsi="宋体" w:eastAsia="宋体" w:cs="宋体"/>
                <w:i w:val="0"/>
                <w:iCs w:val="0"/>
                <w:color w:val="auto"/>
                <w:sz w:val="24"/>
                <w:highlight w:val="none"/>
              </w:rPr>
              <w:t>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阿克苏市农村合作经济发展中心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623"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采购代理机构</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名    称：</w:t>
            </w:r>
            <w:r>
              <w:rPr>
                <w:rFonts w:hint="eastAsia" w:ascii="宋体" w:hAnsi="宋体" w:eastAsia="宋体" w:cs="宋体"/>
                <w:i w:val="0"/>
                <w:iCs w:val="0"/>
                <w:color w:val="auto"/>
                <w:sz w:val="24"/>
                <w:highlight w:val="none"/>
                <w:lang w:eastAsia="zh-CN"/>
              </w:rPr>
              <w:t xml:space="preserve">新疆润悦项目管理有限公司 </w:t>
            </w:r>
          </w:p>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地    址：</w:t>
            </w:r>
            <w:r>
              <w:rPr>
                <w:rFonts w:hint="eastAsia" w:ascii="宋体" w:hAnsi="宋体" w:eastAsia="宋体" w:cs="宋体"/>
                <w:i w:val="0"/>
                <w:iCs w:val="0"/>
                <w:color w:val="auto"/>
                <w:sz w:val="24"/>
                <w:highlight w:val="none"/>
                <w:lang w:eastAsia="zh-CN"/>
              </w:rPr>
              <w:t xml:space="preserve">新疆阿克苏地区阿克苏市兰干街道英阿瓦提社区朝阳街7号银基王朝4号楼1701号  </w:t>
            </w:r>
          </w:p>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联 系 人：</w:t>
            </w:r>
            <w:r>
              <w:rPr>
                <w:rFonts w:hint="eastAsia" w:ascii="宋体" w:hAnsi="宋体" w:cs="宋体"/>
                <w:i w:val="0"/>
                <w:iCs w:val="0"/>
                <w:color w:val="auto"/>
                <w:sz w:val="24"/>
                <w:highlight w:val="none"/>
                <w:lang w:val="en-US" w:eastAsia="zh-CN"/>
              </w:rPr>
              <w:t>王霖</w:t>
            </w:r>
            <w:r>
              <w:rPr>
                <w:rFonts w:hint="eastAsia" w:ascii="宋体" w:hAnsi="宋体" w:eastAsia="宋体" w:cs="宋体"/>
                <w:i w:val="0"/>
                <w:iCs w:val="0"/>
                <w:color w:val="auto"/>
                <w:sz w:val="24"/>
                <w:highlight w:val="none"/>
                <w:lang w:val="en-US" w:eastAsia="zh-CN"/>
              </w:rPr>
              <w:t xml:space="preserve">  </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电    话：</w:t>
            </w:r>
            <w:r>
              <w:rPr>
                <w:rFonts w:hint="eastAsia" w:ascii="宋体" w:hAnsi="宋体" w:cs="宋体"/>
                <w:i w:val="0"/>
                <w:iCs w:val="0"/>
                <w:color w:val="auto"/>
                <w:sz w:val="24"/>
                <w:highlight w:val="none"/>
                <w:lang w:val="en-US" w:eastAsia="zh-CN"/>
              </w:rPr>
              <w:t>15003027111</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采购项目名称</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2023年2.45万亩高标准农田建设项目管理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采购文件编号</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2023-C-</w:t>
            </w:r>
            <w:r>
              <w:rPr>
                <w:rFonts w:hint="eastAsia" w:ascii="宋体" w:hAnsi="宋体" w:cs="宋体"/>
                <w:i w:val="0"/>
                <w:iCs w:val="0"/>
                <w:color w:val="auto"/>
                <w:sz w:val="24"/>
                <w:highlight w:val="none"/>
                <w:lang w:val="en-US" w:eastAsia="zh-CN"/>
              </w:rPr>
              <w:t>11</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资金来源</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上级专项</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最高限价</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668300</w:t>
            </w:r>
            <w:r>
              <w:rPr>
                <w:rFonts w:hint="eastAsia" w:ascii="宋体" w:hAnsi="宋体" w:eastAsia="宋体" w:cs="宋体"/>
                <w:i w:val="0"/>
                <w:iCs w:val="0"/>
                <w:color w:val="auto"/>
                <w:sz w:val="24"/>
                <w:highlight w:val="none"/>
                <w:lang w:val="en-US" w:eastAsia="zh-CN"/>
              </w:rPr>
              <w:t>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7</w:t>
            </w:r>
          </w:p>
        </w:tc>
        <w:tc>
          <w:tcPr>
            <w:tcW w:w="2082"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招标内容</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2023年2.45万亩高标准农田建设项目管理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评审方法</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竞争性磋商</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noWrap w:val="0"/>
            <w:vAlign w:val="center"/>
          </w:tcPr>
          <w:p>
            <w:pPr>
              <w:jc w:val="cente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投标报价</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不得超过磋商文件中规定的最高限价。</w:t>
            </w:r>
            <w:r>
              <w:rPr>
                <w:rFonts w:hint="eastAsia" w:ascii="宋体" w:hAnsi="宋体" w:eastAsia="宋体" w:cs="宋体"/>
                <w:i w:val="0"/>
                <w:iCs w:val="0"/>
                <w:color w:val="auto"/>
                <w:sz w:val="24"/>
                <w:highlight w:val="none"/>
                <w:lang w:eastAsia="zh-CN"/>
              </w:rPr>
              <w:t>本项目采用二轮报价，即标书内报价为第一轮报价，现场报价为第二轮报价。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824" w:type="dxa"/>
            <w:tcBorders>
              <w:top w:val="single" w:color="auto" w:sz="4" w:space="0"/>
            </w:tcBorders>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10</w:t>
            </w:r>
          </w:p>
        </w:tc>
        <w:tc>
          <w:tcPr>
            <w:tcW w:w="2082" w:type="dxa"/>
            <w:tcBorders>
              <w:top w:val="single" w:color="auto" w:sz="4" w:space="0"/>
            </w:tcBorders>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服务期</w:t>
            </w:r>
            <w:r>
              <w:rPr>
                <w:rFonts w:hint="eastAsia" w:ascii="宋体" w:hAnsi="宋体" w:cs="宋体"/>
                <w:i w:val="0"/>
                <w:iCs w:val="0"/>
                <w:color w:val="auto"/>
                <w:sz w:val="24"/>
                <w:highlight w:val="none"/>
                <w:lang w:val="en-US" w:eastAsia="zh-CN"/>
              </w:rPr>
              <w:t>限</w:t>
            </w:r>
          </w:p>
        </w:tc>
        <w:tc>
          <w:tcPr>
            <w:tcW w:w="7124" w:type="dxa"/>
            <w:tcBorders>
              <w:top w:val="single" w:color="auto" w:sz="4" w:space="0"/>
            </w:tcBorders>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color w:val="auto"/>
                <w:sz w:val="24"/>
                <w:szCs w:val="24"/>
                <w:highlight w:val="none"/>
                <w:lang w:val="en-US" w:eastAsia="zh-CN"/>
              </w:rPr>
              <w:t>按照甲乙双方签订的合同日期执行</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联合体投标</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不允许联合体参加磋商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12</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供应商提出问题</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的截止时间</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若有疑问，请于磋商文件规定的磋商截止时间3日前将问题以书面形式提交招标代理人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采购人说明澄清</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的时间</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采购人、采购代理机构可以对已发出的磋商文件进行必要的澄清或者修改，采购人、采购代理机构应当在提交首次响应文件截止时间至少5日前，以书面形式通知所有获取磋商文件的供应商；不足5日的，</w:t>
            </w:r>
            <w:r>
              <w:rPr>
                <w:rFonts w:hint="eastAsia" w:ascii="宋体" w:hAnsi="宋体" w:eastAsia="宋体" w:cs="宋体"/>
                <w:i w:val="0"/>
                <w:iCs w:val="0"/>
                <w:color w:val="auto"/>
                <w:sz w:val="24"/>
                <w:highlight w:val="none"/>
                <w:lang w:val="en-US" w:eastAsia="zh-CN"/>
              </w:rPr>
              <w:t xml:space="preserve"> </w:t>
            </w:r>
            <w:r>
              <w:rPr>
                <w:rFonts w:hint="eastAsia" w:ascii="宋体" w:hAnsi="宋体" w:eastAsia="宋体" w:cs="宋体"/>
                <w:i w:val="0"/>
                <w:iCs w:val="0"/>
                <w:color w:val="auto"/>
                <w:sz w:val="24"/>
                <w:highlight w:val="none"/>
              </w:rPr>
              <w:t>采购人、采购代理机构应当顺延提交首次响应文件截止时间。</w:t>
            </w:r>
          </w:p>
          <w:p>
            <w:pPr>
              <w:ind w:firstLine="241" w:firstLineChars="1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分包</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构成磋商文件的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其他文件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磋商文件的澄清、修改书及有关补充通知为磋商文件的有效组成部分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投标截止时间</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b/>
                <w:bCs/>
                <w:i w:val="0"/>
                <w:iCs w:val="0"/>
                <w:color w:val="auto"/>
                <w:sz w:val="24"/>
                <w:highlight w:val="none"/>
                <w:lang w:eastAsia="zh-CN"/>
              </w:rPr>
              <w:t>202</w:t>
            </w:r>
            <w:r>
              <w:rPr>
                <w:rFonts w:hint="eastAsia" w:ascii="宋体" w:hAnsi="宋体" w:eastAsia="宋体" w:cs="宋体"/>
                <w:b/>
                <w:bCs/>
                <w:i w:val="0"/>
                <w:iCs w:val="0"/>
                <w:color w:val="auto"/>
                <w:sz w:val="24"/>
                <w:highlight w:val="none"/>
                <w:lang w:val="en-US" w:eastAsia="zh-CN"/>
              </w:rPr>
              <w:t>3</w:t>
            </w:r>
            <w:r>
              <w:rPr>
                <w:rFonts w:hint="eastAsia" w:ascii="宋体" w:hAnsi="宋体" w:eastAsia="宋体" w:cs="宋体"/>
                <w:b/>
                <w:bCs/>
                <w:i w:val="0"/>
                <w:iCs w:val="0"/>
                <w:color w:val="auto"/>
                <w:sz w:val="24"/>
                <w:highlight w:val="none"/>
                <w:lang w:eastAsia="zh-CN"/>
              </w:rPr>
              <w:t>年</w:t>
            </w:r>
            <w:r>
              <w:rPr>
                <w:rFonts w:hint="eastAsia" w:ascii="宋体" w:hAnsi="宋体" w:eastAsia="宋体" w:cs="宋体"/>
                <w:b/>
                <w:bCs/>
                <w:i w:val="0"/>
                <w:iCs w:val="0"/>
                <w:color w:val="auto"/>
                <w:sz w:val="24"/>
                <w:highlight w:val="none"/>
                <w:lang w:val="en-US" w:eastAsia="zh-CN"/>
              </w:rPr>
              <w:t>0</w:t>
            </w:r>
            <w:r>
              <w:rPr>
                <w:rFonts w:hint="eastAsia" w:ascii="宋体" w:hAnsi="宋体" w:cs="宋体"/>
                <w:b/>
                <w:bCs/>
                <w:i w:val="0"/>
                <w:iCs w:val="0"/>
                <w:color w:val="auto"/>
                <w:sz w:val="24"/>
                <w:highlight w:val="none"/>
                <w:lang w:val="en-US" w:eastAsia="zh-CN"/>
              </w:rPr>
              <w:t>3</w:t>
            </w:r>
            <w:r>
              <w:rPr>
                <w:rFonts w:hint="eastAsia" w:ascii="宋体" w:hAnsi="宋体" w:eastAsia="宋体" w:cs="宋体"/>
                <w:b/>
                <w:bCs/>
                <w:i w:val="0"/>
                <w:iCs w:val="0"/>
                <w:color w:val="auto"/>
                <w:sz w:val="24"/>
                <w:highlight w:val="none"/>
                <w:lang w:eastAsia="zh-CN"/>
              </w:rPr>
              <w:t>月</w:t>
            </w:r>
            <w:r>
              <w:rPr>
                <w:rFonts w:hint="eastAsia" w:ascii="宋体" w:hAnsi="宋体" w:eastAsia="宋体" w:cs="宋体"/>
                <w:b/>
                <w:bCs/>
                <w:i w:val="0"/>
                <w:iCs w:val="0"/>
                <w:color w:val="auto"/>
                <w:sz w:val="24"/>
                <w:highlight w:val="none"/>
                <w:lang w:val="en-US" w:eastAsia="zh-CN"/>
              </w:rPr>
              <w:t>1</w:t>
            </w:r>
            <w:r>
              <w:rPr>
                <w:rFonts w:hint="eastAsia" w:ascii="宋体" w:hAnsi="宋体" w:cs="宋体"/>
                <w:b/>
                <w:bCs/>
                <w:i w:val="0"/>
                <w:iCs w:val="0"/>
                <w:color w:val="auto"/>
                <w:sz w:val="24"/>
                <w:highlight w:val="none"/>
                <w:lang w:val="en-US" w:eastAsia="zh-CN"/>
              </w:rPr>
              <w:t>3</w:t>
            </w:r>
            <w:r>
              <w:rPr>
                <w:rFonts w:hint="eastAsia" w:ascii="宋体" w:hAnsi="宋体" w:eastAsia="宋体" w:cs="宋体"/>
                <w:b/>
                <w:bCs/>
                <w:i w:val="0"/>
                <w:iCs w:val="0"/>
                <w:color w:val="auto"/>
                <w:sz w:val="24"/>
                <w:highlight w:val="none"/>
                <w:lang w:eastAsia="zh-CN"/>
              </w:rPr>
              <w:t>日</w:t>
            </w:r>
            <w:r>
              <w:rPr>
                <w:rFonts w:hint="eastAsia" w:ascii="宋体" w:hAnsi="宋体" w:eastAsia="宋体" w:cs="宋体"/>
                <w:b/>
                <w:bCs/>
                <w:i w:val="0"/>
                <w:iCs w:val="0"/>
                <w:color w:val="auto"/>
                <w:sz w:val="24"/>
                <w:highlight w:val="none"/>
                <w:lang w:val="en-US" w:eastAsia="zh-CN"/>
              </w:rPr>
              <w:t>11:00</w:t>
            </w:r>
            <w:r>
              <w:rPr>
                <w:rFonts w:hint="eastAsia" w:ascii="宋体" w:hAnsi="宋体" w:eastAsia="宋体" w:cs="宋体"/>
                <w:b/>
                <w:bCs/>
                <w:i w:val="0"/>
                <w:iCs w:val="0"/>
                <w:color w:val="auto"/>
                <w:sz w:val="24"/>
                <w:highlight w:val="none"/>
                <w:lang w:eastAsia="zh-CN"/>
              </w:rPr>
              <w:t>（北京时间）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17</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磋商有效期</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磋商截止之日起</w:t>
            </w:r>
            <w:r>
              <w:rPr>
                <w:rFonts w:hint="eastAsia" w:ascii="宋体" w:hAnsi="宋体" w:eastAsia="宋体" w:cs="宋体"/>
                <w:i w:val="0"/>
                <w:iCs w:val="0"/>
                <w:color w:val="auto"/>
                <w:sz w:val="24"/>
                <w:highlight w:val="none"/>
                <w:lang w:val="en-US" w:eastAsia="zh-CN"/>
              </w:rPr>
              <w:t>6</w:t>
            </w:r>
            <w:r>
              <w:rPr>
                <w:rFonts w:hint="eastAsia" w:ascii="宋体" w:hAnsi="宋体" w:eastAsia="宋体" w:cs="宋体"/>
                <w:i w:val="0"/>
                <w:iCs w:val="0"/>
                <w:color w:val="auto"/>
                <w:sz w:val="24"/>
                <w:highlight w:val="none"/>
              </w:rPr>
              <w:t>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磋商保证金</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本项目不做要求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备选方案</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20</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评标委员会的组建</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评标委员会由 </w:t>
            </w:r>
            <w:r>
              <w:rPr>
                <w:rFonts w:hint="eastAsia" w:ascii="宋体" w:hAnsi="宋体" w:eastAsia="宋体" w:cs="宋体"/>
                <w:i w:val="0"/>
                <w:iCs w:val="0"/>
                <w:color w:val="auto"/>
                <w:sz w:val="24"/>
                <w:highlight w:val="none"/>
                <w:u w:val="single"/>
                <w:lang w:val="en-US" w:eastAsia="zh-CN"/>
              </w:rPr>
              <w:t>3</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人构成，其中招标人代表</w:t>
            </w:r>
            <w:r>
              <w:rPr>
                <w:rFonts w:hint="eastAsia" w:ascii="宋体" w:hAnsi="宋体" w:eastAsia="宋体" w:cs="宋体"/>
                <w:i w:val="0"/>
                <w:iCs w:val="0"/>
                <w:color w:val="auto"/>
                <w:sz w:val="24"/>
                <w:highlight w:val="none"/>
                <w:u w:val="single"/>
              </w:rPr>
              <w:t xml:space="preserve"> 0 </w:t>
            </w:r>
            <w:r>
              <w:rPr>
                <w:rFonts w:hint="eastAsia" w:ascii="宋体" w:hAnsi="宋体" w:eastAsia="宋体" w:cs="宋体"/>
                <w:i w:val="0"/>
                <w:iCs w:val="0"/>
                <w:color w:val="auto"/>
                <w:sz w:val="24"/>
                <w:highlight w:val="none"/>
              </w:rPr>
              <w:t>人（应当具备评标专家相应的或者类似的条件），专家</w:t>
            </w:r>
            <w:r>
              <w:rPr>
                <w:rFonts w:hint="eastAsia" w:ascii="宋体" w:hAnsi="宋体" w:eastAsia="宋体" w:cs="宋体"/>
                <w:i w:val="0"/>
                <w:iCs w:val="0"/>
                <w:color w:val="auto"/>
                <w:sz w:val="24"/>
                <w:highlight w:val="none"/>
                <w:u w:val="single"/>
                <w:lang w:val="en-US" w:eastAsia="zh-CN"/>
              </w:rPr>
              <w:t xml:space="preserve"> 3 </w:t>
            </w:r>
            <w:r>
              <w:rPr>
                <w:rFonts w:hint="eastAsia" w:ascii="宋体" w:hAnsi="宋体" w:eastAsia="宋体" w:cs="宋体"/>
                <w:i w:val="0"/>
                <w:iCs w:val="0"/>
                <w:color w:val="auto"/>
                <w:sz w:val="24"/>
                <w:highlight w:val="none"/>
              </w:rPr>
              <w:t>人；</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评标专家确定方式： 从政府采购专家库随机抽取</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评标委员会推荐中标候选人的人数：</w:t>
            </w:r>
            <w:r>
              <w:rPr>
                <w:rFonts w:hint="eastAsia" w:ascii="宋体" w:hAnsi="宋体" w:eastAsia="宋体" w:cs="宋体"/>
                <w:i w:val="0"/>
                <w:iCs w:val="0"/>
                <w:color w:val="auto"/>
                <w:sz w:val="24"/>
                <w:highlight w:val="none"/>
                <w:u w:val="single"/>
              </w:rPr>
              <w:t>3</w:t>
            </w:r>
            <w:r>
              <w:rPr>
                <w:rFonts w:hint="eastAsia" w:ascii="宋体" w:hAnsi="宋体" w:eastAsia="宋体" w:cs="宋体"/>
                <w:i w:val="0"/>
                <w:iCs w:val="0"/>
                <w:color w:val="auto"/>
                <w:sz w:val="24"/>
                <w:highlight w:val="none"/>
              </w:rPr>
              <w:t>人</w:t>
            </w:r>
          </w:p>
          <w:p>
            <w:pPr>
              <w:rPr>
                <w:rFonts w:hint="eastAsia"/>
                <w:i w:val="0"/>
                <w:iCs w:val="0"/>
                <w:color w:val="auto"/>
              </w:rPr>
            </w:pPr>
            <w:r>
              <w:rPr>
                <w:rFonts w:hint="eastAsia" w:ascii="宋体" w:hAnsi="宋体" w:eastAsia="宋体" w:cs="宋体"/>
                <w:i w:val="0"/>
                <w:iCs w:val="0"/>
                <w:color w:val="auto"/>
                <w:sz w:val="24"/>
                <w:highlight w:val="none"/>
              </w:rPr>
              <w:t>是否授权评标委员会确定中标人：否</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投标人资格条件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一）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highlight w:val="none"/>
                <w:lang w:eastAsia="zh-CN"/>
              </w:rPr>
              <w:t>（二）</w:t>
            </w:r>
            <w:r>
              <w:rPr>
                <w:rFonts w:hint="eastAsia" w:ascii="宋体" w:hAnsi="宋体" w:eastAsia="宋体" w:cs="宋体"/>
                <w:i w:val="0"/>
                <w:iCs w:val="0"/>
                <w:color w:val="auto"/>
                <w:sz w:val="24"/>
                <w:highlight w:val="none"/>
              </w:rPr>
              <w:t>具有有效的营业执照</w:t>
            </w:r>
            <w:r>
              <w:rPr>
                <w:rFonts w:hint="eastAsia" w:ascii="宋体" w:hAnsi="宋体" w:eastAsia="宋体" w:cs="宋体"/>
                <w:i w:val="0"/>
                <w:iCs w:val="0"/>
                <w:color w:val="auto"/>
                <w:sz w:val="24"/>
                <w:highlight w:val="none"/>
                <w:lang w:val="en-US" w:eastAsia="zh-CN"/>
              </w:rPr>
              <w:t>；</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lang w:val="en-US" w:eastAsia="zh-CN"/>
              </w:rPr>
              <w:t>三</w:t>
            </w:r>
            <w:r>
              <w:rPr>
                <w:rFonts w:hint="eastAsia" w:ascii="宋体" w:hAnsi="宋体" w:eastAsia="宋体" w:cs="宋体"/>
                <w:i w:val="0"/>
                <w:iCs w:val="0"/>
                <w:color w:val="auto"/>
                <w:sz w:val="24"/>
                <w:highlight w:val="none"/>
                <w:lang w:eastAsia="zh-CN"/>
              </w:rPr>
              <w:t>）具有</w:t>
            </w:r>
            <w:r>
              <w:rPr>
                <w:rFonts w:hint="eastAsia" w:ascii="宋体" w:hAnsi="宋体" w:eastAsia="宋体" w:cs="宋体"/>
                <w:i w:val="0"/>
                <w:iCs w:val="0"/>
                <w:color w:val="auto"/>
                <w:sz w:val="24"/>
                <w:highlight w:val="none"/>
                <w:lang w:val="en-US" w:eastAsia="zh-CN"/>
              </w:rPr>
              <w:t>近六个月（连续）的社保证明（需有相关人员的社保缴纳明细，退休人员需提供退休证明）</w:t>
            </w:r>
            <w:r>
              <w:rPr>
                <w:rFonts w:hint="eastAsia" w:ascii="宋体" w:hAnsi="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eastAsia="zh-CN"/>
              </w:rPr>
              <w:t>具有</w:t>
            </w:r>
            <w:r>
              <w:rPr>
                <w:rFonts w:hint="eastAsia" w:ascii="宋体" w:hAnsi="宋体" w:eastAsia="宋体" w:cs="宋体"/>
                <w:i w:val="0"/>
                <w:iCs w:val="0"/>
                <w:color w:val="auto"/>
                <w:sz w:val="24"/>
                <w:highlight w:val="none"/>
                <w:lang w:val="en-US" w:eastAsia="zh-CN"/>
              </w:rPr>
              <w:t>近六个月（连续）</w:t>
            </w:r>
            <w:r>
              <w:rPr>
                <w:rFonts w:hint="eastAsia" w:ascii="宋体" w:hAnsi="宋体" w:cs="宋体"/>
                <w:i w:val="0"/>
                <w:iCs w:val="0"/>
                <w:color w:val="auto"/>
                <w:sz w:val="24"/>
                <w:highlight w:val="none"/>
                <w:lang w:val="en-US" w:eastAsia="zh-CN"/>
              </w:rPr>
              <w:t>的</w:t>
            </w:r>
            <w:r>
              <w:rPr>
                <w:rFonts w:hint="eastAsia" w:ascii="宋体" w:hAnsi="宋体" w:eastAsia="宋体" w:cs="宋体"/>
                <w:i w:val="0"/>
                <w:iCs w:val="0"/>
                <w:color w:val="auto"/>
                <w:sz w:val="24"/>
                <w:highlight w:val="none"/>
                <w:lang w:val="en-US" w:eastAsia="zh-CN"/>
              </w:rPr>
              <w:t>完税证明</w:t>
            </w:r>
            <w:r>
              <w:rPr>
                <w:rFonts w:hint="eastAsia" w:ascii="宋体" w:hAnsi="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zh-CN"/>
              </w:rPr>
              <w:t>近三年的财务审计报告（</w:t>
            </w:r>
            <w:r>
              <w:rPr>
                <w:rFonts w:hint="eastAsia" w:ascii="宋体" w:hAnsi="宋体" w:cs="宋体"/>
                <w:b w:val="0"/>
                <w:bCs/>
                <w:i w:val="0"/>
                <w:iCs w:val="0"/>
                <w:color w:val="auto"/>
                <w:sz w:val="24"/>
                <w:lang w:val="en-US" w:eastAsia="zh-CN"/>
              </w:rPr>
              <w:t>企业成立不足三年的提供成立至今的财务审计报告，成立不足一年的提供成立至今的财务报表，包含资产负债表、现金流量表、利润表</w:t>
            </w:r>
            <w:r>
              <w:rPr>
                <w:rFonts w:hint="eastAsia" w:ascii="宋体" w:hAnsi="宋体" w:eastAsia="宋体" w:cs="宋体"/>
                <w:i w:val="0"/>
                <w:iCs w:val="0"/>
                <w:color w:val="auto"/>
                <w:sz w:val="24"/>
                <w:highlight w:val="none"/>
                <w:lang w:val="en-US" w:eastAsia="zh-CN"/>
              </w:rPr>
              <w:t>）</w:t>
            </w:r>
            <w:r>
              <w:rPr>
                <w:rFonts w:hint="eastAsia" w:ascii="宋体" w:hAnsi="宋体" w:eastAsia="宋体" w:cs="宋体"/>
                <w:i w:val="0"/>
                <w:iCs w:val="0"/>
                <w:color w:val="auto"/>
                <w:sz w:val="24"/>
                <w:highlight w:val="none"/>
              </w:rPr>
              <w:t>；</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val="en-US" w:eastAsia="zh-CN"/>
              </w:rPr>
              <w:t>四</w:t>
            </w:r>
            <w:r>
              <w:rPr>
                <w:rFonts w:hint="eastAsia" w:ascii="宋体" w:hAnsi="宋体" w:eastAsia="宋体" w:cs="宋体"/>
                <w:i w:val="0"/>
                <w:iCs w:val="0"/>
                <w:color w:val="auto"/>
                <w:sz w:val="24"/>
                <w:highlight w:val="none"/>
              </w:rPr>
              <w:t>）供应商未被列入</w:t>
            </w:r>
            <w:r>
              <w:rPr>
                <w:rFonts w:hint="eastAsia" w:ascii="宋体" w:hAnsi="宋体" w:eastAsia="宋体" w:cs="宋体"/>
                <w:i w:val="0"/>
                <w:iCs w:val="0"/>
                <w:color w:val="auto"/>
                <w:sz w:val="24"/>
                <w:highlight w:val="none"/>
                <w:lang w:val="en-US" w:eastAsia="ar-SA"/>
              </w:rPr>
              <w:t>“信用中国”网站信用信息报告、国家企业信用信息公示系统报告</w:t>
            </w:r>
            <w:r>
              <w:rPr>
                <w:rFonts w:hint="eastAsia" w:ascii="宋体" w:hAnsi="宋体" w:eastAsia="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ar-SA"/>
              </w:rPr>
              <w:t>中国政府采购</w:t>
            </w:r>
            <w:r>
              <w:rPr>
                <w:rFonts w:hint="eastAsia" w:ascii="宋体" w:hAnsi="宋体" w:eastAsia="宋体" w:cs="宋体"/>
                <w:i w:val="0"/>
                <w:iCs w:val="0"/>
                <w:color w:val="auto"/>
                <w:sz w:val="24"/>
                <w:highlight w:val="none"/>
                <w:lang w:val="en-US" w:eastAsia="zh-CN"/>
              </w:rPr>
              <w:t>网未</w:t>
            </w:r>
            <w:r>
              <w:rPr>
                <w:rFonts w:hint="eastAsia" w:ascii="宋体" w:hAnsi="宋体" w:eastAsia="宋体" w:cs="宋体"/>
                <w:i w:val="0"/>
                <w:iCs w:val="0"/>
                <w:color w:val="auto"/>
                <w:sz w:val="24"/>
                <w:highlight w:val="none"/>
              </w:rPr>
              <w:t>被列入严重违法失信行为记录名单（尚在处罚期内的）；（在“信用中国”网站和“中国政府采购网”网站查询结果为准，如相关失信记录已失效，供应商需提供相关证明资料）</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eastAsia="zh-CN"/>
              </w:rPr>
              <w:t>五</w:t>
            </w:r>
            <w:r>
              <w:rPr>
                <w:rFonts w:hint="eastAsia" w:ascii="宋体" w:hAnsi="宋体" w:eastAsia="宋体" w:cs="宋体"/>
                <w:i w:val="0"/>
                <w:iCs w:val="0"/>
                <w:color w:val="auto"/>
                <w:sz w:val="24"/>
                <w:highlight w:val="none"/>
              </w:rPr>
              <w:t>）本项目不接受联合体投标。</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eastAsia="zh-CN"/>
              </w:rPr>
              <w:t>六</w:t>
            </w:r>
            <w:r>
              <w:rPr>
                <w:rFonts w:hint="eastAsia" w:ascii="宋体" w:hAnsi="宋体" w:eastAsia="宋体" w:cs="宋体"/>
                <w:i w:val="0"/>
                <w:iCs w:val="0"/>
                <w:color w:val="auto"/>
                <w:sz w:val="24"/>
                <w:highlight w:val="none"/>
              </w:rPr>
              <w:t>）符合竞争性磋商文件中其他实质性要求。</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财务要求：财务状况良好。</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信誉要求：良好，无不良行为记录。</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其他要求：符合国家相关规范标准。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22</w:t>
            </w:r>
          </w:p>
        </w:tc>
        <w:tc>
          <w:tcPr>
            <w:tcW w:w="2082" w:type="dxa"/>
            <w:noWrap w:val="0"/>
            <w:vAlign w:val="center"/>
          </w:tcPr>
          <w:p>
            <w:pPr>
              <w:rPr>
                <w:rFonts w:hint="eastAsia" w:ascii="宋体" w:hAnsi="宋体" w:eastAsia="宋体" w:cs="宋体"/>
                <w:i w:val="0"/>
                <w:iCs w:val="0"/>
                <w:color w:val="auto"/>
                <w:sz w:val="24"/>
                <w:highlight w:val="none"/>
              </w:rPr>
            </w:pPr>
            <w:r>
              <w:rPr>
                <w:rFonts w:hint="eastAsia"/>
                <w:i w:val="0"/>
                <w:iCs w:val="0"/>
                <w:color w:val="auto"/>
                <w:sz w:val="24"/>
                <w:szCs w:val="24"/>
                <w:lang w:eastAsia="zh-CN"/>
              </w:rPr>
              <w:t>响应文件</w:t>
            </w:r>
            <w:r>
              <w:rPr>
                <w:rFonts w:hint="eastAsia"/>
                <w:i w:val="0"/>
                <w:iCs w:val="0"/>
                <w:color w:val="auto"/>
                <w:sz w:val="24"/>
                <w:szCs w:val="24"/>
              </w:rPr>
              <w:t>的要求</w:t>
            </w:r>
          </w:p>
        </w:tc>
        <w:tc>
          <w:tcPr>
            <w:tcW w:w="7124" w:type="dxa"/>
            <w:noWrap w:val="0"/>
            <w:vAlign w:val="center"/>
          </w:tcPr>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1、本项目实行电子招投标，供应商须登录政府采购云平台申请获取采购文件，并需要使用CA锁，在新疆政府采购网--下载专区下载--供应商客户端制作</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，并生成JMBS格式加密文件，在投标截止前上传至政府采购云平台。若供应商参与投标,自行承担与投标有关的一切费用。</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4、供应商在开标时须携带制作加密电子响应文件所使用的CA锁，电脑须提前配置好浏览器（建议使用360浏览器或谷歌浏览器），以便开标时在线解密。</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5、投标供应商应当在投标截止时间前，将生成的“JMBS格式电子加密响应文件”上传递交至“政府采购云平台”，投标截止时间以后上传递交的响应文件将被“政府采购云平台”拒收。</w:t>
            </w:r>
          </w:p>
          <w:p>
            <w:pPr>
              <w:rPr>
                <w:rFonts w:hint="eastAsia" w:ascii="宋体" w:hAnsi="宋体" w:eastAsia="宋体" w:cs="宋体"/>
                <w:i w:val="0"/>
                <w:iCs w:val="0"/>
                <w:color w:val="auto"/>
                <w:sz w:val="24"/>
                <w:highlight w:val="none"/>
                <w:lang w:eastAsia="zh-CN"/>
              </w:rPr>
            </w:pPr>
            <w:r>
              <w:rPr>
                <w:rFonts w:hint="eastAsia" w:ascii="Times New Roman" w:hAnsi="Times New Roman" w:eastAsia="宋体" w:cs="Times New Roman"/>
                <w:i w:val="0"/>
                <w:iCs w:val="0"/>
                <w:color w:val="auto"/>
                <w:sz w:val="24"/>
                <w:szCs w:val="24"/>
                <w:lang w:val="en-US" w:eastAsia="zh-CN"/>
              </w:rPr>
              <w:t>6、</w:t>
            </w:r>
            <w:r>
              <w:rPr>
                <w:rFonts w:hint="eastAsia" w:ascii="Times New Roman" w:hAnsi="Times New Roman" w:eastAsia="宋体" w:cs="Times New Roman"/>
                <w:b/>
                <w:bCs/>
                <w:i w:val="0"/>
                <w:iCs w:val="0"/>
                <w:color w:val="auto"/>
                <w:sz w:val="24"/>
                <w:szCs w:val="24"/>
                <w:lang w:val="en-US" w:eastAsia="zh-CN"/>
              </w:rPr>
              <w:t>评标结束后，各投标单位须在一周内按竞争性磋商文件要求将纸质版</w:t>
            </w:r>
            <w:r>
              <w:rPr>
                <w:rFonts w:hint="eastAsia" w:eastAsia="宋体" w:cs="Times New Roman"/>
                <w:b/>
                <w:bCs/>
                <w:i w:val="0"/>
                <w:iCs w:val="0"/>
                <w:color w:val="auto"/>
                <w:sz w:val="24"/>
                <w:szCs w:val="24"/>
                <w:lang w:val="en-US" w:eastAsia="zh-CN"/>
              </w:rPr>
              <w:t>响应文件</w:t>
            </w:r>
            <w:r>
              <w:rPr>
                <w:rFonts w:hint="eastAsia" w:ascii="Times New Roman" w:hAnsi="Times New Roman" w:eastAsia="宋体" w:cs="Times New Roman"/>
                <w:b/>
                <w:bCs/>
                <w:i w:val="0"/>
                <w:iCs w:val="0"/>
                <w:color w:val="auto"/>
                <w:sz w:val="24"/>
                <w:szCs w:val="24"/>
                <w:lang w:val="en-US" w:eastAsia="zh-CN"/>
              </w:rPr>
              <w:t>递交至招标代理处（所产生的的费用投标单位自理）</w:t>
            </w:r>
            <w:r>
              <w:rPr>
                <w:rFonts w:hint="eastAsia" w:ascii="Times New Roman" w:hAnsi="Times New Roman" w:eastAsia="宋体" w:cs="Times New Roman"/>
                <w:i w:val="0"/>
                <w:iCs w:val="0"/>
                <w:color w:val="auto"/>
                <w:sz w:val="24"/>
                <w:szCs w:val="24"/>
                <w:lang w:val="en-US" w:eastAsia="zh-CN"/>
              </w:rPr>
              <w:t>。纸质版</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可通过加密电子版</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打印生成，应当与电子版</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一致。【1、份数要求：</w:t>
            </w:r>
            <w:r>
              <w:rPr>
                <w:rFonts w:hint="eastAsia" w:ascii="Times New Roman" w:hAnsi="Times New Roman" w:eastAsia="宋体" w:cs="Times New Roman"/>
                <w:b/>
                <w:bCs/>
                <w:i w:val="0"/>
                <w:iCs w:val="0"/>
                <w:color w:val="auto"/>
                <w:sz w:val="24"/>
                <w:szCs w:val="24"/>
                <w:lang w:val="en-US" w:eastAsia="zh-CN"/>
              </w:rPr>
              <w:t>正本壹份、副本叁份，电子标壹份（U盘）</w:t>
            </w:r>
            <w:r>
              <w:rPr>
                <w:rFonts w:hint="eastAsia" w:ascii="Times New Roman" w:hAnsi="Times New Roman" w:eastAsia="宋体" w:cs="Times New Roman"/>
                <w:i w:val="0"/>
                <w:iCs w:val="0"/>
                <w:color w:val="auto"/>
                <w:sz w:val="24"/>
                <w:szCs w:val="24"/>
                <w:lang w:val="en-US" w:eastAsia="zh-CN"/>
              </w:rPr>
              <w:t>。2、装订要求：响应文件商务技术部分装订成一册，响应文件的装订必须采用死页胶粘本。】</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递交响应</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文件地点</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lang w:val="en-US" w:eastAsia="zh-CN"/>
              </w:rPr>
              <w:t>政府采购云平台（</w:t>
            </w:r>
            <w:r>
              <w:rPr>
                <w:rFonts w:hint="eastAsia" w:ascii="Times New Roman" w:hAnsi="Times New Roman" w:eastAsia="宋体" w:cs="Times New Roman"/>
                <w:i w:val="0"/>
                <w:iCs w:val="0"/>
                <w:color w:val="auto"/>
                <w:sz w:val="24"/>
                <w:szCs w:val="24"/>
                <w:lang w:val="en-US" w:eastAsia="zh-CN"/>
              </w:rPr>
              <w:t>政采云网上不见面开评标系统</w:t>
            </w:r>
            <w:r>
              <w:rPr>
                <w:rFonts w:hint="eastAsia" w:ascii="宋体" w:hAnsi="宋体" w:cs="宋体"/>
                <w:i w:val="0"/>
                <w:iCs w:val="0"/>
                <w:color w:val="auto"/>
                <w:sz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磋商时间和地点</w:t>
            </w:r>
          </w:p>
        </w:tc>
        <w:tc>
          <w:tcPr>
            <w:tcW w:w="7124" w:type="dxa"/>
            <w:noWrap w:val="0"/>
            <w:vAlign w:val="center"/>
          </w:tcPr>
          <w:p>
            <w:pPr>
              <w:rPr>
                <w:rFonts w:hint="default" w:ascii="宋体" w:hAnsi="宋体" w:eastAsia="宋体" w:cs="宋体"/>
                <w:b/>
                <w:bCs/>
                <w:i w:val="0"/>
                <w:iCs w:val="0"/>
                <w:color w:val="auto"/>
                <w:sz w:val="24"/>
                <w:highlight w:val="none"/>
                <w:lang w:val="en-US" w:eastAsia="zh-CN"/>
              </w:rPr>
            </w:pPr>
            <w:r>
              <w:rPr>
                <w:rFonts w:hint="eastAsia" w:ascii="宋体" w:hAnsi="宋体" w:eastAsia="宋体" w:cs="宋体"/>
                <w:i w:val="0"/>
                <w:iCs w:val="0"/>
                <w:color w:val="auto"/>
                <w:sz w:val="24"/>
                <w:highlight w:val="none"/>
              </w:rPr>
              <w:t>磋商时间：</w:t>
            </w:r>
            <w:r>
              <w:rPr>
                <w:rFonts w:hint="eastAsia" w:ascii="宋体" w:hAnsi="宋体" w:eastAsia="宋体" w:cs="宋体"/>
                <w:b/>
                <w:bCs/>
                <w:i w:val="0"/>
                <w:iCs w:val="0"/>
                <w:color w:val="auto"/>
                <w:sz w:val="24"/>
                <w:highlight w:val="none"/>
                <w:lang w:eastAsia="zh-CN"/>
              </w:rPr>
              <w:t>202</w:t>
            </w:r>
            <w:r>
              <w:rPr>
                <w:rFonts w:hint="eastAsia" w:ascii="宋体" w:hAnsi="宋体" w:eastAsia="宋体" w:cs="宋体"/>
                <w:b/>
                <w:bCs/>
                <w:i w:val="0"/>
                <w:iCs w:val="0"/>
                <w:color w:val="auto"/>
                <w:sz w:val="24"/>
                <w:highlight w:val="none"/>
                <w:lang w:val="en-US" w:eastAsia="zh-CN"/>
              </w:rPr>
              <w:t>3</w:t>
            </w:r>
            <w:r>
              <w:rPr>
                <w:rFonts w:hint="eastAsia" w:ascii="宋体" w:hAnsi="宋体" w:eastAsia="宋体" w:cs="宋体"/>
                <w:b/>
                <w:bCs/>
                <w:i w:val="0"/>
                <w:iCs w:val="0"/>
                <w:color w:val="auto"/>
                <w:sz w:val="24"/>
                <w:highlight w:val="none"/>
                <w:lang w:eastAsia="zh-CN"/>
              </w:rPr>
              <w:t>年</w:t>
            </w:r>
            <w:r>
              <w:rPr>
                <w:rFonts w:hint="eastAsia" w:ascii="宋体" w:hAnsi="宋体" w:eastAsia="宋体" w:cs="宋体"/>
                <w:b/>
                <w:bCs/>
                <w:i w:val="0"/>
                <w:iCs w:val="0"/>
                <w:color w:val="auto"/>
                <w:sz w:val="24"/>
                <w:highlight w:val="none"/>
                <w:lang w:val="en-US" w:eastAsia="zh-CN"/>
              </w:rPr>
              <w:t>0</w:t>
            </w:r>
            <w:r>
              <w:rPr>
                <w:rFonts w:hint="eastAsia" w:ascii="宋体" w:hAnsi="宋体" w:cs="宋体"/>
                <w:b/>
                <w:bCs/>
                <w:i w:val="0"/>
                <w:iCs w:val="0"/>
                <w:color w:val="auto"/>
                <w:sz w:val="24"/>
                <w:highlight w:val="none"/>
                <w:lang w:val="en-US" w:eastAsia="zh-CN"/>
              </w:rPr>
              <w:t>3</w:t>
            </w:r>
            <w:r>
              <w:rPr>
                <w:rFonts w:hint="eastAsia" w:ascii="宋体" w:hAnsi="宋体" w:eastAsia="宋体" w:cs="宋体"/>
                <w:b/>
                <w:bCs/>
                <w:i w:val="0"/>
                <w:iCs w:val="0"/>
                <w:color w:val="auto"/>
                <w:sz w:val="24"/>
                <w:highlight w:val="none"/>
                <w:lang w:eastAsia="zh-CN"/>
              </w:rPr>
              <w:t>月</w:t>
            </w:r>
            <w:r>
              <w:rPr>
                <w:rFonts w:hint="eastAsia" w:ascii="宋体" w:hAnsi="宋体" w:cs="宋体"/>
                <w:b/>
                <w:bCs/>
                <w:i w:val="0"/>
                <w:iCs w:val="0"/>
                <w:color w:val="auto"/>
                <w:sz w:val="24"/>
                <w:highlight w:val="none"/>
                <w:lang w:val="en-US" w:eastAsia="zh-CN"/>
              </w:rPr>
              <w:t>13</w:t>
            </w:r>
            <w:r>
              <w:rPr>
                <w:rFonts w:hint="eastAsia" w:ascii="宋体" w:hAnsi="宋体" w:eastAsia="宋体" w:cs="宋体"/>
                <w:b/>
                <w:bCs/>
                <w:i w:val="0"/>
                <w:iCs w:val="0"/>
                <w:color w:val="auto"/>
                <w:sz w:val="24"/>
                <w:highlight w:val="none"/>
                <w:lang w:eastAsia="zh-CN"/>
              </w:rPr>
              <w:t>日</w:t>
            </w:r>
            <w:r>
              <w:rPr>
                <w:rFonts w:hint="eastAsia" w:ascii="宋体" w:hAnsi="宋体" w:eastAsia="宋体" w:cs="宋体"/>
                <w:b/>
                <w:bCs/>
                <w:i w:val="0"/>
                <w:iCs w:val="0"/>
                <w:color w:val="auto"/>
                <w:sz w:val="24"/>
                <w:highlight w:val="none"/>
                <w:lang w:val="en-US" w:eastAsia="zh-CN"/>
              </w:rPr>
              <w:t>11:00（北京时间）</w:t>
            </w:r>
          </w:p>
          <w:p>
            <w:pPr>
              <w:rPr>
                <w:rFonts w:hint="eastAsia" w:ascii="Times New Roman" w:hAnsi="Times New Roman" w:eastAsia="宋体" w:cs="Times New Roman"/>
                <w:i w:val="0"/>
                <w:iCs w:val="0"/>
                <w:color w:val="auto"/>
                <w:sz w:val="24"/>
                <w:szCs w:val="24"/>
                <w:lang w:val="en-US" w:eastAsia="zh-CN"/>
              </w:rPr>
            </w:pPr>
            <w:r>
              <w:rPr>
                <w:rFonts w:hint="eastAsia" w:ascii="宋体" w:hAnsi="宋体" w:eastAsia="宋体" w:cs="宋体"/>
                <w:i w:val="0"/>
                <w:iCs w:val="0"/>
                <w:color w:val="auto"/>
                <w:sz w:val="24"/>
                <w:highlight w:val="none"/>
              </w:rPr>
              <w:t>磋商地点：</w:t>
            </w:r>
            <w:r>
              <w:rPr>
                <w:rFonts w:hint="eastAsia" w:ascii="Times New Roman" w:hAnsi="Times New Roman" w:eastAsia="宋体" w:cs="Times New Roman"/>
                <w:b/>
                <w:bCs/>
                <w:i w:val="0"/>
                <w:iCs w:val="0"/>
                <w:color w:val="auto"/>
                <w:sz w:val="24"/>
                <w:szCs w:val="24"/>
                <w:lang w:val="en-US" w:eastAsia="zh-CN"/>
              </w:rPr>
              <w:t>政府采购云平台（政采云网上不见面开评标系统）</w:t>
            </w:r>
          </w:p>
          <w:p>
            <w:pPr>
              <w:rPr>
                <w:rFonts w:hint="eastAsia" w:ascii="宋体" w:hAnsi="宋体" w:eastAsia="宋体" w:cs="宋体"/>
                <w:i w:val="0"/>
                <w:iCs w:val="0"/>
                <w:color w:val="auto"/>
                <w:sz w:val="24"/>
                <w:highlight w:val="none"/>
              </w:rPr>
            </w:pPr>
            <w:r>
              <w:rPr>
                <w:rFonts w:hint="eastAsia" w:ascii="Times New Roman" w:hAnsi="Times New Roman" w:eastAsia="宋体" w:cs="Times New Roman"/>
                <w:i w:val="0"/>
                <w:iCs w:val="0"/>
                <w:color w:val="auto"/>
                <w:sz w:val="24"/>
                <w:szCs w:val="24"/>
                <w:lang w:val="en-US" w:eastAsia="zh-CN"/>
              </w:rPr>
              <w:t>备注：供应商需要使用CA锁，登录政府采购云平台电子投标客户端制作响应文件，将生成的“JMBS格式电子加密响应文件”上传递交至“政府采购云平台”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政府采购其他政策</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1、政府采购强制采购：（1）标记*符号的节能产品；（2）其他采购《节能产品政府采购清单》内的产品。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2、政府采购优先采购：(1)非标记*符号的节能产品；(2)环境标志产品；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3、采购产品为《节能产品政府采购清单》内非标记*符号的节能产品及《环境标志产品政府采购清单》内的产品：</w:t>
            </w:r>
          </w:p>
          <w:p>
            <w:pPr>
              <w:ind w:firstLine="241" w:firstLineChars="1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Merge w:val="restart"/>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26</w:t>
            </w:r>
          </w:p>
        </w:tc>
        <w:tc>
          <w:tcPr>
            <w:tcW w:w="2082" w:type="dxa"/>
            <w:vMerge w:val="restart"/>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支持中小企业发展</w:t>
            </w:r>
          </w:p>
        </w:tc>
        <w:tc>
          <w:tcPr>
            <w:tcW w:w="7124" w:type="dxa"/>
            <w:noWrap w:val="0"/>
            <w:vAlign w:val="center"/>
          </w:tcPr>
          <w:p>
            <w:pPr>
              <w:ind w:firstLine="241" w:firstLineChars="1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根据中华人民共和国财政部、中华人民共和国工业和信息化部《政府采购促进中小企业发展管理办法》(财库〔2020〕46号)文件的规定，属于中小企业评审优惠内容及幅度如下：</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（一）中小企业（含中型、小型、微型企业）应当同时符合以下条件：</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①符合中小企业划分标准（按《关于印发中小企业划型标准规定的通知》（工信部联企业〔2011〕300号）执行）；</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②提供本企业制造的货物、承担的项目或者服务，或者提供其他中小企业制造的货物。本项所称货物不包括使用大型企业注册商标的货物；</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③小型、微型企业提供中型企业制造的货物的，视同为中型企业。</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（三）小型和微型企业适用价格扣除办法时应提供的相关资料：《中小企业声明函》</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824" w:type="dxa"/>
            <w:vMerge w:val="continue"/>
            <w:noWrap w:val="0"/>
            <w:vAlign w:val="center"/>
          </w:tcPr>
          <w:p>
            <w:pPr>
              <w:jc w:val="center"/>
              <w:rPr>
                <w:rFonts w:hint="eastAsia" w:ascii="宋体" w:hAnsi="宋体" w:eastAsia="宋体" w:cs="宋体"/>
                <w:i w:val="0"/>
                <w:iCs w:val="0"/>
                <w:color w:val="auto"/>
                <w:sz w:val="24"/>
                <w:highlight w:val="none"/>
                <w:lang w:val="en-US" w:eastAsia="zh-CN"/>
              </w:rPr>
            </w:pPr>
          </w:p>
        </w:tc>
        <w:tc>
          <w:tcPr>
            <w:tcW w:w="2082" w:type="dxa"/>
            <w:vMerge w:val="continue"/>
            <w:noWrap w:val="0"/>
            <w:vAlign w:val="center"/>
          </w:tcPr>
          <w:p>
            <w:pP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政府采购支持中小企业融资：有融资需求的，可查询相关业务。</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政府采购信用担保：有担保需求的，可查询相关业务。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27</w:t>
            </w:r>
          </w:p>
        </w:tc>
        <w:tc>
          <w:tcPr>
            <w:tcW w:w="2082"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特别提示</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28</w:t>
            </w:r>
          </w:p>
        </w:tc>
        <w:tc>
          <w:tcPr>
            <w:tcW w:w="2082" w:type="dxa"/>
            <w:noWrap w:val="0"/>
            <w:vAlign w:val="center"/>
          </w:tcPr>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投标人不得存在下列情形之一</w:t>
            </w:r>
          </w:p>
          <w:p>
            <w:pPr>
              <w:jc w:val="cente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（1）与招标人存在利害关系且可能影响招标公正性；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（2）与本招标项目的其他投标人为同一个单位负责人；</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（3）与本招标项目的其他投标人存在控股、管理关系；</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（4）被依法暂停或者取消投标资格；</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（5）被责令停产停业、暂扣或者吊销许可证、暂扣或者吊销执照；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（6）进入清算程序，或被宣告破产，或其他丧失履约能力的情形；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（7）被工商行政管理机关在全国企业信用信息公示系统中列入严重违法失信企业名单；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（8）被最高人民法院在“信用中国”网站（www.creditchina.gov.cn）或各级信用信息共享平台中列入失信被执行人名单；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（9）在近三年内投标人或其法定代表人、拟委任的项目负责人有行贿犯罪行为的；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（10）法律法规或投标人须知前附表规定的其他情形。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29</w:t>
            </w:r>
          </w:p>
        </w:tc>
        <w:tc>
          <w:tcPr>
            <w:tcW w:w="2082" w:type="dxa"/>
            <w:noWrap w:val="0"/>
            <w:vAlign w:val="center"/>
          </w:tcPr>
          <w:p>
            <w:pPr>
              <w:spacing w:line="360" w:lineRule="auto"/>
              <w:rPr>
                <w:rFonts w:hint="eastAsia" w:ascii="宋体" w:hAnsi="宋体" w:cs="宋体"/>
                <w:i w:val="0"/>
                <w:iCs w:val="0"/>
                <w:color w:val="auto"/>
                <w:sz w:val="24"/>
                <w:u w:val="none"/>
              </w:rPr>
            </w:pPr>
            <w:r>
              <w:rPr>
                <w:rFonts w:hint="eastAsia" w:ascii="宋体" w:hAnsi="宋体" w:cs="宋体"/>
                <w:i w:val="0"/>
                <w:iCs w:val="0"/>
                <w:color w:val="auto"/>
                <w:sz w:val="24"/>
                <w:u w:val="none"/>
              </w:rPr>
              <w:t>低于成本价不正当竞争预防措施</w:t>
            </w:r>
          </w:p>
          <w:p>
            <w:pPr>
              <w:rPr>
                <w:rFonts w:hint="eastAsia" w:ascii="宋体" w:hAnsi="宋体" w:eastAsia="宋体" w:cs="宋体"/>
                <w:i w:val="0"/>
                <w:iCs w:val="0"/>
                <w:color w:val="auto"/>
                <w:sz w:val="24"/>
                <w:highlight w:val="none"/>
              </w:rPr>
            </w:pPr>
          </w:p>
        </w:tc>
        <w:tc>
          <w:tcPr>
            <w:tcW w:w="7124" w:type="dxa"/>
            <w:noWrap w:val="0"/>
            <w:vAlign w:val="center"/>
          </w:tcPr>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30</w:t>
            </w:r>
          </w:p>
        </w:tc>
        <w:tc>
          <w:tcPr>
            <w:tcW w:w="2082"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竞争性磋商文件的澄清和质疑</w:t>
            </w:r>
          </w:p>
          <w:p>
            <w:pP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1、综合说明</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2、对竞争性磋商文件的澄清和质疑</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应尽早领取竞争性磋商文件，若对竞争性磋商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3、对招标过程和拟中标结果的质疑</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4、澄清或质疑不予受理的情况，有下列情形之一的，属于无效质疑，被质疑人不予受理，由此产生的影响由投标人自行承担：</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(一)不是参与该政府采购项目活动供应商的;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(二)被质疑人为采购人或政府采购代理机构之外的；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(三)所有质疑事项超过质疑有效期的；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(四)以具有法律效力的文书送达之外方式提出的；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(五) 未按上述规定递交澄清或质疑函的；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(六) 其它不符合受理条件的情形。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5、其他</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澄清或质疑函递交地点：新疆阿克苏地区阿克苏市兰干街道英阿瓦提社区朝阳街7号银基王朝4号楼1701号</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联系电话：</w:t>
            </w:r>
            <w:r>
              <w:rPr>
                <w:rFonts w:hint="eastAsia" w:ascii="宋体" w:hAnsi="宋体" w:cs="宋体"/>
                <w:i w:val="0"/>
                <w:iCs w:val="0"/>
                <w:color w:val="auto"/>
                <w:sz w:val="24"/>
                <w:highlight w:val="none"/>
                <w:lang w:val="en-US" w:eastAsia="zh-CN"/>
              </w:rPr>
              <w:t>15003027111</w:t>
            </w:r>
          </w:p>
        </w:tc>
      </w:tr>
    </w:tbl>
    <w:p>
      <w:pPr>
        <w:pStyle w:val="4"/>
        <w:keepNext w:val="0"/>
        <w:keepLines w:val="0"/>
        <w:adjustRightInd w:val="0"/>
        <w:snapToGrid w:val="0"/>
        <w:spacing w:before="120" w:after="120" w:line="360" w:lineRule="auto"/>
        <w:jc w:val="center"/>
        <w:outlineLvl w:val="1"/>
        <w:rPr>
          <w:rFonts w:hint="eastAsia" w:ascii="宋体" w:hAnsi="宋体" w:eastAsia="宋体" w:cs="宋体"/>
          <w:bCs w:val="0"/>
          <w:i w:val="0"/>
          <w:iCs w:val="0"/>
          <w:color w:val="auto"/>
          <w:sz w:val="28"/>
          <w:szCs w:val="28"/>
          <w:highlight w:val="none"/>
        </w:rPr>
      </w:pPr>
      <w:r>
        <w:rPr>
          <w:rFonts w:hint="eastAsia" w:ascii="宋体" w:hAnsi="宋体" w:eastAsia="宋体" w:cs="宋体"/>
          <w:bCs w:val="0"/>
          <w:i w:val="0"/>
          <w:iCs w:val="0"/>
          <w:color w:val="auto"/>
          <w:sz w:val="28"/>
          <w:szCs w:val="28"/>
          <w:highlight w:val="none"/>
        </w:rPr>
        <w:br w:type="page"/>
      </w:r>
      <w:r>
        <w:rPr>
          <w:rFonts w:hint="eastAsia" w:ascii="宋体" w:hAnsi="宋体" w:eastAsia="宋体" w:cs="宋体"/>
          <w:bCs w:val="0"/>
          <w:i w:val="0"/>
          <w:iCs w:val="0"/>
          <w:color w:val="auto"/>
          <w:sz w:val="28"/>
          <w:szCs w:val="28"/>
          <w:highlight w:val="none"/>
        </w:rPr>
        <w:t>投标人须知正文部分</w:t>
      </w:r>
      <w:bookmarkEnd w:id="16"/>
      <w:bookmarkEnd w:id="17"/>
      <w:bookmarkEnd w:id="18"/>
    </w:p>
    <w:bookmarkEnd w:id="19"/>
    <w:bookmarkEnd w:id="20"/>
    <w:bookmarkEnd w:id="21"/>
    <w:bookmarkEnd w:id="22"/>
    <w:p>
      <w:pPr>
        <w:pStyle w:val="27"/>
        <w:jc w:val="center"/>
        <w:rPr>
          <w:rFonts w:hint="eastAsia"/>
          <w:b/>
          <w:bCs/>
          <w:i w:val="0"/>
          <w:iCs w:val="0"/>
          <w:color w:val="auto"/>
          <w:highlight w:val="none"/>
          <w:lang w:eastAsia="zh-CN"/>
        </w:rPr>
      </w:pPr>
      <w:r>
        <w:rPr>
          <w:rFonts w:hint="eastAsia"/>
          <w:b/>
          <w:bCs/>
          <w:i w:val="0"/>
          <w:iCs w:val="0"/>
          <w:color w:val="auto"/>
          <w:highlight w:val="none"/>
          <w:lang w:eastAsia="zh-CN"/>
        </w:rPr>
        <w:t>一、总则</w:t>
      </w:r>
    </w:p>
    <w:p>
      <w:pPr>
        <w:pStyle w:val="28"/>
        <w:spacing w:line="360" w:lineRule="auto"/>
        <w:ind w:firstLine="567"/>
        <w:jc w:val="both"/>
        <w:rPr>
          <w:rFonts w:hint="eastAsia" w:ascii="宋体" w:hAnsi="宋体" w:cs="宋体"/>
          <w:bCs/>
          <w:i w:val="0"/>
          <w:iCs w:val="0"/>
          <w:color w:val="auto"/>
          <w:szCs w:val="24"/>
        </w:rPr>
      </w:pPr>
      <w:r>
        <w:rPr>
          <w:rFonts w:hint="eastAsia" w:ascii="宋体" w:hAnsi="宋体" w:cs="宋体"/>
          <w:bCs/>
          <w:i w:val="0"/>
          <w:iCs w:val="0"/>
          <w:color w:val="auto"/>
          <w:szCs w:val="24"/>
        </w:rPr>
        <w:t>1. 合格的投标人</w:t>
      </w:r>
    </w:p>
    <w:p>
      <w:pPr>
        <w:pStyle w:val="28"/>
        <w:spacing w:line="360" w:lineRule="auto"/>
        <w:ind w:firstLine="567"/>
        <w:jc w:val="both"/>
        <w:rPr>
          <w:rFonts w:hint="eastAsia" w:ascii="宋体" w:hAnsi="宋体" w:cs="宋体"/>
          <w:bCs/>
          <w:i w:val="0"/>
          <w:iCs w:val="0"/>
          <w:color w:val="auto"/>
          <w:szCs w:val="24"/>
        </w:rPr>
      </w:pPr>
      <w:r>
        <w:rPr>
          <w:rFonts w:hint="eastAsia" w:ascii="宋体" w:hAnsi="宋体" w:cs="宋体"/>
          <w:bCs/>
          <w:i w:val="0"/>
          <w:iCs w:val="0"/>
          <w:color w:val="auto"/>
          <w:szCs w:val="24"/>
        </w:rPr>
        <w:t>1.1 符合《中华人民共和国政府采购法》第二十二条规定的条件，具备独立承担民事责任能力的在中华人民共和国境内注册的，有承担本次招标采购项目服务能力的及符合条件的法人或其他组织。</w:t>
      </w:r>
    </w:p>
    <w:p>
      <w:pPr>
        <w:pStyle w:val="28"/>
        <w:spacing w:line="360" w:lineRule="auto"/>
        <w:ind w:firstLine="567"/>
        <w:jc w:val="both"/>
        <w:rPr>
          <w:rFonts w:hint="eastAsia" w:ascii="宋体" w:hAnsi="宋体" w:cs="宋体"/>
          <w:bCs/>
          <w:i w:val="0"/>
          <w:iCs w:val="0"/>
          <w:color w:val="auto"/>
          <w:szCs w:val="24"/>
        </w:rPr>
      </w:pPr>
      <w:r>
        <w:rPr>
          <w:rFonts w:hint="eastAsia" w:ascii="宋体" w:hAnsi="宋体" w:cs="宋体"/>
          <w:bCs/>
          <w:i w:val="0"/>
          <w:iCs w:val="0"/>
          <w:color w:val="auto"/>
          <w:szCs w:val="24"/>
        </w:rPr>
        <w:t>1.2 有效的营业执照；</w:t>
      </w:r>
    </w:p>
    <w:p>
      <w:pPr>
        <w:pStyle w:val="28"/>
        <w:spacing w:line="360" w:lineRule="auto"/>
        <w:ind w:firstLine="567"/>
        <w:jc w:val="both"/>
        <w:rPr>
          <w:rFonts w:hint="eastAsia" w:ascii="宋体" w:hAnsi="宋体" w:cs="宋体"/>
          <w:bCs/>
          <w:i w:val="0"/>
          <w:iCs w:val="0"/>
          <w:color w:val="auto"/>
          <w:szCs w:val="24"/>
        </w:rPr>
      </w:pPr>
      <w:r>
        <w:rPr>
          <w:rFonts w:hint="eastAsia" w:ascii="宋体" w:hAnsi="宋体" w:cs="宋体"/>
          <w:bCs/>
          <w:i w:val="0"/>
          <w:iCs w:val="0"/>
          <w:color w:val="auto"/>
          <w:szCs w:val="24"/>
        </w:rPr>
        <w:t>1.3 投标人在本次招标活动中，必须遵循《中华人民共和国招标投标法》、《中华人民共和国招标投标法实施条例》、《政府采购货物和服务招标投标管理办法》（财政部87号令）等相关法律法规的规定。</w:t>
      </w:r>
    </w:p>
    <w:p>
      <w:pPr>
        <w:pStyle w:val="28"/>
        <w:spacing w:line="360" w:lineRule="auto"/>
        <w:ind w:firstLine="567"/>
        <w:jc w:val="both"/>
        <w:rPr>
          <w:rFonts w:hint="eastAsia" w:ascii="宋体" w:hAnsi="宋体" w:cs="宋体"/>
          <w:bCs/>
          <w:i w:val="0"/>
          <w:iCs w:val="0"/>
          <w:color w:val="auto"/>
          <w:szCs w:val="24"/>
          <w:highlight w:val="none"/>
        </w:rPr>
      </w:pPr>
      <w:r>
        <w:rPr>
          <w:rFonts w:hint="eastAsia" w:ascii="宋体" w:hAnsi="宋体" w:cs="宋体"/>
          <w:bCs/>
          <w:i w:val="0"/>
          <w:iCs w:val="0"/>
          <w:color w:val="auto"/>
          <w:szCs w:val="24"/>
          <w:highlight w:val="none"/>
        </w:rPr>
        <w:t>1.4  投标人参加政府采购活动近三年内无违法违规记录和法律诉讼纠纷，需提供书面声明。</w:t>
      </w:r>
    </w:p>
    <w:p>
      <w:pPr>
        <w:pStyle w:val="28"/>
        <w:keepLines w:val="0"/>
        <w:kinsoku/>
        <w:wordWrap/>
        <w:overflowPunct/>
        <w:bidi w:val="0"/>
        <w:spacing w:line="360" w:lineRule="auto"/>
        <w:ind w:firstLine="567"/>
        <w:jc w:val="both"/>
        <w:textAlignment w:val="auto"/>
        <w:rPr>
          <w:rFonts w:hint="eastAsia" w:ascii="宋体" w:hAnsi="宋体" w:cs="宋体"/>
          <w:bCs/>
          <w:i w:val="0"/>
          <w:iCs w:val="0"/>
          <w:color w:val="auto"/>
          <w:szCs w:val="24"/>
          <w:highlight w:val="none"/>
        </w:rPr>
      </w:pPr>
      <w:r>
        <w:rPr>
          <w:rFonts w:hint="eastAsia" w:ascii="宋体" w:hAnsi="宋体" w:cs="宋体"/>
          <w:bCs/>
          <w:i w:val="0"/>
          <w:iCs w:val="0"/>
          <w:color w:val="auto"/>
          <w:szCs w:val="24"/>
          <w:highlight w:val="none"/>
        </w:rPr>
        <w:t>1.5  为保证政府采购活动公平、公正、诚实信用，投标人提供的材料及技术参数应真实有效，</w:t>
      </w:r>
      <w:r>
        <w:rPr>
          <w:rFonts w:hint="eastAsia" w:ascii="宋体" w:hAnsi="宋体" w:cs="宋体"/>
          <w:bCs/>
          <w:i w:val="0"/>
          <w:iCs w:val="0"/>
          <w:color w:val="auto"/>
          <w:szCs w:val="24"/>
          <w:highlight w:val="none"/>
          <w:lang w:eastAsia="zh-CN"/>
        </w:rPr>
        <w:t>响应文件</w:t>
      </w:r>
      <w:r>
        <w:rPr>
          <w:rFonts w:hint="eastAsia" w:ascii="宋体" w:hAnsi="宋体" w:cs="宋体"/>
          <w:bCs/>
          <w:i w:val="0"/>
          <w:iCs w:val="0"/>
          <w:color w:val="auto"/>
          <w:szCs w:val="24"/>
          <w:highlight w:val="none"/>
        </w:rPr>
        <w:t>内提供书面诚信投标承诺书。</w:t>
      </w:r>
    </w:p>
    <w:p>
      <w:pPr>
        <w:pStyle w:val="28"/>
        <w:keepLines w:val="0"/>
        <w:kinsoku/>
        <w:wordWrap/>
        <w:overflowPunct/>
        <w:bidi w:val="0"/>
        <w:spacing w:line="360" w:lineRule="auto"/>
        <w:ind w:firstLine="567"/>
        <w:jc w:val="both"/>
        <w:textAlignment w:val="auto"/>
        <w:rPr>
          <w:rFonts w:hint="eastAsia" w:ascii="宋体" w:hAnsi="宋体" w:cs="宋体"/>
          <w:bCs/>
          <w:i w:val="0"/>
          <w:iCs w:val="0"/>
          <w:color w:val="auto"/>
          <w:szCs w:val="24"/>
          <w:highlight w:val="none"/>
        </w:rPr>
      </w:pPr>
      <w:r>
        <w:rPr>
          <w:rFonts w:hint="eastAsia" w:ascii="宋体" w:hAnsi="宋体" w:eastAsia="宋体" w:cs="宋体"/>
          <w:b w:val="0"/>
          <w:bCs/>
          <w:i w:val="0"/>
          <w:iCs w:val="0"/>
          <w:color w:val="auto"/>
          <w:sz w:val="24"/>
          <w:szCs w:val="24"/>
          <w:highlight w:val="none"/>
          <w:lang w:val="en-US" w:eastAsia="zh-CN"/>
        </w:rPr>
        <w:t>1.6  未保证本次招标活动公平竞争，杜绝任何形式的商业贿赂行为，响应文件内必须提供反商业贿赂承诺书</w:t>
      </w:r>
    </w:p>
    <w:p>
      <w:pPr>
        <w:pStyle w:val="28"/>
        <w:spacing w:line="360" w:lineRule="auto"/>
        <w:ind w:left="563" w:leftChars="267" w:firstLine="2" w:firstLineChars="1"/>
        <w:jc w:val="both"/>
        <w:rPr>
          <w:rFonts w:hint="eastAsia" w:ascii="宋体" w:hAnsi="宋体" w:cs="宋体"/>
          <w:bCs/>
          <w:i w:val="0"/>
          <w:iCs w:val="0"/>
          <w:color w:val="auto"/>
          <w:szCs w:val="24"/>
        </w:rPr>
      </w:pPr>
      <w:r>
        <w:rPr>
          <w:rFonts w:hint="eastAsia" w:ascii="宋体" w:hAnsi="宋体" w:cs="宋体"/>
          <w:bCs/>
          <w:i w:val="0"/>
          <w:iCs w:val="0"/>
          <w:color w:val="auto"/>
          <w:szCs w:val="24"/>
        </w:rPr>
        <w:t>1.</w:t>
      </w:r>
      <w:r>
        <w:rPr>
          <w:rFonts w:hint="eastAsia" w:ascii="宋体" w:hAnsi="宋体" w:cs="宋体"/>
          <w:bCs/>
          <w:i w:val="0"/>
          <w:iCs w:val="0"/>
          <w:color w:val="auto"/>
          <w:szCs w:val="24"/>
          <w:lang w:val="en-US" w:eastAsia="zh-CN"/>
        </w:rPr>
        <w:t>7</w:t>
      </w:r>
      <w:r>
        <w:rPr>
          <w:rFonts w:hint="eastAsia" w:ascii="宋体" w:hAnsi="宋体" w:cs="宋体"/>
          <w:bCs/>
          <w:i w:val="0"/>
          <w:iCs w:val="0"/>
          <w:color w:val="auto"/>
          <w:szCs w:val="24"/>
        </w:rPr>
        <w:t xml:space="preserve">  不符合以上条款规定的投标人，其投标无效。</w:t>
      </w:r>
    </w:p>
    <w:p>
      <w:pPr>
        <w:pStyle w:val="28"/>
        <w:keepLines w:val="0"/>
        <w:kinsoku/>
        <w:wordWrap/>
        <w:overflowPunct/>
        <w:bidi w:val="0"/>
        <w:spacing w:line="360" w:lineRule="auto"/>
        <w:ind w:left="563" w:leftChars="267" w:firstLine="2" w:firstLineChars="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定义</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2.1“采购代理机构”系指</w:t>
      </w:r>
      <w:r>
        <w:rPr>
          <w:rFonts w:hint="eastAsia" w:ascii="宋体" w:hAnsi="宋体" w:eastAsia="宋体" w:cs="宋体"/>
          <w:i w:val="0"/>
          <w:iCs w:val="0"/>
          <w:color w:val="auto"/>
          <w:sz w:val="24"/>
          <w:highlight w:val="none"/>
          <w:lang w:eastAsia="zh-CN"/>
        </w:rPr>
        <w:t>新疆润悦项目管理有限公司</w:t>
      </w:r>
      <w:r>
        <w:rPr>
          <w:rFonts w:hint="eastAsia" w:ascii="宋体" w:hAnsi="宋体" w:eastAsia="宋体" w:cs="宋体"/>
          <w:i w:val="0"/>
          <w:iCs w:val="0"/>
          <w:color w:val="auto"/>
          <w:sz w:val="24"/>
          <w:szCs w:val="24"/>
          <w:highlight w:val="none"/>
          <w:lang w:eastAsia="zh-CN"/>
        </w:rPr>
        <w:t>。</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2.2“投标人”系指向采购代理机构提交</w:t>
      </w:r>
      <w:r>
        <w:rPr>
          <w:rFonts w:hint="eastAsia" w:ascii="宋体" w:hAnsi="宋体" w:eastAsia="宋体" w:cs="宋体"/>
          <w:i w:val="0"/>
          <w:iCs w:val="0"/>
          <w:color w:val="auto"/>
          <w:sz w:val="24"/>
          <w:szCs w:val="24"/>
          <w:highlight w:val="none"/>
          <w:lang w:eastAsia="zh-CN"/>
        </w:rPr>
        <w:t>响应文件</w:t>
      </w:r>
      <w:r>
        <w:rPr>
          <w:rFonts w:hint="eastAsia" w:ascii="宋体" w:hAnsi="宋体" w:eastAsia="宋体" w:cs="宋体"/>
          <w:i w:val="0"/>
          <w:iCs w:val="0"/>
          <w:color w:val="auto"/>
          <w:sz w:val="24"/>
          <w:szCs w:val="24"/>
          <w:highlight w:val="none"/>
        </w:rPr>
        <w:t>的货物</w:t>
      </w:r>
      <w:r>
        <w:rPr>
          <w:rFonts w:hint="eastAsia" w:ascii="宋体" w:hAnsi="宋体" w:eastAsia="宋体" w:cs="宋体"/>
          <w:i w:val="0"/>
          <w:iCs w:val="0"/>
          <w:color w:val="auto"/>
          <w:sz w:val="24"/>
          <w:szCs w:val="24"/>
          <w:highlight w:val="none"/>
          <w:lang w:eastAsia="zh-CN"/>
        </w:rPr>
        <w:t>制造商或代理商</w:t>
      </w:r>
      <w:r>
        <w:rPr>
          <w:rFonts w:hint="eastAsia" w:ascii="宋体" w:hAnsi="宋体" w:eastAsia="宋体" w:cs="宋体"/>
          <w:i w:val="0"/>
          <w:iCs w:val="0"/>
          <w:color w:val="auto"/>
          <w:sz w:val="24"/>
          <w:szCs w:val="24"/>
          <w:highlight w:val="none"/>
        </w:rPr>
        <w:t>。</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2.3“货物”系指卖方按合同要求，须向买方提供的设计文件、货物、机械、材料、备品、手册及其他技术资料和材料。详见《政府采购品目分类目录》(财库[2013]189号)。</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2.4“服务”系指按合同规定卖方须承担的运输、装卸、安装调试、技术协助、培训和交付使用后保修期内应履行的义务及售后服务等其他类似的义务。</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2.5“卖方”系指提供合同货物和服务的经济实体。本次招标指中标人。</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2.6“买方”系指购买货物和服务的单位，即为本次招标的采购人。</w:t>
      </w:r>
    </w:p>
    <w:p>
      <w:pPr>
        <w:pStyle w:val="28"/>
        <w:keepLines w:val="0"/>
        <w:kinsoku/>
        <w:wordWrap/>
        <w:overflowPunct/>
        <w:bidi w:val="0"/>
        <w:spacing w:line="360" w:lineRule="auto"/>
        <w:ind w:firstLine="56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2.7“节能产品”或者“环保产品”是指财政部发布</w:t>
      </w:r>
      <w:r>
        <w:rPr>
          <w:rFonts w:hint="eastAsia" w:ascii="宋体" w:hAnsi="宋体" w:eastAsia="宋体" w:cs="宋体"/>
          <w:i w:val="0"/>
          <w:iCs w:val="0"/>
          <w:color w:val="auto"/>
          <w:sz w:val="24"/>
          <w:szCs w:val="24"/>
          <w:highlight w:val="none"/>
          <w:lang w:eastAsia="zh-CN"/>
        </w:rPr>
        <w:t>最新一期</w:t>
      </w:r>
      <w:r>
        <w:rPr>
          <w:rFonts w:hint="eastAsia" w:ascii="宋体" w:hAnsi="宋体" w:eastAsia="宋体" w:cs="宋体"/>
          <w:i w:val="0"/>
          <w:iCs w:val="0"/>
          <w:color w:val="auto"/>
          <w:sz w:val="24"/>
          <w:szCs w:val="24"/>
          <w:highlight w:val="none"/>
        </w:rPr>
        <w:t>的《节能产品政府采购清单》或者《环境标志产品政府采购清单》的产品</w:t>
      </w:r>
      <w:r>
        <w:rPr>
          <w:rFonts w:hint="eastAsia" w:ascii="宋体" w:hAnsi="宋体" w:eastAsia="宋体" w:cs="宋体"/>
          <w:i w:val="0"/>
          <w:iCs w:val="0"/>
          <w:color w:val="auto"/>
          <w:sz w:val="24"/>
          <w:szCs w:val="24"/>
          <w:highlight w:val="none"/>
          <w:lang w:eastAsia="zh-CN"/>
        </w:rPr>
        <w:t>，可在中国政府采购网(www.ccgp.gov.cn)查询</w:t>
      </w:r>
      <w:r>
        <w:rPr>
          <w:rFonts w:hint="eastAsia" w:ascii="宋体" w:hAnsi="宋体" w:eastAsia="宋体" w:cs="宋体"/>
          <w:i w:val="0"/>
          <w:iCs w:val="0"/>
          <w:color w:val="auto"/>
          <w:sz w:val="24"/>
          <w:szCs w:val="24"/>
          <w:highlight w:val="none"/>
        </w:rPr>
        <w:t>。</w:t>
      </w:r>
    </w:p>
    <w:p>
      <w:pPr>
        <w:pStyle w:val="28"/>
        <w:keepLines w:val="0"/>
        <w:kinsoku/>
        <w:wordWrap/>
        <w:overflowPunct/>
        <w:bidi w:val="0"/>
        <w:spacing w:line="360" w:lineRule="auto"/>
        <w:ind w:firstLine="56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2.8“进口产品”是指通过中国海关报关验放进入中国境内且产自关境外的产品，详见《关于政府采购进口产品管理有关问题的通知》(财库[2007]119号)</w:t>
      </w:r>
      <w:r>
        <w:rPr>
          <w:rFonts w:hint="eastAsia" w:ascii="宋体" w:hAnsi="宋体" w:eastAsia="宋体" w:cs="宋体"/>
          <w:i w:val="0"/>
          <w:iCs w:val="0"/>
          <w:color w:val="auto"/>
          <w:sz w:val="24"/>
          <w:szCs w:val="24"/>
          <w:highlight w:val="none"/>
          <w:lang w:eastAsia="zh-CN"/>
        </w:rPr>
        <w:t>及《关于政府采购进口产品管理有关问题的通知》（财办库（2008）248号）</w:t>
      </w:r>
      <w:r>
        <w:rPr>
          <w:rFonts w:hint="eastAsia" w:ascii="宋体" w:hAnsi="宋体" w:eastAsia="宋体" w:cs="宋体"/>
          <w:i w:val="0"/>
          <w:iCs w:val="0"/>
          <w:color w:val="auto"/>
          <w:sz w:val="24"/>
          <w:szCs w:val="24"/>
          <w:highlight w:val="none"/>
        </w:rPr>
        <w:t>。</w:t>
      </w:r>
    </w:p>
    <w:p>
      <w:pPr>
        <w:pStyle w:val="28"/>
        <w:keepLines w:val="0"/>
        <w:kinsoku/>
        <w:wordWrap/>
        <w:overflowPunct/>
        <w:bidi w:val="0"/>
        <w:spacing w:line="360" w:lineRule="auto"/>
        <w:ind w:firstLine="56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 “</w:t>
      </w:r>
      <w:r>
        <w:rPr>
          <w:rFonts w:hint="eastAsia" w:ascii="宋体" w:hAnsi="宋体" w:eastAsia="宋体" w:cs="宋体"/>
          <w:i w:val="0"/>
          <w:iCs w:val="0"/>
          <w:color w:val="auto"/>
          <w:sz w:val="24"/>
          <w:szCs w:val="24"/>
          <w:highlight w:val="none"/>
        </w:rPr>
        <w:t>语言文字</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招标</w:t>
      </w:r>
      <w:r>
        <w:rPr>
          <w:rFonts w:hint="eastAsia" w:ascii="宋体" w:hAnsi="宋体" w:eastAsia="宋体" w:cs="宋体"/>
          <w:i w:val="0"/>
          <w:iCs w:val="0"/>
          <w:color w:val="auto"/>
          <w:sz w:val="24"/>
          <w:szCs w:val="24"/>
          <w:highlight w:val="none"/>
          <w:lang w:eastAsia="zh-CN"/>
        </w:rPr>
        <w:t>响应文件</w:t>
      </w:r>
      <w:r>
        <w:rPr>
          <w:rFonts w:hint="eastAsia" w:ascii="宋体" w:hAnsi="宋体" w:eastAsia="宋体" w:cs="宋体"/>
          <w:i w:val="0"/>
          <w:iCs w:val="0"/>
          <w:color w:val="auto"/>
          <w:sz w:val="24"/>
          <w:szCs w:val="24"/>
          <w:highlight w:val="none"/>
        </w:rPr>
        <w:t>使用的语言文字为中文。专用术语使用外文的，应附有中文注释。</w:t>
      </w:r>
    </w:p>
    <w:p>
      <w:pPr>
        <w:pStyle w:val="28"/>
        <w:spacing w:line="360" w:lineRule="auto"/>
        <w:ind w:firstLine="567"/>
        <w:rPr>
          <w:rFonts w:hint="eastAsia" w:ascii="宋体" w:hAnsi="宋体" w:cs="宋体"/>
          <w:i w:val="0"/>
          <w:iCs w:val="0"/>
          <w:color w:val="auto"/>
          <w:szCs w:val="24"/>
        </w:rPr>
      </w:pPr>
      <w:r>
        <w:rPr>
          <w:rFonts w:hint="eastAsia" w:ascii="宋体" w:hAnsi="宋体" w:cs="宋体"/>
          <w:i w:val="0"/>
          <w:iCs w:val="0"/>
          <w:color w:val="auto"/>
          <w:szCs w:val="24"/>
        </w:rPr>
        <w:t>2.</w:t>
      </w:r>
      <w:r>
        <w:rPr>
          <w:rFonts w:hint="eastAsia" w:ascii="宋体" w:hAnsi="宋体" w:cs="宋体"/>
          <w:i w:val="0"/>
          <w:iCs w:val="0"/>
          <w:color w:val="auto"/>
          <w:szCs w:val="24"/>
          <w:lang w:val="en-US" w:eastAsia="zh-CN"/>
        </w:rPr>
        <w:t>10</w:t>
      </w:r>
      <w:r>
        <w:rPr>
          <w:rFonts w:hint="eastAsia" w:ascii="宋体" w:hAnsi="宋体" w:cs="宋体"/>
          <w:i w:val="0"/>
          <w:iCs w:val="0"/>
          <w:color w:val="auto"/>
          <w:szCs w:val="24"/>
        </w:rPr>
        <w:t>“计量单位”所有计量均采用中华人民共和国法定计量单位。</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其他要求</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 投标费用</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投标人应自行承担所有与本次招标投标有关的费用，而不论投标的结果如何。 </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 采购进口产品</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3.2.1 除</w:t>
      </w:r>
      <w:r>
        <w:rPr>
          <w:rFonts w:hint="eastAsia" w:ascii="宋体" w:hAnsi="宋体" w:eastAsia="宋体" w:cs="宋体"/>
          <w:i w:val="0"/>
          <w:iCs w:val="0"/>
          <w:color w:val="auto"/>
          <w:sz w:val="24"/>
          <w:szCs w:val="24"/>
          <w:highlight w:val="none"/>
          <w:lang w:eastAsia="zh-CN"/>
        </w:rPr>
        <w:t>投标人须知</w:t>
      </w:r>
      <w:r>
        <w:rPr>
          <w:rFonts w:hint="eastAsia" w:ascii="宋体" w:hAnsi="宋体" w:eastAsia="宋体" w:cs="宋体"/>
          <w:i w:val="0"/>
          <w:iCs w:val="0"/>
          <w:color w:val="auto"/>
          <w:sz w:val="24"/>
          <w:szCs w:val="24"/>
          <w:highlight w:val="none"/>
        </w:rPr>
        <w:t>前附表另有规定外，本项目拒绝进口产品参加招标采购活动。</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3.2.2 本章第4.1款规定同意购买进口产品的，本项目采购活动不限制满足</w:t>
      </w:r>
      <w:r>
        <w:rPr>
          <w:rFonts w:hint="eastAsia" w:ascii="宋体" w:hAnsi="宋体" w:eastAsia="宋体" w:cs="宋体"/>
          <w:i w:val="0"/>
          <w:iCs w:val="0"/>
          <w:color w:val="auto"/>
          <w:sz w:val="24"/>
          <w:szCs w:val="24"/>
          <w:highlight w:val="none"/>
          <w:lang w:eastAsia="zh-CN"/>
        </w:rPr>
        <w:t>竞争性磋商文件</w:t>
      </w:r>
      <w:r>
        <w:rPr>
          <w:rFonts w:hint="eastAsia" w:ascii="宋体" w:hAnsi="宋体" w:eastAsia="宋体" w:cs="宋体"/>
          <w:i w:val="0"/>
          <w:iCs w:val="0"/>
          <w:color w:val="auto"/>
          <w:sz w:val="24"/>
          <w:szCs w:val="24"/>
          <w:highlight w:val="none"/>
        </w:rPr>
        <w:t>要求的国内产品参与招标。</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3.3 政府采购政策支持 </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ascii="宋体" w:hAnsi="宋体" w:eastAsia="宋体" w:cs="宋体"/>
          <w:i w:val="0"/>
          <w:iCs w:val="0"/>
          <w:color w:val="auto"/>
          <w:sz w:val="24"/>
          <w:szCs w:val="24"/>
          <w:highlight w:val="none"/>
          <w:lang w:eastAsia="zh-CN"/>
        </w:rPr>
        <w:t>投标人须知</w:t>
      </w:r>
      <w:r>
        <w:rPr>
          <w:rFonts w:hint="eastAsia" w:ascii="宋体" w:hAnsi="宋体" w:eastAsia="宋体" w:cs="宋体"/>
          <w:i w:val="0"/>
          <w:iCs w:val="0"/>
          <w:color w:val="auto"/>
          <w:sz w:val="24"/>
          <w:szCs w:val="24"/>
          <w:highlight w:val="none"/>
        </w:rPr>
        <w:t>前附表。</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3.3.2 同一项目中部分产品属于优先采购政策的，评审时只对该部分产品的报价实行价格优惠。</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3.3.3 为推进政府采购诚信体系建设，供应商在签署相关承诺，提供相关信息前，应认真阅读财政部门相关政策规定。</w:t>
      </w:r>
    </w:p>
    <w:p>
      <w:pPr>
        <w:pStyle w:val="27"/>
        <w:jc w:val="center"/>
        <w:rPr>
          <w:rFonts w:hint="eastAsia"/>
          <w:b/>
          <w:bCs/>
          <w:i w:val="0"/>
          <w:iCs w:val="0"/>
          <w:color w:val="auto"/>
          <w:highlight w:val="none"/>
          <w:lang w:eastAsia="zh-CN"/>
        </w:rPr>
      </w:pPr>
      <w:r>
        <w:rPr>
          <w:rFonts w:hint="eastAsia"/>
          <w:b/>
          <w:bCs/>
          <w:i w:val="0"/>
          <w:iCs w:val="0"/>
          <w:color w:val="auto"/>
          <w:highlight w:val="none"/>
          <w:lang w:eastAsia="zh-CN"/>
        </w:rPr>
        <w:t>二、竞争性磋商文件</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 xml:space="preserve">4. </w:t>
      </w:r>
      <w:r>
        <w:rPr>
          <w:rFonts w:hint="eastAsia" w:ascii="宋体" w:hAnsi="宋体" w:eastAsia="宋体" w:cs="宋体"/>
          <w:i w:val="0"/>
          <w:iCs w:val="0"/>
          <w:color w:val="auto"/>
          <w:sz w:val="24"/>
          <w:szCs w:val="24"/>
          <w:highlight w:val="none"/>
          <w:lang w:eastAsia="zh-CN"/>
        </w:rPr>
        <w:t>竞争性磋商文件</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4.1 </w:t>
      </w:r>
      <w:r>
        <w:rPr>
          <w:rFonts w:hint="eastAsia" w:ascii="宋体" w:hAnsi="宋体" w:eastAsia="宋体" w:cs="宋体"/>
          <w:i w:val="0"/>
          <w:iCs w:val="0"/>
          <w:color w:val="auto"/>
          <w:sz w:val="24"/>
          <w:szCs w:val="24"/>
          <w:highlight w:val="none"/>
          <w:lang w:eastAsia="zh-CN"/>
        </w:rPr>
        <w:t>竞争性磋商文件</w:t>
      </w:r>
      <w:r>
        <w:rPr>
          <w:rFonts w:hint="eastAsia" w:ascii="宋体" w:hAnsi="宋体" w:eastAsia="宋体" w:cs="宋体"/>
          <w:i w:val="0"/>
          <w:iCs w:val="0"/>
          <w:color w:val="auto"/>
          <w:sz w:val="24"/>
          <w:szCs w:val="24"/>
          <w:highlight w:val="none"/>
        </w:rPr>
        <w:t>用以阐明所需服务、招标投标程序和合同条款。包括：</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4.1.1</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eastAsia="zh-CN"/>
        </w:rPr>
        <w:t>公告</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z w:val="24"/>
          <w:szCs w:val="24"/>
          <w:highlight w:val="none"/>
        </w:rPr>
        <w:t xml:space="preserve">4.1.2 </w:t>
      </w:r>
      <w:r>
        <w:rPr>
          <w:rFonts w:hint="eastAsia" w:ascii="宋体" w:hAnsi="宋体" w:eastAsia="宋体" w:cs="宋体"/>
          <w:i w:val="0"/>
          <w:iCs w:val="0"/>
          <w:color w:val="auto"/>
          <w:sz w:val="24"/>
          <w:szCs w:val="24"/>
          <w:highlight w:val="none"/>
          <w:lang w:eastAsia="zh-CN"/>
        </w:rPr>
        <w:t>投标人须知</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4.1.3</w:t>
      </w:r>
      <w:r>
        <w:rPr>
          <w:rFonts w:hint="eastAsia" w:ascii="宋体" w:hAnsi="宋体" w:eastAsia="宋体" w:cs="宋体"/>
          <w:b w:val="0"/>
          <w:bCs w:val="0"/>
          <w:i w:val="0"/>
          <w:iCs w:val="0"/>
          <w:color w:val="auto"/>
          <w:sz w:val="24"/>
          <w:szCs w:val="24"/>
          <w:highlight w:val="none"/>
          <w:lang w:val="en-US" w:eastAsia="zh-CN"/>
        </w:rPr>
        <w:t xml:space="preserve"> </w:t>
      </w:r>
      <w:r>
        <w:rPr>
          <w:rFonts w:hint="eastAsia" w:ascii="宋体" w:hAnsi="宋体" w:eastAsia="宋体" w:cs="宋体"/>
          <w:b w:val="0"/>
          <w:bCs w:val="0"/>
          <w:i w:val="0"/>
          <w:iCs w:val="0"/>
          <w:color w:val="auto"/>
          <w:sz w:val="24"/>
          <w:szCs w:val="24"/>
          <w:highlight w:val="none"/>
        </w:rPr>
        <w:t>合同</w:t>
      </w:r>
      <w:r>
        <w:rPr>
          <w:rFonts w:hint="eastAsia" w:ascii="宋体" w:hAnsi="宋体" w:eastAsia="宋体" w:cs="宋体"/>
          <w:b w:val="0"/>
          <w:bCs w:val="0"/>
          <w:i w:val="0"/>
          <w:iCs w:val="0"/>
          <w:color w:val="auto"/>
          <w:sz w:val="24"/>
          <w:szCs w:val="24"/>
          <w:highlight w:val="none"/>
          <w:lang w:eastAsia="zh-CN"/>
        </w:rPr>
        <w:t>条款及格式</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 xml:space="preserve">4.1.4 </w:t>
      </w:r>
      <w:r>
        <w:rPr>
          <w:rFonts w:hint="eastAsia" w:ascii="宋体" w:hAnsi="宋体" w:eastAsia="宋体" w:cs="宋体"/>
          <w:b w:val="0"/>
          <w:bCs w:val="0"/>
          <w:i w:val="0"/>
          <w:iCs w:val="0"/>
          <w:color w:val="auto"/>
          <w:sz w:val="24"/>
          <w:szCs w:val="24"/>
          <w:highlight w:val="none"/>
          <w:lang w:eastAsia="zh-CN"/>
        </w:rPr>
        <w:t>采购需求</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4.1.5 响应文件格式</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4.1.6 其他资料</w:t>
      </w:r>
    </w:p>
    <w:p>
      <w:pPr>
        <w:pStyle w:val="28"/>
        <w:keepLines w:val="0"/>
        <w:numPr>
          <w:ilvl w:val="0"/>
          <w:numId w:val="0"/>
        </w:numPr>
        <w:kinsoku/>
        <w:wordWrap/>
        <w:overflowPunct/>
        <w:bidi w:val="0"/>
        <w:spacing w:line="360" w:lineRule="auto"/>
        <w:ind w:firstLine="482"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4.2 投标人应认真阅读</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中所有的事项、格式、条款和规范等要求。如果没有按照</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要求提交全部资料或者</w:t>
      </w:r>
      <w:r>
        <w:rPr>
          <w:rFonts w:hint="eastAsia" w:ascii="宋体" w:hAnsi="宋体" w:eastAsia="宋体" w:cs="宋体"/>
          <w:b w:val="0"/>
          <w:bCs w:val="0"/>
          <w:i w:val="0"/>
          <w:iCs w:val="0"/>
          <w:color w:val="auto"/>
          <w:sz w:val="24"/>
          <w:szCs w:val="24"/>
          <w:highlight w:val="none"/>
          <w:lang w:eastAsia="zh-CN"/>
        </w:rPr>
        <w:t>响应文件</w:t>
      </w:r>
      <w:r>
        <w:rPr>
          <w:rFonts w:hint="eastAsia" w:ascii="宋体" w:hAnsi="宋体" w:eastAsia="宋体" w:cs="宋体"/>
          <w:b w:val="0"/>
          <w:bCs w:val="0"/>
          <w:i w:val="0"/>
          <w:iCs w:val="0"/>
          <w:color w:val="auto"/>
          <w:sz w:val="24"/>
          <w:szCs w:val="24"/>
          <w:highlight w:val="none"/>
        </w:rPr>
        <w:t>没有对</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做出实质性响应，其投标将被拒绝。</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 xml:space="preserve">5. </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的澄清和修改</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5.1 招标人如需对已发出的</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进行必要澄清或者修改的，招标代理机构将在</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要求提交</w:t>
      </w:r>
      <w:r>
        <w:rPr>
          <w:rFonts w:hint="eastAsia" w:ascii="宋体" w:hAnsi="宋体" w:eastAsia="宋体" w:cs="宋体"/>
          <w:b w:val="0"/>
          <w:bCs w:val="0"/>
          <w:i w:val="0"/>
          <w:iCs w:val="0"/>
          <w:color w:val="auto"/>
          <w:sz w:val="24"/>
          <w:szCs w:val="24"/>
          <w:highlight w:val="none"/>
          <w:lang w:eastAsia="zh-CN"/>
        </w:rPr>
        <w:t>响应文件</w:t>
      </w:r>
      <w:r>
        <w:rPr>
          <w:rFonts w:hint="eastAsia" w:ascii="宋体" w:hAnsi="宋体" w:eastAsia="宋体" w:cs="宋体"/>
          <w:b w:val="0"/>
          <w:bCs w:val="0"/>
          <w:i w:val="0"/>
          <w:iCs w:val="0"/>
          <w:color w:val="auto"/>
          <w:sz w:val="24"/>
          <w:szCs w:val="24"/>
          <w:highlight w:val="none"/>
        </w:rPr>
        <w:t>截止时间</w:t>
      </w:r>
      <w:r>
        <w:rPr>
          <w:rFonts w:hint="eastAsia" w:ascii="宋体" w:hAnsi="宋体" w:eastAsia="宋体" w:cs="宋体"/>
          <w:b w:val="0"/>
          <w:bCs w:val="0"/>
          <w:i w:val="0"/>
          <w:iCs w:val="0"/>
          <w:color w:val="auto"/>
          <w:sz w:val="24"/>
          <w:szCs w:val="24"/>
          <w:highlight w:val="none"/>
          <w:lang w:val="en-US" w:eastAsia="zh-CN"/>
        </w:rPr>
        <w:t>15</w:t>
      </w:r>
      <w:r>
        <w:rPr>
          <w:rFonts w:hint="eastAsia" w:ascii="宋体" w:hAnsi="宋体" w:eastAsia="宋体" w:cs="宋体"/>
          <w:b w:val="0"/>
          <w:bCs w:val="0"/>
          <w:i w:val="0"/>
          <w:iCs w:val="0"/>
          <w:color w:val="auto"/>
          <w:sz w:val="24"/>
          <w:szCs w:val="24"/>
          <w:highlight w:val="none"/>
        </w:rPr>
        <w:t>日前，以书面形式通知所有</w:t>
      </w:r>
      <w:r>
        <w:rPr>
          <w:rFonts w:hint="eastAsia" w:ascii="宋体" w:hAnsi="宋体" w:eastAsia="宋体" w:cs="宋体"/>
          <w:b w:val="0"/>
          <w:bCs w:val="0"/>
          <w:i w:val="0"/>
          <w:iCs w:val="0"/>
          <w:color w:val="auto"/>
          <w:sz w:val="24"/>
          <w:szCs w:val="24"/>
          <w:highlight w:val="none"/>
          <w:lang w:eastAsia="zh-CN"/>
        </w:rPr>
        <w:t>获取竞争性磋商文件的投标人</w:t>
      </w:r>
      <w:r>
        <w:rPr>
          <w:rFonts w:hint="eastAsia" w:ascii="宋体" w:hAnsi="宋体" w:eastAsia="宋体" w:cs="宋体"/>
          <w:b w:val="0"/>
          <w:bCs w:val="0"/>
          <w:i w:val="0"/>
          <w:iCs w:val="0"/>
          <w:color w:val="auto"/>
          <w:sz w:val="24"/>
          <w:szCs w:val="24"/>
          <w:highlight w:val="none"/>
        </w:rPr>
        <w:t>。该澄清或者修改的内容为</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的组成部分。</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 延长开标时间</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招标人视采购具体情况如需延长投标截止时间和开标时间，招标代理机构将在</w:t>
      </w:r>
      <w:r>
        <w:rPr>
          <w:rFonts w:hint="eastAsia" w:ascii="宋体" w:hAnsi="宋体" w:eastAsia="宋体" w:cs="宋体"/>
          <w:i w:val="0"/>
          <w:iCs w:val="0"/>
          <w:color w:val="auto"/>
          <w:sz w:val="24"/>
          <w:szCs w:val="24"/>
          <w:highlight w:val="none"/>
          <w:lang w:eastAsia="zh-CN"/>
        </w:rPr>
        <w:t>竞争性磋商文件</w:t>
      </w:r>
      <w:r>
        <w:rPr>
          <w:rFonts w:hint="eastAsia" w:ascii="宋体" w:hAnsi="宋体" w:eastAsia="宋体" w:cs="宋体"/>
          <w:i w:val="0"/>
          <w:iCs w:val="0"/>
          <w:color w:val="auto"/>
          <w:sz w:val="24"/>
          <w:szCs w:val="24"/>
          <w:highlight w:val="none"/>
        </w:rPr>
        <w:t>要求提交</w:t>
      </w:r>
      <w:r>
        <w:rPr>
          <w:rFonts w:hint="eastAsia" w:ascii="宋体" w:hAnsi="宋体" w:eastAsia="宋体" w:cs="宋体"/>
          <w:i w:val="0"/>
          <w:iCs w:val="0"/>
          <w:color w:val="auto"/>
          <w:sz w:val="24"/>
          <w:szCs w:val="24"/>
          <w:highlight w:val="none"/>
          <w:lang w:eastAsia="zh-CN"/>
        </w:rPr>
        <w:t>响应文件</w:t>
      </w:r>
      <w:r>
        <w:rPr>
          <w:rFonts w:hint="eastAsia" w:ascii="宋体" w:hAnsi="宋体" w:eastAsia="宋体" w:cs="宋体"/>
          <w:i w:val="0"/>
          <w:iCs w:val="0"/>
          <w:color w:val="auto"/>
          <w:sz w:val="24"/>
          <w:szCs w:val="24"/>
          <w:highlight w:val="none"/>
        </w:rPr>
        <w:t>的截止时间</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日前，将变更时间书面通知所有</w:t>
      </w:r>
      <w:r>
        <w:rPr>
          <w:rFonts w:hint="eastAsia" w:ascii="宋体" w:hAnsi="宋体" w:eastAsia="宋体" w:cs="宋体"/>
          <w:i w:val="0"/>
          <w:iCs w:val="0"/>
          <w:color w:val="auto"/>
          <w:sz w:val="24"/>
          <w:szCs w:val="24"/>
          <w:highlight w:val="none"/>
          <w:lang w:eastAsia="zh-CN"/>
        </w:rPr>
        <w:t>获取竞争性磋商文件的投标人</w:t>
      </w:r>
      <w:r>
        <w:rPr>
          <w:rFonts w:hint="eastAsia" w:ascii="宋体" w:hAnsi="宋体" w:eastAsia="宋体" w:cs="宋体"/>
          <w:i w:val="0"/>
          <w:iCs w:val="0"/>
          <w:color w:val="auto"/>
          <w:sz w:val="24"/>
          <w:szCs w:val="24"/>
          <w:highlight w:val="none"/>
        </w:rPr>
        <w:t>。</w:t>
      </w:r>
    </w:p>
    <w:p>
      <w:pPr>
        <w:pStyle w:val="27"/>
        <w:jc w:val="center"/>
        <w:rPr>
          <w:rFonts w:hint="eastAsia"/>
          <w:b/>
          <w:bCs/>
          <w:i w:val="0"/>
          <w:iCs w:val="0"/>
          <w:color w:val="auto"/>
          <w:highlight w:val="none"/>
          <w:lang w:eastAsia="zh-CN"/>
        </w:rPr>
      </w:pPr>
      <w:r>
        <w:rPr>
          <w:rFonts w:hint="eastAsia"/>
          <w:b/>
          <w:bCs/>
          <w:i w:val="0"/>
          <w:iCs w:val="0"/>
          <w:color w:val="auto"/>
          <w:highlight w:val="none"/>
          <w:lang w:eastAsia="zh-CN"/>
        </w:rPr>
        <w:t>三、响应文件的编制</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 xml:space="preserve">7. </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的编写</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7.1 投标人应仔细阅读</w:t>
      </w:r>
      <w:r>
        <w:rPr>
          <w:rFonts w:hint="eastAsia" w:ascii="宋体" w:hAnsi="宋体" w:cs="宋体"/>
          <w:i w:val="0"/>
          <w:iCs w:val="0"/>
          <w:color w:val="auto"/>
          <w:szCs w:val="24"/>
          <w:lang w:eastAsia="zh-CN"/>
        </w:rPr>
        <w:t>竞争性磋商文件</w:t>
      </w:r>
      <w:r>
        <w:rPr>
          <w:rFonts w:hint="eastAsia" w:ascii="宋体" w:hAnsi="宋体" w:cs="宋体"/>
          <w:i w:val="0"/>
          <w:iCs w:val="0"/>
          <w:color w:val="auto"/>
          <w:szCs w:val="24"/>
        </w:rPr>
        <w:t>,了解</w:t>
      </w:r>
      <w:r>
        <w:rPr>
          <w:rFonts w:hint="eastAsia" w:ascii="宋体" w:hAnsi="宋体" w:cs="宋体"/>
          <w:i w:val="0"/>
          <w:iCs w:val="0"/>
          <w:color w:val="auto"/>
          <w:szCs w:val="24"/>
          <w:lang w:eastAsia="zh-CN"/>
        </w:rPr>
        <w:t>竞争性磋商文件</w:t>
      </w:r>
      <w:r>
        <w:rPr>
          <w:rFonts w:hint="eastAsia" w:ascii="宋体" w:hAnsi="宋体" w:cs="宋体"/>
          <w:i w:val="0"/>
          <w:iCs w:val="0"/>
          <w:color w:val="auto"/>
          <w:szCs w:val="24"/>
        </w:rPr>
        <w:t>的要求，并在充分理解</w:t>
      </w:r>
      <w:r>
        <w:rPr>
          <w:rFonts w:hint="eastAsia" w:ascii="宋体" w:hAnsi="宋体" w:cs="宋体"/>
          <w:i w:val="0"/>
          <w:iCs w:val="0"/>
          <w:color w:val="auto"/>
          <w:szCs w:val="24"/>
          <w:lang w:eastAsia="zh-CN"/>
        </w:rPr>
        <w:t>竞争性磋商文件</w:t>
      </w:r>
      <w:r>
        <w:rPr>
          <w:rFonts w:hint="eastAsia" w:ascii="宋体" w:hAnsi="宋体" w:cs="宋体"/>
          <w:i w:val="0"/>
          <w:iCs w:val="0"/>
          <w:color w:val="auto"/>
          <w:szCs w:val="24"/>
        </w:rPr>
        <w:t>提出的货物技术规范、服务和商务条款后的基础上制作</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8. 投标的语言及计量单位</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8.1 投标人的</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以及投标人与采购代理机构就有关招标活动的所有来往函电均应使用中文。如果</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或与投标有关的其它文件、信件及来往函电以其它语言书写的，投标人应将其译成中文。</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 xml:space="preserve">8.2 </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中所使用的计量单位除</w:t>
      </w:r>
      <w:r>
        <w:rPr>
          <w:rFonts w:hint="eastAsia" w:ascii="宋体" w:hAnsi="宋体" w:cs="宋体"/>
          <w:i w:val="0"/>
          <w:iCs w:val="0"/>
          <w:color w:val="auto"/>
          <w:szCs w:val="24"/>
          <w:lang w:eastAsia="zh-CN"/>
        </w:rPr>
        <w:t>竞争性磋商文件</w:t>
      </w:r>
      <w:r>
        <w:rPr>
          <w:rFonts w:hint="eastAsia" w:ascii="宋体" w:hAnsi="宋体" w:cs="宋体"/>
          <w:i w:val="0"/>
          <w:iCs w:val="0"/>
          <w:color w:val="auto"/>
          <w:szCs w:val="24"/>
        </w:rPr>
        <w:t>中有特殊规定外，一律使用法定计量单位。</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 xml:space="preserve">9. </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构成</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9.1  投标人编写的</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应包含以下内容:</w:t>
      </w:r>
    </w:p>
    <w:p>
      <w:pPr>
        <w:pStyle w:val="28"/>
        <w:spacing w:line="360" w:lineRule="auto"/>
        <w:ind w:firstLine="567"/>
        <w:jc w:val="both"/>
        <w:outlineLvl w:val="2"/>
        <w:rPr>
          <w:rFonts w:hint="eastAsia" w:ascii="宋体" w:hAnsi="宋体" w:cs="宋体"/>
          <w:i w:val="0"/>
          <w:iCs w:val="0"/>
          <w:color w:val="auto"/>
          <w:szCs w:val="24"/>
        </w:rPr>
      </w:pPr>
      <w:r>
        <w:rPr>
          <w:rFonts w:hint="eastAsia" w:ascii="宋体" w:hAnsi="宋体" w:cs="宋体"/>
          <w:i w:val="0"/>
          <w:iCs w:val="0"/>
          <w:color w:val="auto"/>
          <w:szCs w:val="24"/>
        </w:rPr>
        <w:t>9.1.1 资格、资信证明文件(以下文件必须在有效期内)</w:t>
      </w:r>
    </w:p>
    <w:p>
      <w:pPr>
        <w:pStyle w:val="28"/>
        <w:spacing w:line="360" w:lineRule="auto"/>
        <w:ind w:firstLine="471" w:firstLineChars="196"/>
        <w:jc w:val="both"/>
        <w:rPr>
          <w:rFonts w:hint="eastAsia" w:ascii="宋体" w:hAnsi="宋体" w:eastAsia="宋体" w:cs="宋体"/>
          <w:i w:val="0"/>
          <w:iCs w:val="0"/>
          <w:color w:val="auto"/>
          <w:szCs w:val="24"/>
          <w:lang w:eastAsia="zh-CN"/>
        </w:rPr>
      </w:pPr>
      <w:r>
        <w:rPr>
          <w:rFonts w:hint="eastAsia" w:ascii="宋体" w:hAnsi="宋体" w:cs="宋体"/>
          <w:i w:val="0"/>
          <w:iCs w:val="0"/>
          <w:color w:val="auto"/>
          <w:szCs w:val="24"/>
        </w:rPr>
        <w:t>(1) 企业营业执照</w:t>
      </w:r>
    </w:p>
    <w:p>
      <w:pPr>
        <w:pStyle w:val="28"/>
        <w:spacing w:line="360" w:lineRule="auto"/>
        <w:ind w:firstLine="482" w:firstLineChars="200"/>
        <w:jc w:val="both"/>
        <w:rPr>
          <w:rFonts w:hint="eastAsia" w:ascii="宋体" w:hAnsi="宋体" w:eastAsia="宋体" w:cs="宋体"/>
          <w:i w:val="0"/>
          <w:iCs w:val="0"/>
          <w:color w:val="auto"/>
          <w:szCs w:val="24"/>
          <w:lang w:eastAsia="zh-CN"/>
        </w:rPr>
      </w:pPr>
      <w:r>
        <w:rPr>
          <w:rFonts w:hint="eastAsia" w:ascii="宋体" w:hAnsi="宋体" w:cs="宋体"/>
          <w:i w:val="0"/>
          <w:iCs w:val="0"/>
          <w:color w:val="auto"/>
          <w:szCs w:val="24"/>
        </w:rPr>
        <w:t>(2) 法定代表人身份证明</w:t>
      </w:r>
      <w:r>
        <w:rPr>
          <w:rFonts w:hint="eastAsia" w:ascii="宋体" w:hAnsi="宋体" w:cs="宋体"/>
          <w:i w:val="0"/>
          <w:iCs w:val="0"/>
          <w:color w:val="auto"/>
          <w:szCs w:val="24"/>
          <w:lang w:eastAsia="zh-CN"/>
        </w:rPr>
        <w:t>、</w:t>
      </w:r>
      <w:r>
        <w:rPr>
          <w:rFonts w:hint="eastAsia" w:ascii="宋体" w:hAnsi="宋体" w:cs="宋体"/>
          <w:i w:val="0"/>
          <w:iCs w:val="0"/>
          <w:color w:val="auto"/>
          <w:szCs w:val="24"/>
        </w:rPr>
        <w:t>授权委托人身份证明及授权委托书</w:t>
      </w:r>
      <w:r>
        <w:rPr>
          <w:rFonts w:hint="eastAsia" w:ascii="宋体" w:hAnsi="宋体" w:cs="宋体"/>
          <w:i w:val="0"/>
          <w:iCs w:val="0"/>
          <w:color w:val="auto"/>
          <w:szCs w:val="24"/>
          <w:lang w:eastAsia="zh-CN"/>
        </w:rPr>
        <w:t>；</w:t>
      </w:r>
    </w:p>
    <w:p>
      <w:pPr>
        <w:pStyle w:val="28"/>
        <w:spacing w:line="360" w:lineRule="auto"/>
        <w:ind w:firstLine="482" w:firstLineChars="200"/>
        <w:jc w:val="both"/>
        <w:rPr>
          <w:rFonts w:hint="eastAsia" w:ascii="宋体" w:hAnsi="宋体" w:eastAsia="宋体" w:cs="宋体"/>
          <w:i w:val="0"/>
          <w:iCs w:val="0"/>
          <w:color w:val="auto"/>
          <w:szCs w:val="24"/>
          <w:lang w:eastAsia="zh-CN"/>
        </w:rPr>
      </w:pPr>
      <w:r>
        <w:rPr>
          <w:rFonts w:hint="eastAsia" w:ascii="宋体" w:hAnsi="宋体" w:cs="宋体"/>
          <w:i w:val="0"/>
          <w:iCs w:val="0"/>
          <w:color w:val="auto"/>
          <w:szCs w:val="24"/>
        </w:rPr>
        <w:t>(3) 投标保证金缴纳凭证</w:t>
      </w:r>
      <w:r>
        <w:rPr>
          <w:rFonts w:hint="eastAsia" w:ascii="宋体" w:hAnsi="宋体" w:cs="宋体"/>
          <w:i w:val="0"/>
          <w:iCs w:val="0"/>
          <w:color w:val="auto"/>
          <w:szCs w:val="24"/>
          <w:lang w:eastAsia="zh-CN"/>
        </w:rPr>
        <w:t>（本项目不做要求）；</w:t>
      </w:r>
    </w:p>
    <w:p>
      <w:pPr>
        <w:pStyle w:val="28"/>
        <w:spacing w:line="360" w:lineRule="auto"/>
        <w:ind w:firstLine="482" w:firstLineChars="200"/>
        <w:jc w:val="both"/>
        <w:rPr>
          <w:rFonts w:hint="eastAsia" w:ascii="宋体" w:hAnsi="宋体" w:eastAsia="宋体" w:cs="宋体"/>
          <w:i w:val="0"/>
          <w:iCs w:val="0"/>
          <w:color w:val="auto"/>
          <w:szCs w:val="24"/>
          <w:lang w:eastAsia="zh-CN"/>
        </w:rPr>
      </w:pPr>
      <w:r>
        <w:rPr>
          <w:rFonts w:hint="eastAsia" w:ascii="宋体" w:hAnsi="宋体" w:cs="宋体"/>
          <w:i w:val="0"/>
          <w:iCs w:val="0"/>
          <w:color w:val="auto"/>
          <w:szCs w:val="24"/>
        </w:rPr>
        <w:t xml:space="preserve">(4) </w:t>
      </w:r>
      <w:r>
        <w:rPr>
          <w:rFonts w:hint="eastAsia" w:ascii="宋体" w:hAnsi="宋体" w:cs="宋体"/>
          <w:i w:val="0"/>
          <w:iCs w:val="0"/>
          <w:color w:val="auto"/>
          <w:spacing w:val="-3"/>
          <w:szCs w:val="24"/>
        </w:rPr>
        <w:t>投标人认为有必要提供的声明及文件资料</w:t>
      </w:r>
      <w:r>
        <w:rPr>
          <w:rFonts w:hint="eastAsia" w:ascii="宋体" w:hAnsi="宋体" w:cs="宋体"/>
          <w:b w:val="0"/>
          <w:bCs/>
          <w:i w:val="0"/>
          <w:iCs w:val="0"/>
          <w:color w:val="auto"/>
          <w:spacing w:val="-3"/>
          <w:szCs w:val="24"/>
        </w:rPr>
        <w:t>（</w:t>
      </w:r>
      <w:r>
        <w:rPr>
          <w:rFonts w:hint="eastAsia" w:ascii="宋体" w:hAnsi="宋体" w:cs="宋体"/>
          <w:b w:val="0"/>
          <w:bCs/>
          <w:i w:val="0"/>
          <w:iCs w:val="0"/>
          <w:color w:val="auto"/>
          <w:spacing w:val="-3"/>
          <w:szCs w:val="24"/>
          <w:highlight w:val="none"/>
        </w:rPr>
        <w:t>包括但不限于近六个月</w:t>
      </w:r>
      <w:r>
        <w:rPr>
          <w:rFonts w:hint="eastAsia" w:ascii="宋体" w:hAnsi="宋体" w:cs="宋体"/>
          <w:b w:val="0"/>
          <w:bCs/>
          <w:i w:val="0"/>
          <w:iCs w:val="0"/>
          <w:color w:val="auto"/>
          <w:spacing w:val="-3"/>
          <w:szCs w:val="24"/>
          <w:highlight w:val="none"/>
          <w:lang w:eastAsia="zh-CN"/>
        </w:rPr>
        <w:t>（</w:t>
      </w:r>
      <w:r>
        <w:rPr>
          <w:rFonts w:hint="eastAsia" w:ascii="宋体" w:hAnsi="宋体" w:cs="宋体"/>
          <w:b w:val="0"/>
          <w:bCs/>
          <w:i w:val="0"/>
          <w:iCs w:val="0"/>
          <w:color w:val="auto"/>
          <w:spacing w:val="-3"/>
          <w:szCs w:val="24"/>
          <w:highlight w:val="none"/>
          <w:lang w:val="en-US" w:eastAsia="zh-CN"/>
        </w:rPr>
        <w:t>连续</w:t>
      </w:r>
      <w:r>
        <w:rPr>
          <w:rFonts w:hint="eastAsia" w:ascii="宋体" w:hAnsi="宋体" w:cs="宋体"/>
          <w:b w:val="0"/>
          <w:bCs/>
          <w:i w:val="0"/>
          <w:iCs w:val="0"/>
          <w:color w:val="auto"/>
          <w:spacing w:val="-3"/>
          <w:szCs w:val="24"/>
          <w:highlight w:val="none"/>
          <w:lang w:eastAsia="zh-CN"/>
        </w:rPr>
        <w:t>）</w:t>
      </w:r>
      <w:r>
        <w:rPr>
          <w:rFonts w:hint="eastAsia" w:ascii="宋体" w:hAnsi="宋体" w:cs="宋体"/>
          <w:b w:val="0"/>
          <w:bCs/>
          <w:i w:val="0"/>
          <w:iCs w:val="0"/>
          <w:color w:val="auto"/>
          <w:spacing w:val="-3"/>
          <w:szCs w:val="24"/>
          <w:highlight w:val="none"/>
        </w:rPr>
        <w:t>的社保证明（需有相关人员的社保缴纳明细，退休人员需提供退休证明）和</w:t>
      </w:r>
      <w:r>
        <w:rPr>
          <w:rFonts w:hint="eastAsia" w:ascii="宋体" w:hAnsi="宋体" w:eastAsia="宋体" w:cs="宋体"/>
          <w:i w:val="0"/>
          <w:iCs w:val="0"/>
          <w:color w:val="auto"/>
          <w:sz w:val="24"/>
          <w:highlight w:val="none"/>
          <w:lang w:eastAsia="zh-CN"/>
        </w:rPr>
        <w:t>具有</w:t>
      </w:r>
      <w:r>
        <w:rPr>
          <w:rFonts w:hint="eastAsia" w:ascii="宋体" w:hAnsi="宋体" w:eastAsia="宋体" w:cs="宋体"/>
          <w:i w:val="0"/>
          <w:iCs w:val="0"/>
          <w:color w:val="auto"/>
          <w:sz w:val="24"/>
          <w:highlight w:val="none"/>
          <w:lang w:val="en-US" w:eastAsia="zh-CN"/>
        </w:rPr>
        <w:t>近六个月（连续）</w:t>
      </w:r>
      <w:r>
        <w:rPr>
          <w:rFonts w:hint="eastAsia" w:ascii="宋体" w:hAnsi="宋体" w:cs="宋体"/>
          <w:i w:val="0"/>
          <w:iCs w:val="0"/>
          <w:color w:val="auto"/>
          <w:sz w:val="24"/>
          <w:highlight w:val="none"/>
          <w:lang w:val="en-US" w:eastAsia="zh-CN"/>
        </w:rPr>
        <w:t>的</w:t>
      </w:r>
      <w:r>
        <w:rPr>
          <w:rFonts w:hint="eastAsia" w:ascii="宋体" w:hAnsi="宋体" w:cs="宋体"/>
          <w:b w:val="0"/>
          <w:bCs/>
          <w:i w:val="0"/>
          <w:iCs w:val="0"/>
          <w:color w:val="auto"/>
          <w:spacing w:val="-3"/>
          <w:szCs w:val="24"/>
          <w:highlight w:val="none"/>
        </w:rPr>
        <w:t>完税证明、近三年的财务审计报告</w:t>
      </w:r>
      <w:r>
        <w:rPr>
          <w:rFonts w:hint="eastAsia" w:ascii="宋体" w:hAnsi="宋体" w:cs="宋体"/>
          <w:b w:val="0"/>
          <w:bCs/>
          <w:i w:val="0"/>
          <w:iCs w:val="0"/>
          <w:color w:val="auto"/>
          <w:spacing w:val="-3"/>
          <w:szCs w:val="24"/>
          <w:highlight w:val="none"/>
          <w:lang w:val="en-US" w:eastAsia="zh-CN"/>
        </w:rPr>
        <w:t>（企业成立不足三年的提供成立至今的财务审计报告，成立不足一年的提供成立至今的财务报表，包含资产负债表、现金流量表、利润表）</w:t>
      </w:r>
      <w:r>
        <w:rPr>
          <w:rFonts w:hint="eastAsia" w:ascii="宋体" w:hAnsi="宋体" w:cs="宋体"/>
          <w:b w:val="0"/>
          <w:bCs/>
          <w:i w:val="0"/>
          <w:iCs w:val="0"/>
          <w:color w:val="auto"/>
          <w:spacing w:val="-3"/>
          <w:szCs w:val="24"/>
          <w:highlight w:val="none"/>
          <w:lang w:eastAsia="zh-CN"/>
        </w:rPr>
        <w:t>等资料</w:t>
      </w:r>
      <w:r>
        <w:rPr>
          <w:rFonts w:hint="eastAsia" w:ascii="宋体" w:hAnsi="宋体" w:cs="宋体"/>
          <w:b w:val="0"/>
          <w:bCs/>
          <w:i w:val="0"/>
          <w:iCs w:val="0"/>
          <w:color w:val="auto"/>
          <w:spacing w:val="-3"/>
          <w:szCs w:val="24"/>
        </w:rPr>
        <w:t>）</w:t>
      </w:r>
      <w:r>
        <w:rPr>
          <w:rFonts w:hint="eastAsia" w:ascii="宋体" w:hAnsi="宋体" w:cs="宋体"/>
          <w:b w:val="0"/>
          <w:bCs/>
          <w:i w:val="0"/>
          <w:iCs w:val="0"/>
          <w:color w:val="auto"/>
          <w:spacing w:val="-3"/>
          <w:szCs w:val="24"/>
          <w:lang w:eastAsia="zh-CN"/>
        </w:rPr>
        <w:t>。</w:t>
      </w:r>
    </w:p>
    <w:p>
      <w:pPr>
        <w:pStyle w:val="28"/>
        <w:spacing w:line="360" w:lineRule="auto"/>
        <w:ind w:firstLine="567"/>
        <w:jc w:val="both"/>
        <w:outlineLvl w:val="2"/>
        <w:rPr>
          <w:rFonts w:hint="eastAsia" w:ascii="宋体" w:hAnsi="宋体" w:cs="宋体"/>
          <w:i w:val="0"/>
          <w:iCs w:val="0"/>
          <w:color w:val="auto"/>
          <w:szCs w:val="24"/>
        </w:rPr>
      </w:pPr>
      <w:r>
        <w:rPr>
          <w:rFonts w:hint="eastAsia" w:ascii="宋体" w:hAnsi="宋体" w:cs="宋体"/>
          <w:i w:val="0"/>
          <w:iCs w:val="0"/>
          <w:color w:val="auto"/>
          <w:szCs w:val="24"/>
        </w:rPr>
        <w:t>9.1.2 商务文件</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（1）投 标 函</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（2）法定代表人身份证明；</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（3）法定代表人授权委托书；</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（4）投标保证金（本项目不做要求）；</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（5）反商业贿赂承诺书；</w:t>
      </w:r>
    </w:p>
    <w:p>
      <w:pPr>
        <w:keepLines w:val="0"/>
        <w:pageBreakBefore w:val="0"/>
        <w:tabs>
          <w:tab w:val="left" w:pos="939"/>
        </w:tabs>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（6）投标人概况；</w:t>
      </w:r>
    </w:p>
    <w:p>
      <w:pPr>
        <w:keepLines w:val="0"/>
        <w:pageBreakBefore w:val="0"/>
        <w:tabs>
          <w:tab w:val="left" w:pos="720"/>
        </w:tabs>
        <w:kinsoku/>
        <w:wordWrap/>
        <w:overflowPunct/>
        <w:topLinePunct w:val="0"/>
        <w:autoSpaceDE w:val="0"/>
        <w:autoSpaceDN w:val="0"/>
        <w:bidi w:val="0"/>
        <w:adjustRightInd w:val="0"/>
        <w:spacing w:line="500" w:lineRule="exact"/>
        <w:ind w:firstLine="470" w:firstLineChars="200"/>
        <w:jc w:val="left"/>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（7）项目管理机构组成表；</w:t>
      </w:r>
    </w:p>
    <w:p>
      <w:pPr>
        <w:keepLines w:val="0"/>
        <w:pageBreakBefore w:val="0"/>
        <w:tabs>
          <w:tab w:val="left" w:pos="720"/>
        </w:tabs>
        <w:kinsoku/>
        <w:wordWrap/>
        <w:overflowPunct/>
        <w:topLinePunct w:val="0"/>
        <w:autoSpaceDE w:val="0"/>
        <w:autoSpaceDN w:val="0"/>
        <w:bidi w:val="0"/>
        <w:adjustRightInd w:val="0"/>
        <w:spacing w:line="500" w:lineRule="exact"/>
        <w:ind w:firstLine="470" w:firstLineChars="200"/>
        <w:jc w:val="left"/>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（8）拟项目负责人及主要人员简历表</w:t>
      </w:r>
    </w:p>
    <w:p>
      <w:pPr>
        <w:keepLines w:val="0"/>
        <w:pageBreakBefore w:val="0"/>
        <w:tabs>
          <w:tab w:val="left" w:pos="720"/>
        </w:tabs>
        <w:kinsoku/>
        <w:wordWrap/>
        <w:overflowPunct/>
        <w:topLinePunct w:val="0"/>
        <w:autoSpaceDE w:val="0"/>
        <w:autoSpaceDN w:val="0"/>
        <w:bidi w:val="0"/>
        <w:adjustRightInd w:val="0"/>
        <w:spacing w:line="500" w:lineRule="exact"/>
        <w:ind w:firstLine="470" w:firstLineChars="200"/>
        <w:jc w:val="left"/>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（9）近三年公司承接的类似项目一览表</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（10）正在进行的项目一览表。</w:t>
      </w:r>
    </w:p>
    <w:p>
      <w:pPr>
        <w:pStyle w:val="28"/>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（11）企业信誉良好，无违法违规不良记录。</w:t>
      </w:r>
    </w:p>
    <w:p>
      <w:pPr>
        <w:pStyle w:val="28"/>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（12）全过程</w:t>
      </w:r>
      <w:r>
        <w:rPr>
          <w:rFonts w:hint="eastAsia" w:ascii="宋体" w:hAnsi="宋体" w:cs="宋体"/>
          <w:i w:val="0"/>
          <w:iCs w:val="0"/>
          <w:color w:val="auto"/>
          <w:spacing w:val="-3"/>
          <w:kern w:val="0"/>
          <w:sz w:val="24"/>
          <w:szCs w:val="24"/>
          <w:lang w:val="en-US" w:eastAsia="zh-CN" w:bidi="ar-SA"/>
        </w:rPr>
        <w:t>管理</w:t>
      </w:r>
      <w:r>
        <w:rPr>
          <w:rFonts w:hint="eastAsia" w:ascii="宋体" w:hAnsi="宋体" w:eastAsia="宋体" w:cs="宋体"/>
          <w:i w:val="0"/>
          <w:iCs w:val="0"/>
          <w:color w:val="auto"/>
          <w:spacing w:val="-3"/>
          <w:kern w:val="0"/>
          <w:sz w:val="24"/>
          <w:szCs w:val="24"/>
          <w:lang w:val="en-US" w:eastAsia="zh-CN" w:bidi="ar-SA"/>
        </w:rPr>
        <w:t>实施方案</w:t>
      </w:r>
    </w:p>
    <w:p>
      <w:pPr>
        <w:pStyle w:val="28"/>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（13）服务承诺</w:t>
      </w:r>
    </w:p>
    <w:p>
      <w:pPr>
        <w:pStyle w:val="28"/>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（14）质量管理与保证措施</w:t>
      </w:r>
    </w:p>
    <w:p>
      <w:pPr>
        <w:pStyle w:val="28"/>
        <w:spacing w:line="360" w:lineRule="auto"/>
        <w:ind w:firstLine="567"/>
        <w:jc w:val="both"/>
        <w:outlineLvl w:val="2"/>
        <w:rPr>
          <w:rFonts w:hint="default"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（15）技术服务</w:t>
      </w:r>
    </w:p>
    <w:p>
      <w:pPr>
        <w:pStyle w:val="28"/>
        <w:spacing w:line="360" w:lineRule="auto"/>
        <w:ind w:firstLine="567"/>
        <w:jc w:val="both"/>
        <w:outlineLvl w:val="2"/>
        <w:rPr>
          <w:rFonts w:hint="eastAsia" w:ascii="宋体" w:hAnsi="宋体" w:cs="宋体"/>
          <w:i w:val="0"/>
          <w:iCs w:val="0"/>
          <w:color w:val="auto"/>
          <w:sz w:val="28"/>
          <w:szCs w:val="28"/>
          <w:highlight w:val="none"/>
        </w:rPr>
      </w:pPr>
      <w:r>
        <w:rPr>
          <w:rFonts w:hint="eastAsia" w:ascii="宋体" w:hAnsi="宋体" w:cs="宋体"/>
          <w:i w:val="0"/>
          <w:iCs w:val="0"/>
          <w:color w:val="auto"/>
          <w:szCs w:val="24"/>
        </w:rPr>
        <w:t xml:space="preserve">9.1.3 </w:t>
      </w:r>
      <w:r>
        <w:rPr>
          <w:rFonts w:hint="eastAsia" w:ascii="宋体" w:hAnsi="宋体" w:cs="宋体"/>
          <w:i w:val="0"/>
          <w:iCs w:val="0"/>
          <w:color w:val="auto"/>
          <w:szCs w:val="24"/>
          <w:lang w:val="en-US" w:eastAsia="zh-CN"/>
        </w:rPr>
        <w:t>证明文件</w:t>
      </w:r>
    </w:p>
    <w:p>
      <w:pPr>
        <w:keepLines w:val="0"/>
        <w:pageBreakBefore w:val="0"/>
        <w:kinsoku/>
        <w:wordWrap/>
        <w:overflowPunct/>
        <w:topLinePunct w:val="0"/>
        <w:bidi w:val="0"/>
        <w:spacing w:line="500" w:lineRule="exact"/>
        <w:ind w:firstLine="705" w:firstLineChars="3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1、经会计事务所出具的近三年的财务审计报告（企业成立不足三年的提供成立至今的财务审计报告，成立不足一年的提供成立至今的财务报表，包含资产负债表、现金流量表、利润表）等资料）;</w:t>
      </w:r>
    </w:p>
    <w:p>
      <w:pPr>
        <w:keepLines w:val="0"/>
        <w:pageBreakBefore w:val="0"/>
        <w:kinsoku/>
        <w:wordWrap/>
        <w:overflowPunct/>
        <w:topLinePunct w:val="0"/>
        <w:bidi w:val="0"/>
        <w:spacing w:line="500" w:lineRule="exact"/>
        <w:ind w:firstLine="705" w:firstLineChars="3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2、投标人须提供依法缴纳税收或完税证明。</w:t>
      </w:r>
    </w:p>
    <w:p>
      <w:pPr>
        <w:keepLines w:val="0"/>
        <w:pageBreakBefore w:val="0"/>
        <w:kinsoku/>
        <w:wordWrap/>
        <w:overflowPunct/>
        <w:topLinePunct w:val="0"/>
        <w:bidi w:val="0"/>
        <w:spacing w:line="500" w:lineRule="exact"/>
        <w:ind w:firstLine="705" w:firstLineChars="3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3、投标人须提供参加政府采购活动前3年内在经营活动中没有重大违法记录的书面声明。</w:t>
      </w:r>
    </w:p>
    <w:p>
      <w:pPr>
        <w:keepLines w:val="0"/>
        <w:pageBreakBefore w:val="0"/>
        <w:kinsoku/>
        <w:wordWrap/>
        <w:overflowPunct/>
        <w:topLinePunct w:val="0"/>
        <w:bidi w:val="0"/>
        <w:spacing w:line="500" w:lineRule="exact"/>
        <w:ind w:firstLine="705" w:firstLineChars="3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4.中小企业声明函</w:t>
      </w:r>
    </w:p>
    <w:p>
      <w:pPr>
        <w:keepLines w:val="0"/>
        <w:pageBreakBefore w:val="0"/>
        <w:kinsoku/>
        <w:wordWrap/>
        <w:overflowPunct/>
        <w:topLinePunct w:val="0"/>
        <w:bidi w:val="0"/>
        <w:spacing w:line="500" w:lineRule="exact"/>
        <w:ind w:firstLine="705" w:firstLineChars="300"/>
        <w:textAlignment w:val="auto"/>
        <w:rPr>
          <w:rFonts w:hint="eastAsia" w:ascii="宋体" w:hAnsi="宋体" w:cs="宋体"/>
          <w:i w:val="0"/>
          <w:iCs w:val="0"/>
          <w:color w:val="auto"/>
          <w:sz w:val="28"/>
          <w:szCs w:val="28"/>
          <w:highlight w:val="none"/>
        </w:rPr>
      </w:pPr>
      <w:r>
        <w:rPr>
          <w:rFonts w:hint="eastAsia" w:ascii="宋体" w:hAnsi="宋体" w:eastAsia="宋体" w:cs="宋体"/>
          <w:i w:val="0"/>
          <w:iCs w:val="0"/>
          <w:color w:val="auto"/>
          <w:spacing w:val="-3"/>
          <w:kern w:val="0"/>
          <w:sz w:val="24"/>
          <w:szCs w:val="24"/>
          <w:lang w:val="en-US" w:eastAsia="zh-CN" w:bidi="ar-SA"/>
        </w:rPr>
        <w:t>5.供应商认为需要提供的其他文件和资料。</w:t>
      </w:r>
    </w:p>
    <w:p>
      <w:pPr>
        <w:pStyle w:val="28"/>
        <w:spacing w:line="360" w:lineRule="auto"/>
        <w:ind w:firstLine="482" w:firstLineChars="200"/>
        <w:jc w:val="both"/>
        <w:outlineLvl w:val="2"/>
        <w:rPr>
          <w:rFonts w:hint="eastAsia" w:ascii="宋体" w:hAnsi="宋体" w:cs="宋体"/>
          <w:i w:val="0"/>
          <w:iCs w:val="0"/>
          <w:color w:val="auto"/>
          <w:szCs w:val="24"/>
        </w:rPr>
      </w:pPr>
      <w:r>
        <w:rPr>
          <w:rFonts w:hint="eastAsia" w:ascii="宋体" w:hAnsi="宋体" w:cs="宋体"/>
          <w:i w:val="0"/>
          <w:iCs w:val="0"/>
          <w:color w:val="auto"/>
          <w:szCs w:val="24"/>
        </w:rPr>
        <w:t>9.1.4 电子标书</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本项目实行电子招投标，供应商需要使用CA锁，在新疆政府采购网--下载专区下载--供应商客户端制作响应文件，并生成JMBS格式加密文件，在投标截止前上传至政府采购云平台。</w:t>
      </w:r>
    </w:p>
    <w:p>
      <w:pPr>
        <w:pStyle w:val="28"/>
        <w:spacing w:line="360" w:lineRule="auto"/>
        <w:ind w:firstLine="482" w:firstLineChars="200"/>
        <w:jc w:val="both"/>
        <w:rPr>
          <w:rFonts w:hint="eastAsia" w:ascii="宋体" w:hAnsi="宋体" w:cs="宋体"/>
          <w:i w:val="0"/>
          <w:iCs w:val="0"/>
          <w:color w:val="auto"/>
          <w:szCs w:val="24"/>
        </w:rPr>
      </w:pPr>
      <w:r>
        <w:rPr>
          <w:rFonts w:hint="eastAsia" w:ascii="宋体" w:hAnsi="宋体" w:cs="宋体"/>
          <w:i w:val="0"/>
          <w:iCs w:val="0"/>
          <w:color w:val="auto"/>
          <w:szCs w:val="24"/>
        </w:rPr>
        <w:t>9.2 第9.1.1条中第(1)(2)(3)(4)项、第9.1.2条中第(1)(2)(3)(4)(5)(6)项、第9.1.3条中第(1)(2)(3)(4)项为必备项，投标人在</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中必须提供有关材料，如果缺项，将导致投标失败。</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9.3 投标人在投标中违反国家有关法律法规的强制性规定的，其投标按未满足竞争性磋商文件实质性要求处理。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  投标书格式</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10.1  投标人应按竞争性磋商文件提供的格式完整地填写所提供的</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货物、服务、数量及价格。</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投标报价</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11.1  投标人应按竞争性磋商文件要求，标明拟提供</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的单价和总价。如单价和总价不符，以单价累计为准。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11.2 本标针对每</w:t>
      </w:r>
      <w:r>
        <w:rPr>
          <w:rFonts w:hint="eastAsia" w:ascii="宋体" w:hAnsi="宋体" w:cs="宋体"/>
          <w:i w:val="0"/>
          <w:iCs w:val="0"/>
          <w:color w:val="auto"/>
          <w:kern w:val="2"/>
          <w:sz w:val="24"/>
          <w:szCs w:val="24"/>
          <w:highlight w:val="none"/>
          <w:lang w:val="en-US" w:eastAsia="zh-CN" w:bidi="ar-SA"/>
        </w:rPr>
        <w:t>一项工程量</w:t>
      </w:r>
      <w:r>
        <w:rPr>
          <w:rFonts w:hint="eastAsia" w:ascii="宋体" w:hAnsi="宋体" w:eastAsia="宋体" w:cs="宋体"/>
          <w:i w:val="0"/>
          <w:iCs w:val="0"/>
          <w:color w:val="auto"/>
          <w:kern w:val="2"/>
          <w:sz w:val="24"/>
          <w:szCs w:val="24"/>
          <w:highlight w:val="none"/>
          <w:lang w:val="en-US" w:eastAsia="zh-CN" w:bidi="ar-SA"/>
        </w:rPr>
        <w:t>只接受一个报价，不接受备选方案，但不拒绝优惠声明。</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11.3  投标人应按竞争性磋商文件的要求对有关设计文件、服务的全部内容进行报价。</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投标货币</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12.1 本次投标货币为人民币。</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  证明投标人合格和资格的文件</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13.1 投标人应提交证明其有资格参加投标和一旦其投标被接受则有能力履行合同的文件，并作为其响应文件的一部分。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13.2 投标人应填写并提交竞争性磋商文件所要求的资格证明类文件。</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  证明服务的合格性和符合竞争性磋商文件规定的文件</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14.1 投标人应提交竞争性磋商文件要求的服务的合格性及符合竞争性磋商文件规定的证明文件。证明文件可以是图纸和资料等，并作为响应文件的一部分。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14.2 投标人应逐条阅读竞争性磋商文件要求的技术规格条款要求，指出自己提供的</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是否对竞争性磋商文件做出实质性的响应。否则，将视为投标人同意、确认或接受竞争性磋商文件的全部或相应部分的要求。</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15.  响应文件的有效期</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15.1  响应文件从实际开标之日起60天内有效。</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15.2  在特殊情况下, 在原投标有效期届满之前，采购代理机构、招标人可与投标单位协商延长响应文件的有效期，并经投标方确认。</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15.3 投标人在投标有效期内撤销响应文件的，采购代理机构可以不退还投标保证金。</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  响应文件的书写要求、标记要求、签署，未按要求编制，响应文件将不能通过符合性检查，按重大偏离处理。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16.1  响应文件须用不褪色的墨水笔书写。</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16.2  响应文件的书写应清楚工整，修改处应由法定代表人或投标人授权代表签章。</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16.3  未实质性响应竞争性磋商文件、或者关键字迹潦草、关键内容表达不清、或者未按要求填写编制、或者可能导致非唯一理解的响应文件将被拒绝。</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16.4  响应文件具有法律效力,若响应文件与采购需求要求不一致，其内容影响成交结果时，责任由供应商自行承担。 </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16.5 为了保证响应文件的合法性、安全性和完整性，响应文件必须逐页加盖单位公章。授权代表须将 “法人授权书”（原件）附在响应文件中。</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16.6 除供应商对错处做必要修改外，响应文件不得行间插字、涂改或增删。如有修改错漏处，必须由响应文件签署人签字或盖章。</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16.7  响应文件的份数：详见《投标人须知前附表》。</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16.8  投标人可根据投标服务的具体需要自行编制其它文件纳入投标书中。</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16.9  纸质版响应文件的装订必须采用死页胶粘本，不允许活页形式装订（非胶粘方式装订的投标书一律视同活页装订）。</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  投标保证金（本项目不做要求）</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17.1  投标保证金金额：详见投标人须知前附表规定。</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17.2  投标保证金用于保护本次招标免受投标人的违规、违约行为而引起的风险。</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17.3  投标保证金应用人民币，由投标人按第二章《投标人须知》中明确的银行、帐号等信息，于开标前缴纳。对未按要求提交投标保证金的投标书，采购代理机构将视为不响应投标而予以拒绝。</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17.4 投标保证金应以前附表要求的方式提交。投标保证金必须从各单位基本账户汇出。</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17.5  中标人的投标保证金自采购合同签定之日起5个工作日内不计利息予以退还。</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17.6  未中标人的投标保证金，自中标通知书发出之日起5个工作日内不计利息予以退还。</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  发生以下情况中标人的投标保证金可能被没收：</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17.7.1 未按28条规定签定合同；</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17.7.2 未按第31条有关缴纳中标服务费的规定；</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17.7.3 未按竞争性磋商文件要求提交合同履约保证金的。</w:t>
      </w:r>
    </w:p>
    <w:p>
      <w:pPr>
        <w:pStyle w:val="27"/>
        <w:jc w:val="center"/>
        <w:rPr>
          <w:rFonts w:hint="eastAsia"/>
          <w:b/>
          <w:bCs/>
          <w:i w:val="0"/>
          <w:iCs w:val="0"/>
          <w:color w:val="auto"/>
          <w:highlight w:val="none"/>
          <w:lang w:eastAsia="zh-CN"/>
        </w:rPr>
      </w:pPr>
      <w:r>
        <w:rPr>
          <w:rFonts w:hint="eastAsia"/>
          <w:b/>
          <w:bCs/>
          <w:i w:val="0"/>
          <w:iCs w:val="0"/>
          <w:color w:val="auto"/>
          <w:highlight w:val="none"/>
          <w:lang w:eastAsia="zh-CN"/>
        </w:rPr>
        <w:t>四、响应文件的递交</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  响应文件递交的格式</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18.1  投标供应商应当在投标截止时间前，将生成的“JMBS格式电子加密响应文件”上传递交至“政府采购云平台”，投标截止时间以后上传递交的响应文件将被“政府采购云平台”拒收。</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18.2  未按本须知要求投递响应文件，造成无法投标或投标失败等后果的由供应商自行承担。</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  响应文件递交的截止日期</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19.1  投标人必须在《投标人须知前附表》中规定的时间之前将响应文件送达到规定的地点。</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19.2  超过竞争性磋商文件规定的投标截止时间送达的响应文件将不予接受。</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  响应文件的修改和撤销</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20.1  投标人对其响应文件进行的修改或撤销应以书面形式并在竞争性磋商文件规定的投标截止时间前送达招标人、采购代理机构手中。</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20.2  投标人对响应文件的修改或撤销应按竞争性磋商文件规定进行准备、标注和递交。</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20.3  投标截止时间以后，不允许对响应文件进行修改。</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20.4  投标人不得在投标截止时间起至响应文件有效期满前撤销响应文件。</w:t>
      </w:r>
    </w:p>
    <w:p>
      <w:pPr>
        <w:pStyle w:val="27"/>
        <w:jc w:val="center"/>
        <w:rPr>
          <w:rFonts w:hint="eastAsia"/>
          <w:b/>
          <w:bCs/>
          <w:i w:val="0"/>
          <w:iCs w:val="0"/>
          <w:color w:val="auto"/>
          <w:highlight w:val="none"/>
          <w:lang w:eastAsia="zh-CN"/>
        </w:rPr>
      </w:pPr>
      <w:r>
        <w:rPr>
          <w:rFonts w:hint="eastAsia"/>
          <w:b/>
          <w:bCs/>
          <w:i w:val="0"/>
          <w:iCs w:val="0"/>
          <w:color w:val="auto"/>
          <w:highlight w:val="none"/>
          <w:lang w:eastAsia="zh-CN"/>
        </w:rPr>
        <w:t>五、开标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  开标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21.1  除非采购代理机构另外书面通知，本标将按本竞争性磋商文件《投标人须知前附表》中规定的时间和地点开标。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21.2  开标时，招标人、监督部门、公证部门的工作人员将对开标会议到场监督。</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21.3  开标时，投标单位完成在线解密后，由工作人员开始唱标。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21.4  唱标完毕后，如果投标人对所唱内容有异议，应当场立即提出。经现场监标人员确认，认为有必要重新唱标的，由唱标员重新唱标。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21.5  所有唱标均记录在案，并经监标人员或公证人员的签字，作为各投标人响应文件的组成部分。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21.6  投标人代表对开标过程和开标记录有疑义，以及认为采购人、采购代理机构相关工作人员有需要回避的情形的，应当场提出询问或者回避申请。</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21.7  投标人未参加开标的，视同认可开标结果。</w:t>
      </w:r>
    </w:p>
    <w:p>
      <w:pPr>
        <w:pStyle w:val="27"/>
        <w:jc w:val="center"/>
        <w:rPr>
          <w:rFonts w:hint="eastAsia"/>
          <w:b/>
          <w:bCs/>
          <w:i w:val="0"/>
          <w:iCs w:val="0"/>
          <w:color w:val="auto"/>
          <w:highlight w:val="none"/>
          <w:lang w:eastAsia="zh-CN"/>
        </w:rPr>
      </w:pPr>
      <w:r>
        <w:rPr>
          <w:rFonts w:hint="eastAsia"/>
          <w:b/>
          <w:bCs/>
          <w:i w:val="0"/>
          <w:iCs w:val="0"/>
          <w:color w:val="auto"/>
          <w:highlight w:val="none"/>
          <w:lang w:eastAsia="zh-CN"/>
        </w:rPr>
        <w:t>六、评标和定标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 评标原则</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22.1  本标的评标遵循公平、公正、科学、择优的原则。</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22.3  不徇私情，不明招暗定。</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22.4  资格审查合格的投标人，均有同等机会参加竞争。</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22.5  评标人员不得私自泄露评标内容，不得进行旨在影响评标结果公正、公平的任何活动。</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22.6  对于响应文件中含义不明确、同类问题表述不一致或者有明显文字和计算错误的内容，评标委员会应当以书面形式要求投标人作出必要的澄清、说明或者补正。</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  评标方法</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23.1  采购代理机构将根据有关法律法规的规定组建本次招标的评标委员会。评标委员会成员由本行业相关技术、经济等方面的专家组成。其中，技术、经济等方面的专家不少于成员总人数的三分之二。</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23.2  评标的依据为竞争性磋商文件和响应文件。根据相关法律法规的规定，评标委员会不以任何外部证据作为其评标的依据或标准。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23.3  评标过程将严格保密。开标后直到授予中标人合同止，凡是属于审查、澄清、评价和比较的有关评标资料以及授标建议等均不得向投标人或其他无关的人员透露。</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23.4  在评标的整个过程中，投标人所进行的旨在影响评标结果的活动，可能导致其投标被拒绝，或者被取消中标资格。</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  本次招标采用综合评分法进行评标。评标分初步评审和详细评审两个阶段。</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23.5.1  初步评审分为资格性检查和符合性检查，只有通过初步评审的响应文件才可进入详细评审阶段。</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23.5.2  详细评审分为经济报价部分和技术标评审两个部分。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  初步评审</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A. 资格性检查：依据法律法规和竞争性磋商文件的规定，对响应文件中的资格证明、投标保证金等进行审查，以确定投标人是否具备投标资格。</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B. 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其它投标人合理的竞争地位产生不公正的影响。与竞争性磋商文件有重大偏离的响应文件将被拒绝。</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具体评审内容系指：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  投标人不满足本竞争性磋商文件关于对投标人资格证明文件的规定；</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23.6.2  响应文件组成不完整，主要内容未能按竞争性磋商文件规定的内容、格式填写；</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23.6.3  响应文件的有效期不满足竞争性磋商文件的规定；</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23.6.4  响应文件没有按照规定签章的；</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23.6.5  投标代表授权书未能由法定代表人签署；</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23.6.6  响应文件针对每一项服务出现了两个或两个以上的报价；</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23.6.7  投标报价超过最高限价；</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8</w:t>
      </w:r>
      <w:r>
        <w:rPr>
          <w:rFonts w:hint="eastAsia" w:ascii="宋体" w:hAnsi="宋体" w:eastAsia="宋体" w:cs="宋体"/>
          <w:i w:val="0"/>
          <w:iCs w:val="0"/>
          <w:color w:val="auto"/>
          <w:kern w:val="2"/>
          <w:sz w:val="24"/>
          <w:szCs w:val="24"/>
          <w:highlight w:val="none"/>
          <w:lang w:val="en-US" w:eastAsia="zh-CN" w:bidi="ar-SA"/>
        </w:rPr>
        <w:t xml:space="preserve">  明显不符合竞争性磋商文件关于对招标服务技术规格和标准的要求；</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9</w:t>
      </w:r>
      <w:r>
        <w:rPr>
          <w:rFonts w:hint="eastAsia" w:ascii="宋体" w:hAnsi="宋体" w:eastAsia="宋体" w:cs="宋体"/>
          <w:i w:val="0"/>
          <w:iCs w:val="0"/>
          <w:color w:val="auto"/>
          <w:kern w:val="2"/>
          <w:sz w:val="24"/>
          <w:szCs w:val="24"/>
          <w:highlight w:val="none"/>
          <w:lang w:val="en-US" w:eastAsia="zh-CN" w:bidi="ar-SA"/>
        </w:rPr>
        <w:t xml:space="preserve">  响应文件载明的磋商项目服务周期超过竞争性磋商文件规定的期限；</w:t>
      </w:r>
    </w:p>
    <w:p>
      <w:pPr>
        <w:pStyle w:val="28"/>
        <w:spacing w:line="360" w:lineRule="auto"/>
        <w:ind w:firstLine="567"/>
        <w:jc w:val="both"/>
        <w:rPr>
          <w:rFonts w:hint="eastAsia" w:ascii="宋体" w:hAnsi="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10</w:t>
      </w:r>
      <w:r>
        <w:rPr>
          <w:rFonts w:hint="eastAsia" w:ascii="宋体" w:hAnsi="宋体" w:eastAsia="宋体" w:cs="宋体"/>
          <w:i w:val="0"/>
          <w:iCs w:val="0"/>
          <w:color w:val="auto"/>
          <w:kern w:val="2"/>
          <w:sz w:val="24"/>
          <w:szCs w:val="24"/>
          <w:highlight w:val="none"/>
          <w:lang w:val="en-US" w:eastAsia="zh-CN" w:bidi="ar-SA"/>
        </w:rPr>
        <w:t xml:space="preserve"> 响应文件载明的服务范围等不符合竞争性磋商文件的要求</w:t>
      </w:r>
      <w:r>
        <w:rPr>
          <w:rFonts w:hint="eastAsia" w:ascii="宋体" w:hAnsi="宋体" w:cs="宋体"/>
          <w:i w:val="0"/>
          <w:iCs w:val="0"/>
          <w:color w:val="auto"/>
          <w:kern w:val="2"/>
          <w:sz w:val="24"/>
          <w:szCs w:val="24"/>
          <w:highlight w:val="none"/>
          <w:lang w:val="en-US" w:eastAsia="zh-CN" w:bidi="ar-SA"/>
        </w:rPr>
        <w:t>；</w:t>
      </w:r>
    </w:p>
    <w:p>
      <w:pPr>
        <w:pStyle w:val="28"/>
        <w:spacing w:line="360" w:lineRule="auto"/>
        <w:ind w:firstLine="567"/>
        <w:jc w:val="both"/>
        <w:rPr>
          <w:rFonts w:hint="eastAsia" w:ascii="宋体" w:hAnsi="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23.6.11 响应文件含有采购人不能接受的附加条件；</w:t>
      </w:r>
    </w:p>
    <w:p>
      <w:pPr>
        <w:pStyle w:val="28"/>
        <w:spacing w:line="360" w:lineRule="auto"/>
        <w:ind w:firstLine="567"/>
        <w:jc w:val="both"/>
        <w:rPr>
          <w:rFonts w:hint="default" w:ascii="宋体" w:hAnsi="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23.6.12 不符合竞争性磋商文件规定的其他实质性要求。</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 对通过初步评审的响应文件，评标委员会将对其进行算术性修正。算术性修正是指对响应文件的报价明细进行校核，并对其算术上和运算上的差错给予修正。修正的原则如下：</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23.7.1  大写金额和小写金额不一致的，以大写金额为准；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23.7.2  单价金额小数点或者百分比有明显错位的，以总价为准，并修改单价；</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23.7.3  总价金额与按单价汇总金额不一致的，以单价金额计算结果为准。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23.7.4  同时出现两种以上不一致的，按照前款规定的顺序修正。修正后的报价需经投标人确认后产生约束力，投标人不确认的，其投标无效。</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23.7.5  投标人的澄清、说明或者补正应当采用书面形式，并加盖公章，或者由法定代表人或其授权的代表签字。投标人的澄清、说明或者补正不得超出响应文件的范围或者改变响应文件的实质性内容。</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23.7.6  对不同文字文本响应文件的解释发生异议的，以中文文本为准。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23.7.7  评标委员会将拒绝被定为实质上非响应性的投标，投标人不能通过修正或撤销不符之处而使其投标成为响应性投标。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23.7.8  评标委员会将允许投标中有微小的不正规、不一致或不规则，而该微小之处不构成重大偏离。</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23.8   磋商过程和评标准则</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  通过初步评审及算术性修正的响应文件将进入详细评审阶段。</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23.9.1  详细评审中，评标委员会将采用综合评估法中的打分法，以响应文件能最大限度地满足竞争性磋商文件中规定的各项评价标准为依据，独立地对各响应文件进行评审和打分。</w:t>
      </w:r>
    </w:p>
    <w:p>
      <w:pPr>
        <w:pStyle w:val="28"/>
        <w:spacing w:line="360" w:lineRule="auto"/>
        <w:ind w:firstLine="567"/>
        <w:jc w:val="both"/>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23.9.2  评标委员会将对下述评审因素进行量化，并根据评委会每个成员对响应文件的评审和理解进行打分。经济报价权重占</w:t>
      </w:r>
      <w:r>
        <w:rPr>
          <w:rFonts w:hint="eastAsia" w:ascii="宋体" w:hAnsi="宋体" w:cs="宋体"/>
          <w:i w:val="0"/>
          <w:iCs w:val="0"/>
          <w:color w:val="auto"/>
          <w:kern w:val="2"/>
          <w:sz w:val="24"/>
          <w:szCs w:val="24"/>
          <w:highlight w:val="none"/>
          <w:lang w:val="en-US" w:eastAsia="zh-CN" w:bidi="ar-SA"/>
        </w:rPr>
        <w:t>20</w:t>
      </w:r>
      <w:r>
        <w:rPr>
          <w:rFonts w:hint="eastAsia" w:ascii="宋体" w:hAnsi="宋体" w:eastAsia="宋体" w:cs="宋体"/>
          <w:i w:val="0"/>
          <w:iCs w:val="0"/>
          <w:color w:val="auto"/>
          <w:kern w:val="2"/>
          <w:sz w:val="24"/>
          <w:szCs w:val="24"/>
          <w:highlight w:val="none"/>
          <w:lang w:val="en-US" w:eastAsia="zh-CN" w:bidi="ar-SA"/>
        </w:rPr>
        <w:t>%，技术标权重占</w:t>
      </w:r>
      <w:r>
        <w:rPr>
          <w:rFonts w:hint="eastAsia" w:ascii="宋体" w:hAnsi="宋体" w:cs="宋体"/>
          <w:i w:val="0"/>
          <w:iCs w:val="0"/>
          <w:color w:val="auto"/>
          <w:kern w:val="2"/>
          <w:sz w:val="24"/>
          <w:szCs w:val="24"/>
          <w:highlight w:val="none"/>
          <w:lang w:val="en-US" w:eastAsia="zh-CN" w:bidi="ar-SA"/>
        </w:rPr>
        <w:t>80</w:t>
      </w:r>
      <w:r>
        <w:rPr>
          <w:rFonts w:hint="eastAsia" w:ascii="宋体" w:hAnsi="宋体" w:eastAsia="宋体" w:cs="宋体"/>
          <w:i w:val="0"/>
          <w:iCs w:val="0"/>
          <w:color w:val="auto"/>
          <w:kern w:val="2"/>
          <w:sz w:val="24"/>
          <w:szCs w:val="24"/>
          <w:highlight w:val="none"/>
          <w:lang w:val="en-US" w:eastAsia="zh-CN" w:bidi="ar-SA"/>
        </w:rPr>
        <w:t>%。投标人两部分的分值相加，即为该投标人的评标总得分。</w:t>
      </w:r>
      <w:bookmarkStart w:id="23" w:name="_Toc152045603"/>
      <w:bookmarkStart w:id="24" w:name="_Toc179632621"/>
      <w:bookmarkStart w:id="25" w:name="_Toc233102567"/>
      <w:bookmarkStart w:id="26" w:name="_Toc152042380"/>
      <w:bookmarkStart w:id="27" w:name="_Toc144974570"/>
    </w:p>
    <w:p>
      <w:pPr>
        <w:adjustRightInd w:val="0"/>
        <w:snapToGrid w:val="0"/>
        <w:spacing w:line="360" w:lineRule="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资格审查后合格投标人不足3家的，不进行评标，采购人将宣布废标。</w:t>
      </w:r>
      <w:bookmarkStart w:id="28" w:name="_Toc492286393"/>
    </w:p>
    <w:p>
      <w:pPr>
        <w:numPr>
          <w:ilvl w:val="0"/>
          <w:numId w:val="3"/>
        </w:numPr>
        <w:adjustRightInd w:val="0"/>
        <w:snapToGrid w:val="0"/>
        <w:spacing w:line="360" w:lineRule="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评标</w:t>
      </w:r>
      <w:bookmarkEnd w:id="28"/>
      <w:bookmarkStart w:id="29" w:name="_Toc492286394"/>
    </w:p>
    <w:p>
      <w:pPr>
        <w:numPr>
          <w:ilvl w:val="0"/>
          <w:numId w:val="0"/>
        </w:numPr>
        <w:adjustRightInd w:val="0"/>
        <w:snapToGrid w:val="0"/>
        <w:spacing w:line="360" w:lineRule="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3.1评标组织</w:t>
      </w:r>
      <w:bookmarkEnd w:id="29"/>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3.1.1采购代理机构负责组织评标工作，并履行下列职责：</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（一）核对评审专家身份和采购人代表授权函，对评审专家在政府采购活动中的职责履行情况予以记录，并及时将有关违法违规行为向财政部门报告；</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（二）宣布评标纪律；</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（三）公布投标人名单，告知评审专家应当回避的情形；</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（四）组织评标委员会推选评标组长，采购人代表不得担任组长；</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（五）在评标期间采取必要的通讯管理措施，保证评标活动不受外界干扰；</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（六）根据评标委员会的要求介绍政府采购相关政策法规、竞争性磋商文件；</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（七）维护评标秩序，监督评标委员会依照竞争性磋商文件规定的评标程序、方法和标准进行独立评审，及时制止和纠正采购人代表、评审专家的倾向性言论或者违法违规行为；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（八）核对评标结果，有以下情形的，要求评标委员会复核或者书面说明理由，评标委员会拒绝的，应予记录并向本级财政部门报告；</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（1）分值汇总计算错误的；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（2）分项评分超出评分标准范围的；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（3）评标委员会成员对客观评审因素评分不一致的；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（4）经评标委员会认定评分畸高、畸低的。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（九）评审工作完成后，按照规定向评审专家支付劳务报酬和异地评审差旅费，不得向评审专家以外的其他人员支付评审劳务报酬；</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（十）处理与评标有关的其他事项。</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3.1.2评标委员会负责具体评标事务，并独立履行下列职责：</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（一）审查、评价响应文件是否符合竞争性磋商文件的商务、技术等实质性要求；</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（二）要求投标人对响应文件有关事项作出澄清或者说明；</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（三）对响应文件进行比较和评价；</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（四）确定中标候选人名单，以及根据采购人委托直接确定中标人；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（五）向采购人、采购代理机构或者有关部门报告评标中发现的违法行为。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3.1.3评标中因评标委员会成员缺席、回避或者健康等特殊原因导致评标委员会组成不符合规定的，采购代理机构依法补足后继续评标。被更换的评标委员会成员所作出的评标意见无效。</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无法及时补足评标委员会成员的，采购人或者采购代理机构应当停止评标活动，封存所有响应文件和开标、评标资料，依法重新组建评标委员会进行评标。原评标委员会所作出的评标意见无效。</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3.1.4评标委员会及其成员不得有下列行为：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（一）确定参与评标至评标结束前私自接触投标人；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（二）接受投标人提出的与响应文件不一致的澄清或者说明；</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（三）违反评标纪律发表倾向性意见或者征询采购人的倾向性意见；</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（四）对需要专业判断的主观评审因素协商评分；</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（五）在评标过程中擅离职守，影响评标程序正常进行的；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（六）记录、复制或者带走任何评标资料；</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（七）其他不遵守评标纪律的行为。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评标委员会成员有以上行为之一的，其评审意见无效，并不得获取评审劳务报酬和报销异地评审差旅费。</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3.1.5评标委员会应当按照竞争性磋商文件中规定的评标方法和标准，对符合性审查合格的响应文件进行商务和技术评估，综合比较与评价。</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3.1.6除采购人代表、评标现场组织人员外，采购人的其他工作人员以及与评标工作无关的人员不得进入评标现场。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3.1.7采购人可以在评标前说明项目背景和采购需求，说明内容不得含有歧视性、倾向性意见，不得超出竞争性磋商文件所述范围。说明应当提交书面材料，并随采购文件一并存档。</w:t>
      </w:r>
    </w:p>
    <w:p>
      <w:pPr>
        <w:pStyle w:val="27"/>
        <w:spacing w:line="360" w:lineRule="auto"/>
        <w:outlineLvl w:val="0"/>
        <w:rPr>
          <w:rFonts w:hint="eastAsia" w:ascii="宋体" w:hAnsi="宋体" w:eastAsia="宋体" w:cs="宋体"/>
          <w:b w:val="0"/>
          <w:bCs w:val="0"/>
          <w:i w:val="0"/>
          <w:iCs w:val="0"/>
          <w:color w:val="auto"/>
          <w:kern w:val="2"/>
          <w:sz w:val="24"/>
          <w:szCs w:val="24"/>
          <w:highlight w:val="none"/>
          <w:lang w:val="en-US" w:eastAsia="zh-CN" w:bidi="ar-SA"/>
        </w:rPr>
      </w:pPr>
      <w:bookmarkStart w:id="30" w:name="_Toc492286395"/>
      <w:r>
        <w:rPr>
          <w:rFonts w:hint="eastAsia" w:ascii="宋体" w:hAnsi="宋体" w:eastAsia="宋体" w:cs="宋体"/>
          <w:b w:val="0"/>
          <w:bCs w:val="0"/>
          <w:i w:val="0"/>
          <w:iCs w:val="0"/>
          <w:color w:val="auto"/>
          <w:kern w:val="2"/>
          <w:sz w:val="24"/>
          <w:szCs w:val="24"/>
          <w:highlight w:val="none"/>
          <w:lang w:val="en-US" w:eastAsia="zh-CN" w:bidi="ar-SA"/>
        </w:rPr>
        <w:t>3.2符合性审查</w:t>
      </w:r>
      <w:bookmarkEnd w:id="30"/>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3.2.1评标委员会对符合资格的投标人的响应文件进行符合性审查，以确定其是否满足竞争性磋商文件的实质性要求。实质上响应的投标应该是与竞争性磋商文件要求的实质性条款、条件和规格相符，没有重大偏离或保留的投标。所谓重大偏离或保留是指实质上影响合同的供货范围、质量和性能；或者实质上与竞争性磋商文件不一致，而且限制了合同中买方的权利或卖方的义务。纠正这些偏离或保留将会对其他实质上响应要求的投标人的竞争地位产生不公正的影响。评标委员会决定响应文件的响应性只根据响应文件本身的内容，而不寻求外部的证据。</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3.2.2如果响应文件实质上没有响应竞争性磋商文件要求，按无效投标处理。投标人不得通过修正或撤销不合要求的偏离或保留从而使其投标成为实质上响应的投标。</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3.2.3评标委员会将对确定为实质上响应的投标进行价格审核，看其是否有计算上错误，修正错误的方法为：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（一）响应文件中开标一览表（报价表）内容与响应文件中相应内容不一致的，以开标一览表（报价表）为准；</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（二）大写金额和小写金额不一致的，以大写金额为准；</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（三）单价金额小数点或者百分比有明显错位的，以开标一览表的总价为准，并修改单价；</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（四）总价金额与按单价汇总金额不一致的，以单价金额计算结果为准。</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同时出现两种以上不一致的，按照前款规定的顺序修正。修正后的报价经投标人确认后产生约束力，投标人不确认的，其投标无效。</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3.2.4投标人应按照第五章《采购需求》中货物需求一览表的内容和数量进行报价。超过所需数量的报价，在评标时不予核减，但如果中标采购人可从合同中予以扣减。</w:t>
      </w:r>
    </w:p>
    <w:p>
      <w:pPr>
        <w:adjustRightInd w:val="0"/>
        <w:snapToGrid w:val="0"/>
        <w:spacing w:line="360" w:lineRule="auto"/>
        <w:ind w:firstLine="602" w:firstLineChars="25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3.2.5评标委员会认为投标人的报价明显低于其他通过符合性审查投标人的报价，有可能影响产品质量或不能诚信履约的，应当要求其在评标现场合理的时间内提供书面说明，必要时提交相关证明材料；投标人不能证明其报价合理性的，评标委员会将其作为无效投标处理。</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3.2.6除竞争性磋商文件另有规定，投标人存在下列情况之一的，投标无效：</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（1）竞争性磋商文件规定必须提交的响应文件未按竞争性磋商文件要求签字和盖章的；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（2）响应文件未按竞争性磋商文件要求编制填写，或内容不全、字迹模糊、难以辨认的、或采用活页夹方式或未装订的响应文件；</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未按竞争性磋商文件规定递交投标保证金的、投标保证金金额不足的、投标保证金形式不符合竞争性磋商文件规定的、使用支票、本票或汇票形式未提供中国人民银行颁发的《基本银行帐户开户证明》复印件的、出具担保函的担保机构不是竞争性磋商文件指定的专业担保机构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（4）投标人不符合资格条件或未按竞争性磋商文件规定提供资格证明文件的；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（5）投标货物不符合竞争性磋商文件规定条件或未提供证明文件的；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（6）未能实质性响应竞争性磋商文件商务和技术要求的；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（7）投标有效期不足的；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（8）投标报价货币不是人民币的;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（9）投标报价超过竞争性磋商文件中规定的预算金额或者最高限价的；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（10）拆包投标或缺项漏项的；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（11）串通投标或弄虚作假或有其他违法行为的；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（12）未按评标委员会要求澄清、说明或补正的；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（13）未按评标委员会的要求在评标现场合理的时间内提供书面说明（必要时提交相关证明材料），或不能证明其报价合理性的；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（14）未按评标委员会的要求确认修正后的投标报价的；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（15）投标人符合第二章《投标人须知》第1.2条任何一种情形的；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（16）响应文件含有采购人不能接受的附加条件的；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（17）违反国家法律、法规和竞争性磋商文件规定的其他无效情形。</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3.2.7有下列情形之一的，视为投标人串通投标，其投标无效：</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（1）不同投标人的响应文件由同一单位或者个人编制；</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（2）不同投标人委托同一单位或者个人办理投标事宜；</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（3）不同投标人的响应文件载明的项目管理成员或者联系人员为同一人；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（4）不同投标人的响应文件异常一致或者投标报价呈规律性差异；</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（5）不同投标人的响应文件相互混装；</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（6）不同投标人的投标保证金从同一单位或者个人的账户转出。</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3.2.8评标委员会发现竞争性磋商文件存在歧义、重大缺陷导致评标工作无法进行，或者竞争性磋商文件内容违反国家有关强制性规定的，应当停止评标工作，与采购人或者采购代理机构沟通并作书面记录。采购人或者采购代理机构确认后，应当修改竞争性磋商文件，重新组织采购活动。</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3.2.9符合性审查后合格的投标人不足三家时，不再进行后续评标，采购人将宣布废标。提供相同品牌产品的不同投标人，以及提供同一制造厂家产品的不同投标人，按一家投标人计算。</w:t>
      </w:r>
    </w:p>
    <w:bookmarkEnd w:id="23"/>
    <w:bookmarkEnd w:id="24"/>
    <w:bookmarkEnd w:id="25"/>
    <w:bookmarkEnd w:id="26"/>
    <w:bookmarkEnd w:id="27"/>
    <w:p>
      <w:pPr>
        <w:pStyle w:val="27"/>
        <w:spacing w:line="360" w:lineRule="auto"/>
        <w:ind w:firstLine="420"/>
        <w:outlineLvl w:val="0"/>
        <w:rPr>
          <w:rFonts w:hint="eastAsia" w:ascii="宋体" w:hAnsi="宋体" w:eastAsia="宋体" w:cs="宋体"/>
          <w:b w:val="0"/>
          <w:bCs w:val="0"/>
          <w:i w:val="0"/>
          <w:iCs w:val="0"/>
          <w:color w:val="auto"/>
          <w:kern w:val="2"/>
          <w:sz w:val="24"/>
          <w:szCs w:val="24"/>
          <w:highlight w:val="none"/>
          <w:lang w:val="en-US" w:eastAsia="zh-CN" w:bidi="ar-SA"/>
        </w:rPr>
      </w:pPr>
      <w:bookmarkStart w:id="31" w:name="_Toc492286396"/>
      <w:r>
        <w:rPr>
          <w:rFonts w:hint="eastAsia" w:ascii="宋体" w:hAnsi="宋体" w:eastAsia="宋体" w:cs="宋体"/>
          <w:b w:val="0"/>
          <w:bCs w:val="0"/>
          <w:i w:val="0"/>
          <w:iCs w:val="0"/>
          <w:color w:val="auto"/>
          <w:kern w:val="2"/>
          <w:sz w:val="24"/>
          <w:szCs w:val="24"/>
          <w:highlight w:val="none"/>
          <w:lang w:val="en-US" w:eastAsia="zh-CN" w:bidi="ar-SA"/>
        </w:rPr>
        <w:t>3.3小型、微型企业价格扣除</w:t>
      </w:r>
      <w:bookmarkEnd w:id="31"/>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3.3.1评标委员会根据投标人提供的《中小企业声明函》、《残疾人福利性单位声明函》以及省级以上监狱管理局、戒毒管理局（含新疆生产建设兵团）出具的属于监狱企业的证明文件，认定其是否属于小型和微型企业。</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3.3.2投标人为小型、微型企业且所投产品为小型、微型企业生产的，评标价格给予《评审因素和评审标准一览表》规定的百分比扣除，用扣除后的价格参与评审。</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3.3.3联合体投标时联合体协议约定小型和微型企业的协议合同金额占到30%以上的，可给予2%的价格扣除。联合体各方都是小型和微型企业的，可给予《评审因素和评审标准一览表》规定的百分比扣除。</w:t>
      </w:r>
    </w:p>
    <w:p>
      <w:pPr>
        <w:pStyle w:val="4"/>
        <w:spacing w:line="500" w:lineRule="exact"/>
        <w:ind w:firstLine="482" w:firstLineChars="200"/>
        <w:jc w:val="left"/>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小微企业价格扣除评审：对于非专门面向中小企业的项目，对小型</w:t>
      </w:r>
    </w:p>
    <w:p>
      <w:pPr>
        <w:pStyle w:val="4"/>
        <w:numPr>
          <w:ilvl w:val="1"/>
          <w:numId w:val="0"/>
        </w:numPr>
        <w:spacing w:line="500" w:lineRule="exact"/>
        <w:jc w:val="left"/>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和微型企业产品价格给予6%的扣除，用扣除后的价格参与价格分的评审。需同时满足以下三个条件的给予价格扣除：</w:t>
      </w:r>
    </w:p>
    <w:p>
      <w:pPr>
        <w:numPr>
          <w:ilvl w:val="0"/>
          <w:numId w:val="4"/>
        </w:numPr>
        <w:spacing w:line="480" w:lineRule="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《中小型企业声明函》</w:t>
      </w:r>
    </w:p>
    <w:p>
      <w:pPr>
        <w:pStyle w:val="2"/>
        <w:numPr>
          <w:ilvl w:val="0"/>
          <w:numId w:val="0"/>
        </w:numPr>
        <w:spacing w:line="480" w:lineRule="auto"/>
        <w:rPr>
          <w:rFonts w:hint="default"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2.提供投标人工商行政登记所在管理部门出具的小微企业证明文件；</w:t>
      </w:r>
    </w:p>
    <w:p>
      <w:pPr>
        <w:numPr>
          <w:ilvl w:val="0"/>
          <w:numId w:val="0"/>
        </w:numPr>
        <w:spacing w:line="480" w:lineRule="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3.提供所代理的产品生产厂家的属地主管部门出具的小微企业或监狱企业证明文件；</w:t>
      </w:r>
    </w:p>
    <w:p>
      <w:pPr>
        <w:pStyle w:val="27"/>
        <w:spacing w:line="360" w:lineRule="auto"/>
        <w:ind w:firstLine="420"/>
        <w:outlineLvl w:val="0"/>
        <w:rPr>
          <w:rFonts w:hint="eastAsia" w:ascii="宋体" w:hAnsi="宋体" w:eastAsia="宋体" w:cs="宋体"/>
          <w:b w:val="0"/>
          <w:bCs w:val="0"/>
          <w:i w:val="0"/>
          <w:iCs w:val="0"/>
          <w:color w:val="auto"/>
          <w:kern w:val="2"/>
          <w:sz w:val="24"/>
          <w:szCs w:val="24"/>
          <w:highlight w:val="none"/>
          <w:lang w:val="en-US" w:eastAsia="zh-CN" w:bidi="ar-SA"/>
        </w:rPr>
      </w:pPr>
      <w:bookmarkStart w:id="32" w:name="_Toc492286397"/>
      <w:r>
        <w:rPr>
          <w:rFonts w:hint="eastAsia" w:ascii="宋体" w:hAnsi="宋体" w:eastAsia="宋体" w:cs="宋体"/>
          <w:b w:val="0"/>
          <w:bCs w:val="0"/>
          <w:i w:val="0"/>
          <w:iCs w:val="0"/>
          <w:color w:val="auto"/>
          <w:kern w:val="2"/>
          <w:sz w:val="24"/>
          <w:szCs w:val="24"/>
          <w:highlight w:val="none"/>
          <w:lang w:val="en-US" w:eastAsia="zh-CN" w:bidi="ar-SA"/>
        </w:rPr>
        <w:t>3.4综合评分</w:t>
      </w:r>
      <w:bookmarkEnd w:id="32"/>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3.4.1本项目综合评分的各评审因素权重为：</w:t>
      </w:r>
      <w:r>
        <w:rPr>
          <w:rFonts w:hint="eastAsia" w:ascii="宋体" w:hAnsi="宋体" w:eastAsia="宋体" w:cs="宋体"/>
          <w:i w:val="0"/>
          <w:iCs w:val="0"/>
          <w:color w:val="auto"/>
          <w:sz w:val="24"/>
          <w:szCs w:val="24"/>
          <w:highlight w:val="none"/>
          <w:lang w:eastAsia="zh-CN"/>
        </w:rPr>
        <w:t>经济报价权重占</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商务</w:t>
      </w:r>
      <w:r>
        <w:rPr>
          <w:rFonts w:hint="eastAsia" w:ascii="宋体" w:hAnsi="宋体" w:eastAsia="宋体" w:cs="宋体"/>
          <w:i w:val="0"/>
          <w:iCs w:val="0"/>
          <w:color w:val="auto"/>
          <w:sz w:val="24"/>
          <w:szCs w:val="24"/>
          <w:highlight w:val="none"/>
        </w:rPr>
        <w:t>技术</w:t>
      </w:r>
      <w:r>
        <w:rPr>
          <w:rFonts w:hint="eastAsia" w:ascii="宋体" w:hAnsi="宋体" w:eastAsia="宋体" w:cs="宋体"/>
          <w:i w:val="0"/>
          <w:iCs w:val="0"/>
          <w:color w:val="auto"/>
          <w:sz w:val="24"/>
          <w:szCs w:val="24"/>
          <w:highlight w:val="none"/>
          <w:lang w:eastAsia="zh-CN"/>
        </w:rPr>
        <w:t>标</w:t>
      </w:r>
      <w:r>
        <w:rPr>
          <w:rFonts w:hint="eastAsia" w:ascii="宋体" w:hAnsi="宋体" w:eastAsia="宋体" w:cs="宋体"/>
          <w:i w:val="0"/>
          <w:iCs w:val="0"/>
          <w:color w:val="auto"/>
          <w:sz w:val="24"/>
          <w:szCs w:val="24"/>
          <w:highlight w:val="none"/>
        </w:rPr>
        <w:t>权重占</w:t>
      </w:r>
      <w:r>
        <w:rPr>
          <w:rFonts w:hint="eastAsia" w:ascii="宋体" w:hAnsi="宋体" w:eastAsia="宋体" w:cs="宋体"/>
          <w:i w:val="0"/>
          <w:iCs w:val="0"/>
          <w:color w:val="auto"/>
          <w:sz w:val="24"/>
          <w:szCs w:val="24"/>
          <w:highlight w:val="none"/>
          <w:lang w:val="en-US" w:eastAsia="zh-CN"/>
        </w:rPr>
        <w:t>90%</w:t>
      </w: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lang w:eastAsia="zh-CN"/>
        </w:rPr>
        <w:t>两</w:t>
      </w:r>
      <w:r>
        <w:rPr>
          <w:rFonts w:hint="eastAsia" w:ascii="宋体" w:hAnsi="宋体" w:eastAsia="宋体" w:cs="宋体"/>
          <w:i w:val="0"/>
          <w:iCs w:val="0"/>
          <w:color w:val="auto"/>
          <w:sz w:val="24"/>
          <w:szCs w:val="24"/>
          <w:highlight w:val="none"/>
        </w:rPr>
        <w:t>部分的分值相加，即为该投标人的</w:t>
      </w:r>
      <w:r>
        <w:rPr>
          <w:rFonts w:hint="eastAsia" w:ascii="宋体" w:hAnsi="宋体" w:eastAsia="宋体" w:cs="宋体"/>
          <w:i w:val="0"/>
          <w:iCs w:val="0"/>
          <w:color w:val="auto"/>
          <w:sz w:val="24"/>
          <w:szCs w:val="24"/>
          <w:highlight w:val="none"/>
          <w:lang w:eastAsia="zh-CN"/>
        </w:rPr>
        <w:t>评标总得分。</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3.4.2评标基准价和价格得分计算</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投标价格经过3.3条所述的小型、微型企业价格扣除后，价格最低的为评标基准价，其价格得分为满分。</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其他价格分按照以下公式计算：</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投标价格得分=（评标基准价/扣除后的投标价格）×价格权值×100。</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评标过程中，不得去掉报价中的最高报价和最低报价。</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3.4.3商务和技术评分</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评标委员会成员按照下表规定的量化因素和分值标准对响应文件进行打分，并计算出每个投标人的总分。打分保留一位小数。</w:t>
      </w:r>
      <w:bookmarkStart w:id="33" w:name="_Toc492286398"/>
    </w:p>
    <w:p>
      <w:pPr>
        <w:pStyle w:val="7"/>
        <w:rPr>
          <w:rFonts w:hint="eastAsia" w:ascii="宋体" w:hAnsi="宋体" w:eastAsia="宋体" w:cs="宋体"/>
          <w:b w:val="0"/>
          <w:bCs w:val="0"/>
          <w:i w:val="0"/>
          <w:iCs w:val="0"/>
          <w:color w:val="auto"/>
          <w:kern w:val="2"/>
          <w:sz w:val="24"/>
          <w:szCs w:val="24"/>
          <w:highlight w:val="none"/>
          <w:lang w:val="en-US" w:eastAsia="zh-CN" w:bidi="ar-SA"/>
        </w:rPr>
      </w:pPr>
    </w:p>
    <w:p>
      <w:pPr>
        <w:spacing w:after="156" w:afterLines="50" w:line="360" w:lineRule="auto"/>
        <w:ind w:firstLine="562" w:firstLineChars="200"/>
        <w:outlineLvl w:val="2"/>
        <w:rPr>
          <w:rFonts w:hint="eastAsia" w:ascii="宋体" w:hAnsi="宋体" w:eastAsia="宋体" w:cs="宋体"/>
          <w:sz w:val="28"/>
          <w:szCs w:val="28"/>
        </w:rPr>
      </w:pPr>
      <w:bookmarkStart w:id="34" w:name="_Toc519082493"/>
      <w:bookmarkStart w:id="35" w:name="_Toc29830"/>
      <w:r>
        <w:rPr>
          <w:rFonts w:hint="eastAsia" w:ascii="宋体" w:hAnsi="宋体" w:eastAsia="宋体" w:cs="宋体"/>
          <w:sz w:val="28"/>
          <w:szCs w:val="28"/>
        </w:rPr>
        <w:t>1.相关要求</w:t>
      </w:r>
      <w:bookmarkEnd w:id="34"/>
      <w:bookmarkEnd w:id="35"/>
    </w:p>
    <w:p>
      <w:pPr>
        <w:spacing w:line="400" w:lineRule="exact"/>
        <w:ind w:firstLine="482" w:firstLineChars="200"/>
        <w:rPr>
          <w:rFonts w:hint="eastAsia" w:ascii="宋体" w:hAnsi="宋体" w:eastAsia="宋体" w:cs="宋体"/>
          <w:sz w:val="24"/>
          <w:szCs w:val="24"/>
        </w:rPr>
      </w:pPr>
      <w:bookmarkStart w:id="36" w:name="_Toc494455918"/>
      <w:r>
        <w:rPr>
          <w:rFonts w:hint="eastAsia" w:ascii="宋体" w:hAnsi="宋体" w:eastAsia="宋体" w:cs="宋体"/>
          <w:sz w:val="24"/>
          <w:szCs w:val="24"/>
        </w:rPr>
        <w:t>1.1技术汇总得分的计算方法：</w:t>
      </w:r>
      <w:r>
        <w:rPr>
          <w:rFonts w:hint="eastAsia" w:ascii="宋体" w:hAnsi="宋体" w:eastAsia="宋体" w:cs="宋体"/>
          <w:sz w:val="24"/>
          <w:szCs w:val="24"/>
          <w:lang w:eastAsia="zh-CN"/>
        </w:rPr>
        <w:t>磋商小组</w:t>
      </w:r>
      <w:r>
        <w:rPr>
          <w:rFonts w:hint="eastAsia" w:ascii="宋体" w:hAnsi="宋体" w:eastAsia="宋体" w:cs="宋体"/>
          <w:sz w:val="24"/>
          <w:szCs w:val="24"/>
        </w:rPr>
        <w:t>成员技术评分的算术平均值。</w:t>
      </w:r>
    </w:p>
    <w:p>
      <w:pPr>
        <w:spacing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1.2“同类项目”是指供应商已经完成的与本次采购要求相同或者类同的货物，并且签订合同一方必须是参与磋商报价的供应商，以相同或者类同部分的合同金额为准。</w:t>
      </w:r>
    </w:p>
    <w:p>
      <w:pPr>
        <w:spacing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1.3执行国家统一定价标准和采用固定价格采购的项目，其价格不列为评审因素。</w:t>
      </w:r>
    </w:p>
    <w:p>
      <w:pPr>
        <w:spacing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评分得分非整数的保留小数点后两位（小数点后第三位数四舍五入）。</w:t>
      </w:r>
    </w:p>
    <w:p>
      <w:pPr>
        <w:rPr>
          <w:rFonts w:hint="eastAsia"/>
        </w:rPr>
      </w:pPr>
      <w:bookmarkStart w:id="37" w:name="_Toc519082494"/>
      <w:bookmarkStart w:id="38" w:name="_Toc30464"/>
    </w:p>
    <w:p>
      <w:pPr>
        <w:spacing w:after="156" w:afterLines="50" w:line="240" w:lineRule="auto"/>
        <w:ind w:firstLine="562" w:firstLineChars="200"/>
        <w:outlineLvl w:val="2"/>
        <w:rPr>
          <w:rFonts w:hint="eastAsia" w:ascii="宋体" w:hAnsi="宋体" w:eastAsia="宋体" w:cs="宋体"/>
          <w:sz w:val="28"/>
          <w:szCs w:val="28"/>
        </w:rPr>
      </w:pPr>
      <w:r>
        <w:rPr>
          <w:rFonts w:hint="eastAsia" w:ascii="宋体" w:hAnsi="宋体" w:eastAsia="宋体" w:cs="宋体"/>
          <w:sz w:val="28"/>
          <w:szCs w:val="28"/>
        </w:rPr>
        <w:t>2.评分标准</w:t>
      </w:r>
      <w:bookmarkEnd w:id="36"/>
      <w:bookmarkEnd w:id="37"/>
      <w:bookmarkEnd w:id="38"/>
    </w:p>
    <w:p>
      <w:pPr>
        <w:spacing w:afterLines="50" w:line="24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2.1评分因素以及分值</w:t>
      </w: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457"/>
        <w:gridCol w:w="2484"/>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评分因素</w:t>
            </w:r>
          </w:p>
        </w:tc>
        <w:tc>
          <w:tcPr>
            <w:tcW w:w="2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商务部分</w:t>
            </w:r>
          </w:p>
        </w:tc>
        <w:tc>
          <w:tcPr>
            <w:tcW w:w="24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技术部分</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分值比重</w:t>
            </w:r>
          </w:p>
        </w:tc>
        <w:tc>
          <w:tcPr>
            <w:tcW w:w="2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24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100分</w:t>
            </w:r>
          </w:p>
        </w:tc>
      </w:tr>
    </w:tbl>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bookmarkStart w:id="39" w:name="_Toc381951225"/>
      <w:bookmarkStart w:id="40" w:name="_Toc391306856"/>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2.2初步评审表</w:t>
      </w:r>
      <w:bookmarkEnd w:id="39"/>
      <w:bookmarkEnd w:id="40"/>
    </w:p>
    <w:tbl>
      <w:tblPr>
        <w:tblStyle w:val="1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10"/>
        <w:gridCol w:w="8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restart"/>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lang w:eastAsia="zh-CN"/>
              </w:rPr>
              <w:t>初步评审</w:t>
            </w:r>
          </w:p>
        </w:tc>
        <w:tc>
          <w:tcPr>
            <w:tcW w:w="8674" w:type="dxa"/>
            <w:gridSpan w:val="2"/>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center"/>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rPr>
              <w:t>1</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rPr>
              <w:t>投标人不满足本</w:t>
            </w:r>
            <w:r>
              <w:rPr>
                <w:rFonts w:hint="eastAsia" w:ascii="宋体" w:hAnsi="宋体" w:cs="宋体"/>
                <w:b w:val="0"/>
                <w:bCs w:val="0"/>
                <w:i w:val="0"/>
                <w:iCs w:val="0"/>
                <w:color w:val="auto"/>
                <w:sz w:val="24"/>
                <w:highlight w:val="none"/>
                <w:lang w:val="en-US" w:eastAsia="zh-CN"/>
              </w:rPr>
              <w:t>竞争性磋商</w:t>
            </w:r>
            <w:r>
              <w:rPr>
                <w:rFonts w:hint="eastAsia" w:ascii="宋体" w:hAnsi="宋体" w:cs="宋体"/>
                <w:b w:val="0"/>
                <w:bCs w:val="0"/>
                <w:i w:val="0"/>
                <w:iCs w:val="0"/>
                <w:color w:val="auto"/>
                <w:sz w:val="24"/>
                <w:highlight w:val="none"/>
              </w:rPr>
              <w:t>文件关于对投标人资格证明文件的规定；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2</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eastAsia="宋体" w:cs="宋体"/>
                <w:i w:val="0"/>
                <w:iCs w:val="0"/>
                <w:color w:val="auto"/>
                <w:kern w:val="2"/>
                <w:sz w:val="24"/>
                <w:szCs w:val="24"/>
                <w:highlight w:val="none"/>
                <w:lang w:val="en-US" w:eastAsia="zh-CN" w:bidi="ar-SA"/>
              </w:rPr>
              <w:t>响应文件组成不完整，主要内容未能按竞争性磋商文件规定的内容、格式填写</w:t>
            </w:r>
            <w:r>
              <w:rPr>
                <w:rFonts w:hint="eastAsia" w:ascii="宋体" w:hAnsi="宋体" w:cs="宋体"/>
                <w:b w:val="0"/>
                <w:bCs w:val="0"/>
                <w:i w:val="0"/>
                <w:iCs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3</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eastAsia="zh-CN"/>
              </w:rPr>
              <w:t>响应文件</w:t>
            </w:r>
            <w:r>
              <w:rPr>
                <w:rFonts w:hint="eastAsia" w:ascii="宋体" w:hAnsi="宋体" w:cs="宋体"/>
                <w:b w:val="0"/>
                <w:bCs w:val="0"/>
                <w:i w:val="0"/>
                <w:iCs w:val="0"/>
                <w:color w:val="auto"/>
                <w:sz w:val="24"/>
                <w:highlight w:val="none"/>
              </w:rPr>
              <w:t>的有效期不满足</w:t>
            </w:r>
            <w:r>
              <w:rPr>
                <w:rFonts w:hint="eastAsia" w:ascii="宋体" w:hAnsi="宋体" w:cs="宋体"/>
                <w:b w:val="0"/>
                <w:bCs w:val="0"/>
                <w:i w:val="0"/>
                <w:iCs w:val="0"/>
                <w:color w:val="auto"/>
                <w:sz w:val="24"/>
                <w:highlight w:val="none"/>
                <w:lang w:val="en-US" w:eastAsia="zh-CN"/>
              </w:rPr>
              <w:t>竞争性磋商</w:t>
            </w:r>
            <w:r>
              <w:rPr>
                <w:rFonts w:hint="eastAsia" w:ascii="宋体" w:hAnsi="宋体" w:cs="宋体"/>
                <w:b w:val="0"/>
                <w:bCs w:val="0"/>
                <w:i w:val="0"/>
                <w:iCs w:val="0"/>
                <w:color w:val="auto"/>
                <w:sz w:val="24"/>
                <w:highlight w:val="none"/>
              </w:rPr>
              <w:t>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4</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响应文件没有按照规定签章的</w:t>
            </w:r>
            <w:r>
              <w:rPr>
                <w:rFonts w:hint="eastAsia" w:ascii="宋体" w:hAnsi="宋体" w:cs="宋体"/>
                <w:b w:val="0"/>
                <w:bCs w:val="0"/>
                <w:i w:val="0"/>
                <w:iCs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5</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rPr>
              <w:t>投标代表授权书未能由法定代表人签署；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6</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eastAsia="zh-CN"/>
              </w:rPr>
              <w:t>响应文件</w:t>
            </w:r>
            <w:r>
              <w:rPr>
                <w:rFonts w:hint="eastAsia" w:ascii="宋体" w:hAnsi="宋体" w:cs="宋体"/>
                <w:b w:val="0"/>
                <w:bCs w:val="0"/>
                <w:i w:val="0"/>
                <w:iCs w:val="0"/>
                <w:color w:val="auto"/>
                <w:sz w:val="24"/>
                <w:highlight w:val="none"/>
              </w:rPr>
              <w:t>针对每一</w:t>
            </w:r>
            <w:r>
              <w:rPr>
                <w:rFonts w:hint="eastAsia" w:ascii="宋体" w:hAnsi="宋体" w:cs="宋体"/>
                <w:b w:val="0"/>
                <w:bCs w:val="0"/>
                <w:i w:val="0"/>
                <w:iCs w:val="0"/>
                <w:color w:val="auto"/>
                <w:sz w:val="24"/>
                <w:highlight w:val="none"/>
                <w:lang w:val="en-US" w:eastAsia="zh-CN"/>
              </w:rPr>
              <w:t>项服务</w:t>
            </w:r>
            <w:r>
              <w:rPr>
                <w:rFonts w:hint="eastAsia" w:ascii="宋体" w:hAnsi="宋体" w:cs="宋体"/>
                <w:b w:val="0"/>
                <w:bCs w:val="0"/>
                <w:i w:val="0"/>
                <w:iCs w:val="0"/>
                <w:color w:val="auto"/>
                <w:sz w:val="24"/>
                <w:highlight w:val="none"/>
              </w:rPr>
              <w:t>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cs="宋体"/>
                <w:b w:val="0"/>
                <w:bCs w:val="0"/>
                <w:i w:val="0"/>
                <w:iCs w:val="0"/>
                <w:color w:val="auto"/>
                <w:sz w:val="24"/>
                <w:highlight w:val="none"/>
                <w:lang w:val="en-US" w:eastAsia="zh-CN"/>
              </w:rPr>
              <w:t>7</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投标报价超过最高限价；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cs="宋体"/>
                <w:b w:val="0"/>
                <w:bCs w:val="0"/>
                <w:i w:val="0"/>
                <w:iCs w:val="0"/>
                <w:color w:val="auto"/>
                <w:sz w:val="24"/>
                <w:highlight w:val="none"/>
                <w:lang w:val="en-US" w:eastAsia="zh-CN"/>
              </w:rPr>
              <w:t>8</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rPr>
              <w:t>明显不符合</w:t>
            </w:r>
            <w:r>
              <w:rPr>
                <w:rFonts w:hint="eastAsia" w:ascii="宋体" w:hAnsi="宋体" w:cs="宋体"/>
                <w:b w:val="0"/>
                <w:bCs w:val="0"/>
                <w:i w:val="0"/>
                <w:iCs w:val="0"/>
                <w:color w:val="auto"/>
                <w:sz w:val="24"/>
                <w:highlight w:val="none"/>
                <w:lang w:val="en-US" w:eastAsia="zh-CN"/>
              </w:rPr>
              <w:t>竞争性磋商</w:t>
            </w:r>
            <w:r>
              <w:rPr>
                <w:rFonts w:hint="eastAsia" w:ascii="宋体" w:hAnsi="宋体" w:cs="宋体"/>
                <w:b w:val="0"/>
                <w:bCs w:val="0"/>
                <w:i w:val="0"/>
                <w:iCs w:val="0"/>
                <w:color w:val="auto"/>
                <w:sz w:val="24"/>
                <w:highlight w:val="none"/>
              </w:rPr>
              <w:t>文件关于对</w:t>
            </w:r>
            <w:r>
              <w:rPr>
                <w:rFonts w:hint="eastAsia" w:ascii="宋体" w:hAnsi="宋体" w:cs="宋体"/>
                <w:b w:val="0"/>
                <w:bCs w:val="0"/>
                <w:i w:val="0"/>
                <w:iCs w:val="0"/>
                <w:color w:val="auto"/>
                <w:sz w:val="24"/>
                <w:highlight w:val="none"/>
                <w:lang w:eastAsia="zh-CN"/>
              </w:rPr>
              <w:t>磋商</w:t>
            </w:r>
            <w:r>
              <w:rPr>
                <w:rFonts w:hint="eastAsia" w:ascii="宋体" w:hAnsi="宋体" w:cs="宋体"/>
                <w:b w:val="0"/>
                <w:bCs w:val="0"/>
                <w:i w:val="0"/>
                <w:iCs w:val="0"/>
                <w:color w:val="auto"/>
                <w:sz w:val="24"/>
                <w:highlight w:val="none"/>
                <w:lang w:val="en-US" w:eastAsia="zh-CN"/>
              </w:rPr>
              <w:t>服务</w:t>
            </w:r>
            <w:r>
              <w:rPr>
                <w:rFonts w:hint="eastAsia" w:ascii="宋体" w:hAnsi="宋体" w:cs="宋体"/>
                <w:b w:val="0"/>
                <w:bCs w:val="0"/>
                <w:i w:val="0"/>
                <w:iCs w:val="0"/>
                <w:color w:val="auto"/>
                <w:sz w:val="24"/>
                <w:highlight w:val="none"/>
              </w:rPr>
              <w:t>技术规格和标准的要求；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cs="宋体"/>
                <w:b w:val="0"/>
                <w:bCs w:val="0"/>
                <w:i w:val="0"/>
                <w:iCs w:val="0"/>
                <w:color w:val="auto"/>
                <w:sz w:val="24"/>
                <w:highlight w:val="none"/>
                <w:lang w:val="en-US" w:eastAsia="zh-CN"/>
              </w:rPr>
              <w:t>9</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eastAsia="zh-CN"/>
              </w:rPr>
              <w:t>响应文件</w:t>
            </w:r>
            <w:r>
              <w:rPr>
                <w:rFonts w:hint="eastAsia" w:ascii="宋体" w:hAnsi="宋体" w:cs="宋体"/>
                <w:b w:val="0"/>
                <w:bCs w:val="0"/>
                <w:i w:val="0"/>
                <w:iCs w:val="0"/>
                <w:color w:val="auto"/>
                <w:sz w:val="24"/>
                <w:highlight w:val="none"/>
              </w:rPr>
              <w:t>载明的</w:t>
            </w:r>
            <w:r>
              <w:rPr>
                <w:rFonts w:hint="eastAsia" w:ascii="宋体" w:hAnsi="宋体" w:cs="宋体"/>
                <w:b w:val="0"/>
                <w:bCs w:val="0"/>
                <w:i w:val="0"/>
                <w:iCs w:val="0"/>
                <w:color w:val="auto"/>
                <w:sz w:val="24"/>
                <w:highlight w:val="none"/>
                <w:lang w:eastAsia="zh-CN"/>
              </w:rPr>
              <w:t>磋商</w:t>
            </w:r>
            <w:r>
              <w:rPr>
                <w:rFonts w:hint="eastAsia" w:ascii="宋体" w:hAnsi="宋体" w:cs="宋体"/>
                <w:b w:val="0"/>
                <w:bCs w:val="0"/>
                <w:i w:val="0"/>
                <w:iCs w:val="0"/>
                <w:color w:val="auto"/>
                <w:sz w:val="24"/>
                <w:highlight w:val="none"/>
              </w:rPr>
              <w:t>项目</w:t>
            </w:r>
            <w:r>
              <w:rPr>
                <w:rFonts w:hint="eastAsia" w:ascii="宋体" w:hAnsi="宋体" w:cs="宋体"/>
                <w:b w:val="0"/>
                <w:bCs w:val="0"/>
                <w:i w:val="0"/>
                <w:iCs w:val="0"/>
                <w:color w:val="auto"/>
                <w:sz w:val="24"/>
                <w:highlight w:val="none"/>
                <w:lang w:val="en-US" w:eastAsia="zh-CN"/>
              </w:rPr>
              <w:t>服务周期</w:t>
            </w:r>
            <w:r>
              <w:rPr>
                <w:rFonts w:hint="eastAsia" w:ascii="宋体" w:hAnsi="宋体" w:cs="宋体"/>
                <w:b w:val="0"/>
                <w:bCs w:val="0"/>
                <w:i w:val="0"/>
                <w:iCs w:val="0"/>
                <w:color w:val="auto"/>
                <w:sz w:val="24"/>
                <w:highlight w:val="none"/>
              </w:rPr>
              <w:t>超过</w:t>
            </w:r>
            <w:r>
              <w:rPr>
                <w:rFonts w:hint="eastAsia" w:ascii="宋体" w:hAnsi="宋体" w:cs="宋体"/>
                <w:b w:val="0"/>
                <w:bCs w:val="0"/>
                <w:i w:val="0"/>
                <w:iCs w:val="0"/>
                <w:color w:val="auto"/>
                <w:sz w:val="24"/>
                <w:highlight w:val="none"/>
                <w:lang w:eastAsia="zh-CN"/>
              </w:rPr>
              <w:t>竞争性磋商文件</w:t>
            </w:r>
            <w:r>
              <w:rPr>
                <w:rFonts w:hint="eastAsia" w:ascii="宋体" w:hAnsi="宋体" w:cs="宋体"/>
                <w:b w:val="0"/>
                <w:bCs w:val="0"/>
                <w:i w:val="0"/>
                <w:iCs w:val="0"/>
                <w:color w:val="auto"/>
                <w:sz w:val="24"/>
                <w:highlight w:val="none"/>
              </w:rPr>
              <w:t>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cs="宋体"/>
                <w:b w:val="0"/>
                <w:bCs w:val="0"/>
                <w:i w:val="0"/>
                <w:iCs w:val="0"/>
                <w:color w:val="auto"/>
                <w:sz w:val="24"/>
                <w:highlight w:val="none"/>
                <w:lang w:val="en-US" w:eastAsia="zh-CN"/>
              </w:rPr>
              <w:t>10</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eastAsia="zh-CN"/>
              </w:rPr>
              <w:t>响应文件</w:t>
            </w:r>
            <w:r>
              <w:rPr>
                <w:rFonts w:hint="eastAsia" w:ascii="宋体" w:hAnsi="宋体" w:cs="宋体"/>
                <w:b w:val="0"/>
                <w:bCs w:val="0"/>
                <w:i w:val="0"/>
                <w:iCs w:val="0"/>
                <w:color w:val="auto"/>
                <w:sz w:val="24"/>
                <w:highlight w:val="none"/>
              </w:rPr>
              <w:t>载明的</w:t>
            </w:r>
            <w:r>
              <w:rPr>
                <w:rFonts w:hint="eastAsia" w:ascii="宋体" w:hAnsi="宋体" w:cs="宋体"/>
                <w:b w:val="0"/>
                <w:bCs w:val="0"/>
                <w:i w:val="0"/>
                <w:iCs w:val="0"/>
                <w:color w:val="auto"/>
                <w:sz w:val="24"/>
                <w:highlight w:val="none"/>
                <w:lang w:val="en-US" w:eastAsia="zh-CN"/>
              </w:rPr>
              <w:t>服务</w:t>
            </w:r>
            <w:r>
              <w:rPr>
                <w:rFonts w:hint="eastAsia" w:ascii="宋体" w:hAnsi="宋体" w:cs="宋体"/>
                <w:b w:val="0"/>
                <w:bCs w:val="0"/>
                <w:i w:val="0"/>
                <w:iCs w:val="0"/>
                <w:color w:val="auto"/>
                <w:sz w:val="24"/>
                <w:highlight w:val="none"/>
              </w:rPr>
              <w:t>范围等不符合</w:t>
            </w:r>
            <w:r>
              <w:rPr>
                <w:rFonts w:hint="eastAsia" w:ascii="宋体" w:hAnsi="宋体" w:cs="宋体"/>
                <w:b w:val="0"/>
                <w:bCs w:val="0"/>
                <w:i w:val="0"/>
                <w:iCs w:val="0"/>
                <w:color w:val="auto"/>
                <w:sz w:val="24"/>
                <w:highlight w:val="none"/>
                <w:lang w:val="en-US" w:eastAsia="zh-CN"/>
              </w:rPr>
              <w:t>竞争性磋商</w:t>
            </w:r>
            <w:r>
              <w:rPr>
                <w:rFonts w:hint="eastAsia" w:ascii="宋体" w:hAnsi="宋体" w:cs="宋体"/>
                <w:b w:val="0"/>
                <w:bCs w:val="0"/>
                <w:i w:val="0"/>
                <w:iCs w:val="0"/>
                <w:color w:val="auto"/>
                <w:sz w:val="24"/>
                <w:highlight w:val="none"/>
              </w:rPr>
              <w:t>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cs="宋体"/>
                <w:b w:val="0"/>
                <w:bCs w:val="0"/>
                <w:i w:val="0"/>
                <w:iCs w:val="0"/>
                <w:color w:val="auto"/>
                <w:sz w:val="24"/>
                <w:highlight w:val="none"/>
                <w:lang w:val="en-US" w:eastAsia="zh-CN"/>
              </w:rPr>
              <w:t>11</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eastAsia="zh-CN"/>
              </w:rPr>
              <w:t>响应文件含</w:t>
            </w:r>
            <w:r>
              <w:rPr>
                <w:rFonts w:hint="eastAsia" w:ascii="宋体" w:hAnsi="宋体" w:cs="宋体"/>
                <w:b w:val="0"/>
                <w:bCs w:val="0"/>
                <w:i w:val="0"/>
                <w:iCs w:val="0"/>
                <w:color w:val="auto"/>
                <w:sz w:val="24"/>
                <w:highlight w:val="none"/>
              </w:rPr>
              <w:t>有采购人不能接受的</w:t>
            </w:r>
            <w:r>
              <w:rPr>
                <w:rFonts w:hint="eastAsia" w:ascii="宋体" w:hAnsi="宋体" w:cs="宋体"/>
                <w:b w:val="0"/>
                <w:bCs w:val="0"/>
                <w:i w:val="0"/>
                <w:iCs w:val="0"/>
                <w:color w:val="auto"/>
                <w:sz w:val="24"/>
                <w:highlight w:val="none"/>
                <w:lang w:eastAsia="zh-CN"/>
              </w:rPr>
              <w:t>附加</w:t>
            </w:r>
            <w:r>
              <w:rPr>
                <w:rFonts w:hint="eastAsia" w:ascii="宋体" w:hAnsi="宋体" w:cs="宋体"/>
                <w:b w:val="0"/>
                <w:bCs w:val="0"/>
                <w:i w:val="0"/>
                <w:iCs w:val="0"/>
                <w:color w:val="auto"/>
                <w:sz w:val="24"/>
                <w:highlight w:val="none"/>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cs="宋体"/>
                <w:b w:val="0"/>
                <w:bCs w:val="0"/>
                <w:i w:val="0"/>
                <w:iCs w:val="0"/>
                <w:color w:val="auto"/>
                <w:sz w:val="24"/>
                <w:highlight w:val="none"/>
                <w:lang w:val="en-US" w:eastAsia="zh-CN"/>
              </w:rPr>
              <w:t>12</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eastAsia="zh-CN"/>
              </w:rPr>
              <w:t>不符合</w:t>
            </w:r>
            <w:r>
              <w:rPr>
                <w:rFonts w:hint="eastAsia" w:ascii="宋体" w:hAnsi="宋体" w:cs="宋体"/>
                <w:b w:val="0"/>
                <w:bCs w:val="0"/>
                <w:i w:val="0"/>
                <w:iCs w:val="0"/>
                <w:color w:val="auto"/>
                <w:sz w:val="24"/>
                <w:highlight w:val="none"/>
                <w:lang w:val="en-US" w:eastAsia="zh-CN"/>
              </w:rPr>
              <w:t>竞争性磋商</w:t>
            </w:r>
            <w:r>
              <w:rPr>
                <w:rFonts w:hint="eastAsia" w:ascii="宋体" w:hAnsi="宋体" w:cs="宋体"/>
                <w:b w:val="0"/>
                <w:bCs w:val="0"/>
                <w:i w:val="0"/>
                <w:iCs w:val="0"/>
                <w:color w:val="auto"/>
                <w:sz w:val="24"/>
                <w:highlight w:val="none"/>
                <w:lang w:eastAsia="zh-CN"/>
              </w:rPr>
              <w:t>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noWrap w:val="0"/>
            <w:vAlign w:val="center"/>
          </w:tcPr>
          <w:p>
            <w:pPr>
              <w:spacing w:line="360" w:lineRule="auto"/>
              <w:jc w:val="center"/>
              <w:rPr>
                <w:rFonts w:hint="eastAsia" w:ascii="宋体" w:hAnsi="宋体" w:cs="宋体"/>
                <w:b/>
                <w:bCs/>
                <w:i w:val="0"/>
                <w:iCs w:val="0"/>
                <w:color w:val="auto"/>
                <w:sz w:val="24"/>
              </w:rPr>
            </w:pPr>
            <w:r>
              <w:rPr>
                <w:rFonts w:hint="eastAsia" w:ascii="宋体" w:hAnsi="宋体" w:cs="宋体"/>
                <w:b/>
                <w:bCs/>
                <w:i w:val="0"/>
                <w:iCs w:val="0"/>
                <w:color w:val="auto"/>
                <w:sz w:val="24"/>
              </w:rPr>
              <w:t>初步评审合格后方可进入详细评审阶段</w:t>
            </w:r>
          </w:p>
        </w:tc>
      </w:tr>
    </w:tbl>
    <w:p>
      <w:pPr>
        <w:keepNext w:val="0"/>
        <w:keepLines w:val="0"/>
        <w:pageBreakBefore w:val="0"/>
        <w:widowControl w:val="0"/>
        <w:kinsoku/>
        <w:wordWrap/>
        <w:overflowPunct/>
        <w:topLinePunct w:val="0"/>
        <w:autoSpaceDE/>
        <w:autoSpaceDN/>
        <w:bidi w:val="0"/>
        <w:adjustRightInd/>
        <w:snapToGrid/>
        <w:spacing w:before="318" w:beforeLines="100" w:afterLines="50"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2.3商务部分</w:t>
      </w:r>
    </w:p>
    <w:tbl>
      <w:tblPr>
        <w:tblStyle w:val="13"/>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32"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5948"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32"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hint="eastAsia" w:ascii="宋体" w:hAnsi="宋体" w:eastAsia="宋体" w:cs="宋体"/>
                <w:sz w:val="21"/>
                <w:szCs w:val="21"/>
              </w:rPr>
            </w:pPr>
            <w:r>
              <w:rPr>
                <w:rFonts w:hint="eastAsia" w:ascii="宋体" w:hAnsi="宋体" w:eastAsia="宋体" w:cs="宋体"/>
                <w:sz w:val="21"/>
                <w:szCs w:val="21"/>
              </w:rPr>
              <w:t>2.3.1</w:t>
            </w:r>
          </w:p>
        </w:tc>
        <w:tc>
          <w:tcPr>
            <w:tcW w:w="1900" w:type="dxa"/>
            <w:tcBorders>
              <w:top w:val="single" w:color="auto" w:sz="4" w:space="0"/>
              <w:left w:val="nil"/>
              <w:bottom w:val="single" w:color="auto" w:sz="4" w:space="0"/>
              <w:right w:val="single" w:color="auto" w:sz="4" w:space="0"/>
            </w:tcBorders>
            <w:noWrap w:val="0"/>
            <w:vAlign w:val="center"/>
          </w:tcPr>
          <w:p>
            <w:pPr>
              <w:spacing w:beforeLines="30" w:line="312" w:lineRule="auto"/>
              <w:rPr>
                <w:rFonts w:hint="eastAsia" w:ascii="宋体" w:hAnsi="宋体" w:eastAsia="宋体" w:cs="宋体"/>
                <w:sz w:val="21"/>
                <w:szCs w:val="21"/>
              </w:rPr>
            </w:pPr>
            <w:r>
              <w:rPr>
                <w:rFonts w:hint="eastAsia" w:ascii="宋体" w:hAnsi="宋体" w:eastAsia="宋体" w:cs="宋体"/>
                <w:sz w:val="21"/>
                <w:szCs w:val="21"/>
              </w:rPr>
              <w:t>报价得分（</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c>
          <w:tcPr>
            <w:tcW w:w="5948" w:type="dxa"/>
            <w:tcBorders>
              <w:top w:val="single" w:color="auto" w:sz="4" w:space="0"/>
              <w:left w:val="nil"/>
              <w:bottom w:val="single" w:color="auto" w:sz="4" w:space="0"/>
              <w:right w:val="single" w:color="auto" w:sz="4" w:space="0"/>
            </w:tcBorders>
            <w:noWrap w:val="0"/>
            <w:vAlign w:val="center"/>
          </w:tcPr>
          <w:p>
            <w:pPr>
              <w:spacing w:beforeLines="30" w:line="312" w:lineRule="auto"/>
              <w:rPr>
                <w:rFonts w:hint="eastAsia" w:ascii="宋体" w:hAnsi="宋体" w:eastAsia="宋体" w:cs="宋体"/>
                <w:sz w:val="21"/>
                <w:szCs w:val="21"/>
                <w:lang w:val="en-US" w:eastAsia="zh-CN"/>
              </w:rPr>
            </w:pPr>
            <w:r>
              <w:rPr>
                <w:rFonts w:hint="eastAsia" w:ascii="宋体" w:hAnsi="宋体" w:eastAsia="宋体" w:cs="宋体"/>
                <w:sz w:val="21"/>
                <w:szCs w:val="21"/>
              </w:rPr>
              <w:t>综合评分法中的价格分统一采用低价优先法计算，即满足</w:t>
            </w:r>
            <w:r>
              <w:rPr>
                <w:rFonts w:hint="eastAsia" w:ascii="宋体" w:hAnsi="宋体" w:eastAsia="宋体" w:cs="宋体"/>
                <w:sz w:val="21"/>
                <w:szCs w:val="21"/>
                <w:lang w:val="en-US" w:eastAsia="zh-CN"/>
              </w:rPr>
              <w:t>采购</w:t>
            </w:r>
            <w:r>
              <w:rPr>
                <w:rFonts w:hint="eastAsia" w:ascii="宋体" w:hAnsi="宋体" w:eastAsia="宋体" w:cs="宋体"/>
                <w:sz w:val="21"/>
                <w:szCs w:val="21"/>
              </w:rPr>
              <w:t>要求且</w:t>
            </w:r>
            <w:r>
              <w:rPr>
                <w:rFonts w:hint="eastAsia" w:ascii="宋体" w:hAnsi="宋体" w:eastAsia="宋体" w:cs="宋体"/>
                <w:sz w:val="21"/>
                <w:szCs w:val="21"/>
                <w:lang w:val="en-US" w:eastAsia="zh-CN"/>
              </w:rPr>
              <w:t>最终价格</w:t>
            </w:r>
            <w:r>
              <w:rPr>
                <w:rFonts w:hint="eastAsia" w:ascii="宋体" w:hAnsi="宋体" w:eastAsia="宋体" w:cs="宋体"/>
                <w:sz w:val="21"/>
                <w:szCs w:val="21"/>
              </w:rPr>
              <w:t>最低的报价为</w:t>
            </w:r>
            <w:r>
              <w:rPr>
                <w:rFonts w:hint="eastAsia" w:ascii="宋体" w:hAnsi="宋体" w:eastAsia="宋体" w:cs="宋体"/>
                <w:sz w:val="21"/>
                <w:szCs w:val="21"/>
                <w:lang w:eastAsia="zh-CN"/>
              </w:rPr>
              <w:t>评审</w:t>
            </w:r>
            <w:r>
              <w:rPr>
                <w:rFonts w:hint="eastAsia" w:ascii="宋体" w:hAnsi="宋体" w:eastAsia="宋体" w:cs="宋体"/>
                <w:sz w:val="21"/>
                <w:szCs w:val="21"/>
              </w:rPr>
              <w:t>基准价，其价格分为满分。其他</w:t>
            </w:r>
            <w:r>
              <w:rPr>
                <w:rFonts w:hint="eastAsia" w:ascii="宋体" w:hAnsi="宋体" w:eastAsia="宋体" w:cs="宋体"/>
                <w:sz w:val="21"/>
                <w:szCs w:val="21"/>
                <w:lang w:eastAsia="zh-CN"/>
              </w:rPr>
              <w:t>供应商</w:t>
            </w:r>
            <w:r>
              <w:rPr>
                <w:rFonts w:hint="eastAsia" w:ascii="宋体" w:hAnsi="宋体" w:eastAsia="宋体" w:cs="宋体"/>
                <w:sz w:val="21"/>
                <w:szCs w:val="21"/>
              </w:rPr>
              <w:t>的价格分统一按照下列公式计算：报价得分=(</w:t>
            </w:r>
            <w:r>
              <w:rPr>
                <w:rFonts w:hint="eastAsia" w:ascii="宋体" w:hAnsi="宋体" w:eastAsia="宋体" w:cs="宋体"/>
                <w:sz w:val="21"/>
                <w:szCs w:val="21"/>
                <w:lang w:eastAsia="zh-CN"/>
              </w:rPr>
              <w:t>评审</w:t>
            </w:r>
            <w:r>
              <w:rPr>
                <w:rFonts w:hint="eastAsia" w:ascii="宋体" w:hAnsi="宋体" w:eastAsia="宋体" w:cs="宋体"/>
                <w:sz w:val="21"/>
                <w:szCs w:val="21"/>
              </w:rPr>
              <w:t>基准价／</w:t>
            </w:r>
            <w:r>
              <w:rPr>
                <w:rFonts w:hint="eastAsia" w:ascii="宋体" w:hAnsi="宋体" w:eastAsia="宋体" w:cs="宋体"/>
                <w:sz w:val="21"/>
                <w:szCs w:val="21"/>
                <w:lang w:val="en-US" w:eastAsia="zh-CN"/>
              </w:rPr>
              <w:t>最终</w:t>
            </w:r>
            <w:r>
              <w:rPr>
                <w:rFonts w:hint="eastAsia" w:ascii="宋体" w:hAnsi="宋体" w:eastAsia="宋体" w:cs="宋体"/>
                <w:sz w:val="21"/>
                <w:szCs w:val="21"/>
              </w:rPr>
              <w:t>报价)×价格权值×</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0</w:t>
            </w:r>
            <w:r>
              <w:rPr>
                <w:rFonts w:hint="eastAsia" w:ascii="宋体" w:hAnsi="宋体" w:eastAsia="宋体" w:cs="宋体"/>
                <w:sz w:val="21"/>
                <w:szCs w:val="21"/>
              </w:rPr>
              <w:t>。</w:t>
            </w:r>
          </w:p>
        </w:tc>
      </w:tr>
    </w:tbl>
    <w:p>
      <w:pPr>
        <w:rPr>
          <w:rFonts w:hint="eastAsia"/>
        </w:rPr>
      </w:pPr>
    </w:p>
    <w:p>
      <w:pPr>
        <w:spacing w:beforeLines="50" w:afterLines="50" w:line="400" w:lineRule="exact"/>
        <w:ind w:firstLine="482" w:firstLineChars="200"/>
        <w:rPr>
          <w:rFonts w:hint="eastAsia"/>
        </w:rPr>
      </w:pPr>
      <w:r>
        <w:rPr>
          <w:rFonts w:hint="eastAsia" w:ascii="宋体" w:hAnsi="宋体" w:eastAsia="宋体" w:cs="宋体"/>
          <w:sz w:val="24"/>
          <w:szCs w:val="24"/>
        </w:rPr>
        <w:t>2.4技术部分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92"/>
        <w:gridCol w:w="5678"/>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8" w:type="dxa"/>
            <w:gridSpan w:val="2"/>
            <w:tcBorders>
              <w:tl2br w:val="nil"/>
              <w:tr2bl w:val="nil"/>
            </w:tcBorders>
            <w:noWrap w:val="0"/>
            <w:vAlign w:val="center"/>
          </w:tcPr>
          <w:p>
            <w:pPr>
              <w:spacing w:beforeLines="30" w:line="312" w:lineRule="auto"/>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5678" w:type="dxa"/>
            <w:tcBorders>
              <w:tl2br w:val="nil"/>
              <w:tr2bl w:val="nil"/>
            </w:tcBorders>
            <w:noWrap w:val="0"/>
            <w:vAlign w:val="center"/>
          </w:tcPr>
          <w:p>
            <w:pPr>
              <w:spacing w:beforeLines="30" w:line="312" w:lineRule="auto"/>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c>
          <w:tcPr>
            <w:tcW w:w="939" w:type="dxa"/>
            <w:tcBorders>
              <w:tl2br w:val="nil"/>
              <w:tr2bl w:val="nil"/>
            </w:tcBorders>
            <w:noWrap w:val="0"/>
            <w:vAlign w:val="center"/>
          </w:tcPr>
          <w:p>
            <w:pPr>
              <w:spacing w:beforeLines="30" w:line="312"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noWrap w:val="0"/>
            <w:vAlign w:val="center"/>
          </w:tcPr>
          <w:p>
            <w:pPr>
              <w:spacing w:beforeLines="30" w:line="312"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92" w:type="dxa"/>
            <w:tcBorders>
              <w:tl2br w:val="nil"/>
              <w:tr2bl w:val="nil"/>
            </w:tcBorders>
            <w:noWrap w:val="0"/>
            <w:vAlign w:val="center"/>
          </w:tcPr>
          <w:p>
            <w:pPr>
              <w:spacing w:beforeLines="30" w:line="312" w:lineRule="auto"/>
              <w:jc w:val="center"/>
              <w:rPr>
                <w:rFonts w:hint="eastAsia" w:ascii="宋体" w:hAnsi="宋体" w:eastAsia="宋体" w:cs="宋体"/>
                <w:sz w:val="24"/>
                <w:szCs w:val="24"/>
              </w:rPr>
            </w:pPr>
            <w:r>
              <w:rPr>
                <w:rFonts w:hint="eastAsia" w:ascii="宋体" w:hAnsi="宋体"/>
                <w:b/>
                <w:bCs/>
                <w:szCs w:val="21"/>
              </w:rPr>
              <w:t>对本</w:t>
            </w:r>
            <w:r>
              <w:rPr>
                <w:rFonts w:hint="eastAsia" w:ascii="宋体" w:hAnsi="宋体"/>
                <w:b/>
                <w:bCs/>
                <w:szCs w:val="21"/>
                <w:lang w:eastAsia="zh-CN"/>
              </w:rPr>
              <w:t>项目</w:t>
            </w:r>
            <w:r>
              <w:rPr>
                <w:rFonts w:hint="eastAsia" w:ascii="宋体" w:hAnsi="宋体"/>
                <w:b/>
                <w:bCs/>
                <w:szCs w:val="21"/>
              </w:rPr>
              <w:t>的认识和理解</w:t>
            </w:r>
          </w:p>
        </w:tc>
        <w:tc>
          <w:tcPr>
            <w:tcW w:w="5678" w:type="dxa"/>
            <w:tcBorders>
              <w:tl2br w:val="nil"/>
              <w:tr2bl w:val="nil"/>
            </w:tcBorders>
            <w:noWrap w:val="0"/>
            <w:vAlign w:val="center"/>
          </w:tcPr>
          <w:p>
            <w:pPr>
              <w:spacing w:beforeLines="30" w:line="312" w:lineRule="auto"/>
              <w:rPr>
                <w:rFonts w:hint="default" w:ascii="宋体" w:hAnsi="宋体" w:eastAsia="宋体" w:cs="宋体"/>
                <w:sz w:val="21"/>
                <w:szCs w:val="21"/>
                <w:lang w:val="en-US" w:eastAsia="zh-CN"/>
              </w:rPr>
            </w:pPr>
            <w:r>
              <w:rPr>
                <w:rFonts w:hint="eastAsia" w:ascii="宋体" w:hAnsi="宋体"/>
                <w:sz w:val="21"/>
                <w:szCs w:val="21"/>
              </w:rPr>
              <w:t>对本工程实施的重点和难点理解清晰</w:t>
            </w:r>
            <w:r>
              <w:rPr>
                <w:rFonts w:hint="eastAsia" w:ascii="宋体" w:hAnsi="宋体"/>
                <w:sz w:val="21"/>
                <w:szCs w:val="21"/>
                <w:lang w:eastAsia="zh-CN"/>
              </w:rPr>
              <w:t>得</w:t>
            </w:r>
            <w:r>
              <w:rPr>
                <w:rFonts w:hint="eastAsia" w:ascii="宋体" w:hAnsi="宋体"/>
                <w:sz w:val="21"/>
                <w:szCs w:val="21"/>
                <w:lang w:val="en-US" w:eastAsia="zh-CN"/>
              </w:rPr>
              <w:t>15分；</w:t>
            </w:r>
            <w:r>
              <w:rPr>
                <w:rFonts w:hint="eastAsia" w:ascii="宋体" w:hAnsi="宋体"/>
                <w:sz w:val="21"/>
                <w:szCs w:val="21"/>
              </w:rPr>
              <w:t>对本工程的特点理解程度一般</w:t>
            </w:r>
            <w:r>
              <w:rPr>
                <w:rFonts w:hint="eastAsia" w:ascii="宋体" w:hAnsi="宋体"/>
                <w:sz w:val="21"/>
                <w:szCs w:val="21"/>
                <w:lang w:eastAsia="zh-CN"/>
              </w:rPr>
              <w:t>得</w:t>
            </w:r>
            <w:r>
              <w:rPr>
                <w:rFonts w:hint="eastAsia" w:ascii="宋体" w:hAnsi="宋体"/>
                <w:sz w:val="21"/>
                <w:szCs w:val="21"/>
                <w:lang w:val="en-US" w:eastAsia="zh-CN"/>
              </w:rPr>
              <w:t>5-10分；</w:t>
            </w:r>
            <w:r>
              <w:rPr>
                <w:rFonts w:hint="eastAsia" w:ascii="宋体" w:hAnsi="宋体"/>
                <w:sz w:val="21"/>
                <w:szCs w:val="21"/>
              </w:rPr>
              <w:t>对本工程的认识和理解不明确</w:t>
            </w:r>
            <w:r>
              <w:rPr>
                <w:rFonts w:hint="eastAsia" w:ascii="宋体" w:hAnsi="宋体"/>
                <w:sz w:val="21"/>
                <w:szCs w:val="21"/>
                <w:lang w:eastAsia="zh-CN"/>
              </w:rPr>
              <w:t>得</w:t>
            </w:r>
            <w:r>
              <w:rPr>
                <w:rFonts w:hint="eastAsia" w:ascii="宋体" w:hAnsi="宋体"/>
                <w:sz w:val="21"/>
                <w:szCs w:val="21"/>
                <w:lang w:val="en-US" w:eastAsia="zh-CN"/>
              </w:rPr>
              <w:t>0-5分。</w:t>
            </w:r>
          </w:p>
        </w:tc>
        <w:tc>
          <w:tcPr>
            <w:tcW w:w="939" w:type="dxa"/>
            <w:tcBorders>
              <w:tl2br w:val="nil"/>
              <w:tr2bl w:val="nil"/>
            </w:tcBorders>
            <w:noWrap w:val="0"/>
            <w:vAlign w:val="center"/>
          </w:tcPr>
          <w:p>
            <w:pPr>
              <w:spacing w:beforeLines="30" w:line="312"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tcBorders>
              <w:tl2br w:val="nil"/>
              <w:tr2bl w:val="nil"/>
            </w:tcBorders>
            <w:noWrap w:val="0"/>
            <w:vAlign w:val="center"/>
          </w:tcPr>
          <w:p>
            <w:pPr>
              <w:spacing w:beforeLines="30" w:line="312"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1592" w:type="dxa"/>
            <w:tcBorders>
              <w:tl2br w:val="nil"/>
              <w:tr2bl w:val="nil"/>
            </w:tcBorders>
            <w:noWrap w:val="0"/>
            <w:vAlign w:val="center"/>
          </w:tcPr>
          <w:p>
            <w:pPr>
              <w:spacing w:beforeLines="30" w:line="312" w:lineRule="auto"/>
              <w:jc w:val="center"/>
              <w:rPr>
                <w:rFonts w:hint="eastAsia" w:ascii="宋体" w:hAnsi="宋体" w:eastAsia="宋体" w:cs="宋体"/>
                <w:sz w:val="24"/>
                <w:szCs w:val="24"/>
              </w:rPr>
            </w:pPr>
            <w:r>
              <w:rPr>
                <w:rFonts w:hint="eastAsia" w:ascii="宋体" w:hAnsi="宋体"/>
                <w:b/>
                <w:bCs/>
                <w:szCs w:val="21"/>
              </w:rPr>
              <w:t>人员配置</w:t>
            </w:r>
          </w:p>
        </w:tc>
        <w:tc>
          <w:tcPr>
            <w:tcW w:w="5678" w:type="dxa"/>
            <w:tcBorders>
              <w:tl2br w:val="nil"/>
              <w:tr2bl w:val="nil"/>
            </w:tcBorders>
            <w:noWrap w:val="0"/>
            <w:vAlign w:val="center"/>
          </w:tcPr>
          <w:p>
            <w:pPr>
              <w:spacing w:beforeLines="30" w:line="312" w:lineRule="auto"/>
              <w:rPr>
                <w:rFonts w:hint="eastAsia" w:ascii="宋体" w:hAnsi="宋体"/>
                <w:sz w:val="21"/>
                <w:szCs w:val="21"/>
              </w:rPr>
            </w:pPr>
            <w:r>
              <w:rPr>
                <w:rFonts w:hint="eastAsia" w:ascii="宋体" w:hAnsi="宋体" w:eastAsia="宋体" w:cs="宋体"/>
                <w:i w:val="0"/>
                <w:iCs w:val="0"/>
                <w:color w:val="auto"/>
                <w:sz w:val="21"/>
                <w:szCs w:val="21"/>
                <w:lang w:eastAsia="zh-CN"/>
              </w:rPr>
              <w:t>投标人</w:t>
            </w:r>
            <w:r>
              <w:rPr>
                <w:rFonts w:hint="eastAsia" w:ascii="宋体" w:hAnsi="宋体" w:eastAsia="宋体" w:cs="宋体"/>
                <w:i w:val="0"/>
                <w:iCs w:val="0"/>
                <w:color w:val="auto"/>
                <w:sz w:val="21"/>
                <w:szCs w:val="21"/>
              </w:rPr>
              <w:t>针对本项目配置专业技术人员、具有良好的本地服务能力、稳定的服务人员团队、合理的人员安排酌情</w:t>
            </w:r>
            <w:r>
              <w:rPr>
                <w:rFonts w:hint="eastAsia" w:ascii="宋体" w:hAnsi="宋体" w:cs="宋体"/>
                <w:i w:val="0"/>
                <w:iCs w:val="0"/>
                <w:color w:val="auto"/>
                <w:sz w:val="21"/>
                <w:szCs w:val="21"/>
                <w:lang w:eastAsia="zh-CN"/>
              </w:rPr>
              <w:t>得</w:t>
            </w:r>
            <w:r>
              <w:rPr>
                <w:rFonts w:hint="eastAsia" w:ascii="宋体" w:hAnsi="宋体" w:cs="宋体"/>
                <w:i w:val="0"/>
                <w:iCs w:val="0"/>
                <w:color w:val="auto"/>
                <w:sz w:val="21"/>
                <w:szCs w:val="21"/>
                <w:lang w:val="en-US" w:eastAsia="zh-CN"/>
              </w:rPr>
              <w:t>15</w:t>
            </w:r>
            <w:r>
              <w:rPr>
                <w:rFonts w:hint="eastAsia" w:ascii="宋体" w:hAnsi="宋体" w:eastAsia="宋体" w:cs="宋体"/>
                <w:i w:val="0"/>
                <w:iCs w:val="0"/>
                <w:color w:val="auto"/>
                <w:sz w:val="21"/>
                <w:szCs w:val="21"/>
              </w:rPr>
              <w:t>分。</w:t>
            </w:r>
            <w:r>
              <w:rPr>
                <w:rFonts w:hint="eastAsia" w:ascii="宋体" w:hAnsi="宋体" w:eastAsia="宋体" w:cs="宋体"/>
                <w:i w:val="0"/>
                <w:iCs w:val="0"/>
                <w:color w:val="auto"/>
                <w:sz w:val="21"/>
                <w:szCs w:val="21"/>
                <w:lang w:val="en-US" w:eastAsia="zh-CN"/>
              </w:rPr>
              <w:t>投标人拟投入项目人员具有</w:t>
            </w:r>
            <w:r>
              <w:rPr>
                <w:rFonts w:hint="eastAsia" w:ascii="宋体" w:hAnsi="宋体" w:cs="宋体"/>
                <w:i w:val="0"/>
                <w:iCs w:val="0"/>
                <w:color w:val="auto"/>
                <w:sz w:val="21"/>
                <w:szCs w:val="21"/>
                <w:lang w:val="en-US" w:eastAsia="zh-CN"/>
              </w:rPr>
              <w:t>高级职称</w:t>
            </w:r>
            <w:r>
              <w:rPr>
                <w:rFonts w:hint="eastAsia" w:ascii="宋体" w:hAnsi="宋体" w:eastAsia="宋体" w:cs="宋体"/>
                <w:i w:val="0"/>
                <w:iCs w:val="0"/>
                <w:color w:val="auto"/>
                <w:sz w:val="21"/>
                <w:szCs w:val="21"/>
                <w:lang w:val="en-US" w:eastAsia="zh-CN"/>
              </w:rPr>
              <w:t>证书的每个得</w:t>
            </w:r>
            <w:r>
              <w:rPr>
                <w:rFonts w:hint="eastAsia" w:ascii="宋体" w:hAnsi="宋体" w:cs="宋体"/>
                <w:i w:val="0"/>
                <w:iCs w:val="0"/>
                <w:color w:val="auto"/>
                <w:sz w:val="21"/>
                <w:szCs w:val="21"/>
                <w:lang w:val="en-US" w:eastAsia="zh-CN"/>
              </w:rPr>
              <w:t>2</w:t>
            </w:r>
            <w:r>
              <w:rPr>
                <w:rFonts w:hint="eastAsia" w:ascii="宋体" w:hAnsi="宋体" w:eastAsia="宋体" w:cs="宋体"/>
                <w:i w:val="0"/>
                <w:iCs w:val="0"/>
                <w:color w:val="auto"/>
                <w:sz w:val="21"/>
                <w:szCs w:val="21"/>
                <w:lang w:val="en-US" w:eastAsia="zh-CN"/>
              </w:rPr>
              <w:t>分，最多得</w:t>
            </w:r>
            <w:r>
              <w:rPr>
                <w:rFonts w:hint="eastAsia" w:ascii="宋体" w:hAnsi="宋体" w:cs="宋体"/>
                <w:i w:val="0"/>
                <w:iCs w:val="0"/>
                <w:color w:val="auto"/>
                <w:sz w:val="21"/>
                <w:szCs w:val="21"/>
                <w:lang w:val="en-US" w:eastAsia="zh-CN"/>
              </w:rPr>
              <w:t>15</w:t>
            </w:r>
            <w:r>
              <w:rPr>
                <w:rFonts w:hint="eastAsia" w:ascii="宋体" w:hAnsi="宋体" w:eastAsia="宋体" w:cs="宋体"/>
                <w:i w:val="0"/>
                <w:iCs w:val="0"/>
                <w:color w:val="auto"/>
                <w:sz w:val="21"/>
                <w:szCs w:val="21"/>
                <w:lang w:val="en-US" w:eastAsia="zh-CN"/>
              </w:rPr>
              <w:t>分，没有不得分。</w:t>
            </w:r>
          </w:p>
        </w:tc>
        <w:tc>
          <w:tcPr>
            <w:tcW w:w="939" w:type="dxa"/>
            <w:tcBorders>
              <w:tl2br w:val="nil"/>
              <w:tr2bl w:val="nil"/>
            </w:tcBorders>
            <w:noWrap w:val="0"/>
            <w:vAlign w:val="center"/>
          </w:tcPr>
          <w:p>
            <w:pPr>
              <w:spacing w:beforeLines="30" w:line="312"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noWrap w:val="0"/>
            <w:vAlign w:val="center"/>
          </w:tcPr>
          <w:p>
            <w:pPr>
              <w:spacing w:beforeLines="30" w:line="312"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592" w:type="dxa"/>
            <w:tcBorders>
              <w:tl2br w:val="nil"/>
              <w:tr2bl w:val="nil"/>
            </w:tcBorders>
            <w:noWrap w:val="0"/>
            <w:vAlign w:val="center"/>
          </w:tcPr>
          <w:p>
            <w:pPr>
              <w:spacing w:beforeLines="30" w:line="312" w:lineRule="auto"/>
              <w:jc w:val="center"/>
              <w:rPr>
                <w:rFonts w:hint="eastAsia" w:ascii="宋体" w:hAnsi="宋体" w:eastAsia="宋体" w:cs="宋体"/>
                <w:sz w:val="24"/>
                <w:szCs w:val="24"/>
              </w:rPr>
            </w:pPr>
            <w:r>
              <w:rPr>
                <w:rFonts w:hint="eastAsia" w:ascii="宋体" w:hAnsi="宋体"/>
                <w:b/>
                <w:bCs/>
                <w:szCs w:val="21"/>
              </w:rPr>
              <w:t>合同管理</w:t>
            </w:r>
          </w:p>
        </w:tc>
        <w:tc>
          <w:tcPr>
            <w:tcW w:w="5678" w:type="dxa"/>
            <w:tcBorders>
              <w:tl2br w:val="nil"/>
              <w:tr2bl w:val="nil"/>
            </w:tcBorders>
            <w:noWrap w:val="0"/>
            <w:vAlign w:val="center"/>
          </w:tcPr>
          <w:p>
            <w:pPr>
              <w:spacing w:beforeLines="30" w:line="312" w:lineRule="auto"/>
              <w:rPr>
                <w:rFonts w:hint="default" w:ascii="宋体" w:hAnsi="宋体" w:eastAsia="宋体"/>
                <w:szCs w:val="21"/>
                <w:lang w:val="en-US" w:eastAsia="zh-CN"/>
              </w:rPr>
            </w:pPr>
            <w:r>
              <w:rPr>
                <w:rFonts w:hint="eastAsia" w:ascii="宋体" w:hAnsi="宋体"/>
                <w:szCs w:val="21"/>
              </w:rPr>
              <w:t>控制方法科学、合理，管理流程得当，可操作性强</w:t>
            </w:r>
            <w:r>
              <w:rPr>
                <w:rFonts w:hint="eastAsia" w:ascii="宋体" w:hAnsi="宋体"/>
                <w:szCs w:val="21"/>
                <w:lang w:eastAsia="zh-CN"/>
              </w:rPr>
              <w:t>得</w:t>
            </w:r>
            <w:r>
              <w:rPr>
                <w:rFonts w:hint="eastAsia" w:ascii="宋体" w:hAnsi="宋体"/>
                <w:szCs w:val="21"/>
                <w:lang w:val="en-US" w:eastAsia="zh-CN"/>
              </w:rPr>
              <w:t>8分；</w:t>
            </w:r>
            <w:r>
              <w:rPr>
                <w:rFonts w:hint="eastAsia" w:ascii="宋体" w:hAnsi="宋体"/>
                <w:szCs w:val="21"/>
              </w:rPr>
              <w:t>控制方法可行，管理流程较得当，可操作性一般</w:t>
            </w:r>
            <w:r>
              <w:rPr>
                <w:rFonts w:hint="eastAsia" w:ascii="宋体" w:hAnsi="宋体"/>
                <w:szCs w:val="21"/>
                <w:lang w:eastAsia="zh-CN"/>
              </w:rPr>
              <w:t>得</w:t>
            </w:r>
            <w:r>
              <w:rPr>
                <w:rFonts w:hint="eastAsia" w:ascii="宋体" w:hAnsi="宋体"/>
                <w:szCs w:val="21"/>
                <w:lang w:val="en-US" w:eastAsia="zh-CN"/>
              </w:rPr>
              <w:t>5分；</w:t>
            </w:r>
            <w:r>
              <w:rPr>
                <w:rFonts w:hint="eastAsia" w:ascii="宋体" w:hAnsi="宋体"/>
                <w:szCs w:val="21"/>
              </w:rPr>
              <w:t>控制措施不力，管理流程不当，可操作性差</w:t>
            </w:r>
            <w:r>
              <w:rPr>
                <w:rFonts w:hint="eastAsia" w:ascii="宋体" w:hAnsi="宋体"/>
                <w:szCs w:val="21"/>
                <w:lang w:eastAsia="zh-CN"/>
              </w:rPr>
              <w:t>的</w:t>
            </w:r>
            <w:r>
              <w:rPr>
                <w:rFonts w:hint="eastAsia" w:ascii="宋体" w:hAnsi="宋体"/>
                <w:szCs w:val="21"/>
                <w:lang w:val="en-US" w:eastAsia="zh-CN"/>
              </w:rPr>
              <w:t>0-3分</w:t>
            </w:r>
          </w:p>
        </w:tc>
        <w:tc>
          <w:tcPr>
            <w:tcW w:w="939" w:type="dxa"/>
            <w:tcBorders>
              <w:tl2br w:val="nil"/>
              <w:tr2bl w:val="nil"/>
            </w:tcBorders>
            <w:noWrap w:val="0"/>
            <w:vAlign w:val="center"/>
          </w:tcPr>
          <w:p>
            <w:pPr>
              <w:spacing w:beforeLines="30" w:line="312"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tcBorders>
              <w:tl2br w:val="nil"/>
              <w:tr2bl w:val="nil"/>
            </w:tcBorders>
            <w:noWrap w:val="0"/>
            <w:vAlign w:val="center"/>
          </w:tcPr>
          <w:p>
            <w:pPr>
              <w:spacing w:beforeLines="30" w:line="312"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592"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lang w:val="en-US" w:eastAsia="zh-CN"/>
              </w:rPr>
            </w:pPr>
            <w:r>
              <w:rPr>
                <w:rFonts w:hint="eastAsia" w:ascii="宋体" w:hAnsi="宋体"/>
                <w:b/>
                <w:bCs/>
                <w:szCs w:val="21"/>
              </w:rPr>
              <w:t>质量控制管理</w:t>
            </w:r>
          </w:p>
        </w:tc>
        <w:tc>
          <w:tcPr>
            <w:tcW w:w="5678" w:type="dxa"/>
            <w:tcBorders>
              <w:tl2br w:val="nil"/>
              <w:tr2bl w:val="nil"/>
            </w:tcBorders>
            <w:noWrap w:val="0"/>
            <w:vAlign w:val="center"/>
          </w:tcPr>
          <w:p>
            <w:pPr>
              <w:spacing w:beforeLines="30" w:line="312" w:lineRule="auto"/>
              <w:rPr>
                <w:rFonts w:hint="default" w:ascii="宋体" w:hAnsi="宋体" w:eastAsia="宋体" w:cs="宋体"/>
                <w:color w:val="auto"/>
                <w:sz w:val="24"/>
                <w:szCs w:val="24"/>
                <w:lang w:val="en-US" w:eastAsia="zh-CN"/>
              </w:rPr>
            </w:pPr>
            <w:r>
              <w:rPr>
                <w:rFonts w:hint="eastAsia" w:ascii="宋体" w:hAnsi="宋体"/>
                <w:szCs w:val="21"/>
              </w:rPr>
              <w:t>控制方法科学、合理，管理流程得当，可操作性强</w:t>
            </w:r>
            <w:r>
              <w:rPr>
                <w:rFonts w:hint="eastAsia" w:ascii="宋体" w:hAnsi="宋体"/>
                <w:szCs w:val="21"/>
                <w:lang w:eastAsia="zh-CN"/>
              </w:rPr>
              <w:t>得</w:t>
            </w:r>
            <w:r>
              <w:rPr>
                <w:rFonts w:hint="eastAsia" w:ascii="宋体" w:hAnsi="宋体"/>
                <w:szCs w:val="21"/>
                <w:lang w:val="en-US" w:eastAsia="zh-CN"/>
              </w:rPr>
              <w:t>12分</w:t>
            </w:r>
            <w:r>
              <w:rPr>
                <w:rFonts w:hint="eastAsia" w:ascii="宋体" w:hAnsi="宋体"/>
                <w:szCs w:val="21"/>
                <w:lang w:eastAsia="zh-CN"/>
              </w:rPr>
              <w:t>；</w:t>
            </w:r>
            <w:r>
              <w:rPr>
                <w:rFonts w:hint="eastAsia" w:ascii="宋体" w:hAnsi="宋体"/>
                <w:szCs w:val="21"/>
              </w:rPr>
              <w:t>控制方法可行，管理流程较得当，可操作性一般</w:t>
            </w:r>
            <w:r>
              <w:rPr>
                <w:rFonts w:hint="eastAsia" w:ascii="宋体" w:hAnsi="宋体"/>
                <w:szCs w:val="21"/>
                <w:lang w:eastAsia="zh-CN"/>
              </w:rPr>
              <w:t>得</w:t>
            </w:r>
            <w:r>
              <w:rPr>
                <w:rFonts w:hint="eastAsia" w:ascii="宋体" w:hAnsi="宋体"/>
                <w:szCs w:val="21"/>
                <w:lang w:val="en-US" w:eastAsia="zh-CN"/>
              </w:rPr>
              <w:t>5-8分；</w:t>
            </w:r>
            <w:r>
              <w:rPr>
                <w:rFonts w:hint="eastAsia" w:ascii="宋体" w:hAnsi="宋体"/>
                <w:szCs w:val="21"/>
              </w:rPr>
              <w:t>控制措施不力，管理流程不当，可操作性差</w:t>
            </w:r>
            <w:r>
              <w:rPr>
                <w:rFonts w:hint="eastAsia" w:ascii="宋体" w:hAnsi="宋体"/>
                <w:szCs w:val="21"/>
                <w:lang w:eastAsia="zh-CN"/>
              </w:rPr>
              <w:t>得</w:t>
            </w:r>
            <w:r>
              <w:rPr>
                <w:rFonts w:hint="eastAsia" w:ascii="宋体" w:hAnsi="宋体"/>
                <w:szCs w:val="21"/>
                <w:lang w:val="en-US" w:eastAsia="zh-CN"/>
              </w:rPr>
              <w:t>0-4分</w:t>
            </w:r>
          </w:p>
        </w:tc>
        <w:tc>
          <w:tcPr>
            <w:tcW w:w="939" w:type="dxa"/>
            <w:tcBorders>
              <w:tl2br w:val="nil"/>
              <w:tr2bl w:val="nil"/>
            </w:tcBorders>
            <w:noWrap w:val="0"/>
            <w:vAlign w:val="center"/>
          </w:tcPr>
          <w:p>
            <w:pPr>
              <w:spacing w:beforeLines="30" w:line="312"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r>
              <w:rPr>
                <w:rFonts w:hint="eastAsia" w:ascii="宋体" w:hAnsi="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tcBorders>
              <w:tl2br w:val="nil"/>
              <w:tr2bl w:val="nil"/>
            </w:tcBorders>
            <w:noWrap w:val="0"/>
            <w:vAlign w:val="center"/>
          </w:tcPr>
          <w:p>
            <w:pPr>
              <w:spacing w:beforeLines="30" w:line="312"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1592"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lang w:val="en-US" w:eastAsia="zh-CN"/>
              </w:rPr>
            </w:pPr>
            <w:r>
              <w:rPr>
                <w:rFonts w:hint="eastAsia" w:ascii="宋体" w:hAnsi="宋体"/>
                <w:b/>
                <w:bCs/>
                <w:szCs w:val="21"/>
              </w:rPr>
              <w:t>进度控制管理</w:t>
            </w:r>
          </w:p>
        </w:tc>
        <w:tc>
          <w:tcPr>
            <w:tcW w:w="5678" w:type="dxa"/>
            <w:tcBorders>
              <w:tl2br w:val="nil"/>
              <w:tr2bl w:val="nil"/>
            </w:tcBorders>
            <w:noWrap w:val="0"/>
            <w:vAlign w:val="center"/>
          </w:tcPr>
          <w:p>
            <w:pPr>
              <w:spacing w:beforeLines="30" w:line="312" w:lineRule="auto"/>
              <w:rPr>
                <w:rFonts w:hint="eastAsia" w:ascii="宋体" w:hAnsi="宋体" w:eastAsia="宋体" w:cs="宋体"/>
                <w:color w:val="auto"/>
                <w:sz w:val="24"/>
                <w:szCs w:val="24"/>
              </w:rPr>
            </w:pPr>
            <w:r>
              <w:rPr>
                <w:rFonts w:hint="eastAsia" w:ascii="宋体" w:hAnsi="宋体"/>
                <w:szCs w:val="21"/>
              </w:rPr>
              <w:t>控制方法科学、合理，管理流程得当，可操作性强</w:t>
            </w:r>
            <w:r>
              <w:rPr>
                <w:rFonts w:hint="eastAsia" w:ascii="宋体" w:hAnsi="宋体"/>
                <w:szCs w:val="21"/>
                <w:lang w:eastAsia="zh-CN"/>
              </w:rPr>
              <w:t>得</w:t>
            </w:r>
            <w:r>
              <w:rPr>
                <w:rFonts w:hint="eastAsia" w:ascii="宋体" w:hAnsi="宋体"/>
                <w:szCs w:val="21"/>
                <w:lang w:val="en-US" w:eastAsia="zh-CN"/>
              </w:rPr>
              <w:t>12分</w:t>
            </w:r>
            <w:r>
              <w:rPr>
                <w:rFonts w:hint="eastAsia" w:ascii="宋体" w:hAnsi="宋体"/>
                <w:szCs w:val="21"/>
                <w:lang w:eastAsia="zh-CN"/>
              </w:rPr>
              <w:t>；</w:t>
            </w:r>
            <w:r>
              <w:rPr>
                <w:rFonts w:hint="eastAsia" w:ascii="宋体" w:hAnsi="宋体"/>
                <w:szCs w:val="21"/>
              </w:rPr>
              <w:t>控制方法可行，管理流程较得当，可操作性一般</w:t>
            </w:r>
            <w:r>
              <w:rPr>
                <w:rFonts w:hint="eastAsia" w:ascii="宋体" w:hAnsi="宋体"/>
                <w:szCs w:val="21"/>
                <w:lang w:eastAsia="zh-CN"/>
              </w:rPr>
              <w:t>得</w:t>
            </w:r>
            <w:r>
              <w:rPr>
                <w:rFonts w:hint="eastAsia" w:ascii="宋体" w:hAnsi="宋体"/>
                <w:szCs w:val="21"/>
                <w:lang w:val="en-US" w:eastAsia="zh-CN"/>
              </w:rPr>
              <w:t>5-8分；</w:t>
            </w:r>
            <w:r>
              <w:rPr>
                <w:rFonts w:hint="eastAsia" w:ascii="宋体" w:hAnsi="宋体"/>
                <w:szCs w:val="21"/>
              </w:rPr>
              <w:t>控制措施不力，管理流程不当，可操作性差</w:t>
            </w:r>
            <w:r>
              <w:rPr>
                <w:rFonts w:hint="eastAsia" w:ascii="宋体" w:hAnsi="宋体"/>
                <w:szCs w:val="21"/>
                <w:lang w:eastAsia="zh-CN"/>
              </w:rPr>
              <w:t>得</w:t>
            </w:r>
            <w:r>
              <w:rPr>
                <w:rFonts w:hint="eastAsia" w:ascii="宋体" w:hAnsi="宋体"/>
                <w:szCs w:val="21"/>
                <w:lang w:val="en-US" w:eastAsia="zh-CN"/>
              </w:rPr>
              <w:t>0-4分</w:t>
            </w:r>
          </w:p>
        </w:tc>
        <w:tc>
          <w:tcPr>
            <w:tcW w:w="939"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r>
              <w:rPr>
                <w:rFonts w:hint="eastAsia" w:ascii="宋体" w:hAnsi="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tcBorders>
              <w:tl2br w:val="nil"/>
              <w:tr2bl w:val="nil"/>
            </w:tcBorders>
            <w:noWrap w:val="0"/>
            <w:vAlign w:val="center"/>
          </w:tcPr>
          <w:p>
            <w:pPr>
              <w:spacing w:beforeLines="30" w:line="312"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1592" w:type="dxa"/>
            <w:tcBorders>
              <w:tl2br w:val="nil"/>
              <w:tr2bl w:val="nil"/>
            </w:tcBorders>
            <w:noWrap w:val="0"/>
            <w:vAlign w:val="center"/>
          </w:tcPr>
          <w:p>
            <w:pPr>
              <w:spacing w:beforeLines="30" w:line="312" w:lineRule="auto"/>
              <w:jc w:val="both"/>
              <w:rPr>
                <w:rFonts w:hint="eastAsia" w:ascii="宋体" w:hAnsi="宋体" w:eastAsia="宋体" w:cs="宋体"/>
                <w:color w:val="auto"/>
                <w:sz w:val="24"/>
                <w:szCs w:val="24"/>
                <w:lang w:val="en-US" w:eastAsia="zh-CN"/>
              </w:rPr>
            </w:pPr>
            <w:r>
              <w:rPr>
                <w:rFonts w:hint="eastAsia" w:ascii="宋体" w:hAnsi="宋体"/>
                <w:b/>
                <w:bCs/>
                <w:szCs w:val="21"/>
              </w:rPr>
              <w:t>安全控制管理</w:t>
            </w:r>
          </w:p>
        </w:tc>
        <w:tc>
          <w:tcPr>
            <w:tcW w:w="5678" w:type="dxa"/>
            <w:tcBorders>
              <w:tl2br w:val="nil"/>
              <w:tr2bl w:val="nil"/>
            </w:tcBorders>
            <w:noWrap w:val="0"/>
            <w:vAlign w:val="center"/>
          </w:tcPr>
          <w:p>
            <w:pPr>
              <w:spacing w:beforeLines="30" w:line="312" w:lineRule="auto"/>
              <w:rPr>
                <w:rFonts w:hint="eastAsia" w:ascii="宋体" w:hAnsi="宋体" w:eastAsia="宋体" w:cs="宋体"/>
                <w:color w:val="auto"/>
                <w:sz w:val="24"/>
                <w:szCs w:val="24"/>
              </w:rPr>
            </w:pPr>
            <w:r>
              <w:rPr>
                <w:rFonts w:hint="eastAsia" w:ascii="宋体" w:hAnsi="宋体"/>
                <w:szCs w:val="21"/>
              </w:rPr>
              <w:t>控制方法科学、合理，管理流程得当，可操作性强</w:t>
            </w:r>
            <w:r>
              <w:rPr>
                <w:rFonts w:hint="eastAsia" w:ascii="宋体" w:hAnsi="宋体"/>
                <w:szCs w:val="21"/>
                <w:lang w:eastAsia="zh-CN"/>
              </w:rPr>
              <w:t>得</w:t>
            </w:r>
            <w:r>
              <w:rPr>
                <w:rFonts w:hint="eastAsia" w:ascii="宋体" w:hAnsi="宋体"/>
                <w:szCs w:val="21"/>
                <w:lang w:val="en-US" w:eastAsia="zh-CN"/>
              </w:rPr>
              <w:t>12分</w:t>
            </w:r>
            <w:r>
              <w:rPr>
                <w:rFonts w:hint="eastAsia" w:ascii="宋体" w:hAnsi="宋体"/>
                <w:szCs w:val="21"/>
                <w:lang w:eastAsia="zh-CN"/>
              </w:rPr>
              <w:t>；</w:t>
            </w:r>
            <w:r>
              <w:rPr>
                <w:rFonts w:hint="eastAsia" w:ascii="宋体" w:hAnsi="宋体"/>
                <w:szCs w:val="21"/>
              </w:rPr>
              <w:t>控制方法可行，管理流程较得当，可操作性一般</w:t>
            </w:r>
            <w:r>
              <w:rPr>
                <w:rFonts w:hint="eastAsia" w:ascii="宋体" w:hAnsi="宋体"/>
                <w:szCs w:val="21"/>
                <w:lang w:eastAsia="zh-CN"/>
              </w:rPr>
              <w:t>得</w:t>
            </w:r>
            <w:r>
              <w:rPr>
                <w:rFonts w:hint="eastAsia" w:ascii="宋体" w:hAnsi="宋体"/>
                <w:szCs w:val="21"/>
                <w:lang w:val="en-US" w:eastAsia="zh-CN"/>
              </w:rPr>
              <w:t>5-8分；</w:t>
            </w:r>
            <w:r>
              <w:rPr>
                <w:rFonts w:hint="eastAsia" w:ascii="宋体" w:hAnsi="宋体"/>
                <w:szCs w:val="21"/>
              </w:rPr>
              <w:t>控制措施不力，管理流程不当，可操作性差</w:t>
            </w:r>
            <w:r>
              <w:rPr>
                <w:rFonts w:hint="eastAsia" w:ascii="宋体" w:hAnsi="宋体"/>
                <w:szCs w:val="21"/>
                <w:lang w:eastAsia="zh-CN"/>
              </w:rPr>
              <w:t>得</w:t>
            </w:r>
            <w:r>
              <w:rPr>
                <w:rFonts w:hint="eastAsia" w:ascii="宋体" w:hAnsi="宋体"/>
                <w:szCs w:val="21"/>
                <w:lang w:val="en-US" w:eastAsia="zh-CN"/>
              </w:rPr>
              <w:t>0-4分</w:t>
            </w:r>
          </w:p>
        </w:tc>
        <w:tc>
          <w:tcPr>
            <w:tcW w:w="939" w:type="dxa"/>
            <w:tcBorders>
              <w:tl2br w:val="nil"/>
              <w:tr2bl w:val="nil"/>
            </w:tcBorders>
            <w:noWrap w:val="0"/>
            <w:vAlign w:val="center"/>
          </w:tcPr>
          <w:p>
            <w:pPr>
              <w:spacing w:beforeLines="30" w:line="312"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noWrap w:val="0"/>
            <w:vAlign w:val="center"/>
          </w:tcPr>
          <w:p>
            <w:pPr>
              <w:spacing w:beforeLines="30" w:line="312"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1592" w:type="dxa"/>
            <w:tcBorders>
              <w:tl2br w:val="nil"/>
              <w:tr2bl w:val="nil"/>
            </w:tcBorders>
            <w:noWrap w:val="0"/>
            <w:vAlign w:val="center"/>
          </w:tcPr>
          <w:p>
            <w:pPr>
              <w:adjustRightInd w:val="0"/>
              <w:snapToGrid w:val="0"/>
              <w:spacing w:before="50" w:after="50"/>
              <w:rPr>
                <w:rFonts w:hint="eastAsia" w:ascii="宋体" w:hAnsi="宋体"/>
                <w:b/>
                <w:bCs/>
                <w:szCs w:val="21"/>
              </w:rPr>
            </w:pPr>
            <w:r>
              <w:rPr>
                <w:rFonts w:hint="eastAsia" w:ascii="宋体" w:hAnsi="宋体"/>
                <w:b/>
                <w:bCs/>
                <w:szCs w:val="21"/>
              </w:rPr>
              <w:t>信息与档案管理</w:t>
            </w:r>
          </w:p>
          <w:p>
            <w:pPr>
              <w:spacing w:beforeLines="30" w:line="312" w:lineRule="auto"/>
              <w:rPr>
                <w:rFonts w:hint="eastAsia" w:ascii="宋体" w:hAnsi="宋体" w:eastAsia="宋体" w:cs="宋体"/>
                <w:kern w:val="2"/>
                <w:sz w:val="24"/>
                <w:szCs w:val="24"/>
                <w:lang w:val="en-US" w:eastAsia="zh-CN" w:bidi="ar-SA"/>
              </w:rPr>
            </w:pPr>
          </w:p>
        </w:tc>
        <w:tc>
          <w:tcPr>
            <w:tcW w:w="5678" w:type="dxa"/>
            <w:tcBorders>
              <w:tl2br w:val="nil"/>
              <w:tr2bl w:val="nil"/>
            </w:tcBorders>
            <w:noWrap w:val="0"/>
            <w:vAlign w:val="center"/>
          </w:tcPr>
          <w:p>
            <w:pPr>
              <w:spacing w:beforeLines="30" w:line="312" w:lineRule="auto"/>
              <w:rPr>
                <w:rFonts w:hint="eastAsia" w:ascii="宋体" w:hAnsi="宋体" w:eastAsia="宋体" w:cs="宋体"/>
                <w:kern w:val="2"/>
                <w:sz w:val="24"/>
                <w:szCs w:val="24"/>
                <w:lang w:val="en-US" w:eastAsia="zh-CN" w:bidi="ar-SA"/>
              </w:rPr>
            </w:pPr>
            <w:r>
              <w:rPr>
                <w:rFonts w:hint="eastAsia" w:ascii="宋体" w:hAnsi="宋体"/>
                <w:szCs w:val="21"/>
              </w:rPr>
              <w:t>控制方法科学、合理，管理流程得当，可操作性强</w:t>
            </w:r>
            <w:r>
              <w:rPr>
                <w:rFonts w:hint="eastAsia" w:ascii="宋体" w:hAnsi="宋体"/>
                <w:szCs w:val="21"/>
                <w:lang w:eastAsia="zh-CN"/>
              </w:rPr>
              <w:t>得</w:t>
            </w:r>
            <w:r>
              <w:rPr>
                <w:rFonts w:hint="eastAsia" w:ascii="宋体" w:hAnsi="宋体"/>
                <w:szCs w:val="21"/>
                <w:lang w:val="en-US" w:eastAsia="zh-CN"/>
              </w:rPr>
              <w:t>12分</w:t>
            </w:r>
            <w:r>
              <w:rPr>
                <w:rFonts w:hint="eastAsia" w:ascii="宋体" w:hAnsi="宋体"/>
                <w:szCs w:val="21"/>
                <w:lang w:eastAsia="zh-CN"/>
              </w:rPr>
              <w:t>；</w:t>
            </w:r>
            <w:r>
              <w:rPr>
                <w:rFonts w:hint="eastAsia" w:ascii="宋体" w:hAnsi="宋体"/>
                <w:szCs w:val="21"/>
              </w:rPr>
              <w:t>控制方法可行，管理流程较得当，可操作性一般</w:t>
            </w:r>
            <w:r>
              <w:rPr>
                <w:rFonts w:hint="eastAsia" w:ascii="宋体" w:hAnsi="宋体"/>
                <w:szCs w:val="21"/>
                <w:lang w:eastAsia="zh-CN"/>
              </w:rPr>
              <w:t>得</w:t>
            </w:r>
            <w:r>
              <w:rPr>
                <w:rFonts w:hint="eastAsia" w:ascii="宋体" w:hAnsi="宋体"/>
                <w:szCs w:val="21"/>
                <w:lang w:val="en-US" w:eastAsia="zh-CN"/>
              </w:rPr>
              <w:t>4-8分；</w:t>
            </w:r>
            <w:r>
              <w:rPr>
                <w:rFonts w:hint="eastAsia" w:ascii="宋体" w:hAnsi="宋体"/>
                <w:szCs w:val="21"/>
              </w:rPr>
              <w:t>控制措施不力，管理流程不当，可操作性差</w:t>
            </w:r>
            <w:r>
              <w:rPr>
                <w:rFonts w:hint="eastAsia" w:ascii="宋体" w:hAnsi="宋体"/>
                <w:szCs w:val="21"/>
                <w:lang w:eastAsia="zh-CN"/>
              </w:rPr>
              <w:t>得</w:t>
            </w:r>
            <w:r>
              <w:rPr>
                <w:rFonts w:hint="eastAsia" w:ascii="宋体" w:hAnsi="宋体"/>
                <w:szCs w:val="21"/>
                <w:lang w:val="en-US" w:eastAsia="zh-CN"/>
              </w:rPr>
              <w:t>0-4分</w:t>
            </w:r>
          </w:p>
        </w:tc>
        <w:tc>
          <w:tcPr>
            <w:tcW w:w="939" w:type="dxa"/>
            <w:tcBorders>
              <w:tl2br w:val="nil"/>
              <w:tr2bl w:val="nil"/>
            </w:tcBorders>
            <w:noWrap w:val="0"/>
            <w:vAlign w:val="center"/>
          </w:tcPr>
          <w:p>
            <w:pPr>
              <w:spacing w:beforeLines="30" w:line="312"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tcBorders>
              <w:tl2br w:val="nil"/>
              <w:tr2bl w:val="nil"/>
            </w:tcBorders>
            <w:noWrap w:val="0"/>
            <w:vAlign w:val="center"/>
          </w:tcPr>
          <w:p>
            <w:pPr>
              <w:spacing w:beforeLines="30" w:line="312" w:lineRule="auto"/>
              <w:jc w:val="center"/>
              <w:rPr>
                <w:rFonts w:hint="default" w:ascii="宋体" w:hAnsi="宋体" w:eastAsia="宋体" w:cs="宋体"/>
                <w:lang w:val="en-US" w:eastAsia="zh-CN"/>
              </w:rPr>
            </w:pPr>
            <w:r>
              <w:rPr>
                <w:rFonts w:hint="eastAsia" w:ascii="宋体" w:hAnsi="宋体" w:cs="宋体"/>
                <w:lang w:val="en-US" w:eastAsia="zh-CN"/>
              </w:rPr>
              <w:t>8</w:t>
            </w:r>
          </w:p>
        </w:tc>
        <w:tc>
          <w:tcPr>
            <w:tcW w:w="1592" w:type="dxa"/>
            <w:tcBorders>
              <w:tl2br w:val="nil"/>
              <w:tr2bl w:val="nil"/>
            </w:tcBorders>
            <w:noWrap w:val="0"/>
            <w:vAlign w:val="center"/>
          </w:tcPr>
          <w:p>
            <w:pPr>
              <w:spacing w:beforeLines="30" w:line="312" w:lineRule="auto"/>
              <w:rPr>
                <w:rFonts w:hint="eastAsia" w:ascii="宋体" w:hAnsi="宋体" w:eastAsia="宋体" w:cs="宋体"/>
              </w:rPr>
            </w:pPr>
            <w:r>
              <w:rPr>
                <w:rFonts w:hint="eastAsia" w:ascii="宋体" w:hAnsi="宋体"/>
                <w:b/>
                <w:bCs/>
                <w:szCs w:val="21"/>
              </w:rPr>
              <w:t>其他工作和合理化建议</w:t>
            </w:r>
          </w:p>
        </w:tc>
        <w:tc>
          <w:tcPr>
            <w:tcW w:w="5678" w:type="dxa"/>
            <w:tcBorders>
              <w:tl2br w:val="nil"/>
              <w:tr2bl w:val="nil"/>
            </w:tcBorders>
            <w:noWrap w:val="0"/>
            <w:vAlign w:val="center"/>
          </w:tcPr>
          <w:p>
            <w:pPr>
              <w:adjustRightInd w:val="0"/>
              <w:snapToGrid w:val="0"/>
              <w:ind w:right="-107" w:rightChars="-51"/>
              <w:rPr>
                <w:rFonts w:hint="eastAsia" w:ascii="宋体" w:hAnsi="宋体" w:eastAsia="宋体"/>
                <w:szCs w:val="21"/>
                <w:lang w:val="en-US" w:eastAsia="zh-CN"/>
              </w:rPr>
            </w:pPr>
            <w:r>
              <w:rPr>
                <w:rFonts w:hint="eastAsia" w:ascii="宋体" w:hAnsi="宋体"/>
                <w:szCs w:val="21"/>
              </w:rPr>
              <w:t>内容全面详尽，并提出了有效的建议</w:t>
            </w:r>
            <w:r>
              <w:rPr>
                <w:rFonts w:hint="eastAsia" w:ascii="宋体" w:hAnsi="宋体"/>
                <w:szCs w:val="21"/>
                <w:lang w:eastAsia="zh-CN"/>
              </w:rPr>
              <w:t>得</w:t>
            </w:r>
            <w:r>
              <w:rPr>
                <w:rFonts w:hint="eastAsia" w:ascii="宋体" w:hAnsi="宋体"/>
                <w:szCs w:val="21"/>
                <w:lang w:val="en-US" w:eastAsia="zh-CN"/>
              </w:rPr>
              <w:t>4分；</w:t>
            </w:r>
            <w:r>
              <w:rPr>
                <w:rFonts w:hint="eastAsia" w:ascii="宋体" w:hAnsi="宋体"/>
                <w:szCs w:val="21"/>
              </w:rPr>
              <w:t>内容较全面，并提出了一般性建议</w:t>
            </w:r>
            <w:r>
              <w:rPr>
                <w:rFonts w:hint="eastAsia" w:ascii="宋体" w:hAnsi="宋体"/>
                <w:szCs w:val="21"/>
                <w:lang w:eastAsia="zh-CN"/>
              </w:rPr>
              <w:t>得</w:t>
            </w:r>
            <w:r>
              <w:rPr>
                <w:rFonts w:hint="eastAsia" w:ascii="宋体" w:hAnsi="宋体"/>
                <w:szCs w:val="21"/>
                <w:lang w:val="en-US" w:eastAsia="zh-CN"/>
              </w:rPr>
              <w:t>0-2分，</w:t>
            </w:r>
            <w:r>
              <w:rPr>
                <w:rFonts w:hint="eastAsia" w:ascii="宋体" w:hAnsi="宋体"/>
                <w:szCs w:val="21"/>
              </w:rPr>
              <w:t>内容不详尽，没有提出了有价值的建议</w:t>
            </w:r>
            <w:r>
              <w:rPr>
                <w:rFonts w:hint="eastAsia" w:ascii="宋体" w:hAnsi="宋体"/>
                <w:szCs w:val="21"/>
                <w:lang w:eastAsia="zh-CN"/>
              </w:rPr>
              <w:t>不得分。</w:t>
            </w:r>
          </w:p>
        </w:tc>
        <w:tc>
          <w:tcPr>
            <w:tcW w:w="939" w:type="dxa"/>
            <w:tcBorders>
              <w:tl2br w:val="nil"/>
              <w:tr2bl w:val="nil"/>
            </w:tcBorders>
            <w:noWrap w:val="0"/>
            <w:vAlign w:val="center"/>
          </w:tcPr>
          <w:p>
            <w:pPr>
              <w:spacing w:beforeLines="30" w:line="312" w:lineRule="auto"/>
              <w:jc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cs="宋体"/>
                <w:sz w:val="24"/>
                <w:szCs w:val="24"/>
                <w:lang w:val="en-US" w:eastAsia="zh-CN"/>
              </w:rPr>
              <w:t>分</w:t>
            </w:r>
          </w:p>
        </w:tc>
      </w:tr>
    </w:tbl>
    <w:p>
      <w:pPr>
        <w:pStyle w:val="2"/>
        <w:rPr>
          <w:rFonts w:hint="eastAsia"/>
        </w:rPr>
      </w:pPr>
    </w:p>
    <w:p>
      <w:pPr>
        <w:spacing w:line="360" w:lineRule="auto"/>
        <w:jc w:val="center"/>
        <w:rPr>
          <w:rFonts w:hint="eastAsia" w:ascii="宋体" w:hAnsi="宋体" w:cs="宋体"/>
          <w:b/>
          <w:i w:val="0"/>
          <w:iCs w:val="0"/>
          <w:color w:val="auto"/>
          <w:sz w:val="24"/>
          <w:highlight w:val="none"/>
        </w:rPr>
      </w:pPr>
    </w:p>
    <w:p>
      <w:pPr>
        <w:spacing w:line="360" w:lineRule="auto"/>
        <w:jc w:val="center"/>
        <w:rPr>
          <w:rFonts w:hint="eastAsia" w:ascii="宋体" w:hAnsi="宋体" w:cs="宋体"/>
          <w:b/>
          <w:i w:val="0"/>
          <w:iCs w:val="0"/>
          <w:color w:val="auto"/>
          <w:sz w:val="24"/>
          <w:highlight w:val="none"/>
        </w:rPr>
      </w:pPr>
    </w:p>
    <w:p>
      <w:pPr>
        <w:spacing w:line="360" w:lineRule="auto"/>
        <w:jc w:val="center"/>
        <w:rPr>
          <w:rFonts w:hint="eastAsia" w:ascii="宋体" w:hAnsi="宋体" w:cs="宋体"/>
          <w:b/>
          <w:i w:val="0"/>
          <w:iCs w:val="0"/>
          <w:color w:val="auto"/>
          <w:sz w:val="24"/>
          <w:highlight w:val="none"/>
        </w:rPr>
      </w:pP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295" w:type="pct"/>
            <w:noWrap w:val="0"/>
            <w:vAlign w:val="center"/>
          </w:tcPr>
          <w:p>
            <w:pPr>
              <w:spacing w:line="360" w:lineRule="auto"/>
              <w:jc w:val="center"/>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经</w:t>
            </w:r>
          </w:p>
          <w:p>
            <w:pPr>
              <w:spacing w:line="360" w:lineRule="auto"/>
              <w:jc w:val="center"/>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济</w:t>
            </w:r>
          </w:p>
          <w:p>
            <w:pPr>
              <w:spacing w:line="360" w:lineRule="auto"/>
              <w:jc w:val="center"/>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报</w:t>
            </w:r>
          </w:p>
          <w:p>
            <w:pPr>
              <w:spacing w:line="360" w:lineRule="auto"/>
              <w:jc w:val="center"/>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价</w:t>
            </w:r>
          </w:p>
          <w:p>
            <w:pPr>
              <w:spacing w:line="360" w:lineRule="auto"/>
              <w:jc w:val="center"/>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K1</w:t>
            </w:r>
          </w:p>
        </w:tc>
        <w:tc>
          <w:tcPr>
            <w:tcW w:w="4704" w:type="pct"/>
            <w:noWrap w:val="0"/>
            <w:vAlign w:val="top"/>
          </w:tcPr>
          <w:p>
            <w:pPr>
              <w:pStyle w:val="29"/>
              <w:adjustRightInd w:val="0"/>
              <w:snapToGrid w:val="0"/>
              <w:spacing w:line="360" w:lineRule="auto"/>
              <w:ind w:firstLine="471"/>
              <w:jc w:val="both"/>
              <w:rPr>
                <w:rFonts w:hint="eastAsia" w:ascii="宋体" w:hAnsi="宋体" w:eastAsia="宋体" w:cs="宋体"/>
                <w:b/>
                <w:i w:val="0"/>
                <w:iCs w:val="0"/>
                <w:color w:val="auto"/>
                <w:spacing w:val="-3"/>
                <w:sz w:val="24"/>
                <w:highlight w:val="none"/>
              </w:rPr>
            </w:pPr>
            <w:r>
              <w:rPr>
                <w:rFonts w:hint="eastAsia" w:ascii="宋体" w:hAnsi="宋体" w:eastAsia="宋体" w:cs="宋体"/>
                <w:b w:val="0"/>
                <w:i w:val="0"/>
                <w:iCs w:val="0"/>
                <w:color w:val="auto"/>
                <w:spacing w:val="-3"/>
                <w:sz w:val="24"/>
                <w:highlight w:val="none"/>
              </w:rPr>
              <w:t>（1）对于经济报价的评分，按以下方法进行：价格分采用低价优先法计算，即满足</w:t>
            </w:r>
            <w:r>
              <w:rPr>
                <w:rFonts w:hint="eastAsia" w:ascii="宋体" w:hAnsi="宋体" w:eastAsia="宋体" w:cs="宋体"/>
                <w:b w:val="0"/>
                <w:i w:val="0"/>
                <w:iCs w:val="0"/>
                <w:color w:val="auto"/>
                <w:spacing w:val="-3"/>
                <w:sz w:val="24"/>
                <w:highlight w:val="none"/>
                <w:lang w:eastAsia="zh-CN"/>
              </w:rPr>
              <w:t>竞争性磋商文件</w:t>
            </w:r>
            <w:r>
              <w:rPr>
                <w:rFonts w:hint="eastAsia" w:ascii="宋体" w:hAnsi="宋体" w:eastAsia="宋体" w:cs="宋体"/>
                <w:b w:val="0"/>
                <w:i w:val="0"/>
                <w:iCs w:val="0"/>
                <w:color w:val="auto"/>
                <w:spacing w:val="-3"/>
                <w:sz w:val="24"/>
                <w:highlight w:val="none"/>
              </w:rPr>
              <w:t>要求且投标价格最低的投标报价为评标基准价，其价格分为满分。其他投标人的价格分统一按照下列公式计算</w:t>
            </w:r>
            <w:r>
              <w:rPr>
                <w:rFonts w:hint="eastAsia" w:ascii="宋体" w:hAnsi="宋体" w:eastAsia="宋体" w:cs="宋体"/>
                <w:b w:val="0"/>
                <w:i w:val="0"/>
                <w:iCs w:val="0"/>
                <w:color w:val="auto"/>
                <w:spacing w:val="-3"/>
                <w:sz w:val="24"/>
                <w:highlight w:val="none"/>
                <w:lang w:eastAsia="zh-CN"/>
              </w:rPr>
              <w:t>，</w:t>
            </w:r>
            <w:r>
              <w:rPr>
                <w:rFonts w:hint="eastAsia" w:ascii="宋体" w:hAnsi="宋体" w:eastAsia="宋体" w:cs="宋体"/>
                <w:b/>
                <w:i w:val="0"/>
                <w:iCs w:val="0"/>
                <w:color w:val="auto"/>
                <w:spacing w:val="-3"/>
                <w:sz w:val="24"/>
                <w:highlight w:val="none"/>
                <w:lang w:val="en-US" w:eastAsia="zh-CN"/>
              </w:rPr>
              <w:t>因落实政府采购政策进行价格调整的，以调整后的价格计算评标基准价和投标报价。</w:t>
            </w:r>
          </w:p>
          <w:p>
            <w:pPr>
              <w:pStyle w:val="29"/>
              <w:adjustRightInd w:val="0"/>
              <w:snapToGrid w:val="0"/>
              <w:spacing w:line="360" w:lineRule="auto"/>
              <w:ind w:firstLine="471"/>
              <w:jc w:val="both"/>
              <w:rPr>
                <w:rFonts w:hint="eastAsia" w:ascii="宋体" w:hAnsi="宋体" w:eastAsia="宋体" w:cs="宋体"/>
                <w:b w:val="0"/>
                <w:i w:val="0"/>
                <w:iCs w:val="0"/>
                <w:color w:val="auto"/>
                <w:spacing w:val="-3"/>
                <w:sz w:val="24"/>
                <w:highlight w:val="none"/>
              </w:rPr>
            </w:pPr>
            <w:r>
              <w:rPr>
                <w:rFonts w:hint="eastAsia" w:ascii="宋体" w:hAnsi="宋体" w:eastAsia="宋体" w:cs="宋体"/>
                <w:b w:val="0"/>
                <w:i w:val="0"/>
                <w:iCs w:val="0"/>
                <w:color w:val="auto"/>
                <w:spacing w:val="-3"/>
                <w:sz w:val="24"/>
                <w:highlight w:val="none"/>
              </w:rPr>
              <w:t>（2）</w:t>
            </w:r>
            <w:r>
              <w:rPr>
                <w:rFonts w:hint="eastAsia" w:ascii="宋体" w:hAnsi="宋体" w:eastAsia="宋体" w:cs="宋体"/>
                <w:bCs/>
                <w:i w:val="0"/>
                <w:iCs w:val="0"/>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70" w:firstLineChars="200"/>
              <w:rPr>
                <w:rFonts w:hint="eastAsia" w:ascii="宋体" w:hAnsi="宋体" w:eastAsia="宋体" w:cs="宋体"/>
                <w:b w:val="0"/>
                <w:bCs w:val="0"/>
                <w:i w:val="0"/>
                <w:iCs w:val="0"/>
                <w:color w:val="auto"/>
                <w:spacing w:val="-3"/>
                <w:kern w:val="2"/>
                <w:sz w:val="24"/>
                <w:szCs w:val="24"/>
                <w:highlight w:val="none"/>
                <w:lang w:val="en-US" w:eastAsia="zh-CN" w:bidi="ar-SA"/>
              </w:rPr>
            </w:pPr>
            <w:r>
              <w:rPr>
                <w:rFonts w:hint="eastAsia" w:ascii="宋体" w:hAnsi="宋体" w:eastAsia="宋体" w:cs="宋体"/>
                <w:b w:val="0"/>
                <w:bCs w:val="0"/>
                <w:i w:val="0"/>
                <w:iCs w:val="0"/>
                <w:color w:val="auto"/>
                <w:spacing w:val="-3"/>
                <w:kern w:val="2"/>
                <w:sz w:val="24"/>
                <w:szCs w:val="24"/>
                <w:highlight w:val="none"/>
                <w:lang w:val="en-US" w:eastAsia="zh-CN" w:bidi="ar-SA"/>
              </w:rPr>
              <w:t>小微企业价格扣除评审：对于非专门面向中小企业的项目，对小型和微型企业产品价格给予</w:t>
            </w:r>
            <w:r>
              <w:rPr>
                <w:rFonts w:hint="eastAsia" w:ascii="宋体" w:hAnsi="宋体" w:cs="宋体"/>
                <w:b w:val="0"/>
                <w:bCs w:val="0"/>
                <w:i w:val="0"/>
                <w:iCs w:val="0"/>
                <w:color w:val="auto"/>
                <w:spacing w:val="-3"/>
                <w:kern w:val="2"/>
                <w:sz w:val="24"/>
                <w:szCs w:val="24"/>
                <w:highlight w:val="none"/>
                <w:lang w:val="en-US" w:eastAsia="zh-CN" w:bidi="ar-SA"/>
              </w:rPr>
              <w:t>10</w:t>
            </w:r>
            <w:r>
              <w:rPr>
                <w:rFonts w:hint="eastAsia" w:ascii="宋体" w:hAnsi="宋体" w:eastAsia="宋体" w:cs="宋体"/>
                <w:b w:val="0"/>
                <w:bCs w:val="0"/>
                <w:i w:val="0"/>
                <w:iCs w:val="0"/>
                <w:color w:val="auto"/>
                <w:spacing w:val="-3"/>
                <w:kern w:val="2"/>
                <w:sz w:val="24"/>
                <w:szCs w:val="24"/>
                <w:highlight w:val="none"/>
                <w:lang w:val="en-US" w:eastAsia="zh-CN" w:bidi="ar-SA"/>
              </w:rPr>
              <w:t>%的扣除，用扣除后的价格参与价格分的评审。需同时满足以下两个条件的给予价格扣除：</w:t>
            </w:r>
          </w:p>
          <w:p>
            <w:pPr>
              <w:numPr>
                <w:ilvl w:val="0"/>
                <w:numId w:val="0"/>
              </w:numPr>
              <w:rPr>
                <w:rFonts w:hint="eastAsia" w:ascii="宋体" w:hAnsi="宋体" w:eastAsia="宋体" w:cs="宋体"/>
                <w:b w:val="0"/>
                <w:bCs w:val="0"/>
                <w:i w:val="0"/>
                <w:iCs w:val="0"/>
                <w:color w:val="auto"/>
                <w:spacing w:val="-3"/>
                <w:kern w:val="2"/>
                <w:sz w:val="24"/>
                <w:szCs w:val="24"/>
                <w:highlight w:val="none"/>
                <w:lang w:val="en-US" w:eastAsia="zh-CN" w:bidi="ar-SA"/>
              </w:rPr>
            </w:pPr>
            <w:r>
              <w:rPr>
                <w:rFonts w:hint="eastAsia" w:ascii="宋体" w:hAnsi="宋体" w:eastAsia="宋体" w:cs="宋体"/>
                <w:b w:val="0"/>
                <w:bCs w:val="0"/>
                <w:i w:val="0"/>
                <w:iCs w:val="0"/>
                <w:color w:val="auto"/>
                <w:spacing w:val="-3"/>
                <w:kern w:val="2"/>
                <w:sz w:val="24"/>
                <w:szCs w:val="24"/>
                <w:highlight w:val="none"/>
                <w:lang w:val="en-US" w:eastAsia="zh-CN" w:bidi="ar-SA"/>
              </w:rPr>
              <w:t>1.《中小型企业声明函》</w:t>
            </w:r>
          </w:p>
          <w:p>
            <w:pPr>
              <w:pStyle w:val="2"/>
              <w:numPr>
                <w:ilvl w:val="0"/>
                <w:numId w:val="0"/>
              </w:numPr>
              <w:rPr>
                <w:rFonts w:hint="default" w:ascii="宋体" w:hAnsi="宋体" w:eastAsia="宋体" w:cs="宋体"/>
                <w:b w:val="0"/>
                <w:bCs w:val="0"/>
                <w:i w:val="0"/>
                <w:iCs w:val="0"/>
                <w:color w:val="auto"/>
                <w:spacing w:val="-3"/>
                <w:kern w:val="2"/>
                <w:sz w:val="24"/>
                <w:szCs w:val="24"/>
                <w:highlight w:val="none"/>
                <w:lang w:val="en-US" w:eastAsia="zh-CN" w:bidi="ar-SA"/>
              </w:rPr>
            </w:pPr>
            <w:r>
              <w:rPr>
                <w:rFonts w:hint="eastAsia" w:ascii="宋体" w:hAnsi="宋体" w:eastAsia="宋体" w:cs="宋体"/>
                <w:b w:val="0"/>
                <w:bCs w:val="0"/>
                <w:i w:val="0"/>
                <w:iCs w:val="0"/>
                <w:color w:val="auto"/>
                <w:spacing w:val="-3"/>
                <w:kern w:val="2"/>
                <w:sz w:val="24"/>
                <w:szCs w:val="24"/>
                <w:highlight w:val="none"/>
                <w:lang w:val="en-US" w:eastAsia="zh-CN" w:bidi="ar-SA"/>
              </w:rPr>
              <w:t>2.提供投标人工商行政登记所在管理部门出具的小微企业证明文件；</w:t>
            </w:r>
          </w:p>
          <w:p>
            <w:pPr>
              <w:pStyle w:val="29"/>
              <w:keepLines w:val="0"/>
              <w:kinsoku/>
              <w:wordWrap/>
              <w:overflowPunct/>
              <w:bidi w:val="0"/>
              <w:spacing w:line="360" w:lineRule="auto"/>
              <w:ind w:left="0" w:leftChars="0" w:firstLine="0" w:firstLineChars="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节能、环境标志产品评审优惠内容及加分幅度：</w:t>
            </w:r>
          </w:p>
          <w:p>
            <w:pPr>
              <w:pStyle w:val="29"/>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both"/>
              <w:textAlignment w:val="auto"/>
              <w:outlineLvl w:val="9"/>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1</w:t>
            </w: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i w:val="0"/>
                <w:iCs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i w:val="0"/>
                <w:iCs w:val="0"/>
                <w:color w:val="auto"/>
                <w:spacing w:val="-3"/>
                <w:sz w:val="24"/>
                <w:szCs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2</w:t>
            </w: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i w:val="0"/>
                <w:iCs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29"/>
              <w:keepLines w:val="0"/>
              <w:kinsoku/>
              <w:wordWrap/>
              <w:overflowPunct/>
              <w:bidi w:val="0"/>
              <w:adjustRightInd w:val="0"/>
              <w:snapToGrid w:val="0"/>
              <w:spacing w:line="360" w:lineRule="auto"/>
              <w:ind w:firstLine="550"/>
              <w:jc w:val="both"/>
              <w:textAlignment w:val="auto"/>
              <w:rPr>
                <w:rFonts w:hint="eastAsia" w:ascii="宋体" w:hAnsi="宋体" w:eastAsia="宋体" w:cs="宋体"/>
                <w:i w:val="0"/>
                <w:iCs w:val="0"/>
                <w:color w:val="auto"/>
                <w:spacing w:val="-3"/>
                <w:sz w:val="24"/>
                <w:szCs w:val="24"/>
                <w:highlight w:val="none"/>
              </w:rPr>
            </w:pPr>
            <w:r>
              <w:rPr>
                <w:rFonts w:hint="eastAsia" w:ascii="宋体" w:hAnsi="宋体" w:eastAsia="宋体" w:cs="宋体"/>
                <w:i w:val="0"/>
                <w:iCs w:val="0"/>
                <w:color w:val="auto"/>
                <w:spacing w:val="-3"/>
                <w:sz w:val="24"/>
                <w:szCs w:val="24"/>
                <w:highlight w:val="none"/>
              </w:rPr>
              <w:t>价格项加分：</w:t>
            </w:r>
          </w:p>
          <w:p>
            <w:pPr>
              <w:pStyle w:val="2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i w:val="0"/>
                <w:iCs w:val="0"/>
                <w:color w:val="auto"/>
                <w:spacing w:val="-3"/>
                <w:sz w:val="24"/>
                <w:szCs w:val="24"/>
                <w:highlight w:val="none"/>
              </w:rPr>
              <w:t>1、（节能清单部分产品的价格/投标报价）×3%×价格项满分值</w:t>
            </w:r>
          </w:p>
          <w:p>
            <w:pPr>
              <w:pStyle w:val="2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i w:val="0"/>
                <w:iCs w:val="0"/>
                <w:color w:val="auto"/>
                <w:spacing w:val="-3"/>
                <w:sz w:val="24"/>
                <w:szCs w:val="24"/>
                <w:highlight w:val="none"/>
              </w:rPr>
              <w:t>2、（环境清单部分产品的价格/投标报价）×3%×价格项满分值</w:t>
            </w:r>
          </w:p>
          <w:p>
            <w:pPr>
              <w:pStyle w:val="29"/>
              <w:keepLines w:val="0"/>
              <w:kinsoku/>
              <w:wordWrap/>
              <w:overflowPunct/>
              <w:bidi w:val="0"/>
              <w:adjustRightInd w:val="0"/>
              <w:snapToGrid w:val="0"/>
              <w:spacing w:line="360" w:lineRule="auto"/>
              <w:ind w:firstLine="550"/>
              <w:jc w:val="both"/>
              <w:textAlignment w:val="auto"/>
              <w:rPr>
                <w:rFonts w:hint="eastAsia" w:ascii="宋体" w:hAnsi="宋体" w:eastAsia="宋体" w:cs="宋体"/>
                <w:i w:val="0"/>
                <w:iCs w:val="0"/>
                <w:color w:val="auto"/>
                <w:spacing w:val="-3"/>
                <w:sz w:val="24"/>
                <w:szCs w:val="24"/>
                <w:highlight w:val="none"/>
              </w:rPr>
            </w:pPr>
            <w:r>
              <w:rPr>
                <w:rFonts w:hint="eastAsia" w:ascii="宋体" w:hAnsi="宋体" w:eastAsia="宋体" w:cs="宋体"/>
                <w:i w:val="0"/>
                <w:iCs w:val="0"/>
                <w:color w:val="auto"/>
                <w:spacing w:val="-3"/>
                <w:sz w:val="24"/>
                <w:szCs w:val="24"/>
                <w:highlight w:val="none"/>
              </w:rPr>
              <w:t>技术项加分：</w:t>
            </w:r>
          </w:p>
          <w:p>
            <w:pPr>
              <w:pStyle w:val="2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i w:val="0"/>
                <w:iCs w:val="0"/>
                <w:color w:val="auto"/>
                <w:spacing w:val="-3"/>
                <w:sz w:val="24"/>
                <w:szCs w:val="24"/>
                <w:highlight w:val="none"/>
              </w:rPr>
              <w:t>1、（节能清单部分产品的价格/投标报价）×3%×技术项满分值</w:t>
            </w:r>
          </w:p>
          <w:p>
            <w:pPr>
              <w:pStyle w:val="2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i w:val="0"/>
                <w:iCs w:val="0"/>
                <w:color w:val="auto"/>
                <w:spacing w:val="-3"/>
                <w:sz w:val="24"/>
                <w:szCs w:val="24"/>
                <w:highlight w:val="none"/>
              </w:rPr>
              <w:t>2、（环境清单部分产品的价格/投标报价）×3%×技术项满分值</w:t>
            </w:r>
          </w:p>
          <w:p>
            <w:pPr>
              <w:pStyle w:val="2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i w:val="0"/>
                <w:iCs w:val="0"/>
                <w:color w:val="auto"/>
                <w:spacing w:val="-3"/>
                <w:sz w:val="24"/>
                <w:szCs w:val="24"/>
                <w:highlight w:val="none"/>
              </w:rPr>
              <w:t>注：1、投标人须提供</w:t>
            </w:r>
            <w:r>
              <w:rPr>
                <w:rFonts w:hint="eastAsia" w:ascii="宋体" w:hAnsi="宋体" w:eastAsia="宋体" w:cs="宋体"/>
                <w:b w:val="0"/>
                <w:i w:val="0"/>
                <w:iCs w:val="0"/>
                <w:color w:val="auto"/>
                <w:spacing w:val="-3"/>
                <w:sz w:val="24"/>
                <w:szCs w:val="24"/>
                <w:highlight w:val="none"/>
                <w:lang w:val="en-US" w:eastAsia="zh-CN"/>
              </w:rPr>
              <w:t>最新一</w:t>
            </w:r>
            <w:r>
              <w:rPr>
                <w:rFonts w:hint="eastAsia" w:ascii="宋体" w:hAnsi="宋体" w:eastAsia="宋体" w:cs="宋体"/>
                <w:b w:val="0"/>
                <w:i w:val="0"/>
                <w:iCs w:val="0"/>
                <w:color w:val="auto"/>
                <w:spacing w:val="-3"/>
                <w:sz w:val="24"/>
                <w:szCs w:val="24"/>
                <w:highlight w:val="none"/>
              </w:rPr>
              <w:t>期《节能产品政府采购清单》关于投标产品当前页的打印件；</w:t>
            </w:r>
          </w:p>
          <w:p>
            <w:pPr>
              <w:pStyle w:val="2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i w:val="0"/>
                <w:iCs w:val="0"/>
                <w:color w:val="auto"/>
                <w:sz w:val="24"/>
                <w:highlight w:val="none"/>
              </w:rPr>
            </w:pPr>
            <w:r>
              <w:rPr>
                <w:rFonts w:hint="eastAsia" w:ascii="宋体" w:hAnsi="宋体" w:eastAsia="宋体" w:cs="宋体"/>
                <w:b w:val="0"/>
                <w:i w:val="0"/>
                <w:iCs w:val="0"/>
                <w:color w:val="auto"/>
                <w:spacing w:val="-3"/>
                <w:sz w:val="24"/>
                <w:szCs w:val="24"/>
                <w:highlight w:val="none"/>
              </w:rPr>
              <w:t>2、投标人提供</w:t>
            </w:r>
            <w:r>
              <w:rPr>
                <w:rFonts w:hint="eastAsia" w:ascii="宋体" w:hAnsi="宋体" w:eastAsia="宋体" w:cs="宋体"/>
                <w:b w:val="0"/>
                <w:i w:val="0"/>
                <w:iCs w:val="0"/>
                <w:color w:val="auto"/>
                <w:spacing w:val="-3"/>
                <w:sz w:val="24"/>
                <w:szCs w:val="24"/>
                <w:highlight w:val="none"/>
                <w:lang w:val="en-US" w:eastAsia="zh-CN"/>
              </w:rPr>
              <w:t>最新一</w:t>
            </w:r>
            <w:r>
              <w:rPr>
                <w:rFonts w:hint="eastAsia" w:ascii="宋体" w:hAnsi="宋体" w:eastAsia="宋体" w:cs="宋体"/>
                <w:b w:val="0"/>
                <w:i w:val="0"/>
                <w:iCs w:val="0"/>
                <w:color w:val="auto"/>
                <w:spacing w:val="-3"/>
                <w:sz w:val="24"/>
                <w:szCs w:val="24"/>
                <w:highlight w:val="none"/>
              </w:rPr>
              <w:t>期《环境标志产品政府采购清单》关于投标产品当前页的打印件；</w:t>
            </w:r>
          </w:p>
          <w:p>
            <w:pPr>
              <w:pStyle w:val="29"/>
              <w:spacing w:line="360" w:lineRule="auto"/>
              <w:ind w:firstLine="485"/>
              <w:jc w:val="both"/>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最低报价不作为评标的唯一依据。采购人不承诺将合同授予报价最低的投标人。</w:t>
            </w:r>
          </w:p>
        </w:tc>
      </w:tr>
    </w:tbl>
    <w:p>
      <w:pPr>
        <w:pStyle w:val="4"/>
        <w:numPr>
          <w:ilvl w:val="1"/>
          <w:numId w:val="0"/>
        </w:numPr>
        <w:bidi w:val="0"/>
        <w:ind w:leftChars="0"/>
        <w:rPr>
          <w:rFonts w:hint="eastAsia"/>
          <w:lang w:val="en-US" w:eastAsia="zh-CN"/>
        </w:rPr>
      </w:pPr>
    </w:p>
    <w:p>
      <w:pPr>
        <w:rPr>
          <w:rFonts w:hint="eastAsia"/>
          <w:lang w:val="en-US" w:eastAsia="zh-CN"/>
        </w:rPr>
      </w:pPr>
    </w:p>
    <w:p>
      <w:pPr>
        <w:rPr>
          <w:rFonts w:hint="eastAsia" w:ascii="宋体" w:hAnsi="宋体" w:eastAsia="宋体" w:cs="宋体"/>
          <w:b/>
          <w:bCs/>
          <w:i w:val="0"/>
          <w:iCs w:val="0"/>
          <w:color w:val="auto"/>
          <w:kern w:val="2"/>
          <w:sz w:val="24"/>
          <w:szCs w:val="24"/>
          <w:highlight w:val="none"/>
          <w:lang w:val="en-US" w:eastAsia="zh-CN" w:bidi="ar-SA"/>
        </w:rPr>
      </w:pPr>
    </w:p>
    <w:p>
      <w:pPr>
        <w:pStyle w:val="7"/>
        <w:rPr>
          <w:rFonts w:hint="eastAsia" w:ascii="宋体" w:hAnsi="宋体" w:eastAsia="宋体" w:cs="宋体"/>
          <w:b/>
          <w:bCs/>
          <w:i w:val="0"/>
          <w:iCs w:val="0"/>
          <w:color w:val="auto"/>
          <w:kern w:val="2"/>
          <w:sz w:val="24"/>
          <w:szCs w:val="24"/>
          <w:highlight w:val="none"/>
          <w:lang w:val="en-US" w:eastAsia="zh-CN" w:bidi="ar-SA"/>
        </w:rPr>
      </w:pPr>
    </w:p>
    <w:p>
      <w:pPr>
        <w:rPr>
          <w:rFonts w:hint="eastAsia" w:ascii="宋体" w:hAnsi="宋体" w:eastAsia="宋体" w:cs="宋体"/>
          <w:b/>
          <w:bCs/>
          <w:i w:val="0"/>
          <w:iCs w:val="0"/>
          <w:color w:val="auto"/>
          <w:kern w:val="2"/>
          <w:sz w:val="24"/>
          <w:szCs w:val="24"/>
          <w:highlight w:val="none"/>
          <w:lang w:val="en-US" w:eastAsia="zh-CN" w:bidi="ar-SA"/>
        </w:rPr>
      </w:pPr>
    </w:p>
    <w:p>
      <w:pPr>
        <w:pStyle w:val="7"/>
        <w:rPr>
          <w:rFonts w:hint="eastAsia" w:ascii="宋体" w:hAnsi="宋体" w:eastAsia="宋体" w:cs="宋体"/>
          <w:b/>
          <w:bCs/>
          <w:i w:val="0"/>
          <w:iCs w:val="0"/>
          <w:color w:val="auto"/>
          <w:kern w:val="2"/>
          <w:sz w:val="24"/>
          <w:szCs w:val="24"/>
          <w:highlight w:val="none"/>
          <w:lang w:val="en-US" w:eastAsia="zh-CN" w:bidi="ar-SA"/>
        </w:rPr>
      </w:pPr>
    </w:p>
    <w:p>
      <w:pPr>
        <w:pStyle w:val="7"/>
        <w:ind w:left="0" w:leftChars="0" w:firstLine="0" w:firstLineChars="0"/>
        <w:rPr>
          <w:rFonts w:hint="eastAsia" w:ascii="宋体" w:hAnsi="宋体" w:eastAsia="宋体" w:cs="宋体"/>
          <w:b/>
          <w:bCs/>
          <w:i w:val="0"/>
          <w:iCs w:val="0"/>
          <w:color w:val="auto"/>
          <w:kern w:val="2"/>
          <w:sz w:val="24"/>
          <w:szCs w:val="24"/>
          <w:highlight w:val="none"/>
          <w:lang w:val="en-US" w:eastAsia="zh-CN" w:bidi="ar-SA"/>
        </w:rPr>
      </w:pPr>
    </w:p>
    <w:bookmarkEnd w:id="33"/>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将所有评标委员会成员的评分平均后为最终得分。计算平均分保留两位小数，小数点后第三位四舍五入。</w:t>
      </w:r>
    </w:p>
    <w:p>
      <w:pPr>
        <w:pStyle w:val="27"/>
        <w:spacing w:line="360" w:lineRule="auto"/>
        <w:outlineLvl w:val="0"/>
        <w:rPr>
          <w:rFonts w:hint="eastAsia" w:ascii="宋体" w:hAnsi="宋体" w:eastAsia="宋体" w:cs="宋体"/>
          <w:b w:val="0"/>
          <w:bCs w:val="0"/>
          <w:i w:val="0"/>
          <w:iCs w:val="0"/>
          <w:color w:val="auto"/>
          <w:kern w:val="2"/>
          <w:sz w:val="24"/>
          <w:szCs w:val="24"/>
          <w:highlight w:val="none"/>
          <w:lang w:val="en-US" w:eastAsia="zh-CN" w:bidi="ar-SA"/>
        </w:rPr>
      </w:pPr>
      <w:bookmarkStart w:id="41" w:name="_Toc492286399"/>
      <w:r>
        <w:rPr>
          <w:rFonts w:hint="eastAsia" w:ascii="宋体" w:hAnsi="宋体" w:eastAsia="宋体" w:cs="宋体"/>
          <w:b w:val="0"/>
          <w:bCs w:val="0"/>
          <w:i w:val="0"/>
          <w:iCs w:val="0"/>
          <w:color w:val="auto"/>
          <w:kern w:val="2"/>
          <w:sz w:val="24"/>
          <w:szCs w:val="24"/>
          <w:highlight w:val="none"/>
          <w:lang w:val="en-US" w:eastAsia="zh-CN" w:bidi="ar-SA"/>
        </w:rPr>
        <w:t>3.5 响应文件的澄清和补正</w:t>
      </w:r>
      <w:bookmarkEnd w:id="41"/>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3.5.1在评标过程中，对于响应文件中含义不明确、同类问题表述不一致或者有明显文字和计算错误的内容，评标委员会应当以书面形式要求投标人作出必要的澄清、说明或者补正。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3.5.2评标委员会将允许修正响应文件中不构成重大偏离的、微小的、非正规的、不一致的或不规则的地方，但这种修正不能影响任何投标人相应的名次排序。</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3.5.3 投标人的澄清、说明或者补正应当采用书面形式，并加盖公章，或者由法定代表人或其授权代表签字。投标人的澄清、说明或者补正不得超出响应文件的范围或者改变响应文件的实质性内容（算术性错误修正的除外）。投标人的书面</w:t>
      </w:r>
      <w:bookmarkStart w:id="42" w:name="OLE_LINK3"/>
      <w:r>
        <w:rPr>
          <w:rFonts w:hint="eastAsia" w:ascii="宋体" w:hAnsi="宋体" w:eastAsia="宋体" w:cs="宋体"/>
          <w:b w:val="0"/>
          <w:bCs w:val="0"/>
          <w:i w:val="0"/>
          <w:iCs w:val="0"/>
          <w:color w:val="auto"/>
          <w:kern w:val="2"/>
          <w:sz w:val="24"/>
          <w:szCs w:val="24"/>
          <w:highlight w:val="none"/>
          <w:lang w:val="en-US" w:eastAsia="zh-CN" w:bidi="ar-SA"/>
        </w:rPr>
        <w:t>澄清、说明或者补正</w:t>
      </w:r>
      <w:bookmarkEnd w:id="42"/>
      <w:r>
        <w:rPr>
          <w:rFonts w:hint="eastAsia" w:ascii="宋体" w:hAnsi="宋体" w:eastAsia="宋体" w:cs="宋体"/>
          <w:b w:val="0"/>
          <w:bCs w:val="0"/>
          <w:i w:val="0"/>
          <w:iCs w:val="0"/>
          <w:color w:val="auto"/>
          <w:kern w:val="2"/>
          <w:sz w:val="24"/>
          <w:szCs w:val="24"/>
          <w:highlight w:val="none"/>
          <w:lang w:val="en-US" w:eastAsia="zh-CN" w:bidi="ar-SA"/>
        </w:rPr>
        <w:t>属于响应文件的组成部分。</w:t>
      </w:r>
    </w:p>
    <w:p>
      <w:pPr>
        <w:pStyle w:val="27"/>
        <w:spacing w:line="360" w:lineRule="auto"/>
        <w:outlineLvl w:val="0"/>
        <w:rPr>
          <w:rFonts w:hint="eastAsia" w:ascii="宋体" w:hAnsi="宋体" w:eastAsia="宋体" w:cs="宋体"/>
          <w:b w:val="0"/>
          <w:bCs w:val="0"/>
          <w:i w:val="0"/>
          <w:iCs w:val="0"/>
          <w:color w:val="auto"/>
          <w:kern w:val="2"/>
          <w:sz w:val="24"/>
          <w:szCs w:val="24"/>
          <w:highlight w:val="none"/>
          <w:lang w:val="en-US" w:eastAsia="zh-CN" w:bidi="ar-SA"/>
        </w:rPr>
      </w:pPr>
      <w:bookmarkStart w:id="43" w:name="_Toc144974576"/>
      <w:bookmarkStart w:id="44" w:name="_Toc233102572"/>
      <w:bookmarkStart w:id="45" w:name="_Toc152045608"/>
      <w:bookmarkStart w:id="46" w:name="_Toc492286400"/>
      <w:bookmarkStart w:id="47" w:name="_Toc179632626"/>
      <w:bookmarkStart w:id="48" w:name="_Toc152042386"/>
      <w:r>
        <w:rPr>
          <w:rFonts w:hint="eastAsia" w:ascii="宋体" w:hAnsi="宋体" w:eastAsia="宋体" w:cs="宋体"/>
          <w:b w:val="0"/>
          <w:bCs w:val="0"/>
          <w:i w:val="0"/>
          <w:iCs w:val="0"/>
          <w:color w:val="auto"/>
          <w:kern w:val="2"/>
          <w:sz w:val="24"/>
          <w:szCs w:val="24"/>
          <w:highlight w:val="none"/>
          <w:lang w:val="en-US" w:eastAsia="zh-CN" w:bidi="ar-SA"/>
        </w:rPr>
        <w:t>3.6 评标结果</w:t>
      </w:r>
      <w:bookmarkEnd w:id="43"/>
      <w:bookmarkEnd w:id="44"/>
      <w:bookmarkEnd w:id="45"/>
      <w:bookmarkEnd w:id="46"/>
      <w:bookmarkEnd w:id="47"/>
      <w:bookmarkEnd w:id="48"/>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3.6.1提供相同品牌产品且通过资格审查、符合性审查的不同投标人参加同一合同项下投标的，按一家投标人计算，评审后得分最高的同品牌投标人获得中标人推荐资格；评审得分相同的，价格得分最高的获得中标人推荐资格；价格得分相同时，技术得分最高的获得中标人推荐资格；技术得分也相同时，采购人委托评标委员会随机推荐一个投标人获得中标人推荐资格，其他同品牌投标人不作为中标候选人。</w:t>
      </w:r>
    </w:p>
    <w:p>
      <w:pPr>
        <w:pStyle w:val="31"/>
        <w:wordWrap w:val="0"/>
        <w:spacing w:before="0" w:beforeAutospacing="0" w:after="0" w:afterAutospacing="0" w:line="360" w:lineRule="auto"/>
        <w:ind w:firstLine="48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非单一产品采购项目，采购人根据采购项目技术构成、产品价格比重等合理确定核心产品。采购人确定本项目的核心产品见第二章《投标人须知前附表》。多家投标人提供的核心产品品牌相同的，按前款规定处理。</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3.6.2评标委员会按照得分由高到低的顺序对符合要求的投标人进行排序，并推荐前三名为中标候选人。</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综合得分相同的，投标人所投产品属于国家规定优先采购的节能或环境标志产品优先；允许采购进口产品的，优先采购向我国企业转让技术、与我国企业签订消化吸收再创新方案的供应商的进口产品；如果同为优先采购产品的，按投标报价由低到高顺序排列；如投标报价相同的，按技术得分顺序排列。</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3.6.3竞争性磋商文件规定由评标委员会确定中标人的，评标委员会在完成评标前确定中标人。</w:t>
      </w:r>
    </w:p>
    <w:p>
      <w:pPr>
        <w:pStyle w:val="27"/>
        <w:spacing w:line="360" w:lineRule="auto"/>
        <w:outlineLvl w:val="0"/>
        <w:rPr>
          <w:rFonts w:hint="eastAsia" w:ascii="宋体" w:hAnsi="宋体" w:eastAsia="宋体" w:cs="宋体"/>
          <w:b w:val="0"/>
          <w:bCs w:val="0"/>
          <w:i w:val="0"/>
          <w:iCs w:val="0"/>
          <w:color w:val="auto"/>
          <w:kern w:val="2"/>
          <w:sz w:val="24"/>
          <w:szCs w:val="24"/>
          <w:highlight w:val="none"/>
          <w:lang w:val="en-US" w:eastAsia="zh-CN" w:bidi="ar-SA"/>
        </w:rPr>
      </w:pPr>
      <w:bookmarkStart w:id="49" w:name="_Toc492286401"/>
      <w:r>
        <w:rPr>
          <w:rFonts w:hint="eastAsia" w:ascii="宋体" w:hAnsi="宋体" w:eastAsia="宋体" w:cs="宋体"/>
          <w:b w:val="0"/>
          <w:bCs w:val="0"/>
          <w:i w:val="0"/>
          <w:iCs w:val="0"/>
          <w:color w:val="auto"/>
          <w:kern w:val="2"/>
          <w:sz w:val="24"/>
          <w:szCs w:val="24"/>
          <w:highlight w:val="none"/>
          <w:lang w:val="en-US" w:eastAsia="zh-CN" w:bidi="ar-SA"/>
        </w:rPr>
        <w:t>3.7 复核评审结果</w:t>
      </w:r>
      <w:bookmarkEnd w:id="49"/>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3.7.1采购代理机构应对评审数据进行校对、核对，对畸高、畸低的重大差异评分可以提示评标委员会复核或书面说明理由。</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3.7.2评标委员会要对评分汇总情况进行复核，特别是对排名第一的、报价最低的、投标或响应文件被认定为无效的情形进行重点复核。</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3.7.3评标结果汇总完成后，除下列情形外，任何人不得修改评标结果：</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（一）分值汇总计算错误的；</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（二）分项评分超出评分标准范围的；</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（三）评标委员会成员对客观评审因素评分不一致的；</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（四）经评标委员会认定评分畸高、畸低的。</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投标人对以上情形提出质疑的，采购代理机构可以组织原评标委员会进行重新评审，重新评审改变评标结果的，应当书面报告本级财政部门。</w:t>
      </w:r>
    </w:p>
    <w:p>
      <w:pPr>
        <w:pStyle w:val="27"/>
        <w:spacing w:line="360" w:lineRule="auto"/>
        <w:outlineLvl w:val="0"/>
        <w:rPr>
          <w:rFonts w:hint="eastAsia" w:ascii="宋体" w:hAnsi="宋体" w:eastAsia="宋体" w:cs="宋体"/>
          <w:b w:val="0"/>
          <w:bCs w:val="0"/>
          <w:i w:val="0"/>
          <w:iCs w:val="0"/>
          <w:color w:val="auto"/>
          <w:kern w:val="2"/>
          <w:sz w:val="24"/>
          <w:szCs w:val="24"/>
          <w:highlight w:val="none"/>
          <w:lang w:val="en-US" w:eastAsia="zh-CN" w:bidi="ar-SA"/>
        </w:rPr>
      </w:pPr>
      <w:bookmarkStart w:id="50" w:name="_Toc492286402"/>
      <w:r>
        <w:rPr>
          <w:rFonts w:hint="eastAsia" w:ascii="宋体" w:hAnsi="宋体" w:eastAsia="宋体" w:cs="宋体"/>
          <w:b w:val="0"/>
          <w:bCs w:val="0"/>
          <w:i w:val="0"/>
          <w:iCs w:val="0"/>
          <w:color w:val="auto"/>
          <w:kern w:val="2"/>
          <w:sz w:val="24"/>
          <w:szCs w:val="24"/>
          <w:highlight w:val="none"/>
          <w:lang w:val="en-US" w:eastAsia="zh-CN" w:bidi="ar-SA"/>
        </w:rPr>
        <w:t>3.8评标报告</w:t>
      </w:r>
      <w:bookmarkEnd w:id="50"/>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3.8.1评标委员会完成评标后，向采购人提交书面评标报告。评标报告应当包括以下内容：</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（一）招标公告刊登的媒体名称、开标日期和地点；</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（二）投标人名单和评标委员会成员名单；</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（三）评标方法和标准；</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（四）开标记录和评标情况及说明，包括无效投标人名单及原因；</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（五）评标结果，确定的中标候选人名单或者经采购人委托直接确定的中标人；</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（六）其他需要说明的情况，包括评标过程中投标人根据评标委员会要求进行的澄清、说明或者补正，评标委员会成员的更换等。</w:t>
      </w:r>
    </w:p>
    <w:p>
      <w:pPr>
        <w:spacing w:line="360" w:lineRule="auto"/>
        <w:ind w:firstLine="482" w:firstLineChars="200"/>
        <w:rPr>
          <w:rFonts w:hint="eastAsia" w:ascii="宋体" w:hAnsi="宋体" w:cs="宋体"/>
          <w:b/>
          <w:i w:val="0"/>
          <w:iCs w:val="0"/>
          <w:color w:val="auto"/>
          <w:sz w:val="24"/>
          <w:highlight w:val="none"/>
        </w:rPr>
      </w:pPr>
      <w:r>
        <w:rPr>
          <w:rFonts w:hint="eastAsia" w:ascii="宋体" w:hAnsi="宋体" w:eastAsia="宋体" w:cs="宋体"/>
          <w:b w:val="0"/>
          <w:bCs w:val="0"/>
          <w:i w:val="0"/>
          <w:iCs w:val="0"/>
          <w:color w:val="auto"/>
          <w:kern w:val="2"/>
          <w:sz w:val="24"/>
          <w:szCs w:val="24"/>
          <w:highlight w:val="none"/>
          <w:lang w:val="en-US" w:eastAsia="zh-CN" w:bidi="ar-SA"/>
        </w:rPr>
        <w:t>3.8.2评标委员会成员对需要共同认定的事项存在争议的，应当按照少数服从多数的原则作出结论。持不同意见的评标委员会成员应当在评标报告上签署不同意见及理由，否则视为同意评标报告。</w:t>
      </w:r>
    </w:p>
    <w:p>
      <w:pPr>
        <w:pStyle w:val="27"/>
        <w:jc w:val="center"/>
        <w:outlineLvl w:val="1"/>
        <w:rPr>
          <w:rFonts w:hint="eastAsia"/>
          <w:b/>
          <w:bCs/>
          <w:i w:val="0"/>
          <w:iCs w:val="0"/>
          <w:color w:val="auto"/>
          <w:highlight w:val="none"/>
        </w:rPr>
      </w:pPr>
      <w:r>
        <w:rPr>
          <w:rFonts w:hint="eastAsia"/>
          <w:b/>
          <w:bCs/>
          <w:i w:val="0"/>
          <w:iCs w:val="0"/>
          <w:color w:val="auto"/>
          <w:highlight w:val="none"/>
        </w:rPr>
        <w:t>七、授予合同</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  签订合同</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28.1  中标人收到《中标通知书》后，须按有关规定与采购人签定经济合同。合同的签订一般在《中标通知书》发出后30天内进行，但采购人事先约定的情况除外。</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28.2  合同签订后，中标人应按合同的规定履行合同，未按规定履约的，采购人有权取消合同，并且不退还中标人的投标保证金。</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28.3  中标合同不得转让或分包。如需对合同的非主体部分进行转让或分包，投标人必须在</w:t>
      </w:r>
      <w:r>
        <w:rPr>
          <w:rFonts w:hint="eastAsia" w:ascii="宋体" w:hAnsi="宋体" w:cs="宋体"/>
          <w:i w:val="0"/>
          <w:iCs w:val="0"/>
          <w:color w:val="auto"/>
          <w:szCs w:val="24"/>
          <w:highlight w:val="none"/>
          <w:lang w:eastAsia="zh-CN"/>
        </w:rPr>
        <w:t>响应文件</w:t>
      </w:r>
      <w:r>
        <w:rPr>
          <w:rFonts w:hint="eastAsia" w:ascii="宋体" w:hAnsi="宋体" w:cs="宋体"/>
          <w:i w:val="0"/>
          <w:iCs w:val="0"/>
          <w:color w:val="auto"/>
          <w:szCs w:val="24"/>
          <w:highlight w:val="none"/>
        </w:rPr>
        <w:t>中予以说明，并需经采购人同意。否则，采购人有权取消中标人的中标资格。</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28.4  如中标人未按有关规定与采购人签订合同或提交合同履约保证金的，采购人可以选择其他中标候选人为中标人，并组织中标人和采购人签订经济合同。</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28.5  合同履约保证金的形式为银行保函，另有约定的，按照约定条件执行。</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  合同的组成</w:t>
      </w:r>
    </w:p>
    <w:p>
      <w:pPr>
        <w:pStyle w:val="28"/>
        <w:spacing w:line="360" w:lineRule="auto"/>
        <w:ind w:firstLine="482" w:firstLineChars="200"/>
        <w:jc w:val="both"/>
        <w:outlineLvl w:val="2"/>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29.1  下列文件均为经济合同不可分割的组成部分：</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 xml:space="preserve">29.1.1  </w:t>
      </w:r>
      <w:r>
        <w:rPr>
          <w:rFonts w:hint="eastAsia" w:ascii="宋体" w:hAnsi="宋体" w:cs="宋体"/>
          <w:i w:val="0"/>
          <w:iCs w:val="0"/>
          <w:color w:val="auto"/>
          <w:szCs w:val="24"/>
          <w:highlight w:val="none"/>
          <w:lang w:eastAsia="zh-CN"/>
        </w:rPr>
        <w:t>竞争性磋商文件</w:t>
      </w:r>
      <w:r>
        <w:rPr>
          <w:rFonts w:hint="eastAsia" w:ascii="宋体" w:hAnsi="宋体" w:cs="宋体"/>
          <w:i w:val="0"/>
          <w:iCs w:val="0"/>
          <w:color w:val="auto"/>
          <w:szCs w:val="24"/>
          <w:highlight w:val="none"/>
        </w:rPr>
        <w:t>及其附件、澄清文件；</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29.1.2  中标的</w:t>
      </w:r>
      <w:r>
        <w:rPr>
          <w:rFonts w:hint="eastAsia" w:ascii="宋体" w:hAnsi="宋体" w:cs="宋体"/>
          <w:i w:val="0"/>
          <w:iCs w:val="0"/>
          <w:color w:val="auto"/>
          <w:szCs w:val="24"/>
          <w:highlight w:val="none"/>
          <w:lang w:eastAsia="zh-CN"/>
        </w:rPr>
        <w:t>响应文件</w:t>
      </w:r>
      <w:r>
        <w:rPr>
          <w:rFonts w:hint="eastAsia" w:ascii="宋体" w:hAnsi="宋体" w:cs="宋体"/>
          <w:i w:val="0"/>
          <w:iCs w:val="0"/>
          <w:color w:val="auto"/>
          <w:szCs w:val="24"/>
          <w:highlight w:val="none"/>
        </w:rPr>
        <w:t xml:space="preserve">及其他附件； </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29.1.3  经确认的答疑记录；</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29.1.4  中标通知书。</w:t>
      </w:r>
    </w:p>
    <w:p>
      <w:pPr>
        <w:pStyle w:val="27"/>
        <w:jc w:val="center"/>
        <w:outlineLvl w:val="1"/>
        <w:rPr>
          <w:rFonts w:hint="eastAsia"/>
          <w:b/>
          <w:bCs/>
          <w:i w:val="0"/>
          <w:iCs w:val="0"/>
          <w:color w:val="auto"/>
          <w:highlight w:val="none"/>
        </w:rPr>
      </w:pPr>
      <w:r>
        <w:rPr>
          <w:rFonts w:hint="eastAsia"/>
          <w:b/>
          <w:bCs/>
          <w:i w:val="0"/>
          <w:iCs w:val="0"/>
          <w:color w:val="auto"/>
          <w:highlight w:val="none"/>
          <w:lang w:val="en-US" w:eastAsia="zh-CN"/>
        </w:rPr>
        <w:t>八</w:t>
      </w:r>
      <w:r>
        <w:rPr>
          <w:rFonts w:hint="eastAsia"/>
          <w:b/>
          <w:bCs/>
          <w:i w:val="0"/>
          <w:iCs w:val="0"/>
          <w:color w:val="auto"/>
          <w:highlight w:val="none"/>
        </w:rPr>
        <w:t>、其他事项</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31.  中标服务费</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31.1 中标人应按本</w:t>
      </w:r>
      <w:r>
        <w:rPr>
          <w:rFonts w:hint="eastAsia" w:ascii="宋体" w:hAnsi="宋体" w:eastAsia="宋体" w:cs="宋体"/>
          <w:i w:val="0"/>
          <w:iCs w:val="0"/>
          <w:color w:val="auto"/>
          <w:sz w:val="24"/>
          <w:highlight w:val="none"/>
          <w:lang w:eastAsia="zh-CN"/>
        </w:rPr>
        <w:t>竞争性磋商文件</w:t>
      </w:r>
      <w:r>
        <w:rPr>
          <w:rFonts w:hint="eastAsia" w:ascii="宋体" w:hAnsi="宋体" w:eastAsia="宋体" w:cs="宋体"/>
          <w:i w:val="0"/>
          <w:iCs w:val="0"/>
          <w:color w:val="auto"/>
          <w:sz w:val="24"/>
          <w:highlight w:val="none"/>
        </w:rPr>
        <w:t>的规定，在《中标通知书》核发时至核发后3天内，向采购代理机构支付中标服务费。</w:t>
      </w:r>
    </w:p>
    <w:p>
      <w:pPr>
        <w:pStyle w:val="32"/>
        <w:spacing w:line="360" w:lineRule="auto"/>
        <w:ind w:firstLine="483"/>
        <w:rPr>
          <w:rFonts w:hint="eastAsia" w:ascii="宋体" w:hAnsi="宋体" w:eastAsia="宋体" w:cs="宋体"/>
          <w:i w:val="0"/>
          <w:iCs w:val="0"/>
          <w:color w:val="auto"/>
          <w:sz w:val="24"/>
          <w:highlight w:val="none"/>
        </w:rPr>
      </w:pPr>
      <w:bookmarkStart w:id="51" w:name="_Toc19074"/>
      <w:bookmarkStart w:id="52" w:name="_Toc14033"/>
      <w:r>
        <w:rPr>
          <w:rFonts w:hint="eastAsia" w:ascii="宋体" w:hAnsi="宋体" w:eastAsia="宋体" w:cs="宋体"/>
          <w:i w:val="0"/>
          <w:iCs w:val="0"/>
          <w:color w:val="auto"/>
          <w:sz w:val="24"/>
          <w:highlight w:val="none"/>
        </w:rPr>
        <w:t>31.2 中标服务费的计算基数是中标人投标报价的总金额，即中标通知书中载明的中标金额</w:t>
      </w:r>
      <w:bookmarkEnd w:id="51"/>
      <w:bookmarkEnd w:id="52"/>
      <w:r>
        <w:rPr>
          <w:rFonts w:hint="eastAsia" w:ascii="宋体" w:hAnsi="宋体" w:eastAsia="宋体" w:cs="宋体"/>
          <w:i w:val="0"/>
          <w:iCs w:val="0"/>
          <w:color w:val="auto"/>
          <w:sz w:val="24"/>
          <w:highlight w:val="none"/>
        </w:rPr>
        <w:t>。</w:t>
      </w:r>
    </w:p>
    <w:p>
      <w:pPr>
        <w:pStyle w:val="32"/>
        <w:spacing w:line="360" w:lineRule="auto"/>
        <w:ind w:firstLine="483"/>
        <w:rPr>
          <w:rFonts w:hint="eastAsia" w:ascii="宋体" w:hAnsi="宋体" w:eastAsia="宋体" w:cs="宋体"/>
          <w:i w:val="0"/>
          <w:iCs w:val="0"/>
          <w:color w:val="auto"/>
          <w:sz w:val="24"/>
          <w:highlight w:val="none"/>
        </w:rPr>
      </w:pPr>
      <w:bookmarkStart w:id="53" w:name="_Toc12711"/>
      <w:r>
        <w:rPr>
          <w:rFonts w:hint="eastAsia" w:ascii="宋体" w:hAnsi="宋体" w:eastAsia="宋体" w:cs="宋体"/>
          <w:i w:val="0"/>
          <w:iCs w:val="0"/>
          <w:color w:val="auto"/>
          <w:sz w:val="24"/>
          <w:highlight w:val="none"/>
        </w:rPr>
        <w:t>32. 参与本次招标的投标企业必须有商务、技术人员对评标委员会提出的商务、技术问题进行答疑。</w:t>
      </w:r>
      <w:bookmarkEnd w:id="53"/>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 有下列情形之一的，视为投标人串通投标，其投标无效：</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33.1  不同投标人的</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由同一单位或者个人编制；</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33.2  不同投标人委托同一单位或者个人办理投标事宜；</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33.3  不同投标人的</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载明的项目管理成员或者联系人员为同一人；</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33.4  不同投标人的</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异常一致或者投标报价呈规律性差异；</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33.5  不同投标人的</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相互混装；</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33.6  不同投标人的投标保证金从同一单位或者个人的账户转出。</w:t>
      </w:r>
      <w:bookmarkStart w:id="54" w:name="_Toc22965"/>
      <w:bookmarkStart w:id="55" w:name="_Toc460703982"/>
      <w:bookmarkStart w:id="56" w:name="_Toc5416"/>
      <w:bookmarkStart w:id="57" w:name="_Toc16742"/>
      <w:bookmarkStart w:id="58" w:name="_Toc31265"/>
      <w:bookmarkStart w:id="59" w:name="_Toc3191"/>
      <w:bookmarkStart w:id="60" w:name="_Toc179632806"/>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
        <w:numPr>
          <w:ilvl w:val="0"/>
          <w:numId w:val="0"/>
        </w:numPr>
        <w:tabs>
          <w:tab w:val="left" w:pos="2811"/>
          <w:tab w:val="center" w:pos="4818"/>
        </w:tabs>
        <w:bidi w:val="0"/>
        <w:spacing w:line="240" w:lineRule="auto"/>
        <w:ind w:leftChars="0"/>
        <w:jc w:val="both"/>
        <w:rPr>
          <w:rFonts w:hint="eastAsia" w:ascii="宋体" w:hAnsi="宋体" w:eastAsia="宋体" w:cs="宋体"/>
          <w:b/>
          <w:bCs w:val="0"/>
          <w:i w:val="0"/>
          <w:iCs w:val="0"/>
          <w:color w:val="auto"/>
          <w:sz w:val="32"/>
          <w:szCs w:val="32"/>
          <w:highlight w:val="none"/>
          <w:lang w:val="en-US" w:eastAsia="zh-CN"/>
        </w:rPr>
      </w:pPr>
    </w:p>
    <w:p>
      <w:pPr>
        <w:rPr>
          <w:rFonts w:hint="eastAsia" w:ascii="宋体" w:hAnsi="宋体" w:eastAsia="宋体" w:cs="宋体"/>
          <w:b/>
          <w:bCs w:val="0"/>
          <w:i w:val="0"/>
          <w:iCs w:val="0"/>
          <w:color w:val="auto"/>
          <w:sz w:val="32"/>
          <w:szCs w:val="32"/>
          <w:highlight w:val="none"/>
          <w:lang w:val="en-US" w:eastAsia="zh-CN"/>
        </w:rPr>
      </w:pPr>
    </w:p>
    <w:p>
      <w:pPr>
        <w:pStyle w:val="7"/>
        <w:rPr>
          <w:rFonts w:hint="eastAsia" w:ascii="宋体" w:hAnsi="宋体" w:eastAsia="宋体" w:cs="宋体"/>
          <w:b/>
          <w:bCs w:val="0"/>
          <w:i w:val="0"/>
          <w:iCs w:val="0"/>
          <w:color w:val="auto"/>
          <w:sz w:val="32"/>
          <w:szCs w:val="32"/>
          <w:highlight w:val="none"/>
          <w:lang w:val="en-US" w:eastAsia="zh-CN"/>
        </w:rPr>
      </w:pPr>
    </w:p>
    <w:p>
      <w:pPr>
        <w:rPr>
          <w:rFonts w:hint="eastAsia" w:ascii="宋体" w:hAnsi="宋体" w:eastAsia="宋体" w:cs="宋体"/>
          <w:b/>
          <w:bCs w:val="0"/>
          <w:i w:val="0"/>
          <w:iCs w:val="0"/>
          <w:color w:val="auto"/>
          <w:sz w:val="32"/>
          <w:szCs w:val="32"/>
          <w:highlight w:val="none"/>
          <w:lang w:val="en-US" w:eastAsia="zh-CN"/>
        </w:rPr>
      </w:pPr>
    </w:p>
    <w:p>
      <w:pPr>
        <w:pStyle w:val="7"/>
        <w:rPr>
          <w:rFonts w:hint="eastAsia"/>
          <w:lang w:val="en-US" w:eastAsia="zh-CN"/>
        </w:rPr>
      </w:pPr>
    </w:p>
    <w:p>
      <w:pPr>
        <w:rPr>
          <w:rFonts w:hint="eastAsia"/>
          <w:lang w:val="en-US" w:eastAsia="zh-CN"/>
        </w:rPr>
      </w:pPr>
    </w:p>
    <w:p>
      <w:pPr>
        <w:pStyle w:val="2"/>
        <w:rPr>
          <w:rFonts w:hint="eastAsia"/>
          <w:lang w:val="en-US" w:eastAsia="zh-CN"/>
        </w:rPr>
      </w:pPr>
    </w:p>
    <w:p>
      <w:pPr>
        <w:pStyle w:val="3"/>
        <w:numPr>
          <w:ilvl w:val="0"/>
          <w:numId w:val="0"/>
        </w:numPr>
        <w:tabs>
          <w:tab w:val="left" w:pos="2811"/>
          <w:tab w:val="center" w:pos="4818"/>
        </w:tabs>
        <w:bidi w:val="0"/>
        <w:spacing w:line="240" w:lineRule="auto"/>
        <w:ind w:leftChars="0"/>
        <w:jc w:val="center"/>
        <w:rPr>
          <w:rFonts w:hint="eastAsia" w:ascii="宋体" w:hAnsi="宋体" w:eastAsia="宋体" w:cs="宋体"/>
          <w:b/>
          <w:bCs w:val="0"/>
          <w:i w:val="0"/>
          <w:iCs w:val="0"/>
          <w:color w:val="auto"/>
          <w:sz w:val="32"/>
          <w:szCs w:val="32"/>
          <w:highlight w:val="none"/>
          <w:lang w:val="en-US" w:eastAsia="zh-CN"/>
        </w:rPr>
      </w:pPr>
      <w:r>
        <w:rPr>
          <w:rFonts w:hint="eastAsia" w:ascii="宋体" w:hAnsi="宋体" w:eastAsia="宋体" w:cs="宋体"/>
          <w:b/>
          <w:bCs w:val="0"/>
          <w:i w:val="0"/>
          <w:iCs w:val="0"/>
          <w:color w:val="auto"/>
          <w:sz w:val="32"/>
          <w:szCs w:val="32"/>
          <w:highlight w:val="none"/>
          <w:lang w:val="en-US" w:eastAsia="zh-CN"/>
        </w:rPr>
        <w:t>第三章  合同主要条款</w:t>
      </w:r>
      <w:bookmarkEnd w:id="54"/>
      <w:bookmarkEnd w:id="55"/>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（此合同为格式范本，最终合同以双方协商为准）</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XXXXXXXXXX项目合同</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甲方：XXXXXX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乙方：_____________________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签约地点：_____________________________</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签约日期：_____________________________</w:t>
      </w:r>
    </w:p>
    <w:p>
      <w:pPr>
        <w:pStyle w:val="3"/>
        <w:numPr>
          <w:ilvl w:val="0"/>
          <w:numId w:val="0"/>
        </w:numPr>
        <w:bidi w:val="0"/>
        <w:spacing w:line="240" w:lineRule="auto"/>
        <w:ind w:leftChars="0"/>
        <w:jc w:val="center"/>
        <w:rPr>
          <w:rFonts w:hint="eastAsia"/>
          <w:b/>
          <w:i w:val="0"/>
          <w:iCs w:val="0"/>
          <w:color w:val="auto"/>
          <w:highlight w:val="none"/>
        </w:rPr>
      </w:pPr>
    </w:p>
    <w:p>
      <w:pPr>
        <w:rPr>
          <w:rFonts w:hint="eastAsia"/>
          <w:b/>
          <w:i w:val="0"/>
          <w:iCs w:val="0"/>
          <w:color w:val="auto"/>
          <w:highlight w:val="none"/>
        </w:rPr>
      </w:pPr>
    </w:p>
    <w:p>
      <w:pPr>
        <w:pStyle w:val="30"/>
        <w:rPr>
          <w:rFonts w:hint="eastAsia"/>
          <w:b/>
          <w:i w:val="0"/>
          <w:iCs w:val="0"/>
          <w:color w:val="auto"/>
          <w:highlight w:val="none"/>
        </w:rPr>
      </w:pPr>
    </w:p>
    <w:p>
      <w:pPr>
        <w:pStyle w:val="30"/>
        <w:rPr>
          <w:rFonts w:hint="eastAsia"/>
          <w:b/>
          <w:i w:val="0"/>
          <w:iCs w:val="0"/>
          <w:color w:val="auto"/>
          <w:highlight w:val="none"/>
        </w:rPr>
      </w:pPr>
    </w:p>
    <w:p>
      <w:pPr>
        <w:pStyle w:val="30"/>
        <w:rPr>
          <w:rFonts w:hint="eastAsia"/>
          <w:b/>
          <w:i w:val="0"/>
          <w:iCs w:val="0"/>
          <w:color w:val="auto"/>
          <w:highlight w:val="none"/>
        </w:rPr>
      </w:pPr>
    </w:p>
    <w:p>
      <w:pPr>
        <w:pStyle w:val="30"/>
        <w:rPr>
          <w:rFonts w:hint="eastAsia"/>
          <w:b/>
          <w:i w:val="0"/>
          <w:iCs w:val="0"/>
          <w:color w:val="auto"/>
          <w:highlight w:val="none"/>
        </w:rPr>
      </w:pPr>
    </w:p>
    <w:p>
      <w:pPr>
        <w:pStyle w:val="30"/>
        <w:rPr>
          <w:rFonts w:hint="eastAsia"/>
          <w:b/>
          <w:i w:val="0"/>
          <w:iCs w:val="0"/>
          <w:color w:val="auto"/>
          <w:highlight w:val="none"/>
        </w:rPr>
      </w:pPr>
    </w:p>
    <w:p>
      <w:pPr>
        <w:rPr>
          <w:rFonts w:hint="eastAsia"/>
          <w:i w:val="0"/>
          <w:iCs w:val="0"/>
          <w:color w:val="auto"/>
        </w:rPr>
      </w:pPr>
    </w:p>
    <w:p>
      <w:pPr>
        <w:pStyle w:val="3"/>
        <w:keepLines w:val="0"/>
        <w:pageBreakBefore/>
        <w:numPr>
          <w:ilvl w:val="0"/>
          <w:numId w:val="5"/>
        </w:numPr>
        <w:adjustRightInd w:val="0"/>
        <w:snapToGrid w:val="0"/>
        <w:spacing w:before="120" w:after="120" w:line="360" w:lineRule="auto"/>
        <w:jc w:val="center"/>
        <w:outlineLvl w:val="0"/>
        <w:rPr>
          <w:rFonts w:hint="eastAsia" w:ascii="宋体" w:hAnsi="宋体" w:eastAsia="宋体" w:cs="宋体"/>
          <w:b/>
          <w:bCs w:val="0"/>
          <w:i w:val="0"/>
          <w:iCs w:val="0"/>
          <w:color w:val="auto"/>
          <w:sz w:val="32"/>
          <w:szCs w:val="32"/>
          <w:highlight w:val="none"/>
          <w:lang w:val="en-US" w:eastAsia="zh-CN"/>
        </w:rPr>
      </w:pPr>
      <w:r>
        <w:rPr>
          <w:rFonts w:hint="eastAsia" w:ascii="宋体" w:hAnsi="宋体" w:eastAsia="宋体" w:cs="宋体"/>
          <w:b/>
          <w:bCs w:val="0"/>
          <w:i w:val="0"/>
          <w:iCs w:val="0"/>
          <w:color w:val="auto"/>
          <w:sz w:val="32"/>
          <w:szCs w:val="32"/>
          <w:highlight w:val="none"/>
          <w:lang w:val="en-US" w:eastAsia="zh-CN"/>
        </w:rPr>
        <w:t xml:space="preserve"> 采购需求</w:t>
      </w:r>
    </w:p>
    <w:p>
      <w:pPr>
        <w:numPr>
          <w:ilvl w:val="0"/>
          <w:numId w:val="0"/>
        </w:numPr>
        <w:spacing w:line="360" w:lineRule="auto"/>
        <w:ind w:firstLine="482" w:firstLineChars="200"/>
        <w:rPr>
          <w:rFonts w:hint="eastAsia"/>
          <w:sz w:val="24"/>
          <w:szCs w:val="24"/>
        </w:rPr>
      </w:pPr>
      <w:r>
        <w:rPr>
          <w:rFonts w:hint="eastAsia"/>
          <w:sz w:val="24"/>
          <w:szCs w:val="24"/>
        </w:rPr>
        <w:t>本次招标遵循公开、公平、公正的原则，相关参数及要求由采购人提供的清单为准，具体要求详见清单，如下：</w:t>
      </w:r>
    </w:p>
    <w:p>
      <w:pPr>
        <w:numPr>
          <w:ilvl w:val="0"/>
          <w:numId w:val="0"/>
        </w:numPr>
        <w:spacing w:line="360" w:lineRule="auto"/>
        <w:rPr>
          <w:rFonts w:hint="eastAsia"/>
          <w:sz w:val="24"/>
          <w:szCs w:val="24"/>
        </w:rPr>
      </w:pPr>
      <w:r>
        <w:rPr>
          <w:rFonts w:hint="eastAsia"/>
          <w:sz w:val="24"/>
          <w:szCs w:val="24"/>
        </w:rPr>
        <w:t>工期要求：</w:t>
      </w:r>
      <w:r>
        <w:rPr>
          <w:rFonts w:hint="eastAsia"/>
          <w:sz w:val="24"/>
          <w:szCs w:val="24"/>
          <w:lang w:val="en-US" w:eastAsia="zh-CN"/>
        </w:rPr>
        <w:t>按照甲乙双方签订的合同日期执行。</w:t>
      </w:r>
    </w:p>
    <w:p>
      <w:pPr>
        <w:numPr>
          <w:ilvl w:val="0"/>
          <w:numId w:val="0"/>
        </w:numPr>
        <w:spacing w:line="360" w:lineRule="auto"/>
        <w:rPr>
          <w:rFonts w:hint="eastAsia"/>
          <w:sz w:val="24"/>
          <w:szCs w:val="24"/>
        </w:rPr>
      </w:pPr>
      <w:bookmarkStart w:id="61" w:name="_Toc14404"/>
      <w:r>
        <w:rPr>
          <w:rFonts w:hint="eastAsia"/>
          <w:sz w:val="24"/>
          <w:szCs w:val="24"/>
        </w:rPr>
        <w:t>质量要求：达到验收合格标准。</w:t>
      </w:r>
      <w:bookmarkEnd w:id="61"/>
    </w:p>
    <w:p>
      <w:pPr>
        <w:numPr>
          <w:ilvl w:val="0"/>
          <w:numId w:val="0"/>
        </w:numPr>
        <w:spacing w:line="360" w:lineRule="auto"/>
        <w:rPr>
          <w:rFonts w:hint="eastAsia"/>
          <w:sz w:val="24"/>
          <w:szCs w:val="24"/>
        </w:rPr>
      </w:pPr>
      <w:bookmarkStart w:id="62" w:name="_Toc11190"/>
      <w:r>
        <w:rPr>
          <w:rFonts w:hint="eastAsia"/>
          <w:sz w:val="24"/>
          <w:szCs w:val="24"/>
        </w:rPr>
        <w:t>工作方案</w:t>
      </w:r>
      <w:bookmarkEnd w:id="62"/>
    </w:p>
    <w:p>
      <w:pPr>
        <w:numPr>
          <w:ilvl w:val="0"/>
          <w:numId w:val="0"/>
        </w:numPr>
        <w:spacing w:line="360" w:lineRule="auto"/>
        <w:ind w:firstLine="482" w:firstLineChars="200"/>
        <w:rPr>
          <w:rFonts w:hint="eastAsia"/>
          <w:sz w:val="24"/>
          <w:szCs w:val="24"/>
          <w:lang w:val="en-US" w:eastAsia="zh-CN"/>
        </w:rPr>
      </w:pPr>
      <w:r>
        <w:rPr>
          <w:rFonts w:hint="eastAsia"/>
          <w:sz w:val="24"/>
          <w:szCs w:val="24"/>
          <w:lang w:eastAsia="zh-CN"/>
        </w:rPr>
        <w:t>为进一步提高项目建设管理水平，确保</w:t>
      </w:r>
      <w:r>
        <w:rPr>
          <w:rFonts w:hint="eastAsia"/>
          <w:sz w:val="24"/>
          <w:szCs w:val="24"/>
          <w:lang w:val="en-US" w:eastAsia="zh-CN"/>
        </w:rPr>
        <w:t>2023年2.45万亩高标准农田建设项目管理任务顺利完成，我单位委托具有水利工程管理经验、技术、能力的第三方负责对项目质量、安全、进度、验收、审计等环节进行全过程管理。</w:t>
      </w:r>
    </w:p>
    <w:p>
      <w:pPr>
        <w:numPr>
          <w:ilvl w:val="0"/>
          <w:numId w:val="0"/>
        </w:numPr>
        <w:spacing w:line="360" w:lineRule="auto"/>
        <w:rPr>
          <w:rFonts w:hint="eastAsia"/>
          <w:sz w:val="24"/>
          <w:szCs w:val="24"/>
        </w:rPr>
      </w:pPr>
      <w:bookmarkStart w:id="63" w:name="_Toc570"/>
      <w:r>
        <w:rPr>
          <w:rFonts w:hint="eastAsia"/>
          <w:sz w:val="24"/>
          <w:szCs w:val="24"/>
        </w:rPr>
        <w:t>一、建设内容：</w:t>
      </w:r>
      <w:bookmarkEnd w:id="63"/>
    </w:p>
    <w:p>
      <w:pPr>
        <w:numPr>
          <w:ilvl w:val="0"/>
          <w:numId w:val="0"/>
        </w:numPr>
        <w:spacing w:line="360" w:lineRule="auto"/>
        <w:ind w:firstLine="482" w:firstLineChars="200"/>
        <w:rPr>
          <w:rFonts w:hint="eastAsia"/>
          <w:sz w:val="24"/>
          <w:szCs w:val="24"/>
          <w:lang w:val="en-US" w:eastAsia="zh-CN"/>
        </w:rPr>
      </w:pPr>
      <w:bookmarkStart w:id="64" w:name="_Toc21593"/>
      <w:r>
        <w:rPr>
          <w:rFonts w:hint="eastAsia"/>
          <w:sz w:val="24"/>
          <w:szCs w:val="24"/>
          <w:lang w:val="en-US" w:eastAsia="zh-CN"/>
        </w:rPr>
        <w:t>2023年2.45万亩高标准农田建设项目管理</w:t>
      </w:r>
    </w:p>
    <w:p>
      <w:pPr>
        <w:numPr>
          <w:ilvl w:val="0"/>
          <w:numId w:val="0"/>
        </w:numPr>
        <w:spacing w:line="360" w:lineRule="auto"/>
        <w:rPr>
          <w:rFonts w:hint="eastAsia"/>
          <w:sz w:val="24"/>
          <w:szCs w:val="24"/>
        </w:rPr>
      </w:pPr>
      <w:r>
        <w:rPr>
          <w:rFonts w:hint="eastAsia"/>
          <w:sz w:val="24"/>
          <w:szCs w:val="24"/>
        </w:rPr>
        <w:t>二、</w:t>
      </w:r>
      <w:r>
        <w:rPr>
          <w:rFonts w:hint="eastAsia"/>
          <w:sz w:val="24"/>
          <w:szCs w:val="24"/>
          <w:lang w:eastAsia="zh-CN"/>
        </w:rPr>
        <w:t>结算</w:t>
      </w:r>
      <w:r>
        <w:rPr>
          <w:rFonts w:hint="eastAsia"/>
          <w:sz w:val="24"/>
          <w:szCs w:val="24"/>
        </w:rPr>
        <w:t>和管理：</w:t>
      </w:r>
      <w:bookmarkEnd w:id="64"/>
    </w:p>
    <w:p>
      <w:pPr>
        <w:numPr>
          <w:ilvl w:val="0"/>
          <w:numId w:val="0"/>
        </w:numPr>
        <w:spacing w:line="360" w:lineRule="auto"/>
        <w:ind w:firstLine="482" w:firstLineChars="200"/>
        <w:rPr>
          <w:rFonts w:hint="eastAsia"/>
          <w:sz w:val="24"/>
          <w:szCs w:val="24"/>
          <w:lang w:eastAsia="zh-CN"/>
        </w:rPr>
      </w:pPr>
      <w:bookmarkStart w:id="65" w:name="_Toc4056"/>
      <w:r>
        <w:rPr>
          <w:rFonts w:hint="eastAsia"/>
          <w:sz w:val="24"/>
          <w:szCs w:val="24"/>
        </w:rPr>
        <w:t>1、工程</w:t>
      </w:r>
      <w:r>
        <w:rPr>
          <w:rFonts w:hint="eastAsia"/>
          <w:sz w:val="24"/>
          <w:szCs w:val="24"/>
          <w:lang w:eastAsia="zh-CN"/>
        </w:rPr>
        <w:t>审批</w:t>
      </w:r>
      <w:r>
        <w:rPr>
          <w:rFonts w:hint="eastAsia"/>
          <w:sz w:val="24"/>
          <w:szCs w:val="24"/>
        </w:rPr>
        <w:t>：协助项目业主负责项目前期勘测设计审批</w:t>
      </w:r>
      <w:bookmarkEnd w:id="65"/>
      <w:bookmarkStart w:id="66" w:name="_Toc3883"/>
      <w:r>
        <w:rPr>
          <w:rFonts w:hint="eastAsia"/>
          <w:sz w:val="24"/>
          <w:szCs w:val="24"/>
          <w:lang w:eastAsia="zh-CN"/>
        </w:rPr>
        <w:t>。</w:t>
      </w:r>
    </w:p>
    <w:p>
      <w:pPr>
        <w:numPr>
          <w:ilvl w:val="0"/>
          <w:numId w:val="0"/>
        </w:numPr>
        <w:spacing w:line="360" w:lineRule="auto"/>
        <w:ind w:firstLine="482" w:firstLineChars="200"/>
        <w:rPr>
          <w:rFonts w:hint="eastAsia"/>
          <w:sz w:val="24"/>
          <w:szCs w:val="24"/>
        </w:rPr>
      </w:pPr>
      <w:r>
        <w:rPr>
          <w:rFonts w:hint="eastAsia"/>
          <w:sz w:val="24"/>
          <w:szCs w:val="24"/>
        </w:rPr>
        <w:t>2、竣工结算：协助项目业主完成工程量审核，委托具有相应资质的造价咨询单位审核，并执行</w:t>
      </w:r>
      <w:r>
        <w:rPr>
          <w:rFonts w:hint="eastAsia"/>
          <w:sz w:val="24"/>
          <w:szCs w:val="24"/>
          <w:lang w:val="en-US" w:eastAsia="zh-CN"/>
        </w:rPr>
        <w:t>市</w:t>
      </w:r>
      <w:r>
        <w:rPr>
          <w:rFonts w:hint="eastAsia"/>
          <w:sz w:val="24"/>
          <w:szCs w:val="24"/>
        </w:rPr>
        <w:t>政府关于工程预决算的管理办法。</w:t>
      </w:r>
      <w:bookmarkEnd w:id="66"/>
    </w:p>
    <w:p>
      <w:pPr>
        <w:numPr>
          <w:ilvl w:val="0"/>
          <w:numId w:val="0"/>
        </w:numPr>
        <w:spacing w:line="360" w:lineRule="auto"/>
        <w:ind w:firstLine="482" w:firstLineChars="200"/>
        <w:rPr>
          <w:rFonts w:hint="eastAsia"/>
          <w:sz w:val="24"/>
          <w:szCs w:val="24"/>
        </w:rPr>
      </w:pPr>
      <w:bookmarkStart w:id="67" w:name="_Toc3251"/>
      <w:r>
        <w:rPr>
          <w:rFonts w:hint="eastAsia"/>
          <w:sz w:val="24"/>
          <w:szCs w:val="24"/>
        </w:rPr>
        <w:t>3、协助项目业主配合接受审计部门依法对本项目预决算执行情况进行的审计。</w:t>
      </w:r>
      <w:bookmarkEnd w:id="67"/>
    </w:p>
    <w:p>
      <w:pPr>
        <w:numPr>
          <w:ilvl w:val="0"/>
          <w:numId w:val="0"/>
        </w:numPr>
        <w:spacing w:line="360" w:lineRule="auto"/>
        <w:rPr>
          <w:rFonts w:hint="eastAsia"/>
          <w:sz w:val="24"/>
          <w:szCs w:val="24"/>
          <w:lang w:val="en-US" w:eastAsia="zh-CN"/>
        </w:rPr>
      </w:pPr>
      <w:bookmarkStart w:id="68" w:name="_Toc11973"/>
      <w:r>
        <w:rPr>
          <w:rFonts w:hint="eastAsia"/>
          <w:sz w:val="24"/>
          <w:szCs w:val="24"/>
        </w:rPr>
        <w:t>三、项目管理工作内容及职责</w:t>
      </w:r>
      <w:bookmarkEnd w:id="68"/>
      <w:r>
        <w:rPr>
          <w:rFonts w:hint="eastAsia"/>
          <w:sz w:val="24"/>
          <w:szCs w:val="24"/>
          <w:lang w:val="en-US" w:eastAsia="zh-CN"/>
        </w:rPr>
        <w:t xml:space="preserve">  </w:t>
      </w:r>
    </w:p>
    <w:p>
      <w:pPr>
        <w:numPr>
          <w:ilvl w:val="0"/>
          <w:numId w:val="0"/>
        </w:numPr>
        <w:spacing w:line="360" w:lineRule="auto"/>
        <w:rPr>
          <w:rFonts w:hint="eastAsia"/>
          <w:sz w:val="24"/>
          <w:szCs w:val="24"/>
          <w:lang w:val="en-US" w:eastAsia="zh-CN"/>
        </w:rPr>
      </w:pPr>
      <w:r>
        <w:rPr>
          <w:rFonts w:hint="eastAsia"/>
          <w:sz w:val="24"/>
          <w:szCs w:val="24"/>
          <w:lang w:val="en-US" w:eastAsia="zh-CN"/>
        </w:rPr>
        <w:t>（一）前期设计阶段</w:t>
      </w:r>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 xml:space="preserve">协助项目业主按照批复的内容，结合实际情况，对项目初步设计或实施方案进行评审，督促设计单位按期修改，以完成符合项目要求的设计成果。   </w:t>
      </w:r>
    </w:p>
    <w:p>
      <w:pPr>
        <w:numPr>
          <w:ilvl w:val="0"/>
          <w:numId w:val="0"/>
        </w:numPr>
        <w:spacing w:line="360" w:lineRule="auto"/>
        <w:rPr>
          <w:rFonts w:hint="eastAsia"/>
          <w:sz w:val="24"/>
          <w:szCs w:val="24"/>
          <w:lang w:val="en-US" w:eastAsia="zh-CN"/>
        </w:rPr>
      </w:pPr>
      <w:r>
        <w:rPr>
          <w:rFonts w:hint="eastAsia"/>
          <w:sz w:val="24"/>
          <w:szCs w:val="24"/>
          <w:lang w:val="en-US" w:eastAsia="zh-CN"/>
        </w:rPr>
        <w:t>（二）工程建设管理阶段</w:t>
      </w:r>
    </w:p>
    <w:p>
      <w:pPr>
        <w:numPr>
          <w:ilvl w:val="0"/>
          <w:numId w:val="0"/>
        </w:numPr>
        <w:spacing w:line="360" w:lineRule="auto"/>
        <w:ind w:firstLine="482" w:firstLineChars="200"/>
        <w:rPr>
          <w:rFonts w:hint="eastAsia"/>
          <w:sz w:val="24"/>
          <w:szCs w:val="24"/>
          <w:lang w:val="en-US" w:eastAsia="zh-CN"/>
        </w:rPr>
      </w:pPr>
      <w:bookmarkStart w:id="69" w:name="_Toc7014"/>
      <w:r>
        <w:rPr>
          <w:rFonts w:hint="eastAsia"/>
          <w:sz w:val="24"/>
          <w:szCs w:val="24"/>
          <w:lang w:val="en-US" w:eastAsia="zh-CN"/>
        </w:rPr>
        <w:t>1、协助项目业主与工参建各单位签订相关合同并将签订的合同报相关行政主管部门和使用单位备案，负责所签合同履行的管理。</w:t>
      </w:r>
      <w:bookmarkEnd w:id="69"/>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2、协助项目业主督促参建各方按合同约定时间及时进场，督促参建各方制定符合工期、质量要求的工程建设计划，并报业主审核批准。</w:t>
      </w:r>
      <w:bookmarkStart w:id="70" w:name="_Toc1976"/>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3、协助项目业主组织参建各方按照批复的初步设计或实施方案的建设规模、内容、标准进行工程建设</w:t>
      </w:r>
      <w:bookmarkEnd w:id="70"/>
      <w:bookmarkStart w:id="71" w:name="_Toc10055"/>
      <w:r>
        <w:rPr>
          <w:rFonts w:hint="eastAsia"/>
          <w:sz w:val="24"/>
          <w:szCs w:val="24"/>
          <w:lang w:val="en-US" w:eastAsia="zh-CN"/>
        </w:rPr>
        <w:t>。</w:t>
      </w:r>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4、协助项目业主协调解决工程建设各方在建设过程中遇到的问题，如拆迁、征地等问题。</w:t>
      </w:r>
      <w:bookmarkEnd w:id="71"/>
      <w:bookmarkStart w:id="72" w:name="_Toc31540"/>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5、</w:t>
      </w:r>
      <w:bookmarkEnd w:id="72"/>
      <w:r>
        <w:rPr>
          <w:rFonts w:hint="eastAsia"/>
          <w:sz w:val="24"/>
          <w:szCs w:val="24"/>
          <w:lang w:val="en-US" w:eastAsia="zh-CN"/>
        </w:rPr>
        <w:t>协助项目业主制定应急预案，以解决项目建设中遇到的紧急、特殊情况。</w:t>
      </w:r>
      <w:bookmarkStart w:id="73" w:name="_Toc19053"/>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6、协助项目业主督促参建各方做好工程建设过程中的隐蔽工程、单元工程、分部工程、单位工程等的质量把关，及时对工程质量、工程安全及安全生产工作进行督促、指导和检查。</w:t>
      </w:r>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7、督促参建各单位按照合同约定向及时向业主上报各种工程建设信息和简报，及时收集、整理并归档项目建设各类资料。</w:t>
      </w:r>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8、协助项目业主协调处理参建各方之间的纠纷、矛盾和问题，确保工程按期、按质量要求完工。</w:t>
      </w:r>
    </w:p>
    <w:bookmarkEnd w:id="73"/>
    <w:p>
      <w:pPr>
        <w:numPr>
          <w:ilvl w:val="0"/>
          <w:numId w:val="0"/>
        </w:numPr>
        <w:spacing w:line="360" w:lineRule="auto"/>
        <w:ind w:firstLine="482" w:firstLineChars="200"/>
        <w:rPr>
          <w:rFonts w:hint="eastAsia"/>
          <w:sz w:val="24"/>
          <w:szCs w:val="24"/>
          <w:lang w:val="en-US" w:eastAsia="zh-CN"/>
        </w:rPr>
      </w:pPr>
      <w:bookmarkStart w:id="74" w:name="_Toc11025"/>
      <w:r>
        <w:rPr>
          <w:rFonts w:hint="eastAsia"/>
          <w:sz w:val="24"/>
          <w:szCs w:val="24"/>
          <w:lang w:val="en-US" w:eastAsia="zh-CN"/>
        </w:rPr>
        <w:t>9、按照自治区、地区主管部门的相关要求，按照合同约定及时支付工程款及监理费用，做好资金管理及投资控制工作。</w:t>
      </w:r>
      <w:bookmarkEnd w:id="74"/>
    </w:p>
    <w:p>
      <w:pPr>
        <w:numPr>
          <w:ilvl w:val="0"/>
          <w:numId w:val="0"/>
        </w:numPr>
        <w:spacing w:line="360" w:lineRule="auto"/>
        <w:rPr>
          <w:rFonts w:hint="eastAsia"/>
          <w:sz w:val="24"/>
          <w:szCs w:val="24"/>
        </w:rPr>
      </w:pPr>
      <w:bookmarkStart w:id="75" w:name="_Toc1381"/>
      <w:r>
        <w:rPr>
          <w:rFonts w:hint="eastAsia"/>
          <w:sz w:val="24"/>
          <w:szCs w:val="24"/>
        </w:rPr>
        <w:t>（</w:t>
      </w:r>
      <w:r>
        <w:rPr>
          <w:rFonts w:hint="eastAsia"/>
          <w:sz w:val="24"/>
          <w:szCs w:val="24"/>
          <w:lang w:eastAsia="zh-CN"/>
        </w:rPr>
        <w:t>三</w:t>
      </w:r>
      <w:r>
        <w:rPr>
          <w:rFonts w:hint="eastAsia"/>
          <w:sz w:val="24"/>
          <w:szCs w:val="24"/>
        </w:rPr>
        <w:t>）竣工验收移交阶段</w:t>
      </w:r>
      <w:bookmarkEnd w:id="75"/>
    </w:p>
    <w:p>
      <w:pPr>
        <w:numPr>
          <w:ilvl w:val="0"/>
          <w:numId w:val="0"/>
        </w:numPr>
        <w:spacing w:line="360" w:lineRule="auto"/>
        <w:ind w:firstLine="482" w:firstLineChars="200"/>
        <w:rPr>
          <w:rFonts w:hint="eastAsia"/>
          <w:sz w:val="24"/>
          <w:szCs w:val="24"/>
        </w:rPr>
      </w:pPr>
      <w:bookmarkStart w:id="76" w:name="_Toc26470"/>
      <w:bookmarkStart w:id="77" w:name="_Toc5106"/>
      <w:r>
        <w:rPr>
          <w:rFonts w:hint="eastAsia"/>
          <w:sz w:val="24"/>
          <w:szCs w:val="24"/>
          <w:lang w:val="en-US" w:eastAsia="zh-CN"/>
        </w:rPr>
        <w:t>1</w:t>
      </w:r>
      <w:r>
        <w:rPr>
          <w:rFonts w:hint="eastAsia"/>
          <w:sz w:val="24"/>
          <w:szCs w:val="24"/>
        </w:rPr>
        <w:t>、协助项目业主负责办理竣工验收备案手续，组织编制竣工结算和财务决算报告并报送有关部门审核、审计。</w:t>
      </w:r>
      <w:bookmarkEnd w:id="76"/>
    </w:p>
    <w:p>
      <w:pPr>
        <w:numPr>
          <w:ilvl w:val="0"/>
          <w:numId w:val="0"/>
        </w:numPr>
        <w:spacing w:line="360" w:lineRule="auto"/>
        <w:ind w:firstLine="482" w:firstLineChars="200"/>
        <w:rPr>
          <w:rFonts w:hint="eastAsia"/>
          <w:sz w:val="24"/>
          <w:szCs w:val="24"/>
        </w:rPr>
      </w:pPr>
      <w:r>
        <w:rPr>
          <w:rFonts w:hint="eastAsia"/>
          <w:sz w:val="24"/>
          <w:szCs w:val="24"/>
          <w:lang w:val="en-US" w:eastAsia="zh-CN"/>
        </w:rPr>
        <w:t>2</w:t>
      </w:r>
      <w:r>
        <w:rPr>
          <w:rFonts w:hint="eastAsia"/>
          <w:sz w:val="24"/>
          <w:szCs w:val="24"/>
        </w:rPr>
        <w:t>、协助项目业主依据相关工程验收规程，负责组织工程各级验收工作。</w:t>
      </w:r>
      <w:bookmarkEnd w:id="77"/>
    </w:p>
    <w:p>
      <w:pPr>
        <w:numPr>
          <w:ilvl w:val="0"/>
          <w:numId w:val="0"/>
        </w:numPr>
        <w:spacing w:line="360" w:lineRule="auto"/>
        <w:ind w:firstLine="482" w:firstLineChars="200"/>
        <w:rPr>
          <w:rFonts w:hint="eastAsia"/>
          <w:sz w:val="24"/>
          <w:szCs w:val="24"/>
        </w:rPr>
      </w:pPr>
      <w:bookmarkStart w:id="78" w:name="_Toc18974"/>
      <w:r>
        <w:rPr>
          <w:rFonts w:hint="eastAsia"/>
          <w:sz w:val="24"/>
          <w:szCs w:val="24"/>
          <w:lang w:val="en-US" w:eastAsia="zh-CN"/>
        </w:rPr>
        <w:t>3</w:t>
      </w:r>
      <w:r>
        <w:rPr>
          <w:rFonts w:hint="eastAsia"/>
          <w:sz w:val="24"/>
          <w:szCs w:val="24"/>
        </w:rPr>
        <w:t>、</w:t>
      </w:r>
      <w:r>
        <w:rPr>
          <w:rFonts w:hint="eastAsia"/>
          <w:sz w:val="24"/>
          <w:szCs w:val="24"/>
          <w:lang w:val="en-US" w:eastAsia="zh-CN"/>
        </w:rPr>
        <w:t>督促</w:t>
      </w:r>
      <w:r>
        <w:rPr>
          <w:rFonts w:hint="eastAsia"/>
          <w:sz w:val="24"/>
          <w:szCs w:val="24"/>
        </w:rPr>
        <w:t>参建各方</w:t>
      </w:r>
      <w:r>
        <w:rPr>
          <w:rFonts w:hint="eastAsia"/>
          <w:sz w:val="24"/>
          <w:szCs w:val="24"/>
          <w:lang w:val="en-US" w:eastAsia="zh-CN"/>
        </w:rPr>
        <w:t>编制</w:t>
      </w:r>
      <w:r>
        <w:rPr>
          <w:rFonts w:hint="eastAsia"/>
          <w:sz w:val="24"/>
          <w:szCs w:val="24"/>
        </w:rPr>
        <w:t>工作总结报告</w:t>
      </w:r>
      <w:r>
        <w:rPr>
          <w:rFonts w:hint="eastAsia"/>
          <w:sz w:val="24"/>
          <w:szCs w:val="24"/>
          <w:lang w:val="en-US" w:eastAsia="zh-CN"/>
        </w:rPr>
        <w:t>并及时上报业主，</w:t>
      </w:r>
      <w:r>
        <w:rPr>
          <w:rFonts w:hint="eastAsia"/>
          <w:sz w:val="24"/>
          <w:szCs w:val="24"/>
        </w:rPr>
        <w:t>协助项目业主</w:t>
      </w:r>
      <w:r>
        <w:rPr>
          <w:rFonts w:hint="eastAsia"/>
          <w:sz w:val="24"/>
          <w:szCs w:val="24"/>
          <w:lang w:val="en-US" w:eastAsia="zh-CN"/>
        </w:rPr>
        <w:t>收集</w:t>
      </w:r>
      <w:r>
        <w:rPr>
          <w:rFonts w:hint="eastAsia"/>
          <w:sz w:val="24"/>
          <w:szCs w:val="24"/>
        </w:rPr>
        <w:t>项目建设所有资料，按照工程建设项目档案管理规定的要求，整理完整的档案资料，经档案验收合格后，到档案主管部门履行工程验收档案备案手续。</w:t>
      </w:r>
      <w:bookmarkEnd w:id="78"/>
    </w:p>
    <w:p>
      <w:pPr>
        <w:numPr>
          <w:ilvl w:val="0"/>
          <w:numId w:val="0"/>
        </w:numPr>
        <w:spacing w:line="360" w:lineRule="auto"/>
        <w:ind w:firstLine="482" w:firstLineChars="200"/>
        <w:rPr>
          <w:rFonts w:hint="eastAsia"/>
          <w:sz w:val="24"/>
          <w:szCs w:val="24"/>
        </w:rPr>
      </w:pPr>
      <w:bookmarkStart w:id="79" w:name="_Toc24339"/>
      <w:r>
        <w:rPr>
          <w:rFonts w:hint="eastAsia"/>
          <w:sz w:val="24"/>
          <w:szCs w:val="24"/>
          <w:lang w:val="en-US" w:eastAsia="zh-CN"/>
        </w:rPr>
        <w:t>4</w:t>
      </w:r>
      <w:r>
        <w:rPr>
          <w:rFonts w:hint="eastAsia"/>
          <w:sz w:val="24"/>
          <w:szCs w:val="24"/>
        </w:rPr>
        <w:t>、协助项目业主完成审计单位对该项目的审查，配合审计局的审查工作，并提供有关建设资料。</w:t>
      </w:r>
      <w:bookmarkEnd w:id="79"/>
    </w:p>
    <w:p>
      <w:pPr>
        <w:numPr>
          <w:ilvl w:val="0"/>
          <w:numId w:val="0"/>
        </w:numPr>
        <w:spacing w:line="360" w:lineRule="auto"/>
        <w:ind w:firstLine="482" w:firstLineChars="200"/>
        <w:rPr>
          <w:rFonts w:hint="eastAsia"/>
          <w:sz w:val="24"/>
          <w:szCs w:val="24"/>
        </w:rPr>
      </w:pPr>
      <w:bookmarkStart w:id="80" w:name="_Toc8952"/>
      <w:r>
        <w:rPr>
          <w:rFonts w:hint="eastAsia"/>
          <w:sz w:val="24"/>
          <w:szCs w:val="24"/>
          <w:lang w:val="en-US" w:eastAsia="zh-CN"/>
        </w:rPr>
        <w:t>5</w:t>
      </w:r>
      <w:r>
        <w:rPr>
          <w:rFonts w:hint="eastAsia"/>
          <w:sz w:val="24"/>
          <w:szCs w:val="24"/>
        </w:rPr>
        <w:t>、监督工程各级验收工作。</w:t>
      </w:r>
      <w:bookmarkEnd w:id="80"/>
    </w:p>
    <w:p>
      <w:pPr>
        <w:numPr>
          <w:ilvl w:val="0"/>
          <w:numId w:val="0"/>
        </w:numPr>
        <w:spacing w:line="360" w:lineRule="auto"/>
        <w:rPr>
          <w:rFonts w:hint="eastAsia"/>
          <w:sz w:val="24"/>
          <w:szCs w:val="24"/>
        </w:rPr>
      </w:pPr>
      <w:bookmarkStart w:id="81" w:name="_Toc4967"/>
      <w:r>
        <w:rPr>
          <w:rFonts w:hint="eastAsia"/>
          <w:sz w:val="24"/>
          <w:szCs w:val="24"/>
        </w:rPr>
        <w:t>（</w:t>
      </w:r>
      <w:r>
        <w:rPr>
          <w:rFonts w:hint="eastAsia"/>
          <w:sz w:val="24"/>
          <w:szCs w:val="24"/>
          <w:lang w:eastAsia="zh-CN"/>
        </w:rPr>
        <w:t>四</w:t>
      </w:r>
      <w:r>
        <w:rPr>
          <w:rFonts w:hint="eastAsia"/>
          <w:sz w:val="24"/>
          <w:szCs w:val="24"/>
        </w:rPr>
        <w:t>）工程保修阶段</w:t>
      </w:r>
      <w:bookmarkEnd w:id="81"/>
    </w:p>
    <w:p>
      <w:pPr>
        <w:numPr>
          <w:ilvl w:val="0"/>
          <w:numId w:val="0"/>
        </w:numPr>
        <w:spacing w:line="360" w:lineRule="auto"/>
        <w:ind w:firstLine="482" w:firstLineChars="200"/>
        <w:rPr>
          <w:rFonts w:hint="eastAsia"/>
          <w:sz w:val="24"/>
          <w:szCs w:val="24"/>
        </w:rPr>
      </w:pPr>
      <w:bookmarkStart w:id="82" w:name="_Toc116"/>
      <w:r>
        <w:rPr>
          <w:rFonts w:hint="eastAsia"/>
          <w:sz w:val="24"/>
          <w:szCs w:val="24"/>
        </w:rPr>
        <w:t>协助项目业主负责组织工程保修期内的项目维修、管护，工程保修期结束后移交运管单位进行运行管理的工作。</w:t>
      </w:r>
      <w:bookmarkEnd w:id="82"/>
    </w:p>
    <w:p>
      <w:pPr>
        <w:numPr>
          <w:ilvl w:val="0"/>
          <w:numId w:val="0"/>
        </w:numPr>
        <w:spacing w:line="360" w:lineRule="auto"/>
        <w:rPr>
          <w:rFonts w:hint="eastAsia"/>
          <w:sz w:val="24"/>
          <w:szCs w:val="24"/>
        </w:rPr>
      </w:pPr>
      <w:bookmarkStart w:id="83" w:name="_Toc26162"/>
      <w:r>
        <w:rPr>
          <w:rFonts w:hint="eastAsia"/>
          <w:sz w:val="24"/>
          <w:szCs w:val="24"/>
        </w:rPr>
        <w:t>四、设计变更</w:t>
      </w:r>
      <w:bookmarkEnd w:id="83"/>
    </w:p>
    <w:p>
      <w:pPr>
        <w:numPr>
          <w:ilvl w:val="0"/>
          <w:numId w:val="0"/>
        </w:numPr>
        <w:spacing w:line="360" w:lineRule="auto"/>
        <w:ind w:firstLine="482" w:firstLineChars="200"/>
        <w:rPr>
          <w:rFonts w:hint="eastAsia"/>
          <w:sz w:val="24"/>
          <w:szCs w:val="24"/>
        </w:rPr>
      </w:pPr>
      <w:bookmarkStart w:id="84" w:name="_Toc13945"/>
      <w:r>
        <w:rPr>
          <w:rFonts w:hint="eastAsia"/>
          <w:sz w:val="24"/>
          <w:szCs w:val="24"/>
        </w:rPr>
        <w:t>1、本项目须严格按照批准的设计施工图进行施工。</w:t>
      </w:r>
      <w:bookmarkEnd w:id="84"/>
    </w:p>
    <w:p>
      <w:pPr>
        <w:numPr>
          <w:ilvl w:val="0"/>
          <w:numId w:val="0"/>
        </w:numPr>
        <w:spacing w:line="360" w:lineRule="auto"/>
        <w:ind w:firstLine="482" w:firstLineChars="200"/>
        <w:rPr>
          <w:rFonts w:hint="eastAsia"/>
          <w:sz w:val="24"/>
          <w:szCs w:val="24"/>
        </w:rPr>
      </w:pPr>
      <w:bookmarkStart w:id="85" w:name="_Toc26764"/>
      <w:r>
        <w:rPr>
          <w:rFonts w:hint="eastAsia"/>
          <w:sz w:val="24"/>
          <w:szCs w:val="24"/>
        </w:rPr>
        <w:t>2、对使用功能造成实际影响确需变更时，须征得项目业主或上级主管部门同意后，按照项目审批程序报批。如变更后增加投资或工程量超过批复，应负责变更的报审工作及协助完成变更资金的筹措工作。未获批准前，不得执行相关变更内容。</w:t>
      </w:r>
      <w:bookmarkEnd w:id="85"/>
    </w:p>
    <w:p>
      <w:pPr>
        <w:numPr>
          <w:ilvl w:val="0"/>
          <w:numId w:val="0"/>
        </w:numPr>
        <w:spacing w:line="360" w:lineRule="auto"/>
        <w:rPr>
          <w:rFonts w:hint="eastAsia"/>
          <w:sz w:val="24"/>
          <w:szCs w:val="24"/>
        </w:rPr>
      </w:pPr>
      <w:bookmarkStart w:id="86" w:name="_Toc13133"/>
      <w:r>
        <w:rPr>
          <w:rFonts w:hint="eastAsia"/>
          <w:sz w:val="24"/>
          <w:szCs w:val="24"/>
        </w:rPr>
        <w:t>五、协议签署</w:t>
      </w:r>
      <w:bookmarkEnd w:id="86"/>
    </w:p>
    <w:p>
      <w:pPr>
        <w:numPr>
          <w:ilvl w:val="0"/>
          <w:numId w:val="0"/>
        </w:numPr>
        <w:spacing w:line="360" w:lineRule="auto"/>
        <w:ind w:firstLine="482" w:firstLineChars="200"/>
        <w:rPr>
          <w:rFonts w:hint="eastAsia"/>
          <w:sz w:val="24"/>
          <w:szCs w:val="24"/>
        </w:rPr>
      </w:pPr>
      <w:bookmarkStart w:id="87" w:name="_Toc4871"/>
      <w:r>
        <w:rPr>
          <w:rFonts w:hint="eastAsia"/>
          <w:sz w:val="24"/>
          <w:szCs w:val="24"/>
        </w:rPr>
        <w:t>根据财政部、农业农村部“财农〔2019〕46号关于印发《农田建设补助资金管理办法》的通知”要求，项目管理协议应在项目前期工作前完成签署，以免影响工程后续工作。</w:t>
      </w:r>
      <w:bookmarkEnd w:id="87"/>
    </w:p>
    <w:p>
      <w:pPr>
        <w:numPr>
          <w:ilvl w:val="0"/>
          <w:numId w:val="0"/>
        </w:numPr>
        <w:spacing w:line="360" w:lineRule="auto"/>
        <w:rPr>
          <w:rFonts w:hint="eastAsia"/>
          <w:sz w:val="24"/>
          <w:szCs w:val="24"/>
        </w:rPr>
      </w:pPr>
      <w:bookmarkStart w:id="88" w:name="_Toc19222"/>
      <w:r>
        <w:rPr>
          <w:rFonts w:hint="eastAsia"/>
          <w:sz w:val="24"/>
          <w:szCs w:val="24"/>
        </w:rPr>
        <w:t>六、项目管理资源配置计划</w:t>
      </w:r>
      <w:bookmarkEnd w:id="88"/>
    </w:p>
    <w:p>
      <w:pPr>
        <w:numPr>
          <w:ilvl w:val="0"/>
          <w:numId w:val="0"/>
        </w:numPr>
        <w:spacing w:line="360" w:lineRule="auto"/>
        <w:ind w:firstLine="482" w:firstLineChars="200"/>
        <w:rPr>
          <w:rFonts w:hint="eastAsia" w:eastAsia="宋体"/>
          <w:sz w:val="24"/>
          <w:szCs w:val="24"/>
          <w:lang w:eastAsia="zh-CN"/>
        </w:rPr>
      </w:pPr>
      <w:bookmarkStart w:id="89" w:name="_Toc6053"/>
      <w:r>
        <w:rPr>
          <w:rFonts w:hint="eastAsia"/>
          <w:sz w:val="24"/>
          <w:szCs w:val="24"/>
        </w:rPr>
        <w:t>项目管理负责人：1人（水利工程专业高级工程师）</w:t>
      </w:r>
      <w:bookmarkEnd w:id="89"/>
      <w:r>
        <w:rPr>
          <w:rFonts w:hint="eastAsia"/>
          <w:sz w:val="24"/>
          <w:szCs w:val="24"/>
          <w:lang w:eastAsia="zh-CN"/>
        </w:rPr>
        <w:t>。</w:t>
      </w:r>
    </w:p>
    <w:p>
      <w:pPr>
        <w:pStyle w:val="3"/>
        <w:keepLines w:val="0"/>
        <w:pageBreakBefore/>
        <w:numPr>
          <w:ilvl w:val="0"/>
          <w:numId w:val="0"/>
        </w:numPr>
        <w:adjustRightInd w:val="0"/>
        <w:snapToGrid w:val="0"/>
        <w:spacing w:before="120" w:after="120" w:line="360" w:lineRule="auto"/>
        <w:jc w:val="center"/>
        <w:outlineLvl w:val="0"/>
        <w:rPr>
          <w:rFonts w:hint="eastAsia" w:ascii="宋体" w:hAnsi="宋体" w:eastAsia="宋体" w:cs="宋体"/>
          <w:b/>
          <w:bCs w:val="0"/>
          <w:i w:val="0"/>
          <w:iCs w:val="0"/>
          <w:color w:val="auto"/>
          <w:sz w:val="32"/>
          <w:szCs w:val="32"/>
          <w:highlight w:val="none"/>
          <w:lang w:val="en-US" w:eastAsia="zh-CN"/>
        </w:rPr>
      </w:pPr>
      <w:r>
        <w:rPr>
          <w:rFonts w:hint="eastAsia" w:ascii="宋体" w:hAnsi="宋体" w:eastAsia="宋体" w:cs="宋体"/>
          <w:b/>
          <w:bCs w:val="0"/>
          <w:i w:val="0"/>
          <w:iCs w:val="0"/>
          <w:color w:val="auto"/>
          <w:sz w:val="32"/>
          <w:szCs w:val="32"/>
          <w:highlight w:val="none"/>
          <w:lang w:val="en-US" w:eastAsia="zh-CN"/>
        </w:rPr>
        <w:t>第五章 响应文件格式</w:t>
      </w:r>
      <w:bookmarkEnd w:id="56"/>
      <w:bookmarkEnd w:id="57"/>
      <w:bookmarkEnd w:id="58"/>
      <w:bookmarkEnd w:id="59"/>
      <w:bookmarkEnd w:id="60"/>
    </w:p>
    <w:p>
      <w:pPr>
        <w:adjustRightInd w:val="0"/>
        <w:snapToGrid w:val="0"/>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w:t>
      </w: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ind w:firstLine="482" w:firstLineChars="200"/>
        <w:rPr>
          <w:rFonts w:hint="eastAsia" w:ascii="宋体" w:hAnsi="宋体" w:cs="宋体"/>
          <w:i w:val="0"/>
          <w:iCs w:val="0"/>
          <w:color w:val="auto"/>
          <w:sz w:val="24"/>
          <w:highlight w:val="non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u w:val="single"/>
        </w:rPr>
        <w:t xml:space="preserve">                                      （项目名称）</w:t>
      </w: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  标  文  件</w:t>
      </w: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（盖单位章）</w:t>
      </w:r>
    </w:p>
    <w:p>
      <w:pPr>
        <w:adjustRightInd w:val="0"/>
        <w:snapToGrid w:val="0"/>
        <w:spacing w:line="360" w:lineRule="auto"/>
        <w:jc w:val="center"/>
        <w:rPr>
          <w:rFonts w:hint="eastAsia" w:ascii="宋体" w:hAnsi="宋体" w:cs="宋体"/>
          <w:i w:val="0"/>
          <w:iCs w:val="0"/>
          <w:color w:val="auto"/>
          <w:sz w:val="24"/>
          <w:highlight w:val="none"/>
          <w:u w:val="singl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法定代表人或其委托代理人：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目录</w:t>
      </w:r>
    </w:p>
    <w:p>
      <w:pPr>
        <w:spacing w:line="360" w:lineRule="auto"/>
        <w:jc w:val="center"/>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投标人自行编制</w:t>
      </w: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rPr>
        <w:br w:type="page"/>
      </w:r>
      <w:r>
        <w:rPr>
          <w:rFonts w:hint="eastAsia" w:ascii="宋体" w:hAnsi="宋体" w:cs="宋体"/>
          <w:b/>
          <w:i w:val="0"/>
          <w:iCs w:val="0"/>
          <w:color w:val="auto"/>
          <w:sz w:val="24"/>
          <w:highlight w:val="none"/>
        </w:rPr>
        <w:t>1、投标函及投标报价表</w:t>
      </w:r>
    </w:p>
    <w:p>
      <w:pPr>
        <w:spacing w:line="360" w:lineRule="auto"/>
        <w:jc w:val="center"/>
        <w:outlineLvl w:val="1"/>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（一）投 标 函</w:t>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（招标人名称）：</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我们收到你们</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eastAsia="zh-CN"/>
        </w:rPr>
        <w:t>（</w:t>
      </w:r>
      <w:r>
        <w:rPr>
          <w:rFonts w:hint="eastAsia" w:ascii="宋体" w:hAnsi="宋体" w:eastAsia="宋体" w:cs="宋体"/>
          <w:i w:val="0"/>
          <w:iCs w:val="0"/>
          <w:color w:val="auto"/>
          <w:sz w:val="24"/>
          <w:highlight w:val="none"/>
          <w:u w:val="single"/>
          <w:lang w:val="en-US" w:eastAsia="zh-CN"/>
        </w:rPr>
        <w:t>项目名称</w:t>
      </w:r>
      <w:r>
        <w:rPr>
          <w:rFonts w:hint="eastAsia" w:ascii="宋体" w:hAnsi="宋体" w:eastAsia="宋体" w:cs="宋体"/>
          <w:i w:val="0"/>
          <w:iCs w:val="0"/>
          <w:color w:val="auto"/>
          <w:sz w:val="24"/>
          <w:highlight w:val="none"/>
          <w:u w:val="single"/>
          <w:lang w:eastAsia="zh-CN"/>
        </w:rPr>
        <w:t>）</w:t>
      </w:r>
      <w:r>
        <w:rPr>
          <w:rFonts w:hint="eastAsia" w:ascii="宋体" w:hAnsi="宋体" w:eastAsia="宋体" w:cs="宋体"/>
          <w:i w:val="0"/>
          <w:iCs w:val="0"/>
          <w:color w:val="auto"/>
          <w:sz w:val="24"/>
          <w:highlight w:val="none"/>
          <w:lang w:eastAsia="zh-CN"/>
        </w:rPr>
        <w:t>竞争性磋商文件</w:t>
      </w:r>
      <w:r>
        <w:rPr>
          <w:rFonts w:hint="eastAsia" w:ascii="宋体" w:hAnsi="宋体" w:cs="宋体"/>
          <w:i w:val="0"/>
          <w:iCs w:val="0"/>
          <w:color w:val="auto"/>
          <w:sz w:val="24"/>
          <w:highlight w:val="none"/>
        </w:rPr>
        <w:t>，经认真研究，我们决定参加投标。</w:t>
      </w:r>
    </w:p>
    <w:p>
      <w:pPr>
        <w:spacing w:line="360" w:lineRule="auto"/>
        <w:ind w:firstLine="567"/>
        <w:jc w:val="left"/>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rPr>
        <w:t>⒈按照</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 xml:space="preserve">中的一切要求，提供招标服务投标总价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（人民币大写）￥：</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元（用阿拉伯数字书写）人民币</w:t>
      </w:r>
      <w:r>
        <w:rPr>
          <w:rFonts w:hint="eastAsia" w:ascii="宋体" w:hAnsi="宋体" w:cs="宋体"/>
          <w:i w:val="0"/>
          <w:iCs w:val="0"/>
          <w:color w:val="auto"/>
          <w:sz w:val="24"/>
          <w:highlight w:val="none"/>
          <w:lang w:val="en-US" w:eastAsia="zh-CN"/>
        </w:rPr>
        <w:t>参与本项目的竞标。</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⒉如果我们的投标书被接受，我们将履行</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中规定的每一项要求，按期、按质、按量完成交货和完工任务。</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⒊我们同意按</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的规定，本投标书的有效期为开标后</w:t>
      </w:r>
      <w:r>
        <w:rPr>
          <w:rFonts w:hint="eastAsia" w:ascii="宋体" w:hAnsi="宋体" w:cs="宋体"/>
          <w:i w:val="0"/>
          <w:iCs w:val="0"/>
          <w:color w:val="auto"/>
          <w:sz w:val="24"/>
          <w:highlight w:val="none"/>
          <w:u w:val="single"/>
          <w:lang w:val="en-US" w:eastAsia="zh-CN"/>
        </w:rPr>
        <w:t xml:space="preserve">  60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天。</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⒋我们愿意提供采购人在</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中要求的所有资料。</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⒌我们认为你们有选择或拒绝任何投标者中标的权力。我们理解，最低报价不是中标的唯一条件。</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⒍我们愿按合同法履行自己的全部责任。</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⒎我方愿意遵守国家有关规定及</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中规定的收费标准，承付中标服务费。</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⒏该项投标在开标后的全过程中保持有效，不作任何更改和变动。</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⒐我们同意按</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规定，交纳</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0</w:t>
      </w:r>
      <w:r>
        <w:rPr>
          <w:rFonts w:hint="eastAsia" w:ascii="宋体" w:hAnsi="宋体" w:cs="宋体"/>
          <w:i w:val="0"/>
          <w:iCs w:val="0"/>
          <w:color w:val="auto"/>
          <w:sz w:val="24"/>
          <w:highlight w:val="none"/>
        </w:rPr>
        <w:t>.所有有关本标书的函电，请按下列地址联系：</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地       址：</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电       话：</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邮 政 编 码：</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联  系  人：</w:t>
      </w:r>
    </w:p>
    <w:p>
      <w:pPr>
        <w:spacing w:line="360" w:lineRule="auto"/>
        <w:ind w:firstLine="432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892" w:firstLineChars="12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360" w:lineRule="auto"/>
        <w:jc w:val="right"/>
        <w:rPr>
          <w:rFonts w:hint="eastAsia" w:ascii="宋体" w:hAnsi="宋体" w:cs="宋体"/>
          <w:bCs/>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日 </w:t>
      </w:r>
    </w:p>
    <w:p>
      <w:pPr>
        <w:pStyle w:val="30"/>
        <w:rPr>
          <w:rFonts w:hint="eastAsia" w:ascii="宋体" w:hAnsi="宋体" w:cs="宋体"/>
          <w:bCs/>
          <w:i w:val="0"/>
          <w:iCs w:val="0"/>
          <w:color w:val="auto"/>
          <w:sz w:val="24"/>
          <w:highlight w:val="none"/>
        </w:rPr>
      </w:pPr>
    </w:p>
    <w:p>
      <w:pPr>
        <w:spacing w:line="360" w:lineRule="auto"/>
        <w:jc w:val="center"/>
        <w:outlineLvl w:val="1"/>
        <w:rPr>
          <w:rFonts w:hint="eastAsia" w:ascii="宋体" w:hAnsi="宋体" w:cs="宋体"/>
          <w:b/>
          <w:i w:val="0"/>
          <w:iCs w:val="0"/>
          <w:color w:val="auto"/>
          <w:sz w:val="24"/>
          <w:highlight w:val="none"/>
        </w:rPr>
      </w:pPr>
      <w:r>
        <w:rPr>
          <w:rFonts w:hint="eastAsia" w:ascii="宋体" w:hAnsi="宋体" w:cs="宋体"/>
          <w:b/>
          <w:i w:val="0"/>
          <w:iCs w:val="0"/>
          <w:color w:val="auto"/>
          <w:sz w:val="24"/>
          <w:highlight w:val="none"/>
          <w:lang w:val="en-US" w:eastAsia="zh-CN"/>
        </w:rPr>
        <w:t>2</w:t>
      </w:r>
      <w:r>
        <w:rPr>
          <w:rFonts w:hint="eastAsia" w:ascii="宋体" w:hAnsi="宋体" w:cs="宋体"/>
          <w:b/>
          <w:i w:val="0"/>
          <w:iCs w:val="0"/>
          <w:color w:val="auto"/>
          <w:sz w:val="24"/>
          <w:highlight w:val="none"/>
        </w:rPr>
        <w:t>、法定代表人身份证明</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投标人名称：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单位性质：</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地     址：</w:t>
      </w:r>
      <w:r>
        <w:rPr>
          <w:rFonts w:hint="eastAsia" w:ascii="宋体" w:hAnsi="宋体" w:cs="宋体"/>
          <w:i w:val="0"/>
          <w:iCs w:val="0"/>
          <w:color w:val="auto"/>
          <w:sz w:val="24"/>
          <w:highlight w:val="none"/>
          <w:u w:val="singl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成立时间：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日</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经营期限：</w:t>
      </w:r>
      <w:r>
        <w:rPr>
          <w:rFonts w:hint="eastAsia" w:ascii="宋体" w:hAnsi="宋体" w:cs="宋体"/>
          <w:i w:val="0"/>
          <w:iCs w:val="0"/>
          <w:color w:val="auto"/>
          <w:sz w:val="24"/>
          <w:highlight w:val="none"/>
          <w:u w:val="singl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姓    名：</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性别：</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年    龄：</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职务：</w:t>
      </w:r>
      <w:r>
        <w:rPr>
          <w:rFonts w:hint="eastAsia" w:ascii="宋体" w:hAnsi="宋体" w:cs="宋体"/>
          <w:i w:val="0"/>
          <w:iCs w:val="0"/>
          <w:color w:val="auto"/>
          <w:sz w:val="24"/>
          <w:highlight w:val="none"/>
          <w:u w:val="singl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系</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（投标人名称）的法定代表人。</w:t>
      </w:r>
    </w:p>
    <w:p>
      <w:pPr>
        <w:spacing w:line="360" w:lineRule="auto"/>
        <w:ind w:firstLine="964" w:firstLineChars="4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特此证明。</w:t>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注：后附法定代表人身份证复印件</w:t>
      </w:r>
    </w:p>
    <w:p>
      <w:pPr>
        <w:spacing w:line="360" w:lineRule="auto"/>
        <w:rPr>
          <w:rFonts w:hint="eastAsia" w:ascii="宋体" w:hAnsi="宋体" w:cs="宋体"/>
          <w:i w:val="0"/>
          <w:iCs w:val="0"/>
          <w:color w:val="auto"/>
          <w:sz w:val="24"/>
          <w:highlight w:val="none"/>
        </w:rPr>
      </w:pPr>
    </w:p>
    <w:p>
      <w:pPr>
        <w:spacing w:line="360" w:lineRule="auto"/>
        <w:rPr>
          <w:rFonts w:hint="eastAsia" w:ascii="宋体" w:hAnsi="宋体" w:cs="宋体"/>
          <w:i w:val="0"/>
          <w:iCs w:val="0"/>
          <w:color w:val="auto"/>
          <w:sz w:val="24"/>
          <w:highlight w:val="none"/>
        </w:rPr>
      </w:pPr>
    </w:p>
    <w:p>
      <w:pPr>
        <w:spacing w:line="360" w:lineRule="auto"/>
        <w:ind w:firstLine="2892" w:firstLineChars="1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892" w:firstLineChars="12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360" w:lineRule="auto"/>
        <w:jc w:val="right"/>
        <w:rPr>
          <w:rFonts w:hint="eastAsia" w:ascii="宋体" w:hAnsi="宋体" w:cs="宋体"/>
          <w:bCs/>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日 </w:t>
      </w:r>
    </w:p>
    <w:p>
      <w:pPr>
        <w:spacing w:line="360" w:lineRule="auto"/>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spacing w:line="360" w:lineRule="auto"/>
        <w:rPr>
          <w:rFonts w:hint="eastAsia" w:ascii="宋体" w:hAnsi="宋体" w:cs="宋体"/>
          <w:i w:val="0"/>
          <w:iCs w:val="0"/>
          <w:color w:val="auto"/>
          <w:sz w:val="24"/>
          <w:highlight w:val="none"/>
        </w:rPr>
      </w:pPr>
    </w:p>
    <w:p>
      <w:pPr>
        <w:spacing w:line="360" w:lineRule="auto"/>
        <w:jc w:val="center"/>
        <w:outlineLvl w:val="1"/>
        <w:rPr>
          <w:rFonts w:hint="eastAsia" w:ascii="宋体" w:hAnsi="宋体" w:cs="宋体"/>
          <w:b/>
          <w:bCs/>
          <w:i w:val="0"/>
          <w:iCs w:val="0"/>
          <w:color w:val="auto"/>
          <w:sz w:val="24"/>
          <w:highlight w:val="none"/>
        </w:rPr>
      </w:pPr>
    </w:p>
    <w:p>
      <w:pPr>
        <w:spacing w:line="360" w:lineRule="auto"/>
        <w:jc w:val="center"/>
        <w:outlineLvl w:val="1"/>
        <w:rPr>
          <w:rFonts w:hint="eastAsia" w:ascii="宋体" w:hAnsi="宋体" w:cs="宋体"/>
          <w:b/>
          <w:bCs/>
          <w:i w:val="0"/>
          <w:iCs w:val="0"/>
          <w:color w:val="auto"/>
          <w:sz w:val="24"/>
          <w:highlight w:val="none"/>
        </w:rPr>
      </w:pPr>
      <w:r>
        <w:rPr>
          <w:rFonts w:hint="eastAsia" w:ascii="宋体" w:hAnsi="宋体" w:cs="宋体"/>
          <w:b/>
          <w:bCs/>
          <w:i w:val="0"/>
          <w:iCs w:val="0"/>
          <w:color w:val="auto"/>
          <w:sz w:val="24"/>
          <w:highlight w:val="none"/>
          <w:lang w:val="en-US" w:eastAsia="zh-CN"/>
        </w:rPr>
        <w:t>3</w:t>
      </w:r>
      <w:r>
        <w:rPr>
          <w:rFonts w:hint="eastAsia" w:ascii="宋体" w:hAnsi="宋体" w:cs="宋体"/>
          <w:b/>
          <w:bCs/>
          <w:i w:val="0"/>
          <w:iCs w:val="0"/>
          <w:color w:val="auto"/>
          <w:sz w:val="24"/>
          <w:highlight w:val="none"/>
        </w:rPr>
        <w:t>、法定代表人的授权委托书</w:t>
      </w:r>
    </w:p>
    <w:p>
      <w:pPr>
        <w:spacing w:line="360" w:lineRule="auto"/>
        <w:rPr>
          <w:rFonts w:hint="eastAsia" w:ascii="宋体" w:hAnsi="宋体" w:cs="宋体"/>
          <w:i w:val="0"/>
          <w:iCs w:val="0"/>
          <w:color w:val="auto"/>
          <w:sz w:val="24"/>
          <w:highlight w:val="none"/>
        </w:rPr>
      </w:pPr>
    </w:p>
    <w:p>
      <w:pPr>
        <w:topLinePunct/>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本人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（姓名）系</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（投标人名称）的法定代表人，现委托</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（姓名）为我方代理人。代理人根据授权，以我方名义签署、澄清、说明、补正、递交、撤回、修改</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（项目名称）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标段</w:t>
      </w:r>
      <w:r>
        <w:rPr>
          <w:rFonts w:hint="eastAsia" w:ascii="宋体" w:hAnsi="宋体" w:cs="宋体"/>
          <w:i w:val="0"/>
          <w:iCs w:val="0"/>
          <w:color w:val="auto"/>
          <w:sz w:val="24"/>
          <w:highlight w:val="none"/>
          <w:lang w:eastAsia="zh-CN"/>
        </w:rPr>
        <w:t>响应文件</w:t>
      </w:r>
      <w:r>
        <w:rPr>
          <w:rFonts w:hint="eastAsia" w:ascii="宋体" w:hAnsi="宋体" w:cs="宋体"/>
          <w:i w:val="0"/>
          <w:iCs w:val="0"/>
          <w:color w:val="auto"/>
          <w:sz w:val="24"/>
          <w:highlight w:val="none"/>
        </w:rPr>
        <w:t>、签订合同和处理有关事宜，其法律后果由我方承担。</w:t>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w:t>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委托期限：</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代理人无转委托权。</w:t>
      </w:r>
    </w:p>
    <w:p>
      <w:pPr>
        <w:spacing w:line="360" w:lineRule="auto"/>
        <w:ind w:firstLine="482" w:firstLineChars="200"/>
        <w:rPr>
          <w:rFonts w:hint="eastAsia" w:ascii="宋体" w:hAnsi="宋体" w:cs="宋体"/>
          <w:i w:val="0"/>
          <w:iCs w:val="0"/>
          <w:color w:val="auto"/>
          <w:sz w:val="24"/>
          <w:highlight w:val="none"/>
        </w:rPr>
      </w:pP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附：法定代表人身份证明、委托代理人身份证复印件</w:t>
      </w:r>
    </w:p>
    <w:p>
      <w:pPr>
        <w:pStyle w:val="2"/>
        <w:rPr>
          <w:rFonts w:hint="eastAsia"/>
        </w:rPr>
      </w:pP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482" w:firstLineChars="200"/>
        <w:jc w:val="left"/>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身份证号码：</w:t>
      </w:r>
      <w:r>
        <w:rPr>
          <w:rFonts w:hint="eastAsia" w:ascii="宋体" w:hAnsi="宋体" w:cs="宋体"/>
          <w:i w:val="0"/>
          <w:iCs w:val="0"/>
          <w:color w:val="auto"/>
          <w:sz w:val="24"/>
          <w:highlight w:val="none"/>
          <w:u w:val="singl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委托代理人：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（签字）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身份证号码：</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w:t>
      </w:r>
    </w:p>
    <w:p>
      <w:pPr>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p>
    <w:p>
      <w:pPr>
        <w:spacing w:line="360" w:lineRule="auto"/>
        <w:jc w:val="center"/>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pStyle w:val="2"/>
        <w:rPr>
          <w:rFonts w:hint="eastAsia" w:ascii="宋体" w:hAnsi="宋体" w:cs="宋体"/>
          <w:b/>
          <w:i w:val="0"/>
          <w:iCs w:val="0"/>
          <w:color w:val="auto"/>
          <w:sz w:val="24"/>
          <w:highlight w:val="none"/>
        </w:rPr>
      </w:pPr>
    </w:p>
    <w:p>
      <w:pPr>
        <w:rPr>
          <w:rFonts w:hint="eastAsia" w:ascii="宋体" w:hAnsi="宋体" w:cs="宋体"/>
          <w:b/>
          <w:i w:val="0"/>
          <w:iCs w:val="0"/>
          <w:color w:val="auto"/>
          <w:sz w:val="24"/>
          <w:highlight w:val="none"/>
        </w:rPr>
      </w:pPr>
    </w:p>
    <w:p>
      <w:pPr>
        <w:pStyle w:val="2"/>
        <w:rPr>
          <w:rFonts w:hint="eastAsia"/>
        </w:rPr>
      </w:pPr>
    </w:p>
    <w:p>
      <w:pPr>
        <w:spacing w:line="360" w:lineRule="auto"/>
        <w:jc w:val="left"/>
        <w:outlineLvl w:val="1"/>
        <w:rPr>
          <w:rFonts w:hint="eastAsia" w:ascii="宋体" w:hAnsi="宋体" w:cs="宋体"/>
          <w:b/>
          <w:i w:val="0"/>
          <w:iCs w:val="0"/>
          <w:color w:val="auto"/>
          <w:sz w:val="24"/>
          <w:highlight w:val="none"/>
        </w:rPr>
      </w:pPr>
    </w:p>
    <w:p>
      <w:pPr>
        <w:pStyle w:val="2"/>
        <w:rPr>
          <w:rFonts w:hint="eastAsia" w:ascii="宋体" w:hAnsi="宋体" w:cs="宋体"/>
          <w:b/>
          <w:i w:val="0"/>
          <w:iCs w:val="0"/>
          <w:color w:val="auto"/>
          <w:sz w:val="24"/>
          <w:highlight w:val="none"/>
        </w:rPr>
      </w:pPr>
    </w:p>
    <w:p>
      <w:pPr>
        <w:rPr>
          <w:rFonts w:hint="eastAsia" w:ascii="宋体" w:hAnsi="宋体" w:cs="宋体"/>
          <w:b/>
          <w:i w:val="0"/>
          <w:iCs w:val="0"/>
          <w:color w:val="auto"/>
          <w:sz w:val="24"/>
          <w:highlight w:val="none"/>
        </w:rPr>
      </w:pPr>
    </w:p>
    <w:p>
      <w:pPr>
        <w:pStyle w:val="2"/>
        <w:rPr>
          <w:rFonts w:hint="eastAsia"/>
        </w:rPr>
      </w:pPr>
    </w:p>
    <w:p>
      <w:pPr>
        <w:spacing w:line="360" w:lineRule="auto"/>
        <w:jc w:val="left"/>
        <w:outlineLvl w:val="1"/>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numPr>
          <w:ilvl w:val="0"/>
          <w:numId w:val="6"/>
        </w:numPr>
        <w:spacing w:line="360" w:lineRule="auto"/>
        <w:jc w:val="center"/>
        <w:outlineLvl w:val="1"/>
        <w:rPr>
          <w:rFonts w:hint="eastAsia" w:ascii="宋体" w:hAnsi="宋体" w:cs="宋体"/>
          <w:b/>
          <w:i w:val="0"/>
          <w:iCs w:val="0"/>
          <w:color w:val="auto"/>
          <w:sz w:val="24"/>
          <w:highlight w:val="none"/>
          <w:lang w:eastAsia="zh-CN"/>
        </w:rPr>
      </w:pPr>
      <w:r>
        <w:rPr>
          <w:rFonts w:hint="eastAsia" w:ascii="宋体" w:hAnsi="宋体" w:cs="宋体"/>
          <w:b/>
          <w:i w:val="0"/>
          <w:iCs w:val="0"/>
          <w:color w:val="auto"/>
          <w:sz w:val="24"/>
          <w:highlight w:val="none"/>
        </w:rPr>
        <w:t>投标保证金</w:t>
      </w:r>
      <w:r>
        <w:rPr>
          <w:rFonts w:hint="eastAsia" w:ascii="宋体" w:hAnsi="宋体" w:cs="宋体"/>
          <w:b/>
          <w:i w:val="0"/>
          <w:iCs w:val="0"/>
          <w:color w:val="auto"/>
          <w:sz w:val="24"/>
          <w:highlight w:val="none"/>
          <w:lang w:eastAsia="zh-CN"/>
        </w:rPr>
        <w:t>（应附开户信息、投标保证金打款凭证）</w:t>
      </w:r>
    </w:p>
    <w:p>
      <w:pPr>
        <w:pStyle w:val="2"/>
        <w:widowControl w:val="0"/>
        <w:numPr>
          <w:ilvl w:val="0"/>
          <w:numId w:val="0"/>
        </w:numPr>
        <w:jc w:val="center"/>
        <w:rPr>
          <w:rFonts w:hint="eastAsia"/>
          <w:i w:val="0"/>
          <w:iCs w:val="0"/>
          <w:color w:val="auto"/>
          <w:lang w:eastAsia="zh-CN"/>
        </w:rPr>
        <w:sectPr>
          <w:footerReference r:id="rId11" w:type="first"/>
          <w:footerReference r:id="rId10" w:type="default"/>
          <w:pgSz w:w="11849" w:h="16781"/>
          <w:pgMar w:top="1327" w:right="1508" w:bottom="1327" w:left="1502" w:header="851" w:footer="850" w:gutter="0"/>
          <w:pgNumType w:start="1"/>
          <w:cols w:space="720" w:num="1"/>
          <w:titlePg/>
          <w:docGrid w:type="linesAndChars" w:linePitch="320" w:charSpace="269"/>
        </w:sectPr>
      </w:pPr>
      <w:r>
        <w:rPr>
          <w:rFonts w:hint="eastAsia" w:ascii="宋体" w:hAnsi="宋体" w:eastAsia="宋体" w:cs="宋体"/>
          <w:b w:val="0"/>
          <w:bCs/>
          <w:i w:val="0"/>
          <w:iCs w:val="0"/>
          <w:color w:val="auto"/>
          <w:kern w:val="2"/>
          <w:sz w:val="24"/>
          <w:szCs w:val="24"/>
          <w:highlight w:val="none"/>
          <w:lang w:val="en-US" w:eastAsia="zh-CN" w:bidi="ar-SA"/>
        </w:rPr>
        <w:t>本项目不做要求</w:t>
      </w:r>
    </w:p>
    <w:p>
      <w:pPr>
        <w:ind w:firstLine="3500" w:firstLineChars="125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lang w:val="en-US" w:eastAsia="zh-CN"/>
        </w:rPr>
        <w:t>5</w:t>
      </w:r>
      <w:r>
        <w:rPr>
          <w:rFonts w:hint="eastAsia" w:ascii="宋体" w:hAnsi="宋体" w:cs="宋体"/>
          <w:i w:val="0"/>
          <w:iCs w:val="0"/>
          <w:color w:val="auto"/>
          <w:sz w:val="28"/>
          <w:szCs w:val="28"/>
          <w:highlight w:val="none"/>
          <w:lang w:val="en-US" w:eastAsia="zh-CN"/>
        </w:rPr>
        <w:t>、</w:t>
      </w:r>
      <w:r>
        <w:rPr>
          <w:rFonts w:hint="eastAsia" w:ascii="宋体" w:hAnsi="宋体" w:eastAsia="宋体" w:cs="宋体"/>
          <w:i w:val="0"/>
          <w:iCs w:val="0"/>
          <w:color w:val="auto"/>
          <w:sz w:val="28"/>
          <w:szCs w:val="28"/>
          <w:highlight w:val="none"/>
        </w:rPr>
        <w:t>反商业贿赂承诺书</w:t>
      </w:r>
    </w:p>
    <w:p>
      <w:pPr>
        <w:rPr>
          <w:rFonts w:hint="eastAsia" w:ascii="宋体" w:hAnsi="宋体" w:eastAsia="宋体" w:cs="宋体"/>
          <w:i w:val="0"/>
          <w:iCs w:val="0"/>
          <w:color w:val="auto"/>
          <w:sz w:val="28"/>
          <w:szCs w:val="28"/>
          <w:highlight w:val="none"/>
        </w:rPr>
      </w:pPr>
    </w:p>
    <w:p>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我公司承诺：</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在本次</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活动中，我公司保证做到：</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一、公平竞争参加本次招标活动。</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三、若出现上述行为，我公司及参与磋商的工作人员愿意接受按照国家法律法规等有关规定给予的处罚。</w:t>
      </w:r>
    </w:p>
    <w:p>
      <w:pPr>
        <w:spacing w:line="360" w:lineRule="auto"/>
        <w:rPr>
          <w:rFonts w:hint="eastAsia" w:ascii="宋体" w:hAnsi="宋体" w:eastAsia="宋体" w:cs="宋体"/>
          <w:i w:val="0"/>
          <w:iCs w:val="0"/>
          <w:color w:val="auto"/>
          <w:sz w:val="24"/>
          <w:szCs w:val="24"/>
          <w:highlight w:val="none"/>
        </w:rPr>
      </w:pPr>
    </w:p>
    <w:p>
      <w:pPr>
        <w:spacing w:line="360" w:lineRule="auto"/>
        <w:rPr>
          <w:rFonts w:hint="eastAsia" w:ascii="宋体" w:hAnsi="宋体" w:cs="宋体"/>
          <w:i w:val="0"/>
          <w:iCs w:val="0"/>
          <w:color w:val="auto"/>
          <w:sz w:val="24"/>
          <w:highlight w:val="none"/>
        </w:rPr>
      </w:pPr>
    </w:p>
    <w:p>
      <w:pPr>
        <w:spacing w:line="360" w:lineRule="auto"/>
        <w:ind w:firstLine="3600" w:firstLineChars="15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400" w:firstLineChars="10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450" w:lineRule="atLeas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6</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投标人概况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投标人名称</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注册地址</w:t>
            </w:r>
          </w:p>
        </w:tc>
        <w:tc>
          <w:tcPr>
            <w:tcW w:w="3389" w:type="dxa"/>
            <w:gridSpan w:val="5"/>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邮政编码</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联系方式</w:t>
            </w: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联系人</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  话</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传  真</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网  址</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组织结构</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法定代表人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技术负责人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成立时间</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4914" w:type="dxa"/>
            <w:gridSpan w:val="6"/>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企业资质等级</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其中</w:t>
            </w: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项目经理</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营业执照号</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高级职称人员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注册资金</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中级职称人员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开户银行</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初级职称人员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账号</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  工</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经营范围</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备注</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7</w:t>
      </w:r>
    </w:p>
    <w:p>
      <w:pPr>
        <w:tabs>
          <w:tab w:val="left" w:pos="720"/>
        </w:tabs>
        <w:autoSpaceDE w:val="0"/>
        <w:autoSpaceDN w:val="0"/>
        <w:adjustRightInd w:val="0"/>
        <w:spacing w:line="420" w:lineRule="exact"/>
        <w:ind w:left="720" w:firstLine="2660" w:firstLineChars="950"/>
        <w:jc w:val="left"/>
        <w:rPr>
          <w:rFonts w:hint="eastAsia" w:ascii="宋体" w:hAnsi="宋体" w:cs="宋体"/>
          <w:i w:val="0"/>
          <w:iCs w:val="0"/>
          <w:color w:val="auto"/>
          <w:kern w:val="0"/>
          <w:sz w:val="28"/>
          <w:szCs w:val="28"/>
          <w:highlight w:val="none"/>
        </w:rPr>
      </w:pPr>
      <w:r>
        <w:rPr>
          <w:rFonts w:hint="eastAsia" w:ascii="宋体" w:hAnsi="宋体" w:cs="宋体"/>
          <w:i w:val="0"/>
          <w:iCs w:val="0"/>
          <w:color w:val="auto"/>
          <w:kern w:val="0"/>
          <w:sz w:val="28"/>
          <w:szCs w:val="28"/>
          <w:highlight w:val="none"/>
        </w:rPr>
        <w:t>项目管理机构组成表</w:t>
      </w:r>
    </w:p>
    <w:p>
      <w:pPr>
        <w:autoSpaceDE w:val="0"/>
        <w:autoSpaceDN w:val="0"/>
        <w:adjustRightInd w:val="0"/>
        <w:spacing w:line="420" w:lineRule="exact"/>
        <w:jc w:val="left"/>
        <w:rPr>
          <w:rFonts w:hint="eastAsia" w:ascii="宋体" w:hAnsi="宋体" w:cs="宋体"/>
          <w:i w:val="0"/>
          <w:iCs w:val="0"/>
          <w:color w:val="auto"/>
          <w:kern w:val="0"/>
          <w:highlight w:val="none"/>
        </w:rPr>
      </w:pPr>
    </w:p>
    <w:tbl>
      <w:tblPr>
        <w:tblStyle w:val="13"/>
        <w:tblW w:w="886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5"/>
        <w:gridCol w:w="1559"/>
        <w:gridCol w:w="851"/>
        <w:gridCol w:w="850"/>
        <w:gridCol w:w="992"/>
        <w:gridCol w:w="1227"/>
        <w:gridCol w:w="1467"/>
        <w:gridCol w:w="126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39" w:hRule="atLeast"/>
        </w:trPr>
        <w:tc>
          <w:tcPr>
            <w:tcW w:w="655" w:type="dxa"/>
            <w:tcBorders>
              <w:bottom w:val="single" w:color="000000" w:sz="6" w:space="0"/>
              <w:right w:val="single" w:color="000000" w:sz="4"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序号</w:t>
            </w:r>
          </w:p>
        </w:tc>
        <w:tc>
          <w:tcPr>
            <w:tcW w:w="1559" w:type="dxa"/>
            <w:tcBorders>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姓名</w:t>
            </w:r>
          </w:p>
        </w:tc>
        <w:tc>
          <w:tcPr>
            <w:tcW w:w="851"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年龄</w:t>
            </w:r>
          </w:p>
        </w:tc>
        <w:tc>
          <w:tcPr>
            <w:tcW w:w="850"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性别</w:t>
            </w:r>
          </w:p>
        </w:tc>
        <w:tc>
          <w:tcPr>
            <w:tcW w:w="992"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学历</w:t>
            </w:r>
          </w:p>
        </w:tc>
        <w:tc>
          <w:tcPr>
            <w:tcW w:w="122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专业</w:t>
            </w:r>
          </w:p>
        </w:tc>
        <w:tc>
          <w:tcPr>
            <w:tcW w:w="146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职称</w:t>
            </w:r>
          </w:p>
        </w:tc>
        <w:tc>
          <w:tcPr>
            <w:tcW w:w="1261" w:type="dxa"/>
            <w:tcBorders>
              <w:left w:val="single" w:color="000000" w:sz="6" w:space="0"/>
              <w:bottom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在本项目</w:t>
            </w:r>
          </w:p>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拟任职务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5" w:hRule="atLeast"/>
        </w:trPr>
        <w:tc>
          <w:tcPr>
            <w:tcW w:w="655" w:type="dxa"/>
            <w:tcBorders>
              <w:top w:val="single" w:color="000000" w:sz="6"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7"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40" w:hRule="atLeast"/>
        </w:trPr>
        <w:tc>
          <w:tcPr>
            <w:tcW w:w="655" w:type="dxa"/>
            <w:tcBorders>
              <w:top w:val="single" w:color="000000" w:sz="4"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4"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4"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3"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bl>
    <w:p>
      <w:pPr>
        <w:spacing w:line="360" w:lineRule="auto"/>
        <w:ind w:firstLine="2880" w:firstLineChars="1200"/>
        <w:rPr>
          <w:rFonts w:hint="eastAsia" w:ascii="宋体" w:hAnsi="宋体" w:cs="宋体"/>
          <w:i w:val="0"/>
          <w:iCs w:val="0"/>
          <w:color w:val="auto"/>
          <w:sz w:val="24"/>
          <w:highlight w:val="none"/>
        </w:rPr>
      </w:pPr>
    </w:p>
    <w:p>
      <w:pPr>
        <w:spacing w:line="360" w:lineRule="auto"/>
        <w:ind w:firstLine="2880" w:firstLineChars="1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880" w:firstLineChars="12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8</w:t>
      </w:r>
    </w:p>
    <w:p>
      <w:pPr>
        <w:tabs>
          <w:tab w:val="left" w:pos="720"/>
        </w:tabs>
        <w:autoSpaceDE w:val="0"/>
        <w:autoSpaceDN w:val="0"/>
        <w:adjustRightInd w:val="0"/>
        <w:spacing w:line="420" w:lineRule="exact"/>
        <w:jc w:val="center"/>
        <w:rPr>
          <w:rFonts w:hint="eastAsia" w:ascii="宋体" w:hAnsi="宋体" w:cs="宋体"/>
          <w:i w:val="0"/>
          <w:iCs w:val="0"/>
          <w:color w:val="auto"/>
          <w:kern w:val="0"/>
          <w:sz w:val="28"/>
          <w:szCs w:val="28"/>
          <w:highlight w:val="none"/>
        </w:rPr>
      </w:pPr>
      <w:r>
        <w:rPr>
          <w:rFonts w:hint="eastAsia" w:ascii="宋体" w:hAnsi="宋体" w:cs="宋体"/>
          <w:i w:val="0"/>
          <w:iCs w:val="0"/>
          <w:color w:val="auto"/>
          <w:kern w:val="0"/>
          <w:sz w:val="28"/>
          <w:szCs w:val="28"/>
          <w:highlight w:val="none"/>
        </w:rPr>
        <w:t>拟投入项目负责人及主要人员简历表</w:t>
      </w:r>
    </w:p>
    <w:p>
      <w:pPr>
        <w:autoSpaceDE w:val="0"/>
        <w:autoSpaceDN w:val="0"/>
        <w:adjustRightInd w:val="0"/>
        <w:spacing w:line="420" w:lineRule="exact"/>
        <w:ind w:firstLine="480" w:firstLineChars="200"/>
        <w:jc w:val="left"/>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“项目负责人及主要人员简历表”中的项目负责人应附身份证、职称证复印件，管理过的</w:t>
      </w:r>
      <w:r>
        <w:rPr>
          <w:rFonts w:hint="eastAsia" w:ascii="宋体" w:hAnsi="宋体" w:cs="宋体"/>
          <w:bCs/>
          <w:i w:val="0"/>
          <w:iCs w:val="0"/>
          <w:color w:val="auto"/>
          <w:kern w:val="0"/>
          <w:sz w:val="24"/>
          <w:szCs w:val="24"/>
          <w:highlight w:val="none"/>
        </w:rPr>
        <w:t>项目业绩须附合同协议书复印件</w:t>
      </w:r>
      <w:r>
        <w:rPr>
          <w:rFonts w:hint="eastAsia" w:ascii="宋体" w:hAnsi="宋体" w:cs="宋体"/>
          <w:i w:val="0"/>
          <w:iCs w:val="0"/>
          <w:color w:val="auto"/>
          <w:kern w:val="0"/>
          <w:sz w:val="24"/>
          <w:szCs w:val="24"/>
          <w:highlight w:val="none"/>
        </w:rPr>
        <w:t>；其他主要人员应附身份证等。</w:t>
      </w:r>
    </w:p>
    <w:tbl>
      <w:tblPr>
        <w:tblStyle w:val="13"/>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姓 名</w:t>
            </w:r>
          </w:p>
        </w:tc>
        <w:tc>
          <w:tcPr>
            <w:tcW w:w="1551"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年 龄</w:t>
            </w:r>
          </w:p>
        </w:tc>
        <w:tc>
          <w:tcPr>
            <w:tcW w:w="1552"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学 历</w:t>
            </w:r>
          </w:p>
        </w:tc>
        <w:tc>
          <w:tcPr>
            <w:tcW w:w="107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职 称</w:t>
            </w:r>
          </w:p>
        </w:tc>
        <w:tc>
          <w:tcPr>
            <w:tcW w:w="1551"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职 务</w:t>
            </w:r>
          </w:p>
        </w:tc>
        <w:tc>
          <w:tcPr>
            <w:tcW w:w="1552"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拟在本合同任职</w:t>
            </w:r>
          </w:p>
        </w:tc>
        <w:tc>
          <w:tcPr>
            <w:tcW w:w="107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毕业学校</w:t>
            </w:r>
          </w:p>
        </w:tc>
        <w:tc>
          <w:tcPr>
            <w:tcW w:w="7571" w:type="dxa"/>
            <w:gridSpan w:val="7"/>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u w:val="single"/>
              </w:rPr>
              <w:t xml:space="preserve">    </w:t>
            </w:r>
            <w:r>
              <w:rPr>
                <w:rFonts w:hint="eastAsia" w:ascii="宋体" w:hAnsi="宋体" w:cs="宋体"/>
                <w:i w:val="0"/>
                <w:iCs w:val="0"/>
                <w:color w:val="auto"/>
                <w:kern w:val="0"/>
                <w:sz w:val="24"/>
                <w:szCs w:val="24"/>
                <w:highlight w:val="none"/>
              </w:rPr>
              <w:t>年毕业于</w:t>
            </w:r>
            <w:r>
              <w:rPr>
                <w:rFonts w:hint="eastAsia" w:ascii="宋体" w:hAnsi="宋体" w:cs="宋体"/>
                <w:i w:val="0"/>
                <w:iCs w:val="0"/>
                <w:color w:val="auto"/>
                <w:kern w:val="0"/>
                <w:sz w:val="24"/>
                <w:szCs w:val="24"/>
                <w:highlight w:val="none"/>
                <w:u w:val="single"/>
              </w:rPr>
              <w:t xml:space="preserve">    </w:t>
            </w:r>
            <w:r>
              <w:rPr>
                <w:rFonts w:hint="eastAsia" w:ascii="宋体" w:hAnsi="宋体" w:cs="宋体"/>
                <w:i w:val="0"/>
                <w:iCs w:val="0"/>
                <w:color w:val="auto"/>
                <w:kern w:val="0"/>
                <w:sz w:val="24"/>
                <w:szCs w:val="24"/>
                <w:highlight w:val="none"/>
              </w:rPr>
              <w:t>学校</w:t>
            </w:r>
            <w:r>
              <w:rPr>
                <w:rFonts w:hint="eastAsia" w:ascii="宋体" w:hAnsi="宋体" w:cs="宋体"/>
                <w:i w:val="0"/>
                <w:iCs w:val="0"/>
                <w:color w:val="auto"/>
                <w:kern w:val="0"/>
                <w:sz w:val="24"/>
                <w:szCs w:val="24"/>
                <w:highlight w:val="none"/>
                <w:u w:val="single"/>
              </w:rPr>
              <w:t xml:space="preserve">    </w:t>
            </w:r>
            <w:r>
              <w:rPr>
                <w:rFonts w:hint="eastAsia" w:ascii="宋体" w:hAnsi="宋体" w:cs="宋体"/>
                <w:i w:val="0"/>
                <w:iCs w:val="0"/>
                <w:color w:val="auto"/>
                <w:kern w:val="0"/>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121" w:type="dxa"/>
            <w:gridSpan w:val="8"/>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时 间</w:t>
            </w: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参加过的类似项目</w:t>
            </w: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担任职务</w:t>
            </w: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bl>
    <w:p>
      <w:pPr>
        <w:spacing w:line="450" w:lineRule="atLeast"/>
        <w:rPr>
          <w:rFonts w:hint="eastAsia" w:ascii="宋体" w:hAnsi="宋体" w:cs="宋体"/>
          <w:i w:val="0"/>
          <w:iCs w:val="0"/>
          <w:color w:val="auto"/>
          <w:sz w:val="24"/>
          <w:highlight w:val="none"/>
        </w:rPr>
      </w:pPr>
    </w:p>
    <w:p>
      <w:pPr>
        <w:spacing w:line="450" w:lineRule="atLeast"/>
        <w:rPr>
          <w:rFonts w:hint="eastAsia" w:ascii="宋体" w:hAnsi="宋体" w:cs="宋体"/>
          <w:i w:val="0"/>
          <w:iCs w:val="0"/>
          <w:color w:val="auto"/>
          <w:sz w:val="24"/>
          <w:highlight w:val="none"/>
        </w:rPr>
      </w:pPr>
    </w:p>
    <w:p>
      <w:pPr>
        <w:spacing w:line="360" w:lineRule="auto"/>
        <w:ind w:firstLine="2520" w:firstLineChars="1200"/>
        <w:rPr>
          <w:rFonts w:hint="eastAsia" w:ascii="宋体" w:hAnsi="宋体" w:cs="宋体"/>
          <w:i w:val="0"/>
          <w:iCs w:val="0"/>
          <w:color w:val="auto"/>
          <w:sz w:val="24"/>
          <w:highlight w:val="none"/>
        </w:rPr>
      </w:pPr>
      <w:r>
        <w:rPr>
          <w:rFonts w:hint="eastAsia" w:ascii="宋体" w:hAnsi="宋体" w:cs="宋体"/>
          <w:i w:val="0"/>
          <w:iCs w:val="0"/>
          <w:color w:val="auto"/>
          <w:szCs w:val="21"/>
          <w:highlight w:val="none"/>
        </w:rPr>
        <w:t xml:space="preserve">   </w:t>
      </w: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880" w:firstLineChars="12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450" w:lineRule="atLeast"/>
        <w:jc w:val="center"/>
        <w:rPr>
          <w:rFonts w:hint="eastAsia" w:ascii="宋体" w:hAnsi="宋体" w:cs="宋体"/>
          <w:i w:val="0"/>
          <w:iCs w:val="0"/>
          <w:color w:val="auto"/>
          <w:sz w:val="28"/>
          <w:szCs w:val="28"/>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p>
    <w:p>
      <w:pPr>
        <w:spacing w:line="450" w:lineRule="atLeast"/>
        <w:rPr>
          <w:rFonts w:hint="eastAsia" w:ascii="宋体" w:hAnsi="宋体" w:eastAsia="宋体" w:cs="宋体"/>
          <w:i w:val="0"/>
          <w:iCs w:val="0"/>
          <w:color w:val="auto"/>
          <w:sz w:val="24"/>
          <w:highlight w:val="none"/>
        </w:rPr>
      </w:pPr>
    </w:p>
    <w:p>
      <w:pPr>
        <w:pStyle w:val="2"/>
        <w:rPr>
          <w:rFonts w:hint="eastAsia" w:ascii="宋体" w:hAnsi="宋体" w:eastAsia="宋体" w:cs="宋体"/>
          <w:i w:val="0"/>
          <w:iCs w:val="0"/>
          <w:color w:val="auto"/>
          <w:sz w:val="24"/>
          <w:highlight w:val="none"/>
        </w:rPr>
      </w:pPr>
    </w:p>
    <w:p>
      <w:pPr>
        <w:rPr>
          <w:rFonts w:hint="eastAsia" w:ascii="宋体" w:hAnsi="宋体" w:eastAsia="宋体" w:cs="宋体"/>
          <w:i w:val="0"/>
          <w:iCs w:val="0"/>
          <w:color w:val="auto"/>
          <w:sz w:val="24"/>
          <w:highlight w:val="none"/>
        </w:rPr>
      </w:pPr>
    </w:p>
    <w:p>
      <w:pPr>
        <w:pStyle w:val="2"/>
        <w:rPr>
          <w:rFonts w:hint="eastAsia"/>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拟投入技术人员及人员简历表</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（附相关资质证书）</w:t>
      </w:r>
    </w:p>
    <w:tbl>
      <w:tblPr>
        <w:tblStyle w:val="13"/>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829"/>
        <w:gridCol w:w="691"/>
        <w:gridCol w:w="1114"/>
        <w:gridCol w:w="414"/>
        <w:gridCol w:w="1084"/>
        <w:gridCol w:w="1407"/>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8"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性别</w:t>
            </w:r>
          </w:p>
        </w:tc>
        <w:tc>
          <w:tcPr>
            <w:tcW w:w="1498"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407"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身份证号</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18"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职务</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学历</w:t>
            </w:r>
          </w:p>
        </w:tc>
        <w:tc>
          <w:tcPr>
            <w:tcW w:w="1498"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407"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职称</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参加工作年限</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从事专业工作年限</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专业资格1</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资格证书编号</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专业资格2</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资格证书编号</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71" w:type="dxa"/>
            <w:gridSpan w:val="8"/>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年  月</w:t>
            </w: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项目名称</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9</w:t>
      </w:r>
    </w:p>
    <w:p>
      <w:pPr>
        <w:spacing w:line="450" w:lineRule="atLeast"/>
        <w:jc w:val="center"/>
        <w:rPr>
          <w:rFonts w:hint="eastAsia" w:ascii="宋体" w:hAnsi="宋体" w:eastAsia="宋体" w:cs="宋体"/>
          <w:b/>
          <w:bCs/>
          <w:i w:val="0"/>
          <w:iCs w:val="0"/>
          <w:color w:val="auto"/>
          <w:sz w:val="28"/>
          <w:szCs w:val="28"/>
          <w:highlight w:val="none"/>
        </w:rPr>
      </w:pPr>
      <w:r>
        <w:rPr>
          <w:rFonts w:hint="eastAsia" w:ascii="宋体" w:hAnsi="宋体" w:eastAsia="宋体" w:cs="宋体"/>
          <w:b/>
          <w:i w:val="0"/>
          <w:iCs w:val="0"/>
          <w:color w:val="auto"/>
          <w:spacing w:val="20"/>
          <w:sz w:val="32"/>
          <w:highlight w:val="none"/>
        </w:rPr>
        <w:t>近3年公司承接的类似项目一览表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bl>
    <w:p>
      <w:pPr>
        <w:spacing w:line="360" w:lineRule="auto"/>
        <w:ind w:firstLine="3855" w:firstLineChars="1600"/>
        <w:outlineLvl w:val="1"/>
        <w:rPr>
          <w:rFonts w:hint="eastAsia" w:ascii="宋体" w:hAnsi="宋体" w:cs="宋体"/>
          <w:b/>
          <w:i w:val="0"/>
          <w:iCs w:val="0"/>
          <w:color w:val="auto"/>
          <w:sz w:val="24"/>
          <w:highlight w:val="none"/>
        </w:rPr>
      </w:pPr>
    </w:p>
    <w:p>
      <w:pPr>
        <w:spacing w:line="450" w:lineRule="atLeast"/>
        <w:jc w:val="both"/>
        <w:rPr>
          <w:rFonts w:hint="eastAsia" w:ascii="宋体" w:hAnsi="宋体" w:eastAsia="宋体" w:cs="宋体"/>
          <w:b/>
          <w:i w:val="0"/>
          <w:iCs w:val="0"/>
          <w:color w:val="auto"/>
          <w:spacing w:val="20"/>
          <w:sz w:val="24"/>
          <w:szCs w:val="24"/>
          <w:highlight w:val="none"/>
        </w:rPr>
      </w:pPr>
      <w:r>
        <w:rPr>
          <w:rFonts w:hint="eastAsia" w:ascii="宋体" w:hAnsi="宋体" w:eastAsia="宋体" w:cs="宋体"/>
          <w:b/>
          <w:i w:val="0"/>
          <w:iCs w:val="0"/>
          <w:color w:val="auto"/>
          <w:spacing w:val="20"/>
          <w:sz w:val="24"/>
          <w:szCs w:val="24"/>
          <w:highlight w:val="none"/>
        </w:rPr>
        <w:t>附</w:t>
      </w:r>
      <w:r>
        <w:rPr>
          <w:rFonts w:hint="eastAsia" w:ascii="宋体" w:hAnsi="宋体" w:eastAsia="宋体" w:cs="宋体"/>
          <w:b/>
          <w:i w:val="0"/>
          <w:iCs w:val="0"/>
          <w:color w:val="auto"/>
          <w:spacing w:val="20"/>
          <w:sz w:val="24"/>
          <w:szCs w:val="24"/>
          <w:highlight w:val="none"/>
          <w:lang w:eastAsia="zh-CN"/>
        </w:rPr>
        <w:t>：</w:t>
      </w:r>
      <w:r>
        <w:rPr>
          <w:rFonts w:hint="eastAsia" w:ascii="宋体" w:hAnsi="宋体" w:eastAsia="宋体" w:cs="宋体"/>
          <w:b/>
          <w:i w:val="0"/>
          <w:iCs w:val="0"/>
          <w:color w:val="auto"/>
          <w:spacing w:val="20"/>
          <w:sz w:val="24"/>
          <w:szCs w:val="24"/>
          <w:highlight w:val="none"/>
        </w:rPr>
        <w:t>中标通知书或合同复印件，并加盖公章</w:t>
      </w: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附件1</w:t>
      </w:r>
      <w:r>
        <w:rPr>
          <w:rFonts w:hint="eastAsia" w:ascii="宋体" w:hAnsi="宋体" w:eastAsia="宋体" w:cs="宋体"/>
          <w:i w:val="0"/>
          <w:iCs w:val="0"/>
          <w:color w:val="auto"/>
          <w:sz w:val="24"/>
          <w:highlight w:val="none"/>
          <w:lang w:val="en-US" w:eastAsia="zh-CN"/>
        </w:rPr>
        <w:t>0</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正在进行的项目一览表</w:t>
      </w:r>
    </w:p>
    <w:tbl>
      <w:tblPr>
        <w:tblStyle w:val="13"/>
        <w:tblpPr w:leftFromText="180" w:rightFromText="180" w:vertAnchor="text" w:horzAnchor="page" w:tblpX="1350" w:tblpY="6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bl>
    <w:p>
      <w:pPr>
        <w:jc w:val="center"/>
        <w:rPr>
          <w:rFonts w:hint="eastAsia" w:ascii="宋体" w:hAnsi="宋体" w:eastAsia="宋体" w:cs="宋体"/>
          <w:b/>
          <w:bCs/>
          <w:i w:val="0"/>
          <w:iCs w:val="0"/>
          <w:color w:val="auto"/>
          <w:sz w:val="28"/>
          <w:szCs w:val="28"/>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outlineLvl w:val="1"/>
        <w:rPr>
          <w:rFonts w:hint="eastAsia" w:ascii="宋体" w:hAnsi="宋体" w:cs="宋体"/>
          <w:b/>
          <w:i w:val="0"/>
          <w:iCs w:val="0"/>
          <w:color w:val="auto"/>
          <w:kern w:val="0"/>
          <w:sz w:val="24"/>
          <w:highlight w:val="none"/>
        </w:rPr>
      </w:pPr>
    </w:p>
    <w:p>
      <w:pPr>
        <w:spacing w:before="160" w:beforeLines="50" w:after="160" w:afterLines="50" w:line="360" w:lineRule="auto"/>
        <w:jc w:val="both"/>
        <w:rPr>
          <w:rFonts w:hint="eastAsia" w:ascii="宋体" w:hAnsi="宋体" w:cs="宋体"/>
          <w:b/>
          <w:i w:val="0"/>
          <w:iCs w:val="0"/>
          <w:color w:val="auto"/>
          <w:sz w:val="24"/>
          <w:highlight w:val="none"/>
        </w:rPr>
      </w:pP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附件11</w:t>
      </w:r>
    </w:p>
    <w:p>
      <w:pPr>
        <w:spacing w:before="160" w:beforeLines="50" w:after="160" w:afterLines="50" w:line="360" w:lineRule="auto"/>
        <w:jc w:val="center"/>
        <w:rPr>
          <w:rFonts w:hint="eastAsia" w:ascii="宋体" w:hAnsi="宋体" w:cs="宋体"/>
          <w:b/>
          <w:i w:val="0"/>
          <w:iCs w:val="0"/>
          <w:color w:val="auto"/>
          <w:sz w:val="24"/>
          <w:highlight w:val="none"/>
        </w:rPr>
      </w:pPr>
      <w:r>
        <w:rPr>
          <w:rFonts w:hint="eastAsia" w:ascii="宋体" w:hAnsi="宋体" w:cs="宋体"/>
          <w:b/>
          <w:i w:val="0"/>
          <w:iCs w:val="0"/>
          <w:color w:val="auto"/>
          <w:sz w:val="24"/>
          <w:highlight w:val="none"/>
        </w:rPr>
        <w:t>企业其他信誉情况表</w:t>
      </w:r>
    </w:p>
    <w:p>
      <w:pPr>
        <w:spacing w:line="360" w:lineRule="auto"/>
        <w:ind w:left="724" w:hanging="720" w:hangingChars="3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1）近三年企业不良行为记录情况</w:t>
      </w:r>
    </w:p>
    <w:p>
      <w:pPr>
        <w:spacing w:line="450" w:lineRule="atLeast"/>
        <w:rPr>
          <w:rFonts w:hint="eastAsia" w:ascii="宋体" w:hAnsi="宋体" w:eastAsia="宋体" w:cs="宋体"/>
          <w:i w:val="0"/>
          <w:iCs w:val="0"/>
          <w:color w:val="auto"/>
          <w:sz w:val="24"/>
          <w:highlight w:val="none"/>
        </w:rPr>
      </w:pPr>
    </w:p>
    <w:p>
      <w:pPr>
        <w:pStyle w:val="30"/>
        <w:rPr>
          <w:rFonts w:hint="eastAsia"/>
          <w:i w:val="0"/>
          <w:iCs w:val="0"/>
          <w:color w:val="auto"/>
        </w:rPr>
      </w:pPr>
    </w:p>
    <w:p>
      <w:pPr>
        <w:spacing w:line="360" w:lineRule="auto"/>
        <w:ind w:left="724" w:hanging="720" w:hangingChars="300"/>
        <w:rPr>
          <w:rFonts w:hint="eastAsia" w:ascii="宋体" w:hAnsi="宋体" w:cs="宋体"/>
          <w:i w:val="0"/>
          <w:iCs w:val="0"/>
          <w:color w:val="auto"/>
          <w:sz w:val="24"/>
          <w:highlight w:val="none"/>
        </w:rPr>
      </w:pPr>
    </w:p>
    <w:p>
      <w:pPr>
        <w:pStyle w:val="2"/>
        <w:rPr>
          <w:rFonts w:hint="eastAsia"/>
          <w:i w:val="0"/>
          <w:iCs w:val="0"/>
          <w:color w:val="auto"/>
        </w:rPr>
      </w:pPr>
    </w:p>
    <w:p>
      <w:pPr>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spacing w:line="450" w:lineRule="atLeast"/>
        <w:rPr>
          <w:rFonts w:hint="eastAsia" w:ascii="宋体" w:hAnsi="宋体" w:eastAsia="宋体" w:cs="宋体"/>
          <w:i w:val="0"/>
          <w:iCs w:val="0"/>
          <w:color w:val="auto"/>
          <w:sz w:val="24"/>
          <w:highlight w:val="none"/>
          <w:lang w:val="en-US" w:eastAsia="zh-CN"/>
        </w:rPr>
      </w:pPr>
    </w:p>
    <w:p>
      <w:pPr>
        <w:spacing w:line="450" w:lineRule="atLeast"/>
        <w:rPr>
          <w:rFonts w:hint="eastAsia" w:ascii="宋体" w:hAnsi="宋体" w:eastAsia="宋体" w:cs="宋体"/>
          <w:i w:val="0"/>
          <w:iCs w:val="0"/>
          <w:color w:val="auto"/>
          <w:sz w:val="24"/>
          <w:highlight w:val="none"/>
          <w:lang w:val="en-US" w:eastAsia="zh-CN"/>
        </w:rPr>
      </w:pP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br w:type="page"/>
      </w:r>
    </w:p>
    <w:p>
      <w:pPr>
        <w:spacing w:line="450" w:lineRule="atLeast"/>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附件12</w:t>
      </w:r>
    </w:p>
    <w:p>
      <w:pPr>
        <w:keepNext w:val="0"/>
        <w:keepLines w:val="0"/>
        <w:widowControl/>
        <w:suppressLineNumbers w:val="0"/>
        <w:jc w:val="center"/>
        <w:rPr>
          <w:rFonts w:hint="eastAsia" w:ascii="宋体" w:hAnsi="宋体" w:eastAsia="宋体" w:cs="宋体"/>
          <w:i w:val="0"/>
          <w:iCs w:val="0"/>
          <w:color w:val="auto"/>
        </w:rPr>
      </w:pPr>
      <w:r>
        <w:rPr>
          <w:rFonts w:hint="eastAsia" w:ascii="宋体" w:hAnsi="宋体" w:eastAsia="宋体" w:cs="宋体"/>
          <w:b/>
          <w:i w:val="0"/>
          <w:iCs w:val="0"/>
          <w:color w:val="auto"/>
          <w:kern w:val="0"/>
          <w:sz w:val="36"/>
          <w:szCs w:val="36"/>
          <w:lang w:val="en-US" w:eastAsia="zh-CN" w:bidi="ar"/>
        </w:rPr>
        <w:t>中小企业声明函</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olor w:val="auto"/>
          <w:kern w:val="0"/>
          <w:sz w:val="24"/>
          <w:szCs w:val="24"/>
          <w:u w:val="single"/>
          <w:lang w:val="en-US" w:eastAsia="zh-CN" w:bidi="ar"/>
        </w:rPr>
        <w:t xml:space="preserve">  （单位名称）  </w:t>
      </w:r>
      <w:r>
        <w:rPr>
          <w:rFonts w:hint="eastAsia" w:ascii="宋体" w:hAnsi="宋体" w:eastAsia="宋体" w:cs="宋体"/>
          <w:i w:val="0"/>
          <w:iCs w:val="0"/>
          <w:color w:val="auto"/>
          <w:kern w:val="0"/>
          <w:sz w:val="24"/>
          <w:szCs w:val="24"/>
          <w:lang w:val="en-US" w:eastAsia="zh-CN" w:bidi="ar"/>
        </w:rPr>
        <w:t>的</w:t>
      </w:r>
      <w:r>
        <w:rPr>
          <w:rFonts w:hint="eastAsia" w:ascii="宋体" w:hAnsi="宋体" w:eastAsia="宋体" w:cs="宋体"/>
          <w:i w:val="0"/>
          <w:iCs w:val="0"/>
          <w:color w:val="auto"/>
          <w:kern w:val="0"/>
          <w:sz w:val="24"/>
          <w:szCs w:val="24"/>
          <w:u w:val="single"/>
          <w:lang w:val="en-US" w:eastAsia="zh-CN" w:bidi="ar"/>
        </w:rPr>
        <w:t xml:space="preserve">  （项目名称）  </w:t>
      </w:r>
      <w:r>
        <w:rPr>
          <w:rFonts w:hint="eastAsia" w:ascii="宋体" w:hAnsi="宋体" w:eastAsia="宋体" w:cs="宋体"/>
          <w:i w:val="0"/>
          <w:iCs w:val="0"/>
          <w:color w:val="auto"/>
          <w:kern w:val="0"/>
          <w:sz w:val="24"/>
          <w:szCs w:val="24"/>
          <w:lang w:val="en-US" w:eastAsia="zh-CN" w:bidi="ar"/>
        </w:rPr>
        <w:t xml:space="preserve">采购活动，提供的服务、货物全部由符合政策要求的中小企业制造。相关企业（含联合体中的中小企业、签订分包意向协议的中小企业）的具体情况如下：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 xml:space="preserve">；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日 期： </w:t>
      </w:r>
    </w:p>
    <w:p>
      <w:pPr>
        <w:pStyle w:val="2"/>
        <w:rPr>
          <w:rFonts w:hint="eastAsia" w:ascii="宋体" w:hAnsi="宋体" w:eastAsia="宋体" w:cs="宋体"/>
          <w:i w:val="0"/>
          <w:iCs w:val="0"/>
          <w:color w:val="auto"/>
          <w:kern w:val="0"/>
          <w:sz w:val="24"/>
          <w:szCs w:val="24"/>
          <w:lang w:val="en-US" w:eastAsia="zh-CN" w:bidi="ar"/>
        </w:rPr>
      </w:pPr>
    </w:p>
    <w:p>
      <w:pPr>
        <w:pStyle w:val="2"/>
        <w:rPr>
          <w:rFonts w:hint="eastAsia" w:ascii="宋体" w:hAnsi="宋体" w:eastAsia="宋体" w:cs="宋体"/>
          <w:i w:val="0"/>
          <w:iCs w:val="0"/>
          <w:color w:val="auto"/>
          <w:kern w:val="0"/>
          <w:sz w:val="24"/>
          <w:szCs w:val="24"/>
          <w:lang w:val="en-US" w:eastAsia="zh-CN" w:bidi="ar"/>
        </w:rPr>
      </w:pPr>
    </w:p>
    <w:p>
      <w:pPr>
        <w:pStyle w:val="2"/>
        <w:rPr>
          <w:rFonts w:hint="eastAsia" w:ascii="宋体" w:hAnsi="宋体" w:eastAsia="宋体" w:cs="宋体"/>
          <w:i w:val="0"/>
          <w:iCs w:val="0"/>
          <w:color w:val="auto"/>
          <w:kern w:val="0"/>
          <w:sz w:val="24"/>
          <w:szCs w:val="24"/>
          <w:lang w:val="en-US" w:eastAsia="zh-CN" w:bidi="ar"/>
        </w:rPr>
      </w:pPr>
    </w:p>
    <w:p>
      <w:pPr>
        <w:pStyle w:val="2"/>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提供投标人工商行政登记所在管理部门出具的小微企业证明文件；</w:t>
      </w:r>
    </w:p>
    <w:p>
      <w:pPr>
        <w:rPr>
          <w:rFonts w:hint="eastAsia" w:ascii="宋体" w:hAnsi="宋体" w:eastAsia="宋体" w:cs="宋体"/>
          <w:i w:val="0"/>
          <w:iCs w:val="0"/>
          <w:color w:val="auto"/>
          <w:kern w:val="0"/>
          <w:sz w:val="24"/>
          <w:szCs w:val="24"/>
          <w:lang w:val="en-US" w:eastAsia="zh-CN" w:bidi="ar"/>
        </w:rPr>
      </w:pPr>
    </w:p>
    <w:p>
      <w:pPr>
        <w:pStyle w:val="30"/>
        <w:rPr>
          <w:rFonts w:hint="eastAsia" w:ascii="宋体" w:hAnsi="宋体" w:eastAsia="宋体" w:cs="宋体"/>
          <w:i w:val="0"/>
          <w:iCs w:val="0"/>
          <w:color w:val="auto"/>
          <w:kern w:val="0"/>
          <w:sz w:val="24"/>
          <w:szCs w:val="24"/>
          <w:lang w:val="en-US" w:eastAsia="zh-CN" w:bidi="ar"/>
        </w:rPr>
      </w:pPr>
    </w:p>
    <w:p>
      <w:pPr>
        <w:pStyle w:val="30"/>
        <w:rPr>
          <w:rFonts w:hint="eastAsia" w:ascii="宋体" w:hAnsi="宋体" w:eastAsia="宋体" w:cs="宋体"/>
          <w:i w:val="0"/>
          <w:iCs w:val="0"/>
          <w:color w:val="auto"/>
          <w:kern w:val="0"/>
          <w:sz w:val="24"/>
          <w:szCs w:val="24"/>
          <w:lang w:val="en-US" w:eastAsia="zh-CN" w:bidi="ar"/>
        </w:rPr>
      </w:pPr>
    </w:p>
    <w:p>
      <w:pPr>
        <w:pStyle w:val="30"/>
        <w:rPr>
          <w:rFonts w:hint="eastAsia" w:ascii="宋体" w:hAnsi="宋体" w:eastAsia="宋体" w:cs="宋体"/>
          <w:i w:val="0"/>
          <w:iCs w:val="0"/>
          <w:color w:val="auto"/>
          <w:kern w:val="0"/>
          <w:sz w:val="24"/>
          <w:szCs w:val="24"/>
          <w:lang w:val="en-US" w:eastAsia="zh-CN" w:bidi="ar"/>
        </w:rPr>
      </w:pPr>
    </w:p>
    <w:p>
      <w:pPr>
        <w:pStyle w:val="30"/>
        <w:rPr>
          <w:rFonts w:hint="eastAsia" w:ascii="宋体" w:hAnsi="宋体" w:eastAsia="宋体" w:cs="宋体"/>
          <w:i w:val="0"/>
          <w:iCs w:val="0"/>
          <w:color w:val="auto"/>
          <w:kern w:val="0"/>
          <w:sz w:val="24"/>
          <w:szCs w:val="24"/>
          <w:lang w:val="en-US" w:eastAsia="zh-CN" w:bidi="ar"/>
        </w:rPr>
      </w:pPr>
    </w:p>
    <w:p>
      <w:pPr>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br w:type="page"/>
      </w:r>
    </w:p>
    <w:p>
      <w:pPr>
        <w:pStyle w:val="30"/>
        <w:rPr>
          <w:rFonts w:hint="eastAsia" w:ascii="宋体" w:hAnsi="宋体" w:eastAsia="宋体" w:cs="宋体"/>
          <w:b/>
          <w:i w:val="0"/>
          <w:iCs w:val="0"/>
          <w:color w:val="auto"/>
          <w:kern w:val="0"/>
          <w:sz w:val="36"/>
          <w:szCs w:val="36"/>
          <w:lang w:val="en-US" w:eastAsia="zh-CN" w:bidi="ar"/>
        </w:rPr>
      </w:pPr>
      <w:r>
        <w:rPr>
          <w:rFonts w:hint="eastAsia" w:ascii="宋体" w:hAnsi="宋体" w:eastAsia="宋体" w:cs="宋体"/>
          <w:i w:val="0"/>
          <w:iCs w:val="0"/>
          <w:color w:val="auto"/>
          <w:kern w:val="0"/>
          <w:sz w:val="24"/>
          <w:szCs w:val="24"/>
          <w:lang w:val="en-US" w:eastAsia="zh-CN" w:bidi="ar"/>
        </w:rPr>
        <w:t>附件13</w:t>
      </w:r>
      <w:r>
        <w:rPr>
          <w:rFonts w:hint="eastAsia" w:hAnsi="宋体" w:eastAsia="宋体" w:cs="宋体"/>
          <w:i w:val="0"/>
          <w:iCs w:val="0"/>
          <w:color w:val="auto"/>
          <w:kern w:val="0"/>
          <w:sz w:val="24"/>
          <w:szCs w:val="24"/>
          <w:lang w:val="en-US" w:eastAsia="zh-CN" w:bidi="ar"/>
        </w:rPr>
        <w:t xml:space="preserve">                   </w:t>
      </w:r>
      <w:r>
        <w:rPr>
          <w:rFonts w:hint="eastAsia" w:ascii="宋体" w:hAnsi="宋体" w:eastAsia="宋体" w:cs="宋体"/>
          <w:b/>
          <w:i w:val="0"/>
          <w:iCs w:val="0"/>
          <w:color w:val="auto"/>
          <w:kern w:val="0"/>
          <w:sz w:val="36"/>
          <w:szCs w:val="36"/>
          <w:lang w:val="en-US" w:eastAsia="zh-CN" w:bidi="ar"/>
        </w:rPr>
        <w:t xml:space="preserve">         </w:t>
      </w:r>
    </w:p>
    <w:p>
      <w:pPr>
        <w:pStyle w:val="30"/>
        <w:jc w:val="center"/>
        <w:rPr>
          <w:rFonts w:hint="default" w:ascii="宋体" w:hAnsi="宋体" w:eastAsia="宋体" w:cs="宋体"/>
          <w:i w:val="0"/>
          <w:iCs w:val="0"/>
          <w:color w:val="auto"/>
          <w:kern w:val="0"/>
          <w:sz w:val="24"/>
          <w:szCs w:val="24"/>
          <w:lang w:val="en-US" w:eastAsia="zh-CN" w:bidi="ar"/>
        </w:rPr>
      </w:pPr>
      <w:r>
        <w:rPr>
          <w:rFonts w:hint="eastAsia" w:ascii="宋体" w:hAnsi="宋体" w:eastAsia="宋体" w:cs="宋体"/>
          <w:b/>
          <w:i w:val="0"/>
          <w:iCs w:val="0"/>
          <w:color w:val="auto"/>
          <w:kern w:val="0"/>
          <w:sz w:val="36"/>
          <w:szCs w:val="36"/>
          <w:lang w:val="en-US" w:eastAsia="zh-CN" w:bidi="ar"/>
        </w:rPr>
        <w:t>其他资料</w:t>
      </w:r>
    </w:p>
    <w:p>
      <w:pPr>
        <w:spacing w:line="360" w:lineRule="auto"/>
        <w:ind w:firstLine="480" w:firstLineChars="200"/>
        <w:rPr>
          <w:rFonts w:hint="default" w:ascii="宋体" w:hAnsi="宋体" w:eastAsia="宋体" w:cs="宋体"/>
          <w:i w:val="0"/>
          <w:iCs w:val="0"/>
          <w:color w:val="auto"/>
          <w:kern w:val="0"/>
          <w:sz w:val="24"/>
          <w:szCs w:val="24"/>
          <w:lang w:val="en-US" w:eastAsia="zh-CN" w:bidi="ar"/>
        </w:rPr>
      </w:pPr>
      <w:r>
        <w:rPr>
          <w:rFonts w:hint="eastAsia" w:ascii="宋体" w:hAnsi="宋体" w:cs="宋体"/>
          <w:b w:val="0"/>
          <w:bCs/>
          <w:i w:val="0"/>
          <w:iCs w:val="0"/>
          <w:color w:val="auto"/>
          <w:sz w:val="24"/>
          <w:lang w:val="en-US" w:eastAsia="zh-CN"/>
        </w:rPr>
        <w:t>(提供近六个月（连续）的社保证明（需有相关人员的社保缴纳明细，退休人员需提供退休证明）和近六个月（连续）的完税证明、近三年的财务审计报告（企业成立不足三年的提供成立至今的财务审计报告，成立不足一年的提供成立至今的财务报表，包含资产负债表、现金流量表、利润表））；供应商“信用中国”的信用信息报告和国家企业信用信息公示系统报告及中国政府采购网截图。)</w:t>
      </w:r>
    </w:p>
    <w:p>
      <w:pPr>
        <w:rPr>
          <w:i w:val="0"/>
          <w:iCs w:val="0"/>
          <w:color w:val="auto"/>
        </w:rPr>
      </w:pPr>
    </w:p>
    <w:p>
      <w:pPr>
        <w:rPr>
          <w:i w:val="0"/>
          <w:iCs w:val="0"/>
          <w:color w:val="auto"/>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27</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ind w:right="360"/>
      <w:jc w:val="center"/>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7495B"/>
    <w:multiLevelType w:val="singleLevel"/>
    <w:tmpl w:val="9F27495B"/>
    <w:lvl w:ilvl="0" w:tentative="0">
      <w:start w:val="3"/>
      <w:numFmt w:val="decimal"/>
      <w:lvlText w:val="%1."/>
      <w:lvlJc w:val="left"/>
      <w:pPr>
        <w:tabs>
          <w:tab w:val="left" w:pos="312"/>
        </w:tabs>
      </w:pPr>
    </w:lvl>
  </w:abstractNum>
  <w:abstractNum w:abstractNumId="1">
    <w:nsid w:val="A1F87D39"/>
    <w:multiLevelType w:val="singleLevel"/>
    <w:tmpl w:val="A1F87D39"/>
    <w:lvl w:ilvl="0" w:tentative="0">
      <w:start w:val="4"/>
      <w:numFmt w:val="chineseCounting"/>
      <w:suff w:val="space"/>
      <w:lvlText w:val="第%1章"/>
      <w:lvlJc w:val="left"/>
      <w:rPr>
        <w:rFonts w:hint="eastAsia"/>
      </w:rPr>
    </w:lvl>
  </w:abstractNum>
  <w:abstractNum w:abstractNumId="2">
    <w:nsid w:val="E14AB187"/>
    <w:multiLevelType w:val="singleLevel"/>
    <w:tmpl w:val="E14AB187"/>
    <w:lvl w:ilvl="0" w:tentative="0">
      <w:start w:val="4"/>
      <w:numFmt w:val="decimal"/>
      <w:suff w:val="nothing"/>
      <w:lvlText w:val="%1、"/>
      <w:lvlJc w:val="left"/>
    </w:lvl>
  </w:abstractNum>
  <w:abstractNum w:abstractNumId="3">
    <w:nsid w:val="E17CBEAC"/>
    <w:multiLevelType w:val="singleLevel"/>
    <w:tmpl w:val="E17CBEAC"/>
    <w:lvl w:ilvl="0" w:tentative="0">
      <w:start w:val="1"/>
      <w:numFmt w:val="decimal"/>
      <w:suff w:val="space"/>
      <w:lvlText w:val="%1."/>
      <w:lvlJc w:val="left"/>
    </w:lvl>
  </w:abstractNum>
  <w:abstractNum w:abstractNumId="4">
    <w:nsid w:val="EE8CF652"/>
    <w:multiLevelType w:val="singleLevel"/>
    <w:tmpl w:val="EE8CF652"/>
    <w:lvl w:ilvl="0" w:tentative="0">
      <w:start w:val="7"/>
      <w:numFmt w:val="chineseCounting"/>
      <w:suff w:val="nothing"/>
      <w:lvlText w:val="%1、"/>
      <w:lvlJc w:val="left"/>
      <w:rPr>
        <w:rFonts w:hint="eastAsia"/>
      </w:rPr>
    </w:lvl>
  </w:abstractNum>
  <w:abstractNum w:abstractNumId="5">
    <w:nsid w:val="110A591B"/>
    <w:multiLevelType w:val="multilevel"/>
    <w:tmpl w:val="110A591B"/>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1A4DA6B9"/>
    <w:multiLevelType w:val="singleLevel"/>
    <w:tmpl w:val="1A4DA6B9"/>
    <w:lvl w:ilvl="0" w:tentative="0">
      <w:start w:val="1"/>
      <w:numFmt w:val="decimal"/>
      <w:lvlText w:val="%1."/>
      <w:lvlJc w:val="left"/>
      <w:pPr>
        <w:tabs>
          <w:tab w:val="left" w:pos="312"/>
        </w:tabs>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dit="forms" w:formatting="1" w:enforcement="1" w:cryptProviderType="rsaFull" w:cryptAlgorithmClass="hash" w:cryptAlgorithmType="typeAny" w:cryptAlgorithmSid="4" w:cryptSpinCount="0" w:hash="o7TaLiEBelM0U613PTIla7t//Qo=" w:salt="GWd4IieuWbdGpr7SJIKRW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OGQzNzhlMmU5Nzk2ZTdmMTNhZDkyYjI3ODYwZjQifQ=="/>
  </w:docVars>
  <w:rsids>
    <w:rsidRoot w:val="46A24A63"/>
    <w:rsid w:val="037B6CFB"/>
    <w:rsid w:val="047A41C7"/>
    <w:rsid w:val="05DD3341"/>
    <w:rsid w:val="08B41EC7"/>
    <w:rsid w:val="0A8948D7"/>
    <w:rsid w:val="0EB2006D"/>
    <w:rsid w:val="0EFA08F9"/>
    <w:rsid w:val="11931359"/>
    <w:rsid w:val="138E1BA9"/>
    <w:rsid w:val="144F252D"/>
    <w:rsid w:val="16132A4B"/>
    <w:rsid w:val="19096861"/>
    <w:rsid w:val="1CA01A98"/>
    <w:rsid w:val="1CB904B2"/>
    <w:rsid w:val="220B5079"/>
    <w:rsid w:val="270C3402"/>
    <w:rsid w:val="285547E4"/>
    <w:rsid w:val="29B94B9C"/>
    <w:rsid w:val="29D352EE"/>
    <w:rsid w:val="2B535C26"/>
    <w:rsid w:val="2F506F18"/>
    <w:rsid w:val="31A84C60"/>
    <w:rsid w:val="32A21600"/>
    <w:rsid w:val="38FB504F"/>
    <w:rsid w:val="39AF5DE4"/>
    <w:rsid w:val="3B950A34"/>
    <w:rsid w:val="3BCF40C5"/>
    <w:rsid w:val="3C576382"/>
    <w:rsid w:val="42206C25"/>
    <w:rsid w:val="46A24A63"/>
    <w:rsid w:val="47CA025D"/>
    <w:rsid w:val="4BA16B9A"/>
    <w:rsid w:val="51DB450A"/>
    <w:rsid w:val="529010A5"/>
    <w:rsid w:val="52BB64A4"/>
    <w:rsid w:val="544E1B57"/>
    <w:rsid w:val="558916D6"/>
    <w:rsid w:val="584B5252"/>
    <w:rsid w:val="59AF72FB"/>
    <w:rsid w:val="59C34DC9"/>
    <w:rsid w:val="5CA94310"/>
    <w:rsid w:val="5D791E7B"/>
    <w:rsid w:val="60D85654"/>
    <w:rsid w:val="61E40E5A"/>
    <w:rsid w:val="62D91153"/>
    <w:rsid w:val="63600A22"/>
    <w:rsid w:val="64262EB4"/>
    <w:rsid w:val="645C732C"/>
    <w:rsid w:val="743B7934"/>
    <w:rsid w:val="786104D2"/>
    <w:rsid w:val="7C666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4">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5">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table of authorities"/>
    <w:basedOn w:val="1"/>
    <w:next w:val="1"/>
    <w:qFormat/>
    <w:uiPriority w:val="0"/>
    <w:pPr>
      <w:ind w:left="420" w:leftChars="200"/>
    </w:pPr>
    <w:rPr>
      <w:sz w:val="28"/>
      <w:szCs w:val="20"/>
    </w:rPr>
  </w:style>
  <w:style w:type="paragraph" w:styleId="7">
    <w:name w:val="toc 3"/>
    <w:basedOn w:val="1"/>
    <w:next w:val="1"/>
    <w:unhideWhenUsed/>
    <w:qFormat/>
    <w:uiPriority w:val="39"/>
    <w:pPr>
      <w:spacing w:line="380" w:lineRule="exact"/>
      <w:ind w:left="400" w:leftChars="400"/>
      <w:jc w:val="distribute"/>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6"/>
    <w:qFormat/>
    <w:uiPriority w:val="0"/>
  </w:style>
  <w:style w:type="paragraph" w:styleId="12">
    <w:name w:val="Normal (Web)"/>
    <w:basedOn w:val="1"/>
    <w:next w:val="10"/>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0"/>
    <w:rPr>
      <w:b/>
      <w:bCs/>
    </w:rPr>
  </w:style>
  <w:style w:type="character" w:styleId="16">
    <w:name w:val="page number"/>
    <w:basedOn w:val="14"/>
    <w:qFormat/>
    <w:uiPriority w:val="0"/>
  </w:style>
  <w:style w:type="character" w:styleId="17">
    <w:name w:val="FollowedHyperlink"/>
    <w:basedOn w:val="14"/>
    <w:qFormat/>
    <w:uiPriority w:val="0"/>
    <w:rPr>
      <w:color w:val="800080"/>
      <w:u w:val="none"/>
    </w:rPr>
  </w:style>
  <w:style w:type="character" w:styleId="18">
    <w:name w:val="HTML Definition"/>
    <w:basedOn w:val="14"/>
    <w:qFormat/>
    <w:uiPriority w:val="0"/>
  </w:style>
  <w:style w:type="character" w:styleId="19">
    <w:name w:val="HTML Typewriter"/>
    <w:basedOn w:val="14"/>
    <w:qFormat/>
    <w:uiPriority w:val="0"/>
    <w:rPr>
      <w:rFonts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hint="default"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customStyle="1" w:styleId="27">
    <w:name w:val="样式 标题 3 + (中文) 黑体 小四 非加粗 段前: 7.8 磅 段后: 0 磅 行距: 固定值 20 磅"/>
    <w:basedOn w:val="5"/>
    <w:qFormat/>
    <w:uiPriority w:val="0"/>
    <w:pPr>
      <w:spacing w:before="120" w:after="120" w:line="400" w:lineRule="exact"/>
    </w:pPr>
    <w:rPr>
      <w:rFonts w:ascii="Times New Roman" w:hAnsi="Times New Roman" w:eastAsia="宋体"/>
      <w:b w:val="0"/>
      <w:sz w:val="24"/>
      <w:szCs w:val="20"/>
    </w:r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p0"/>
    <w:basedOn w:val="1"/>
    <w:qFormat/>
    <w:uiPriority w:val="0"/>
    <w:pPr>
      <w:widowControl/>
    </w:pPr>
    <w:rPr>
      <w:kern w:val="0"/>
      <w:szCs w:val="21"/>
    </w:rPr>
  </w:style>
  <w:style w:type="paragraph" w:customStyle="1" w:styleId="32">
    <w:name w:val="5）标书正文 首行缩进2字符"/>
    <w:basedOn w:val="1"/>
    <w:qFormat/>
    <w:uiPriority w:val="0"/>
    <w:pPr>
      <w:spacing w:line="480" w:lineRule="exact"/>
      <w:ind w:firstLine="200" w:firstLineChars="200"/>
    </w:pPr>
    <w:rPr>
      <w:rFonts w:ascii="仿宋_GB2312" w:eastAsia="仿宋_GB2312"/>
      <w:sz w:val="28"/>
    </w:rPr>
  </w:style>
  <w:style w:type="paragraph" w:styleId="33">
    <w:name w:val="List Paragraph"/>
    <w:basedOn w:val="1"/>
    <w:qFormat/>
    <w:uiPriority w:val="34"/>
    <w:pPr>
      <w:ind w:firstLine="420" w:firstLineChars="200"/>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27554</Words>
  <Characters>29167</Characters>
  <Lines>0</Lines>
  <Paragraphs>0</Paragraphs>
  <TotalTime>0</TotalTime>
  <ScaleCrop>false</ScaleCrop>
  <LinksUpToDate>false</LinksUpToDate>
  <CharactersWithSpaces>31069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2022-07-23T09:33:00Z</dcterms:created>
  <dc:creator> 十二</dc:creator>
  <cp:lastModifiedBy> 十二</cp:lastModifiedBy>
  <cp:lastPrinted>2023-02-02T02:43:00Z</cp:lastPrinted>
  <dcterms:modified xsi:type="dcterms:W3CDTF">2023-03-01T09:46:02Z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55168EB5A4B84E1CA72811E00A43B698</vt:lpwstr>
  </property>
</Properties>
</file>