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ascii="仿宋" w:hAnsi="仿宋" w:eastAsia="仿宋"/>
          <w:color w:val="000000"/>
          <w:sz w:val="44"/>
          <w:szCs w:val="18"/>
        </w:rPr>
      </w:pPr>
      <w:bookmarkStart w:id="0" w:name="_Toc82497891"/>
      <w:bookmarkStart w:id="1" w:name="_Toc56170377"/>
      <w:bookmarkStart w:id="2" w:name="_Toc55990499"/>
      <w:bookmarkStart w:id="3" w:name="_Toc55990498"/>
      <w:r>
        <w:rPr>
          <w:rFonts w:hint="eastAsia" w:ascii="仿宋" w:hAnsi="仿宋" w:eastAsia="仿宋"/>
          <w:color w:val="000000"/>
          <w:sz w:val="96"/>
          <w:szCs w:val="96"/>
        </w:rPr>
        <w:t>单一来源采购文件</w:t>
      </w:r>
    </w:p>
    <w:p>
      <w:pPr>
        <w:pStyle w:val="24"/>
        <w:spacing w:before="1716" w:beforeLines="550" w:line="360" w:lineRule="auto"/>
        <w:ind w:firstLine="720"/>
        <w:rPr>
          <w:rFonts w:hint="eastAsia" w:ascii="仿宋" w:hAnsi="仿宋" w:eastAsia="仿宋" w:cs="仿宋"/>
          <w:sz w:val="36"/>
          <w:szCs w:val="36"/>
          <w:highlight w:val="none"/>
        </w:rPr>
      </w:pPr>
      <w:r>
        <w:rPr>
          <w:rFonts w:hint="eastAsia" w:ascii="仿宋" w:hAnsi="仿宋" w:eastAsia="仿宋" w:cs="仿宋"/>
          <w:sz w:val="36"/>
          <w:szCs w:val="36"/>
          <w:highlight w:val="none"/>
        </w:rPr>
        <w:t>项目编号：ZKGSF(ZB)-20230278</w:t>
      </w:r>
    </w:p>
    <w:p>
      <w:pPr>
        <w:pStyle w:val="24"/>
        <w:spacing w:line="360" w:lineRule="auto"/>
        <w:ind w:left="2518" w:leftChars="342" w:hanging="1800" w:hangingChars="500"/>
        <w:rPr>
          <w:rFonts w:hint="default" w:ascii="仿宋" w:hAnsi="仿宋" w:eastAsia="仿宋" w:cs="仿宋"/>
          <w:sz w:val="36"/>
          <w:szCs w:val="36"/>
          <w:highlight w:val="none"/>
          <w:lang w:val="en-US" w:eastAsia="zh-CN"/>
        </w:rPr>
      </w:pPr>
      <w:r>
        <w:rPr>
          <w:rFonts w:hint="eastAsia" w:ascii="仿宋" w:hAnsi="仿宋" w:eastAsia="仿宋" w:cs="仿宋"/>
          <w:sz w:val="36"/>
          <w:szCs w:val="36"/>
          <w:highlight w:val="none"/>
        </w:rPr>
        <w:t>项目名称：新疆医科大学第二附属医院南湖南、南湖北社区检验试剂采购项目</w:t>
      </w:r>
      <w:r>
        <w:rPr>
          <w:rFonts w:hint="eastAsia" w:ascii="仿宋" w:hAnsi="仿宋" w:eastAsia="仿宋" w:cs="仿宋"/>
          <w:sz w:val="36"/>
          <w:szCs w:val="36"/>
          <w:highlight w:val="none"/>
          <w:lang w:eastAsia="zh-CN"/>
        </w:rPr>
        <w:t>（</w:t>
      </w:r>
      <w:r>
        <w:rPr>
          <w:rFonts w:hint="eastAsia" w:ascii="仿宋" w:hAnsi="仿宋" w:eastAsia="仿宋" w:cs="仿宋"/>
          <w:sz w:val="36"/>
          <w:szCs w:val="36"/>
          <w:highlight w:val="none"/>
          <w:lang w:val="en-US" w:eastAsia="zh-CN"/>
        </w:rPr>
        <w:t>标项二）</w:t>
      </w:r>
    </w:p>
    <w:p>
      <w:pPr>
        <w:pStyle w:val="24"/>
        <w:spacing w:line="360" w:lineRule="auto"/>
        <w:ind w:firstLine="720"/>
        <w:rPr>
          <w:rFonts w:ascii="仿宋" w:hAnsi="仿宋" w:eastAsia="仿宋" w:cs="仿宋"/>
          <w:sz w:val="36"/>
          <w:szCs w:val="36"/>
        </w:rPr>
      </w:pPr>
      <w:r>
        <w:rPr>
          <w:rFonts w:hint="eastAsia" w:ascii="仿宋" w:hAnsi="仿宋" w:eastAsia="仿宋" w:cs="仿宋"/>
          <w:sz w:val="36"/>
          <w:szCs w:val="36"/>
        </w:rPr>
        <w:t>采 购 人</w:t>
      </w:r>
      <w:r>
        <w:rPr>
          <w:rFonts w:hint="eastAsia" w:ascii="仿宋" w:hAnsi="仿宋" w:eastAsia="仿宋" w:cs="仿宋"/>
          <w:color w:val="000000" w:themeColor="text1"/>
          <w:sz w:val="36"/>
          <w:szCs w:val="36"/>
        </w:rPr>
        <w:t>（盖章）</w:t>
      </w:r>
      <w:r>
        <w:rPr>
          <w:rFonts w:hint="eastAsia" w:ascii="仿宋" w:hAnsi="仿宋" w:eastAsia="仿宋" w:cs="仿宋"/>
          <w:sz w:val="36"/>
          <w:szCs w:val="36"/>
        </w:rPr>
        <w:t>：新疆医科大学第二附属医院</w:t>
      </w:r>
    </w:p>
    <w:p>
      <w:pPr>
        <w:pStyle w:val="24"/>
        <w:spacing w:line="360" w:lineRule="auto"/>
        <w:ind w:left="2518" w:leftChars="342" w:hanging="1800" w:hangingChars="500"/>
        <w:rPr>
          <w:rFonts w:ascii="仿宋" w:hAnsi="仿宋" w:eastAsia="仿宋" w:cs="仿宋"/>
          <w:sz w:val="36"/>
          <w:szCs w:val="36"/>
        </w:rPr>
      </w:pPr>
      <w:r>
        <w:rPr>
          <w:rFonts w:hint="eastAsia" w:ascii="仿宋" w:hAnsi="仿宋" w:eastAsia="仿宋" w:cs="仿宋"/>
          <w:sz w:val="36"/>
          <w:szCs w:val="36"/>
        </w:rPr>
        <w:t>地    址：新疆维吾尔自治区乌鲁木齐市水磨沟区南湖东路北二巷38号</w:t>
      </w:r>
    </w:p>
    <w:p>
      <w:pPr>
        <w:pStyle w:val="24"/>
        <w:spacing w:line="360" w:lineRule="auto"/>
        <w:ind w:firstLine="720"/>
        <w:rPr>
          <w:rFonts w:ascii="仿宋" w:hAnsi="仿宋" w:eastAsia="仿宋" w:cs="仿宋"/>
          <w:sz w:val="36"/>
          <w:szCs w:val="36"/>
        </w:rPr>
      </w:pPr>
      <w:r>
        <w:rPr>
          <w:rFonts w:hint="eastAsia" w:ascii="仿宋" w:hAnsi="仿宋" w:eastAsia="仿宋" w:cs="仿宋"/>
          <w:sz w:val="36"/>
          <w:szCs w:val="36"/>
        </w:rPr>
        <w:t>联 系 人：韩玺梅 董玮</w:t>
      </w:r>
    </w:p>
    <w:p>
      <w:pPr>
        <w:pStyle w:val="24"/>
        <w:spacing w:line="360" w:lineRule="auto"/>
        <w:ind w:firstLine="720"/>
        <w:rPr>
          <w:rFonts w:ascii="仿宋" w:hAnsi="仿宋" w:eastAsia="仿宋" w:cs="仿宋"/>
          <w:sz w:val="36"/>
          <w:szCs w:val="36"/>
        </w:rPr>
      </w:pPr>
      <w:r>
        <w:rPr>
          <w:rFonts w:hint="eastAsia" w:ascii="仿宋" w:hAnsi="仿宋" w:eastAsia="仿宋" w:cs="仿宋"/>
          <w:sz w:val="36"/>
          <w:szCs w:val="36"/>
        </w:rPr>
        <w:t>联系电话：0991-4609126</w:t>
      </w:r>
    </w:p>
    <w:p>
      <w:pPr>
        <w:pStyle w:val="24"/>
        <w:spacing w:line="360" w:lineRule="auto"/>
        <w:ind w:firstLine="720"/>
        <w:rPr>
          <w:rFonts w:ascii="仿宋" w:hAnsi="仿宋" w:eastAsia="仿宋" w:cs="仿宋"/>
          <w:sz w:val="36"/>
          <w:szCs w:val="36"/>
        </w:rPr>
      </w:pPr>
    </w:p>
    <w:p>
      <w:pPr>
        <w:pStyle w:val="24"/>
        <w:spacing w:line="360" w:lineRule="auto"/>
        <w:ind w:firstLine="720"/>
        <w:rPr>
          <w:rFonts w:ascii="仿宋" w:hAnsi="仿宋" w:eastAsia="仿宋" w:cs="仿宋"/>
          <w:sz w:val="36"/>
          <w:szCs w:val="36"/>
        </w:rPr>
      </w:pPr>
      <w:r>
        <w:rPr>
          <w:rFonts w:hint="eastAsia" w:ascii="仿宋" w:hAnsi="仿宋" w:eastAsia="仿宋" w:cs="仿宋"/>
          <w:sz w:val="36"/>
          <w:szCs w:val="36"/>
        </w:rPr>
        <w:t>采购代理</w:t>
      </w:r>
      <w:r>
        <w:rPr>
          <w:rFonts w:hint="eastAsia" w:ascii="仿宋" w:hAnsi="仿宋" w:eastAsia="仿宋" w:cs="仿宋"/>
          <w:color w:val="000000" w:themeColor="text1"/>
          <w:sz w:val="36"/>
          <w:szCs w:val="36"/>
        </w:rPr>
        <w:t>（盖章）</w:t>
      </w:r>
      <w:r>
        <w:rPr>
          <w:rFonts w:hint="eastAsia" w:ascii="仿宋" w:hAnsi="仿宋" w:eastAsia="仿宋" w:cs="仿宋"/>
          <w:sz w:val="36"/>
          <w:szCs w:val="36"/>
        </w:rPr>
        <w:t>：中科高盛咨询集团有限公司</w:t>
      </w:r>
    </w:p>
    <w:p>
      <w:pPr>
        <w:pStyle w:val="24"/>
        <w:spacing w:line="360" w:lineRule="auto"/>
        <w:ind w:left="2534" w:leftChars="341" w:hanging="1818" w:hangingChars="505"/>
        <w:rPr>
          <w:rFonts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4"/>
        <w:spacing w:line="360" w:lineRule="auto"/>
        <w:ind w:firstLine="720"/>
        <w:rPr>
          <w:rFonts w:ascii="仿宋" w:hAnsi="仿宋" w:eastAsia="仿宋" w:cs="仿宋"/>
          <w:sz w:val="36"/>
          <w:szCs w:val="36"/>
        </w:rPr>
      </w:pPr>
      <w:r>
        <w:rPr>
          <w:rFonts w:hint="eastAsia" w:ascii="仿宋" w:hAnsi="仿宋" w:eastAsia="仿宋" w:cs="仿宋"/>
          <w:sz w:val="36"/>
          <w:szCs w:val="36"/>
        </w:rPr>
        <w:t>联 系 人：付文</w:t>
      </w:r>
    </w:p>
    <w:p>
      <w:pPr>
        <w:pStyle w:val="24"/>
        <w:spacing w:line="360" w:lineRule="auto"/>
        <w:ind w:firstLine="720"/>
        <w:rPr>
          <w:rFonts w:ascii="仿宋" w:hAnsi="仿宋" w:eastAsia="仿宋" w:cs="仿宋"/>
          <w:sz w:val="36"/>
          <w:szCs w:val="36"/>
        </w:rPr>
      </w:pPr>
      <w:r>
        <w:rPr>
          <w:rFonts w:hint="eastAsia" w:ascii="仿宋" w:hAnsi="仿宋" w:eastAsia="仿宋" w:cs="仿宋"/>
          <w:sz w:val="36"/>
          <w:szCs w:val="36"/>
        </w:rPr>
        <w:t>联系电话：0991-4881798、13999191325</w:t>
      </w:r>
    </w:p>
    <w:p>
      <w:pPr>
        <w:rPr>
          <w:rFonts w:ascii="仿宋" w:hAnsi="仿宋" w:eastAsia="仿宋" w:cs="仿宋"/>
        </w:rPr>
      </w:pPr>
      <w:r>
        <w:rPr>
          <w:rFonts w:hint="eastAsia" w:ascii="仿宋" w:hAnsi="仿宋" w:eastAsia="仿宋" w:cs="仿宋"/>
        </w:rPr>
        <w:br w:type="page"/>
      </w:r>
    </w:p>
    <w:p>
      <w:pPr>
        <w:tabs>
          <w:tab w:val="left" w:pos="2700"/>
        </w:tabs>
        <w:spacing w:line="360" w:lineRule="auto"/>
        <w:jc w:val="center"/>
        <w:rPr>
          <w:rFonts w:ascii="仿宋" w:hAnsi="仿宋" w:eastAsia="仿宋"/>
          <w:color w:val="000000"/>
          <w:sz w:val="44"/>
          <w:szCs w:val="44"/>
        </w:rPr>
      </w:pPr>
    </w:p>
    <w:p>
      <w:pPr>
        <w:rPr>
          <w:rFonts w:ascii="仿宋" w:hAnsi="仿宋" w:eastAsia="仿宋"/>
          <w:color w:val="000000"/>
          <w:sz w:val="44"/>
          <w:szCs w:val="44"/>
        </w:rPr>
      </w:pPr>
      <w:r>
        <w:rPr>
          <w:rFonts w:hint="eastAsia" w:ascii="仿宋" w:hAnsi="仿宋" w:eastAsia="仿宋"/>
          <w:color w:val="000000"/>
          <w:sz w:val="44"/>
          <w:szCs w:val="44"/>
        </w:rPr>
        <w:br w:type="page"/>
      </w:r>
    </w:p>
    <w:p>
      <w:pPr>
        <w:tabs>
          <w:tab w:val="left" w:pos="2700"/>
        </w:tabs>
        <w:spacing w:line="360" w:lineRule="auto"/>
        <w:jc w:val="center"/>
        <w:rPr>
          <w:rFonts w:ascii="仿宋" w:hAnsi="仿宋" w:eastAsia="仿宋"/>
          <w:color w:val="000000"/>
          <w:sz w:val="44"/>
          <w:szCs w:val="44"/>
        </w:rPr>
      </w:pPr>
      <w:r>
        <w:rPr>
          <w:rFonts w:hint="eastAsia" w:ascii="仿宋" w:hAnsi="仿宋" w:eastAsia="仿宋"/>
          <w:color w:val="000000"/>
          <w:sz w:val="44"/>
          <w:szCs w:val="44"/>
        </w:rPr>
        <w:t>目    录</w:t>
      </w:r>
    </w:p>
    <w:p>
      <w:pPr>
        <w:pStyle w:val="7"/>
      </w:pPr>
    </w:p>
    <w:p>
      <w:pPr>
        <w:pStyle w:val="13"/>
        <w:tabs>
          <w:tab w:val="right" w:leader="dot" w:pos="8360"/>
        </w:tabs>
        <w:ind w:firstLine="0" w:firstLineChars="0"/>
        <w:rPr>
          <w:rFonts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"1-2" \h \z \u </w:instrText>
      </w:r>
      <w:r>
        <w:rPr>
          <w:rFonts w:hint="eastAsia" w:ascii="仿宋" w:hAnsi="仿宋" w:eastAsia="仿宋" w:cs="仿宋"/>
          <w:b w:val="0"/>
          <w:bCs w:val="0"/>
          <w:sz w:val="28"/>
          <w:szCs w:val="28"/>
        </w:rPr>
        <w:fldChar w:fldCharType="separate"/>
      </w:r>
      <w:r>
        <w:fldChar w:fldCharType="begin"/>
      </w:r>
      <w:r>
        <w:instrText xml:space="preserve"> HYPERLINK \l "_Toc892" </w:instrText>
      </w:r>
      <w:r>
        <w:fldChar w:fldCharType="separate"/>
      </w:r>
      <w:r>
        <w:rPr>
          <w:rFonts w:hint="eastAsia" w:ascii="仿宋" w:hAnsi="仿宋" w:eastAsia="仿宋" w:cs="仿宋"/>
          <w:b w:val="0"/>
          <w:bCs w:val="0"/>
          <w:sz w:val="28"/>
          <w:szCs w:val="28"/>
        </w:rPr>
        <w:t>第一章、单一来源邀请公告</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_Toc892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3"/>
        <w:tabs>
          <w:tab w:val="right" w:leader="dot" w:pos="8360"/>
        </w:tabs>
        <w:ind w:firstLine="0" w:firstLineChars="0"/>
        <w:rPr>
          <w:rFonts w:ascii="仿宋" w:hAnsi="仿宋" w:eastAsia="仿宋" w:cs="仿宋"/>
          <w:b w:val="0"/>
          <w:bCs w:val="0"/>
          <w:sz w:val="28"/>
          <w:szCs w:val="28"/>
        </w:rPr>
      </w:pPr>
      <w:r>
        <w:fldChar w:fldCharType="begin"/>
      </w:r>
      <w:r>
        <w:instrText xml:space="preserve"> HYPERLINK \l "_Toc7954" </w:instrText>
      </w:r>
      <w:r>
        <w:fldChar w:fldCharType="separate"/>
      </w:r>
      <w:r>
        <w:rPr>
          <w:rFonts w:hint="eastAsia" w:ascii="仿宋" w:hAnsi="仿宋" w:eastAsia="仿宋" w:cs="仿宋"/>
          <w:b w:val="0"/>
          <w:bCs w:val="0"/>
          <w:sz w:val="28"/>
          <w:szCs w:val="28"/>
        </w:rPr>
        <w:t>第二章、谈判须知</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_Toc7954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3"/>
        <w:tabs>
          <w:tab w:val="right" w:leader="dot" w:pos="8360"/>
        </w:tabs>
        <w:ind w:firstLine="0" w:firstLineChars="0"/>
        <w:rPr>
          <w:rFonts w:ascii="仿宋" w:hAnsi="仿宋" w:eastAsia="仿宋" w:cs="仿宋"/>
          <w:b w:val="0"/>
          <w:bCs w:val="0"/>
          <w:sz w:val="28"/>
          <w:szCs w:val="28"/>
        </w:rPr>
      </w:pPr>
      <w:r>
        <w:fldChar w:fldCharType="begin"/>
      </w:r>
      <w:r>
        <w:instrText xml:space="preserve"> HYPERLINK \l "_Toc14432" </w:instrText>
      </w:r>
      <w:r>
        <w:fldChar w:fldCharType="separate"/>
      </w:r>
      <w:r>
        <w:rPr>
          <w:rFonts w:hint="eastAsia" w:ascii="仿宋" w:hAnsi="仿宋" w:eastAsia="仿宋" w:cs="仿宋"/>
          <w:b w:val="0"/>
          <w:bCs w:val="0"/>
          <w:sz w:val="28"/>
          <w:szCs w:val="28"/>
        </w:rPr>
        <w:t>第三章、招标内容及技术要求</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_Toc14432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25</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3"/>
        <w:tabs>
          <w:tab w:val="right" w:leader="dot" w:pos="8360"/>
        </w:tabs>
        <w:ind w:firstLine="0" w:firstLineChars="0"/>
        <w:rPr>
          <w:rFonts w:ascii="仿宋" w:hAnsi="仿宋" w:eastAsia="仿宋" w:cs="仿宋"/>
          <w:b w:val="0"/>
          <w:bCs w:val="0"/>
          <w:sz w:val="28"/>
          <w:szCs w:val="28"/>
        </w:rPr>
      </w:pPr>
      <w:r>
        <w:fldChar w:fldCharType="begin"/>
      </w:r>
      <w:r>
        <w:instrText xml:space="preserve"> HYPERLINK \l "_Toc22847" </w:instrText>
      </w:r>
      <w:r>
        <w:fldChar w:fldCharType="separate"/>
      </w:r>
      <w:r>
        <w:rPr>
          <w:rFonts w:hint="eastAsia" w:ascii="仿宋" w:hAnsi="仿宋" w:eastAsia="仿宋" w:cs="仿宋"/>
          <w:b w:val="0"/>
          <w:bCs w:val="0"/>
          <w:sz w:val="28"/>
          <w:szCs w:val="28"/>
        </w:rPr>
        <w:t>第四章、合同</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_Toc22847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26</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13"/>
        <w:tabs>
          <w:tab w:val="right" w:leader="dot" w:pos="8360"/>
        </w:tabs>
        <w:ind w:firstLine="0" w:firstLineChars="0"/>
        <w:rPr>
          <w:rFonts w:ascii="仿宋" w:hAnsi="仿宋" w:eastAsia="仿宋" w:cs="仿宋"/>
          <w:b w:val="0"/>
          <w:bCs w:val="0"/>
          <w:sz w:val="28"/>
          <w:szCs w:val="28"/>
        </w:rPr>
      </w:pPr>
      <w:r>
        <w:fldChar w:fldCharType="begin"/>
      </w:r>
      <w:r>
        <w:instrText xml:space="preserve"> HYPERLINK \l "_Toc7006" </w:instrText>
      </w:r>
      <w:r>
        <w:fldChar w:fldCharType="separate"/>
      </w:r>
      <w:r>
        <w:rPr>
          <w:rFonts w:hint="eastAsia" w:ascii="仿宋" w:hAnsi="仿宋" w:eastAsia="仿宋" w:cs="仿宋"/>
          <w:b w:val="0"/>
          <w:bCs w:val="0"/>
          <w:sz w:val="28"/>
          <w:szCs w:val="28"/>
        </w:rPr>
        <w:t>第五章、单一来源响应文件格式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_Toc7006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36</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7"/>
        <w:spacing w:line="360" w:lineRule="auto"/>
        <w:rPr>
          <w:rFonts w:ascii="仿宋" w:hAnsi="仿宋" w:eastAsia="仿宋" w:cs="仿宋"/>
          <w:b/>
          <w:color w:val="000000"/>
          <w:sz w:val="36"/>
        </w:rPr>
      </w:pPr>
      <w:r>
        <w:rPr>
          <w:rFonts w:hint="eastAsia" w:ascii="仿宋" w:hAnsi="仿宋" w:eastAsia="仿宋" w:cs="仿宋"/>
          <w:sz w:val="28"/>
          <w:szCs w:val="28"/>
        </w:rPr>
        <w:fldChar w:fldCharType="end"/>
      </w:r>
    </w:p>
    <w:p>
      <w:pPr>
        <w:pStyle w:val="16"/>
        <w:spacing w:line="360" w:lineRule="auto"/>
        <w:rPr>
          <w:rFonts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p>
    <w:bookmarkEnd w:id="0"/>
    <w:bookmarkEnd w:id="1"/>
    <w:bookmarkEnd w:id="2"/>
    <w:p>
      <w:pPr>
        <w:pStyle w:val="3"/>
        <w:rPr>
          <w:rFonts w:cs="仿宋"/>
          <w:highlight w:val="none"/>
        </w:rPr>
      </w:pPr>
      <w:bookmarkStart w:id="4" w:name="_Toc78799055"/>
      <w:bookmarkStart w:id="5" w:name="_Toc892"/>
      <w:r>
        <w:rPr>
          <w:rFonts w:hint="eastAsia" w:cs="仿宋"/>
          <w:highlight w:val="none"/>
        </w:rPr>
        <w:t>第一章、单一来源邀请公告</w:t>
      </w:r>
      <w:bookmarkEnd w:id="4"/>
      <w:bookmarkEnd w:id="5"/>
    </w:p>
    <w:p>
      <w:pPr>
        <w:pStyle w:val="23"/>
        <w:snapToGrid w:val="0"/>
        <w:spacing w:line="480" w:lineRule="exact"/>
        <w:ind w:firstLine="560" w:firstLineChars="200"/>
        <w:jc w:val="both"/>
        <w:rPr>
          <w:rFonts w:hint="eastAsia" w:ascii="仿宋" w:hAnsi="仿宋" w:eastAsia="仿宋" w:cs="仿宋"/>
          <w:sz w:val="28"/>
          <w:highlight w:val="none"/>
          <w:lang w:val="en-US" w:eastAsia="zh-CN"/>
        </w:rPr>
      </w:pPr>
      <w:r>
        <w:rPr>
          <w:rFonts w:hint="eastAsia" w:ascii="仿宋" w:hAnsi="仿宋" w:eastAsia="仿宋" w:cs="仿宋"/>
          <w:sz w:val="28"/>
          <w:highlight w:val="yellow"/>
        </w:rPr>
        <w:t>一、招标项目编号：ZKGSF(ZB)-20230278</w:t>
      </w:r>
    </w:p>
    <w:p>
      <w:pPr>
        <w:pStyle w:val="23"/>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二、采购组织类型：部门分散采购-委托中介机构</w:t>
      </w:r>
    </w:p>
    <w:p>
      <w:pPr>
        <w:pStyle w:val="23"/>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三、招标项目概况：采购南湖南、南湖北社区检验试剂采购项目（标项二），</w:t>
      </w:r>
      <w:r>
        <w:rPr>
          <w:rFonts w:hint="eastAsia" w:ascii="仿宋" w:hAnsi="仿宋" w:eastAsia="仿宋" w:cs="仿宋"/>
          <w:sz w:val="28"/>
          <w:lang w:val="en-US" w:eastAsia="zh-CN"/>
        </w:rPr>
        <w:t>详见谈判文件，</w:t>
      </w:r>
      <w:r>
        <w:rPr>
          <w:rFonts w:hint="eastAsia" w:ascii="仿宋" w:hAnsi="仿宋" w:eastAsia="仿宋" w:cs="仿宋"/>
          <w:sz w:val="28"/>
        </w:rPr>
        <w:t>预算</w:t>
      </w:r>
      <w:r>
        <w:rPr>
          <w:rFonts w:hint="eastAsia" w:ascii="仿宋" w:hAnsi="仿宋" w:eastAsia="仿宋" w:cs="仿宋"/>
          <w:sz w:val="28"/>
          <w:lang w:val="en-US" w:eastAsia="zh-CN"/>
        </w:rPr>
        <w:t>27</w:t>
      </w:r>
      <w:r>
        <w:rPr>
          <w:rFonts w:hint="eastAsia" w:ascii="仿宋" w:hAnsi="仿宋" w:eastAsia="仿宋" w:cs="仿宋"/>
          <w:sz w:val="28"/>
        </w:rPr>
        <w:t>万元。</w:t>
      </w:r>
    </w:p>
    <w:p>
      <w:pPr>
        <w:pStyle w:val="23"/>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四、供应商资格要求：</w:t>
      </w:r>
    </w:p>
    <w:p>
      <w:pPr>
        <w:pStyle w:val="23"/>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1、符合《中华人民共和国政府采购法》第二十二条款规定；</w:t>
      </w:r>
    </w:p>
    <w:p>
      <w:pPr>
        <w:pStyle w:val="23"/>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2、具有有效的营业执照；</w:t>
      </w:r>
    </w:p>
    <w:p>
      <w:pPr>
        <w:pStyle w:val="23"/>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3"/>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、法定代表人投标需携带法定代表人证明书（原件）及法定代表人身份证（原件），委托代理人投标需携带法定代表人授权委托书（原件）及委托代理人身份证（原件）；</w:t>
      </w:r>
    </w:p>
    <w:p>
      <w:pPr>
        <w:pStyle w:val="23"/>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3"/>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、本项目不接受联合体投标。</w:t>
      </w:r>
    </w:p>
    <w:p>
      <w:pPr>
        <w:pStyle w:val="23"/>
        <w:snapToGrid w:val="0"/>
        <w:spacing w:line="480" w:lineRule="exact"/>
        <w:ind w:firstLine="560" w:firstLineChars="200"/>
        <w:jc w:val="both"/>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3"/>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五、单一来源采购文件的报名/发售时间、地址、售价。</w:t>
      </w:r>
    </w:p>
    <w:p>
      <w:pPr>
        <w:pStyle w:val="23"/>
        <w:snapToGrid w:val="0"/>
        <w:spacing w:line="480" w:lineRule="exact"/>
        <w:ind w:firstLine="560" w:firstLineChars="200"/>
        <w:jc w:val="both"/>
        <w:rPr>
          <w:rFonts w:ascii="仿宋" w:hAnsi="仿宋" w:eastAsia="仿宋" w:cs="仿宋"/>
          <w:sz w:val="28"/>
          <w:highlight w:val="yellow"/>
        </w:rPr>
      </w:pPr>
      <w:r>
        <w:rPr>
          <w:rFonts w:hint="eastAsia" w:ascii="仿宋" w:hAnsi="仿宋" w:eastAsia="仿宋" w:cs="仿宋"/>
          <w:sz w:val="28"/>
        </w:rPr>
        <w:t>1．报名（发售／获取）时间：</w:t>
      </w:r>
      <w:bookmarkStart w:id="6" w:name="_Hlk56775080"/>
      <w:r>
        <w:rPr>
          <w:rFonts w:hint="eastAsia" w:ascii="仿宋" w:hAnsi="仿宋" w:eastAsia="仿宋" w:cs="仿宋"/>
          <w:sz w:val="28"/>
          <w:highlight w:val="yellow"/>
          <w:u w:val="single"/>
        </w:rPr>
        <w:t>202</w:t>
      </w:r>
      <w:r>
        <w:rPr>
          <w:rFonts w:hint="eastAsia" w:ascii="仿宋" w:hAnsi="仿宋" w:eastAsia="仿宋" w:cs="仿宋"/>
          <w:sz w:val="28"/>
          <w:highlight w:val="yellow"/>
          <w:u w:val="single"/>
          <w:lang w:val="en-US" w:eastAsia="zh-CN"/>
        </w:rPr>
        <w:t>3</w:t>
      </w:r>
      <w:r>
        <w:rPr>
          <w:rFonts w:hint="eastAsia" w:ascii="仿宋" w:hAnsi="仿宋" w:eastAsia="仿宋" w:cs="仿宋"/>
          <w:sz w:val="28"/>
          <w:highlight w:val="yellow"/>
        </w:rPr>
        <w:t>年</w:t>
      </w:r>
      <w:r>
        <w:rPr>
          <w:rFonts w:hint="eastAsia" w:ascii="仿宋" w:hAnsi="仿宋" w:eastAsia="仿宋" w:cs="仿宋"/>
          <w:sz w:val="28"/>
          <w:highlight w:val="yellow"/>
          <w:u w:val="single"/>
          <w:lang w:val="en-US" w:eastAsia="zh-CN"/>
        </w:rPr>
        <w:t>03</w:t>
      </w:r>
      <w:r>
        <w:rPr>
          <w:rFonts w:hint="eastAsia" w:ascii="仿宋" w:hAnsi="仿宋" w:eastAsia="仿宋" w:cs="仿宋"/>
          <w:sz w:val="28"/>
          <w:highlight w:val="yellow"/>
        </w:rPr>
        <w:t>月</w:t>
      </w:r>
      <w:r>
        <w:rPr>
          <w:rFonts w:hint="eastAsia" w:ascii="仿宋" w:hAnsi="仿宋" w:eastAsia="仿宋" w:cs="仿宋"/>
          <w:sz w:val="28"/>
          <w:highlight w:val="yellow"/>
          <w:u w:val="single"/>
          <w:lang w:val="en-US" w:eastAsia="zh-CN"/>
        </w:rPr>
        <w:t>06</w:t>
      </w:r>
      <w:r>
        <w:rPr>
          <w:rFonts w:hint="eastAsia" w:ascii="仿宋" w:hAnsi="仿宋" w:eastAsia="仿宋" w:cs="仿宋"/>
          <w:sz w:val="28"/>
          <w:highlight w:val="yellow"/>
        </w:rPr>
        <w:t>日-</w:t>
      </w:r>
      <w:r>
        <w:rPr>
          <w:rFonts w:hint="eastAsia" w:ascii="仿宋" w:hAnsi="仿宋" w:eastAsia="仿宋" w:cs="仿宋"/>
          <w:sz w:val="28"/>
          <w:highlight w:val="yellow"/>
          <w:u w:val="single"/>
        </w:rPr>
        <w:t>202</w:t>
      </w:r>
      <w:r>
        <w:rPr>
          <w:rFonts w:hint="eastAsia" w:ascii="仿宋" w:hAnsi="仿宋" w:eastAsia="仿宋" w:cs="仿宋"/>
          <w:sz w:val="28"/>
          <w:highlight w:val="yellow"/>
          <w:u w:val="single"/>
          <w:lang w:val="en-US" w:eastAsia="zh-CN"/>
        </w:rPr>
        <w:t>3</w:t>
      </w:r>
      <w:r>
        <w:rPr>
          <w:rFonts w:hint="eastAsia" w:ascii="仿宋" w:hAnsi="仿宋" w:eastAsia="仿宋" w:cs="仿宋"/>
          <w:sz w:val="28"/>
          <w:highlight w:val="yellow"/>
        </w:rPr>
        <w:t>年</w:t>
      </w:r>
      <w:r>
        <w:rPr>
          <w:rFonts w:hint="eastAsia" w:ascii="仿宋" w:hAnsi="仿宋" w:eastAsia="仿宋" w:cs="仿宋"/>
          <w:sz w:val="28"/>
          <w:highlight w:val="yellow"/>
          <w:u w:val="single"/>
          <w:lang w:val="en-US" w:eastAsia="zh-CN"/>
        </w:rPr>
        <w:t>03</w:t>
      </w:r>
      <w:r>
        <w:rPr>
          <w:rFonts w:hint="eastAsia" w:ascii="仿宋" w:hAnsi="仿宋" w:eastAsia="仿宋" w:cs="仿宋"/>
          <w:sz w:val="28"/>
          <w:highlight w:val="yellow"/>
        </w:rPr>
        <w:t>月</w:t>
      </w:r>
      <w:r>
        <w:rPr>
          <w:rFonts w:hint="eastAsia" w:ascii="仿宋" w:hAnsi="仿宋" w:eastAsia="仿宋" w:cs="仿宋"/>
          <w:sz w:val="28"/>
          <w:highlight w:val="yellow"/>
          <w:u w:val="single"/>
          <w:lang w:val="en-US" w:eastAsia="zh-CN"/>
        </w:rPr>
        <w:t>10</w:t>
      </w:r>
      <w:r>
        <w:rPr>
          <w:rFonts w:hint="eastAsia" w:ascii="仿宋" w:hAnsi="仿宋" w:eastAsia="仿宋" w:cs="仿宋"/>
          <w:sz w:val="28"/>
          <w:highlight w:val="yellow"/>
        </w:rPr>
        <w:t>日</w:t>
      </w:r>
      <w:bookmarkEnd w:id="6"/>
    </w:p>
    <w:p>
      <w:pPr>
        <w:pStyle w:val="23"/>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上午：10：00-1</w:t>
      </w:r>
      <w:r>
        <w:rPr>
          <w:rFonts w:hint="eastAsia" w:ascii="仿宋" w:hAnsi="仿宋" w:eastAsia="仿宋" w:cs="仿宋"/>
          <w:sz w:val="28"/>
          <w:lang w:val="en-US" w:eastAsia="zh-CN"/>
        </w:rPr>
        <w:t>4</w:t>
      </w:r>
      <w:r>
        <w:rPr>
          <w:rFonts w:hint="eastAsia" w:ascii="仿宋" w:hAnsi="仿宋" w:eastAsia="仿宋" w:cs="仿宋"/>
          <w:sz w:val="28"/>
        </w:rPr>
        <w:t>：</w:t>
      </w:r>
      <w:r>
        <w:rPr>
          <w:rFonts w:hint="eastAsia" w:ascii="仿宋" w:hAnsi="仿宋" w:eastAsia="仿宋" w:cs="仿宋"/>
          <w:sz w:val="28"/>
          <w:lang w:val="en-US" w:eastAsia="zh-CN"/>
        </w:rPr>
        <w:t>0</w:t>
      </w:r>
      <w:r>
        <w:rPr>
          <w:rFonts w:hint="eastAsia" w:ascii="仿宋" w:hAnsi="仿宋" w:eastAsia="仿宋" w:cs="仿宋"/>
          <w:sz w:val="28"/>
        </w:rPr>
        <w:t>0，下午：1</w:t>
      </w:r>
      <w:r>
        <w:rPr>
          <w:rFonts w:hint="eastAsia" w:ascii="仿宋" w:hAnsi="仿宋" w:eastAsia="仿宋" w:cs="仿宋"/>
          <w:sz w:val="28"/>
          <w:lang w:val="en-US" w:eastAsia="zh-CN"/>
        </w:rPr>
        <w:t>6</w:t>
      </w:r>
      <w:r>
        <w:rPr>
          <w:rFonts w:hint="eastAsia" w:ascii="仿宋" w:hAnsi="仿宋" w:eastAsia="仿宋" w:cs="仿宋"/>
          <w:sz w:val="28"/>
        </w:rPr>
        <w:t>：</w:t>
      </w:r>
      <w:r>
        <w:rPr>
          <w:rFonts w:hint="eastAsia" w:ascii="仿宋" w:hAnsi="仿宋" w:eastAsia="仿宋" w:cs="仿宋"/>
          <w:sz w:val="28"/>
          <w:lang w:val="en-US" w:eastAsia="zh-CN"/>
        </w:rPr>
        <w:t>0</w:t>
      </w:r>
      <w:r>
        <w:rPr>
          <w:rFonts w:hint="eastAsia" w:ascii="仿宋" w:hAnsi="仿宋" w:eastAsia="仿宋" w:cs="仿宋"/>
          <w:sz w:val="28"/>
        </w:rPr>
        <w:t>0-1</w:t>
      </w:r>
      <w:r>
        <w:rPr>
          <w:rFonts w:hint="eastAsia" w:ascii="仿宋" w:hAnsi="仿宋" w:eastAsia="仿宋" w:cs="仿宋"/>
          <w:sz w:val="28"/>
          <w:lang w:val="en-US" w:eastAsia="zh-CN"/>
        </w:rPr>
        <w:t>9</w:t>
      </w:r>
      <w:r>
        <w:rPr>
          <w:rFonts w:hint="eastAsia" w:ascii="仿宋" w:hAnsi="仿宋" w:eastAsia="仿宋" w:cs="仿宋"/>
          <w:sz w:val="28"/>
        </w:rPr>
        <w:t>：</w:t>
      </w:r>
      <w:r>
        <w:rPr>
          <w:rFonts w:hint="eastAsia" w:ascii="仿宋" w:hAnsi="仿宋" w:eastAsia="仿宋" w:cs="仿宋"/>
          <w:sz w:val="28"/>
          <w:lang w:val="en-US" w:eastAsia="zh-CN"/>
        </w:rPr>
        <w:t>0</w:t>
      </w:r>
      <w:r>
        <w:rPr>
          <w:rFonts w:hint="eastAsia" w:ascii="仿宋" w:hAnsi="仿宋" w:eastAsia="仿宋" w:cs="仿宋"/>
          <w:sz w:val="28"/>
        </w:rPr>
        <w:t>0</w:t>
      </w:r>
    </w:p>
    <w:p>
      <w:pPr>
        <w:pStyle w:val="23"/>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2．报名（发售／获取）地址：政采云平台线上获取 </w:t>
      </w:r>
    </w:p>
    <w:p>
      <w:pPr>
        <w:pStyle w:val="23"/>
        <w:snapToGrid w:val="0"/>
        <w:spacing w:line="480" w:lineRule="exact"/>
        <w:ind w:firstLine="560" w:firstLineChars="200"/>
        <w:jc w:val="both"/>
        <w:rPr>
          <w:rFonts w:hint="eastAsia" w:ascii="仿宋" w:hAnsi="仿宋" w:eastAsia="仿宋" w:cs="仿宋"/>
          <w:sz w:val="28"/>
          <w:lang w:eastAsia="zh-CN"/>
        </w:rPr>
      </w:pPr>
      <w:r>
        <w:rPr>
          <w:rFonts w:hint="eastAsia" w:ascii="仿宋" w:hAnsi="仿宋" w:eastAsia="仿宋" w:cs="仿宋"/>
          <w:sz w:val="28"/>
        </w:rPr>
        <w:t>3．标书售价（元）：</w:t>
      </w:r>
      <w:r>
        <w:rPr>
          <w:rFonts w:hint="eastAsia" w:ascii="仿宋" w:hAnsi="仿宋" w:eastAsia="仿宋" w:cs="仿宋"/>
          <w:sz w:val="28"/>
          <w:lang w:val="en-US" w:eastAsia="zh-CN"/>
        </w:rPr>
        <w:t>0</w:t>
      </w:r>
    </w:p>
    <w:p>
      <w:pPr>
        <w:pStyle w:val="23"/>
        <w:snapToGrid w:val="0"/>
        <w:spacing w:line="480" w:lineRule="exact"/>
        <w:ind w:firstLine="560" w:firstLineChars="200"/>
        <w:jc w:val="both"/>
        <w:rPr>
          <w:rFonts w:hint="eastAsia" w:ascii="仿宋" w:hAnsi="仿宋" w:eastAsia="仿宋" w:cs="仿宋"/>
          <w:sz w:val="28"/>
        </w:rPr>
      </w:pPr>
      <w:r>
        <w:rPr>
          <w:rFonts w:hint="eastAsia" w:ascii="仿宋" w:hAnsi="仿宋" w:eastAsia="仿宋" w:cs="仿宋"/>
          <w:sz w:val="28"/>
        </w:rPr>
        <w:t>4．供应商购买单一来源采购文件时应提交的资料：供应商登录政采云平台https://www.zcygov.cn/在线申请获取采购文件（进入“项目采购”应用，在获取采购文件菜单中选择项目，申请获取采购文件）</w:t>
      </w:r>
    </w:p>
    <w:p>
      <w:pPr>
        <w:pStyle w:val="23"/>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六、单一来源响应文件递交截止时间：</w:t>
      </w:r>
      <w:bookmarkStart w:id="7" w:name="_Hlk56775416"/>
      <w:r>
        <w:rPr>
          <w:rFonts w:hint="eastAsia" w:ascii="仿宋" w:hAnsi="仿宋" w:eastAsia="仿宋" w:cs="仿宋"/>
          <w:sz w:val="28"/>
          <w:highlight w:val="yellow"/>
          <w:u w:val="single"/>
        </w:rPr>
        <w:t>202</w:t>
      </w:r>
      <w:r>
        <w:rPr>
          <w:rFonts w:hint="eastAsia" w:ascii="仿宋" w:hAnsi="仿宋" w:eastAsia="仿宋" w:cs="仿宋"/>
          <w:sz w:val="28"/>
          <w:highlight w:val="yellow"/>
          <w:u w:val="single"/>
          <w:lang w:val="en-US" w:eastAsia="zh-CN"/>
        </w:rPr>
        <w:t>3</w:t>
      </w:r>
      <w:r>
        <w:rPr>
          <w:rFonts w:hint="eastAsia" w:ascii="仿宋" w:hAnsi="仿宋" w:eastAsia="仿宋" w:cs="仿宋"/>
          <w:sz w:val="28"/>
          <w:highlight w:val="yellow"/>
        </w:rPr>
        <w:t>年</w:t>
      </w:r>
      <w:r>
        <w:rPr>
          <w:rFonts w:hint="eastAsia" w:ascii="仿宋" w:hAnsi="仿宋" w:eastAsia="仿宋" w:cs="仿宋"/>
          <w:sz w:val="28"/>
          <w:highlight w:val="yellow"/>
          <w:u w:val="single"/>
          <w:lang w:val="en-US" w:eastAsia="zh-CN"/>
        </w:rPr>
        <w:t>03</w:t>
      </w:r>
      <w:r>
        <w:rPr>
          <w:rFonts w:hint="eastAsia" w:ascii="仿宋" w:hAnsi="仿宋" w:eastAsia="仿宋" w:cs="仿宋"/>
          <w:sz w:val="28"/>
          <w:highlight w:val="yellow"/>
        </w:rPr>
        <w:t>月</w:t>
      </w:r>
      <w:r>
        <w:rPr>
          <w:rFonts w:hint="eastAsia" w:ascii="仿宋" w:hAnsi="仿宋" w:eastAsia="仿宋" w:cs="仿宋"/>
          <w:sz w:val="28"/>
          <w:highlight w:val="yellow"/>
          <w:u w:val="single"/>
          <w:lang w:val="en-US" w:eastAsia="zh-CN"/>
        </w:rPr>
        <w:t>15</w:t>
      </w:r>
      <w:r>
        <w:rPr>
          <w:rFonts w:hint="eastAsia" w:ascii="仿宋" w:hAnsi="仿宋" w:eastAsia="仿宋" w:cs="仿宋"/>
          <w:sz w:val="28"/>
          <w:highlight w:val="yellow"/>
        </w:rPr>
        <w:t>日</w:t>
      </w:r>
      <w:r>
        <w:rPr>
          <w:rFonts w:hint="eastAsia" w:ascii="仿宋" w:hAnsi="仿宋" w:eastAsia="仿宋" w:cs="仿宋"/>
          <w:sz w:val="28"/>
          <w:highlight w:val="yellow"/>
          <w:u w:val="single"/>
        </w:rPr>
        <w:t>1</w:t>
      </w:r>
      <w:r>
        <w:rPr>
          <w:rFonts w:hint="eastAsia" w:ascii="仿宋" w:hAnsi="仿宋" w:eastAsia="仿宋" w:cs="仿宋"/>
          <w:sz w:val="28"/>
          <w:highlight w:val="yellow"/>
          <w:u w:val="single"/>
          <w:lang w:val="en-US" w:eastAsia="zh-CN"/>
        </w:rPr>
        <w:t>6</w:t>
      </w:r>
      <w:r>
        <w:rPr>
          <w:rFonts w:hint="eastAsia" w:ascii="仿宋" w:hAnsi="仿宋" w:eastAsia="仿宋" w:cs="仿宋"/>
          <w:sz w:val="28"/>
          <w:highlight w:val="yellow"/>
        </w:rPr>
        <w:t>时</w:t>
      </w:r>
      <w:r>
        <w:rPr>
          <w:rFonts w:hint="eastAsia" w:ascii="仿宋" w:hAnsi="仿宋" w:eastAsia="仿宋" w:cs="仿宋"/>
          <w:sz w:val="28"/>
          <w:highlight w:val="yellow"/>
          <w:u w:val="single"/>
        </w:rPr>
        <w:t>00</w:t>
      </w:r>
      <w:r>
        <w:rPr>
          <w:rFonts w:hint="eastAsia" w:ascii="仿宋" w:hAnsi="仿宋" w:eastAsia="仿宋" w:cs="仿宋"/>
          <w:sz w:val="28"/>
          <w:highlight w:val="yellow"/>
        </w:rPr>
        <w:t>分</w:t>
      </w:r>
      <w:r>
        <w:rPr>
          <w:rFonts w:hint="eastAsia" w:ascii="仿宋" w:hAnsi="仿宋" w:eastAsia="仿宋" w:cs="仿宋"/>
          <w:sz w:val="28"/>
        </w:rPr>
        <w:t>（北京时间）</w:t>
      </w:r>
      <w:bookmarkEnd w:id="7"/>
    </w:p>
    <w:p>
      <w:pPr>
        <w:pStyle w:val="23"/>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七、单一来源响应文件递交地址：新疆乌鲁木齐市水磨沟区绿地中心写字楼智海2008</w:t>
      </w:r>
    </w:p>
    <w:p>
      <w:pPr>
        <w:pStyle w:val="23"/>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八、开标时间：</w:t>
      </w:r>
      <w:r>
        <w:rPr>
          <w:rFonts w:hint="eastAsia" w:ascii="仿宋" w:hAnsi="仿宋" w:eastAsia="仿宋" w:cs="仿宋"/>
          <w:sz w:val="28"/>
          <w:highlight w:val="yellow"/>
          <w:u w:val="single"/>
        </w:rPr>
        <w:t>202</w:t>
      </w:r>
      <w:r>
        <w:rPr>
          <w:rFonts w:hint="eastAsia" w:ascii="仿宋" w:hAnsi="仿宋" w:eastAsia="仿宋" w:cs="仿宋"/>
          <w:sz w:val="28"/>
          <w:highlight w:val="yellow"/>
          <w:u w:val="single"/>
          <w:lang w:val="en-US" w:eastAsia="zh-CN"/>
        </w:rPr>
        <w:t>3</w:t>
      </w:r>
      <w:r>
        <w:rPr>
          <w:rFonts w:hint="eastAsia" w:ascii="仿宋" w:hAnsi="仿宋" w:eastAsia="仿宋" w:cs="仿宋"/>
          <w:sz w:val="28"/>
          <w:highlight w:val="yellow"/>
        </w:rPr>
        <w:t>年</w:t>
      </w:r>
      <w:r>
        <w:rPr>
          <w:rFonts w:hint="eastAsia" w:ascii="仿宋" w:hAnsi="仿宋" w:eastAsia="仿宋" w:cs="仿宋"/>
          <w:sz w:val="28"/>
          <w:highlight w:val="yellow"/>
          <w:u w:val="single"/>
          <w:lang w:val="en-US" w:eastAsia="zh-CN"/>
        </w:rPr>
        <w:t>03</w:t>
      </w:r>
      <w:r>
        <w:rPr>
          <w:rFonts w:hint="eastAsia" w:ascii="仿宋" w:hAnsi="仿宋" w:eastAsia="仿宋" w:cs="仿宋"/>
          <w:sz w:val="28"/>
          <w:highlight w:val="yellow"/>
        </w:rPr>
        <w:t>月</w:t>
      </w:r>
      <w:r>
        <w:rPr>
          <w:rFonts w:hint="eastAsia" w:ascii="仿宋" w:hAnsi="仿宋" w:eastAsia="仿宋" w:cs="仿宋"/>
          <w:sz w:val="28"/>
          <w:highlight w:val="yellow"/>
          <w:u w:val="single"/>
          <w:lang w:val="en-US" w:eastAsia="zh-CN"/>
        </w:rPr>
        <w:t>15</w:t>
      </w:r>
      <w:r>
        <w:rPr>
          <w:rFonts w:hint="eastAsia" w:ascii="仿宋" w:hAnsi="仿宋" w:eastAsia="仿宋" w:cs="仿宋"/>
          <w:sz w:val="28"/>
          <w:highlight w:val="yellow"/>
        </w:rPr>
        <w:t>日</w:t>
      </w:r>
      <w:r>
        <w:rPr>
          <w:rFonts w:hint="eastAsia" w:ascii="仿宋" w:hAnsi="仿宋" w:eastAsia="仿宋" w:cs="仿宋"/>
          <w:sz w:val="28"/>
          <w:highlight w:val="yellow"/>
          <w:u w:val="single"/>
        </w:rPr>
        <w:t>1</w:t>
      </w:r>
      <w:r>
        <w:rPr>
          <w:rFonts w:hint="eastAsia" w:ascii="仿宋" w:hAnsi="仿宋" w:eastAsia="仿宋" w:cs="仿宋"/>
          <w:sz w:val="28"/>
          <w:highlight w:val="yellow"/>
          <w:u w:val="single"/>
          <w:lang w:val="en-US" w:eastAsia="zh-CN"/>
        </w:rPr>
        <w:t>6</w:t>
      </w:r>
      <w:r>
        <w:rPr>
          <w:rFonts w:hint="eastAsia" w:ascii="仿宋" w:hAnsi="仿宋" w:eastAsia="仿宋" w:cs="仿宋"/>
          <w:sz w:val="28"/>
          <w:highlight w:val="yellow"/>
        </w:rPr>
        <w:t>时</w:t>
      </w:r>
      <w:r>
        <w:rPr>
          <w:rFonts w:hint="eastAsia" w:ascii="仿宋" w:hAnsi="仿宋" w:eastAsia="仿宋" w:cs="仿宋"/>
          <w:sz w:val="28"/>
          <w:highlight w:val="yellow"/>
          <w:u w:val="single"/>
        </w:rPr>
        <w:t>00</w:t>
      </w:r>
      <w:r>
        <w:rPr>
          <w:rFonts w:hint="eastAsia" w:ascii="仿宋" w:hAnsi="仿宋" w:eastAsia="仿宋" w:cs="仿宋"/>
          <w:sz w:val="28"/>
          <w:highlight w:val="yellow"/>
        </w:rPr>
        <w:t>分</w:t>
      </w:r>
      <w:r>
        <w:rPr>
          <w:rFonts w:hint="eastAsia" w:ascii="仿宋" w:hAnsi="仿宋" w:eastAsia="仿宋" w:cs="仿宋"/>
          <w:sz w:val="28"/>
        </w:rPr>
        <w:t>（北京时间）</w:t>
      </w:r>
    </w:p>
    <w:p>
      <w:pPr>
        <w:pStyle w:val="23"/>
        <w:snapToGrid w:val="0"/>
        <w:spacing w:line="480" w:lineRule="exact"/>
        <w:ind w:firstLine="560" w:firstLineChars="200"/>
        <w:jc w:val="both"/>
        <w:rPr>
          <w:rFonts w:ascii="仿宋" w:hAnsi="仿宋" w:eastAsia="仿宋" w:cs="仿宋"/>
          <w:sz w:val="28"/>
        </w:rPr>
      </w:pPr>
      <w:r>
        <w:rPr>
          <w:rFonts w:hint="eastAsia" w:ascii="仿宋" w:hAnsi="仿宋" w:eastAsia="仿宋" w:cs="仿宋"/>
          <w:sz w:val="28"/>
        </w:rPr>
        <w:t>九、开标地址：新疆乌鲁木齐市水磨沟区绿地中心写字楼智海2008</w:t>
      </w:r>
    </w:p>
    <w:p>
      <w:pPr>
        <w:pStyle w:val="23"/>
        <w:snapToGrid w:val="0"/>
        <w:spacing w:line="480" w:lineRule="exact"/>
        <w:ind w:firstLine="560"/>
        <w:jc w:val="both"/>
        <w:rPr>
          <w:rFonts w:ascii="仿宋" w:hAnsi="仿宋" w:eastAsia="仿宋" w:cs="仿宋"/>
          <w:sz w:val="28"/>
        </w:rPr>
      </w:pPr>
      <w:r>
        <w:rPr>
          <w:rFonts w:hint="eastAsia" w:ascii="仿宋" w:hAnsi="仿宋" w:eastAsia="仿宋" w:cs="仿宋"/>
          <w:sz w:val="28"/>
        </w:rPr>
        <w:t>十、联系方式</w:t>
      </w:r>
    </w:p>
    <w:p>
      <w:pPr>
        <w:pStyle w:val="23"/>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1.采购人信息</w:t>
      </w:r>
    </w:p>
    <w:p>
      <w:pPr>
        <w:pStyle w:val="23"/>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名 称：新疆医科大学第二附属医院</w:t>
      </w:r>
    </w:p>
    <w:p>
      <w:pPr>
        <w:pStyle w:val="23"/>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地 址：新疆维吾尔自治区乌鲁木齐市水磨沟区南湖东路北二巷38号</w:t>
      </w:r>
    </w:p>
    <w:p>
      <w:pPr>
        <w:pStyle w:val="23"/>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联系方式：0991-4609126</w:t>
      </w:r>
    </w:p>
    <w:p>
      <w:pPr>
        <w:pStyle w:val="23"/>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2.采购代理机构信息</w:t>
      </w:r>
    </w:p>
    <w:p>
      <w:pPr>
        <w:pStyle w:val="23"/>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名 称：中科高盛咨询集团有限公司</w:t>
      </w:r>
    </w:p>
    <w:p>
      <w:pPr>
        <w:pStyle w:val="23"/>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地 址：</w:t>
      </w:r>
      <w:r>
        <w:rPr>
          <w:rFonts w:hint="eastAsia" w:ascii="仿宋" w:hAnsi="仿宋" w:eastAsia="仿宋" w:cs="仿宋"/>
          <w:sz w:val="28"/>
        </w:rPr>
        <w:t>新疆乌鲁木齐市水磨沟区绿地中心写字楼智海2008</w:t>
      </w:r>
    </w:p>
    <w:p>
      <w:pPr>
        <w:pStyle w:val="23"/>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3.项目联系方式</w:t>
      </w:r>
    </w:p>
    <w:p>
      <w:pPr>
        <w:pStyle w:val="23"/>
        <w:snapToGrid w:val="0"/>
        <w:spacing w:line="480" w:lineRule="exact"/>
        <w:ind w:firstLine="560"/>
        <w:jc w:val="both"/>
        <w:rPr>
          <w:rFonts w:ascii="仿宋" w:hAnsi="仿宋" w:eastAsia="仿宋" w:cs="仿宋"/>
          <w:sz w:val="28"/>
        </w:rPr>
      </w:pPr>
      <w:r>
        <w:rPr>
          <w:rFonts w:hint="eastAsia" w:ascii="仿宋" w:hAnsi="仿宋" w:eastAsia="仿宋" w:cs="仿宋"/>
          <w:sz w:val="28"/>
          <w:szCs w:val="22"/>
        </w:rPr>
        <w:t>项目联系人：付文</w:t>
      </w:r>
    </w:p>
    <w:p>
      <w:pPr>
        <w:pStyle w:val="23"/>
        <w:snapToGrid w:val="0"/>
        <w:spacing w:line="480" w:lineRule="exact"/>
        <w:ind w:firstLine="560"/>
        <w:jc w:val="both"/>
        <w:rPr>
          <w:rFonts w:ascii="仿宋" w:hAnsi="仿宋" w:eastAsia="仿宋" w:cs="仿宋"/>
          <w:sz w:val="28"/>
          <w:szCs w:val="22"/>
        </w:rPr>
      </w:pPr>
      <w:r>
        <w:rPr>
          <w:rFonts w:hint="eastAsia" w:ascii="仿宋" w:hAnsi="仿宋" w:eastAsia="仿宋" w:cs="仿宋"/>
          <w:sz w:val="28"/>
          <w:szCs w:val="22"/>
        </w:rPr>
        <w:t>电 话：0991-4881798、13999191325</w:t>
      </w:r>
    </w:p>
    <w:p>
      <w:pPr>
        <w:pStyle w:val="3"/>
        <w:rPr>
          <w:rFonts w:cs="仿宋"/>
        </w:rPr>
      </w:pPr>
      <w:r>
        <w:rPr>
          <w:rFonts w:hint="eastAsia" w:cs="仿宋"/>
        </w:rPr>
        <w:br w:type="page"/>
      </w:r>
      <w:bookmarkEnd w:id="3"/>
      <w:bookmarkStart w:id="8" w:name="_Toc5896489"/>
      <w:bookmarkStart w:id="9" w:name="_Toc56170378"/>
      <w:bookmarkStart w:id="10" w:name="_Toc7954"/>
      <w:bookmarkStart w:id="11" w:name="_Toc55990500"/>
      <w:bookmarkStart w:id="12" w:name="_Toc78799056"/>
      <w:bookmarkStart w:id="13" w:name="_Toc399523005"/>
      <w:r>
        <w:rPr>
          <w:rFonts w:hint="eastAsia" w:cs="仿宋"/>
        </w:rPr>
        <w:t>第二章、谈判须知</w:t>
      </w:r>
      <w:bookmarkEnd w:id="8"/>
      <w:bookmarkEnd w:id="9"/>
      <w:bookmarkEnd w:id="10"/>
      <w:bookmarkEnd w:id="11"/>
      <w:bookmarkEnd w:id="12"/>
    </w:p>
    <w:p>
      <w:pPr>
        <w:pStyle w:val="4"/>
        <w:rPr>
          <w:rFonts w:cs="仿宋"/>
        </w:rPr>
      </w:pPr>
      <w:bookmarkStart w:id="14" w:name="_Toc31109"/>
      <w:bookmarkStart w:id="15" w:name="_Toc56170379"/>
      <w:bookmarkStart w:id="16" w:name="_Toc78799057"/>
      <w:r>
        <w:rPr>
          <w:rFonts w:hint="eastAsia" w:cs="仿宋"/>
        </w:rPr>
        <w:t>谈判须知前附表</w:t>
      </w:r>
      <w:bookmarkEnd w:id="14"/>
      <w:bookmarkEnd w:id="15"/>
      <w:bookmarkEnd w:id="16"/>
    </w:p>
    <w:tbl>
      <w:tblPr>
        <w:tblStyle w:val="18"/>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0"/>
        <w:gridCol w:w="87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80" w:type="dxa"/>
            <w:vAlign w:val="center"/>
          </w:tcPr>
          <w:p>
            <w:pPr>
              <w:pStyle w:val="24"/>
              <w:snapToGrid w:val="0"/>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8764" w:type="dxa"/>
            <w:vAlign w:val="center"/>
          </w:tcPr>
          <w:p>
            <w:pPr>
              <w:pStyle w:val="24"/>
              <w:snapToGrid w:val="0"/>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5" w:hRule="atLeast"/>
          <w:jc w:val="center"/>
        </w:trPr>
        <w:tc>
          <w:tcPr>
            <w:tcW w:w="880" w:type="dxa"/>
            <w:vAlign w:val="center"/>
          </w:tcPr>
          <w:p>
            <w:pPr>
              <w:pStyle w:val="24"/>
              <w:spacing w:line="360" w:lineRule="auto"/>
              <w:ind w:firstLine="0" w:firstLineChars="0"/>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764" w:type="dxa"/>
            <w:tcBorders>
              <w:bottom w:val="single" w:color="auto" w:sz="4" w:space="0"/>
            </w:tcBorders>
            <w:vAlign w:val="center"/>
          </w:tcPr>
          <w:p>
            <w:pPr>
              <w:pStyle w:val="24"/>
              <w:spacing w:line="360" w:lineRule="auto"/>
              <w:ind w:firstLine="0" w:firstLineChars="0"/>
              <w:jc w:val="left"/>
              <w:rPr>
                <w:rFonts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项目名称：新疆医科大学第二附属医院南湖南、南湖北社区检验试剂采购项目</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标项二）</w:t>
            </w:r>
          </w:p>
          <w:p>
            <w:pPr>
              <w:pStyle w:val="24"/>
              <w:spacing w:line="360" w:lineRule="auto"/>
              <w:ind w:firstLine="0" w:firstLineChars="0"/>
              <w:jc w:val="left"/>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yellow"/>
              </w:rPr>
              <w:t>项目编号：ZKGSF(ZB)-20230278</w:t>
            </w:r>
            <w:r>
              <w:rPr>
                <w:rFonts w:hint="eastAsia" w:ascii="仿宋" w:hAnsi="仿宋" w:eastAsia="仿宋" w:cs="仿宋"/>
                <w:color w:val="000000"/>
                <w:sz w:val="24"/>
                <w:szCs w:val="24"/>
                <w:highlight w:val="non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5" w:hRule="atLeast"/>
          <w:jc w:val="center"/>
        </w:trPr>
        <w:tc>
          <w:tcPr>
            <w:tcW w:w="880" w:type="dxa"/>
            <w:vAlign w:val="center"/>
          </w:tcPr>
          <w:p>
            <w:pPr>
              <w:pStyle w:val="24"/>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8764" w:type="dxa"/>
            <w:tcBorders>
              <w:bottom w:val="single" w:color="auto" w:sz="4" w:space="0"/>
            </w:tcBorders>
            <w:vAlign w:val="center"/>
          </w:tcPr>
          <w:p>
            <w:pPr>
              <w:pStyle w:val="24"/>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000000"/>
                <w:sz w:val="24"/>
                <w:szCs w:val="24"/>
              </w:rPr>
              <w:t>项目采购预算：投标人报价不得超过最高限价（详见第一章招标公告），否则将导致废标。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80" w:type="dxa"/>
            <w:vAlign w:val="center"/>
          </w:tcPr>
          <w:p>
            <w:pPr>
              <w:pStyle w:val="24"/>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8764" w:type="dxa"/>
            <w:vAlign w:val="center"/>
          </w:tcPr>
          <w:p>
            <w:pPr>
              <w:pStyle w:val="24"/>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000000"/>
                <w:sz w:val="24"/>
                <w:szCs w:val="24"/>
              </w:rPr>
              <w:t>采购人：新疆医科大学第二附属医院</w:t>
            </w:r>
          </w:p>
          <w:p>
            <w:pPr>
              <w:pStyle w:val="24"/>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000000"/>
                <w:sz w:val="24"/>
                <w:szCs w:val="24"/>
              </w:rPr>
              <w:t>联系人：韩玺梅 董玮</w:t>
            </w:r>
          </w:p>
          <w:p>
            <w:pPr>
              <w:pStyle w:val="24"/>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000000"/>
                <w:sz w:val="24"/>
                <w:szCs w:val="24"/>
              </w:rPr>
              <w:t>联系电话：0991-4609126</w:t>
            </w:r>
          </w:p>
          <w:p>
            <w:pPr>
              <w:pStyle w:val="24"/>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s="仿宋"/>
                <w:color w:val="000000"/>
                <w:sz w:val="24"/>
                <w:szCs w:val="24"/>
              </w:rPr>
              <w:t>地址：新疆维吾尔自治区乌鲁木齐市水磨沟区南湖东路北二巷38号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80" w:type="dxa"/>
            <w:vAlign w:val="center"/>
          </w:tcPr>
          <w:p>
            <w:pPr>
              <w:pStyle w:val="24"/>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8764" w:type="dxa"/>
            <w:vAlign w:val="center"/>
          </w:tcPr>
          <w:p>
            <w:pPr>
              <w:pStyle w:val="24"/>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000000"/>
                <w:sz w:val="24"/>
                <w:szCs w:val="24"/>
              </w:rPr>
              <w:t>采购代理机构：中科高盛咨询集团有限公司</w:t>
            </w:r>
          </w:p>
          <w:p>
            <w:pPr>
              <w:pStyle w:val="24"/>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000000"/>
                <w:sz w:val="24"/>
                <w:szCs w:val="24"/>
              </w:rPr>
              <w:t>地址：新疆乌鲁木齐市水磨沟区绿地中心写字楼智海2008</w:t>
            </w:r>
          </w:p>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项目联系人：付文</w:t>
            </w:r>
          </w:p>
          <w:p>
            <w:pPr>
              <w:pStyle w:val="24"/>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000000"/>
                <w:sz w:val="24"/>
                <w:szCs w:val="24"/>
              </w:rPr>
              <w:t>电话：0991-4881798、13999191325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80" w:type="dxa"/>
            <w:vAlign w:val="center"/>
          </w:tcPr>
          <w:p>
            <w:pPr>
              <w:pStyle w:val="24"/>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8764" w:type="dxa"/>
            <w:vAlign w:val="center"/>
          </w:tcPr>
          <w:p>
            <w:pPr>
              <w:pStyle w:val="24"/>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u w:val="single"/>
              </w:rPr>
              <w:t>2</w:t>
            </w:r>
            <w:r>
              <w:rPr>
                <w:rFonts w:hint="eastAsia" w:ascii="仿宋" w:hAnsi="仿宋" w:eastAsia="仿宋" w:cs="仿宋"/>
                <w:color w:val="000000"/>
                <w:sz w:val="24"/>
                <w:szCs w:val="24"/>
                <w:u w:val="single"/>
                <w:lang w:val="en-US" w:eastAsia="zh-CN"/>
              </w:rPr>
              <w:t>7</w:t>
            </w:r>
            <w:r>
              <w:rPr>
                <w:rFonts w:hint="eastAsia" w:ascii="仿宋" w:hAnsi="仿宋" w:eastAsia="仿宋" w:cs="仿宋"/>
                <w:color w:val="000000"/>
                <w:sz w:val="24"/>
                <w:szCs w:val="24"/>
                <w:u w:val="single"/>
              </w:rPr>
              <w:t>00</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rPr>
              <w:t>贰仟</w:t>
            </w:r>
            <w:r>
              <w:rPr>
                <w:rFonts w:hint="eastAsia" w:ascii="仿宋" w:hAnsi="仿宋" w:eastAsia="仿宋" w:cs="仿宋"/>
                <w:color w:val="000000"/>
                <w:sz w:val="24"/>
                <w:szCs w:val="24"/>
                <w:u w:val="single"/>
                <w:lang w:val="en-US" w:eastAsia="zh-CN"/>
              </w:rPr>
              <w:t>柒佰</w:t>
            </w:r>
            <w:r>
              <w:rPr>
                <w:rFonts w:hint="eastAsia" w:ascii="仿宋" w:hAnsi="仿宋" w:eastAsia="仿宋" w:cs="仿宋"/>
                <w:color w:val="000000"/>
                <w:sz w:val="24"/>
                <w:szCs w:val="24"/>
                <w:u w:val="single"/>
              </w:rPr>
              <w:t>元整</w:t>
            </w:r>
            <w:r>
              <w:rPr>
                <w:rFonts w:hint="eastAsia" w:ascii="仿宋" w:hAnsi="仿宋" w:eastAsia="仿宋" w:cs="仿宋"/>
                <w:color w:val="000000"/>
                <w:sz w:val="24"/>
                <w:szCs w:val="24"/>
              </w:rPr>
              <w:t>）；须以网银转账的形式由供应商的基本账户账户汇出，须于单一来源响应文件递交截止时间前交至招标代理机构指定账户（以到账时间为准），公示期结束后予以退还。</w:t>
            </w:r>
          </w:p>
          <w:p>
            <w:pPr>
              <w:pStyle w:val="24"/>
              <w:spacing w:line="360" w:lineRule="auto"/>
              <w:ind w:firstLine="0" w:firstLineChars="0"/>
              <w:jc w:val="left"/>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账户名：中科高盛咨询集团有限公司</w:t>
            </w:r>
          </w:p>
          <w:p>
            <w:pPr>
              <w:pStyle w:val="24"/>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  号：9902 0017 7427 8038</w:t>
            </w:r>
          </w:p>
          <w:p>
            <w:pPr>
              <w:pStyle w:val="24"/>
              <w:spacing w:line="360" w:lineRule="auto"/>
              <w:ind w:firstLine="0" w:firstLineChars="0"/>
              <w:jc w:val="left"/>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开户行：中国民生银行长沙芙蓉广场支行</w:t>
            </w:r>
          </w:p>
          <w:p>
            <w:pPr>
              <w:pStyle w:val="24"/>
              <w:spacing w:line="360" w:lineRule="auto"/>
              <w:ind w:firstLine="0" w:firstLineChars="0"/>
              <w:jc w:val="left"/>
              <w:rPr>
                <w:rFonts w:ascii="仿宋" w:hAnsi="仿宋" w:eastAsia="仿宋" w:cs="仿宋"/>
                <w:color w:val="000000"/>
                <w:sz w:val="24"/>
                <w:szCs w:val="24"/>
              </w:rPr>
            </w:pPr>
            <w:r>
              <w:rPr>
                <w:rFonts w:hint="eastAsia" w:ascii="仿宋" w:hAnsi="仿宋" w:eastAsia="仿宋" w:cs="仿宋"/>
                <w:color w:val="auto"/>
                <w:sz w:val="24"/>
                <w:szCs w:val="24"/>
                <w:shd w:val="clear" w:color="auto" w:fill="FFFFFF"/>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880" w:type="dxa"/>
            <w:vAlign w:val="center"/>
          </w:tcPr>
          <w:p>
            <w:pPr>
              <w:pStyle w:val="24"/>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8764" w:type="dxa"/>
            <w:vAlign w:val="center"/>
          </w:tcPr>
          <w:p>
            <w:pPr>
              <w:pStyle w:val="23"/>
              <w:snapToGrid w:val="0"/>
              <w:spacing w:line="360" w:lineRule="auto"/>
              <w:rPr>
                <w:rFonts w:ascii="仿宋" w:hAnsi="仿宋" w:eastAsia="仿宋" w:cs="仿宋"/>
                <w:szCs w:val="24"/>
              </w:rPr>
            </w:pPr>
            <w:r>
              <w:rPr>
                <w:rFonts w:hint="eastAsia" w:ascii="仿宋" w:hAnsi="仿宋" w:eastAsia="仿宋" w:cs="仿宋"/>
                <w:szCs w:val="24"/>
              </w:rPr>
              <w:t>供应商资格要求：</w:t>
            </w:r>
          </w:p>
          <w:p>
            <w:pPr>
              <w:pStyle w:val="23"/>
              <w:snapToGrid w:val="0"/>
              <w:spacing w:line="360" w:lineRule="auto"/>
              <w:rPr>
                <w:rFonts w:ascii="仿宋" w:hAnsi="仿宋" w:eastAsia="仿宋" w:cs="仿宋"/>
                <w:szCs w:val="24"/>
              </w:rPr>
            </w:pPr>
            <w:r>
              <w:rPr>
                <w:rFonts w:hint="eastAsia" w:ascii="仿宋" w:hAnsi="仿宋" w:eastAsia="仿宋" w:cs="仿宋"/>
                <w:szCs w:val="24"/>
              </w:rPr>
              <w:t>1、符合《中华人民共和国政府采购法》第二十二条款规定；</w:t>
            </w:r>
          </w:p>
          <w:p>
            <w:pPr>
              <w:pStyle w:val="23"/>
              <w:snapToGrid w:val="0"/>
              <w:spacing w:line="360" w:lineRule="auto"/>
              <w:rPr>
                <w:rFonts w:ascii="仿宋" w:hAnsi="仿宋" w:eastAsia="仿宋" w:cs="仿宋"/>
                <w:szCs w:val="24"/>
              </w:rPr>
            </w:pPr>
            <w:r>
              <w:rPr>
                <w:rFonts w:hint="eastAsia" w:ascii="仿宋" w:hAnsi="仿宋" w:eastAsia="仿宋" w:cs="仿宋"/>
                <w:szCs w:val="24"/>
              </w:rPr>
              <w:t>2、具有有效的营业执照；</w:t>
            </w:r>
          </w:p>
          <w:p>
            <w:pPr>
              <w:pStyle w:val="23"/>
              <w:snapToGrid w:val="0"/>
              <w:spacing w:line="360" w:lineRule="auto"/>
              <w:rPr>
                <w:rFonts w:ascii="仿宋" w:hAnsi="仿宋" w:eastAsia="仿宋" w:cs="仿宋"/>
                <w:szCs w:val="24"/>
              </w:rPr>
            </w:pPr>
            <w:r>
              <w:rPr>
                <w:rFonts w:hint="eastAsia" w:ascii="仿宋" w:hAnsi="仿宋" w:eastAsia="仿宋" w:cs="仿宋"/>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3"/>
              <w:snapToGrid w:val="0"/>
              <w:spacing w:line="360" w:lineRule="auto"/>
              <w:rPr>
                <w:rFonts w:ascii="仿宋" w:hAnsi="仿宋" w:eastAsia="仿宋" w:cs="仿宋"/>
                <w:szCs w:val="24"/>
              </w:rPr>
            </w:pPr>
            <w:r>
              <w:rPr>
                <w:rFonts w:hint="eastAsia" w:ascii="仿宋" w:hAnsi="仿宋" w:eastAsia="仿宋" w:cs="仿宋"/>
                <w:szCs w:val="24"/>
                <w:lang w:val="en-US" w:eastAsia="zh-CN"/>
              </w:rPr>
              <w:t>4</w:t>
            </w:r>
            <w:r>
              <w:rPr>
                <w:rFonts w:hint="eastAsia" w:ascii="仿宋" w:hAnsi="仿宋" w:eastAsia="仿宋" w:cs="仿宋"/>
                <w:szCs w:val="24"/>
              </w:rPr>
              <w:t>、法定代表人投标需携带法定代表人证明书（原件）及法定代表人身份证（原件），委托代理人投标需携带法定代表人授权委托书（原件）及委托代理人身份证（原件）；</w:t>
            </w:r>
          </w:p>
          <w:p>
            <w:pPr>
              <w:pStyle w:val="23"/>
              <w:snapToGrid w:val="0"/>
              <w:spacing w:line="360" w:lineRule="auto"/>
              <w:rPr>
                <w:rFonts w:ascii="仿宋" w:hAnsi="仿宋" w:eastAsia="仿宋" w:cs="仿宋"/>
                <w:szCs w:val="24"/>
              </w:rPr>
            </w:pPr>
            <w:r>
              <w:rPr>
                <w:rFonts w:hint="eastAsia" w:ascii="仿宋" w:hAnsi="仿宋" w:eastAsia="仿宋" w:cs="仿宋"/>
                <w:szCs w:val="24"/>
                <w:lang w:val="en-US" w:eastAsia="zh-CN"/>
              </w:rPr>
              <w:t>5</w:t>
            </w:r>
            <w:r>
              <w:rPr>
                <w:rFonts w:hint="eastAsia" w:ascii="仿宋" w:hAnsi="仿宋" w:eastAsia="仿宋" w:cs="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3"/>
              <w:snapToGrid w:val="0"/>
              <w:spacing w:line="360" w:lineRule="auto"/>
              <w:rPr>
                <w:rFonts w:ascii="仿宋" w:hAnsi="仿宋" w:eastAsia="仿宋" w:cs="仿宋"/>
                <w:szCs w:val="24"/>
              </w:rPr>
            </w:pPr>
            <w:r>
              <w:rPr>
                <w:rFonts w:hint="eastAsia" w:ascii="仿宋" w:hAnsi="仿宋" w:eastAsia="仿宋" w:cs="仿宋"/>
                <w:szCs w:val="24"/>
                <w:lang w:val="en-US" w:eastAsia="zh-CN"/>
              </w:rPr>
              <w:t>6</w:t>
            </w:r>
            <w:r>
              <w:rPr>
                <w:rFonts w:hint="eastAsia" w:ascii="仿宋" w:hAnsi="仿宋" w:eastAsia="仿宋" w:cs="仿宋"/>
                <w:szCs w:val="24"/>
              </w:rPr>
              <w:t>、本项目不接受联合体投标。</w:t>
            </w:r>
          </w:p>
          <w:p>
            <w:pPr>
              <w:pStyle w:val="23"/>
              <w:snapToGrid w:val="0"/>
              <w:spacing w:line="360" w:lineRule="auto"/>
              <w:rPr>
                <w:rFonts w:ascii="仿宋" w:hAnsi="仿宋" w:eastAsia="仿宋" w:cs="仿宋"/>
                <w:szCs w:val="24"/>
              </w:rPr>
            </w:pPr>
            <w:r>
              <w:rPr>
                <w:rFonts w:hint="eastAsia" w:ascii="仿宋" w:hAnsi="仿宋" w:eastAsia="仿宋" w:cs="仿宋"/>
                <w:szCs w:val="24"/>
                <w:lang w:val="en-US" w:eastAsia="zh-CN"/>
              </w:rPr>
              <w:t>7</w:t>
            </w:r>
            <w:r>
              <w:rPr>
                <w:rFonts w:hint="eastAsia" w:ascii="仿宋" w:hAnsi="仿宋" w:eastAsia="仿宋" w:cs="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3"/>
              <w:snapToGrid w:val="0"/>
              <w:spacing w:line="360" w:lineRule="auto"/>
              <w:rPr>
                <w:rFonts w:ascii="仿宋" w:hAnsi="仿宋" w:eastAsia="仿宋" w:cs="仿宋"/>
                <w:b/>
                <w:bCs/>
                <w:szCs w:val="24"/>
              </w:rPr>
            </w:pPr>
            <w:r>
              <w:rPr>
                <w:rFonts w:hint="eastAsia" w:ascii="仿宋" w:hAnsi="仿宋" w:eastAsia="仿宋" w:cs="仿宋"/>
                <w:b/>
                <w:bCs/>
                <w:szCs w:val="24"/>
              </w:rPr>
              <w:t>资格证明文件（以下证件开标时须单独携带）：</w:t>
            </w:r>
          </w:p>
          <w:p>
            <w:pPr>
              <w:pStyle w:val="23"/>
              <w:snapToGrid w:val="0"/>
              <w:spacing w:line="360" w:lineRule="auto"/>
              <w:ind w:firstLine="560"/>
              <w:rPr>
                <w:rFonts w:ascii="仿宋" w:hAnsi="仿宋" w:eastAsia="仿宋"/>
                <w:b/>
                <w:bCs/>
                <w:szCs w:val="24"/>
              </w:rPr>
            </w:pPr>
            <w:r>
              <w:rPr>
                <w:rFonts w:hint="eastAsia" w:ascii="仿宋" w:hAnsi="仿宋" w:eastAsia="仿宋"/>
                <w:b/>
                <w:bCs/>
                <w:szCs w:val="24"/>
              </w:rPr>
              <w:t>（1）企业营业执照（复印件加盖公章，原件或者针对复印件开具的公证书原件谈判时携带备查）。</w:t>
            </w:r>
          </w:p>
          <w:p>
            <w:pPr>
              <w:pStyle w:val="23"/>
              <w:snapToGrid w:val="0"/>
              <w:spacing w:line="360" w:lineRule="auto"/>
              <w:ind w:firstLine="560"/>
              <w:rPr>
                <w:rFonts w:ascii="仿宋" w:hAnsi="仿宋" w:eastAsia="仿宋"/>
                <w:b/>
                <w:bCs/>
                <w:szCs w:val="24"/>
              </w:rPr>
            </w:pPr>
            <w:r>
              <w:rPr>
                <w:rFonts w:hint="eastAsia" w:ascii="仿宋" w:hAnsi="仿宋" w:eastAsia="仿宋"/>
                <w:b/>
                <w:bCs/>
                <w:szCs w:val="24"/>
              </w:rPr>
              <w:t>（2）谈判代表的法人授权委托书（原件装订在正本，复印件装订在副本中）及被授权人身份证复印件（身份证原件谈判时携带备查）。授权委托书应由法定代表签名并加盖企业公章，私章无效。</w:t>
            </w:r>
          </w:p>
          <w:p>
            <w:pPr>
              <w:pStyle w:val="23"/>
              <w:snapToGrid w:val="0"/>
              <w:spacing w:line="360" w:lineRule="auto"/>
              <w:ind w:firstLine="560"/>
              <w:rPr>
                <w:rFonts w:ascii="仿宋" w:hAnsi="仿宋" w:eastAsia="仿宋"/>
                <w:b/>
                <w:bCs/>
                <w:szCs w:val="24"/>
              </w:rPr>
            </w:pPr>
            <w:r>
              <w:rPr>
                <w:rFonts w:hint="eastAsia" w:ascii="仿宋" w:hAnsi="仿宋" w:eastAsia="仿宋"/>
                <w:b/>
                <w:bCs/>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3"/>
              <w:snapToGrid w:val="0"/>
              <w:spacing w:line="360" w:lineRule="auto"/>
              <w:ind w:firstLine="560"/>
              <w:rPr>
                <w:rFonts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4</w:t>
            </w:r>
            <w:r>
              <w:rPr>
                <w:rFonts w:hint="eastAsia" w:ascii="仿宋" w:hAnsi="仿宋" w:eastAsia="仿宋"/>
                <w:b/>
                <w:bCs/>
                <w:szCs w:val="24"/>
              </w:rPr>
              <w:t>）谈判保证金缴纳凭证。</w:t>
            </w:r>
          </w:p>
          <w:p>
            <w:pPr>
              <w:pStyle w:val="23"/>
              <w:snapToGrid w:val="0"/>
              <w:spacing w:line="360" w:lineRule="auto"/>
              <w:ind w:firstLine="560"/>
              <w:rPr>
                <w:rFonts w:ascii="仿宋" w:hAnsi="仿宋" w:eastAsia="仿宋" w:cs="仿宋"/>
                <w:szCs w:val="24"/>
              </w:rPr>
            </w:pPr>
            <w:r>
              <w:rPr>
                <w:rFonts w:hint="eastAsia" w:ascii="仿宋" w:hAnsi="仿宋" w:eastAsia="仿宋"/>
                <w:b/>
                <w:bCs/>
                <w:szCs w:val="24"/>
              </w:rPr>
              <w:t>（</w:t>
            </w:r>
            <w:r>
              <w:rPr>
                <w:rFonts w:hint="eastAsia" w:ascii="仿宋" w:hAnsi="仿宋" w:eastAsia="仿宋"/>
                <w:b/>
                <w:bCs/>
                <w:szCs w:val="24"/>
                <w:lang w:val="en-US" w:eastAsia="zh-CN"/>
              </w:rPr>
              <w:t>5</w:t>
            </w:r>
            <w:r>
              <w:rPr>
                <w:rFonts w:hint="eastAsia" w:ascii="仿宋" w:hAnsi="仿宋" w:eastAsia="仿宋"/>
                <w:b/>
                <w:bCs/>
                <w:szCs w:val="24"/>
              </w:rPr>
              <w:t>）参加政府采购活动近三年内在经营活动中没有重大违法记录的书面声明。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80" w:type="dxa"/>
            <w:vAlign w:val="center"/>
          </w:tcPr>
          <w:p>
            <w:pPr>
              <w:pStyle w:val="24"/>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8764" w:type="dxa"/>
            <w:vAlign w:val="center"/>
          </w:tcPr>
          <w:p>
            <w:pPr>
              <w:pStyle w:val="24"/>
              <w:spacing w:line="360" w:lineRule="auto"/>
              <w:ind w:firstLine="0" w:firstLineChars="0"/>
              <w:jc w:val="left"/>
              <w:rPr>
                <w:rFonts w:ascii="仿宋" w:hAnsi="仿宋" w:eastAsia="仿宋" w:cs="仿宋"/>
                <w:color w:val="000000"/>
                <w:sz w:val="24"/>
                <w:szCs w:val="24"/>
              </w:rPr>
            </w:pPr>
            <w:r>
              <w:rPr>
                <w:rFonts w:hint="eastAsia" w:ascii="仿宋" w:hAnsi="仿宋" w:eastAsia="仿宋"/>
                <w:color w:val="000000"/>
                <w:sz w:val="24"/>
                <w:szCs w:val="24"/>
              </w:rPr>
              <w:t>单一来源响应文件有效期</w:t>
            </w:r>
            <w:r>
              <w:rPr>
                <w:rFonts w:hint="eastAsia" w:ascii="仿宋" w:hAnsi="仿宋" w:eastAsia="仿宋" w:cs="仿宋"/>
                <w:color w:val="000000"/>
                <w:sz w:val="24"/>
                <w:szCs w:val="24"/>
              </w:rPr>
              <w:t>：</w:t>
            </w:r>
            <w:r>
              <w:rPr>
                <w:rFonts w:hint="eastAsia" w:ascii="仿宋" w:hAnsi="仿宋" w:eastAsia="仿宋"/>
                <w:color w:val="000000"/>
                <w:sz w:val="24"/>
                <w:szCs w:val="24"/>
              </w:rPr>
              <w:t>供应商同意单一来源响应文件在单一来源采购文件规定的投标截止日期届满后立即对供应商产生法律约束力，谈判有效期截至谈判日后90日历天。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80" w:type="dxa"/>
            <w:vAlign w:val="center"/>
          </w:tcPr>
          <w:p>
            <w:pPr>
              <w:pStyle w:val="24"/>
              <w:spacing w:line="360" w:lineRule="auto"/>
              <w:ind w:firstLine="0" w:firstLineChars="0"/>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olor w:val="000000"/>
                <w:sz w:val="24"/>
                <w:szCs w:val="24"/>
              </w:rPr>
              <w:t>谈判报价：供应商应在谈判一览表中标明其提供的相关工作范围内所有费用的总价。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谈判截止时间：2023年03月15日16时00分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olor w:val="000000"/>
                <w:sz w:val="24"/>
                <w:szCs w:val="24"/>
              </w:rPr>
              <w:t>单一来源响应</w:t>
            </w:r>
            <w:r>
              <w:rPr>
                <w:rFonts w:hint="eastAsia" w:ascii="仿宋" w:hAnsi="仿宋" w:eastAsia="仿宋" w:cs="仿宋"/>
                <w:color w:val="000000"/>
                <w:sz w:val="24"/>
                <w:szCs w:val="24"/>
              </w:rPr>
              <w:t>文件的数目：正本</w:t>
            </w:r>
            <w:r>
              <w:rPr>
                <w:rFonts w:hint="eastAsia" w:ascii="仿宋" w:hAnsi="仿宋" w:eastAsia="仿宋" w:cs="仿宋"/>
                <w:color w:val="000000"/>
                <w:sz w:val="24"/>
                <w:szCs w:val="24"/>
                <w:u w:val="single"/>
              </w:rPr>
              <w:t>壹</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（需提供以U盘为介质的电子版单一来源响应文件一份）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olor w:val="000000"/>
                <w:sz w:val="24"/>
                <w:szCs w:val="24"/>
              </w:rPr>
              <w:t>单一来源响应</w:t>
            </w:r>
            <w:r>
              <w:rPr>
                <w:rFonts w:hint="eastAsia" w:ascii="仿宋" w:hAnsi="仿宋" w:eastAsia="仿宋" w:cs="仿宋"/>
                <w:color w:val="000000"/>
                <w:sz w:val="24"/>
                <w:szCs w:val="24"/>
              </w:rPr>
              <w:t>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谈判时间：</w:t>
            </w:r>
            <w:r>
              <w:rPr>
                <w:rFonts w:hint="eastAsia" w:ascii="仿宋" w:hAnsi="仿宋" w:eastAsia="仿宋" w:cs="仿宋"/>
                <w:color w:val="000000"/>
                <w:sz w:val="24"/>
                <w:szCs w:val="24"/>
                <w:highlight w:val="yellow"/>
                <w:u w:val="single"/>
              </w:rPr>
              <w:t>2023年03月15日16时00分</w:t>
            </w:r>
            <w:r>
              <w:rPr>
                <w:rFonts w:hint="eastAsia" w:ascii="仿宋" w:hAnsi="仿宋" w:eastAsia="仿宋" w:cs="仿宋"/>
                <w:color w:val="000000"/>
                <w:sz w:val="24"/>
                <w:szCs w:val="24"/>
              </w:rPr>
              <w:t>，逾期送达的单一来源响应文件将被拒收。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80" w:type="dxa"/>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8764" w:type="dxa"/>
            <w:vAlign w:val="center"/>
          </w:tcPr>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谈判地点：新疆乌鲁木齐市水磨沟区绿地中心写字楼智海2008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14</w:t>
            </w:r>
          </w:p>
        </w:tc>
        <w:tc>
          <w:tcPr>
            <w:tcW w:w="8764" w:type="dxa"/>
            <w:vAlign w:val="center"/>
          </w:tcPr>
          <w:p>
            <w:pPr>
              <w:spacing w:line="360" w:lineRule="auto"/>
              <w:jc w:val="left"/>
              <w:rPr>
                <w:rFonts w:ascii="仿宋" w:hAnsi="仿宋" w:eastAsia="仿宋" w:cs="仿宋"/>
                <w:b w:val="0"/>
                <w:bCs w:val="0"/>
                <w:color w:val="auto"/>
                <w:sz w:val="24"/>
                <w:szCs w:val="24"/>
              </w:rPr>
            </w:pPr>
            <w:r>
              <w:rPr>
                <w:rFonts w:hint="eastAsia" w:ascii="仿宋" w:hAnsi="仿宋" w:eastAsia="仿宋" w:cs="仿宋"/>
                <w:b/>
                <w:bCs/>
                <w:color w:val="auto"/>
                <w:sz w:val="24"/>
                <w:szCs w:val="24"/>
              </w:rPr>
              <w:t>服务期限：</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80" w:type="dxa"/>
            <w:vAlign w:val="center"/>
          </w:tcPr>
          <w:p>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8764" w:type="dxa"/>
            <w:vAlign w:val="center"/>
          </w:tcPr>
          <w:p>
            <w:pPr>
              <w:spacing w:line="360" w:lineRule="auto"/>
              <w:jc w:val="left"/>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配送时间：急救</w:t>
            </w:r>
            <w:bookmarkStart w:id="105" w:name="_GoBack"/>
            <w:bookmarkEnd w:id="105"/>
            <w:r>
              <w:rPr>
                <w:rFonts w:hint="eastAsia" w:ascii="仿宋" w:hAnsi="仿宋" w:eastAsia="仿宋" w:cs="仿宋"/>
                <w:b/>
                <w:bCs/>
                <w:color w:val="auto"/>
                <w:sz w:val="24"/>
                <w:szCs w:val="24"/>
                <w:lang w:val="en-US" w:eastAsia="zh-CN"/>
              </w:rPr>
              <w:t>或紧急情况下使用的配送不应超过1小时，一般品种的配送不应超过24小时。节假日保证按时配送。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80"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8764"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b/>
                <w:bCs/>
                <w:color w:val="auto"/>
                <w:sz w:val="24"/>
                <w:szCs w:val="24"/>
                <w:lang w:val="en-US" w:eastAsia="zh-CN"/>
              </w:rPr>
              <w:t>质量保证</w:t>
            </w:r>
            <w:r>
              <w:rPr>
                <w:rFonts w:hint="eastAsia" w:ascii="仿宋" w:hAnsi="仿宋" w:eastAsia="仿宋" w:cs="仿宋"/>
                <w:b/>
                <w:bCs/>
                <w:color w:val="auto"/>
                <w:sz w:val="24"/>
                <w:szCs w:val="24"/>
              </w:rPr>
              <w:t>：</w:t>
            </w:r>
            <w:r>
              <w:rPr>
                <w:rFonts w:hint="eastAsia" w:ascii="仿宋" w:hAnsi="仿宋" w:eastAsia="仿宋" w:cs="仿宋"/>
                <w:b/>
                <w:bCs w:val="0"/>
                <w:color w:val="auto"/>
                <w:sz w:val="24"/>
                <w:szCs w:val="24"/>
              </w:rPr>
              <w:t>保质期（有效期）不足半年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80" w:type="dxa"/>
            <w:vAlign w:val="center"/>
          </w:tcPr>
          <w:p>
            <w:pPr>
              <w:spacing w:line="360" w:lineRule="auto"/>
              <w:ind w:firstLine="120" w:firstLineChars="50"/>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8764" w:type="dxa"/>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付款方式：</w:t>
            </w:r>
            <w:r>
              <w:rPr>
                <w:rFonts w:hint="eastAsia" w:ascii="仿宋" w:hAnsi="仿宋" w:eastAsia="仿宋" w:cs="仿宋"/>
                <w:color w:val="000000"/>
                <w:sz w:val="24"/>
                <w:szCs w:val="24"/>
              </w:rPr>
              <w:t>1.甲方收到乙方交付的中标试剂验收合格，产品无质量问题及其他纠纷的情况下，根据甲方财务状况而定，原则上在该批次货品用完之后每季度或每半年按一定比例以汇票、转账支票或电汇等方式向乙方支付货款。</w:t>
            </w:r>
          </w:p>
          <w:p>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2.付款币种本次招标所述的项目资金均以人民币支付。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80" w:type="dxa"/>
            <w:vAlign w:val="center"/>
          </w:tcPr>
          <w:p>
            <w:pPr>
              <w:spacing w:line="360" w:lineRule="auto"/>
              <w:ind w:firstLine="120" w:firstLineChars="5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7</w:t>
            </w:r>
          </w:p>
        </w:tc>
        <w:tc>
          <w:tcPr>
            <w:tcW w:w="8764" w:type="dxa"/>
            <w:vAlign w:val="center"/>
          </w:tcPr>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单一来源响应文件</w:t>
            </w:r>
            <w:r>
              <w:rPr>
                <w:rFonts w:hint="eastAsia" w:ascii="仿宋" w:hAnsi="仿宋" w:eastAsia="仿宋" w:cs="仿宋"/>
                <w:sz w:val="24"/>
                <w:szCs w:val="24"/>
              </w:rPr>
              <w:t>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80" w:type="dxa"/>
            <w:vAlign w:val="center"/>
          </w:tcPr>
          <w:p>
            <w:pPr>
              <w:spacing w:line="360" w:lineRule="auto"/>
              <w:ind w:firstLine="120" w:firstLineChars="5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8</w:t>
            </w:r>
          </w:p>
        </w:tc>
        <w:tc>
          <w:tcPr>
            <w:tcW w:w="8764" w:type="dxa"/>
            <w:vAlign w:val="center"/>
          </w:tcPr>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中小微企业政策文件：</w:t>
            </w:r>
          </w:p>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snapToGrid w:val="0"/>
              <w:spacing w:line="360" w:lineRule="auto"/>
              <w:jc w:val="left"/>
            </w:pPr>
            <w:r>
              <w:rPr>
                <w:rFonts w:hint="eastAsia" w:ascii="仿宋" w:hAnsi="仿宋" w:eastAsia="仿宋" w:cs="仿宋"/>
                <w:sz w:val="24"/>
                <w:szCs w:val="24"/>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80" w:type="dxa"/>
            <w:vAlign w:val="center"/>
          </w:tcPr>
          <w:p>
            <w:pPr>
              <w:spacing w:line="360" w:lineRule="auto"/>
              <w:ind w:firstLine="120" w:firstLineChars="5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876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供应商须仔细阅读本单一来源采购文件的所有条款。如果在商务、技术等方面有偏离，供应商须在</w:t>
            </w:r>
            <w:r>
              <w:rPr>
                <w:rFonts w:hint="eastAsia" w:ascii="仿宋" w:hAnsi="仿宋" w:eastAsia="仿宋" w:cs="仿宋"/>
                <w:color w:val="000000"/>
                <w:sz w:val="24"/>
                <w:szCs w:val="24"/>
              </w:rPr>
              <w:t>单一来源响应文件</w:t>
            </w:r>
            <w:r>
              <w:rPr>
                <w:rFonts w:hint="eastAsia" w:ascii="仿宋" w:hAnsi="仿宋" w:eastAsia="仿宋" w:cs="仿宋"/>
                <w:sz w:val="24"/>
                <w:szCs w:val="24"/>
              </w:rPr>
              <w:t>“商务偏离表”、“技术规格偏离表”中一一列出。另外，供应商应对字体置黑的条款、注有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880" w:type="dxa"/>
            <w:vAlign w:val="center"/>
          </w:tcPr>
          <w:p>
            <w:pPr>
              <w:spacing w:line="360" w:lineRule="auto"/>
              <w:ind w:firstLine="120" w:firstLineChars="5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0</w:t>
            </w:r>
          </w:p>
        </w:tc>
        <w:tc>
          <w:tcPr>
            <w:tcW w:w="8764" w:type="dxa"/>
            <w:vAlign w:val="center"/>
          </w:tcPr>
          <w:p>
            <w:pPr>
              <w:spacing w:line="360" w:lineRule="auto"/>
              <w:jc w:val="left"/>
              <w:rPr>
                <w:rFonts w:ascii="仿宋" w:hAnsi="仿宋" w:eastAsia="仿宋" w:cs="仿宋"/>
                <w:sz w:val="24"/>
                <w:szCs w:val="24"/>
              </w:rPr>
            </w:pPr>
            <w:r>
              <w:rPr>
                <w:rFonts w:hint="eastAsia" w:ascii="仿宋" w:hAnsi="仿宋" w:eastAsia="仿宋" w:cs="仿宋"/>
                <w:sz w:val="24"/>
                <w:szCs w:val="24"/>
              </w:rPr>
              <w:t>在评标过程直至签订合同前的任何时间，如经证实发现供应商提供虚假投标资料或信息骗取成交的，或者未按本单一来源采购文件要求提交履约保证金的（如有要求），将取消其成交供应商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80" w:type="dxa"/>
            <w:vAlign w:val="center"/>
          </w:tcPr>
          <w:p>
            <w:pPr>
              <w:spacing w:line="360" w:lineRule="auto"/>
              <w:ind w:firstLine="120" w:firstLineChars="5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1</w:t>
            </w:r>
          </w:p>
        </w:tc>
        <w:tc>
          <w:tcPr>
            <w:tcW w:w="8764" w:type="dxa"/>
            <w:vAlign w:val="center"/>
          </w:tcPr>
          <w:p>
            <w:pPr>
              <w:spacing w:line="360" w:lineRule="auto"/>
              <w:jc w:val="left"/>
              <w:rPr>
                <w:rFonts w:ascii="仿宋" w:hAnsi="仿宋" w:eastAsia="仿宋" w:cs="仿宋"/>
                <w:sz w:val="24"/>
                <w:szCs w:val="24"/>
              </w:rPr>
            </w:pPr>
            <w:r>
              <w:rPr>
                <w:rFonts w:hint="eastAsia" w:ascii="仿宋" w:hAnsi="仿宋" w:eastAsia="仿宋" w:cs="仿宋"/>
                <w:color w:val="000000"/>
                <w:sz w:val="24"/>
                <w:szCs w:val="24"/>
              </w:rPr>
              <w:t>注：供应商认为单一来源采购文件、采购过程、中标或者成交结果使自己的权益受到损害的，可以在知道或者应知其权益受到损害之日起7个工作日内，以书面形式向采购人、采购代理机构提出质疑。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80" w:type="dxa"/>
            <w:vAlign w:val="center"/>
          </w:tcPr>
          <w:p>
            <w:pPr>
              <w:spacing w:line="360" w:lineRule="auto"/>
              <w:ind w:firstLine="120" w:firstLineChars="50"/>
              <w:jc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8764"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（1）按发改价格[2011]534号文件计算的招标代理服务收费标准下浮50%计取。由成交承包商向采购代理机构缴纳。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开户名称：中科高盛咨询集团有限公司乌鲁木齐分公司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开户银行：兴业银行股份有限公司乌鲁木齐南湖路支行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号：512030100100246905</w:t>
            </w:r>
          </w:p>
          <w:p>
            <w:pPr>
              <w:spacing w:line="360" w:lineRule="auto"/>
              <w:jc w:val="left"/>
              <w:rPr>
                <w:rFonts w:ascii="仿宋" w:hAnsi="仿宋" w:eastAsia="仿宋" w:cs="仿宋"/>
                <w:sz w:val="24"/>
                <w:szCs w:val="24"/>
              </w:rPr>
            </w:pPr>
            <w:r>
              <w:rPr>
                <w:rFonts w:hint="eastAsia" w:ascii="仿宋" w:hAnsi="仿宋" w:eastAsia="仿宋"/>
                <w:color w:val="000000"/>
                <w:sz w:val="24"/>
                <w:szCs w:val="24"/>
              </w:rPr>
              <w:t>行    号：309881002036</w:t>
            </w:r>
          </w:p>
        </w:tc>
      </w:tr>
    </w:tbl>
    <w:p>
      <w:pPr>
        <w:rPr>
          <w:rFonts w:ascii="仿宋" w:hAnsi="仿宋" w:eastAsia="仿宋" w:cs="仿宋"/>
        </w:rPr>
      </w:pPr>
    </w:p>
    <w:p>
      <w:pPr>
        <w:pStyle w:val="4"/>
        <w:rPr>
          <w:rFonts w:cs="仿宋"/>
        </w:rPr>
      </w:pPr>
      <w:r>
        <w:rPr>
          <w:rFonts w:hint="eastAsia" w:cs="仿宋"/>
        </w:rPr>
        <w:br w:type="page"/>
      </w:r>
      <w:bookmarkEnd w:id="13"/>
      <w:bookmarkStart w:id="17" w:name="_Toc82497894"/>
      <w:bookmarkStart w:id="18" w:name="_Toc31678"/>
      <w:bookmarkStart w:id="19" w:name="_Toc56170380"/>
      <w:bookmarkStart w:id="20" w:name="_Toc65158527"/>
      <w:r>
        <w:rPr>
          <w:rFonts w:hint="eastAsia" w:cs="仿宋"/>
        </w:rPr>
        <w:t>一、总 则</w:t>
      </w:r>
      <w:bookmarkEnd w:id="17"/>
      <w:bookmarkEnd w:id="18"/>
      <w:bookmarkEnd w:id="19"/>
      <w:bookmarkEnd w:id="20"/>
    </w:p>
    <w:p>
      <w:pPr>
        <w:pStyle w:val="23"/>
        <w:spacing w:line="360" w:lineRule="auto"/>
        <w:ind w:firstLine="562"/>
        <w:jc w:val="both"/>
        <w:rPr>
          <w:rFonts w:ascii="仿宋" w:hAnsi="仿宋" w:eastAsia="仿宋" w:cs="仿宋"/>
          <w:sz w:val="28"/>
        </w:rPr>
      </w:pPr>
      <w:r>
        <w:rPr>
          <w:rFonts w:hint="eastAsia" w:ascii="仿宋" w:hAnsi="仿宋" w:eastAsia="仿宋" w:cs="仿宋"/>
          <w:sz w:val="28"/>
        </w:rPr>
        <w:t>1. 合格的供应商</w:t>
      </w:r>
    </w:p>
    <w:p>
      <w:pPr>
        <w:pStyle w:val="23"/>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谈判服务的资格和能力，技术规范，并具有有效的营业执照、相关资质证书的国内供应商，符合本项目谈判公告资质要求的，承认和履行单一来源采购文件中的各项规定者，均可参加谈判。（见谈判须知前附表</w:t>
      </w:r>
      <w:r>
        <w:rPr>
          <w:rFonts w:ascii="仿宋" w:hAnsi="仿宋" w:eastAsia="仿宋"/>
          <w:sz w:val="28"/>
        </w:rPr>
        <w:t>1</w:t>
      </w:r>
      <w:r>
        <w:rPr>
          <w:rFonts w:hint="eastAsia" w:ascii="仿宋" w:hAnsi="仿宋" w:eastAsia="仿宋"/>
          <w:sz w:val="28"/>
        </w:rPr>
        <w:t>）</w:t>
      </w:r>
    </w:p>
    <w:p>
      <w:pPr>
        <w:pStyle w:val="23"/>
        <w:spacing w:line="360" w:lineRule="auto"/>
        <w:ind w:firstLine="562"/>
        <w:rPr>
          <w:rFonts w:ascii="仿宋" w:hAnsi="仿宋" w:eastAsia="仿宋"/>
          <w:sz w:val="28"/>
        </w:rPr>
      </w:pPr>
      <w:r>
        <w:rPr>
          <w:rFonts w:hint="eastAsia" w:ascii="仿宋" w:hAnsi="仿宋" w:eastAsia="仿宋"/>
          <w:sz w:val="28"/>
        </w:rPr>
        <w:t>1.2 凡参加谈判的供应商必须具有国际或国内相应的资质等级，信誉可靠，且应具有履行本单一来源采购文件规定的有关义务的能力。</w:t>
      </w:r>
    </w:p>
    <w:p>
      <w:pPr>
        <w:pStyle w:val="23"/>
        <w:spacing w:line="360" w:lineRule="auto"/>
        <w:ind w:firstLine="562"/>
        <w:jc w:val="both"/>
        <w:rPr>
          <w:rFonts w:ascii="仿宋" w:hAnsi="仿宋" w:eastAsia="仿宋" w:cs="仿宋"/>
          <w:sz w:val="28"/>
        </w:rPr>
      </w:pPr>
      <w:r>
        <w:rPr>
          <w:rFonts w:hint="eastAsia" w:ascii="仿宋" w:hAnsi="仿宋" w:eastAsia="仿宋" w:cs="仿宋"/>
          <w:sz w:val="28"/>
        </w:rPr>
        <w:t>1.3 供应商在本次谈判活动中，必须遵循《中华人民共和国政府采购法》及其实施条例（658号令）、《政府采购货物和服务招标投标管理办法》（财政部87号令）、《财政部关于加强政府采购货物和服务项目价格评审管理的通知》财库（2007）2号文、《政府采购非招标采购方式管理办法》（74号令）的规定。</w:t>
      </w:r>
    </w:p>
    <w:p>
      <w:pPr>
        <w:pStyle w:val="23"/>
        <w:spacing w:line="360" w:lineRule="auto"/>
        <w:ind w:firstLine="562"/>
        <w:jc w:val="both"/>
        <w:rPr>
          <w:rFonts w:ascii="仿宋" w:hAnsi="仿宋" w:eastAsia="仿宋" w:cs="仿宋"/>
          <w:sz w:val="28"/>
        </w:rPr>
      </w:pPr>
      <w:r>
        <w:rPr>
          <w:rFonts w:hint="eastAsia" w:ascii="仿宋" w:hAnsi="仿宋" w:eastAsia="仿宋" w:cs="仿宋"/>
          <w:sz w:val="28"/>
        </w:rPr>
        <w:t>1.4 本项目不接受联合体投标。</w:t>
      </w:r>
    </w:p>
    <w:p>
      <w:pPr>
        <w:pStyle w:val="23"/>
        <w:spacing w:line="360" w:lineRule="auto"/>
        <w:ind w:firstLine="562"/>
        <w:jc w:val="both"/>
        <w:rPr>
          <w:rFonts w:ascii="仿宋" w:hAnsi="仿宋" w:eastAsia="仿宋" w:cs="仿宋"/>
          <w:sz w:val="28"/>
        </w:rPr>
      </w:pPr>
      <w:r>
        <w:rPr>
          <w:rFonts w:hint="eastAsia" w:ascii="仿宋" w:hAnsi="仿宋" w:eastAsia="仿宋" w:cs="仿宋"/>
          <w:sz w:val="28"/>
        </w:rPr>
        <w:t>1.5 不符合1.1、1.2、1.3、1.4条款规定的供应商，其投标将被拒绝。</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 定义</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2.1“采购代理机构”系指中科高盛咨询集团有限公司</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2.2“供应商”系指向采购代理机构提交单一来源响应文件的货物制造商、经销商。</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23"/>
        <w:spacing w:line="360" w:lineRule="auto"/>
        <w:ind w:firstLine="561"/>
        <w:jc w:val="both"/>
        <w:rPr>
          <w:rFonts w:ascii="仿宋" w:hAnsi="仿宋" w:eastAsia="仿宋" w:cs="仿宋"/>
          <w:sz w:val="28"/>
        </w:rPr>
      </w:pPr>
      <w:r>
        <w:rPr>
          <w:rFonts w:hint="eastAsia" w:ascii="仿宋" w:hAnsi="仿宋" w:eastAsia="仿宋" w:cs="仿宋"/>
          <w:sz w:val="28"/>
        </w:rPr>
        <w:t>2.6“买方”系指购买货物和服务的单位，即为本次谈判的采购人。</w:t>
      </w:r>
    </w:p>
    <w:p>
      <w:pPr>
        <w:pStyle w:val="23"/>
        <w:spacing w:line="360" w:lineRule="auto"/>
        <w:ind w:firstLine="561"/>
        <w:jc w:val="both"/>
        <w:rPr>
          <w:rFonts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23"/>
        <w:spacing w:line="360" w:lineRule="auto"/>
        <w:ind w:firstLine="561"/>
        <w:rPr>
          <w:rFonts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3"/>
        <w:spacing w:line="360" w:lineRule="auto"/>
        <w:ind w:firstLine="561"/>
        <w:rPr>
          <w:rFonts w:ascii="仿宋" w:hAnsi="仿宋" w:eastAsia="仿宋" w:cs="仿宋"/>
          <w:sz w:val="28"/>
        </w:rPr>
      </w:pPr>
      <w:r>
        <w:rPr>
          <w:rFonts w:hint="eastAsia" w:ascii="仿宋" w:hAnsi="仿宋" w:eastAsia="仿宋" w:cs="仿宋"/>
          <w:sz w:val="28"/>
        </w:rPr>
        <w:t>3. 其他要求</w:t>
      </w:r>
    </w:p>
    <w:p>
      <w:pPr>
        <w:pStyle w:val="23"/>
        <w:spacing w:line="360" w:lineRule="auto"/>
        <w:ind w:firstLine="561"/>
        <w:rPr>
          <w:rFonts w:ascii="仿宋" w:hAnsi="仿宋" w:eastAsia="仿宋" w:cs="仿宋"/>
          <w:sz w:val="28"/>
        </w:rPr>
      </w:pPr>
      <w:r>
        <w:rPr>
          <w:rFonts w:hint="eastAsia" w:ascii="仿宋" w:hAnsi="仿宋" w:eastAsia="仿宋" w:cs="仿宋"/>
          <w:sz w:val="28"/>
        </w:rPr>
        <w:t>3.1 供应商应自行承担所有与本次谈判有关的费用，而不论谈判的结果如何。</w:t>
      </w:r>
    </w:p>
    <w:p>
      <w:pPr>
        <w:pStyle w:val="23"/>
        <w:spacing w:line="360" w:lineRule="auto"/>
        <w:ind w:firstLine="561"/>
        <w:rPr>
          <w:rFonts w:ascii="仿宋" w:hAnsi="仿宋" w:eastAsia="仿宋" w:cs="仿宋"/>
          <w:sz w:val="28"/>
        </w:rPr>
      </w:pPr>
      <w:r>
        <w:rPr>
          <w:rFonts w:hint="eastAsia" w:ascii="仿宋" w:hAnsi="仿宋" w:eastAsia="仿宋" w:cs="仿宋"/>
          <w:sz w:val="28"/>
        </w:rPr>
        <w:t>3.2 政府采购政策支持</w:t>
      </w:r>
    </w:p>
    <w:p>
      <w:pPr>
        <w:pStyle w:val="23"/>
        <w:spacing w:line="360" w:lineRule="auto"/>
        <w:ind w:firstLine="561"/>
        <w:rPr>
          <w:rFonts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23"/>
        <w:spacing w:line="360" w:lineRule="auto"/>
        <w:ind w:firstLine="561"/>
        <w:rPr>
          <w:rFonts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23"/>
        <w:spacing w:line="360" w:lineRule="auto"/>
        <w:ind w:firstLine="561"/>
        <w:rPr>
          <w:rFonts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4"/>
        <w:spacing w:line="360" w:lineRule="auto"/>
        <w:rPr>
          <w:rFonts w:cs="仿宋"/>
        </w:rPr>
      </w:pPr>
      <w:bookmarkStart w:id="21" w:name="_Toc65158528"/>
      <w:bookmarkStart w:id="22" w:name="_Toc82497895"/>
      <w:bookmarkStart w:id="23" w:name="_Toc56170381"/>
      <w:bookmarkStart w:id="24" w:name="_Toc13516"/>
      <w:r>
        <w:rPr>
          <w:rFonts w:hint="eastAsia" w:cs="仿宋"/>
        </w:rPr>
        <w:t>二、</w:t>
      </w:r>
      <w:bookmarkEnd w:id="21"/>
      <w:bookmarkEnd w:id="22"/>
      <w:bookmarkEnd w:id="23"/>
      <w:r>
        <w:rPr>
          <w:rFonts w:hint="eastAsia" w:cs="仿宋"/>
        </w:rPr>
        <w:t>单一来源采购文件</w:t>
      </w:r>
      <w:bookmarkEnd w:id="24"/>
    </w:p>
    <w:p>
      <w:pPr>
        <w:pStyle w:val="23"/>
        <w:spacing w:line="360" w:lineRule="auto"/>
        <w:ind w:firstLine="560"/>
        <w:jc w:val="both"/>
        <w:rPr>
          <w:rFonts w:ascii="仿宋" w:hAnsi="仿宋" w:eastAsia="仿宋" w:cs="仿宋"/>
          <w:sz w:val="28"/>
        </w:rPr>
      </w:pPr>
      <w:r>
        <w:rPr>
          <w:rFonts w:hint="eastAsia" w:ascii="仿宋" w:hAnsi="仿宋" w:eastAsia="仿宋" w:cs="仿宋"/>
          <w:sz w:val="28"/>
        </w:rPr>
        <w:t>4. 单一来源采购文件</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4.1 单一来源采购文件用以阐明所需货物和服务、招标投标程序和合同条款。包括：</w:t>
      </w:r>
    </w:p>
    <w:p>
      <w:pPr>
        <w:pStyle w:val="23"/>
        <w:spacing w:line="360" w:lineRule="auto"/>
        <w:ind w:firstLine="560"/>
        <w:jc w:val="both"/>
        <w:rPr>
          <w:rFonts w:ascii="仿宋" w:hAnsi="仿宋" w:eastAsia="仿宋" w:cs="仿宋"/>
          <w:sz w:val="28"/>
          <w:szCs w:val="28"/>
        </w:rPr>
      </w:pPr>
      <w:r>
        <w:rPr>
          <w:rFonts w:hint="eastAsia" w:ascii="仿宋" w:hAnsi="仿宋" w:eastAsia="仿宋" w:cs="仿宋"/>
          <w:sz w:val="28"/>
          <w:szCs w:val="28"/>
        </w:rPr>
        <w:t>4.1.1 单一来源邀请公告</w:t>
      </w:r>
    </w:p>
    <w:p>
      <w:pPr>
        <w:pStyle w:val="23"/>
        <w:spacing w:line="360" w:lineRule="auto"/>
        <w:ind w:firstLine="560"/>
        <w:jc w:val="both"/>
        <w:rPr>
          <w:rFonts w:ascii="仿宋" w:hAnsi="仿宋" w:eastAsia="仿宋" w:cs="仿宋"/>
          <w:sz w:val="28"/>
          <w:szCs w:val="28"/>
        </w:rPr>
      </w:pPr>
      <w:r>
        <w:rPr>
          <w:rFonts w:hint="eastAsia" w:ascii="仿宋" w:hAnsi="仿宋" w:eastAsia="仿宋" w:cs="仿宋"/>
          <w:sz w:val="28"/>
          <w:szCs w:val="28"/>
        </w:rPr>
        <w:t>4.1.2 谈判须知</w:t>
      </w:r>
    </w:p>
    <w:p>
      <w:pPr>
        <w:pStyle w:val="23"/>
        <w:spacing w:line="360" w:lineRule="auto"/>
        <w:ind w:firstLine="560"/>
        <w:jc w:val="both"/>
        <w:rPr>
          <w:rFonts w:ascii="仿宋" w:hAnsi="仿宋" w:eastAsia="仿宋" w:cs="仿宋"/>
          <w:sz w:val="28"/>
          <w:szCs w:val="28"/>
        </w:rPr>
      </w:pPr>
      <w:r>
        <w:rPr>
          <w:rFonts w:hint="eastAsia" w:ascii="仿宋" w:hAnsi="仿宋" w:eastAsia="仿宋" w:cs="仿宋"/>
          <w:sz w:val="28"/>
          <w:szCs w:val="28"/>
        </w:rPr>
        <w:t>4.1.3 谈判内容及技术要求</w:t>
      </w:r>
    </w:p>
    <w:p>
      <w:pPr>
        <w:pStyle w:val="23"/>
        <w:spacing w:line="360" w:lineRule="auto"/>
        <w:ind w:firstLine="560"/>
        <w:jc w:val="both"/>
        <w:rPr>
          <w:rFonts w:ascii="仿宋" w:hAnsi="仿宋" w:eastAsia="仿宋" w:cs="仿宋"/>
          <w:sz w:val="28"/>
          <w:szCs w:val="28"/>
        </w:rPr>
      </w:pPr>
      <w:r>
        <w:rPr>
          <w:rFonts w:hint="eastAsia" w:ascii="仿宋" w:hAnsi="仿宋" w:eastAsia="仿宋" w:cs="仿宋"/>
          <w:sz w:val="28"/>
          <w:szCs w:val="28"/>
        </w:rPr>
        <w:t>4.1.4 合同</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4.1.5 单一来源响应文件格式</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4.2 供应商应认真阅读单一来源采购文件中所有的事项、格式、条款和规范等要求。如果没有按照单一来源采购文件要求提交全部资料或者单一来源响应文件没有对单一来源采购文件做出实质性响应，其投标将被拒绝。</w:t>
      </w:r>
    </w:p>
    <w:p>
      <w:pPr>
        <w:pStyle w:val="23"/>
        <w:spacing w:line="360" w:lineRule="auto"/>
        <w:ind w:firstLine="560"/>
        <w:jc w:val="both"/>
        <w:rPr>
          <w:rFonts w:ascii="仿宋" w:hAnsi="仿宋" w:eastAsia="仿宋" w:cs="仿宋"/>
          <w:color w:val="auto"/>
          <w:sz w:val="28"/>
        </w:rPr>
      </w:pPr>
      <w:r>
        <w:rPr>
          <w:rFonts w:hint="eastAsia" w:ascii="仿宋" w:hAnsi="仿宋" w:eastAsia="仿宋" w:cs="仿宋"/>
          <w:color w:val="auto"/>
          <w:sz w:val="28"/>
        </w:rPr>
        <w:t>5. 单一来源采购文件的澄清和修改</w:t>
      </w:r>
    </w:p>
    <w:p>
      <w:pPr>
        <w:pStyle w:val="23"/>
        <w:spacing w:line="360" w:lineRule="auto"/>
        <w:ind w:firstLine="560"/>
        <w:jc w:val="both"/>
        <w:rPr>
          <w:rFonts w:ascii="仿宋" w:hAnsi="仿宋" w:eastAsia="仿宋" w:cs="仿宋"/>
          <w:sz w:val="28"/>
        </w:rPr>
      </w:pPr>
      <w:r>
        <w:rPr>
          <w:rFonts w:hint="eastAsia" w:ascii="仿宋" w:hAnsi="仿宋" w:eastAsia="仿宋" w:cs="仿宋"/>
          <w:color w:val="auto"/>
          <w:sz w:val="28"/>
        </w:rPr>
        <w:t>5.1 采购人如需对已发出的单一来源采购文件进行必要澄清或者修改的，澄清或者修改的的内容可能影响到单一来源响应文件编制的，采购代理机构应当在单一来源响应文件递交截止时间五日前，以书面形式通知所有获取单一来源采购文件的潜在供应商。该澄清或者修改的内容为</w:t>
      </w:r>
      <w:r>
        <w:rPr>
          <w:rFonts w:hint="eastAsia" w:ascii="仿宋" w:hAnsi="仿宋" w:eastAsia="仿宋" w:cs="仿宋"/>
          <w:sz w:val="28"/>
        </w:rPr>
        <w:t>单一来源采购文件的组成部分。</w:t>
      </w:r>
    </w:p>
    <w:p>
      <w:pPr>
        <w:pStyle w:val="4"/>
        <w:spacing w:line="360" w:lineRule="auto"/>
        <w:rPr>
          <w:rFonts w:cs="仿宋"/>
        </w:rPr>
      </w:pPr>
      <w:bookmarkStart w:id="25" w:name="_Toc82497896"/>
      <w:bookmarkStart w:id="26" w:name="_Toc11558"/>
      <w:bookmarkStart w:id="27" w:name="_Toc56170382"/>
      <w:bookmarkStart w:id="28" w:name="_Toc65158529"/>
      <w:r>
        <w:rPr>
          <w:rFonts w:hint="eastAsia" w:cs="仿宋"/>
        </w:rPr>
        <w:t>三、单一来源响应文件的编制</w:t>
      </w:r>
      <w:bookmarkEnd w:id="25"/>
      <w:bookmarkEnd w:id="26"/>
      <w:bookmarkEnd w:id="27"/>
      <w:bookmarkEnd w:id="28"/>
    </w:p>
    <w:p>
      <w:pPr>
        <w:pStyle w:val="23"/>
        <w:spacing w:line="360" w:lineRule="auto"/>
        <w:ind w:firstLine="560"/>
        <w:jc w:val="both"/>
        <w:rPr>
          <w:rFonts w:ascii="仿宋" w:hAnsi="仿宋" w:eastAsia="仿宋" w:cs="仿宋"/>
          <w:sz w:val="28"/>
        </w:rPr>
      </w:pPr>
      <w:r>
        <w:rPr>
          <w:rFonts w:hint="eastAsia" w:ascii="仿宋" w:hAnsi="仿宋" w:eastAsia="仿宋" w:cs="仿宋"/>
          <w:sz w:val="28"/>
        </w:rPr>
        <w:t>6. 单一来源响应文件的编写</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6.1 供应商应仔细阅读单一来源采购文件，了解单一来源采购文件的要求，并在充分理解单一来源采购文件提出的货物技术规范、服务和商务条款后的基础上制作单一来源响应文件。</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7. 单一来源响应文件的语言及计量单位</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7.1 供应商的单一来源响应文件以及供应商与采购代理机构就有关谈判活动的所有来往函电均应使用中文。如果单一来源响应文件或与投标有关的其它文件、信件及来往函电以其它语言书写的，供应商应将其译成中文。</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7.2 单一来源响应文件中所使用的计量单位除单一来源采购文件中有特殊规定外，一律使用法定计量单位。</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8. 单一来源响应文件构成</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8.1 供应商编写的单一来源响应文件应按下列顺序及内容提供：</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8.1.1 资格证明文件（以下文件必须在有效期内）</w:t>
      </w:r>
    </w:p>
    <w:p>
      <w:pPr>
        <w:pStyle w:val="23"/>
        <w:spacing w:line="360" w:lineRule="auto"/>
        <w:ind w:firstLine="562"/>
        <w:jc w:val="both"/>
        <w:rPr>
          <w:rFonts w:ascii="仿宋" w:hAnsi="仿宋" w:eastAsia="仿宋" w:cs="仿宋"/>
          <w:bCs/>
          <w:sz w:val="28"/>
        </w:rPr>
      </w:pPr>
      <w:r>
        <w:rPr>
          <w:rFonts w:hint="eastAsia" w:ascii="仿宋" w:hAnsi="仿宋" w:eastAsia="仿宋" w:cs="仿宋"/>
          <w:sz w:val="28"/>
        </w:rPr>
        <w:t>（1） 见谈判须知前附表序号6——资格证明文件</w:t>
      </w:r>
    </w:p>
    <w:p>
      <w:pPr>
        <w:pStyle w:val="23"/>
        <w:spacing w:line="360" w:lineRule="auto"/>
        <w:ind w:firstLine="562"/>
        <w:jc w:val="both"/>
        <w:rPr>
          <w:rFonts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23"/>
        <w:spacing w:line="360" w:lineRule="auto"/>
        <w:ind w:firstLine="562"/>
        <w:jc w:val="both"/>
        <w:rPr>
          <w:rFonts w:ascii="仿宋" w:hAnsi="仿宋" w:eastAsia="仿宋" w:cs="仿宋"/>
          <w:sz w:val="28"/>
        </w:rPr>
      </w:pPr>
      <w:r>
        <w:rPr>
          <w:rFonts w:hint="eastAsia" w:ascii="仿宋" w:hAnsi="仿宋" w:eastAsia="仿宋" w:cs="仿宋"/>
          <w:sz w:val="28"/>
        </w:rPr>
        <w:t>8.1.2 商务部分</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 单一来源响应文件</w:t>
      </w:r>
    </w:p>
    <w:p>
      <w:pPr>
        <w:pStyle w:val="23"/>
        <w:spacing w:line="360" w:lineRule="auto"/>
        <w:ind w:firstLine="562"/>
        <w:jc w:val="both"/>
        <w:rPr>
          <w:rFonts w:ascii="仿宋" w:hAnsi="仿宋" w:eastAsia="仿宋" w:cs="仿宋"/>
          <w:sz w:val="28"/>
        </w:rPr>
      </w:pPr>
      <w:r>
        <w:rPr>
          <w:rFonts w:hint="eastAsia" w:ascii="仿宋" w:hAnsi="仿宋" w:eastAsia="仿宋" w:cs="仿宋"/>
          <w:sz w:val="28"/>
        </w:rPr>
        <w:t>（2） 开标一览表</w:t>
      </w:r>
    </w:p>
    <w:p>
      <w:pPr>
        <w:pStyle w:val="23"/>
        <w:spacing w:line="360" w:lineRule="auto"/>
        <w:ind w:firstLine="562" w:firstLineChars="201"/>
        <w:jc w:val="both"/>
        <w:rPr>
          <w:rFonts w:ascii="仿宋" w:hAnsi="仿宋" w:eastAsia="仿宋" w:cs="仿宋"/>
          <w:sz w:val="28"/>
        </w:rPr>
      </w:pPr>
      <w:r>
        <w:rPr>
          <w:rFonts w:hint="eastAsia" w:ascii="仿宋" w:hAnsi="仿宋" w:eastAsia="仿宋" w:cs="仿宋"/>
          <w:sz w:val="28"/>
        </w:rPr>
        <w:t>（3） 分项报价表</w:t>
      </w:r>
    </w:p>
    <w:p>
      <w:pPr>
        <w:pStyle w:val="23"/>
        <w:spacing w:line="360" w:lineRule="auto"/>
        <w:ind w:firstLine="562" w:firstLineChars="201"/>
        <w:jc w:val="both"/>
        <w:rPr>
          <w:rFonts w:ascii="仿宋" w:hAnsi="仿宋" w:eastAsia="仿宋" w:cs="仿宋"/>
          <w:sz w:val="28"/>
        </w:rPr>
      </w:pPr>
      <w:r>
        <w:rPr>
          <w:rFonts w:hint="eastAsia" w:ascii="仿宋" w:hAnsi="仿宋" w:eastAsia="仿宋" w:cs="仿宋"/>
          <w:sz w:val="28"/>
        </w:rPr>
        <w:t>（4） 商务条款偏离表</w:t>
      </w:r>
    </w:p>
    <w:p>
      <w:pPr>
        <w:pStyle w:val="23"/>
        <w:spacing w:line="360" w:lineRule="auto"/>
        <w:ind w:firstLine="548" w:firstLineChars="196"/>
        <w:jc w:val="both"/>
        <w:rPr>
          <w:rFonts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23"/>
        <w:spacing w:line="360" w:lineRule="auto"/>
        <w:ind w:firstLine="548" w:firstLineChars="196"/>
        <w:jc w:val="both"/>
        <w:rPr>
          <w:rFonts w:ascii="仿宋" w:hAnsi="仿宋" w:eastAsia="仿宋" w:cs="仿宋"/>
          <w:sz w:val="28"/>
        </w:rPr>
      </w:pPr>
      <w:r>
        <w:rPr>
          <w:rFonts w:hint="eastAsia" w:ascii="仿宋" w:hAnsi="仿宋" w:eastAsia="仿宋" w:cs="仿宋"/>
          <w:sz w:val="28"/>
        </w:rPr>
        <w:t>（6） 售后服务承诺书及培训计划</w:t>
      </w:r>
    </w:p>
    <w:p>
      <w:pPr>
        <w:pStyle w:val="24"/>
        <w:spacing w:line="360" w:lineRule="auto"/>
        <w:ind w:firstLine="560"/>
        <w:rPr>
          <w:rFonts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（8） 供应商认为有必要提供的声明及文件资料</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8.1.3 技术部分</w:t>
      </w:r>
    </w:p>
    <w:p>
      <w:pPr>
        <w:pStyle w:val="23"/>
        <w:spacing w:line="360" w:lineRule="auto"/>
        <w:ind w:firstLine="420" w:firstLineChars="150"/>
        <w:jc w:val="both"/>
        <w:rPr>
          <w:rFonts w:ascii="仿宋" w:hAnsi="仿宋" w:eastAsia="仿宋" w:cs="仿宋"/>
          <w:sz w:val="28"/>
        </w:rPr>
      </w:pPr>
      <w:r>
        <w:rPr>
          <w:rFonts w:hint="eastAsia" w:ascii="仿宋" w:hAnsi="仿宋" w:eastAsia="仿宋" w:cs="仿宋"/>
          <w:sz w:val="28"/>
        </w:rPr>
        <w:t>（1） 产品的详细技术参数说明</w:t>
      </w:r>
    </w:p>
    <w:p>
      <w:pPr>
        <w:pStyle w:val="23"/>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3"/>
        <w:snapToGrid w:val="0"/>
        <w:spacing w:line="360" w:lineRule="auto"/>
        <w:ind w:firstLine="560" w:firstLineChars="200"/>
        <w:rPr>
          <w:rFonts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23"/>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（3） 备品备件及专用工具清单</w:t>
      </w:r>
    </w:p>
    <w:p>
      <w:pPr>
        <w:pStyle w:val="23"/>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23"/>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（5） 供应商认为有必要提供的声明及完整文件或支持资料。</w:t>
      </w:r>
    </w:p>
    <w:p>
      <w:pPr>
        <w:pStyle w:val="23"/>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8.2 第8.1.1条中第（1）项、第8.1.2条中第（1） （2） （3） （4） （6）项、第8.1.3条中第（1） （2） （3）项为必备项，供应商在单一来源响应文件中必须提供有关材料，如果缺项，或不符合要求，将导致投标无效。</w:t>
      </w:r>
    </w:p>
    <w:p>
      <w:pPr>
        <w:pStyle w:val="23"/>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8.3 供应商在投标中违反国家有关法律法规的强制性规定的，其投标按未满足单一来源采购文件实质性要求处理。</w:t>
      </w:r>
    </w:p>
    <w:p>
      <w:pPr>
        <w:pStyle w:val="23"/>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9. 单一来源响应文件格式</w:t>
      </w:r>
    </w:p>
    <w:p>
      <w:pPr>
        <w:pStyle w:val="23"/>
        <w:snapToGrid w:val="0"/>
        <w:spacing w:line="360" w:lineRule="auto"/>
        <w:ind w:firstLine="560" w:firstLineChars="200"/>
        <w:jc w:val="both"/>
        <w:rPr>
          <w:rFonts w:ascii="仿宋" w:hAnsi="仿宋" w:eastAsia="仿宋" w:cs="仿宋"/>
          <w:sz w:val="28"/>
        </w:rPr>
      </w:pPr>
      <w:r>
        <w:rPr>
          <w:rFonts w:hint="eastAsia" w:ascii="仿宋" w:hAnsi="仿宋" w:eastAsia="仿宋" w:cs="仿宋"/>
          <w:sz w:val="28"/>
        </w:rPr>
        <w:t>9.1 供应商应按单一来源采购文件提供的格式完整地填写所提供的货物、服务、数量及价格。</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10. 投标报价</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10.1 供应商应按单一来源采购文件所附的《开标一览表》和《投标产品名称、数量、规格及报价明细表》中的项目，标明拟提供货物和服务的单价和总价。如单价和总价不符，以单价累计为准。</w:t>
      </w:r>
    </w:p>
    <w:p>
      <w:pPr>
        <w:pStyle w:val="23"/>
        <w:spacing w:line="360" w:lineRule="auto"/>
        <w:ind w:firstLine="567"/>
        <w:jc w:val="both"/>
        <w:rPr>
          <w:rFonts w:ascii="仿宋" w:hAnsi="仿宋" w:eastAsia="仿宋" w:cs="仿宋"/>
          <w:sz w:val="28"/>
        </w:rPr>
      </w:pPr>
      <w:r>
        <w:rPr>
          <w:rFonts w:hint="eastAsia" w:ascii="仿宋" w:hAnsi="仿宋" w:eastAsia="仿宋" w:cs="仿宋"/>
          <w:sz w:val="28"/>
        </w:rPr>
        <w:t>10.2 本标只接受一个报价，不接受备选方案，但不拒绝优惠声明，优惠声明需在《开标一览表》备注中填写。</w:t>
      </w:r>
    </w:p>
    <w:p>
      <w:pPr>
        <w:pStyle w:val="23"/>
        <w:spacing w:line="360" w:lineRule="auto"/>
        <w:ind w:firstLine="562"/>
        <w:rPr>
          <w:rFonts w:ascii="仿宋" w:hAnsi="仿宋" w:eastAsia="仿宋" w:cs="仿宋"/>
          <w:sz w:val="28"/>
        </w:rPr>
      </w:pPr>
      <w:r>
        <w:rPr>
          <w:rFonts w:hint="eastAsia" w:ascii="仿宋" w:hAnsi="仿宋" w:eastAsia="仿宋" w:cs="仿宋"/>
          <w:sz w:val="28"/>
        </w:rPr>
        <w:t>10.3 供应商应按单一来源采购文件的要求对有关设计、货物及其配套服务的全部内容进行报价。投标报价应包括：</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10.3.2 单一来源采购文件中特别要求的零、备件费用。</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11. 投标货币</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11.1 本次投标货币为人民币。</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12. 证明供应商合格和资格的文件</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12.1 按照第8条规定，供应商应提交证明其有资格参加投标和一旦其投标被接受则有能力履行合同的文件，并作为其单一来源响应文件的一部分。</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12.2 供应商应填写并提交单一来源采购文件所要求的资格证明类文件。</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13. 证明货物的合格性和符合单一来源采购文件规定的文件</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13.1 按照第8条规定，供应商应提交单一来源采购文件要求的货物及其服务的合格性及符合单一来源采购文件规定的证明文件。证明文件可以是手册、图纸和资料，并作为单一来源响应文件的一部分。</w:t>
      </w:r>
    </w:p>
    <w:p>
      <w:pPr>
        <w:pStyle w:val="23"/>
        <w:spacing w:line="360" w:lineRule="auto"/>
        <w:ind w:firstLine="560"/>
        <w:rPr>
          <w:rFonts w:ascii="仿宋" w:hAnsi="仿宋" w:eastAsia="仿宋" w:cs="仿宋"/>
          <w:sz w:val="28"/>
        </w:rPr>
      </w:pPr>
      <w:r>
        <w:rPr>
          <w:rFonts w:hint="eastAsia" w:ascii="仿宋" w:hAnsi="仿宋" w:eastAsia="仿宋" w:cs="仿宋"/>
          <w:sz w:val="28"/>
        </w:rPr>
        <w:t>13.2 供应商应逐条阅读单一来源采购文件要求的技术规格及商务条款要求，指出自己提供的货物和服务是否对单一来源采购文件做出响应，并将不能响应之处在单一来源响应文件所附的“技术偏离表”和“商务（合同条款）偏离表”中一一列出。</w:t>
      </w:r>
    </w:p>
    <w:p>
      <w:pPr>
        <w:pStyle w:val="23"/>
        <w:spacing w:line="360" w:lineRule="auto"/>
        <w:ind w:firstLine="560"/>
        <w:rPr>
          <w:rFonts w:ascii="仿宋" w:hAnsi="仿宋" w:eastAsia="仿宋" w:cs="仿宋"/>
          <w:sz w:val="28"/>
        </w:rPr>
      </w:pPr>
      <w:r>
        <w:rPr>
          <w:rFonts w:hint="eastAsia" w:ascii="仿宋" w:hAnsi="仿宋" w:eastAsia="仿宋" w:cs="仿宋"/>
          <w:sz w:val="28"/>
        </w:rPr>
        <w:t>13.3 证明货物的合格性和符合单一来源采购文件规定的文件应包括下列内容：</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13.3.1 投标货物的试（检）验报告、鉴定证书（复印件）；</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13.3.2 执行的制造、验收标准；</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13.3.3 荣获产品质量、生产管理等方面的荣誉证书（复印件）；</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13.3.4 有关的产品样册、手册、图纸和资料；</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13.3.5 供应商认为有必要提供的其它证明文件；</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14. 单一来源响应文件的有效期</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14.1 单一来源响应文件从实际开标之日起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14.2 在特殊情况下，在原投标有效期届满之前，采购代理机构可与投标单位协商延长单一来源响应文件的有效期，并经投标方确认。</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15. 单一来源响应文件的书写要求、签署及份数。</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15.1 单一来源响应文件正本须用不褪色的墨水笔书写或打印。</w:t>
      </w:r>
    </w:p>
    <w:p>
      <w:pPr>
        <w:spacing w:line="360" w:lineRule="auto"/>
        <w:ind w:firstLine="560"/>
        <w:rPr>
          <w:rFonts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单一来源响应文件</w:t>
      </w:r>
      <w:r>
        <w:rPr>
          <w:rFonts w:hint="eastAsia" w:ascii="仿宋" w:hAnsi="仿宋" w:eastAsia="仿宋" w:cs="仿宋"/>
          <w:color w:val="000000"/>
          <w:sz w:val="28"/>
        </w:rPr>
        <w:t>的书写应清楚工整，修改处应由供应商授权代表签字或盖章。</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15.3 未实质性响应单一来源采购文件、或者关键字迹潦草、关键内容表达不清、或者未按要求填写或可能导致非唯一理解的单一来源响应文件将不能通过符合性检查，按重大偏离处理。</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15.4 单一来源响应文件应由企业法人或法人授权代表在所有规定签章处逐一签署及加盖单位的公章。</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15.5 单一来源响应文件的份数：详见《谈判须知前附表》。供应商应在单一来源响应文件封面左上角注明“正本”、“副本”字样，一旦正本和副本不符，以正本为准，参考资料不限量</w:t>
      </w:r>
      <w:r>
        <w:rPr>
          <w:rFonts w:hint="eastAsia" w:ascii="仿宋" w:hAnsi="仿宋" w:eastAsia="仿宋" w:cs="仿宋"/>
          <w:sz w:val="28"/>
          <w:szCs w:val="28"/>
        </w:rPr>
        <w:t>。</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15.6 供应商可根据投标内容的具体需要自行编制其它文件一式5份纳入单一来源响应文件中。</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15.7 单一来源响应文件的装订必须采用胶粘本，不允许任何活页形式装订（非胶粘方式装订的单一来源响应文件一律视同活页装订），活页方式装订视为投标无效。</w:t>
      </w:r>
    </w:p>
    <w:p>
      <w:pPr>
        <w:pStyle w:val="23"/>
        <w:spacing w:line="360" w:lineRule="auto"/>
        <w:ind w:firstLine="560"/>
        <w:rPr>
          <w:rFonts w:ascii="仿宋" w:hAnsi="仿宋" w:eastAsia="仿宋" w:cs="仿宋"/>
          <w:sz w:val="28"/>
        </w:rPr>
      </w:pPr>
      <w:r>
        <w:rPr>
          <w:rFonts w:hint="eastAsia" w:ascii="仿宋" w:hAnsi="仿宋" w:eastAsia="仿宋" w:cs="仿宋"/>
          <w:sz w:val="28"/>
        </w:rPr>
        <w:t>16. 谈判保证金</w:t>
      </w:r>
    </w:p>
    <w:p>
      <w:pPr>
        <w:pStyle w:val="23"/>
        <w:spacing w:line="360" w:lineRule="auto"/>
        <w:ind w:firstLine="560"/>
        <w:rPr>
          <w:rFonts w:ascii="仿宋" w:hAnsi="仿宋" w:eastAsia="仿宋" w:cs="仿宋"/>
          <w:sz w:val="28"/>
        </w:rPr>
      </w:pPr>
      <w:r>
        <w:rPr>
          <w:rFonts w:hint="eastAsia" w:ascii="仿宋" w:hAnsi="仿宋" w:eastAsia="仿宋" w:cs="仿宋"/>
          <w:sz w:val="28"/>
        </w:rPr>
        <w:t>16.1 谈判保证金金额见投标人须知前附表。</w:t>
      </w:r>
    </w:p>
    <w:p>
      <w:pPr>
        <w:pStyle w:val="23"/>
        <w:spacing w:line="360" w:lineRule="auto"/>
        <w:ind w:firstLine="560"/>
        <w:rPr>
          <w:rFonts w:ascii="仿宋" w:hAnsi="仿宋" w:eastAsia="仿宋" w:cs="仿宋"/>
          <w:sz w:val="28"/>
        </w:rPr>
      </w:pPr>
      <w:r>
        <w:rPr>
          <w:rFonts w:hint="eastAsia" w:ascii="仿宋" w:hAnsi="仿宋" w:eastAsia="仿宋" w:cs="仿宋"/>
          <w:sz w:val="28"/>
        </w:rPr>
        <w:t>16.2 谈判保证金用于保护本次招标免受供应商的违规、违约行为而引起的风险。</w:t>
      </w:r>
    </w:p>
    <w:p>
      <w:pPr>
        <w:pStyle w:val="23"/>
        <w:spacing w:line="360" w:lineRule="auto"/>
        <w:ind w:firstLine="560"/>
        <w:rPr>
          <w:rFonts w:ascii="仿宋" w:hAnsi="仿宋" w:eastAsia="仿宋" w:cs="仿宋"/>
          <w:sz w:val="28"/>
        </w:rPr>
      </w:pPr>
      <w:r>
        <w:rPr>
          <w:rFonts w:hint="eastAsia" w:ascii="仿宋" w:hAnsi="仿宋" w:eastAsia="仿宋" w:cs="仿宋"/>
          <w:sz w:val="28"/>
        </w:rPr>
        <w:t>16.3 谈判保证金应用人民币，由供应商按《谈判须知前附表》中明确的银行、账号，按16.1条要求的数额办理，并在单一来源响应文件中放保证金汇款凭证。</w:t>
      </w:r>
    </w:p>
    <w:p>
      <w:pPr>
        <w:pStyle w:val="23"/>
        <w:spacing w:line="360" w:lineRule="auto"/>
        <w:ind w:firstLine="560"/>
        <w:rPr>
          <w:rFonts w:ascii="仿宋" w:hAnsi="仿宋" w:eastAsia="仿宋" w:cs="仿宋"/>
          <w:sz w:val="28"/>
        </w:rPr>
      </w:pPr>
      <w:r>
        <w:rPr>
          <w:rFonts w:hint="eastAsia" w:ascii="仿宋" w:hAnsi="仿宋" w:eastAsia="仿宋" w:cs="仿宋"/>
          <w:sz w:val="28"/>
        </w:rPr>
        <w:t>16.4 谈判保证金的退还</w:t>
      </w:r>
    </w:p>
    <w:p>
      <w:pPr>
        <w:pStyle w:val="23"/>
        <w:spacing w:line="360" w:lineRule="auto"/>
        <w:ind w:firstLine="560"/>
        <w:rPr>
          <w:rFonts w:ascii="仿宋" w:hAnsi="仿宋" w:eastAsia="仿宋" w:cs="仿宋"/>
          <w:sz w:val="28"/>
        </w:rPr>
      </w:pPr>
      <w:r>
        <w:rPr>
          <w:rFonts w:hint="eastAsia" w:ascii="仿宋" w:hAnsi="仿宋" w:eastAsia="仿宋" w:cs="仿宋"/>
          <w:sz w:val="28"/>
        </w:rPr>
        <w:t>在该项目中标公示期满后，五个工作日内退还原账户。</w:t>
      </w:r>
    </w:p>
    <w:p>
      <w:pPr>
        <w:pStyle w:val="23"/>
        <w:spacing w:line="360" w:lineRule="auto"/>
        <w:ind w:firstLine="560"/>
        <w:rPr>
          <w:rFonts w:ascii="仿宋" w:hAnsi="仿宋" w:eastAsia="仿宋" w:cs="仿宋"/>
          <w:sz w:val="28"/>
        </w:rPr>
      </w:pPr>
      <w:r>
        <w:rPr>
          <w:rFonts w:hint="eastAsia" w:ascii="仿宋" w:hAnsi="仿宋" w:eastAsia="仿宋" w:cs="仿宋"/>
          <w:sz w:val="28"/>
        </w:rPr>
        <w:t>16.5 发生以下情况谈判保证金可能被没收：</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16.5.1 如果供应商在投标有效期内撤销单一来源响应文件；</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16.5.2 如果供应商串通投标的；</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16.5.3 如果中标供应商未能做到：</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a. 按29条规定签定合同；</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b. 第32条有关缴纳成交服务费的规定；</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c. 按单一来源采购文件要求提交合同履约保证金的。</w:t>
      </w:r>
    </w:p>
    <w:p>
      <w:pPr>
        <w:pStyle w:val="4"/>
        <w:spacing w:line="360" w:lineRule="auto"/>
        <w:rPr>
          <w:rFonts w:cs="仿宋"/>
        </w:rPr>
      </w:pPr>
      <w:bookmarkStart w:id="29" w:name="_Toc82497897"/>
      <w:bookmarkStart w:id="30" w:name="_Toc56170383"/>
      <w:bookmarkStart w:id="31" w:name="_Toc65158530"/>
      <w:bookmarkStart w:id="32" w:name="_Toc29047"/>
      <w:r>
        <w:rPr>
          <w:rFonts w:hint="eastAsia" w:cs="仿宋"/>
        </w:rPr>
        <w:t>四、单一来源响应文件的递交</w:t>
      </w:r>
      <w:bookmarkEnd w:id="29"/>
      <w:bookmarkEnd w:id="30"/>
      <w:bookmarkEnd w:id="31"/>
      <w:bookmarkEnd w:id="32"/>
    </w:p>
    <w:p>
      <w:pPr>
        <w:pStyle w:val="23"/>
        <w:spacing w:line="360" w:lineRule="auto"/>
        <w:ind w:firstLine="560"/>
        <w:jc w:val="both"/>
        <w:rPr>
          <w:rFonts w:ascii="仿宋" w:hAnsi="仿宋" w:eastAsia="仿宋" w:cs="仿宋"/>
          <w:sz w:val="28"/>
        </w:rPr>
      </w:pPr>
      <w:r>
        <w:rPr>
          <w:rFonts w:hint="eastAsia" w:ascii="仿宋" w:hAnsi="仿宋" w:eastAsia="仿宋" w:cs="仿宋"/>
          <w:sz w:val="28"/>
        </w:rPr>
        <w:t>17. 单一来源响应文件的密封与标记</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17.1 供应商应将单一来源响应文件正本和副本分别装入信袋内加以密封，分别在信袋上标“正本”或“副本”，并在密封处加盖公章（或合同专用章）。</w:t>
      </w:r>
    </w:p>
    <w:p>
      <w:pPr>
        <w:pStyle w:val="23"/>
        <w:spacing w:line="360" w:lineRule="auto"/>
        <w:ind w:firstLine="562"/>
        <w:jc w:val="both"/>
        <w:rPr>
          <w:rFonts w:ascii="仿宋" w:hAnsi="仿宋" w:eastAsia="仿宋" w:cs="仿宋"/>
          <w:sz w:val="28"/>
        </w:rPr>
      </w:pPr>
      <w:r>
        <w:rPr>
          <w:rFonts w:hint="eastAsia" w:ascii="仿宋" w:hAnsi="仿宋" w:eastAsia="仿宋" w:cs="仿宋"/>
          <w:sz w:val="28"/>
        </w:rPr>
        <w:t>17.2 供应商应将填好的开标一览表单独</w:t>
      </w:r>
      <w:r>
        <w:rPr>
          <w:rFonts w:hint="eastAsia" w:ascii="仿宋" w:hAnsi="仿宋" w:eastAsia="仿宋" w:cs="仿宋"/>
          <w:bCs/>
          <w:sz w:val="28"/>
        </w:rPr>
        <w:t>密封一份在信袋内，在密封处加盖公章（或合同专用章），在信袋上注明“开标一览表”字样，作为</w:t>
      </w:r>
      <w:r>
        <w:rPr>
          <w:rFonts w:hint="eastAsia" w:ascii="仿宋" w:hAnsi="仿宋" w:eastAsia="仿宋" w:cs="仿宋"/>
          <w:sz w:val="28"/>
        </w:rPr>
        <w:t>单一来源响应文件</w:t>
      </w:r>
      <w:r>
        <w:rPr>
          <w:rFonts w:hint="eastAsia" w:ascii="仿宋" w:hAnsi="仿宋" w:eastAsia="仿宋" w:cs="仿宋"/>
          <w:bCs/>
          <w:sz w:val="28"/>
        </w:rPr>
        <w:t>的一部分</w:t>
      </w:r>
      <w:r>
        <w:rPr>
          <w:rFonts w:hint="eastAsia" w:ascii="仿宋" w:hAnsi="仿宋" w:eastAsia="仿宋" w:cs="仿宋"/>
          <w:sz w:val="28"/>
        </w:rPr>
        <w:t>。</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17.3 所有单一来源响应文件信袋封口处均应加贴封条，封条上应写明：</w:t>
      </w:r>
    </w:p>
    <w:p>
      <w:pPr>
        <w:pStyle w:val="23"/>
        <w:snapToGrid w:val="0"/>
        <w:spacing w:line="360" w:lineRule="auto"/>
        <w:ind w:firstLine="560" w:firstLineChars="200"/>
        <w:rPr>
          <w:rFonts w:ascii="仿宋" w:hAnsi="仿宋" w:eastAsia="仿宋" w:cs="仿宋"/>
          <w:sz w:val="28"/>
        </w:rPr>
      </w:pPr>
      <w:r>
        <w:rPr>
          <w:rFonts w:hint="eastAsia" w:ascii="仿宋" w:hAnsi="仿宋" w:eastAsia="仿宋" w:cs="仿宋"/>
          <w:sz w:val="28"/>
        </w:rPr>
        <w:t>⑴采购代理机构单位：中科高盛咨询集团有限公司</w:t>
      </w:r>
    </w:p>
    <w:p>
      <w:pPr>
        <w:pStyle w:val="23"/>
        <w:snapToGrid w:val="0"/>
        <w:spacing w:line="360" w:lineRule="auto"/>
        <w:ind w:firstLine="560" w:firstLineChars="200"/>
        <w:rPr>
          <w:rFonts w:ascii="仿宋" w:hAnsi="仿宋" w:eastAsia="仿宋" w:cs="仿宋"/>
          <w:sz w:val="28"/>
        </w:rPr>
      </w:pPr>
      <w:r>
        <w:rPr>
          <w:rFonts w:hint="eastAsia" w:ascii="仿宋" w:hAnsi="仿宋" w:eastAsia="仿宋" w:cs="仿宋"/>
          <w:sz w:val="28"/>
        </w:rPr>
        <w:t xml:space="preserve">⑵项目名称： </w:t>
      </w:r>
    </w:p>
    <w:p>
      <w:pPr>
        <w:pStyle w:val="23"/>
        <w:snapToGrid w:val="0"/>
        <w:spacing w:line="360" w:lineRule="auto"/>
        <w:ind w:firstLine="560" w:firstLineChars="200"/>
        <w:rPr>
          <w:rFonts w:ascii="仿宋" w:hAnsi="仿宋" w:eastAsia="仿宋" w:cs="仿宋"/>
          <w:sz w:val="28"/>
        </w:rPr>
      </w:pPr>
      <w:r>
        <w:rPr>
          <w:rFonts w:hint="eastAsia" w:ascii="仿宋" w:hAnsi="仿宋" w:eastAsia="仿宋" w:cs="仿宋"/>
          <w:sz w:val="28"/>
        </w:rPr>
        <w:t>⑶招标编号：</w:t>
      </w:r>
    </w:p>
    <w:p>
      <w:pPr>
        <w:pStyle w:val="23"/>
        <w:snapToGrid w:val="0"/>
        <w:spacing w:line="360" w:lineRule="auto"/>
        <w:ind w:firstLine="560" w:firstLineChars="200"/>
        <w:rPr>
          <w:rFonts w:ascii="仿宋" w:hAnsi="仿宋" w:eastAsia="仿宋" w:cs="仿宋"/>
          <w:sz w:val="28"/>
        </w:rPr>
      </w:pPr>
      <w:r>
        <w:rPr>
          <w:rFonts w:hint="eastAsia" w:ascii="仿宋" w:hAnsi="仿宋" w:eastAsia="仿宋" w:cs="仿宋"/>
          <w:sz w:val="28"/>
        </w:rPr>
        <w:t>⑷投标企业名称和地址：</w:t>
      </w:r>
    </w:p>
    <w:p>
      <w:pPr>
        <w:pStyle w:val="23"/>
        <w:snapToGrid w:val="0"/>
        <w:spacing w:line="360" w:lineRule="auto"/>
        <w:ind w:firstLine="560" w:firstLineChars="200"/>
        <w:rPr>
          <w:rFonts w:ascii="仿宋" w:hAnsi="仿宋" w:eastAsia="仿宋" w:cs="仿宋"/>
          <w:sz w:val="28"/>
        </w:rPr>
      </w:pPr>
      <w:r>
        <w:rPr>
          <w:rFonts w:hint="eastAsia" w:ascii="仿宋" w:hAnsi="仿宋" w:eastAsia="仿宋" w:cs="仿宋"/>
          <w:sz w:val="28"/>
        </w:rPr>
        <w:t>⑸注明“谈判截止时间前不准启封”，“正本”，“副本”。</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17.4 未按本须知要求密封、标记和投递的单一来源响应文件，采购代理机构不对其后果负责。</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18. 单一来源响应文件递交的截止日期</w:t>
      </w:r>
    </w:p>
    <w:p>
      <w:pPr>
        <w:pStyle w:val="23"/>
        <w:spacing w:line="360" w:lineRule="auto"/>
        <w:ind w:firstLine="560" w:firstLineChars="200"/>
        <w:jc w:val="both"/>
        <w:rPr>
          <w:rFonts w:ascii="仿宋" w:hAnsi="仿宋" w:eastAsia="仿宋" w:cs="仿宋"/>
          <w:sz w:val="28"/>
          <w:u w:val="single"/>
        </w:rPr>
      </w:pPr>
      <w:r>
        <w:rPr>
          <w:rFonts w:hint="eastAsia" w:ascii="仿宋" w:hAnsi="仿宋" w:eastAsia="仿宋" w:cs="仿宋"/>
          <w:sz w:val="28"/>
        </w:rPr>
        <w:t>18.1 供应商必须在《谈判须知前附表》中规定的时间之前将单一来源响应文件送达到规定的地点。</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18.2 超过单一来源采购文件规定的投标截止时间送达的单一来源响应文件将不予接受。</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19. 单一来源响应文件的修改、撤回和撤销</w:t>
      </w:r>
    </w:p>
    <w:p>
      <w:pPr>
        <w:pStyle w:val="25"/>
        <w:spacing w:before="156" w:line="360" w:lineRule="auto"/>
        <w:ind w:firstLine="560"/>
        <w:rPr>
          <w:rFonts w:ascii="仿宋" w:hAnsi="仿宋" w:eastAsia="仿宋" w:cs="仿宋"/>
          <w:sz w:val="28"/>
        </w:rPr>
      </w:pPr>
      <w:r>
        <w:rPr>
          <w:rFonts w:hint="eastAsia" w:ascii="仿宋" w:hAnsi="仿宋" w:eastAsia="仿宋" w:cs="仿宋"/>
          <w:sz w:val="28"/>
        </w:rPr>
        <w:t>19.1 供应商在递交单一来源响应文件后，可在规定的投标截止时间之前，对其单一来源响应文件以书面通知的形式进行修改或撤销。该通知必须有授权委托人的签字，并得到采购人的确认。</w:t>
      </w:r>
    </w:p>
    <w:p>
      <w:pPr>
        <w:pStyle w:val="25"/>
        <w:spacing w:before="156" w:line="360" w:lineRule="auto"/>
        <w:ind w:firstLine="560"/>
        <w:rPr>
          <w:rFonts w:ascii="仿宋" w:hAnsi="仿宋" w:eastAsia="仿宋" w:cs="仿宋"/>
          <w:sz w:val="28"/>
        </w:rPr>
      </w:pPr>
      <w:r>
        <w:rPr>
          <w:rFonts w:hint="eastAsia" w:ascii="仿宋" w:hAnsi="仿宋" w:eastAsia="仿宋" w:cs="仿宋"/>
          <w:sz w:val="28"/>
        </w:rPr>
        <w:t>19.2 供应商对单一来源响应文件修改的书面材料或撤销通知应按单一来源采购文件要求进行密封、标注和递交，并注明“修改”或“撤销”字样，修改或撤销的内容须按单一来源采购文件的要求签署、盖章，并作为单一来源响应文件和其组成部分。</w:t>
      </w:r>
    </w:p>
    <w:p>
      <w:pPr>
        <w:pStyle w:val="25"/>
        <w:spacing w:before="156" w:line="360" w:lineRule="auto"/>
        <w:ind w:firstLine="560"/>
        <w:rPr>
          <w:rFonts w:ascii="仿宋" w:hAnsi="仿宋" w:eastAsia="仿宋" w:cs="仿宋"/>
          <w:sz w:val="28"/>
        </w:rPr>
      </w:pPr>
      <w:r>
        <w:rPr>
          <w:rFonts w:hint="eastAsia" w:ascii="仿宋" w:hAnsi="仿宋" w:eastAsia="仿宋" w:cs="仿宋"/>
          <w:sz w:val="28"/>
        </w:rPr>
        <w:t>19.3 对单一来源响应文件修改的书面材料应于谈判截止日前送达采购人，谈判截止时间以后不得修改单一来源响应文件。</w:t>
      </w:r>
    </w:p>
    <w:p>
      <w:pPr>
        <w:pStyle w:val="25"/>
        <w:spacing w:before="156" w:line="360" w:lineRule="auto"/>
        <w:ind w:firstLine="560"/>
        <w:jc w:val="both"/>
        <w:rPr>
          <w:rFonts w:ascii="仿宋" w:hAnsi="仿宋" w:eastAsia="仿宋" w:cs="仿宋"/>
          <w:sz w:val="28"/>
        </w:rPr>
      </w:pPr>
      <w:r>
        <w:rPr>
          <w:rFonts w:hint="eastAsia" w:ascii="仿宋" w:hAnsi="仿宋" w:eastAsia="仿宋" w:cs="仿宋"/>
          <w:sz w:val="28"/>
        </w:rPr>
        <w:t>19.4 供应商不得在开标后至谈判有效期满前撤销单一来源响应文件，否则采购人将没收其谈判保证金。</w:t>
      </w:r>
    </w:p>
    <w:p>
      <w:pPr>
        <w:pStyle w:val="25"/>
        <w:spacing w:line="360" w:lineRule="auto"/>
        <w:ind w:firstLine="560"/>
        <w:jc w:val="both"/>
        <w:rPr>
          <w:rFonts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有下列情形之一的，视为供应商串通投标，其投标无效：</w:t>
      </w:r>
    </w:p>
    <w:p>
      <w:pPr>
        <w:pStyle w:val="25"/>
        <w:spacing w:line="360" w:lineRule="auto"/>
        <w:ind w:firstLine="560"/>
        <w:jc w:val="both"/>
        <w:rPr>
          <w:rFonts w:ascii="仿宋" w:hAnsi="仿宋" w:eastAsia="仿宋" w:cs="仿宋"/>
          <w:sz w:val="28"/>
        </w:rPr>
      </w:pPr>
      <w:r>
        <w:rPr>
          <w:rFonts w:hint="eastAsia" w:ascii="仿宋" w:hAnsi="仿宋" w:eastAsia="仿宋" w:cs="仿宋"/>
          <w:sz w:val="28"/>
        </w:rPr>
        <w:t>⑴ 不同供应商的单一来源响应文件由同一单位或者个人编制;</w:t>
      </w:r>
    </w:p>
    <w:p>
      <w:pPr>
        <w:pStyle w:val="25"/>
        <w:spacing w:line="360" w:lineRule="auto"/>
        <w:ind w:firstLine="560"/>
        <w:jc w:val="both"/>
        <w:rPr>
          <w:rFonts w:ascii="仿宋" w:hAnsi="仿宋" w:eastAsia="仿宋" w:cs="仿宋"/>
          <w:sz w:val="28"/>
        </w:rPr>
      </w:pPr>
      <w:r>
        <w:rPr>
          <w:rFonts w:hint="eastAsia" w:ascii="仿宋" w:hAnsi="仿宋" w:eastAsia="仿宋" w:cs="仿宋"/>
          <w:sz w:val="28"/>
        </w:rPr>
        <w:t>⑵ 不同供应商委托同一单位或者个人办理投标事宜;</w:t>
      </w:r>
    </w:p>
    <w:p>
      <w:pPr>
        <w:pStyle w:val="25"/>
        <w:spacing w:line="360" w:lineRule="auto"/>
        <w:ind w:firstLine="560"/>
        <w:jc w:val="both"/>
        <w:rPr>
          <w:rFonts w:ascii="仿宋" w:hAnsi="仿宋" w:eastAsia="仿宋" w:cs="仿宋"/>
          <w:sz w:val="28"/>
        </w:rPr>
      </w:pPr>
      <w:r>
        <w:rPr>
          <w:rFonts w:hint="eastAsia" w:ascii="仿宋" w:hAnsi="仿宋" w:eastAsia="仿宋" w:cs="仿宋"/>
          <w:sz w:val="28"/>
        </w:rPr>
        <w:t>⑶ 不同供应商的单一来源响应文件载明的项目管理成员或者联系人员为同一人;</w:t>
      </w:r>
    </w:p>
    <w:p>
      <w:pPr>
        <w:pStyle w:val="25"/>
        <w:spacing w:line="360" w:lineRule="auto"/>
        <w:ind w:firstLine="560"/>
        <w:jc w:val="both"/>
        <w:rPr>
          <w:rFonts w:ascii="仿宋" w:hAnsi="仿宋" w:eastAsia="仿宋" w:cs="仿宋"/>
          <w:sz w:val="28"/>
        </w:rPr>
      </w:pPr>
      <w:r>
        <w:rPr>
          <w:rFonts w:hint="eastAsia" w:ascii="仿宋" w:hAnsi="仿宋" w:eastAsia="仿宋" w:cs="仿宋"/>
          <w:sz w:val="28"/>
        </w:rPr>
        <w:t>⑷ 不同供应商的单一来源响应文件异常一致或者投标报价呈规律性差异;</w:t>
      </w:r>
    </w:p>
    <w:p>
      <w:pPr>
        <w:pStyle w:val="25"/>
        <w:spacing w:line="360" w:lineRule="auto"/>
        <w:ind w:firstLine="560"/>
        <w:jc w:val="both"/>
        <w:rPr>
          <w:rFonts w:ascii="仿宋" w:hAnsi="仿宋" w:eastAsia="仿宋" w:cs="仿宋"/>
          <w:sz w:val="28"/>
        </w:rPr>
      </w:pPr>
      <w:r>
        <w:rPr>
          <w:rFonts w:hint="eastAsia" w:ascii="仿宋" w:hAnsi="仿宋" w:eastAsia="仿宋" w:cs="仿宋"/>
          <w:sz w:val="28"/>
        </w:rPr>
        <w:t>⑸ 不同供应商的单一来源响应文件相互混装;</w:t>
      </w:r>
    </w:p>
    <w:p>
      <w:pPr>
        <w:pStyle w:val="25"/>
        <w:spacing w:line="360" w:lineRule="auto"/>
        <w:ind w:firstLine="560"/>
        <w:jc w:val="both"/>
        <w:rPr>
          <w:rFonts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4"/>
        <w:spacing w:line="360" w:lineRule="auto"/>
        <w:rPr>
          <w:rFonts w:cs="仿宋"/>
        </w:rPr>
      </w:pPr>
      <w:bookmarkStart w:id="33" w:name="_Toc56170384"/>
      <w:bookmarkStart w:id="34" w:name="_Toc65158531"/>
      <w:bookmarkStart w:id="35" w:name="_Toc82497898"/>
      <w:bookmarkStart w:id="36" w:name="_Toc5267"/>
      <w:r>
        <w:rPr>
          <w:rFonts w:hint="eastAsia" w:cs="仿宋"/>
        </w:rPr>
        <w:t>五、</w:t>
      </w:r>
      <w:bookmarkEnd w:id="33"/>
      <w:bookmarkEnd w:id="34"/>
      <w:bookmarkEnd w:id="35"/>
      <w:r>
        <w:rPr>
          <w:rFonts w:hint="eastAsia" w:cs="仿宋"/>
        </w:rPr>
        <w:t>谈判</w:t>
      </w:r>
      <w:bookmarkEnd w:id="36"/>
    </w:p>
    <w:p>
      <w:pPr>
        <w:pStyle w:val="25"/>
        <w:spacing w:line="360" w:lineRule="auto"/>
        <w:ind w:firstLine="560"/>
        <w:jc w:val="both"/>
        <w:rPr>
          <w:rFonts w:ascii="仿宋" w:hAnsi="仿宋" w:eastAsia="仿宋" w:cs="仿宋"/>
          <w:sz w:val="28"/>
        </w:rPr>
      </w:pPr>
      <w:r>
        <w:rPr>
          <w:rFonts w:hint="eastAsia" w:ascii="仿宋" w:hAnsi="仿宋" w:eastAsia="仿宋" w:cs="仿宋"/>
          <w:sz w:val="28"/>
        </w:rPr>
        <w:t>21. 谈判</w:t>
      </w:r>
    </w:p>
    <w:p>
      <w:pPr>
        <w:pStyle w:val="23"/>
        <w:spacing w:line="360" w:lineRule="auto"/>
        <w:ind w:left="1" w:firstLine="562" w:firstLineChars="201"/>
        <w:jc w:val="both"/>
        <w:rPr>
          <w:rFonts w:ascii="仿宋" w:hAnsi="仿宋" w:eastAsia="仿宋" w:cs="仿宋"/>
          <w:sz w:val="28"/>
          <w:u w:val="single"/>
        </w:rPr>
      </w:pPr>
      <w:r>
        <w:rPr>
          <w:rFonts w:hint="eastAsia" w:ascii="仿宋" w:hAnsi="仿宋" w:eastAsia="仿宋" w:cs="仿宋"/>
          <w:sz w:val="28"/>
        </w:rPr>
        <w:t>21.1 除非采购代理机构另外书面通知，本项目将按本单一来源采购文件《谈判须知前附表》中规定的时间和地点进行谈判。</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21.2 谈判时，供应商须在密封的单一来源响应文件之外</w:t>
      </w:r>
      <w:r>
        <w:rPr>
          <w:rFonts w:hint="eastAsia" w:ascii="仿宋" w:hAnsi="仿宋" w:eastAsia="仿宋" w:cs="仿宋"/>
          <w:sz w:val="28"/>
          <w:szCs w:val="28"/>
          <w:em w:val="dot"/>
        </w:rPr>
        <w:t>随身携带</w:t>
      </w:r>
      <w:r>
        <w:rPr>
          <w:rFonts w:hint="eastAsia" w:ascii="仿宋" w:hAnsi="仿宋" w:eastAsia="仿宋" w:cs="仿宋"/>
          <w:sz w:val="28"/>
        </w:rPr>
        <w:t>投标人须知前附表6中所述证件，以备采购人对其资格进行审查。</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21.3 开标时唱《开标一览表》的内容，供应商名称、数量和价格等在唱标时一并唱出。</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21.4 唱标完毕后，如果供应商对所唱《开标一览表》内容有异议，应当场立即提出。经现场监标人员确认，认为有必要重新唱标的，由唱标员重新唱标。</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21.5 所有唱标均记录在案，并经各供应商代表和监标人员签字，作为各供应商单一来源响应文件的组成部分。</w:t>
      </w:r>
    </w:p>
    <w:p>
      <w:pPr>
        <w:pStyle w:val="4"/>
        <w:spacing w:line="360" w:lineRule="auto"/>
        <w:rPr>
          <w:rFonts w:cs="仿宋"/>
        </w:rPr>
      </w:pPr>
      <w:bookmarkStart w:id="37" w:name="_Toc82497899"/>
      <w:bookmarkStart w:id="38" w:name="_Toc56170385"/>
      <w:bookmarkStart w:id="39" w:name="_Toc12931"/>
      <w:bookmarkStart w:id="40" w:name="_Toc65158532"/>
      <w:r>
        <w:rPr>
          <w:rFonts w:hint="eastAsia" w:cs="仿宋"/>
        </w:rPr>
        <w:t>六、资格审查</w:t>
      </w:r>
      <w:bookmarkEnd w:id="37"/>
      <w:bookmarkEnd w:id="38"/>
      <w:bookmarkEnd w:id="39"/>
      <w:bookmarkEnd w:id="40"/>
    </w:p>
    <w:p>
      <w:pPr>
        <w:pStyle w:val="23"/>
        <w:spacing w:line="360" w:lineRule="auto"/>
        <w:ind w:firstLine="561"/>
        <w:rPr>
          <w:rFonts w:ascii="仿宋" w:hAnsi="仿宋" w:eastAsia="仿宋" w:cs="仿宋"/>
          <w:sz w:val="28"/>
        </w:rPr>
      </w:pPr>
      <w:r>
        <w:rPr>
          <w:rFonts w:hint="eastAsia" w:ascii="仿宋" w:hAnsi="仿宋" w:eastAsia="仿宋" w:cs="仿宋"/>
          <w:sz w:val="28"/>
        </w:rPr>
        <w:t>22. 资格审查</w:t>
      </w:r>
    </w:p>
    <w:p>
      <w:pPr>
        <w:pStyle w:val="23"/>
        <w:spacing w:line="360" w:lineRule="auto"/>
        <w:ind w:firstLine="561"/>
        <w:rPr>
          <w:rFonts w:ascii="仿宋" w:hAnsi="仿宋" w:eastAsia="仿宋" w:cs="仿宋"/>
          <w:sz w:val="28"/>
        </w:rPr>
      </w:pPr>
      <w:r>
        <w:rPr>
          <w:rFonts w:hint="eastAsia" w:ascii="仿宋" w:hAnsi="仿宋" w:eastAsia="仿宋" w:cs="仿宋"/>
          <w:sz w:val="28"/>
        </w:rPr>
        <w:t>22.1 采购人按照本章第8.1.1条中规定的内容对单一来源供应商的单一来源响应文件进行资格审查。资格审查不合格的，其投标无效。</w:t>
      </w:r>
    </w:p>
    <w:p>
      <w:pPr>
        <w:pStyle w:val="4"/>
        <w:spacing w:line="360" w:lineRule="auto"/>
        <w:rPr>
          <w:rFonts w:cs="仿宋"/>
        </w:rPr>
      </w:pPr>
      <w:bookmarkStart w:id="41" w:name="_Toc31900"/>
      <w:bookmarkStart w:id="42" w:name="_Toc65158533"/>
      <w:bookmarkStart w:id="43" w:name="_Toc56170386"/>
      <w:bookmarkStart w:id="44" w:name="_Toc82497900"/>
      <w:r>
        <w:rPr>
          <w:rFonts w:hint="eastAsia" w:cs="仿宋"/>
        </w:rPr>
        <w:t>七、谈判和定标</w:t>
      </w:r>
      <w:bookmarkEnd w:id="41"/>
      <w:bookmarkEnd w:id="42"/>
      <w:bookmarkEnd w:id="43"/>
      <w:bookmarkEnd w:id="44"/>
    </w:p>
    <w:p>
      <w:pPr>
        <w:pStyle w:val="23"/>
        <w:spacing w:line="360" w:lineRule="auto"/>
        <w:ind w:firstLine="560"/>
        <w:jc w:val="both"/>
        <w:rPr>
          <w:rFonts w:ascii="仿宋" w:hAnsi="仿宋" w:eastAsia="仿宋" w:cs="仿宋"/>
          <w:sz w:val="28"/>
        </w:rPr>
      </w:pPr>
      <w:r>
        <w:rPr>
          <w:rFonts w:hint="eastAsia" w:ascii="仿宋" w:hAnsi="仿宋" w:eastAsia="仿宋" w:cs="仿宋"/>
          <w:sz w:val="28"/>
        </w:rPr>
        <w:t>23. 谈判原则</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23.1 本项目的谈判遵循公平、公正、科学、择优的原则。</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23.2 谈判小组将严格按照《中华人民共和国政府采购法》、《中华人民共和国政府采购法实施条例》（国务院令第658号）、《政府采购货物和服务招标投标管理办法》（财政部87号令）、《政府采购非招标采购方式管理办法》（财政部74号令）等相关法律法规的规定依法谈判，维护各方当事人的合法权益。</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23.3 不徇私情，不明招暗定。</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23.4 资格审查合格的供应商，均有同等机会参加竞争。</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23.5 谈判小组不得私自泄露谈判内容，不得进行旨在影响谈判结果公正、公平的任何活动。</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24. 谈判方法</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24.1 采购代理机构将根据有关法律法规的规定组建本次谈判的谈判小组。谈判小组成员由本行业相关技术、经济等方面的专家组成。其中，技术、经济等方面的专家不少于成员总人数的三分之二。</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24.2 谈判的依据为单一来源采购文件和单一来源响应文件。根据相关法律法规的规定，谈判小组不以任何外部证据作为其谈判的依据或标准。</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24.3 谈判过程将严格保密。开标后直到授予中标供应商合同止，凡是属于审查、澄清、评价和比较的有关谈判资料以及授标建议等均不得向供应商或其他无关的人员透露。</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24.4 在谈判的整个过程中，供应商所进行的旨在影响谈判结果的活动，可能导致其投标被拒绝，或者被取消中标资格。</w:t>
      </w:r>
    </w:p>
    <w:p>
      <w:pPr>
        <w:pStyle w:val="23"/>
        <w:spacing w:line="360" w:lineRule="auto"/>
        <w:ind w:firstLine="562"/>
        <w:jc w:val="both"/>
        <w:rPr>
          <w:rFonts w:ascii="仿宋" w:hAnsi="仿宋" w:eastAsia="仿宋"/>
          <w:sz w:val="28"/>
        </w:rPr>
      </w:pPr>
      <w:r>
        <w:rPr>
          <w:rFonts w:hint="eastAsia" w:ascii="仿宋" w:hAnsi="仿宋" w:eastAsia="仿宋"/>
          <w:sz w:val="28"/>
        </w:rPr>
        <w:t>24.5 本次谈判采用最低价法进行谈判。谈判分符合性审查和价格谈判两个阶段。</w:t>
      </w:r>
    </w:p>
    <w:p>
      <w:pPr>
        <w:pStyle w:val="23"/>
        <w:spacing w:line="360" w:lineRule="auto"/>
        <w:ind w:firstLine="562"/>
        <w:jc w:val="both"/>
        <w:rPr>
          <w:rFonts w:ascii="仿宋" w:hAnsi="仿宋" w:eastAsia="仿宋"/>
          <w:sz w:val="28"/>
        </w:rPr>
      </w:pPr>
      <w:r>
        <w:rPr>
          <w:rFonts w:hint="eastAsia" w:ascii="仿宋" w:hAnsi="仿宋" w:eastAsia="仿宋"/>
          <w:sz w:val="28"/>
        </w:rPr>
        <w:t>24.5.1 只有通过符合性审查的单一来源响应文件才可进入谈判阶段。</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24.6 符合性审查</w:t>
      </w:r>
    </w:p>
    <w:p>
      <w:pPr>
        <w:pStyle w:val="23"/>
        <w:spacing w:line="360" w:lineRule="auto"/>
        <w:ind w:firstLine="560"/>
        <w:jc w:val="both"/>
        <w:rPr>
          <w:rFonts w:ascii="仿宋" w:hAnsi="仿宋" w:eastAsia="仿宋" w:cs="仿宋"/>
          <w:sz w:val="28"/>
        </w:rPr>
      </w:pPr>
      <w:r>
        <w:rPr>
          <w:rFonts w:hint="eastAsia" w:ascii="仿宋" w:hAnsi="仿宋" w:eastAsia="仿宋" w:cs="仿宋"/>
          <w:sz w:val="28"/>
        </w:rPr>
        <w:t>谈判小组对符合资格的供应商的单一来源响应文件进行符合性审查，以确定其是否满足单一来源采购文件的实质性要求，是否存在重大偏离。重大偏离系指单一来源响应文件的有效性、真实性、合同的供货范围、质量、性能和规格等内容在实质上与单一来源采购文件形成了重大的不一致，而这种不一致可能限制了买方的权力和供应商的义务，纠正或承认这些偏离将会对该供应商和其它供应商合理的竞争地位产生不公正的影响。与单一来源采购文件有重大偏离的单一来源响应文件将被拒绝，投标无效。具体评审内容系指：</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单一来源响应文件</w:t>
      </w:r>
      <w:r>
        <w:rPr>
          <w:rFonts w:hint="eastAsia" w:ascii="仿宋" w:hAnsi="仿宋" w:eastAsia="仿宋" w:cs="仿宋"/>
          <w:color w:val="000000"/>
          <w:sz w:val="28"/>
        </w:rPr>
        <w:t>组成不完整，主要内容未能按单一来源采购文件规定的内容、格式填写、装订；</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单一来源响应文件</w:t>
      </w:r>
      <w:r>
        <w:rPr>
          <w:rFonts w:hint="eastAsia" w:ascii="仿宋" w:hAnsi="仿宋" w:eastAsia="仿宋" w:cs="仿宋"/>
          <w:color w:val="000000"/>
          <w:sz w:val="28"/>
        </w:rPr>
        <w:t>的有效期不满足单一来源采购文件的规定；</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24.6.3 投标代表授权书未能由法定代表人签署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24.6.4 单一来源响应文件没有按照规定在应由企业法人或法人授权代表在所有规定签章处逐一签署及加盖单位公章的；</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24.6.5 明显不符合单一来源采购文件关于对投标项目技术规格和标准的要求；</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单一来源响应文件</w:t>
      </w:r>
      <w:r>
        <w:rPr>
          <w:rFonts w:hint="eastAsia" w:ascii="仿宋" w:hAnsi="仿宋" w:eastAsia="仿宋" w:cs="仿宋"/>
          <w:color w:val="000000"/>
          <w:sz w:val="28"/>
        </w:rPr>
        <w:t>载明的投标项目交货期限超过单一来源采购文件规定的期限；</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单一来源响应文件</w:t>
      </w:r>
      <w:r>
        <w:rPr>
          <w:rFonts w:hint="eastAsia" w:ascii="仿宋" w:hAnsi="仿宋" w:eastAsia="仿宋" w:cs="仿宋"/>
          <w:color w:val="000000"/>
          <w:sz w:val="28"/>
        </w:rPr>
        <w:t>载明的功能需求、验收标准和方法等不符合单一来源采购文件的要求；</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单一来源响应文件</w:t>
      </w:r>
      <w:r>
        <w:rPr>
          <w:rFonts w:hint="eastAsia" w:ascii="仿宋" w:hAnsi="仿宋" w:eastAsia="仿宋" w:cs="仿宋"/>
          <w:color w:val="000000"/>
          <w:sz w:val="28"/>
        </w:rPr>
        <w:t>含有采购人不能接受的附加条件；</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24.6.10 不符合法律、法规和单一来源采购文件中规定的其他实质性要求。</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单一来源响应文件</w:t>
      </w:r>
      <w:r>
        <w:rPr>
          <w:rFonts w:hint="eastAsia" w:ascii="仿宋" w:hAnsi="仿宋" w:eastAsia="仿宋" w:cs="仿宋"/>
          <w:color w:val="000000"/>
        </w:rPr>
        <w:t>，谈判小组将对其进行算术性修正。算术性修正是指对</w:t>
      </w:r>
      <w:r>
        <w:rPr>
          <w:rFonts w:hint="eastAsia" w:ascii="仿宋" w:hAnsi="仿宋" w:eastAsia="仿宋" w:cs="仿宋"/>
        </w:rPr>
        <w:t>单一来源响应文件</w:t>
      </w:r>
      <w:r>
        <w:rPr>
          <w:rFonts w:hint="eastAsia" w:ascii="仿宋" w:hAnsi="仿宋" w:eastAsia="仿宋" w:cs="仿宋"/>
          <w:color w:val="000000"/>
        </w:rPr>
        <w:t>报价出现前后不一致的进行校核，并对其算术上和运算上的差错给予修正。修正的原则如下：</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单一来源响应文件</w:t>
      </w:r>
      <w:r>
        <w:rPr>
          <w:rFonts w:hint="eastAsia" w:ascii="仿宋" w:hAnsi="仿宋" w:eastAsia="仿宋" w:cs="仿宋"/>
          <w:color w:val="000000"/>
          <w:sz w:val="28"/>
        </w:rPr>
        <w:t>中投标一览表内容与</w:t>
      </w:r>
      <w:r>
        <w:rPr>
          <w:rFonts w:hint="eastAsia" w:ascii="仿宋" w:hAnsi="仿宋" w:eastAsia="仿宋" w:cs="仿宋"/>
          <w:sz w:val="28"/>
        </w:rPr>
        <w:t>单一来源响应文件</w:t>
      </w:r>
      <w:r>
        <w:rPr>
          <w:rFonts w:hint="eastAsia" w:ascii="仿宋" w:hAnsi="仿宋" w:eastAsia="仿宋" w:cs="仿宋"/>
          <w:color w:val="000000"/>
          <w:sz w:val="28"/>
        </w:rPr>
        <w:t>中相应内容不一致的，以投标一览表为准；</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单一来源响应文件</w:t>
      </w:r>
      <w:r>
        <w:rPr>
          <w:rFonts w:hint="eastAsia" w:ascii="仿宋" w:hAnsi="仿宋" w:eastAsia="仿宋" w:cs="仿宋"/>
          <w:color w:val="000000"/>
          <w:sz w:val="28"/>
        </w:rPr>
        <w:t>的大写金额和小写金额不一致的，以大写金额为准；</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24.7.3 单价金额小数点或者百分比有明显错位的，以投标一览表的总价为准，并修改单价；</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同时出现两种以上不一致的，按照上述规定的顺序修正。修正后的报价须供应商确认，如果供应商拒绝确认，其投标无效。</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24.7.6 对不同文字文本单一来源响应文件的解释发生异议的，以中文文本为准。</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24.7.7 谈判小组将拒绝被定为实质上非响应性的投标，供应商不能通过修正或撤销不符之处而使其投标成为响应性投标。</w:t>
      </w:r>
    </w:p>
    <w:p>
      <w:pPr>
        <w:pStyle w:val="15"/>
        <w:spacing w:before="0" w:beforeAutospacing="0" w:after="0" w:afterAutospacing="0"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24.7.8 谈判小组将允许投标中有微小的不正规、不一致或不规则，而该微小之处不构成重大偏离。</w:t>
      </w:r>
    </w:p>
    <w:p>
      <w:pPr>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24.8  经谈判小组评议，认为投标报价过高、均超出采购人预算或最高限价的项目，可以不确立中标供应商，重新组织招标。</w:t>
      </w:r>
    </w:p>
    <w:p>
      <w:pPr>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25. 单一来源响应文件的澄清</w:t>
      </w:r>
    </w:p>
    <w:p>
      <w:pPr>
        <w:autoSpaceDE w:val="0"/>
        <w:autoSpaceDN w:val="0"/>
        <w:adjustRightInd w:val="0"/>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25.1 谈判小组在评标过程中有权随时请供应商就单一来源响应文件中含混之处加以澄清或答疑。</w:t>
      </w:r>
    </w:p>
    <w:p>
      <w:pPr>
        <w:autoSpaceDE w:val="0"/>
        <w:autoSpaceDN w:val="0"/>
        <w:adjustRightInd w:val="0"/>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25.3  供应商的澄清文件是单一来源响应文件的组成部分，并取代单一来源响应文件中被澄清的部分。</w:t>
      </w:r>
    </w:p>
    <w:p>
      <w:pPr>
        <w:autoSpaceDE w:val="0"/>
        <w:autoSpaceDN w:val="0"/>
        <w:adjustRightInd w:val="0"/>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25.4  单一来源响应文件的澄清不得改变谈判的实质内容。</w:t>
      </w:r>
    </w:p>
    <w:p>
      <w:pPr>
        <w:autoSpaceDE w:val="0"/>
        <w:autoSpaceDN w:val="0"/>
        <w:adjustRightInd w:val="0"/>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s="仿宋"/>
          <w:color w:val="000000"/>
          <w:sz w:val="28"/>
        </w:rPr>
        <w:t>在全部满足单一来源采购文件中规定的商务、技术等方面的实质性要求后，谈判小组将向采购人推荐报价最低的供应商作为中标人。中标</w:t>
      </w:r>
      <w:r>
        <w:rPr>
          <w:rFonts w:hint="eastAsia" w:ascii="仿宋" w:hAnsi="仿宋" w:eastAsia="仿宋"/>
          <w:color w:val="000000"/>
          <w:kern w:val="0"/>
          <w:sz w:val="28"/>
        </w:rPr>
        <w:t>供应商拒绝与采购人签订合同的，采购人可以按照谈判报告推荐的中标供应商名单排序，确定下一候选人为成交供应商，也可以重新开展政府采购活动。</w:t>
      </w:r>
    </w:p>
    <w:p>
      <w:pPr>
        <w:pStyle w:val="23"/>
        <w:spacing w:line="360" w:lineRule="auto"/>
        <w:ind w:firstLine="560" w:firstLineChars="200"/>
        <w:jc w:val="both"/>
        <w:rPr>
          <w:rFonts w:ascii="仿宋" w:hAnsi="仿宋" w:eastAsia="仿宋" w:cs="仿宋"/>
          <w:kern w:val="2"/>
          <w:sz w:val="28"/>
        </w:rPr>
      </w:pPr>
      <w:r>
        <w:rPr>
          <w:rFonts w:hint="eastAsia" w:ascii="仿宋" w:hAnsi="仿宋" w:eastAsia="仿宋" w:cs="仿宋"/>
          <w:kern w:val="2"/>
          <w:sz w:val="28"/>
        </w:rPr>
        <w:t>27. 中标通知</w:t>
      </w:r>
    </w:p>
    <w:p>
      <w:pPr>
        <w:pStyle w:val="23"/>
        <w:spacing w:line="360" w:lineRule="auto"/>
        <w:ind w:firstLine="560" w:firstLineChars="200"/>
        <w:jc w:val="both"/>
        <w:rPr>
          <w:rFonts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23"/>
        <w:spacing w:line="360" w:lineRule="auto"/>
        <w:ind w:firstLine="560" w:firstLineChars="200"/>
        <w:jc w:val="both"/>
        <w:rPr>
          <w:rFonts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采购代理机构在《中标通知书》发出后五个工作日内退还未中标供应商的投标保证金，在采购合同签订后五个工作日内退还中标供应商的投标保证金。对于所有供应商的单一来源响应文件均</w:t>
      </w:r>
      <w:r>
        <w:rPr>
          <w:rFonts w:hint="eastAsia" w:ascii="仿宋" w:hAnsi="仿宋" w:eastAsia="仿宋" w:cs="仿宋"/>
          <w:sz w:val="28"/>
          <w:shd w:val="clear" w:color="auto" w:fill="FFFFFF"/>
        </w:rPr>
        <w:t>不予以退还，但对其承担保密责任。</w:t>
      </w:r>
    </w:p>
    <w:p>
      <w:pPr>
        <w:pStyle w:val="23"/>
        <w:spacing w:line="360" w:lineRule="auto"/>
        <w:ind w:firstLine="560" w:firstLineChars="200"/>
        <w:jc w:val="both"/>
        <w:rPr>
          <w:rFonts w:ascii="仿宋" w:hAnsi="仿宋" w:eastAsia="仿宋" w:cs="仿宋"/>
          <w:kern w:val="2"/>
          <w:sz w:val="28"/>
        </w:rPr>
      </w:pPr>
      <w:r>
        <w:rPr>
          <w:rFonts w:hint="eastAsia" w:ascii="仿宋" w:hAnsi="仿宋" w:eastAsia="仿宋" w:cs="仿宋"/>
          <w:kern w:val="2"/>
          <w:sz w:val="28"/>
        </w:rPr>
        <w:t>28. 拒绝某些或所有投标的权力。</w:t>
      </w:r>
    </w:p>
    <w:p>
      <w:pPr>
        <w:pStyle w:val="23"/>
        <w:spacing w:line="360" w:lineRule="auto"/>
        <w:ind w:firstLine="560" w:firstLineChars="200"/>
        <w:jc w:val="both"/>
        <w:rPr>
          <w:rFonts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4"/>
        <w:spacing w:line="360" w:lineRule="auto"/>
        <w:rPr>
          <w:rFonts w:cs="仿宋"/>
        </w:rPr>
      </w:pPr>
      <w:bookmarkStart w:id="45" w:name="_Toc65158534"/>
      <w:bookmarkStart w:id="46" w:name="_Toc56170387"/>
      <w:bookmarkStart w:id="47" w:name="_Toc17800"/>
      <w:bookmarkStart w:id="48" w:name="_Toc82497901"/>
      <w:r>
        <w:rPr>
          <w:rFonts w:hint="eastAsia" w:cs="仿宋"/>
        </w:rPr>
        <w:t>七、授予合同</w:t>
      </w:r>
      <w:bookmarkEnd w:id="45"/>
      <w:bookmarkEnd w:id="46"/>
      <w:bookmarkEnd w:id="47"/>
      <w:bookmarkEnd w:id="48"/>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29. 签订合同</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成交合同不得转让或分包。如需对合同的非主体部分进行转让或分包，供应商必须在单一来源采购文件中予以说明，并需经采购人同意。否则，采购人有权取消中标供应商的资格。</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30. 合同的组成</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30.1 下列文件均为经济合同不可分割的组成部分：</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30.1.1 单一来源采购文件及其附件、补遗文件；</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 xml:space="preserve">30.1.2 中标供应商的单一来源响应文件及其他附件； </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30.1.3 经确认的答疑记录；</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30.1.4 中标通知书。</w:t>
      </w:r>
    </w:p>
    <w:p>
      <w:pPr>
        <w:pStyle w:val="4"/>
        <w:spacing w:line="360" w:lineRule="auto"/>
        <w:rPr>
          <w:rFonts w:cs="仿宋"/>
        </w:rPr>
      </w:pPr>
      <w:bookmarkStart w:id="49" w:name="_Toc82497902"/>
      <w:bookmarkStart w:id="50" w:name="_Toc56170388"/>
      <w:bookmarkStart w:id="51" w:name="_Toc65158535"/>
      <w:bookmarkStart w:id="52" w:name="_Toc31821"/>
      <w:r>
        <w:rPr>
          <w:rFonts w:hint="eastAsia" w:cs="仿宋"/>
        </w:rPr>
        <w:t>八、买方授标时更改采购服务数量的权利</w:t>
      </w:r>
      <w:bookmarkEnd w:id="49"/>
      <w:bookmarkEnd w:id="50"/>
      <w:bookmarkEnd w:id="51"/>
      <w:bookmarkEnd w:id="52"/>
    </w:p>
    <w:p>
      <w:pPr>
        <w:pStyle w:val="24"/>
        <w:spacing w:before="100" w:after="50" w:line="360" w:lineRule="auto"/>
        <w:ind w:firstLine="560"/>
        <w:rPr>
          <w:rFonts w:ascii="仿宋" w:hAnsi="仿宋" w:eastAsia="仿宋" w:cs="仿宋"/>
          <w:color w:val="000000"/>
        </w:rPr>
      </w:pPr>
      <w:r>
        <w:rPr>
          <w:rFonts w:hint="eastAsia" w:ascii="仿宋" w:hAnsi="仿宋" w:eastAsia="仿宋" w:cs="仿宋"/>
          <w:color w:val="000000"/>
        </w:rPr>
        <w:t>31. 采购人在采购合同履行期间，有权按“投标须知前附表”第14项约定的内容对“货物需求表”中规定的货物数量和服务予以局部增加或减少，但不得对单价或其它实质性内容做任何改变，对增减的数量按同类型成交产品价结算货款。</w:t>
      </w:r>
    </w:p>
    <w:p>
      <w:pPr>
        <w:pStyle w:val="4"/>
        <w:spacing w:line="360" w:lineRule="auto"/>
        <w:rPr>
          <w:rFonts w:cs="仿宋"/>
        </w:rPr>
      </w:pPr>
      <w:bookmarkStart w:id="53" w:name="_Toc19926"/>
      <w:bookmarkStart w:id="54" w:name="_Toc82497903"/>
      <w:bookmarkStart w:id="55" w:name="_Toc65158536"/>
      <w:bookmarkStart w:id="56" w:name="_Toc56170389"/>
      <w:r>
        <w:rPr>
          <w:rFonts w:hint="eastAsia" w:cs="仿宋"/>
        </w:rPr>
        <w:t>九、其他事项</w:t>
      </w:r>
      <w:bookmarkEnd w:id="53"/>
      <w:bookmarkEnd w:id="54"/>
      <w:bookmarkEnd w:id="55"/>
      <w:bookmarkEnd w:id="56"/>
    </w:p>
    <w:p>
      <w:pPr>
        <w:pStyle w:val="23"/>
        <w:spacing w:line="360" w:lineRule="auto"/>
        <w:ind w:firstLine="560" w:firstLineChars="200"/>
        <w:rPr>
          <w:rFonts w:ascii="仿宋" w:hAnsi="仿宋" w:eastAsia="仿宋" w:cs="仿宋"/>
          <w:sz w:val="28"/>
        </w:rPr>
      </w:pPr>
      <w:r>
        <w:rPr>
          <w:rFonts w:hint="eastAsia" w:ascii="仿宋" w:hAnsi="仿宋" w:eastAsia="仿宋" w:cs="仿宋"/>
          <w:sz w:val="28"/>
        </w:rPr>
        <w:t>32.  代理服务费</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32.1 中标供应商应按本单一来源采购文件的规定，在《中标通知书》核发时至核发后3天内，向采购代理机构支付代理服务费。其计算标准和方法见供应商须知前附表。</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需要开具增值税专用发票，供应商请提供增值税专用发票开票信息（需加盖财务专用章）；</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33. 本单一来源采购文件是根据《中华人民共和国政府采购法》及其实施条例（658号令）及《政府采购货物和服务招标投标管理办法》（87号令）规定编制的，解释权属中科高盛咨询集团有限公司。</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34. 为了做好投标工作，供应商应组织有关商务和技术人员，认真解答或澄清谈判小组在评标过程中提出的有关商务和技术问题。</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23"/>
        <w:numPr>
          <w:ilvl w:val="0"/>
          <w:numId w:val="2"/>
        </w:numPr>
        <w:spacing w:line="360" w:lineRule="auto"/>
        <w:ind w:firstLine="560" w:firstLineChars="200"/>
        <w:jc w:val="both"/>
        <w:rPr>
          <w:rFonts w:ascii="仿宋" w:hAnsi="仿宋" w:eastAsia="仿宋" w:cs="仿宋"/>
          <w:sz w:val="28"/>
        </w:rPr>
      </w:pPr>
      <w:r>
        <w:rPr>
          <w:rFonts w:hint="eastAsia" w:ascii="仿宋" w:hAnsi="仿宋" w:eastAsia="仿宋" w:cs="仿宋"/>
          <w:sz w:val="28"/>
        </w:rPr>
        <w:t>与招标代理机构、招标人和谈判小组的接触</w:t>
      </w:r>
    </w:p>
    <w:p>
      <w:pPr>
        <w:pStyle w:val="23"/>
        <w:spacing w:line="360" w:lineRule="auto"/>
        <w:ind w:firstLine="560" w:firstLineChars="200"/>
        <w:jc w:val="both"/>
        <w:rPr>
          <w:rFonts w:ascii="仿宋" w:hAnsi="仿宋" w:eastAsia="仿宋" w:cs="仿宋"/>
          <w:sz w:val="28"/>
        </w:rPr>
      </w:pPr>
      <w:bookmarkStart w:id="57" w:name="_Hlt83546623"/>
      <w:bookmarkEnd w:id="57"/>
      <w:r>
        <w:rPr>
          <w:rFonts w:hint="eastAsia" w:ascii="仿宋" w:hAnsi="仿宋" w:eastAsia="仿宋" w:cs="仿宋"/>
          <w:sz w:val="28"/>
        </w:rPr>
        <w:t>35.1 除本须知第24.2条的规定外，从开标之日起至授予合同期间，供应商不得就与其投标有关的事项与招标代理机构、招标人和谈判小组接触。</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35.2 供应商试图对招标代理机构、招标人和谈判小组的评标或授予合同的决定进行影响，都可能导致其投标被拒绝，并承担相应的法律责任。</w:t>
      </w:r>
    </w:p>
    <w:p>
      <w:pPr>
        <w:pStyle w:val="23"/>
        <w:spacing w:line="360" w:lineRule="auto"/>
        <w:ind w:firstLine="560" w:firstLineChars="200"/>
        <w:jc w:val="both"/>
        <w:rPr>
          <w:rFonts w:ascii="仿宋" w:hAnsi="仿宋" w:eastAsia="仿宋" w:cs="仿宋"/>
          <w:sz w:val="28"/>
        </w:rPr>
      </w:pPr>
      <w:r>
        <w:rPr>
          <w:rFonts w:hint="eastAsia" w:ascii="仿宋" w:hAnsi="仿宋" w:eastAsia="仿宋" w:cs="仿宋"/>
          <w:sz w:val="28"/>
        </w:rPr>
        <w:t>35.3 开标后直至向中标的供应商授予合同止，凡与审查、澄清、评价和比较投标的有关资料以及授权意见等，参与谈判人员均不得向供应商及任何与评标无关的其他人透露。</w:t>
      </w:r>
    </w:p>
    <w:p>
      <w:pPr>
        <w:pStyle w:val="3"/>
        <w:numPr>
          <w:ilvl w:val="0"/>
          <w:numId w:val="3"/>
        </w:numPr>
        <w:jc w:val="center"/>
        <w:rPr>
          <w:rFonts w:cs="仿宋"/>
        </w:rPr>
      </w:pPr>
      <w:r>
        <w:rPr>
          <w:rFonts w:hint="eastAsia" w:cs="仿宋"/>
        </w:rPr>
        <w:br w:type="page"/>
      </w:r>
      <w:bookmarkStart w:id="58" w:name="_Toc82497904"/>
      <w:bookmarkStart w:id="59" w:name="_Toc56170390"/>
      <w:bookmarkStart w:id="60" w:name="_Toc14432"/>
      <w:bookmarkStart w:id="61" w:name="_Toc55990501"/>
      <w:r>
        <w:rPr>
          <w:rFonts w:hint="eastAsia" w:cs="仿宋"/>
        </w:rPr>
        <w:t>招标内容及技术要求</w:t>
      </w:r>
      <w:bookmarkEnd w:id="58"/>
      <w:bookmarkEnd w:id="59"/>
      <w:bookmarkEnd w:id="60"/>
      <w:bookmarkEnd w:id="61"/>
    </w:p>
    <w:p>
      <w:pPr>
        <w:adjustRightInd w:val="0"/>
        <w:snapToGrid w:val="0"/>
        <w:spacing w:line="560" w:lineRule="exact"/>
        <w:jc w:val="center"/>
        <w:rPr>
          <w:rFonts w:ascii="仿宋" w:hAnsi="仿宋" w:eastAsia="仿宋" w:cs="仿宋"/>
          <w:color w:val="000000" w:themeColor="text1"/>
          <w:kern w:val="0"/>
          <w:sz w:val="44"/>
          <w:szCs w:val="44"/>
        </w:rPr>
      </w:pPr>
      <w:bookmarkStart w:id="62" w:name="_Toc55990502"/>
      <w:bookmarkStart w:id="63" w:name="_Toc56170391"/>
      <w:bookmarkStart w:id="64" w:name="_Toc82497923"/>
    </w:p>
    <w:tbl>
      <w:tblPr>
        <w:tblStyle w:val="18"/>
        <w:tblW w:w="8807" w:type="dxa"/>
        <w:jc w:val="center"/>
        <w:tblLayout w:type="fixed"/>
        <w:tblCellMar>
          <w:top w:w="0" w:type="dxa"/>
          <w:left w:w="108" w:type="dxa"/>
          <w:bottom w:w="0" w:type="dxa"/>
          <w:right w:w="108" w:type="dxa"/>
        </w:tblCellMar>
      </w:tblPr>
      <w:tblGrid>
        <w:gridCol w:w="716"/>
        <w:gridCol w:w="3078"/>
        <w:gridCol w:w="1446"/>
        <w:gridCol w:w="3567"/>
      </w:tblGrid>
      <w:tr>
        <w:tblPrEx>
          <w:tblCellMar>
            <w:top w:w="0" w:type="dxa"/>
            <w:left w:w="108" w:type="dxa"/>
            <w:bottom w:w="0" w:type="dxa"/>
            <w:right w:w="108" w:type="dxa"/>
          </w:tblCellMar>
        </w:tblPrEx>
        <w:trPr>
          <w:trHeight w:val="780" w:hRule="atLeast"/>
          <w:jc w:val="center"/>
        </w:trPr>
        <w:tc>
          <w:tcPr>
            <w:tcW w:w="88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标项二</w:t>
            </w:r>
          </w:p>
        </w:tc>
      </w:tr>
      <w:tr>
        <w:tblPrEx>
          <w:tblCellMar>
            <w:top w:w="0" w:type="dxa"/>
            <w:left w:w="108" w:type="dxa"/>
            <w:bottom w:w="0" w:type="dxa"/>
            <w:right w:w="108" w:type="dxa"/>
          </w:tblCellMar>
        </w:tblPrEx>
        <w:trPr>
          <w:trHeight w:val="78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3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产品名称</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最高限价（元）</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备注</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RD-86稀释液（五）</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15.3/L</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溶血素86D(五）</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3.4/ML</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溶血素86H（五）</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4.85/ML</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清洗液（五）</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204/L</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浓缩清洁液RC-86（五）</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2.72/ML</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五分类质控（中值）</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90.67/ML</w:t>
            </w:r>
          </w:p>
        </w:tc>
        <w:tc>
          <w:tcPr>
            <w:tcW w:w="3567"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电极内充液</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45.33/ML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参比液</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13.6/ML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清洗液C</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1.39/ML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C-2内校液</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1.23/ML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漂移校正液A</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0.38/ML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漂移校正液B</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0.38/ML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尿十一项试纸</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1.11/人</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尿液分析仪Mission U500</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尿液分析质控</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1.7/ML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尿液分析仪Mission U500</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超敏C反应蛋白</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6.89/人</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特定蛋白分析仪HP-083/4-II</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降钙素原</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49.73/人</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特定蛋白分析仪HP-083/4-II</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尿微量白蛋白</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7.65/人</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特定蛋白分析仪HP-083/4-II</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血常规冲洗液（三）</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19.31/L</w:t>
            </w:r>
          </w:p>
        </w:tc>
        <w:tc>
          <w:tcPr>
            <w:tcW w:w="3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血细胞计数三分类迈瑞BC1800</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lang w:bidi="ar"/>
              </w:rPr>
              <w:t>血常规分析用稀释液</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lang w:bidi="ar"/>
              </w:rPr>
              <w:t>血细胞分析用溶血剂</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1.28/ML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lang w:bidi="ar"/>
              </w:rPr>
              <w:t>三分类血细胞分析仪用质控（中值）</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65.16/ML</w:t>
            </w:r>
          </w:p>
        </w:tc>
        <w:tc>
          <w:tcPr>
            <w:tcW w:w="3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血细胞分析仪（三分类）迈瑞BC-2100;迈瑞BC1800</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lang w:bidi="ar"/>
              </w:rPr>
              <w:t>三分类血细胞用EZ清洗液</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0.89/ML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三分类血细胞用探头清洁液</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1.05/ML</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血球稀释杯    30*50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0.14/个</w:t>
            </w:r>
          </w:p>
        </w:tc>
        <w:tc>
          <w:tcPr>
            <w:tcW w:w="3567"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9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血红蛋白试纸条（干式化学法）</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2.55/人</w:t>
            </w:r>
          </w:p>
        </w:tc>
        <w:tc>
          <w:tcPr>
            <w:tcW w:w="3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血红蛋白分析仪MissionHb</w:t>
            </w:r>
          </w:p>
        </w:tc>
      </w:tr>
      <w:tr>
        <w:tblPrEx>
          <w:tblCellMar>
            <w:top w:w="0" w:type="dxa"/>
            <w:left w:w="108" w:type="dxa"/>
            <w:bottom w:w="0" w:type="dxa"/>
            <w:right w:w="108" w:type="dxa"/>
          </w:tblCellMar>
        </w:tblPrEx>
        <w:trPr>
          <w:trHeight w:val="288" w:hRule="atLeast"/>
          <w:jc w:val="center"/>
        </w:trPr>
        <w:tc>
          <w:tcPr>
            <w:tcW w:w="716" w:type="dxa"/>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3078" w:type="dxa"/>
            <w:tcBorders>
              <w:top w:val="nil"/>
              <w:left w:val="nil"/>
              <w:bottom w:val="nil"/>
              <w:right w:val="nil"/>
            </w:tcBorders>
            <w:shd w:val="clear" w:color="auto" w:fill="auto"/>
            <w:noWrap/>
            <w:vAlign w:val="center"/>
          </w:tcPr>
          <w:p>
            <w:pPr>
              <w:jc w:val="left"/>
              <w:rPr>
                <w:rFonts w:ascii="宋体" w:hAnsi="宋体" w:cs="宋体"/>
                <w:color w:val="000000"/>
                <w:sz w:val="22"/>
                <w:szCs w:val="22"/>
              </w:rPr>
            </w:pPr>
          </w:p>
        </w:tc>
        <w:tc>
          <w:tcPr>
            <w:tcW w:w="1446" w:type="dxa"/>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3567" w:type="dxa"/>
            <w:tcBorders>
              <w:top w:val="nil"/>
              <w:left w:val="nil"/>
              <w:bottom w:val="nil"/>
              <w:right w:val="nil"/>
            </w:tcBorders>
            <w:shd w:val="clear" w:color="auto" w:fill="auto"/>
            <w:noWrap/>
            <w:vAlign w:val="center"/>
          </w:tcPr>
          <w:p>
            <w:pPr>
              <w:rPr>
                <w:rFonts w:ascii="宋体" w:hAnsi="宋体" w:cs="宋体"/>
                <w:color w:val="000000"/>
                <w:sz w:val="22"/>
                <w:szCs w:val="22"/>
              </w:rPr>
            </w:pPr>
          </w:p>
        </w:tc>
      </w:tr>
    </w:tbl>
    <w:p>
      <w:pPr>
        <w:adjustRightInd w:val="0"/>
        <w:snapToGrid w:val="0"/>
        <w:spacing w:line="560" w:lineRule="exact"/>
        <w:rPr>
          <w:rFonts w:ascii="仿宋" w:hAnsi="仿宋" w:eastAsia="仿宋" w:cs="仿宋"/>
          <w:kern w:val="0"/>
          <w:sz w:val="32"/>
          <w:szCs w:val="32"/>
        </w:rPr>
      </w:pPr>
    </w:p>
    <w:p/>
    <w:p>
      <w:pPr>
        <w:jc w:val="center"/>
        <w:rPr>
          <w:rFonts w:cs="仿宋"/>
          <w:sz w:val="28"/>
        </w:rPr>
      </w:pPr>
      <w:r>
        <w:rPr>
          <w:rFonts w:hint="eastAsia" w:ascii="仿宋" w:hAnsi="仿宋" w:eastAsia="仿宋" w:cs="仿宋"/>
        </w:rPr>
        <w:br w:type="page"/>
      </w:r>
      <w:bookmarkStart w:id="65" w:name="_Toc22847"/>
      <w:r>
        <w:rPr>
          <w:rFonts w:hint="eastAsia" w:ascii="仿宋" w:hAnsi="仿宋" w:eastAsia="仿宋" w:cs="宋体"/>
          <w:b/>
          <w:bCs/>
          <w:kern w:val="0"/>
          <w:sz w:val="28"/>
          <w:szCs w:val="28"/>
        </w:rPr>
        <w:t>第四章、合同</w:t>
      </w:r>
      <w:bookmarkEnd w:id="62"/>
      <w:bookmarkEnd w:id="63"/>
      <w:bookmarkEnd w:id="64"/>
      <w:bookmarkEnd w:id="65"/>
    </w:p>
    <w:p>
      <w:pPr>
        <w:spacing w:line="560" w:lineRule="exact"/>
        <w:ind w:firstLine="601"/>
        <w:jc w:val="center"/>
        <w:rPr>
          <w:rFonts w:ascii="仿宋" w:hAnsi="仿宋" w:eastAsia="仿宋"/>
          <w:b/>
          <w:sz w:val="44"/>
          <w:szCs w:val="44"/>
        </w:rPr>
      </w:pPr>
      <w:bookmarkStart w:id="66" w:name="_Toc82497924"/>
      <w:bookmarkStart w:id="67" w:name="_Toc56170392"/>
      <w:r>
        <w:rPr>
          <w:rFonts w:hint="eastAsia" w:ascii="仿宋" w:hAnsi="仿宋" w:eastAsia="仿宋"/>
          <w:b/>
          <w:sz w:val="44"/>
          <w:szCs w:val="44"/>
        </w:rPr>
        <w:t>新疆医科大学第二附属医院</w:t>
      </w:r>
    </w:p>
    <w:p>
      <w:pPr>
        <w:spacing w:line="560" w:lineRule="exact"/>
        <w:jc w:val="center"/>
        <w:rPr>
          <w:rFonts w:ascii="仿宋" w:hAnsi="仿宋" w:eastAsia="仿宋"/>
          <w:b/>
          <w:sz w:val="44"/>
          <w:szCs w:val="44"/>
        </w:rPr>
      </w:pPr>
      <w:r>
        <w:rPr>
          <w:rFonts w:hint="eastAsia" w:ascii="仿宋" w:hAnsi="仿宋" w:eastAsia="仿宋"/>
          <w:b/>
          <w:sz w:val="44"/>
          <w:szCs w:val="44"/>
        </w:rPr>
        <w:t>医用耗材（试剂）采购合同书</w:t>
      </w:r>
    </w:p>
    <w:p>
      <w:pPr>
        <w:spacing w:line="340" w:lineRule="exact"/>
        <w:rPr>
          <w:rFonts w:ascii="仿宋_GB2312" w:hAnsi="仿宋_GB2312" w:eastAsia="仿宋_GB2312"/>
          <w:sz w:val="24"/>
        </w:rPr>
      </w:pPr>
      <w:r>
        <w:rPr>
          <w:rFonts w:hint="eastAsia" w:ascii="仿宋_GB2312" w:hAnsi="仿宋_GB2312" w:eastAsia="仿宋_GB2312"/>
          <w:sz w:val="24"/>
        </w:rPr>
        <w:t>甲方（买方）：新疆医科大学第二附属医院</w:t>
      </w:r>
    </w:p>
    <w:p>
      <w:pPr>
        <w:spacing w:line="340" w:lineRule="exact"/>
        <w:rPr>
          <w:rFonts w:ascii="仿宋_GB2312" w:hAnsi="仿宋_GB2312" w:eastAsia="仿宋_GB2312"/>
          <w:sz w:val="24"/>
        </w:rPr>
      </w:pPr>
      <w:r>
        <w:rPr>
          <w:rFonts w:hint="eastAsia" w:ascii="仿宋_GB2312" w:hAnsi="仿宋_GB2312" w:eastAsia="仿宋_GB2312"/>
          <w:sz w:val="24"/>
        </w:rPr>
        <w:t>地址：乌鲁木齐市南湖东路北二巷38号</w:t>
      </w:r>
    </w:p>
    <w:p>
      <w:pPr>
        <w:spacing w:line="340" w:lineRule="exact"/>
        <w:rPr>
          <w:rFonts w:ascii="仿宋_GB2312" w:hAnsi="仿宋_GB2312" w:eastAsia="仿宋_GB2312"/>
          <w:sz w:val="24"/>
        </w:rPr>
      </w:pPr>
      <w:r>
        <w:rPr>
          <w:rFonts w:hint="eastAsia" w:ascii="仿宋_GB2312" w:hAnsi="仿宋_GB2312" w:eastAsia="仿宋_GB2312"/>
          <w:sz w:val="24"/>
        </w:rPr>
        <w:t>电话：0991-4609101</w:t>
      </w:r>
    </w:p>
    <w:p>
      <w:pPr>
        <w:spacing w:line="340" w:lineRule="exact"/>
        <w:rPr>
          <w:rFonts w:ascii="仿宋_GB2312" w:hAnsi="仿宋_GB2312" w:eastAsia="仿宋_GB2312"/>
          <w:color w:val="000000" w:themeColor="text1"/>
          <w:sz w:val="24"/>
        </w:rPr>
      </w:pPr>
      <w:r>
        <w:rPr>
          <w:rFonts w:hint="eastAsia" w:ascii="仿宋_GB2312" w:hAnsi="仿宋_GB2312" w:eastAsia="仿宋_GB2312"/>
          <w:color w:val="000000" w:themeColor="text1"/>
          <w:sz w:val="24"/>
        </w:rPr>
        <w:t>乙方（卖</w:t>
      </w:r>
      <w:r>
        <w:rPr>
          <w:rFonts w:ascii="仿宋_GB2312" w:hAnsi="仿宋_GB2312" w:eastAsia="仿宋_GB2312"/>
          <w:color w:val="000000" w:themeColor="text1"/>
          <w:sz w:val="24"/>
        </w:rPr>
        <w:t>方</w:t>
      </w:r>
      <w:r>
        <w:rPr>
          <w:rFonts w:hint="eastAsia" w:ascii="仿宋_GB2312" w:hAnsi="仿宋_GB2312" w:eastAsia="仿宋_GB2312"/>
          <w:color w:val="000000" w:themeColor="text1"/>
          <w:sz w:val="24"/>
        </w:rPr>
        <w:t>）</w:t>
      </w:r>
      <w:r>
        <w:rPr>
          <w:rFonts w:ascii="仿宋_GB2312" w:hAnsi="仿宋_GB2312" w:eastAsia="仿宋_GB2312"/>
          <w:color w:val="000000" w:themeColor="text1"/>
          <w:sz w:val="24"/>
        </w:rPr>
        <w:t>：</w:t>
      </w:r>
    </w:p>
    <w:p>
      <w:pPr>
        <w:spacing w:line="340" w:lineRule="exact"/>
        <w:rPr>
          <w:rFonts w:ascii="仿宋_GB2312" w:hAnsi="仿宋_GB2312" w:eastAsia="仿宋_GB2312"/>
          <w:color w:val="000000" w:themeColor="text1"/>
          <w:sz w:val="24"/>
        </w:rPr>
      </w:pPr>
      <w:r>
        <w:rPr>
          <w:rFonts w:hint="eastAsia" w:ascii="仿宋_GB2312" w:hAnsi="仿宋_GB2312" w:eastAsia="仿宋_GB2312"/>
          <w:color w:val="000000" w:themeColor="text1"/>
          <w:sz w:val="24"/>
        </w:rPr>
        <w:t>地址：</w:t>
      </w:r>
    </w:p>
    <w:p>
      <w:pPr>
        <w:spacing w:line="340" w:lineRule="exact"/>
        <w:rPr>
          <w:rFonts w:ascii="仿宋_GB2312" w:hAnsi="仿宋_GB2312" w:eastAsia="仿宋_GB2312"/>
          <w:color w:val="000000" w:themeColor="text1"/>
          <w:sz w:val="24"/>
        </w:rPr>
      </w:pPr>
      <w:r>
        <w:rPr>
          <w:rFonts w:hint="eastAsia" w:ascii="仿宋_GB2312" w:hAnsi="仿宋_GB2312" w:eastAsia="仿宋_GB2312"/>
          <w:color w:val="000000" w:themeColor="text1"/>
          <w:sz w:val="24"/>
        </w:rPr>
        <w:t>电话:</w:t>
      </w:r>
    </w:p>
    <w:p>
      <w:pPr>
        <w:spacing w:line="340" w:lineRule="exact"/>
        <w:ind w:firstLine="600" w:firstLineChars="250"/>
        <w:rPr>
          <w:rFonts w:ascii="仿宋_GB2312" w:hAnsi="仿宋_GB2312" w:eastAsia="仿宋_GB2312"/>
          <w:color w:val="000000" w:themeColor="text1"/>
          <w:sz w:val="24"/>
        </w:rPr>
      </w:pPr>
      <w:r>
        <w:rPr>
          <w:rFonts w:hint="eastAsia" w:ascii="仿宋_GB2312" w:hAnsi="仿宋_GB2312" w:eastAsia="仿宋_GB2312"/>
          <w:color w:val="000000" w:themeColor="text1"/>
          <w:sz w:val="24"/>
        </w:rPr>
        <w:t>新疆医科大学第二附属医院（以下简称甲方）与</w:t>
      </w:r>
      <w:r>
        <w:rPr>
          <w:rFonts w:hint="eastAsia" w:ascii="仿宋_GB2312" w:hAnsi="仿宋_GB2312" w:eastAsia="仿宋_GB2312"/>
          <w:color w:val="000000" w:themeColor="text1"/>
          <w:sz w:val="24"/>
          <w:u w:val="single"/>
        </w:rPr>
        <w:t xml:space="preserve">                   </w:t>
      </w:r>
      <w:r>
        <w:rPr>
          <w:rFonts w:hint="eastAsia" w:ascii="仿宋_GB2312" w:hAnsi="仿宋_GB2312" w:eastAsia="仿宋_GB2312"/>
          <w:color w:val="000000" w:themeColor="text1"/>
          <w:sz w:val="24"/>
        </w:rPr>
        <w:t>（以下简称乙方）就</w:t>
      </w:r>
      <w:r>
        <w:rPr>
          <w:rFonts w:hint="eastAsia" w:ascii="仿宋_GB2312" w:hAnsi="仿宋_GB2312" w:eastAsia="仿宋_GB2312"/>
          <w:color w:val="000000" w:themeColor="text1"/>
          <w:sz w:val="24"/>
          <w:u w:val="single"/>
        </w:rPr>
        <w:t xml:space="preserve">           </w:t>
      </w:r>
      <w:r>
        <w:rPr>
          <w:rFonts w:hint="eastAsia" w:ascii="仿宋_GB2312" w:hAnsi="仿宋_GB2312" w:eastAsia="仿宋_GB2312"/>
          <w:color w:val="000000" w:themeColor="text1"/>
          <w:sz w:val="24"/>
        </w:rPr>
        <w:t xml:space="preserve">采购事宜，根据《中华人民共和国政府采购法》、《中华人民共和国民法典》等规定，本着平等、自愿、互利、互惠的原则，经各方协商一致，订立本合同。  </w:t>
      </w:r>
    </w:p>
    <w:p>
      <w:pPr>
        <w:spacing w:line="340" w:lineRule="exact"/>
        <w:ind w:firstLine="480" w:firstLineChars="200"/>
        <w:rPr>
          <w:rFonts w:ascii="仿宋_GB2312" w:hAnsi="仿宋_GB2312" w:eastAsia="仿宋_GB2312"/>
          <w:b/>
          <w:color w:val="000000" w:themeColor="text1"/>
          <w:sz w:val="24"/>
        </w:rPr>
      </w:pPr>
      <w:r>
        <w:rPr>
          <w:rFonts w:hint="eastAsia" w:ascii="仿宋_GB2312" w:hAnsi="仿宋_GB2312" w:eastAsia="仿宋_GB2312"/>
          <w:b/>
          <w:color w:val="000000" w:themeColor="text1"/>
          <w:sz w:val="24"/>
        </w:rPr>
        <w:t>一、合同标的</w:t>
      </w:r>
    </w:p>
    <w:p>
      <w:pPr>
        <w:spacing w:line="340" w:lineRule="exact"/>
        <w:ind w:firstLine="480" w:firstLineChars="200"/>
        <w:rPr>
          <w:rFonts w:ascii="仿宋_GB2312" w:hAnsi="仿宋_GB2312" w:eastAsia="仿宋_GB2312"/>
          <w:color w:val="000000" w:themeColor="text1"/>
          <w:sz w:val="24"/>
        </w:rPr>
      </w:pPr>
      <w:r>
        <w:rPr>
          <w:rFonts w:hint="eastAsia" w:ascii="仿宋_GB2312" w:hAnsi="仿宋_GB2312" w:eastAsia="仿宋_GB2312"/>
          <w:color w:val="000000" w:themeColor="text1"/>
          <w:sz w:val="24"/>
        </w:rPr>
        <w:t>1、货物</w:t>
      </w:r>
    </w:p>
    <w:p>
      <w:pPr>
        <w:spacing w:line="340" w:lineRule="exact"/>
        <w:ind w:firstLine="480" w:firstLineChars="200"/>
        <w:rPr>
          <w:rFonts w:ascii="仿宋_GB2312" w:hAnsi="仿宋_GB2312" w:eastAsia="仿宋_GB2312"/>
          <w:color w:val="000000" w:themeColor="text1"/>
          <w:sz w:val="24"/>
        </w:rPr>
      </w:pPr>
      <w:r>
        <w:rPr>
          <w:rFonts w:hint="eastAsia" w:ascii="仿宋_GB2312" w:hAnsi="仿宋_GB2312" w:eastAsia="仿宋_GB2312"/>
          <w:color w:val="000000" w:themeColor="text1"/>
          <w:sz w:val="24"/>
        </w:rPr>
        <w:t>乙方按照甲方提供的采购计划在商定的时限内保质、保量、及时组织配送，合同一经签订不得随意更改，同时，所供货物的品种、规格、数量、质量、价格、保质期等方面的标准应符合本合同约定的验收标准。</w:t>
      </w:r>
    </w:p>
    <w:p>
      <w:pPr>
        <w:spacing w:line="340" w:lineRule="exact"/>
        <w:ind w:firstLine="410" w:firstLineChars="171"/>
        <w:rPr>
          <w:rFonts w:ascii="仿宋_GB2312" w:hAnsi="仿宋_GB2312" w:eastAsia="仿宋_GB2312"/>
          <w:color w:val="000000" w:themeColor="text1"/>
          <w:sz w:val="24"/>
        </w:rPr>
      </w:pPr>
      <w:r>
        <w:rPr>
          <w:rFonts w:hint="eastAsia" w:ascii="仿宋_GB2312" w:hAnsi="仿宋_GB2312" w:eastAsia="仿宋_GB2312"/>
          <w:color w:val="000000" w:themeColor="text1"/>
          <w:sz w:val="24"/>
        </w:rPr>
        <w:t>2、货物的名称、生产厂家、品牌、规格型号及价格：详见附表：</w:t>
      </w:r>
    </w:p>
    <w:tbl>
      <w:tblPr>
        <w:tblStyle w:val="18"/>
        <w:tblpPr w:leftFromText="180" w:rightFromText="180" w:vertAnchor="text" w:horzAnchor="page" w:tblpXSpec="center" w:tblpY="175"/>
        <w:tblOverlap w:val="never"/>
        <w:tblW w:w="5000" w:type="pct"/>
        <w:tblInd w:w="0" w:type="dxa"/>
        <w:tblLayout w:type="autofit"/>
        <w:tblCellMar>
          <w:top w:w="0" w:type="dxa"/>
          <w:left w:w="108" w:type="dxa"/>
          <w:bottom w:w="0" w:type="dxa"/>
          <w:right w:w="108" w:type="dxa"/>
        </w:tblCellMar>
      </w:tblPr>
      <w:tblGrid>
        <w:gridCol w:w="733"/>
        <w:gridCol w:w="1216"/>
        <w:gridCol w:w="1821"/>
        <w:gridCol w:w="1216"/>
        <w:gridCol w:w="1216"/>
        <w:gridCol w:w="733"/>
        <w:gridCol w:w="733"/>
        <w:gridCol w:w="1458"/>
        <w:gridCol w:w="728"/>
      </w:tblGrid>
      <w:tr>
        <w:tblPrEx>
          <w:tblCellMar>
            <w:top w:w="0" w:type="dxa"/>
            <w:left w:w="108" w:type="dxa"/>
            <w:bottom w:w="0" w:type="dxa"/>
            <w:right w:w="108" w:type="dxa"/>
          </w:tblCellMar>
        </w:tblPrEx>
        <w:trPr>
          <w:trHeight w:val="510" w:hRule="atLeast"/>
        </w:trPr>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r>
              <w:rPr>
                <w:rFonts w:hint="eastAsia" w:ascii="仿宋_GB2312" w:hAnsi="仿宋_GB2312" w:eastAsia="仿宋_GB2312"/>
                <w:color w:val="000000" w:themeColor="text1"/>
                <w:sz w:val="24"/>
              </w:rPr>
              <w:t>序号</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r>
              <w:rPr>
                <w:rFonts w:hint="eastAsia" w:ascii="仿宋_GB2312" w:hAnsi="仿宋_GB2312" w:eastAsia="仿宋_GB2312"/>
                <w:color w:val="000000" w:themeColor="text1"/>
                <w:sz w:val="24"/>
              </w:rPr>
              <w:t>产品名称</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r>
              <w:rPr>
                <w:rFonts w:hint="eastAsia" w:ascii="仿宋_GB2312" w:hAnsi="仿宋_GB2312" w:eastAsia="仿宋_GB2312"/>
                <w:color w:val="000000" w:themeColor="text1"/>
                <w:sz w:val="24"/>
              </w:rPr>
              <w:t>生产厂家/品牌</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r>
              <w:rPr>
                <w:rFonts w:hint="eastAsia" w:ascii="仿宋_GB2312" w:hAnsi="仿宋_GB2312" w:eastAsia="仿宋_GB2312"/>
                <w:color w:val="000000" w:themeColor="text1"/>
                <w:sz w:val="24"/>
              </w:rPr>
              <w:t>注册证号</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r>
              <w:rPr>
                <w:rFonts w:hint="eastAsia" w:ascii="仿宋_GB2312" w:hAnsi="仿宋_GB2312" w:eastAsia="仿宋_GB2312"/>
                <w:color w:val="000000" w:themeColor="text1"/>
                <w:sz w:val="24"/>
              </w:rPr>
              <w:t>规格型号</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olor w:val="000000" w:themeColor="text1"/>
                <w:sz w:val="24"/>
              </w:rPr>
            </w:pPr>
            <w:r>
              <w:rPr>
                <w:rFonts w:hint="eastAsia" w:ascii="仿宋_GB2312" w:hAnsi="仿宋_GB2312" w:eastAsia="仿宋_GB2312"/>
                <w:color w:val="000000" w:themeColor="text1"/>
                <w:sz w:val="24"/>
              </w:rPr>
              <w:t>单位</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olor w:val="000000" w:themeColor="text1"/>
                <w:sz w:val="24"/>
              </w:rPr>
            </w:pPr>
            <w:r>
              <w:rPr>
                <w:rFonts w:hint="eastAsia" w:ascii="仿宋_GB2312" w:hAnsi="仿宋_GB2312" w:eastAsia="仿宋_GB2312"/>
                <w:color w:val="000000" w:themeColor="text1"/>
                <w:sz w:val="24"/>
              </w:rPr>
              <w:t>数量</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olor w:val="000000" w:themeColor="text1"/>
                <w:sz w:val="24"/>
              </w:rPr>
            </w:pPr>
            <w:r>
              <w:rPr>
                <w:rFonts w:hint="eastAsia" w:ascii="仿宋_GB2312" w:hAnsi="仿宋_GB2312" w:eastAsia="仿宋_GB2312"/>
                <w:color w:val="000000" w:themeColor="text1"/>
                <w:sz w:val="24"/>
              </w:rPr>
              <w:t>单价（元）</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r>
              <w:rPr>
                <w:rFonts w:hint="eastAsia" w:ascii="仿宋_GB2312" w:hAnsi="仿宋_GB2312" w:eastAsia="仿宋_GB2312"/>
                <w:color w:val="000000" w:themeColor="text1"/>
                <w:sz w:val="24"/>
              </w:rPr>
              <w:t>备注</w:t>
            </w:r>
          </w:p>
        </w:tc>
      </w:tr>
      <w:tr>
        <w:tblPrEx>
          <w:tblCellMar>
            <w:top w:w="0" w:type="dxa"/>
            <w:left w:w="108" w:type="dxa"/>
            <w:bottom w:w="0" w:type="dxa"/>
            <w:right w:w="108" w:type="dxa"/>
          </w:tblCellMar>
        </w:tblPrEx>
        <w:trPr>
          <w:trHeight w:val="528" w:hRule="atLeast"/>
        </w:trPr>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r>
              <w:rPr>
                <w:rFonts w:hint="eastAsia" w:ascii="仿宋_GB2312" w:hAnsi="仿宋_GB2312" w:eastAsia="仿宋_GB2312"/>
                <w:color w:val="000000" w:themeColor="text1"/>
                <w:sz w:val="24"/>
              </w:rPr>
              <w:t>1</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p>
        </w:tc>
        <w:tc>
          <w:tcPr>
            <w:tcW w:w="7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_GB2312" w:eastAsia="仿宋_GB2312"/>
                <w:color w:val="000000" w:themeColor="text1"/>
                <w:sz w:val="24"/>
              </w:rPr>
            </w:pPr>
          </w:p>
        </w:tc>
      </w:tr>
    </w:tbl>
    <w:p>
      <w:pPr>
        <w:spacing w:line="340" w:lineRule="exact"/>
        <w:ind w:firstLine="360" w:firstLineChars="150"/>
        <w:rPr>
          <w:rFonts w:ascii="仿宋_GB2312" w:hAnsi="仿宋_GB2312" w:eastAsia="仿宋_GB2312"/>
          <w:sz w:val="24"/>
        </w:rPr>
      </w:pPr>
      <w:r>
        <w:rPr>
          <w:rFonts w:hint="eastAsia" w:ascii="仿宋_GB2312" w:hAnsi="仿宋_GB2312" w:eastAsia="仿宋_GB2312"/>
          <w:color w:val="000000" w:themeColor="text1"/>
          <w:sz w:val="24"/>
        </w:rPr>
        <w:t>3、本合同为固定单价，合同总价为      元（人民币大写：        ）合同总价以甲方实际采购并验收合格的数量结合上表标明单价进行结算支付。包含增值税。合同价格</w:t>
      </w:r>
      <w:r>
        <w:rPr>
          <w:rFonts w:hint="eastAsia" w:ascii="仿宋_GB2312" w:hAnsi="仿宋_GB2312" w:eastAsia="仿宋_GB2312"/>
          <w:sz w:val="24"/>
        </w:rPr>
        <w:t xml:space="preserve">已包括货物供给、货物包装、运输费、安装费、调试、装卸费和保险等的全部费用及相关税费。乙方应保证甲方除支付合同约定货款之外无需再行支付其他任何费用和款项。 </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pPr>
        <w:spacing w:line="340" w:lineRule="exact"/>
        <w:ind w:firstLine="360" w:firstLineChars="150"/>
        <w:rPr>
          <w:rFonts w:ascii="仿宋_GB2312" w:hAnsi="仿宋_GB2312" w:eastAsia="仿宋_GB2312"/>
          <w:b/>
          <w:sz w:val="24"/>
        </w:rPr>
      </w:pPr>
      <w:r>
        <w:rPr>
          <w:rFonts w:hint="eastAsia" w:ascii="仿宋_GB2312" w:hAnsi="仿宋_GB2312" w:eastAsia="仿宋_GB2312"/>
          <w:b/>
          <w:sz w:val="24"/>
        </w:rPr>
        <w:t>二、货物的证件要求和乙方责任：</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1、乙方必须按照《医疗器械管理条例》、《医疗器械使用质量监督管理办法》等相关要求提供符合国家省、市有关医疗器械管理规定的各种证件（如：营业执照、生产企业许可证、经营许可证、医疗器械注册证或备案凭证）等证明文件。</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2、乙方提供的上述各种证件必须完整、真实、有效，协议期内，证件到期更换时乙方应及时向甲方提供更换后的有效证件。</w:t>
      </w:r>
    </w:p>
    <w:p>
      <w:pPr>
        <w:spacing w:line="340" w:lineRule="exact"/>
        <w:ind w:firstLine="360" w:firstLineChars="150"/>
        <w:rPr>
          <w:rFonts w:ascii="仿宋_GB2312" w:hAnsi="仿宋_GB2312" w:eastAsia="仿宋_GB2312"/>
          <w:sz w:val="24"/>
        </w:rPr>
      </w:pPr>
      <w:r>
        <w:rPr>
          <w:rFonts w:hint="eastAsia" w:ascii="仿宋_GB2312" w:hAnsi="仿宋_GB2312" w:eastAsia="仿宋_GB2312"/>
          <w:b/>
          <w:sz w:val="24"/>
        </w:rPr>
        <w:t>三</w:t>
      </w:r>
      <w:r>
        <w:rPr>
          <w:rFonts w:hint="eastAsia" w:ascii="仿宋_GB2312" w:hAnsi="仿宋_GB2312" w:eastAsia="仿宋_GB2312"/>
          <w:sz w:val="24"/>
        </w:rPr>
        <w:t>、</w:t>
      </w:r>
      <w:r>
        <w:rPr>
          <w:rFonts w:hint="eastAsia" w:ascii="仿宋_GB2312" w:hAnsi="仿宋_GB2312" w:eastAsia="仿宋_GB2312"/>
          <w:b/>
          <w:sz w:val="24"/>
        </w:rPr>
        <w:t>质量保证</w:t>
      </w:r>
    </w:p>
    <w:p>
      <w:pPr>
        <w:spacing w:line="340" w:lineRule="exact"/>
        <w:ind w:firstLine="360" w:firstLineChars="150"/>
        <w:rPr>
          <w:rFonts w:ascii="仿宋_GB2312" w:hAnsi="仿宋_GB2312" w:eastAsia="仿宋_GB2312"/>
          <w:sz w:val="24"/>
        </w:rPr>
      </w:pPr>
      <w:r>
        <w:rPr>
          <w:rFonts w:ascii="仿宋_GB2312" w:hAnsi="仿宋_GB2312" w:eastAsia="仿宋_GB2312"/>
          <w:sz w:val="24"/>
        </w:rPr>
        <w:t>1</w:t>
      </w:r>
      <w:r>
        <w:rPr>
          <w:rFonts w:hint="eastAsia" w:ascii="仿宋_GB2312" w:hAnsi="仿宋_GB2312" w:eastAsia="仿宋_GB2312"/>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340" w:lineRule="exact"/>
        <w:ind w:firstLine="360" w:firstLineChars="150"/>
        <w:rPr>
          <w:rFonts w:ascii="仿宋_GB2312" w:hAnsi="仿宋_GB2312" w:eastAsia="仿宋_GB2312"/>
          <w:sz w:val="24"/>
        </w:rPr>
      </w:pPr>
      <w:r>
        <w:rPr>
          <w:rFonts w:ascii="仿宋_GB2312" w:hAnsi="仿宋_GB2312" w:eastAsia="仿宋_GB2312"/>
          <w:sz w:val="24"/>
        </w:rPr>
        <w:t>2</w:t>
      </w:r>
      <w:r>
        <w:rPr>
          <w:rFonts w:hint="eastAsia" w:ascii="仿宋_GB2312" w:hAnsi="仿宋_GB2312" w:eastAsia="仿宋_GB2312"/>
          <w:sz w:val="24"/>
        </w:rPr>
        <w:t>、乙方保证本合同货物是全新的、未使用过的、标识清楚，并符合国家技术规格和国家质量标准的出厂原装合格产品，产品型号、数量、规格及技术、质量标准、售后服务必须满足甲方采购要求。</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3、乙方保证向甲方提供的货品必须资质齐全、信誉好、质量高、性价比合理、售后有保障的产品。因产品资质或质量问题引发的医疗事故或纠纷，均由乙方承担全部损失。</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4、乙方提供的耗材（试剂）进入甲方后，应接受国家、省、市有关行业主管部门的抽查或检查。由此发生的资质、标识或产品质量问题的罚没事项均由乙方自行承担。</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5、货物在交货过程中，发生意外事故和故障损失，如撞、刮、裂、损等均由乙方承担责任。</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6、乙方提供的产品，如发生过期、失效等问题时，由乙方全部负责，且自收到甲方书面通知后7日内无条件予以补充或调换。</w:t>
      </w:r>
    </w:p>
    <w:p>
      <w:pPr>
        <w:spacing w:line="340" w:lineRule="exact"/>
        <w:ind w:firstLine="360" w:firstLineChars="150"/>
        <w:rPr>
          <w:rFonts w:ascii="仿宋_GB2312" w:hAnsi="仿宋_GB2312" w:eastAsia="仿宋_GB2312"/>
          <w:b/>
          <w:sz w:val="24"/>
        </w:rPr>
      </w:pPr>
      <w:r>
        <w:rPr>
          <w:rFonts w:hint="eastAsia" w:ascii="仿宋_GB2312" w:hAnsi="仿宋_GB2312" w:eastAsia="仿宋_GB2312"/>
          <w:b/>
          <w:sz w:val="24"/>
        </w:rPr>
        <w:t>四、质量保证期</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1、质保期自甲方书面验收合格后，乙方开具发票之日起计算。</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2、乙方提供产品的具体质保期以相关产品生产厂家提供的质保期为准。</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3、在质量保证期内，因产品质量出现问题，乙方负责免费更换，并承担与更换有关的运费、安装、调试、保险等一切费用。</w:t>
      </w:r>
    </w:p>
    <w:p>
      <w:pPr>
        <w:spacing w:line="340" w:lineRule="exact"/>
        <w:ind w:firstLine="360" w:firstLineChars="150"/>
        <w:rPr>
          <w:rFonts w:ascii="仿宋_GB2312" w:hAnsi="仿宋_GB2312" w:eastAsia="仿宋_GB2312"/>
          <w:b/>
          <w:sz w:val="24"/>
        </w:rPr>
      </w:pPr>
      <w:r>
        <w:rPr>
          <w:rFonts w:hint="eastAsia" w:ascii="仿宋_GB2312" w:hAnsi="仿宋_GB2312" w:eastAsia="仿宋_GB2312"/>
          <w:b/>
          <w:sz w:val="24"/>
        </w:rPr>
        <w:t>五、交货时间、地点</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pPr>
        <w:spacing w:line="340" w:lineRule="exact"/>
        <w:ind w:firstLine="360" w:firstLineChars="150"/>
        <w:rPr>
          <w:rFonts w:ascii="仿宋_GB2312" w:hAnsi="仿宋_GB2312" w:eastAsia="仿宋_GB2312"/>
          <w:color w:val="000000" w:themeColor="text1"/>
          <w:sz w:val="24"/>
        </w:rPr>
      </w:pPr>
      <w:r>
        <w:rPr>
          <w:rFonts w:hint="eastAsia" w:ascii="仿宋_GB2312" w:hAnsi="仿宋_GB2312" w:eastAsia="仿宋_GB2312"/>
          <w:sz w:val="24"/>
        </w:rPr>
        <w:t>2、在应急情况下（自然灾害等不可抗力因素情况除外），急救产品1小时内送到甲方指定地点，一般产品24小时内送到甲方指定地点：</w:t>
      </w:r>
      <w:r>
        <w:rPr>
          <w:rFonts w:hint="eastAsia" w:ascii="仿宋_GB2312" w:hAnsi="仿宋_GB2312" w:eastAsia="仿宋_GB2312"/>
          <w:sz w:val="24"/>
          <w:u w:val="single"/>
        </w:rPr>
        <w:t>新疆医科大学第二附属医院</w:t>
      </w:r>
      <w:r>
        <w:rPr>
          <w:rFonts w:hint="eastAsia" w:ascii="仿宋_GB2312" w:hAnsi="仿宋_GB2312" w:eastAsia="仿宋_GB2312"/>
          <w:sz w:val="24"/>
        </w:rPr>
        <w:t>,节假日保证按时配送。如甲方有特殊配送需求的，乙方必须设法满足，如不能按时到货，导致甲方断货影响病人治疗，乙方将按</w:t>
      </w:r>
      <w:r>
        <w:rPr>
          <w:rFonts w:hint="eastAsia" w:ascii="仿宋_GB2312" w:hAnsi="仿宋_GB2312" w:eastAsia="仿宋_GB2312"/>
          <w:color w:val="000000" w:themeColor="text1"/>
          <w:sz w:val="24"/>
        </w:rPr>
        <w:t>第九条向甲方承担违约责任。</w:t>
      </w:r>
    </w:p>
    <w:p>
      <w:pPr>
        <w:spacing w:line="340" w:lineRule="exact"/>
        <w:ind w:firstLine="360" w:firstLineChars="150"/>
        <w:rPr>
          <w:rFonts w:ascii="仿宋_GB2312" w:hAnsi="仿宋_GB2312" w:eastAsia="仿宋_GB2312"/>
          <w:sz w:val="24"/>
          <w:u w:val="single"/>
        </w:rPr>
      </w:pPr>
      <w:r>
        <w:rPr>
          <w:rFonts w:hint="eastAsia" w:ascii="仿宋_GB2312" w:hAnsi="仿宋_GB2312" w:eastAsia="仿宋_GB2312"/>
          <w:color w:val="000000" w:themeColor="text1"/>
          <w:sz w:val="24"/>
        </w:rPr>
        <w:t>3、到货地点和接货单位（或接货人）</w:t>
      </w:r>
      <w:r>
        <w:rPr>
          <w:rFonts w:hint="eastAsia" w:ascii="仿宋_GB2312" w:hAnsi="仿宋_GB2312" w:eastAsia="仿宋_GB2312"/>
          <w:color w:val="000000" w:themeColor="text1"/>
          <w:sz w:val="24"/>
          <w:u w:val="single"/>
        </w:rPr>
        <w:t xml:space="preserve"> 新疆医科大学第二附属医院</w:t>
      </w:r>
      <w:r>
        <w:rPr>
          <w:rFonts w:hint="eastAsia" w:ascii="仿宋_GB2312" w:hAnsi="仿宋_GB2312" w:eastAsia="仿宋_GB2312"/>
          <w:color w:val="000000" w:themeColor="text1"/>
          <w:sz w:val="24"/>
        </w:rPr>
        <w:t>。甲方指定的接货人为：姓名</w:t>
      </w:r>
      <w:r>
        <w:rPr>
          <w:rFonts w:hint="eastAsia" w:ascii="仿宋_GB2312" w:hAnsi="仿宋_GB2312" w:eastAsia="仿宋_GB2312"/>
          <w:color w:val="000000" w:themeColor="text1"/>
          <w:sz w:val="24"/>
          <w:u w:val="single"/>
        </w:rPr>
        <w:t>：          ，</w:t>
      </w:r>
      <w:r>
        <w:rPr>
          <w:rFonts w:hint="eastAsia" w:ascii="仿宋_GB2312" w:hAnsi="仿宋_GB2312" w:eastAsia="仿宋_GB2312"/>
          <w:color w:val="000000" w:themeColor="text1"/>
          <w:sz w:val="24"/>
        </w:rPr>
        <w:t>电话号码：</w:t>
      </w:r>
      <w:r>
        <w:rPr>
          <w:rFonts w:hint="eastAsia" w:ascii="仿宋_GB2312" w:hAnsi="仿宋_GB2312" w:eastAsia="仿宋_GB2312"/>
          <w:color w:val="000000" w:themeColor="text1"/>
          <w:sz w:val="24"/>
          <w:u w:val="single"/>
        </w:rPr>
        <w:t xml:space="preserve">               </w:t>
      </w:r>
      <w:r>
        <w:rPr>
          <w:rFonts w:hint="eastAsia" w:ascii="仿宋_GB2312" w:hAnsi="仿宋_GB2312" w:eastAsia="仿宋_GB2312"/>
          <w:color w:val="000000" w:themeColor="text1"/>
          <w:sz w:val="24"/>
        </w:rPr>
        <w:t>；双方明确，除该指定接货人外，其他任何人员（包括甲方的其他任何工作人员）签署的接货单，</w:t>
      </w:r>
      <w:r>
        <w:rPr>
          <w:rFonts w:hint="eastAsia" w:ascii="仿宋_GB2312" w:hAnsi="仿宋_GB2312" w:eastAsia="仿宋_GB2312"/>
          <w:sz w:val="24"/>
        </w:rPr>
        <w:t>甲方均不予认可。</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4、在交付时，乙方必须向甲方提供质量合格证书、技术资料（操作、维修、保养）、保修凭证等一切相关资料及配件，否则，甲方有权不予付款且不承担违约责任。</w:t>
      </w:r>
    </w:p>
    <w:p>
      <w:pPr>
        <w:spacing w:line="340" w:lineRule="exact"/>
        <w:ind w:firstLine="360" w:firstLineChars="150"/>
        <w:rPr>
          <w:rFonts w:ascii="仿宋_GB2312" w:hAnsi="仿宋_GB2312" w:eastAsia="仿宋_GB2312"/>
          <w:b/>
          <w:sz w:val="24"/>
        </w:rPr>
      </w:pPr>
      <w:r>
        <w:rPr>
          <w:rFonts w:hint="eastAsia" w:ascii="仿宋_GB2312" w:hAnsi="仿宋_GB2312" w:eastAsia="仿宋_GB2312"/>
          <w:b/>
          <w:sz w:val="24"/>
        </w:rPr>
        <w:t>六、产品包装及运输</w:t>
      </w:r>
    </w:p>
    <w:p>
      <w:pPr>
        <w:spacing w:line="340" w:lineRule="exact"/>
        <w:ind w:firstLine="360" w:firstLineChars="150"/>
        <w:rPr>
          <w:rFonts w:ascii="仿宋_GB2312" w:hAnsi="仿宋_GB2312" w:eastAsia="仿宋_GB2312" w:cs="Bookman Old Style"/>
          <w:bCs/>
          <w:sz w:val="24"/>
        </w:rPr>
      </w:pPr>
      <w:r>
        <w:rPr>
          <w:rFonts w:hint="eastAsia" w:ascii="仿宋_GB2312" w:hAnsi="仿宋_GB2312" w:eastAsia="仿宋_GB2312" w:cs="Bookman Old Style"/>
          <w:bCs/>
          <w:sz w:val="24"/>
        </w:rPr>
        <w:t>１、包装必须与运输方式相适应，包装方式的确定和包装费用均由乙方负责</w:t>
      </w:r>
      <w:r>
        <w:rPr>
          <w:rFonts w:ascii="仿宋_GB2312" w:hAnsi="仿宋_GB2312" w:eastAsia="仿宋_GB2312" w:cs="Bookman Old Style"/>
          <w:bCs/>
          <w:sz w:val="24"/>
        </w:rPr>
        <w:t>;</w:t>
      </w:r>
      <w:r>
        <w:rPr>
          <w:rFonts w:hint="eastAsia" w:ascii="仿宋_GB2312" w:hAnsi="仿宋_GB2312" w:eastAsia="仿宋_GB2312" w:cs="Bookman Old Style"/>
          <w:bCs/>
          <w:sz w:val="24"/>
        </w:rPr>
        <w:t>由于不适当的包装而造成的货物有任何的损坏由乙方负责。</w:t>
      </w:r>
      <w:r>
        <w:rPr>
          <w:rFonts w:ascii="仿宋_GB2312" w:hAnsi="仿宋_GB2312" w:eastAsia="仿宋_GB2312" w:cs="Bookman Old Style"/>
          <w:bCs/>
          <w:sz w:val="24"/>
        </w:rPr>
        <w:t xml:space="preserve"> </w:t>
      </w:r>
    </w:p>
    <w:p>
      <w:pPr>
        <w:spacing w:line="340" w:lineRule="exact"/>
        <w:ind w:firstLine="360" w:firstLineChars="150"/>
        <w:rPr>
          <w:rFonts w:ascii="仿宋_GB2312" w:hAnsi="仿宋_GB2312" w:eastAsia="仿宋_GB2312" w:cs="Bookman Old Style"/>
          <w:bCs/>
          <w:sz w:val="24"/>
        </w:rPr>
      </w:pPr>
      <w:r>
        <w:rPr>
          <w:rFonts w:hint="eastAsia" w:ascii="仿宋_GB2312" w:hAnsi="仿宋_GB2312" w:eastAsia="仿宋_GB2312" w:cs="Bookman Old Style"/>
          <w:bCs/>
          <w:sz w:val="24"/>
        </w:rPr>
        <w:t>２、乙方提供的全部货物必须</w:t>
      </w:r>
      <w:r>
        <w:rPr>
          <w:rFonts w:hint="eastAsia" w:ascii="仿宋_GB2312" w:hAnsi="仿宋_GB2312" w:eastAsia="仿宋_GB2312"/>
          <w:sz w:val="24"/>
        </w:rPr>
        <w:t>按照《医疗器械管理条例》、《医疗器械使用质量监督管理办法》等相关要求</w:t>
      </w:r>
      <w:r>
        <w:rPr>
          <w:rFonts w:hint="eastAsia" w:ascii="仿宋_GB2312" w:hAnsi="仿宋_GB2312" w:eastAsia="仿宋_GB2312" w:cs="Bookman Old Style"/>
          <w:bCs/>
          <w:sz w:val="24"/>
        </w:rPr>
        <w:t>的标准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_GB2312" w:hAnsi="仿宋_GB2312" w:eastAsia="仿宋_GB2312" w:cs="Bookman Old Style"/>
          <w:bCs/>
          <w:sz w:val="24"/>
        </w:rPr>
        <w:t xml:space="preserve"> </w:t>
      </w:r>
    </w:p>
    <w:p>
      <w:pPr>
        <w:spacing w:line="340" w:lineRule="exact"/>
        <w:ind w:firstLine="360" w:firstLineChars="150"/>
        <w:rPr>
          <w:rFonts w:ascii="仿宋_GB2312" w:hAnsi="仿宋_GB2312" w:eastAsia="仿宋_GB2312" w:cs="Bookman Old Style"/>
          <w:bCs/>
          <w:sz w:val="24"/>
        </w:rPr>
      </w:pPr>
      <w:r>
        <w:rPr>
          <w:rFonts w:hint="eastAsia" w:ascii="仿宋_GB2312" w:hAnsi="仿宋_GB2312" w:eastAsia="仿宋_GB2312" w:cs="Bookman Old Style"/>
          <w:bCs/>
          <w:sz w:val="24"/>
        </w:rPr>
        <w:t>3、包装费、运输费、装卸费和保险费均已包含在合同单价内。</w:t>
      </w:r>
    </w:p>
    <w:p>
      <w:pPr>
        <w:spacing w:line="340" w:lineRule="exact"/>
        <w:ind w:firstLine="360" w:firstLineChars="150"/>
        <w:rPr>
          <w:rFonts w:ascii="仿宋_GB2312" w:hAnsi="仿宋_GB2312" w:eastAsia="仿宋_GB2312" w:cs="Bookman Old Style"/>
          <w:bCs/>
          <w:sz w:val="24"/>
        </w:rPr>
      </w:pPr>
      <w:r>
        <w:rPr>
          <w:rFonts w:hint="eastAsia" w:ascii="仿宋_GB2312" w:hAnsi="仿宋_GB2312" w:eastAsia="仿宋_GB2312" w:cs="Bookman Old Style"/>
          <w:bCs/>
          <w:sz w:val="24"/>
        </w:rPr>
        <w:t>4、运输途中的货物安全问题均由乙方负责。</w:t>
      </w:r>
    </w:p>
    <w:p>
      <w:pPr>
        <w:spacing w:line="340" w:lineRule="exact"/>
        <w:ind w:firstLine="360" w:firstLineChars="150"/>
        <w:rPr>
          <w:rFonts w:ascii="仿宋_GB2312" w:hAnsi="仿宋_GB2312" w:eastAsia="仿宋_GB2312" w:cs="Bookman Old Style"/>
          <w:bCs/>
          <w:sz w:val="24"/>
        </w:rPr>
      </w:pPr>
      <w:r>
        <w:rPr>
          <w:rFonts w:hint="eastAsia" w:ascii="仿宋_GB2312" w:hAnsi="仿宋_GB2312" w:eastAsia="仿宋_GB2312"/>
          <w:b/>
          <w:sz w:val="24"/>
        </w:rPr>
        <w:t>七、验收</w:t>
      </w:r>
    </w:p>
    <w:p>
      <w:pPr>
        <w:spacing w:line="340" w:lineRule="exact"/>
        <w:ind w:firstLine="360" w:firstLineChars="150"/>
        <w:rPr>
          <w:rFonts w:ascii="仿宋_GB2312" w:hAnsi="仿宋_GB2312" w:eastAsia="仿宋_GB2312"/>
          <w:sz w:val="24"/>
        </w:rPr>
      </w:pPr>
      <w:r>
        <w:rPr>
          <w:rFonts w:ascii="仿宋_GB2312" w:hAnsi="仿宋_GB2312" w:eastAsia="仿宋_GB2312"/>
          <w:sz w:val="24"/>
        </w:rPr>
        <w:t>1</w:t>
      </w:r>
      <w:r>
        <w:rPr>
          <w:rFonts w:hint="eastAsia" w:ascii="仿宋_GB2312" w:hAnsi="仿宋_GB2312" w:eastAsia="仿宋_GB2312"/>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_GB2312" w:hAnsi="仿宋_GB2312" w:eastAsia="仿宋_GB2312"/>
          <w:sz w:val="24"/>
        </w:rPr>
        <w:t xml:space="preserve"> </w:t>
      </w:r>
    </w:p>
    <w:p>
      <w:pPr>
        <w:spacing w:line="340" w:lineRule="exact"/>
        <w:ind w:firstLine="360" w:firstLineChars="150"/>
        <w:rPr>
          <w:rFonts w:ascii="仿宋_GB2312" w:hAnsi="仿宋_GB2312" w:eastAsia="仿宋_GB2312"/>
          <w:color w:val="000000" w:themeColor="text1"/>
          <w:sz w:val="24"/>
        </w:rPr>
      </w:pPr>
      <w:r>
        <w:rPr>
          <w:rFonts w:ascii="仿宋_GB2312" w:hAnsi="仿宋_GB2312" w:eastAsia="仿宋_GB2312"/>
          <w:sz w:val="24"/>
        </w:rPr>
        <w:t>2</w:t>
      </w:r>
      <w:r>
        <w:rPr>
          <w:rFonts w:hint="eastAsia" w:ascii="仿宋_GB2312" w:hAnsi="仿宋_GB2312" w:eastAsia="仿宋_GB2312"/>
          <w:sz w:val="24"/>
        </w:rPr>
        <w:t>、数量</w:t>
      </w:r>
      <w:r>
        <w:rPr>
          <w:rFonts w:ascii="仿宋_GB2312" w:hAnsi="仿宋_GB2312" w:eastAsia="仿宋_GB2312"/>
          <w:color w:val="000000" w:themeColor="text1"/>
          <w:sz w:val="24"/>
        </w:rPr>
        <w:t>:</w:t>
      </w:r>
      <w:r>
        <w:rPr>
          <w:rFonts w:hint="eastAsia" w:ascii="仿宋_GB2312" w:hAnsi="仿宋_GB2312" w:eastAsia="仿宋_GB2312"/>
          <w:color w:val="000000" w:themeColor="text1"/>
          <w:sz w:val="24"/>
        </w:rPr>
        <w:t xml:space="preserve"> 乙方交货时，甲乙双方应各指定一名工作人员对货物数量进行统计，交货完成后，就甲方验收合格的货物数量，由双方各自指定的工作人员在随货通行单上签字确认，随货通行单一式肆份，作为今后双方结算的依据之一。</w:t>
      </w:r>
    </w:p>
    <w:p>
      <w:pPr>
        <w:spacing w:line="340" w:lineRule="exact"/>
        <w:ind w:firstLine="360" w:firstLineChars="150"/>
        <w:rPr>
          <w:rFonts w:ascii="仿宋_GB2312" w:hAnsi="仿宋_GB2312" w:eastAsia="仿宋_GB2312"/>
          <w:sz w:val="24"/>
        </w:rPr>
      </w:pPr>
      <w:r>
        <w:rPr>
          <w:rFonts w:ascii="仿宋_GB2312" w:hAnsi="仿宋_GB2312" w:eastAsia="仿宋_GB2312"/>
          <w:sz w:val="24"/>
        </w:rPr>
        <w:t>3、</w:t>
      </w:r>
      <w:r>
        <w:rPr>
          <w:rFonts w:hint="eastAsia" w:ascii="仿宋_GB2312" w:hAnsi="仿宋_GB2312" w:eastAsia="仿宋_GB2312"/>
          <w:sz w:val="24"/>
        </w:rPr>
        <w:t>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ascii="仿宋_GB2312" w:hAnsi="仿宋_GB2312" w:eastAsia="仿宋_GB2312"/>
          <w:sz w:val="24"/>
        </w:rPr>
        <w:t xml:space="preserve"> </w:t>
      </w:r>
    </w:p>
    <w:p>
      <w:pPr>
        <w:spacing w:line="340" w:lineRule="exact"/>
        <w:ind w:firstLine="360" w:firstLineChars="150"/>
        <w:rPr>
          <w:rFonts w:ascii="仿宋_GB2312" w:hAnsi="仿宋_GB2312" w:eastAsia="仿宋_GB2312"/>
          <w:sz w:val="24"/>
        </w:rPr>
      </w:pPr>
      <w:r>
        <w:rPr>
          <w:rFonts w:ascii="仿宋_GB2312" w:hAnsi="仿宋_GB2312" w:eastAsia="仿宋_GB2312"/>
          <w:sz w:val="24"/>
        </w:rPr>
        <w:t>4、</w:t>
      </w:r>
      <w:r>
        <w:rPr>
          <w:rFonts w:hint="eastAsia" w:ascii="仿宋_GB2312" w:hAnsi="仿宋_GB2312" w:eastAsia="仿宋_GB2312"/>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tabs>
          <w:tab w:val="left" w:pos="435"/>
        </w:tabs>
        <w:spacing w:line="340" w:lineRule="exact"/>
        <w:ind w:firstLine="240" w:firstLineChars="100"/>
        <w:rPr>
          <w:rFonts w:ascii="仿宋_GB2312" w:hAnsi="仿宋_GB2312" w:eastAsia="仿宋_GB2312"/>
          <w:sz w:val="24"/>
        </w:rPr>
      </w:pPr>
      <w:r>
        <w:rPr>
          <w:rFonts w:hint="eastAsia" w:ascii="仿宋_GB2312" w:hAnsi="仿宋_GB2312" w:eastAsia="仿宋_GB2312"/>
          <w:sz w:val="24"/>
        </w:rPr>
        <w:t>5、乙方提供的入库耗材（试剂）的有效期至少在一年以上，如发现有效期少于三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pPr>
        <w:spacing w:line="340" w:lineRule="exact"/>
        <w:ind w:firstLine="360" w:firstLineChars="150"/>
        <w:rPr>
          <w:rFonts w:ascii="仿宋_GB2312" w:hAnsi="仿宋_GB2312" w:eastAsia="仿宋_GB2312"/>
          <w:b/>
          <w:sz w:val="24"/>
        </w:rPr>
      </w:pPr>
      <w:r>
        <w:rPr>
          <w:rFonts w:hint="eastAsia" w:ascii="仿宋_GB2312" w:hAnsi="仿宋_GB2312" w:eastAsia="仿宋_GB2312"/>
          <w:b/>
          <w:sz w:val="24"/>
        </w:rPr>
        <w:t>八、货款的支付</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1、本合同为固定单价，合同总价按甲方付款计划以合同单价乘以甲方实际采购并验收合格的数量确定总价进行支付。</w:t>
      </w:r>
    </w:p>
    <w:p>
      <w:pPr>
        <w:spacing w:line="340" w:lineRule="exact"/>
        <w:ind w:firstLine="360" w:firstLineChars="150"/>
        <w:rPr>
          <w:rFonts w:ascii="仿宋_GB2312" w:hAnsi="仿宋_GB2312" w:eastAsia="仿宋_GB2312"/>
          <w:sz w:val="24"/>
        </w:rPr>
      </w:pPr>
      <w:r>
        <w:rPr>
          <w:rFonts w:ascii="仿宋_GB2312" w:hAnsi="仿宋_GB2312" w:eastAsia="仿宋_GB2312"/>
          <w:sz w:val="24"/>
        </w:rPr>
        <w:t>2</w:t>
      </w:r>
      <w:r>
        <w:rPr>
          <w:rFonts w:hint="eastAsia" w:ascii="仿宋_GB2312" w:hAnsi="仿宋_GB2312" w:eastAsia="仿宋_GB2312"/>
          <w:sz w:val="24"/>
        </w:rPr>
        <w:t>、甲</w:t>
      </w:r>
      <w:r>
        <w:rPr>
          <w:rFonts w:ascii="仿宋_GB2312" w:hAnsi="仿宋_GB2312" w:eastAsia="仿宋_GB2312"/>
          <w:sz w:val="24"/>
        </w:rPr>
        <w:t>方收到乙方交付的中标</w:t>
      </w:r>
      <w:r>
        <w:rPr>
          <w:rFonts w:hint="eastAsia" w:ascii="仿宋_GB2312" w:hAnsi="仿宋_GB2312" w:eastAsia="仿宋_GB2312"/>
          <w:sz w:val="24"/>
        </w:rPr>
        <w:t>耗材（试剂）验收合格，产品无质量问题及其他纠纷的情况下，根据甲方财务状况而定，原则上在该批次货品用完之后每季度或每半年</w:t>
      </w:r>
      <w:r>
        <w:rPr>
          <w:rFonts w:hint="eastAsia" w:ascii="仿宋_GB2312" w:hAnsi="仿宋_GB2312" w:eastAsia="仿宋_GB2312"/>
          <w:color w:val="000000" w:themeColor="text1"/>
          <w:sz w:val="24"/>
        </w:rPr>
        <w:t>按一定比例以</w:t>
      </w:r>
      <w:r>
        <w:rPr>
          <w:rFonts w:hint="eastAsia" w:ascii="仿宋_GB2312" w:hAnsi="仿宋_GB2312" w:eastAsia="仿宋_GB2312"/>
          <w:sz w:val="24"/>
        </w:rPr>
        <w:t>汇票、转账支票或电汇等方式向乙方支付货款。如遇特殊情况，双方协商解决。</w:t>
      </w:r>
    </w:p>
    <w:p>
      <w:pPr>
        <w:spacing w:line="340" w:lineRule="exact"/>
        <w:ind w:firstLine="400"/>
        <w:rPr>
          <w:rFonts w:ascii="仿宋_GB2312" w:hAnsi="仿宋_GB2312" w:eastAsia="仿宋_GB2312"/>
          <w:sz w:val="24"/>
        </w:rPr>
      </w:pPr>
      <w:r>
        <w:rPr>
          <w:rFonts w:hint="eastAsia" w:ascii="仿宋_GB2312" w:hAnsi="仿宋_GB2312" w:eastAsia="仿宋_GB2312"/>
          <w:sz w:val="24"/>
        </w:rPr>
        <w:t xml:space="preserve">3、甲方支付上述任何一笔款项前，乙方应提供符合甲方财务做账要求的正规增值税发票，否则，甲方有权拒付款项且不承担违约责任。 </w:t>
      </w:r>
      <w:r>
        <w:rPr>
          <w:rFonts w:ascii="仿宋_GB2312" w:hAnsi="仿宋_GB2312" w:eastAsia="仿宋_GB2312"/>
          <w:sz w:val="24"/>
        </w:rPr>
        <w:t xml:space="preserve">   </w:t>
      </w:r>
    </w:p>
    <w:p>
      <w:pPr>
        <w:spacing w:line="340" w:lineRule="exact"/>
        <w:ind w:firstLine="480" w:firstLineChars="200"/>
        <w:rPr>
          <w:rFonts w:ascii="仿宋_GB2312" w:hAnsi="仿宋_GB2312" w:eastAsia="仿宋_GB2312"/>
          <w:sz w:val="24"/>
        </w:rPr>
      </w:pPr>
      <w:r>
        <w:rPr>
          <w:rFonts w:hint="eastAsia" w:ascii="仿宋_GB2312" w:hAnsi="仿宋_GB2312" w:eastAsia="仿宋_GB2312"/>
          <w:sz w:val="24"/>
        </w:rPr>
        <w:t>4、甲方将上述款项支付至乙方指定的如下银行账户：</w:t>
      </w:r>
    </w:p>
    <w:p>
      <w:pPr>
        <w:spacing w:line="340" w:lineRule="exact"/>
        <w:ind w:firstLine="560"/>
        <w:rPr>
          <w:rFonts w:ascii="仿宋_GB2312" w:hAnsi="仿宋_GB2312" w:eastAsia="仿宋_GB2312"/>
          <w:sz w:val="24"/>
          <w:u w:val="single"/>
        </w:rPr>
      </w:pPr>
      <w:r>
        <w:rPr>
          <w:rFonts w:hint="eastAsia" w:ascii="仿宋_GB2312" w:hAnsi="仿宋_GB2312" w:eastAsia="仿宋_GB2312"/>
          <w:sz w:val="24"/>
        </w:rPr>
        <w:t>开户行：</w:t>
      </w:r>
      <w:r>
        <w:rPr>
          <w:rFonts w:hint="eastAsia" w:ascii="仿宋_GB2312" w:hAnsi="仿宋_GB2312" w:eastAsia="仿宋_GB2312"/>
          <w:sz w:val="24"/>
          <w:u w:val="single"/>
        </w:rPr>
        <w:t xml:space="preserve">                                  </w:t>
      </w:r>
    </w:p>
    <w:p>
      <w:pPr>
        <w:spacing w:line="340" w:lineRule="exact"/>
        <w:ind w:firstLine="560"/>
        <w:rPr>
          <w:rFonts w:ascii="仿宋_GB2312" w:hAnsi="仿宋_GB2312" w:eastAsia="仿宋_GB2312"/>
          <w:sz w:val="24"/>
          <w:u w:val="single"/>
        </w:rPr>
      </w:pPr>
      <w:r>
        <w:rPr>
          <w:rFonts w:hint="eastAsia" w:ascii="仿宋_GB2312" w:hAnsi="仿宋_GB2312" w:eastAsia="仿宋_GB2312"/>
          <w:sz w:val="24"/>
        </w:rPr>
        <w:t>账户名称：</w:t>
      </w:r>
      <w:r>
        <w:rPr>
          <w:rFonts w:hint="eastAsia" w:ascii="仿宋_GB2312" w:hAnsi="仿宋_GB2312" w:eastAsia="仿宋_GB2312"/>
          <w:sz w:val="24"/>
          <w:u w:val="single"/>
        </w:rPr>
        <w:t xml:space="preserve">                                </w:t>
      </w:r>
      <w:r>
        <w:rPr>
          <w:rFonts w:hint="eastAsia" w:ascii="仿宋_GB2312" w:hAnsi="仿宋_GB2312" w:eastAsia="仿宋_GB2312"/>
          <w:sz w:val="24"/>
        </w:rPr>
        <w:t xml:space="preserve">                </w:t>
      </w:r>
    </w:p>
    <w:p>
      <w:pPr>
        <w:spacing w:line="340" w:lineRule="exact"/>
        <w:ind w:firstLine="560"/>
        <w:rPr>
          <w:rFonts w:ascii="仿宋_GB2312" w:hAnsi="仿宋_GB2312" w:eastAsia="仿宋_GB2312"/>
          <w:sz w:val="24"/>
          <w:u w:val="single"/>
        </w:rPr>
      </w:pPr>
      <w:r>
        <w:rPr>
          <w:rFonts w:hint="eastAsia" w:ascii="仿宋_GB2312" w:hAnsi="仿宋_GB2312" w:eastAsia="仿宋_GB2312"/>
          <w:sz w:val="24"/>
        </w:rPr>
        <w:t>银行账号：</w:t>
      </w:r>
      <w:r>
        <w:rPr>
          <w:rFonts w:hint="eastAsia" w:ascii="仿宋_GB2312" w:hAnsi="仿宋_GB2312" w:eastAsia="仿宋_GB2312"/>
          <w:sz w:val="24"/>
          <w:u w:val="single"/>
        </w:rPr>
        <w:t xml:space="preserve">                                </w:t>
      </w:r>
      <w:r>
        <w:rPr>
          <w:rFonts w:hint="eastAsia" w:ascii="仿宋_GB2312" w:hAnsi="仿宋_GB2312" w:eastAsia="仿宋_GB2312"/>
          <w:sz w:val="24"/>
        </w:rPr>
        <w:t xml:space="preserve">                    </w:t>
      </w:r>
    </w:p>
    <w:p>
      <w:pPr>
        <w:spacing w:line="340" w:lineRule="exact"/>
        <w:ind w:firstLine="400"/>
        <w:rPr>
          <w:rFonts w:ascii="仿宋_GB2312" w:hAnsi="仿宋_GB2312" w:eastAsia="仿宋_GB2312"/>
          <w:sz w:val="24"/>
        </w:rPr>
      </w:pPr>
      <w:r>
        <w:rPr>
          <w:rFonts w:hint="eastAsia" w:ascii="仿宋_GB2312" w:hAnsi="仿宋_GB2312" w:eastAsia="仿宋_GB2312"/>
          <w:sz w:val="24"/>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r>
        <w:rPr>
          <w:rFonts w:ascii="仿宋_GB2312" w:hAnsi="仿宋_GB2312" w:eastAsia="仿宋_GB2312"/>
          <w:sz w:val="24"/>
        </w:rPr>
        <w:t xml:space="preserve"> </w:t>
      </w:r>
    </w:p>
    <w:p>
      <w:pPr>
        <w:spacing w:line="340" w:lineRule="exact"/>
        <w:ind w:firstLine="480" w:firstLineChars="200"/>
        <w:rPr>
          <w:rFonts w:ascii="仿宋_GB2312" w:hAnsi="仿宋_GB2312" w:eastAsia="仿宋_GB2312"/>
          <w:b/>
          <w:sz w:val="24"/>
        </w:rPr>
      </w:pPr>
      <w:r>
        <w:rPr>
          <w:rFonts w:hint="eastAsia" w:ascii="仿宋_GB2312" w:hAnsi="仿宋_GB2312" w:eastAsia="仿宋_GB2312"/>
          <w:b/>
          <w:sz w:val="24"/>
        </w:rPr>
        <w:t>九、违约责任</w:t>
      </w:r>
    </w:p>
    <w:p>
      <w:pPr>
        <w:spacing w:line="340" w:lineRule="exact"/>
        <w:ind w:firstLine="360" w:firstLineChars="150"/>
        <w:rPr>
          <w:rFonts w:ascii="仿宋_GB2312" w:hAnsi="仿宋_GB2312" w:eastAsia="仿宋_GB2312"/>
          <w:sz w:val="24"/>
        </w:rPr>
      </w:pPr>
      <w:r>
        <w:rPr>
          <w:rFonts w:ascii="仿宋_GB2312" w:hAnsi="仿宋_GB2312" w:eastAsia="仿宋_GB2312"/>
          <w:sz w:val="24"/>
        </w:rPr>
        <w:t>1</w:t>
      </w:r>
      <w:r>
        <w:rPr>
          <w:rFonts w:hint="eastAsia" w:ascii="仿宋_GB2312" w:hAnsi="仿宋_GB2312" w:eastAsia="仿宋_GB2312"/>
          <w:sz w:val="24"/>
        </w:rPr>
        <w:t>）乙方应严格按照合同约定的时间交货，如乙方延迟交货，甲方有权追究延迟交货的违约责任。甲方要求紧急配送急诊或急救耗材（试剂），乙方必须保证能随时供货，每迟延交货一分钟，向甲方承担1</w:t>
      </w:r>
      <w:r>
        <w:rPr>
          <w:rFonts w:ascii="仿宋_GB2312" w:hAnsi="仿宋_GB2312" w:eastAsia="仿宋_GB2312"/>
          <w:sz w:val="24"/>
        </w:rPr>
        <w:t>000</w:t>
      </w:r>
      <w:r>
        <w:rPr>
          <w:rFonts w:hint="eastAsia" w:ascii="仿宋_GB2312" w:hAnsi="仿宋_GB2312" w:eastAsia="仿宋_GB2312"/>
          <w:sz w:val="24"/>
        </w:rPr>
        <w:t>元违约金；正常配送情况下，如不能按时到货，乙方向甲方承担本次货款的</w:t>
      </w:r>
      <w:r>
        <w:rPr>
          <w:rFonts w:ascii="仿宋_GB2312" w:hAnsi="仿宋_GB2312" w:eastAsia="仿宋_GB2312"/>
          <w:sz w:val="24"/>
        </w:rPr>
        <w:t>20</w:t>
      </w:r>
      <w:r>
        <w:rPr>
          <w:rFonts w:hint="eastAsia" w:ascii="仿宋_GB2312" w:hAnsi="仿宋_GB2312" w:eastAsia="仿宋_GB2312"/>
          <w:sz w:val="24"/>
        </w:rPr>
        <w:t>%的违约金。乙方出现三次不按时配送、延迟配送的情形，甲方有权终止合同并有权要求乙方承担合同总金额</w:t>
      </w:r>
      <w:r>
        <w:rPr>
          <w:rFonts w:ascii="仿宋_GB2312" w:hAnsi="仿宋_GB2312" w:eastAsia="仿宋_GB2312"/>
          <w:sz w:val="24"/>
        </w:rPr>
        <w:t>20</w:t>
      </w:r>
      <w:r>
        <w:rPr>
          <w:rFonts w:hint="eastAsia" w:ascii="仿宋_GB2312" w:hAnsi="仿宋_GB2312" w:eastAsia="仿宋_GB2312"/>
          <w:sz w:val="24"/>
        </w:rPr>
        <w:t>%的违约金。</w:t>
      </w:r>
    </w:p>
    <w:p>
      <w:pPr>
        <w:spacing w:line="340" w:lineRule="exact"/>
        <w:ind w:firstLine="360" w:firstLineChars="150"/>
        <w:rPr>
          <w:rFonts w:ascii="仿宋_GB2312" w:hAnsi="仿宋_GB2312" w:eastAsia="仿宋_GB2312"/>
          <w:sz w:val="24"/>
        </w:rPr>
      </w:pPr>
      <w:r>
        <w:rPr>
          <w:rFonts w:ascii="仿宋_GB2312" w:hAnsi="仿宋_GB2312" w:eastAsia="仿宋_GB2312"/>
          <w:sz w:val="24"/>
        </w:rPr>
        <w:t>2</w:t>
      </w:r>
      <w:r>
        <w:rPr>
          <w:rFonts w:hint="eastAsia" w:ascii="仿宋_GB2312" w:hAnsi="仿宋_GB2312" w:eastAsia="仿宋_GB2312"/>
          <w:sz w:val="24"/>
        </w:rPr>
        <w:t>）乙方必须确保投标的产品和供货的产品一致，如发现供货产品生产厂家、质量和招标时不符的情况，甲方有权立即要求乙方退货、终止合同，并要求乙方承担合同总金额</w:t>
      </w:r>
      <w:r>
        <w:rPr>
          <w:rFonts w:ascii="仿宋_GB2312" w:hAnsi="仿宋_GB2312" w:eastAsia="仿宋_GB2312"/>
          <w:sz w:val="24"/>
        </w:rPr>
        <w:t>20</w:t>
      </w:r>
      <w:r>
        <w:rPr>
          <w:rFonts w:hint="eastAsia" w:ascii="仿宋_GB2312" w:hAnsi="仿宋_GB2312" w:eastAsia="仿宋_GB2312"/>
          <w:sz w:val="24"/>
        </w:rPr>
        <w:t>%的违约金。</w:t>
      </w:r>
    </w:p>
    <w:p>
      <w:pPr>
        <w:spacing w:line="340" w:lineRule="exact"/>
        <w:ind w:firstLine="240" w:firstLineChars="100"/>
        <w:rPr>
          <w:rFonts w:ascii="仿宋_GB2312" w:hAnsi="仿宋_GB2312" w:eastAsia="仿宋_GB2312"/>
          <w:sz w:val="24"/>
        </w:rPr>
      </w:pPr>
      <w:r>
        <w:rPr>
          <w:rFonts w:ascii="仿宋_GB2312" w:hAnsi="仿宋_GB2312" w:eastAsia="仿宋_GB2312"/>
          <w:sz w:val="24"/>
        </w:rPr>
        <w:t>3</w:t>
      </w:r>
      <w:r>
        <w:rPr>
          <w:rFonts w:hint="eastAsia" w:ascii="仿宋_GB2312" w:hAnsi="仿宋_GB2312" w:eastAsia="仿宋_GB2312"/>
          <w:sz w:val="24"/>
        </w:rPr>
        <w:t>）</w:t>
      </w:r>
      <w:r>
        <w:rPr>
          <w:rFonts w:ascii="仿宋_GB2312" w:hAnsi="仿宋_GB2312" w:eastAsia="仿宋_GB2312"/>
          <w:sz w:val="24"/>
        </w:rPr>
        <w:t>如果乙方提供的医用耗材（试剂）因质量问题或者设计瑕疵</w:t>
      </w:r>
      <w:r>
        <w:rPr>
          <w:rFonts w:hint="eastAsia" w:ascii="仿宋_GB2312" w:hAnsi="仿宋_GB2312" w:eastAsia="仿宋_GB2312"/>
          <w:sz w:val="24"/>
        </w:rPr>
        <w:t>，导致</w:t>
      </w:r>
      <w:r>
        <w:rPr>
          <w:rFonts w:ascii="仿宋_GB2312" w:hAnsi="仿宋_GB2312" w:eastAsia="仿宋_GB2312"/>
          <w:sz w:val="24"/>
        </w:rPr>
        <w:t>甲方使用过程中</w:t>
      </w:r>
      <w:r>
        <w:rPr>
          <w:rFonts w:hint="eastAsia" w:ascii="仿宋_GB2312" w:hAnsi="仿宋_GB2312" w:eastAsia="仿宋_GB2312"/>
          <w:sz w:val="24"/>
        </w:rPr>
        <w:t>发生</w:t>
      </w:r>
      <w:r>
        <w:rPr>
          <w:rFonts w:ascii="仿宋_GB2312" w:hAnsi="仿宋_GB2312" w:eastAsia="仿宋_GB2312"/>
          <w:sz w:val="24"/>
        </w:rPr>
        <w:t>医疗</w:t>
      </w:r>
      <w:r>
        <w:rPr>
          <w:rFonts w:hint="eastAsia" w:ascii="仿宋_GB2312" w:hAnsi="仿宋_GB2312" w:eastAsia="仿宋_GB2312"/>
          <w:sz w:val="24"/>
        </w:rPr>
        <w:t>事故等</w:t>
      </w:r>
      <w:r>
        <w:rPr>
          <w:rFonts w:ascii="仿宋_GB2312" w:hAnsi="仿宋_GB2312" w:eastAsia="仿宋_GB2312"/>
          <w:sz w:val="24"/>
        </w:rPr>
        <w:t>不良后果</w:t>
      </w:r>
      <w:r>
        <w:rPr>
          <w:rFonts w:hint="eastAsia" w:ascii="仿宋_GB2312" w:hAnsi="仿宋_GB2312" w:eastAsia="仿宋_GB2312"/>
          <w:sz w:val="24"/>
        </w:rPr>
        <w:t>的，全部责任均由</w:t>
      </w:r>
      <w:r>
        <w:rPr>
          <w:rFonts w:ascii="仿宋_GB2312" w:hAnsi="仿宋_GB2312" w:eastAsia="仿宋_GB2312"/>
          <w:sz w:val="24"/>
        </w:rPr>
        <w:t>乙方承担</w:t>
      </w:r>
      <w:r>
        <w:rPr>
          <w:rFonts w:hint="eastAsia" w:ascii="仿宋_GB2312" w:hAnsi="仿宋_GB2312" w:eastAsia="仿宋_GB2312"/>
          <w:sz w:val="24"/>
        </w:rPr>
        <w:t>，并赔偿由此给甲方带来的全部损失，同时，剩余未付货款作为违约金全部归甲方所有。</w:t>
      </w:r>
    </w:p>
    <w:p>
      <w:pPr>
        <w:tabs>
          <w:tab w:val="left" w:pos="435"/>
        </w:tabs>
        <w:spacing w:line="340" w:lineRule="exact"/>
        <w:ind w:firstLine="240" w:firstLineChars="100"/>
        <w:rPr>
          <w:rFonts w:ascii="仿宋_GB2312" w:hAnsi="仿宋_GB2312" w:eastAsia="仿宋_GB2312"/>
          <w:sz w:val="24"/>
        </w:rPr>
      </w:pPr>
      <w:r>
        <w:rPr>
          <w:rFonts w:ascii="仿宋_GB2312" w:hAnsi="仿宋_GB2312" w:eastAsia="仿宋_GB2312"/>
          <w:sz w:val="24"/>
        </w:rPr>
        <w:t>4</w:t>
      </w:r>
      <w:r>
        <w:rPr>
          <w:rFonts w:hint="eastAsia" w:ascii="仿宋_GB2312" w:hAnsi="仿宋_GB2312" w:eastAsia="仿宋_GB2312"/>
          <w:sz w:val="24"/>
        </w:rPr>
        <w:t>）乙方销售代表</w:t>
      </w:r>
      <w:r>
        <w:rPr>
          <w:rFonts w:hint="eastAsia" w:ascii="仿宋_GB2312" w:hAnsi="仿宋_GB2312" w:eastAsia="仿宋_GB2312"/>
          <w:color w:val="000000" w:themeColor="text1"/>
          <w:sz w:val="24"/>
          <w:u w:val="single"/>
        </w:rPr>
        <w:t xml:space="preserve">          </w:t>
      </w:r>
      <w:r>
        <w:rPr>
          <w:rFonts w:hint="eastAsia" w:ascii="仿宋_GB2312" w:hAnsi="仿宋_GB2312" w:eastAsia="仿宋_GB2312"/>
          <w:color w:val="000000" w:themeColor="text1"/>
          <w:sz w:val="24"/>
        </w:rPr>
        <w:t>在</w:t>
      </w:r>
      <w:r>
        <w:rPr>
          <w:rFonts w:hint="eastAsia" w:ascii="仿宋_GB2312" w:hAnsi="仿宋_GB2312" w:eastAsia="仿宋_GB2312"/>
          <w:sz w:val="24"/>
        </w:rPr>
        <w:t>合同签订及履行过程中，不得实施商业贿赂。若有商业贿赂行为，按照国卫法制发（2013）50号文件《关于建立医药购销领域商业贿赂不良记录的规定》中有关规定执行。</w:t>
      </w:r>
    </w:p>
    <w:p>
      <w:pPr>
        <w:tabs>
          <w:tab w:val="left" w:pos="435"/>
        </w:tabs>
        <w:spacing w:line="340" w:lineRule="exact"/>
        <w:ind w:firstLine="200"/>
        <w:rPr>
          <w:rFonts w:ascii="仿宋_GB2312" w:hAnsi="仿宋_GB2312" w:eastAsia="仿宋_GB2312"/>
          <w:b/>
          <w:sz w:val="24"/>
        </w:rPr>
      </w:pPr>
      <w:r>
        <w:rPr>
          <w:rFonts w:hint="eastAsia" w:ascii="仿宋_GB2312" w:hAnsi="仿宋_GB2312" w:eastAsia="仿宋_GB2312"/>
          <w:sz w:val="24"/>
        </w:rPr>
        <w:t xml:space="preserve">  </w:t>
      </w:r>
      <w:r>
        <w:rPr>
          <w:rFonts w:ascii="仿宋_GB2312" w:hAnsi="仿宋_GB2312" w:eastAsia="仿宋_GB2312"/>
          <w:sz w:val="24"/>
        </w:rPr>
        <w:t xml:space="preserve"> </w:t>
      </w:r>
      <w:r>
        <w:rPr>
          <w:rFonts w:hint="eastAsia" w:ascii="仿宋_GB2312" w:hAnsi="仿宋_GB2312" w:eastAsia="仿宋_GB2312"/>
          <w:b/>
          <w:sz w:val="24"/>
        </w:rPr>
        <w:t>十、争议的解决</w:t>
      </w:r>
    </w:p>
    <w:p>
      <w:pPr>
        <w:spacing w:line="340" w:lineRule="exact"/>
        <w:ind w:firstLine="480" w:firstLineChars="200"/>
        <w:rPr>
          <w:rFonts w:ascii="仿宋_GB2312" w:hAnsi="仿宋_GB2312" w:eastAsia="仿宋_GB2312"/>
          <w:sz w:val="24"/>
        </w:rPr>
      </w:pPr>
      <w:r>
        <w:rPr>
          <w:rFonts w:hint="eastAsia" w:ascii="仿宋_GB2312" w:hAnsi="仿宋_GB2312" w:eastAsia="仿宋_GB2312" w:cs="Bookman Old Style"/>
          <w:sz w:val="24"/>
        </w:rPr>
        <w:t>本合同如发生纠纷，当事人双方应当及时协商解决，协商不成时，</w:t>
      </w:r>
      <w:r>
        <w:rPr>
          <w:rFonts w:hint="eastAsia" w:ascii="仿宋_GB2312" w:hAnsi="仿宋_GB2312" w:eastAsia="仿宋_GB2312"/>
          <w:sz w:val="24"/>
        </w:rPr>
        <w:t>可提交甲方所在地法院诉讼解决。</w:t>
      </w:r>
    </w:p>
    <w:p>
      <w:pPr>
        <w:spacing w:line="340" w:lineRule="exact"/>
        <w:ind w:firstLine="480" w:firstLineChars="200"/>
        <w:rPr>
          <w:rFonts w:ascii="仿宋_GB2312" w:hAnsi="仿宋_GB2312" w:eastAsia="仿宋_GB2312"/>
          <w:b/>
          <w:sz w:val="24"/>
        </w:rPr>
      </w:pPr>
      <w:r>
        <w:rPr>
          <w:rFonts w:hint="eastAsia" w:ascii="仿宋_GB2312" w:hAnsi="仿宋_GB2312" w:eastAsia="仿宋_GB2312"/>
          <w:b/>
          <w:sz w:val="24"/>
        </w:rPr>
        <w:t>十一、合同的生效与文本</w:t>
      </w:r>
    </w:p>
    <w:p>
      <w:pPr>
        <w:spacing w:line="340" w:lineRule="exact"/>
        <w:ind w:firstLine="480" w:firstLineChars="200"/>
        <w:rPr>
          <w:rFonts w:ascii="仿宋_GB2312" w:hAnsi="仿宋_GB2312" w:eastAsia="仿宋_GB2312"/>
          <w:sz w:val="24"/>
        </w:rPr>
      </w:pPr>
      <w:r>
        <w:rPr>
          <w:rFonts w:hint="eastAsia" w:ascii="仿宋_GB2312" w:hAnsi="仿宋_GB2312" w:eastAsia="仿宋_GB2312"/>
          <w:sz w:val="24"/>
        </w:rPr>
        <w:t>1、本合同经双方法定代表人签字或单位盖章或双方委托代理人签字成立生效。</w:t>
      </w:r>
    </w:p>
    <w:p>
      <w:pPr>
        <w:spacing w:line="340" w:lineRule="exact"/>
        <w:ind w:firstLine="480" w:firstLineChars="200"/>
        <w:rPr>
          <w:rFonts w:ascii="仿宋_GB2312" w:hAnsi="仿宋_GB2312" w:eastAsia="仿宋_GB2312"/>
          <w:color w:val="000000" w:themeColor="text1"/>
          <w:sz w:val="24"/>
        </w:rPr>
      </w:pPr>
      <w:r>
        <w:rPr>
          <w:rFonts w:hint="eastAsia" w:ascii="仿宋_GB2312" w:hAnsi="仿宋_GB2312" w:eastAsia="仿宋_GB2312"/>
          <w:sz w:val="24"/>
        </w:rPr>
        <w:t>2、本合同</w:t>
      </w:r>
      <w:r>
        <w:rPr>
          <w:rFonts w:hint="eastAsia" w:ascii="仿宋_GB2312" w:hAnsi="仿宋_GB2312" w:eastAsia="仿宋_GB2312"/>
          <w:color w:val="000000" w:themeColor="text1"/>
          <w:sz w:val="24"/>
        </w:rPr>
        <w:t>一式陆份，甲方执伍份，乙方执壹份，具有同等法律效力。</w:t>
      </w:r>
    </w:p>
    <w:p>
      <w:pPr>
        <w:spacing w:line="340" w:lineRule="exact"/>
        <w:ind w:firstLine="480" w:firstLineChars="200"/>
        <w:rPr>
          <w:rFonts w:ascii="仿宋_GB2312" w:hAnsi="仿宋_GB2312" w:eastAsia="仿宋_GB2312"/>
          <w:b/>
          <w:color w:val="000000" w:themeColor="text1"/>
          <w:sz w:val="24"/>
        </w:rPr>
      </w:pPr>
      <w:r>
        <w:rPr>
          <w:rFonts w:hint="eastAsia" w:ascii="仿宋_GB2312" w:hAnsi="仿宋_GB2312" w:eastAsia="仿宋_GB2312"/>
          <w:b/>
          <w:color w:val="000000" w:themeColor="text1"/>
          <w:sz w:val="24"/>
        </w:rPr>
        <w:t>十二、其他</w:t>
      </w:r>
    </w:p>
    <w:p>
      <w:pPr>
        <w:spacing w:line="340" w:lineRule="exact"/>
        <w:ind w:firstLine="360" w:firstLineChars="150"/>
        <w:rPr>
          <w:rFonts w:ascii="仿宋_GB2312" w:hAnsi="仿宋_GB2312" w:eastAsia="仿宋_GB2312"/>
          <w:b/>
          <w:sz w:val="28"/>
          <w:szCs w:val="28"/>
        </w:rPr>
      </w:pPr>
      <w:r>
        <w:rPr>
          <w:rFonts w:hint="eastAsia" w:ascii="仿宋_GB2312" w:hAnsi="仿宋_GB2312" w:eastAsia="仿宋_GB2312" w:cs="Bookman Old Style"/>
          <w:b/>
          <w:color w:val="000000" w:themeColor="text1"/>
          <w:sz w:val="24"/>
        </w:rPr>
        <w:t>1、本合同有效期自</w:t>
      </w:r>
      <w:r>
        <w:rPr>
          <w:rFonts w:hint="eastAsia" w:ascii="仿宋_GB2312" w:hAnsi="仿宋_GB2312" w:eastAsia="仿宋_GB2312" w:cs="Bookman Old Style"/>
          <w:b/>
          <w:color w:val="000000" w:themeColor="text1"/>
          <w:sz w:val="24"/>
          <w:u w:val="single"/>
        </w:rPr>
        <w:t xml:space="preserve">    年</w:t>
      </w:r>
      <w:r>
        <w:rPr>
          <w:rFonts w:hint="eastAsia" w:ascii="仿宋_GB2312" w:hAnsi="仿宋_GB2312" w:eastAsia="仿宋_GB2312" w:cs="Bookman Old Style"/>
          <w:b/>
          <w:color w:val="000000" w:themeColor="text1"/>
          <w:sz w:val="24"/>
        </w:rPr>
        <w:t xml:space="preserve"> </w:t>
      </w:r>
      <w:r>
        <w:rPr>
          <w:rFonts w:hint="eastAsia" w:ascii="仿宋_GB2312" w:hAnsi="仿宋_GB2312" w:eastAsia="仿宋_GB2312" w:cs="Bookman Old Style"/>
          <w:b/>
          <w:color w:val="000000" w:themeColor="text1"/>
          <w:sz w:val="24"/>
          <w:u w:val="single"/>
        </w:rPr>
        <w:t xml:space="preserve">   月    日</w:t>
      </w:r>
      <w:r>
        <w:rPr>
          <w:rFonts w:hint="eastAsia" w:ascii="仿宋_GB2312" w:hAnsi="仿宋_GB2312" w:eastAsia="仿宋_GB2312" w:cs="Bookman Old Style"/>
          <w:b/>
          <w:color w:val="000000" w:themeColor="text1"/>
          <w:sz w:val="24"/>
        </w:rPr>
        <w:t>起至</w:t>
      </w:r>
      <w:r>
        <w:rPr>
          <w:rFonts w:hint="eastAsia" w:ascii="仿宋_GB2312" w:hAnsi="仿宋_GB2312" w:eastAsia="仿宋_GB2312" w:cs="Bookman Old Style"/>
          <w:b/>
          <w:color w:val="000000" w:themeColor="text1"/>
          <w:sz w:val="24"/>
          <w:u w:val="single"/>
        </w:rPr>
        <w:t xml:space="preserve">    年    月   日</w:t>
      </w:r>
      <w:r>
        <w:rPr>
          <w:rFonts w:hint="eastAsia" w:ascii="仿宋_GB2312" w:hAnsi="仿宋_GB2312" w:eastAsia="仿宋_GB2312" w:cs="Bookman Old Style"/>
          <w:b/>
          <w:color w:val="000000" w:themeColor="text1"/>
          <w:sz w:val="24"/>
        </w:rPr>
        <w:t>止；上述合同有效期内，若甲方上级主管部门对本合同约定由乙方供货的耗材进行公开招标，本合同自</w:t>
      </w:r>
      <w:r>
        <w:rPr>
          <w:rFonts w:hint="eastAsia" w:ascii="仿宋_GB2312" w:hAnsi="仿宋_GB2312" w:eastAsia="仿宋_GB2312" w:cs="Bookman Old Style"/>
          <w:b/>
          <w:sz w:val="24"/>
        </w:rPr>
        <w:t>甲方上级主管部门公开招标时自动终止（具体时间，以甲方通知乙方的时间为准），合同终止后，甲方将恢复执行上级主管部门进行招标采购的结果，乙方对此无异议。</w:t>
      </w:r>
      <w:r>
        <w:rPr>
          <w:rFonts w:ascii="仿宋_GB2312" w:hAnsi="仿宋_GB2312" w:eastAsia="仿宋_GB2312"/>
          <w:b/>
          <w:sz w:val="28"/>
          <w:szCs w:val="28"/>
        </w:rPr>
        <w:t xml:space="preserve"> </w:t>
      </w:r>
    </w:p>
    <w:p>
      <w:pPr>
        <w:spacing w:line="340" w:lineRule="exact"/>
        <w:ind w:firstLine="360" w:firstLineChars="150"/>
        <w:rPr>
          <w:rFonts w:ascii="仿宋_GB2312" w:hAnsi="仿宋_GB2312" w:eastAsia="仿宋_GB2312" w:cs="Bookman Old Style"/>
          <w:sz w:val="24"/>
        </w:rPr>
      </w:pPr>
      <w:r>
        <w:rPr>
          <w:rFonts w:hint="eastAsia" w:ascii="仿宋_GB2312" w:hAnsi="仿宋_GB2312" w:eastAsia="仿宋_GB2312"/>
          <w:sz w:val="24"/>
        </w:rPr>
        <w:t>2、</w:t>
      </w:r>
      <w:r>
        <w:rPr>
          <w:rFonts w:hint="eastAsia" w:ascii="仿宋_GB2312" w:hAnsi="仿宋_GB2312" w:eastAsia="仿宋_GB2312" w:cs="Bookman Old Style"/>
          <w:sz w:val="24"/>
        </w:rPr>
        <w:t>和本合同相关的双方往来函件(包括传真件、电子邮件)与原件具有同等的法律效力，修改无效。</w:t>
      </w:r>
    </w:p>
    <w:p>
      <w:pPr>
        <w:spacing w:line="340" w:lineRule="exact"/>
        <w:ind w:firstLine="360" w:firstLineChars="150"/>
        <w:rPr>
          <w:rFonts w:ascii="仿宋_GB2312" w:hAnsi="仿宋_GB2312" w:eastAsia="仿宋_GB2312"/>
          <w:sz w:val="24"/>
        </w:rPr>
      </w:pPr>
      <w:r>
        <w:rPr>
          <w:rFonts w:ascii="仿宋_GB2312" w:hAnsi="仿宋_GB2312" w:eastAsia="仿宋_GB2312"/>
          <w:sz w:val="24"/>
        </w:rPr>
        <w:t>3</w:t>
      </w:r>
      <w:r>
        <w:rPr>
          <w:rFonts w:hint="eastAsia" w:ascii="仿宋_GB2312" w:hAnsi="仿宋_GB2312" w:eastAsia="仿宋_GB2312"/>
          <w:sz w:val="24"/>
        </w:rPr>
        <w:t>、本合同签字页双方提供的双方信息，为双方确认的各方准确有效的送达地址信息，如有变更应书面通知对方，未通知视为未变更。双方同意按前述地址向对方送达各类文件、函件等，寄出及发送时间为送达时间。</w:t>
      </w:r>
    </w:p>
    <w:p>
      <w:pPr>
        <w:spacing w:line="340" w:lineRule="exact"/>
        <w:ind w:firstLine="360" w:firstLineChars="150"/>
        <w:rPr>
          <w:rFonts w:ascii="仿宋_GB2312" w:hAnsi="仿宋_GB2312" w:eastAsia="仿宋_GB2312"/>
          <w:sz w:val="24"/>
        </w:rPr>
      </w:pPr>
      <w:r>
        <w:rPr>
          <w:rFonts w:hint="eastAsia" w:ascii="仿宋_GB2312" w:hAnsi="仿宋_GB2312" w:eastAsia="仿宋_GB2312"/>
          <w:sz w:val="24"/>
        </w:rPr>
        <w:t>4、与本合同有关的招投标文件、答疑附件、合同附件等均是本合同不可分割的组成部分，与本合同具有同等法律效力。</w:t>
      </w:r>
    </w:p>
    <w:p>
      <w:pPr>
        <w:spacing w:line="340" w:lineRule="exact"/>
        <w:rPr>
          <w:rFonts w:ascii="仿宋_GB2312" w:hAnsi="仿宋_GB2312" w:eastAsia="仿宋_GB2312"/>
          <w:sz w:val="24"/>
        </w:rPr>
      </w:pPr>
      <w:r>
        <w:rPr>
          <w:rFonts w:hint="eastAsia" w:ascii="仿宋_GB2312" w:hAnsi="仿宋_GB2312" w:eastAsia="仿宋_GB2312"/>
          <w:sz w:val="24"/>
        </w:rPr>
        <w:t>（以下无正文，为本合同签署页）</w:t>
      </w:r>
    </w:p>
    <w:p>
      <w:pPr>
        <w:spacing w:line="320" w:lineRule="exact"/>
        <w:ind w:left="6360" w:hanging="6360" w:hangingChars="2650"/>
        <w:rPr>
          <w:rFonts w:ascii="仿宋" w:hAnsi="仿宋" w:eastAsia="仿宋" w:cs="仿宋"/>
          <w:sz w:val="24"/>
        </w:rPr>
      </w:pPr>
      <w:r>
        <w:rPr>
          <w:rFonts w:hint="eastAsia" w:ascii="仿宋" w:hAnsi="仿宋" w:eastAsia="仿宋" w:cs="仿宋"/>
          <w:sz w:val="24"/>
        </w:rPr>
        <w:t>甲方（盖章）：                           乙方（盖章）：</w:t>
      </w:r>
    </w:p>
    <w:p>
      <w:pPr>
        <w:spacing w:line="320" w:lineRule="exact"/>
        <w:ind w:left="4800" w:hanging="4800" w:hangingChars="2000"/>
        <w:rPr>
          <w:rFonts w:ascii="仿宋" w:hAnsi="仿宋" w:eastAsia="仿宋" w:cs="仿宋"/>
          <w:color w:val="FF0000"/>
          <w:sz w:val="24"/>
        </w:rPr>
      </w:pPr>
      <w:r>
        <w:rPr>
          <w:rFonts w:hint="eastAsia" w:ascii="仿宋" w:hAnsi="仿宋" w:eastAsia="仿宋" w:cs="仿宋"/>
          <w:sz w:val="24"/>
        </w:rPr>
        <w:t xml:space="preserve">新疆医科大学第二附属医院              </w:t>
      </w:r>
      <w:r>
        <w:rPr>
          <w:rFonts w:hint="eastAsia" w:ascii="仿宋" w:hAnsi="仿宋" w:eastAsia="仿宋" w:cs="仿宋"/>
          <w:color w:val="FF0000"/>
          <w:sz w:val="24"/>
        </w:rPr>
        <w:t xml:space="preserve"> </w:t>
      </w:r>
    </w:p>
    <w:p>
      <w:pPr>
        <w:pStyle w:val="25"/>
        <w:spacing w:line="320" w:lineRule="exact"/>
        <w:rPr>
          <w:rFonts w:ascii="仿宋" w:hAnsi="仿宋" w:eastAsia="仿宋" w:cs="仿宋"/>
          <w:color w:val="auto"/>
        </w:rPr>
      </w:pPr>
      <w:r>
        <w:rPr>
          <w:rFonts w:hint="eastAsia" w:ascii="仿宋" w:hAnsi="仿宋" w:eastAsia="仿宋" w:cs="仿宋"/>
          <w:color w:val="auto"/>
        </w:rPr>
        <w:t>合 同 章：                             合 同 章：</w:t>
      </w:r>
    </w:p>
    <w:p>
      <w:pPr>
        <w:pStyle w:val="25"/>
        <w:spacing w:line="320" w:lineRule="exact"/>
        <w:rPr>
          <w:rFonts w:ascii="仿宋" w:hAnsi="仿宋" w:eastAsia="仿宋" w:cs="仿宋"/>
          <w:color w:val="auto"/>
        </w:rPr>
      </w:pPr>
      <w:r>
        <w:rPr>
          <w:rFonts w:hint="eastAsia" w:ascii="仿宋" w:hAnsi="仿宋" w:eastAsia="仿宋" w:cs="仿宋"/>
          <w:color w:val="auto"/>
        </w:rPr>
        <w:t>法人签字：                             法人签字：</w:t>
      </w:r>
    </w:p>
    <w:p>
      <w:pPr>
        <w:pStyle w:val="25"/>
        <w:spacing w:line="320" w:lineRule="exact"/>
        <w:ind w:left="-281" w:leftChars="-256" w:hanging="256" w:hangingChars="128"/>
        <w:jc w:val="both"/>
        <w:rPr>
          <w:rFonts w:ascii="仿宋" w:hAnsi="仿宋" w:eastAsia="仿宋" w:cs="仿宋"/>
          <w:color w:val="auto"/>
        </w:rPr>
      </w:pPr>
      <w:r>
        <w:rPr>
          <w:rFonts w:hint="eastAsia" w:ascii="仿宋" w:hAnsi="仿宋" w:eastAsia="仿宋" w:cs="仿宋"/>
          <w:color w:val="auto"/>
        </w:rPr>
        <w:t xml:space="preserve">     授权代表签字：                         授权代表签字：</w:t>
      </w:r>
    </w:p>
    <w:p>
      <w:pPr>
        <w:pStyle w:val="25"/>
        <w:spacing w:line="320" w:lineRule="exact"/>
        <w:ind w:left="-281" w:leftChars="-256" w:hanging="256" w:hangingChars="128"/>
        <w:jc w:val="both"/>
        <w:rPr>
          <w:rFonts w:ascii="仿宋" w:hAnsi="仿宋" w:eastAsia="仿宋" w:cs="仿宋"/>
          <w:color w:val="auto"/>
        </w:rPr>
      </w:pPr>
      <w:r>
        <w:rPr>
          <w:rFonts w:hint="eastAsia" w:ascii="仿宋" w:hAnsi="仿宋" w:eastAsia="仿宋" w:cs="仿宋"/>
          <w:color w:val="auto"/>
        </w:rPr>
        <w:t xml:space="preserve">     电话：0991-4609101                     电话：</w:t>
      </w:r>
    </w:p>
    <w:p>
      <w:pPr>
        <w:pStyle w:val="25"/>
        <w:spacing w:line="320" w:lineRule="exact"/>
        <w:jc w:val="both"/>
        <w:rPr>
          <w:rFonts w:ascii="仿宋" w:hAnsi="仿宋" w:eastAsia="仿宋" w:cs="仿宋"/>
          <w:color w:val="auto"/>
        </w:rPr>
      </w:pPr>
      <w:r>
        <w:rPr>
          <w:rFonts w:hint="eastAsia" w:ascii="仿宋" w:hAnsi="仿宋" w:eastAsia="仿宋" w:cs="仿宋"/>
          <w:color w:val="auto"/>
        </w:rPr>
        <w:t>纳税人识别号:                          纳税人识别号：</w:t>
      </w:r>
    </w:p>
    <w:p>
      <w:pPr>
        <w:pStyle w:val="25"/>
        <w:spacing w:line="320" w:lineRule="exact"/>
        <w:ind w:left="5400" w:hanging="4500" w:hangingChars="2250"/>
        <w:jc w:val="both"/>
        <w:rPr>
          <w:rFonts w:ascii="仿宋" w:hAnsi="仿宋" w:eastAsia="仿宋" w:cs="仿宋"/>
          <w:color w:val="auto"/>
        </w:rPr>
      </w:pPr>
      <w:r>
        <w:rPr>
          <w:rFonts w:hint="eastAsia" w:ascii="仿宋" w:hAnsi="仿宋" w:eastAsia="仿宋" w:cs="仿宋"/>
          <w:color w:val="auto"/>
        </w:rPr>
        <w:t>地址：乌鲁木齐市南湖东路北二巷38号     地址：</w:t>
      </w:r>
    </w:p>
    <w:p>
      <w:pPr>
        <w:pStyle w:val="25"/>
        <w:spacing w:line="320" w:lineRule="exact"/>
        <w:ind w:left="5520" w:hanging="4600" w:hangingChars="2300"/>
        <w:jc w:val="both"/>
        <w:rPr>
          <w:rFonts w:ascii="仿宋" w:hAnsi="仿宋" w:eastAsia="仿宋" w:cs="仿宋"/>
          <w:color w:val="auto"/>
        </w:rPr>
      </w:pPr>
      <w:r>
        <w:rPr>
          <w:rFonts w:hint="eastAsia" w:ascii="仿宋" w:hAnsi="仿宋" w:eastAsia="仿宋" w:cs="仿宋"/>
          <w:color w:val="auto"/>
        </w:rPr>
        <w:t>开户行：                               开户行：</w:t>
      </w:r>
    </w:p>
    <w:p>
      <w:pPr>
        <w:pStyle w:val="25"/>
        <w:spacing w:line="320" w:lineRule="exact"/>
        <w:jc w:val="both"/>
        <w:rPr>
          <w:rFonts w:ascii="仿宋" w:hAnsi="仿宋" w:eastAsia="仿宋" w:cs="仿宋"/>
          <w:color w:val="auto"/>
        </w:rPr>
      </w:pPr>
      <w:r>
        <w:rPr>
          <w:rFonts w:hint="eastAsia" w:ascii="仿宋" w:hAnsi="仿宋" w:eastAsia="仿宋" w:cs="仿宋"/>
          <w:color w:val="auto"/>
        </w:rPr>
        <w:t>行号：                                 行号：</w:t>
      </w:r>
    </w:p>
    <w:p>
      <w:pPr>
        <w:spacing w:line="320" w:lineRule="exact"/>
        <w:rPr>
          <w:rFonts w:ascii="仿宋" w:hAnsi="仿宋" w:eastAsia="仿宋" w:cs="仿宋"/>
          <w:sz w:val="24"/>
        </w:rPr>
      </w:pPr>
      <w:r>
        <w:rPr>
          <w:rFonts w:hint="eastAsia" w:ascii="仿宋" w:hAnsi="仿宋" w:eastAsia="仿宋" w:cs="仿宋"/>
          <w:sz w:val="24"/>
        </w:rPr>
        <w:t>银行账号：                             银行账号：</w:t>
      </w:r>
    </w:p>
    <w:p>
      <w:pPr>
        <w:pStyle w:val="25"/>
        <w:spacing w:line="320" w:lineRule="exact"/>
        <w:ind w:left="-327" w:leftChars="-156" w:firstLine="300" w:firstLineChars="150"/>
        <w:jc w:val="both"/>
        <w:rPr>
          <w:rFonts w:ascii="仿宋" w:hAnsi="仿宋" w:eastAsia="仿宋" w:cs="仿宋"/>
          <w:color w:val="auto"/>
        </w:rPr>
      </w:pPr>
      <w:r>
        <w:rPr>
          <w:rFonts w:hint="eastAsia" w:ascii="仿宋" w:hAnsi="仿宋" w:eastAsia="仿宋" w:cs="仿宋"/>
          <w:color w:val="auto"/>
        </w:rPr>
        <w:t>签订时间：  年  月  日                 签订时间：  年  月  日</w:t>
      </w:r>
      <w:r>
        <w:rPr>
          <w:rFonts w:ascii="Arial" w:hAnsi="Arial" w:cs="Arial"/>
          <w:sz w:val="32"/>
          <w:szCs w:val="32"/>
        </w:rPr>
        <w:br w:type="page"/>
      </w:r>
    </w:p>
    <w:p>
      <w:pPr>
        <w:pStyle w:val="3"/>
        <w:tabs>
          <w:tab w:val="left" w:pos="360"/>
        </w:tabs>
        <w:ind w:left="0" w:firstLine="0"/>
        <w:jc w:val="center"/>
        <w:rPr>
          <w:rFonts w:ascii="Arial" w:hAnsi="Arial" w:cs="Arial"/>
          <w:sz w:val="32"/>
          <w:szCs w:val="32"/>
        </w:rPr>
      </w:pPr>
      <w:bookmarkStart w:id="68" w:name="_Toc90659291"/>
      <w:r>
        <w:rPr>
          <w:rFonts w:hint="eastAsia" w:ascii="Arial" w:hAnsi="Arial" w:cs="Arial"/>
          <w:sz w:val="32"/>
          <w:szCs w:val="32"/>
        </w:rPr>
        <w:t>合同</w:t>
      </w:r>
      <w:r>
        <w:rPr>
          <w:rFonts w:ascii="Arial" w:hAnsi="Arial" w:cs="Arial"/>
          <w:sz w:val="32"/>
          <w:szCs w:val="32"/>
        </w:rPr>
        <w:t>特殊条款</w:t>
      </w:r>
      <w:bookmarkEnd w:id="68"/>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合同特殊条款是合同一般条款的补充和修改，如果两者之间有抵触，应以特殊条款为准。</w:t>
      </w:r>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rPr>
        <w:tab/>
      </w:r>
      <w:r>
        <w:rPr>
          <w:rFonts w:hint="eastAsia" w:asciiTheme="minorEastAsia" w:hAnsiTheme="minorEastAsia" w:eastAsiaTheme="minorEastAsia"/>
          <w:sz w:val="24"/>
        </w:rPr>
        <w:t>检验</w:t>
      </w:r>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1.1 货物到达目的地，买方、卖方一同开箱验货；</w:t>
      </w:r>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1.2 卖方提供的所有货品应符合中国以及国际通行的标准，并应附有相应的测试报告、合格证书；</w:t>
      </w:r>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1.3 具体的标准应在供应商递交的文件中明确规定，并在合同中由双方确认。</w:t>
      </w:r>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rPr>
        <w:tab/>
      </w:r>
      <w:r>
        <w:rPr>
          <w:rFonts w:hint="eastAsia" w:asciiTheme="minorEastAsia" w:hAnsiTheme="minorEastAsia" w:eastAsiaTheme="minorEastAsia"/>
          <w:sz w:val="24"/>
        </w:rPr>
        <w:t xml:space="preserve">售后服务 </w:t>
      </w:r>
    </w:p>
    <w:p>
      <w:pPr>
        <w:spacing w:line="220" w:lineRule="atLeas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2.1 供应商须具有较强的本地化服务能力，配有较强的技术队伍，能提供快速的售后服务响应，保证到达现场服务时间小于2小时。</w:t>
      </w:r>
    </w:p>
    <w:p>
      <w:pPr>
        <w:spacing w:line="220" w:lineRule="atLeas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w:t>
      </w:r>
      <w:r>
        <w:rPr>
          <w:rFonts w:hint="eastAsia"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报价要求</w:t>
      </w:r>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3.1 人民币报价；</w:t>
      </w:r>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3.2 买方指定交货地（新疆医科大学第二附属医院）交货价；</w:t>
      </w:r>
    </w:p>
    <w:p>
      <w:pPr>
        <w:spacing w:line="220" w:lineRule="atLeast"/>
        <w:rPr>
          <w:rFonts w:asciiTheme="minorEastAsia" w:hAnsiTheme="minorEastAsia" w:eastAsiaTheme="minorEastAsia"/>
          <w:color w:val="000000" w:themeColor="text1"/>
          <w:sz w:val="24"/>
        </w:rPr>
      </w:pPr>
      <w:r>
        <w:rPr>
          <w:rFonts w:hint="eastAsia" w:asciiTheme="minorEastAsia" w:hAnsiTheme="minorEastAsia" w:eastAsiaTheme="minorEastAsia"/>
          <w:sz w:val="24"/>
        </w:rPr>
        <w:t>3.3 列出详细的清单以及所需提供的相关服务的费用，并分项报价（应包括在总价内）。</w:t>
      </w:r>
      <w:r>
        <w:rPr>
          <w:rFonts w:hint="eastAsia" w:asciiTheme="minorEastAsia" w:hAnsiTheme="minorEastAsia" w:eastAsiaTheme="minorEastAsia"/>
          <w:color w:val="000000" w:themeColor="text1"/>
          <w:sz w:val="24"/>
        </w:rPr>
        <w:t>清单内容应包括：名称、数量、型号、产地、制造商、单价、总价。</w:t>
      </w:r>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rPr>
        <w:tab/>
      </w:r>
      <w:r>
        <w:rPr>
          <w:rFonts w:hint="eastAsia" w:asciiTheme="minorEastAsia" w:hAnsiTheme="minorEastAsia" w:eastAsiaTheme="minorEastAsia"/>
          <w:sz w:val="24"/>
        </w:rPr>
        <w:t>付款方式：甲方收到乙方交付的中标耗材（试剂）验收合格，产品无质量问题及其他纠纷的情况下，根据甲方财务状况而定，原则上在该批次货品用完之后每季度或每半年按一定比例以汇票、转账支票或电汇等方式向乙方支付货款。</w:t>
      </w:r>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rPr>
        <w:tab/>
      </w:r>
      <w:r>
        <w:rPr>
          <w:rFonts w:hint="eastAsia" w:asciiTheme="minorEastAsia" w:hAnsiTheme="minorEastAsia" w:eastAsiaTheme="minorEastAsia"/>
          <w:sz w:val="24"/>
        </w:rPr>
        <w:t>服务期：自合同签订之日起两年。</w:t>
      </w:r>
    </w:p>
    <w:p>
      <w:pPr>
        <w:spacing w:line="220" w:lineRule="atLeast"/>
        <w:rPr>
          <w:rFonts w:asciiTheme="minorEastAsia" w:hAnsiTheme="minorEastAsia" w:eastAsiaTheme="minorEastAsia"/>
          <w:sz w:val="24"/>
        </w:rPr>
      </w:pPr>
      <w:r>
        <w:rPr>
          <w:rFonts w:hint="eastAsia" w:asciiTheme="minorEastAsia" w:hAnsiTheme="minorEastAsia" w:eastAsiaTheme="minorEastAsia"/>
          <w:sz w:val="24"/>
        </w:rPr>
        <w:t>6.</w:t>
      </w:r>
      <w:r>
        <w:rPr>
          <w:rFonts w:hint="eastAsia" w:asciiTheme="minorEastAsia" w:hAnsiTheme="minorEastAsia" w:eastAsiaTheme="minorEastAsia"/>
          <w:sz w:val="24"/>
        </w:rPr>
        <w:tab/>
      </w:r>
      <w:r>
        <w:rPr>
          <w:rFonts w:hint="eastAsia" w:asciiTheme="minorEastAsia" w:hAnsiTheme="minorEastAsia" w:eastAsiaTheme="minorEastAsia"/>
          <w:sz w:val="24"/>
        </w:rPr>
        <w:t>交货地点：新疆医科大学第二附属医院指定地点。</w:t>
      </w:r>
    </w:p>
    <w:p>
      <w:pPr>
        <w:pStyle w:val="24"/>
        <w:spacing w:line="520" w:lineRule="exact"/>
        <w:ind w:firstLine="480"/>
        <w:rPr>
          <w:rFonts w:ascii="仿宋" w:hAnsi="仿宋" w:eastAsia="仿宋" w:cs="仿宋"/>
        </w:rPr>
      </w:pPr>
    </w:p>
    <w:p>
      <w:pPr>
        <w:pStyle w:val="3"/>
        <w:rPr>
          <w:rFonts w:cs="仿宋"/>
        </w:rPr>
      </w:pPr>
      <w:r>
        <w:rPr>
          <w:rFonts w:hint="eastAsia"/>
        </w:rPr>
        <w:br w:type="page"/>
      </w:r>
      <w:bookmarkStart w:id="69" w:name="_Toc7006"/>
      <w:r>
        <w:rPr>
          <w:rFonts w:hint="eastAsia" w:cs="仿宋"/>
        </w:rPr>
        <w:t>第五章、单一来源响应文件格式</w:t>
      </w:r>
      <w:bookmarkEnd w:id="66"/>
      <w:bookmarkEnd w:id="67"/>
      <w:bookmarkEnd w:id="69"/>
    </w:p>
    <w:p>
      <w:pPr>
        <w:pStyle w:val="25"/>
        <w:spacing w:line="360" w:lineRule="auto"/>
        <w:ind w:firstLine="1400" w:firstLineChars="200"/>
        <w:jc w:val="both"/>
        <w:rPr>
          <w:rFonts w:ascii="仿宋" w:hAnsi="仿宋" w:eastAsia="仿宋" w:cs="仿宋"/>
          <w:sz w:val="70"/>
        </w:rPr>
      </w:pPr>
    </w:p>
    <w:p>
      <w:pPr>
        <w:spacing w:line="360" w:lineRule="auto"/>
        <w:jc w:val="center"/>
        <w:rPr>
          <w:rFonts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ascii="仿宋" w:hAnsi="仿宋" w:eastAsia="仿宋" w:cs="仿宋"/>
          <w:color w:val="000000"/>
          <w:sz w:val="72"/>
        </w:rPr>
      </w:pPr>
    </w:p>
    <w:p>
      <w:pPr>
        <w:spacing w:line="360" w:lineRule="auto"/>
        <w:jc w:val="center"/>
        <w:rPr>
          <w:rFonts w:ascii="仿宋" w:hAnsi="仿宋" w:eastAsia="仿宋" w:cs="仿宋"/>
          <w:color w:val="000000"/>
        </w:rPr>
      </w:pPr>
      <w:r>
        <w:rPr>
          <w:rFonts w:hint="eastAsia" w:ascii="仿宋" w:hAnsi="仿宋" w:eastAsia="仿宋" w:cs="仿宋"/>
          <w:color w:val="000000"/>
          <w:sz w:val="72"/>
        </w:rPr>
        <w:t>单一来源响应文件</w:t>
      </w:r>
    </w:p>
    <w:p>
      <w:pPr>
        <w:spacing w:line="360" w:lineRule="auto"/>
        <w:rPr>
          <w:rFonts w:ascii="仿宋" w:hAnsi="仿宋" w:eastAsia="仿宋" w:cs="仿宋"/>
          <w:color w:val="000000"/>
        </w:rPr>
      </w:pPr>
    </w:p>
    <w:p>
      <w:pPr>
        <w:spacing w:line="360" w:lineRule="auto"/>
        <w:ind w:firstLine="420"/>
        <w:rPr>
          <w:rFonts w:ascii="仿宋" w:hAnsi="仿宋" w:eastAsia="仿宋" w:cs="仿宋"/>
          <w:color w:val="000000"/>
        </w:rPr>
      </w:pPr>
    </w:p>
    <w:p>
      <w:pPr>
        <w:spacing w:line="360" w:lineRule="auto"/>
        <w:ind w:firstLine="880"/>
        <w:rPr>
          <w:rFonts w:ascii="仿宋" w:hAnsi="仿宋" w:eastAsia="仿宋" w:cs="仿宋"/>
          <w:color w:val="000000"/>
          <w:sz w:val="44"/>
        </w:rPr>
      </w:pPr>
    </w:p>
    <w:p>
      <w:pPr>
        <w:spacing w:line="360" w:lineRule="auto"/>
        <w:ind w:firstLine="880"/>
        <w:rPr>
          <w:rFonts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ascii="仿宋" w:hAnsi="仿宋" w:eastAsia="仿宋" w:cs="仿宋"/>
          <w:color w:val="000000"/>
          <w:sz w:val="44"/>
        </w:rPr>
      </w:pPr>
    </w:p>
    <w:p>
      <w:pPr>
        <w:spacing w:line="360" w:lineRule="auto"/>
        <w:ind w:firstLine="880"/>
        <w:rPr>
          <w:rFonts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ascii="仿宋" w:hAnsi="仿宋" w:eastAsia="仿宋" w:cs="仿宋"/>
          <w:color w:val="000000"/>
          <w:sz w:val="44"/>
        </w:rPr>
      </w:pPr>
    </w:p>
    <w:p>
      <w:pPr>
        <w:spacing w:line="360" w:lineRule="auto"/>
        <w:ind w:firstLine="880"/>
        <w:rPr>
          <w:rFonts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ascii="仿宋" w:hAnsi="仿宋" w:eastAsia="仿宋" w:cs="仿宋"/>
          <w:color w:val="000000"/>
          <w:sz w:val="32"/>
        </w:rPr>
      </w:pPr>
    </w:p>
    <w:p>
      <w:pPr>
        <w:spacing w:line="360" w:lineRule="auto"/>
        <w:ind w:firstLine="640"/>
        <w:rPr>
          <w:rFonts w:ascii="仿宋" w:hAnsi="仿宋" w:eastAsia="仿宋" w:cs="仿宋"/>
          <w:color w:val="000000"/>
          <w:sz w:val="32"/>
        </w:rPr>
      </w:pPr>
    </w:p>
    <w:p>
      <w:pPr>
        <w:spacing w:line="360" w:lineRule="auto"/>
        <w:ind w:firstLine="720"/>
        <w:jc w:val="center"/>
        <w:rPr>
          <w:rFonts w:ascii="仿宋" w:hAnsi="仿宋" w:eastAsia="仿宋" w:cs="仿宋"/>
          <w:color w:val="000000"/>
          <w:sz w:val="36"/>
        </w:rPr>
      </w:pPr>
      <w:r>
        <w:rPr>
          <w:rFonts w:hint="eastAsia" w:ascii="仿宋" w:hAnsi="仿宋" w:eastAsia="仿宋" w:cs="仿宋"/>
          <w:color w:val="000000"/>
          <w:sz w:val="36"/>
        </w:rPr>
        <w:t>年      月      日</w:t>
      </w:r>
    </w:p>
    <w:p>
      <w:pPr>
        <w:pStyle w:val="4"/>
        <w:rPr>
          <w:rFonts w:cs="仿宋"/>
        </w:rPr>
      </w:pPr>
      <w:r>
        <w:rPr>
          <w:rFonts w:hint="eastAsia" w:cs="仿宋"/>
          <w:sz w:val="36"/>
        </w:rPr>
        <w:br w:type="page"/>
      </w:r>
      <w:bookmarkStart w:id="70" w:name="_Toc82497925"/>
      <w:bookmarkStart w:id="71" w:name="_Toc21565"/>
      <w:bookmarkStart w:id="72" w:name="_Toc56170393"/>
      <w:r>
        <w:rPr>
          <w:rFonts w:hint="eastAsia" w:cs="仿宋"/>
        </w:rPr>
        <w:t>附件一、投标书</w:t>
      </w:r>
      <w:bookmarkEnd w:id="70"/>
      <w:bookmarkEnd w:id="71"/>
      <w:bookmarkEnd w:id="72"/>
    </w:p>
    <w:p>
      <w:pPr>
        <w:pStyle w:val="26"/>
        <w:spacing w:line="360" w:lineRule="auto"/>
        <w:ind w:firstLine="0" w:firstLineChars="0"/>
        <w:jc w:val="both"/>
        <w:rPr>
          <w:rFonts w:ascii="仿宋" w:hAnsi="仿宋" w:eastAsia="仿宋" w:cs="仿宋"/>
          <w:b w:val="0"/>
          <w:color w:val="000000"/>
          <w:sz w:val="28"/>
          <w:szCs w:val="16"/>
        </w:rPr>
      </w:pPr>
      <w:r>
        <w:rPr>
          <w:rFonts w:hint="eastAsia" w:ascii="仿宋" w:hAnsi="仿宋" w:eastAsia="仿宋" w:cs="仿宋"/>
          <w:b w:val="0"/>
          <w:color w:val="000000"/>
          <w:sz w:val="28"/>
          <w:szCs w:val="16"/>
        </w:rPr>
        <w:t>中科高盛咨询集团有限公司：</w:t>
      </w:r>
    </w:p>
    <w:p>
      <w:pPr>
        <w:spacing w:line="360" w:lineRule="auto"/>
        <w:ind w:firstLine="420"/>
        <w:rPr>
          <w:rFonts w:ascii="仿宋" w:hAnsi="仿宋" w:eastAsia="仿宋" w:cs="仿宋"/>
          <w:color w:val="000000"/>
        </w:rPr>
      </w:pP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单一来源采购文件，经认真研究，我们决定参加投标。</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 xml:space="preserve">⒈按照单一来源采购文件中的一切要求，提供招标货物、安装及技术服务，投标总价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万元（用阿拉伯数字书写）人民币，明细见投标产品名称数量报价表。</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⒉如果我们的单一来源响应文件被接受，我们将履行单一来源采购文件中规定的每一项要求，按期、按质、按量完成交货和完工任务。</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⒊我们同意按单一来源采购文件的规定，本单一来源响应文件的有效期为开标后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⒋我们愿意提供采购人在单一来源采购文件中要求的所有资料。</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⒎我方愿意遵守国家有关规定及单一来源采购文件中规定的收费标准，承付中标服务费。</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⒏该项投标在开标后的全过程中保持有效，不作任何更改和变动。</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⒐我们同意按单一来源采购文件规定，交纳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⒑综合说明：</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（2）易损件、配件及供应方式。</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（5）技术服务。</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（6）运输方式。</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（7）要求项目单位提供的配合。</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（8）对单一来源采购文件内容有不同意见的偏离说明。</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（9）其它。</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单       位：</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地       址：</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电       话：</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传       真：</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邮 政 编 码：</w:t>
      </w:r>
    </w:p>
    <w:p>
      <w:pPr>
        <w:spacing w:line="500" w:lineRule="exact"/>
        <w:ind w:firstLine="561"/>
        <w:rPr>
          <w:rFonts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ascii="仿宋" w:hAnsi="仿宋" w:eastAsia="仿宋" w:cs="仿宋"/>
          <w:color w:val="000000"/>
          <w:sz w:val="28"/>
        </w:rPr>
      </w:pPr>
    </w:p>
    <w:p>
      <w:pPr>
        <w:spacing w:line="360" w:lineRule="auto"/>
        <w:ind w:firstLine="560"/>
        <w:rPr>
          <w:rFonts w:ascii="仿宋" w:hAnsi="仿宋" w:eastAsia="仿宋" w:cs="仿宋"/>
          <w:color w:val="000000"/>
          <w:sz w:val="28"/>
        </w:rPr>
      </w:pPr>
      <w:r>
        <w:rPr>
          <w:rFonts w:hint="eastAsia" w:ascii="仿宋" w:hAnsi="仿宋" w:eastAsia="仿宋" w:cs="仿宋"/>
          <w:color w:val="000000"/>
          <w:sz w:val="28"/>
        </w:rPr>
        <w:t>投标单位：（公章）</w:t>
      </w:r>
    </w:p>
    <w:p>
      <w:pPr>
        <w:spacing w:line="360" w:lineRule="auto"/>
        <w:ind w:firstLine="560"/>
        <w:rPr>
          <w:rFonts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ascii="仿宋" w:hAnsi="仿宋" w:eastAsia="仿宋" w:cs="仿宋"/>
          <w:color w:val="000000"/>
          <w:sz w:val="28"/>
        </w:rPr>
      </w:pPr>
    </w:p>
    <w:p>
      <w:pPr>
        <w:spacing w:line="360" w:lineRule="auto"/>
        <w:ind w:firstLine="4877" w:firstLineChars="1742"/>
        <w:rPr>
          <w:rFonts w:ascii="仿宋" w:hAnsi="仿宋" w:eastAsia="仿宋" w:cs="仿宋"/>
          <w:color w:val="000000"/>
          <w:sz w:val="28"/>
        </w:rPr>
      </w:pPr>
      <w:r>
        <w:rPr>
          <w:rFonts w:hint="eastAsia" w:ascii="仿宋" w:hAnsi="仿宋" w:eastAsia="仿宋" w:cs="仿宋"/>
          <w:color w:val="000000"/>
          <w:sz w:val="28"/>
        </w:rPr>
        <w:t>年   月    日</w:t>
      </w:r>
    </w:p>
    <w:p>
      <w:pPr>
        <w:pStyle w:val="4"/>
        <w:rPr>
          <w:rFonts w:cs="仿宋"/>
        </w:rPr>
      </w:pPr>
      <w:r>
        <w:rPr>
          <w:rFonts w:hint="eastAsia" w:cs="仿宋"/>
        </w:rPr>
        <w:br w:type="page"/>
      </w:r>
      <w:bookmarkStart w:id="73" w:name="_Toc56170394"/>
      <w:bookmarkStart w:id="74" w:name="_Toc82497926"/>
      <w:bookmarkStart w:id="75" w:name="_Toc9121"/>
      <w:r>
        <w:rPr>
          <w:rFonts w:hint="eastAsia" w:cs="仿宋"/>
        </w:rPr>
        <w:t>附件二、法定代表人资格证明书</w:t>
      </w:r>
      <w:bookmarkEnd w:id="73"/>
      <w:bookmarkEnd w:id="74"/>
      <w:bookmarkEnd w:id="75"/>
    </w:p>
    <w:p>
      <w:pPr>
        <w:spacing w:line="360" w:lineRule="auto"/>
        <w:rPr>
          <w:rFonts w:ascii="仿宋" w:hAnsi="仿宋" w:eastAsia="仿宋" w:cs="仿宋"/>
          <w:color w:val="000000"/>
          <w:szCs w:val="21"/>
        </w:rPr>
      </w:pPr>
    </w:p>
    <w:p>
      <w:pPr>
        <w:pStyle w:val="24"/>
        <w:spacing w:line="360" w:lineRule="auto"/>
        <w:ind w:firstLine="560"/>
        <w:rPr>
          <w:rFonts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的法定代表人。为参加本项目，签署上述的单一来源响应文件、进行合同谈判、签署合同和处理与之有关的一切事务。</w:t>
      </w: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r>
        <w:rPr>
          <w:rFonts w:hint="eastAsia" w:ascii="仿宋" w:hAnsi="仿宋" w:eastAsia="仿宋" w:cs="仿宋"/>
          <w:color w:val="000000"/>
        </w:rPr>
        <w:t>特此证明</w:t>
      </w:r>
    </w:p>
    <w:p>
      <w:pPr>
        <w:pStyle w:val="24"/>
        <w:spacing w:line="360" w:lineRule="auto"/>
        <w:ind w:firstLine="560"/>
        <w:rPr>
          <w:rFonts w:ascii="仿宋" w:hAnsi="仿宋" w:eastAsia="仿宋" w:cs="仿宋"/>
          <w:color w:val="000000"/>
        </w:rPr>
      </w:pPr>
      <w:r>
        <w:rPr>
          <w:rFonts w:ascii="仿宋" w:hAnsi="仿宋" w:eastAsia="仿宋" w:cs="仿宋"/>
        </w:rPr>
        <w:pict>
          <v:roundrect id="_x0000_s2050" o:spid="_x0000_s2050" o:spt="2" style="position:absolute;left:0pt;margin-left:249.75pt;margin-top:15.1pt;height:141.25pt;width:213.4pt;z-index:251660288;v-text-anchor:middle;mso-width-relative:page;mso-height-relative:page;" filled="f"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path/>
            <v:fill on="f" focussize="0,0"/>
            <v:stroke weight="1pt" joinstyle="miter"/>
            <v:imagedata o:title=""/>
            <o:lock v:ext="edit"/>
            <v:textbox>
              <w:txbxContent>
                <w:p>
                  <w:pPr>
                    <w:pStyle w:val="24"/>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rPr>
          <w:rFonts w:ascii="仿宋" w:hAnsi="仿宋" w:eastAsia="仿宋" w:cs="仿宋"/>
        </w:rPr>
        <w:pict>
          <v:roundrect id="_x0000_s2055" o:spid="_x0000_s2055" o:spt="2" style="position:absolute;left:0pt;margin-left:24.85pt;margin-top:15.1pt;height:141.25pt;width:213.4pt;z-index:251659264;v-text-anchor:middle;mso-width-relative:page;mso-height-relative:page;" filled="f"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path/>
            <v:fill on="f" focussize="0,0"/>
            <v:stroke weight="1pt" joinstyle="miter"/>
            <v:imagedata o:title=""/>
            <o:lock v:ext="edit"/>
            <v:textbox>
              <w:txbxContent>
                <w:p>
                  <w:pPr>
                    <w:pStyle w:val="24"/>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p>
    <w:p>
      <w:pPr>
        <w:pStyle w:val="24"/>
        <w:spacing w:line="360" w:lineRule="auto"/>
        <w:ind w:firstLine="4200" w:firstLineChars="1500"/>
        <w:rPr>
          <w:rFonts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4"/>
        <w:spacing w:line="360" w:lineRule="auto"/>
        <w:ind w:firstLine="4200" w:firstLineChars="1500"/>
        <w:rPr>
          <w:rFonts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4"/>
        <w:spacing w:line="360" w:lineRule="auto"/>
        <w:ind w:firstLine="4200" w:firstLineChars="1500"/>
        <w:rPr>
          <w:rFonts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4"/>
        <w:spacing w:line="360" w:lineRule="auto"/>
        <w:rPr>
          <w:rFonts w:cs="仿宋"/>
        </w:rPr>
      </w:pPr>
      <w:r>
        <w:rPr>
          <w:rFonts w:hint="eastAsia" w:cs="仿宋"/>
        </w:rPr>
        <w:br w:type="page"/>
      </w:r>
      <w:bookmarkStart w:id="76" w:name="_Toc8289"/>
      <w:bookmarkStart w:id="77" w:name="_Toc82497927"/>
      <w:bookmarkStart w:id="78" w:name="_Toc56170395"/>
      <w:r>
        <w:rPr>
          <w:rFonts w:hint="eastAsia" w:cs="仿宋"/>
        </w:rPr>
        <w:t>附件三、法定代表人授权委托书</w:t>
      </w:r>
      <w:bookmarkEnd w:id="76"/>
      <w:bookmarkEnd w:id="77"/>
      <w:bookmarkEnd w:id="78"/>
    </w:p>
    <w:p>
      <w:pPr>
        <w:spacing w:line="360" w:lineRule="auto"/>
        <w:rPr>
          <w:rFonts w:ascii="仿宋" w:hAnsi="仿宋" w:eastAsia="仿宋" w:cs="仿宋"/>
          <w:color w:val="000000"/>
          <w:szCs w:val="21"/>
        </w:rPr>
      </w:pPr>
    </w:p>
    <w:p>
      <w:pPr>
        <w:pStyle w:val="24"/>
        <w:spacing w:line="360" w:lineRule="auto"/>
        <w:ind w:firstLine="560"/>
        <w:rPr>
          <w:rFonts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（姓名）为我公司签署本项目单一来源响应文件的法定代表人授权委托代理人，全权代表我单位处理本次投标的有关事宜。代理人所签署的一切有关文件，我单位均予承认。</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 xml:space="preserve"> 代理人无转委托权，特此声明！</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 xml:space="preserve"> </w:t>
      </w:r>
      <w:r>
        <w:rPr>
          <w:rFonts w:ascii="仿宋" w:hAnsi="仿宋" w:eastAsia="仿宋" w:cs="仿宋"/>
        </w:rPr>
        <w:pict>
          <v:roundrect id="_x0000_s2054" o:spid="_x0000_s2054" o:spt="2" style="position:absolute;left:0pt;margin-left:32.05pt;margin-top:7.15pt;height:125.1pt;width:213.4pt;z-index:251662336;v-text-anchor:middle;mso-width-relative:page;mso-height-relative:page;" filled="f"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path/>
            <v:fill on="f" focussize="0,0"/>
            <v:stroke weight="1pt" joinstyle="miter"/>
            <v:imagedata o:title=""/>
            <o:lock v:ext="edit"/>
            <v:textbox>
              <w:txbxContent>
                <w:p>
                  <w:pPr>
                    <w:pStyle w:val="24"/>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r>
        <w:rPr>
          <w:rFonts w:ascii="仿宋" w:hAnsi="仿宋" w:eastAsia="仿宋" w:cs="仿宋"/>
        </w:rPr>
        <w:pict>
          <v:roundrect id="_x0000_s2053" o:spid="_x0000_s2053" o:spt="2" style="position:absolute;left:0pt;margin-left:256.95pt;margin-top:7.15pt;height:125.1pt;width:213.4pt;z-index:251663360;v-text-anchor:middle;mso-width-relative:page;mso-height-relative:page;" filled="f"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path/>
            <v:fill on="f" focussize="0,0"/>
            <v:stroke weight="1pt" joinstyle="miter"/>
            <v:imagedata o:title=""/>
            <o:lock v:ext="edit"/>
            <v:textbox>
              <w:txbxContent>
                <w:p>
                  <w:pPr>
                    <w:pStyle w:val="24"/>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r>
        <w:rPr>
          <w:rFonts w:ascii="仿宋" w:hAnsi="仿宋" w:eastAsia="仿宋" w:cs="仿宋"/>
        </w:rPr>
        <w:pict>
          <v:roundrect id="_x0000_s2052" o:spid="_x0000_s2052" o:spt="2" style="position:absolute;left:0pt;margin-left:32.9pt;margin-top:16.55pt;height:125.1pt;width:213.4pt;z-index:251664384;v-text-anchor:middle;mso-width-relative:page;mso-height-relative:page;" filled="f"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path/>
            <v:fill on="f" focussize="0,0"/>
            <v:stroke weight="1pt" joinstyle="miter"/>
            <v:imagedata o:title=""/>
            <o:lock v:ext="edit"/>
            <v:textbox>
              <w:txbxContent>
                <w:p>
                  <w:pPr>
                    <w:pStyle w:val="24"/>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w:r>
      <w:r>
        <w:rPr>
          <w:rFonts w:ascii="仿宋" w:hAnsi="仿宋" w:eastAsia="仿宋" w:cs="仿宋"/>
        </w:rPr>
        <w:pict>
          <v:roundrect id="_x0000_s2051" o:spid="_x0000_s2051" o:spt="2" style="position:absolute;left:0pt;margin-left:257.8pt;margin-top:17.4pt;height:125.1pt;width:213.4pt;z-index:251665408;v-text-anchor:middle;mso-width-relative:page;mso-height-relative:page;" filled="f"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path/>
            <v:fill on="f" focussize="0,0"/>
            <v:stroke weight="1pt" joinstyle="miter"/>
            <v:imagedata o:title=""/>
            <o:lock v:ext="edit"/>
            <v:textbox>
              <w:txbxContent>
                <w:p>
                  <w:pPr>
                    <w:pStyle w:val="24"/>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w: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4"/>
        <w:rPr>
          <w:rFonts w:cs="仿宋"/>
        </w:rPr>
      </w:pPr>
      <w:r>
        <w:rPr>
          <w:rFonts w:hint="eastAsia" w:cs="仿宋"/>
        </w:rPr>
        <w:br w:type="page"/>
      </w:r>
      <w:bookmarkStart w:id="79" w:name="_Toc7822"/>
      <w:bookmarkStart w:id="80" w:name="_Toc82497928"/>
      <w:bookmarkStart w:id="81" w:name="_Toc56170396"/>
      <w:r>
        <w:rPr>
          <w:rFonts w:hint="eastAsia" w:cs="仿宋"/>
        </w:rPr>
        <w:t>附件四、关于单一来源响应文件的声明函</w:t>
      </w:r>
      <w:bookmarkEnd w:id="79"/>
      <w:bookmarkEnd w:id="80"/>
      <w:bookmarkEnd w:id="81"/>
    </w:p>
    <w:p>
      <w:pPr>
        <w:adjustRightInd w:val="0"/>
        <w:snapToGrid w:val="0"/>
        <w:spacing w:line="360" w:lineRule="auto"/>
        <w:ind w:firstLine="560" w:firstLineChars="200"/>
        <w:rPr>
          <w:rFonts w:ascii="仿宋" w:hAnsi="仿宋" w:eastAsia="仿宋" w:cs="仿宋"/>
          <w:color w:val="000000"/>
          <w:sz w:val="28"/>
          <w:szCs w:val="28"/>
        </w:rPr>
      </w:pPr>
    </w:p>
    <w:p>
      <w:pPr>
        <w:pStyle w:val="24"/>
        <w:spacing w:line="360" w:lineRule="auto"/>
        <w:ind w:firstLine="560"/>
        <w:rPr>
          <w:rFonts w:ascii="仿宋" w:hAnsi="仿宋" w:eastAsia="仿宋" w:cs="仿宋"/>
          <w:color w:val="000000"/>
        </w:rPr>
      </w:pPr>
      <w:r>
        <w:rPr>
          <w:rFonts w:hint="eastAsia" w:ascii="仿宋" w:hAnsi="仿宋" w:eastAsia="仿宋" w:cs="仿宋"/>
          <w:color w:val="000000"/>
        </w:rPr>
        <w:t>致：中科高盛咨询集团有限公司：</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为响应你方    年    月   日的           投标邀请，下述签字人自愿参与投标，提供单一来源采购文件技术需求书中规定的         项目，提交下述文件并声明全部说明是真实的和正确的。下述签字人将就下述文件中存在的虚假或不真实内容对招标代理机构和供应商承担法律责任。</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1）我方的资格声明，各有  份正本，  份副本。</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 xml:space="preserve">供应商：    （公章）        </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日期：   年   月   日</w:t>
      </w:r>
    </w:p>
    <w:p>
      <w:pPr>
        <w:pStyle w:val="4"/>
        <w:rPr>
          <w:rFonts w:cs="仿宋"/>
        </w:rPr>
      </w:pPr>
      <w:r>
        <w:rPr>
          <w:rFonts w:hint="eastAsia" w:cs="仿宋"/>
        </w:rPr>
        <w:br w:type="page"/>
      </w:r>
      <w:bookmarkStart w:id="82" w:name="_Toc26415"/>
      <w:bookmarkStart w:id="83" w:name="_Toc56170397"/>
      <w:bookmarkStart w:id="84" w:name="_Toc82497929"/>
      <w:r>
        <w:rPr>
          <w:rFonts w:hint="eastAsia" w:cs="仿宋"/>
        </w:rPr>
        <w:t>附件五、诚信投标承诺书</w:t>
      </w:r>
      <w:bookmarkEnd w:id="82"/>
      <w:bookmarkEnd w:id="83"/>
      <w:bookmarkEnd w:id="84"/>
    </w:p>
    <w:p>
      <w:pPr>
        <w:pStyle w:val="24"/>
        <w:spacing w:line="360" w:lineRule="auto"/>
        <w:ind w:firstLine="560"/>
        <w:rPr>
          <w:rFonts w:ascii="仿宋" w:hAnsi="仿宋" w:eastAsia="仿宋" w:cs="仿宋"/>
          <w:color w:val="000000"/>
        </w:rPr>
      </w:pPr>
      <w:r>
        <w:rPr>
          <w:rFonts w:hint="eastAsia" w:ascii="仿宋" w:hAnsi="仿宋" w:eastAsia="仿宋" w:cs="仿宋"/>
          <w:color w:val="000000"/>
        </w:rPr>
        <w:t>本人以企业法定代表人的身份郑重承诺：</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一、单一来源响应文件中所提供的一切材料都是真实、有效、合法的；</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二、不以他人名义投标或者以其他方式弄虚作假，骗取成交；</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三、不与其他供应商互相串通投标，不排挤其他供应商的公平竞争，不损害供应商的合法权益；</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四、不与采购人或者招标代理机构串通投标，损害国家利益、社会公共利益或者他人的合法权益；</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五、不向采购人或者谈判小组成员行贿以牟取成交；</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投标、记入不良信用档案、没收本次投标保证金，并愿意承担由此引起的其他法律责任。</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供应商：（公章）</w:t>
      </w:r>
    </w:p>
    <w:p>
      <w:pPr>
        <w:pStyle w:val="24"/>
        <w:spacing w:line="360" w:lineRule="auto"/>
        <w:ind w:firstLine="560"/>
        <w:rPr>
          <w:rFonts w:ascii="仿宋" w:hAnsi="仿宋" w:eastAsia="仿宋" w:cs="仿宋"/>
          <w:color w:val="000000"/>
        </w:rPr>
      </w:pPr>
      <w:r>
        <w:rPr>
          <w:rFonts w:hint="eastAsia" w:ascii="仿宋" w:hAnsi="仿宋" w:eastAsia="仿宋" w:cs="仿宋"/>
          <w:color w:val="000000"/>
        </w:rPr>
        <w:t>法定代表人：（签字）       法定代表授权委托人：（签字）</w:t>
      </w:r>
    </w:p>
    <w:p>
      <w:pPr>
        <w:pStyle w:val="4"/>
        <w:rPr>
          <w:rFonts w:cs="仿宋"/>
        </w:rPr>
      </w:pPr>
      <w:r>
        <w:rPr>
          <w:rFonts w:hint="eastAsia" w:cs="仿宋"/>
          <w:szCs w:val="28"/>
        </w:rPr>
        <w:br w:type="page"/>
      </w:r>
      <w:bookmarkStart w:id="85" w:name="_Toc435087575"/>
      <w:bookmarkStart w:id="86" w:name="_Toc82497930"/>
      <w:bookmarkStart w:id="87" w:name="_Toc8836"/>
      <w:bookmarkStart w:id="88" w:name="_Toc56170398"/>
      <w:r>
        <w:rPr>
          <w:rFonts w:hint="eastAsia" w:cs="仿宋"/>
        </w:rPr>
        <w:t>附件</w:t>
      </w:r>
      <w:bookmarkEnd w:id="85"/>
      <w:r>
        <w:rPr>
          <w:rFonts w:hint="eastAsia" w:cs="仿宋"/>
        </w:rPr>
        <w:t>六、供应商反商业贿赂承诺书</w:t>
      </w:r>
      <w:bookmarkEnd w:id="86"/>
      <w:bookmarkEnd w:id="87"/>
      <w:bookmarkEnd w:id="88"/>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2、不与采购人相互勾结私下协议，弄虚作假，搞假投标、陪标、串通投标，明招暗定，暗箱操作。</w:t>
      </w:r>
    </w:p>
    <w:p>
      <w:pPr>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s="仿宋"/>
          <w:color w:val="000000"/>
          <w:kern w:val="0"/>
          <w:sz w:val="28"/>
          <w:szCs w:val="28"/>
        </w:rPr>
      </w:pPr>
    </w:p>
    <w:p>
      <w:pPr>
        <w:autoSpaceDE w:val="0"/>
        <w:autoSpaceDN w:val="0"/>
        <w:adjustRightInd w:val="0"/>
        <w:spacing w:line="360" w:lineRule="auto"/>
        <w:ind w:left="221"/>
        <w:rPr>
          <w:rFonts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ascii="仿宋" w:hAnsi="仿宋" w:eastAsia="仿宋" w:cs="仿宋"/>
          <w:color w:val="000000"/>
          <w:kern w:val="0"/>
          <w:sz w:val="28"/>
          <w:szCs w:val="28"/>
        </w:rPr>
      </w:pPr>
    </w:p>
    <w:p>
      <w:pPr>
        <w:autoSpaceDE w:val="0"/>
        <w:autoSpaceDN w:val="0"/>
        <w:adjustRightInd w:val="0"/>
        <w:spacing w:line="360" w:lineRule="auto"/>
        <w:jc w:val="right"/>
        <w:rPr>
          <w:rFonts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4"/>
        <w:spacing w:line="360" w:lineRule="auto"/>
        <w:ind w:firstLine="560"/>
        <w:jc w:val="right"/>
        <w:rPr>
          <w:rFonts w:ascii="仿宋" w:hAnsi="仿宋" w:eastAsia="仿宋" w:cs="仿宋"/>
          <w:color w:val="000000"/>
          <w:kern w:val="0"/>
          <w:szCs w:val="28"/>
        </w:rPr>
      </w:pPr>
      <w:r>
        <w:rPr>
          <w:rFonts w:hint="eastAsia" w:ascii="仿宋" w:hAnsi="仿宋" w:eastAsia="仿宋" w:cs="仿宋"/>
          <w:color w:val="000000"/>
          <w:kern w:val="0"/>
          <w:szCs w:val="28"/>
        </w:rPr>
        <w:t>年      月     日</w:t>
      </w:r>
    </w:p>
    <w:p>
      <w:pPr>
        <w:pStyle w:val="15"/>
        <w:spacing w:before="60" w:beforeAutospacing="0" w:after="60" w:afterAutospacing="0" w:line="444" w:lineRule="atLeast"/>
        <w:ind w:left="1020"/>
        <w:jc w:val="center"/>
        <w:rPr>
          <w:rFonts w:ascii="sans-serif" w:hAnsi="sans-serif" w:eastAsia="sans-serif" w:cs="sans-serif"/>
          <w:color w:val="000000"/>
          <w:sz w:val="19"/>
          <w:szCs w:val="19"/>
        </w:rPr>
      </w:pPr>
      <w:r>
        <w:rPr>
          <w:rFonts w:hint="eastAsia" w:ascii="仿宋" w:hAnsi="仿宋" w:eastAsia="仿宋" w:cs="仿宋"/>
        </w:rPr>
        <w:br w:type="page"/>
      </w:r>
      <w:bookmarkStart w:id="89" w:name="_Toc21708"/>
      <w:r>
        <w:rPr>
          <w:rStyle w:val="35"/>
          <w:rFonts w:hint="eastAsia"/>
        </w:rPr>
        <w:t>附件七、中小企业声明函</w:t>
      </w:r>
      <w:r>
        <w:rPr>
          <w:rStyle w:val="35"/>
        </w:rPr>
        <w:t>（</w:t>
      </w:r>
      <w:r>
        <w:rPr>
          <w:rStyle w:val="35"/>
          <w:rFonts w:hint="eastAsia"/>
        </w:rPr>
        <w:t>货物</w:t>
      </w:r>
      <w:r>
        <w:rPr>
          <w:rStyle w:val="35"/>
        </w:rPr>
        <w:t>）</w:t>
      </w:r>
      <w:bookmarkEnd w:id="89"/>
    </w:p>
    <w:p>
      <w:pPr>
        <w:pStyle w:val="15"/>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本公司（联合体）郑重声明，根据《政府采购促进中小企业发展管理办法》（财库〔2020〕46号）的规定，本公司（联合体）参加</w:t>
      </w:r>
      <w:r>
        <w:rPr>
          <w:rStyle w:val="20"/>
          <w:rFonts w:ascii="仿宋_GB2312" w:hAnsi="sans-serif" w:eastAsia="仿宋_GB2312" w:cs="仿宋_GB2312"/>
          <w:i w:val="0"/>
          <w:iCs w:val="0"/>
          <w:color w:val="000000"/>
          <w:sz w:val="28"/>
          <w:szCs w:val="28"/>
          <w:u w:val="single"/>
        </w:rPr>
        <w:t>（单位名称）</w:t>
      </w:r>
      <w:r>
        <w:rPr>
          <w:rFonts w:ascii="仿宋_GB2312" w:hAnsi="sans-serif" w:eastAsia="仿宋_GB2312" w:cs="仿宋_GB2312"/>
          <w:color w:val="000000"/>
          <w:sz w:val="28"/>
          <w:szCs w:val="28"/>
        </w:rPr>
        <w:t>的</w:t>
      </w:r>
      <w:r>
        <w:rPr>
          <w:rStyle w:val="20"/>
          <w:rFonts w:ascii="仿宋_GB2312" w:hAnsi="sans-serif" w:eastAsia="仿宋_GB2312" w:cs="仿宋_GB2312"/>
          <w:i w:val="0"/>
          <w:iCs w:val="0"/>
          <w:color w:val="000000"/>
          <w:sz w:val="28"/>
          <w:szCs w:val="28"/>
          <w:u w:val="single"/>
        </w:rPr>
        <w:t>（项目名称）</w:t>
      </w:r>
      <w:r>
        <w:rPr>
          <w:rFonts w:ascii="仿宋_GB2312" w:hAnsi="sans-serif" w:eastAsia="仿宋_GB2312" w:cs="仿宋_GB2312"/>
          <w:color w:val="000000"/>
          <w:sz w:val="28"/>
          <w:szCs w:val="28"/>
        </w:rPr>
        <w:t>采购活动，提供的货物全部由符合政策要求的中小企业制造。相关企业（含联合体中的中小企业、签订分包意向协议的中小企业）的具体情况如下：</w:t>
      </w:r>
    </w:p>
    <w:p>
      <w:pPr>
        <w:pStyle w:val="15"/>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1.</w:t>
      </w:r>
      <w:r>
        <w:rPr>
          <w:rStyle w:val="20"/>
          <w:rFonts w:ascii="仿宋_GB2312" w:hAnsi="sans-serif" w:eastAsia="仿宋_GB2312" w:cs="仿宋_GB2312"/>
          <w:i w:val="0"/>
          <w:iCs w:val="0"/>
          <w:color w:val="000000"/>
          <w:sz w:val="28"/>
          <w:szCs w:val="28"/>
          <w:u w:val="single"/>
        </w:rPr>
        <w:t>（标的名称）</w:t>
      </w:r>
      <w:r>
        <w:rPr>
          <w:rFonts w:ascii="仿宋_GB2312" w:hAnsi="sans-serif" w:eastAsia="仿宋_GB2312" w:cs="仿宋_GB2312"/>
          <w:color w:val="000000"/>
          <w:sz w:val="28"/>
          <w:szCs w:val="28"/>
        </w:rPr>
        <w:t>，属于</w:t>
      </w:r>
      <w:r>
        <w:rPr>
          <w:rStyle w:val="20"/>
          <w:rFonts w:ascii="仿宋_GB2312" w:hAnsi="sans-serif" w:eastAsia="仿宋_GB2312" w:cs="仿宋_GB2312"/>
          <w:i w:val="0"/>
          <w:iCs w:val="0"/>
          <w:color w:val="000000"/>
          <w:sz w:val="28"/>
          <w:szCs w:val="28"/>
          <w:u w:val="single"/>
        </w:rPr>
        <w:t>（采购文件中明确的所属行业）</w:t>
      </w:r>
      <w:r>
        <w:rPr>
          <w:rFonts w:ascii="仿宋_GB2312" w:hAnsi="sans-serif" w:eastAsia="仿宋_GB2312" w:cs="仿宋_GB2312"/>
          <w:color w:val="000000"/>
          <w:sz w:val="28"/>
          <w:szCs w:val="28"/>
        </w:rPr>
        <w:t>；制造商为</w:t>
      </w:r>
      <w:r>
        <w:rPr>
          <w:rStyle w:val="20"/>
          <w:rFonts w:ascii="仿宋_GB2312" w:hAnsi="sans-serif" w:eastAsia="仿宋_GB2312" w:cs="仿宋_GB2312"/>
          <w:i w:val="0"/>
          <w:iCs w:val="0"/>
          <w:color w:val="000000"/>
          <w:sz w:val="28"/>
          <w:szCs w:val="28"/>
          <w:u w:val="single"/>
        </w:rPr>
        <w:t>（企业名称）</w:t>
      </w:r>
      <w:r>
        <w:rPr>
          <w:rFonts w:ascii="仿宋_GB2312" w:hAnsi="sans-serif" w:eastAsia="仿宋_GB2312" w:cs="仿宋_GB2312"/>
          <w:color w:val="000000"/>
          <w:sz w:val="28"/>
          <w:szCs w:val="28"/>
        </w:rPr>
        <w:t>，从业人员</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人，营业收入为</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万元，资产总额为</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万元，属于</w:t>
      </w:r>
      <w:r>
        <w:rPr>
          <w:rStyle w:val="20"/>
          <w:rFonts w:ascii="仿宋_GB2312" w:hAnsi="sans-serif" w:eastAsia="仿宋_GB2312" w:cs="仿宋_GB2312"/>
          <w:i w:val="0"/>
          <w:iCs w:val="0"/>
          <w:color w:val="000000"/>
          <w:sz w:val="28"/>
          <w:szCs w:val="28"/>
          <w:u w:val="single"/>
        </w:rPr>
        <w:t>（中型企业、小型企业、微型企业）</w:t>
      </w:r>
      <w:r>
        <w:rPr>
          <w:rFonts w:ascii="仿宋_GB2312" w:hAnsi="sans-serif" w:eastAsia="仿宋_GB2312" w:cs="仿宋_GB2312"/>
          <w:color w:val="000000"/>
          <w:sz w:val="28"/>
          <w:szCs w:val="28"/>
        </w:rPr>
        <w:t>；</w:t>
      </w:r>
    </w:p>
    <w:p>
      <w:pPr>
        <w:pStyle w:val="15"/>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2. </w:t>
      </w:r>
      <w:r>
        <w:rPr>
          <w:rStyle w:val="20"/>
          <w:rFonts w:ascii="仿宋_GB2312" w:hAnsi="sans-serif" w:eastAsia="仿宋_GB2312" w:cs="仿宋_GB2312"/>
          <w:i w:val="0"/>
          <w:iCs w:val="0"/>
          <w:color w:val="000000"/>
          <w:sz w:val="28"/>
          <w:szCs w:val="28"/>
          <w:u w:val="single"/>
        </w:rPr>
        <w:t>（标的名称）</w:t>
      </w:r>
      <w:r>
        <w:rPr>
          <w:rFonts w:ascii="仿宋_GB2312" w:hAnsi="sans-serif" w:eastAsia="仿宋_GB2312" w:cs="仿宋_GB2312"/>
          <w:color w:val="000000"/>
          <w:sz w:val="28"/>
          <w:szCs w:val="28"/>
        </w:rPr>
        <w:t>，属于</w:t>
      </w:r>
      <w:r>
        <w:rPr>
          <w:rStyle w:val="20"/>
          <w:rFonts w:ascii="仿宋_GB2312" w:hAnsi="sans-serif" w:eastAsia="仿宋_GB2312" w:cs="仿宋_GB2312"/>
          <w:i w:val="0"/>
          <w:iCs w:val="0"/>
          <w:color w:val="000000"/>
          <w:sz w:val="28"/>
          <w:szCs w:val="28"/>
          <w:u w:val="single"/>
        </w:rPr>
        <w:t>（采购文件中明确的所属行业）</w:t>
      </w:r>
      <w:r>
        <w:rPr>
          <w:rFonts w:ascii="仿宋_GB2312" w:hAnsi="sans-serif" w:eastAsia="仿宋_GB2312" w:cs="仿宋_GB2312"/>
          <w:color w:val="000000"/>
          <w:sz w:val="28"/>
          <w:szCs w:val="28"/>
        </w:rPr>
        <w:t>；制造商为</w:t>
      </w:r>
      <w:r>
        <w:rPr>
          <w:rStyle w:val="20"/>
          <w:rFonts w:ascii="仿宋_GB2312" w:hAnsi="sans-serif" w:eastAsia="仿宋_GB2312" w:cs="仿宋_GB2312"/>
          <w:i w:val="0"/>
          <w:iCs w:val="0"/>
          <w:color w:val="000000"/>
          <w:sz w:val="28"/>
          <w:szCs w:val="28"/>
          <w:u w:val="single"/>
        </w:rPr>
        <w:t>（企业名称）</w:t>
      </w:r>
      <w:r>
        <w:rPr>
          <w:rFonts w:ascii="仿宋_GB2312" w:hAnsi="sans-serif" w:eastAsia="仿宋_GB2312" w:cs="仿宋_GB2312"/>
          <w:color w:val="000000"/>
          <w:sz w:val="28"/>
          <w:szCs w:val="28"/>
        </w:rPr>
        <w:t>，从业人员</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人，营业收入为</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万元，资产总额为</w:t>
      </w:r>
      <w:r>
        <w:rPr>
          <w:rFonts w:ascii="仿宋_GB2312" w:hAnsi="sans-serif" w:eastAsia="仿宋_GB2312" w:cs="仿宋_GB2312"/>
          <w:color w:val="000000"/>
          <w:sz w:val="28"/>
          <w:szCs w:val="28"/>
          <w:u w:val="single"/>
        </w:rPr>
        <w:t>  </w:t>
      </w:r>
      <w:r>
        <w:rPr>
          <w:rFonts w:ascii="仿宋_GB2312" w:hAnsi="sans-serif" w:eastAsia="仿宋_GB2312" w:cs="仿宋_GB2312"/>
          <w:color w:val="000000"/>
          <w:sz w:val="28"/>
          <w:szCs w:val="28"/>
        </w:rPr>
        <w:t>万元，属于</w:t>
      </w:r>
      <w:r>
        <w:rPr>
          <w:rStyle w:val="20"/>
          <w:rFonts w:ascii="仿宋_GB2312" w:hAnsi="sans-serif" w:eastAsia="仿宋_GB2312" w:cs="仿宋_GB2312"/>
          <w:i w:val="0"/>
          <w:iCs w:val="0"/>
          <w:color w:val="000000"/>
          <w:sz w:val="28"/>
          <w:szCs w:val="28"/>
          <w:u w:val="single"/>
        </w:rPr>
        <w:t>（中型企业、小型企业、微型企业）</w:t>
      </w:r>
      <w:r>
        <w:rPr>
          <w:rFonts w:ascii="仿宋_GB2312" w:hAnsi="sans-serif" w:eastAsia="仿宋_GB2312" w:cs="仿宋_GB2312"/>
          <w:color w:val="000000"/>
          <w:sz w:val="28"/>
          <w:szCs w:val="28"/>
        </w:rPr>
        <w:t>；</w:t>
      </w:r>
    </w:p>
    <w:p>
      <w:pPr>
        <w:pStyle w:val="15"/>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w:t>
      </w:r>
    </w:p>
    <w:p>
      <w:pPr>
        <w:pStyle w:val="15"/>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以上企业，不属于大企业的分支机构，不存在控股股东为大企业的情形，也不存在与大企业的负责人为同一人的情形。</w:t>
      </w:r>
    </w:p>
    <w:p>
      <w:pPr>
        <w:pStyle w:val="15"/>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本企业对上述声明内容的真实性负责。如有虚假，将依法承担相应责任。</w:t>
      </w:r>
    </w:p>
    <w:p>
      <w:pPr>
        <w:pStyle w:val="15"/>
        <w:spacing w:before="60" w:beforeAutospacing="0" w:after="60" w:afterAutospacing="0" w:line="432" w:lineRule="atLeast"/>
        <w:ind w:firstLine="516"/>
        <w:rPr>
          <w:rFonts w:ascii="sans-serif" w:hAnsi="sans-serif" w:eastAsia="sans-serif" w:cs="sans-serif"/>
          <w:color w:val="000000"/>
          <w:sz w:val="28"/>
          <w:szCs w:val="28"/>
        </w:rPr>
      </w:pPr>
      <w:r>
        <w:rPr>
          <w:rFonts w:ascii="仿宋_GB2312" w:hAnsi="sans-serif" w:eastAsia="仿宋_GB2312" w:cs="仿宋_GB2312"/>
          <w:color w:val="000000"/>
          <w:sz w:val="28"/>
          <w:szCs w:val="28"/>
        </w:rPr>
        <w:t>                      企业名称（盖章）：</w:t>
      </w:r>
    </w:p>
    <w:p>
      <w:pPr>
        <w:pStyle w:val="15"/>
        <w:spacing w:before="60" w:beforeAutospacing="0" w:after="60" w:afterAutospacing="0" w:line="432" w:lineRule="atLeast"/>
        <w:ind w:firstLine="516"/>
        <w:rPr>
          <w:rFonts w:ascii="仿宋_GB2312" w:hAnsi="sans-serif" w:eastAsia="仿宋_GB2312" w:cs="仿宋_GB2312"/>
          <w:color w:val="000000"/>
          <w:sz w:val="28"/>
          <w:szCs w:val="28"/>
        </w:rPr>
      </w:pPr>
      <w:r>
        <w:rPr>
          <w:rFonts w:ascii="仿宋_GB2312" w:hAnsi="sans-serif" w:eastAsia="仿宋_GB2312" w:cs="仿宋_GB2312"/>
          <w:color w:val="000000"/>
          <w:sz w:val="28"/>
          <w:szCs w:val="28"/>
        </w:rPr>
        <w:t>                      日期：</w:t>
      </w:r>
    </w:p>
    <w:p>
      <w:pPr>
        <w:pStyle w:val="15"/>
        <w:spacing w:before="60" w:beforeAutospacing="0" w:after="60" w:afterAutospacing="0" w:line="432" w:lineRule="atLeast"/>
        <w:ind w:firstLine="516"/>
        <w:rPr>
          <w:rFonts w:ascii="仿宋_GB2312" w:hAnsi="sans-serif" w:eastAsia="仿宋_GB2312" w:cs="仿宋_GB2312"/>
          <w:color w:val="000000"/>
          <w:sz w:val="25"/>
          <w:szCs w:val="25"/>
        </w:rPr>
      </w:pPr>
    </w:p>
    <w:p>
      <w:pPr>
        <w:pStyle w:val="15"/>
        <w:spacing w:before="60" w:beforeAutospacing="0" w:after="60" w:afterAutospacing="0" w:line="444" w:lineRule="atLeast"/>
        <w:ind w:firstLine="516"/>
        <w:jc w:val="right"/>
        <w:rPr>
          <w:rFonts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4"/>
        <w:spacing w:line="360" w:lineRule="auto"/>
        <w:rPr>
          <w:rFonts w:cs="仿宋"/>
        </w:rPr>
      </w:pPr>
      <w:bookmarkStart w:id="90" w:name="_Toc82497932"/>
      <w:bookmarkStart w:id="91" w:name="_Toc25933"/>
      <w:bookmarkStart w:id="92" w:name="_Toc56170399"/>
      <w:r>
        <w:rPr>
          <w:rFonts w:hint="eastAsia" w:cs="仿宋"/>
        </w:rPr>
        <w:t>附件八、开标一览表</w:t>
      </w:r>
      <w:bookmarkEnd w:id="90"/>
      <w:bookmarkEnd w:id="91"/>
      <w:bookmarkEnd w:id="92"/>
    </w:p>
    <w:p>
      <w:pPr>
        <w:tabs>
          <w:tab w:val="center" w:pos="7115"/>
          <w:tab w:val="right" w:pos="14230"/>
        </w:tabs>
        <w:spacing w:line="360" w:lineRule="auto"/>
        <w:ind w:firstLine="140" w:firstLineChars="50"/>
        <w:rPr>
          <w:rFonts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ascii="仿宋" w:hAnsi="仿宋" w:eastAsia="仿宋" w:cs="仿宋"/>
          <w:color w:val="000000"/>
          <w:kern w:val="0"/>
          <w:sz w:val="28"/>
          <w:szCs w:val="28"/>
        </w:rPr>
      </w:pPr>
      <w:r>
        <w:rPr>
          <w:rFonts w:hint="eastAsia" w:ascii="仿宋" w:hAnsi="仿宋" w:eastAsia="仿宋" w:cs="仿宋"/>
          <w:color w:val="000000"/>
          <w:sz w:val="28"/>
          <w:szCs w:val="28"/>
        </w:rPr>
        <w:t>项目名称：                                                        编号：</w:t>
      </w:r>
    </w:p>
    <w:p>
      <w:pPr>
        <w:pStyle w:val="7"/>
      </w:pPr>
    </w:p>
    <w:tbl>
      <w:tblPr>
        <w:tblStyle w:val="18"/>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1"/>
        <w:gridCol w:w="4465"/>
        <w:gridCol w:w="3172"/>
        <w:gridCol w:w="3172"/>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7" w:hRule="exact"/>
          <w:jc w:val="center"/>
        </w:trPr>
        <w:tc>
          <w:tcPr>
            <w:tcW w:w="1981"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lang w:val="en-US" w:eastAsia="zh-CN"/>
              </w:rPr>
              <w:t>货物</w:t>
            </w:r>
            <w:r>
              <w:rPr>
                <w:rFonts w:hint="eastAsia" w:ascii="仿宋" w:hAnsi="仿宋" w:eastAsia="仿宋" w:cs="仿宋"/>
                <w:color w:val="000000"/>
                <w:sz w:val="28"/>
                <w:szCs w:val="28"/>
              </w:rPr>
              <w:t>名称</w:t>
            </w:r>
          </w:p>
        </w:tc>
        <w:tc>
          <w:tcPr>
            <w:tcW w:w="4465"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品牌/产地</w:t>
            </w:r>
          </w:p>
        </w:tc>
        <w:tc>
          <w:tcPr>
            <w:tcW w:w="3172"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规格型号</w:t>
            </w:r>
          </w:p>
        </w:tc>
        <w:tc>
          <w:tcPr>
            <w:tcW w:w="3172"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交货期</w:t>
            </w:r>
          </w:p>
        </w:tc>
        <w:tc>
          <w:tcPr>
            <w:tcW w:w="1188"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3" w:hRule="atLeast"/>
          <w:jc w:val="center"/>
        </w:trPr>
        <w:tc>
          <w:tcPr>
            <w:tcW w:w="1981" w:type="dxa"/>
            <w:tcBorders>
              <w:bottom w:val="single" w:color="auto" w:sz="4" w:space="0"/>
            </w:tcBorders>
            <w:vAlign w:val="center"/>
          </w:tcPr>
          <w:p>
            <w:pPr>
              <w:snapToGrid w:val="0"/>
              <w:spacing w:line="360" w:lineRule="auto"/>
              <w:jc w:val="center"/>
              <w:rPr>
                <w:rFonts w:ascii="仿宋" w:hAnsi="仿宋" w:eastAsia="仿宋" w:cs="仿宋"/>
                <w:color w:val="000000"/>
                <w:sz w:val="28"/>
                <w:szCs w:val="28"/>
              </w:rPr>
            </w:pPr>
          </w:p>
        </w:tc>
        <w:tc>
          <w:tcPr>
            <w:tcW w:w="4465" w:type="dxa"/>
            <w:tcBorders>
              <w:bottom w:val="single" w:color="auto" w:sz="4" w:space="0"/>
            </w:tcBorders>
            <w:vAlign w:val="center"/>
          </w:tcPr>
          <w:p>
            <w:pPr>
              <w:snapToGrid w:val="0"/>
              <w:spacing w:line="360" w:lineRule="auto"/>
              <w:jc w:val="center"/>
              <w:rPr>
                <w:rFonts w:ascii="仿宋" w:hAnsi="仿宋" w:eastAsia="仿宋" w:cs="仿宋"/>
                <w:color w:val="000000"/>
                <w:sz w:val="28"/>
                <w:szCs w:val="28"/>
              </w:rPr>
            </w:pPr>
          </w:p>
        </w:tc>
        <w:tc>
          <w:tcPr>
            <w:tcW w:w="3172" w:type="dxa"/>
            <w:tcBorders>
              <w:bottom w:val="single" w:color="auto" w:sz="4" w:space="0"/>
              <w:right w:val="single" w:color="auto" w:sz="4" w:space="0"/>
            </w:tcBorders>
            <w:vAlign w:val="center"/>
          </w:tcPr>
          <w:p>
            <w:pPr>
              <w:snapToGrid w:val="0"/>
              <w:spacing w:line="360" w:lineRule="auto"/>
              <w:jc w:val="center"/>
              <w:rPr>
                <w:rFonts w:ascii="仿宋" w:hAnsi="仿宋" w:eastAsia="仿宋" w:cs="仿宋"/>
                <w:color w:val="000000"/>
                <w:sz w:val="28"/>
                <w:szCs w:val="28"/>
              </w:rPr>
            </w:pPr>
          </w:p>
        </w:tc>
        <w:tc>
          <w:tcPr>
            <w:tcW w:w="3172" w:type="dxa"/>
            <w:tcBorders>
              <w:bottom w:val="single" w:color="auto" w:sz="4" w:space="0"/>
              <w:right w:val="single" w:color="auto" w:sz="4" w:space="0"/>
            </w:tcBorders>
            <w:vAlign w:val="center"/>
          </w:tcPr>
          <w:p>
            <w:pPr>
              <w:snapToGrid w:val="0"/>
              <w:spacing w:line="360" w:lineRule="auto"/>
              <w:jc w:val="center"/>
              <w:rPr>
                <w:rFonts w:ascii="仿宋" w:hAnsi="仿宋" w:eastAsia="仿宋" w:cs="仿宋"/>
                <w:color w:val="000000"/>
                <w:sz w:val="28"/>
                <w:szCs w:val="28"/>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2" w:hRule="exact"/>
          <w:jc w:val="center"/>
        </w:trPr>
        <w:tc>
          <w:tcPr>
            <w:tcW w:w="1981" w:type="dxa"/>
            <w:tcBorders>
              <w:bottom w:val="single" w:color="auto" w:sz="4" w:space="0"/>
            </w:tcBorders>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投标总报价</w:t>
            </w:r>
          </w:p>
        </w:tc>
        <w:tc>
          <w:tcPr>
            <w:tcW w:w="11997" w:type="dxa"/>
            <w:gridSpan w:val="4"/>
            <w:tcBorders>
              <w:bottom w:val="single" w:color="auto" w:sz="4" w:space="0"/>
            </w:tcBorders>
            <w:vAlign w:val="center"/>
          </w:tcPr>
          <w:p>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投标单位授权代表签字：                                             投标单位公章：</w:t>
      </w:r>
    </w:p>
    <w:p>
      <w:pPr>
        <w:spacing w:line="360" w:lineRule="auto"/>
        <w:ind w:firstLine="548" w:firstLineChars="196"/>
        <w:rPr>
          <w:rFonts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ascii="仿宋" w:hAnsi="仿宋" w:eastAsia="仿宋" w:cs="仿宋"/>
          <w:color w:val="000000"/>
          <w:sz w:val="28"/>
        </w:rPr>
      </w:pPr>
      <w:r>
        <w:rPr>
          <w:rFonts w:hint="eastAsia" w:ascii="仿宋" w:hAnsi="仿宋" w:eastAsia="仿宋" w:cs="仿宋"/>
          <w:color w:val="000000"/>
          <w:sz w:val="28"/>
        </w:rPr>
        <w:t xml:space="preserve">    2、在开标一览表中，按第二章投标人须知10.2条款的规定不允许出现两种报价，否则其投标将被拒绝。</w:t>
      </w:r>
    </w:p>
    <w:p>
      <w:pPr>
        <w:spacing w:line="360" w:lineRule="auto"/>
        <w:ind w:firstLine="562"/>
        <w:rPr>
          <w:rFonts w:ascii="仿宋" w:hAnsi="仿宋" w:eastAsia="仿宋" w:cs="仿宋"/>
          <w:color w:val="000000"/>
          <w:sz w:val="28"/>
        </w:rPr>
      </w:pPr>
      <w:r>
        <w:rPr>
          <w:rFonts w:hint="eastAsia" w:ascii="仿宋" w:hAnsi="仿宋" w:eastAsia="仿宋" w:cs="仿宋"/>
          <w:color w:val="000000"/>
          <w:sz w:val="28"/>
        </w:rPr>
        <w:t xml:space="preserve">    3、详细清单参照附件九自制。</w:t>
      </w:r>
    </w:p>
    <w:p>
      <w:pPr>
        <w:spacing w:line="360" w:lineRule="auto"/>
        <w:ind w:firstLine="13067" w:firstLineChars="4667"/>
        <w:rPr>
          <w:rFonts w:ascii="仿宋" w:hAnsi="仿宋" w:eastAsia="仿宋" w:cs="仿宋"/>
          <w:color w:val="000000"/>
          <w:sz w:val="28"/>
        </w:rPr>
      </w:pPr>
    </w:p>
    <w:p>
      <w:pPr>
        <w:pStyle w:val="4"/>
        <w:rPr>
          <w:rFonts w:cs="仿宋"/>
        </w:rPr>
      </w:pPr>
      <w:r>
        <w:rPr>
          <w:rFonts w:hint="eastAsia" w:cs="仿宋"/>
        </w:rPr>
        <w:br w:type="page"/>
      </w:r>
      <w:bookmarkStart w:id="93" w:name="_Toc82497933"/>
      <w:bookmarkStart w:id="94" w:name="_Toc300"/>
      <w:bookmarkStart w:id="95" w:name="_Toc56170400"/>
      <w:r>
        <w:rPr>
          <w:rFonts w:hint="eastAsia" w:cs="仿宋"/>
        </w:rPr>
        <w:t>附件九、分项报价表</w:t>
      </w:r>
      <w:bookmarkEnd w:id="93"/>
      <w:bookmarkEnd w:id="94"/>
      <w:bookmarkEnd w:id="95"/>
    </w:p>
    <w:tbl>
      <w:tblPr>
        <w:tblStyle w:val="18"/>
        <w:tblW w:w="12885" w:type="dxa"/>
        <w:jc w:val="center"/>
        <w:tblLayout w:type="fixed"/>
        <w:tblCellMar>
          <w:top w:w="0" w:type="dxa"/>
          <w:left w:w="108" w:type="dxa"/>
          <w:bottom w:w="0" w:type="dxa"/>
          <w:right w:w="108" w:type="dxa"/>
        </w:tblCellMar>
      </w:tblPr>
      <w:tblGrid>
        <w:gridCol w:w="1385"/>
        <w:gridCol w:w="3180"/>
        <w:gridCol w:w="1628"/>
        <w:gridCol w:w="1146"/>
        <w:gridCol w:w="1582"/>
        <w:gridCol w:w="3964"/>
      </w:tblGrid>
      <w:tr>
        <w:tblPrEx>
          <w:tblCellMar>
            <w:top w:w="0" w:type="dxa"/>
            <w:left w:w="108" w:type="dxa"/>
            <w:bottom w:w="0" w:type="dxa"/>
            <w:right w:w="108" w:type="dxa"/>
          </w:tblCellMar>
        </w:tblPrEx>
        <w:trPr>
          <w:trHeight w:val="228" w:hRule="atLeast"/>
          <w:jc w:val="center"/>
        </w:trPr>
        <w:tc>
          <w:tcPr>
            <w:tcW w:w="12885" w:type="dxa"/>
            <w:gridSpan w:val="6"/>
            <w:tcBorders>
              <w:top w:val="nil"/>
              <w:left w:val="nil"/>
              <w:bottom w:val="nil"/>
              <w:right w:val="nil"/>
            </w:tcBorders>
            <w:shd w:val="clear" w:color="auto" w:fill="auto"/>
            <w:noWrap/>
            <w:vAlign w:val="center"/>
          </w:tcPr>
          <w:p>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标项二（年用量约27万）</w:t>
            </w:r>
          </w:p>
        </w:tc>
      </w:tr>
      <w:tr>
        <w:tblPrEx>
          <w:tblCellMar>
            <w:top w:w="0" w:type="dxa"/>
            <w:left w:w="108" w:type="dxa"/>
            <w:bottom w:w="0" w:type="dxa"/>
            <w:right w:w="108" w:type="dxa"/>
          </w:tblCellMar>
        </w:tblPrEx>
        <w:trPr>
          <w:trHeight w:val="655"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产品名称</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规格型号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生产厂家</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最高限价（元）</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备注</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RD-86稀释液（五）</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15.3/L</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溶血素86D(五）</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3.4/ML</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溶血素86H（五）</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4.85/ML</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清洗液（五）</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204/L</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浓缩清洁液RC-86（五）</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2.72/ML</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五分类质控（中值）</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90.67/ML</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rPr>
              <w:t>血细胞计数五分类雷杜Hemar ay  86</w:t>
            </w:r>
          </w:p>
        </w:tc>
      </w:tr>
      <w:tr>
        <w:tblPrEx>
          <w:tblCellMar>
            <w:top w:w="0" w:type="dxa"/>
            <w:left w:w="108" w:type="dxa"/>
            <w:bottom w:w="0" w:type="dxa"/>
            <w:right w:w="108" w:type="dxa"/>
          </w:tblCellMar>
        </w:tblPrEx>
        <w:trPr>
          <w:trHeight w:val="330"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电极内充液</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45.33/ML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330"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参比液</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330"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清洗液C</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330"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C-2内校液</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1.23/ML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330"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漂移校正液A</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0.38/ML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330"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漂移校正液B</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0.38/ML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电解质希莱恒IMS-972</w:t>
            </w:r>
          </w:p>
        </w:tc>
      </w:tr>
      <w:tr>
        <w:tblPrEx>
          <w:tblCellMar>
            <w:top w:w="0" w:type="dxa"/>
            <w:left w:w="108" w:type="dxa"/>
            <w:bottom w:w="0" w:type="dxa"/>
            <w:right w:w="108" w:type="dxa"/>
          </w:tblCellMar>
        </w:tblPrEx>
        <w:trPr>
          <w:trHeight w:val="330"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尿十一项试纸</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1.11/人</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尿液分析仪Mission U500</w:t>
            </w:r>
          </w:p>
        </w:tc>
      </w:tr>
      <w:tr>
        <w:tblPrEx>
          <w:tblCellMar>
            <w:top w:w="0" w:type="dxa"/>
            <w:left w:w="108" w:type="dxa"/>
            <w:bottom w:w="0" w:type="dxa"/>
            <w:right w:w="108" w:type="dxa"/>
          </w:tblCellMar>
        </w:tblPrEx>
        <w:trPr>
          <w:trHeight w:val="330"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尿液分析质控</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尿液分析仪Mission U500</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超敏C反应蛋白</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6.89/人</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特定蛋白分析仪HP-083/4-II</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降钙素原</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49.73/人</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特定蛋白分析仪HP-083/4-II</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尿微量白蛋白</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7.65/人</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特定蛋白分析仪HP-083/4-II</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血常规冲洗液（三）</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19.31/L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血细胞计数三分类迈瑞BC1800</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lang w:bidi="ar"/>
              </w:rPr>
              <w:t>血常规分析用稀释液</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lang w:bidi="ar"/>
              </w:rPr>
              <w:t>血细胞分析用溶血剂</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1.28/ML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lang w:bidi="ar"/>
              </w:rPr>
              <w:t>三分类血细胞分析仪用质控（中值）</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65.16/ML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 w:val="24"/>
              </w:rPr>
            </w:pPr>
            <w:r>
              <w:rPr>
                <w:rFonts w:hint="eastAsia" w:ascii="仿宋" w:hAnsi="仿宋" w:eastAsia="仿宋" w:cs="仿宋"/>
                <w:color w:val="000000" w:themeColor="text1"/>
                <w:kern w:val="0"/>
                <w:sz w:val="24"/>
                <w:lang w:bidi="ar"/>
              </w:rPr>
              <w:t>三分类血细胞用EZ清洗液</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0.89/ML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三分类血细胞用探头清洁液</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1.05/ML</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02"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血球稀释杯    30*50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0.14/个</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血细胞分析仪（三分类）迈瑞BC-2100;迈瑞BC1800</w:t>
            </w:r>
          </w:p>
        </w:tc>
      </w:tr>
      <w:tr>
        <w:tblPrEx>
          <w:tblCellMar>
            <w:top w:w="0" w:type="dxa"/>
            <w:left w:w="108" w:type="dxa"/>
            <w:bottom w:w="0" w:type="dxa"/>
            <w:right w:w="108" w:type="dxa"/>
          </w:tblCellMar>
        </w:tblPrEx>
        <w:trPr>
          <w:trHeight w:val="493" w:hRule="atLeast"/>
          <w:jc w:val="center"/>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血红蛋白试纸条（干式化学法）</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2.55/人</w:t>
            </w:r>
          </w:p>
        </w:tc>
        <w:tc>
          <w:tcPr>
            <w:tcW w:w="3964"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rPr>
              <w:t>血红蛋白分析仪MissionHb</w:t>
            </w:r>
          </w:p>
        </w:tc>
      </w:tr>
    </w:tbl>
    <w:p>
      <w:pPr>
        <w:spacing w:before="160" w:beforeLines="50" w:line="440" w:lineRule="exact"/>
        <w:ind w:firstLine="560" w:firstLineChars="200"/>
        <w:rPr>
          <w:rFonts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9"/>
        <w:spacing w:line="440" w:lineRule="exact"/>
        <w:ind w:right="-15" w:firstLine="1120" w:firstLineChars="400"/>
        <w:rPr>
          <w:rFonts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2、供应商须参照第三章各包所列明的内容全部报价。如果不提供详细分项报价视为未实质性响应单一来源采购文件。</w:t>
      </w:r>
    </w:p>
    <w:p>
      <w:pPr>
        <w:pStyle w:val="9"/>
        <w:spacing w:line="360" w:lineRule="auto"/>
        <w:ind w:right="-553" w:firstLine="537" w:firstLineChars="192"/>
        <w:rPr>
          <w:rFonts w:ascii="仿宋" w:hAnsi="仿宋" w:eastAsia="仿宋" w:cs="仿宋"/>
          <w:color w:val="000000"/>
          <w:sz w:val="28"/>
        </w:rPr>
      </w:pPr>
      <w:r>
        <w:rPr>
          <w:rFonts w:hint="eastAsia" w:ascii="仿宋" w:hAnsi="仿宋" w:eastAsia="仿宋" w:cs="仿宋"/>
          <w:color w:val="000000"/>
          <w:sz w:val="28"/>
        </w:rPr>
        <w:t>投标单位授权代表人签字：                                            投标单位公章：</w:t>
      </w:r>
    </w:p>
    <w:p>
      <w:pPr>
        <w:pStyle w:val="9"/>
        <w:spacing w:line="360" w:lineRule="auto"/>
        <w:ind w:right="-553" w:firstLine="537" w:firstLineChars="192"/>
        <w:rPr>
          <w:rFonts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hint="eastAsia" w:cs="仿宋"/>
        </w:rPr>
      </w:pPr>
      <w:bookmarkStart w:id="96" w:name="_Toc82497934"/>
      <w:bookmarkStart w:id="97" w:name="_Toc15129"/>
      <w:bookmarkStart w:id="98" w:name="_Toc56170401"/>
      <w:r>
        <w:rPr>
          <w:rFonts w:hint="eastAsia" w:cs="仿宋"/>
        </w:rPr>
        <w:br w:type="page"/>
      </w:r>
    </w:p>
    <w:p>
      <w:pPr>
        <w:pStyle w:val="4"/>
        <w:rPr>
          <w:rFonts w:cs="仿宋"/>
        </w:rPr>
      </w:pPr>
      <w:r>
        <w:rPr>
          <w:rFonts w:hint="eastAsia" w:cs="仿宋"/>
        </w:rPr>
        <w:t>附件十、技术规格偏离表</w:t>
      </w:r>
      <w:bookmarkEnd w:id="96"/>
      <w:bookmarkEnd w:id="97"/>
      <w:bookmarkEnd w:id="98"/>
    </w:p>
    <w:tbl>
      <w:tblPr>
        <w:tblStyle w:val="18"/>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bl>
    <w:p>
      <w:pPr>
        <w:spacing w:line="360" w:lineRule="auto"/>
        <w:ind w:firstLine="562"/>
        <w:rPr>
          <w:rFonts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9"/>
        <w:spacing w:line="360" w:lineRule="auto"/>
        <w:ind w:right="-553" w:firstLine="537" w:firstLineChars="192"/>
        <w:rPr>
          <w:rFonts w:ascii="仿宋" w:hAnsi="仿宋" w:eastAsia="仿宋" w:cs="仿宋"/>
          <w:color w:val="000000"/>
          <w:sz w:val="28"/>
        </w:rPr>
      </w:pPr>
      <w:r>
        <w:rPr>
          <w:rFonts w:hint="eastAsia" w:ascii="仿宋" w:hAnsi="仿宋" w:eastAsia="仿宋" w:cs="仿宋"/>
          <w:color w:val="000000"/>
          <w:sz w:val="28"/>
        </w:rPr>
        <w:t>投标单位授权代表人签字：                                            投标单位公章：</w:t>
      </w:r>
    </w:p>
    <w:p>
      <w:pPr>
        <w:pStyle w:val="9"/>
        <w:spacing w:line="360" w:lineRule="auto"/>
        <w:ind w:right="-553"/>
        <w:jc w:val="right"/>
        <w:rPr>
          <w:rFonts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4"/>
        <w:rPr>
          <w:rFonts w:cs="仿宋"/>
        </w:rPr>
      </w:pPr>
      <w:r>
        <w:rPr>
          <w:rFonts w:hint="eastAsia" w:cs="仿宋"/>
          <w:sz w:val="42"/>
        </w:rPr>
        <w:br w:type="page"/>
      </w:r>
      <w:bookmarkStart w:id="99" w:name="_Toc82497935"/>
      <w:bookmarkStart w:id="100" w:name="_Toc56170402"/>
      <w:bookmarkStart w:id="101" w:name="_Toc17315"/>
      <w:r>
        <w:rPr>
          <w:rFonts w:hint="eastAsia" w:cs="仿宋"/>
        </w:rPr>
        <w:t>附件十一、商务条款偏离表</w:t>
      </w:r>
      <w:bookmarkEnd w:id="99"/>
      <w:bookmarkEnd w:id="100"/>
      <w:bookmarkEnd w:id="101"/>
    </w:p>
    <w:tbl>
      <w:tblPr>
        <w:tblStyle w:val="18"/>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s="仿宋"/>
                <w:color w:val="000000"/>
                <w:sz w:val="24"/>
                <w:szCs w:val="24"/>
              </w:rPr>
            </w:pPr>
            <w:r>
              <w:rPr>
                <w:rFonts w:hint="eastAsia" w:ascii="仿宋" w:hAnsi="仿宋" w:eastAsia="仿宋" w:cs="仿宋"/>
                <w:color w:val="000000"/>
                <w:sz w:val="24"/>
                <w:szCs w:val="24"/>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bl>
    <w:p>
      <w:pPr>
        <w:pStyle w:val="9"/>
        <w:spacing w:line="360" w:lineRule="auto"/>
        <w:ind w:right="-553" w:firstLine="537" w:firstLineChars="192"/>
        <w:rPr>
          <w:rFonts w:ascii="仿宋" w:hAnsi="仿宋" w:eastAsia="仿宋" w:cs="仿宋"/>
          <w:color w:val="000000"/>
          <w:sz w:val="28"/>
        </w:rPr>
      </w:pPr>
      <w:r>
        <w:rPr>
          <w:rFonts w:hint="eastAsia" w:ascii="仿宋" w:hAnsi="仿宋" w:eastAsia="仿宋" w:cs="仿宋"/>
          <w:color w:val="000000"/>
          <w:sz w:val="28"/>
        </w:rPr>
        <w:t>投标单位授权代表人签字：                                            投标单位公章：</w:t>
      </w:r>
    </w:p>
    <w:p>
      <w:pPr>
        <w:pStyle w:val="9"/>
        <w:spacing w:line="360" w:lineRule="auto"/>
        <w:ind w:right="-553"/>
        <w:jc w:val="right"/>
        <w:rPr>
          <w:rFonts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4"/>
        <w:rPr>
          <w:rFonts w:cs="仿宋"/>
        </w:rPr>
      </w:pPr>
      <w:r>
        <w:rPr>
          <w:rFonts w:hint="eastAsia" w:cs="仿宋"/>
        </w:rPr>
        <w:br w:type="page"/>
      </w:r>
      <w:bookmarkStart w:id="102" w:name="_Toc82497936"/>
      <w:bookmarkStart w:id="103" w:name="_Toc56170403"/>
      <w:bookmarkStart w:id="104" w:name="_Toc10823"/>
      <w:r>
        <w:rPr>
          <w:rFonts w:hint="eastAsia" w:cs="仿宋"/>
        </w:rPr>
        <w:t>附件十二、类似业绩表</w:t>
      </w:r>
      <w:bookmarkEnd w:id="102"/>
      <w:bookmarkEnd w:id="103"/>
      <w:bookmarkEnd w:id="104"/>
    </w:p>
    <w:tbl>
      <w:tblPr>
        <w:tblStyle w:val="18"/>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s="仿宋"/>
                <w:color w:val="000000"/>
                <w:sz w:val="24"/>
                <w:szCs w:val="24"/>
              </w:rPr>
            </w:pPr>
          </w:p>
        </w:tc>
      </w:tr>
    </w:tbl>
    <w:p>
      <w:pPr>
        <w:spacing w:line="360" w:lineRule="auto"/>
        <w:ind w:firstLine="137" w:firstLineChars="49"/>
        <w:rPr>
          <w:rFonts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9"/>
        <w:spacing w:line="360" w:lineRule="auto"/>
        <w:ind w:right="-553" w:firstLine="537" w:firstLineChars="192"/>
        <w:rPr>
          <w:rFonts w:ascii="仿宋" w:hAnsi="仿宋" w:eastAsia="仿宋" w:cs="仿宋"/>
          <w:color w:val="000000"/>
          <w:sz w:val="28"/>
        </w:rPr>
      </w:pPr>
      <w:r>
        <w:rPr>
          <w:rFonts w:hint="eastAsia" w:ascii="仿宋" w:hAnsi="仿宋" w:eastAsia="仿宋" w:cs="仿宋"/>
          <w:color w:val="000000"/>
          <w:sz w:val="28"/>
        </w:rPr>
        <w:t>投标单位授权代表人签字：                                            投标单位公章：</w:t>
      </w:r>
    </w:p>
    <w:p>
      <w:pPr>
        <w:pStyle w:val="9"/>
        <w:spacing w:line="360" w:lineRule="auto"/>
        <w:ind w:right="-553"/>
        <w:jc w:val="right"/>
        <w:rPr>
          <w:rFonts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ascii="仿宋" w:hAnsi="仿宋" w:eastAsia="仿宋" w:cs="仿宋"/>
        </w:rPr>
      </w:pPr>
    </w:p>
    <w:sectPr>
      <w:headerReference r:id="rId10" w:type="first"/>
      <w:headerReference r:id="rId9"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Bookman Old Style">
    <w:altName w:val="Segoe Print"/>
    <w:panose1 w:val="00000000000000000000"/>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25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819"/>
        <w:tab w:val="clear" w:pos="4153"/>
      </w:tabs>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path/>
          <v:fill on="f" focussize="0,0"/>
          <v:stroke on="f" weight="1.25pt" joinstyle="miter"/>
          <v:imagedata o:title=""/>
          <o:lock v:ext="edit"/>
          <v:textbox inset="0mm,0mm,0mm,0mm" style="mso-fit-shape-to-text:t;">
            <w:txbxContent>
              <w:p>
                <w:pPr>
                  <w:pStyle w:val="11"/>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6"/>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HorizontalSpacing w:val="210"/>
  <w:drawingGridVerticalSpacing w:val="16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A3M2YxOGE4YWY0Mjg5ZTg3NmUxYzEzZTgwNThhMzMifQ=="/>
  </w:docVars>
  <w:rsids>
    <w:rsidRoot w:val="00077980"/>
    <w:rsid w:val="00077980"/>
    <w:rsid w:val="00291BF4"/>
    <w:rsid w:val="002F442E"/>
    <w:rsid w:val="00374021"/>
    <w:rsid w:val="00465379"/>
    <w:rsid w:val="00467F74"/>
    <w:rsid w:val="00490268"/>
    <w:rsid w:val="004A1643"/>
    <w:rsid w:val="004B0738"/>
    <w:rsid w:val="004B5E54"/>
    <w:rsid w:val="004B62E9"/>
    <w:rsid w:val="005C0A97"/>
    <w:rsid w:val="00692053"/>
    <w:rsid w:val="00740931"/>
    <w:rsid w:val="00777622"/>
    <w:rsid w:val="007F3875"/>
    <w:rsid w:val="008425CA"/>
    <w:rsid w:val="0084599C"/>
    <w:rsid w:val="008D4EE8"/>
    <w:rsid w:val="008E0DF4"/>
    <w:rsid w:val="008F08CE"/>
    <w:rsid w:val="00991659"/>
    <w:rsid w:val="00A01235"/>
    <w:rsid w:val="00A56DEE"/>
    <w:rsid w:val="00AB670B"/>
    <w:rsid w:val="00C86F85"/>
    <w:rsid w:val="00CF2353"/>
    <w:rsid w:val="00D43A1C"/>
    <w:rsid w:val="00E53F88"/>
    <w:rsid w:val="00ED7884"/>
    <w:rsid w:val="00FD16FA"/>
    <w:rsid w:val="01E90844"/>
    <w:rsid w:val="01FD13AB"/>
    <w:rsid w:val="01FD6321"/>
    <w:rsid w:val="02296098"/>
    <w:rsid w:val="02341698"/>
    <w:rsid w:val="026262C0"/>
    <w:rsid w:val="026B2DE7"/>
    <w:rsid w:val="026C368B"/>
    <w:rsid w:val="02932C56"/>
    <w:rsid w:val="02C97509"/>
    <w:rsid w:val="032C24F9"/>
    <w:rsid w:val="03397FDA"/>
    <w:rsid w:val="034F75D6"/>
    <w:rsid w:val="03A16576"/>
    <w:rsid w:val="03E346C9"/>
    <w:rsid w:val="03EB44B8"/>
    <w:rsid w:val="045E4EBC"/>
    <w:rsid w:val="04BA216D"/>
    <w:rsid w:val="04DC05F0"/>
    <w:rsid w:val="055307EC"/>
    <w:rsid w:val="06836239"/>
    <w:rsid w:val="06A45BBE"/>
    <w:rsid w:val="071B0BFE"/>
    <w:rsid w:val="07314873"/>
    <w:rsid w:val="07864ACB"/>
    <w:rsid w:val="07985EE9"/>
    <w:rsid w:val="07FE7A63"/>
    <w:rsid w:val="0816413E"/>
    <w:rsid w:val="081A742F"/>
    <w:rsid w:val="087F5FFF"/>
    <w:rsid w:val="08950FD1"/>
    <w:rsid w:val="08AF108B"/>
    <w:rsid w:val="093E5D8C"/>
    <w:rsid w:val="09514820"/>
    <w:rsid w:val="09661D2F"/>
    <w:rsid w:val="09791F82"/>
    <w:rsid w:val="09BB0D18"/>
    <w:rsid w:val="0A544FCF"/>
    <w:rsid w:val="0A7B238B"/>
    <w:rsid w:val="0A7B753B"/>
    <w:rsid w:val="0ACA33CF"/>
    <w:rsid w:val="0ACD4998"/>
    <w:rsid w:val="0B3B6AE4"/>
    <w:rsid w:val="0B6F1375"/>
    <w:rsid w:val="0BAD4690"/>
    <w:rsid w:val="0BB044B7"/>
    <w:rsid w:val="0BD0765E"/>
    <w:rsid w:val="0C2720CC"/>
    <w:rsid w:val="0C6B0ACF"/>
    <w:rsid w:val="0C917127"/>
    <w:rsid w:val="0CC6576E"/>
    <w:rsid w:val="0CE072AD"/>
    <w:rsid w:val="0D071137"/>
    <w:rsid w:val="0D4654B4"/>
    <w:rsid w:val="0D695602"/>
    <w:rsid w:val="0D7C226D"/>
    <w:rsid w:val="0D7D1375"/>
    <w:rsid w:val="0DB973E7"/>
    <w:rsid w:val="0DE6032D"/>
    <w:rsid w:val="0E3F5936"/>
    <w:rsid w:val="0E4D7AFC"/>
    <w:rsid w:val="0F150E28"/>
    <w:rsid w:val="0F87169C"/>
    <w:rsid w:val="0FA46DDA"/>
    <w:rsid w:val="0FC87C25"/>
    <w:rsid w:val="0FFB0CFE"/>
    <w:rsid w:val="1004031A"/>
    <w:rsid w:val="10067B9A"/>
    <w:rsid w:val="1079177A"/>
    <w:rsid w:val="107E79D8"/>
    <w:rsid w:val="10AC5ADF"/>
    <w:rsid w:val="10D97CD5"/>
    <w:rsid w:val="11172C7B"/>
    <w:rsid w:val="11AB268D"/>
    <w:rsid w:val="11EF390B"/>
    <w:rsid w:val="126C7B21"/>
    <w:rsid w:val="12776E22"/>
    <w:rsid w:val="128332CD"/>
    <w:rsid w:val="12943B2C"/>
    <w:rsid w:val="129E4A58"/>
    <w:rsid w:val="135D13F1"/>
    <w:rsid w:val="137361BF"/>
    <w:rsid w:val="13DD4545"/>
    <w:rsid w:val="13E67B05"/>
    <w:rsid w:val="14397409"/>
    <w:rsid w:val="1453290B"/>
    <w:rsid w:val="14863A35"/>
    <w:rsid w:val="1528327C"/>
    <w:rsid w:val="1546345F"/>
    <w:rsid w:val="15513596"/>
    <w:rsid w:val="158D515F"/>
    <w:rsid w:val="158E6DDD"/>
    <w:rsid w:val="15BA420C"/>
    <w:rsid w:val="15CD661C"/>
    <w:rsid w:val="15E802FE"/>
    <w:rsid w:val="15F5638F"/>
    <w:rsid w:val="16557DFE"/>
    <w:rsid w:val="16912F26"/>
    <w:rsid w:val="170932D1"/>
    <w:rsid w:val="1736249E"/>
    <w:rsid w:val="17743904"/>
    <w:rsid w:val="17C343D2"/>
    <w:rsid w:val="180425B8"/>
    <w:rsid w:val="1845393B"/>
    <w:rsid w:val="185B1B37"/>
    <w:rsid w:val="186B4B90"/>
    <w:rsid w:val="187C31C1"/>
    <w:rsid w:val="188D47C9"/>
    <w:rsid w:val="18963552"/>
    <w:rsid w:val="18C76F03"/>
    <w:rsid w:val="18DF279C"/>
    <w:rsid w:val="18E52408"/>
    <w:rsid w:val="195B1BCF"/>
    <w:rsid w:val="19734D4D"/>
    <w:rsid w:val="19BA23E3"/>
    <w:rsid w:val="19E72185"/>
    <w:rsid w:val="1A92241C"/>
    <w:rsid w:val="1AAC0188"/>
    <w:rsid w:val="1AC970A4"/>
    <w:rsid w:val="1AE073EA"/>
    <w:rsid w:val="1AE35837"/>
    <w:rsid w:val="1B230862"/>
    <w:rsid w:val="1BAF2A1C"/>
    <w:rsid w:val="1BBC2159"/>
    <w:rsid w:val="1BD3405D"/>
    <w:rsid w:val="1C134904"/>
    <w:rsid w:val="1C340898"/>
    <w:rsid w:val="1C3B18B0"/>
    <w:rsid w:val="1C52504E"/>
    <w:rsid w:val="1CC41839"/>
    <w:rsid w:val="1CC44BB5"/>
    <w:rsid w:val="1CEB3D6E"/>
    <w:rsid w:val="1D13331E"/>
    <w:rsid w:val="1D1722B1"/>
    <w:rsid w:val="1D3D7F74"/>
    <w:rsid w:val="1DA8115B"/>
    <w:rsid w:val="1E0A6893"/>
    <w:rsid w:val="1E0F39B7"/>
    <w:rsid w:val="1E296254"/>
    <w:rsid w:val="1E58248B"/>
    <w:rsid w:val="1EF23C8D"/>
    <w:rsid w:val="1EF26B32"/>
    <w:rsid w:val="1F093055"/>
    <w:rsid w:val="1F0E2E6E"/>
    <w:rsid w:val="1F6D440A"/>
    <w:rsid w:val="1F8719ED"/>
    <w:rsid w:val="1FA71CD1"/>
    <w:rsid w:val="1FA85442"/>
    <w:rsid w:val="1FB53339"/>
    <w:rsid w:val="1FCF6E73"/>
    <w:rsid w:val="1FFE32B4"/>
    <w:rsid w:val="2013529E"/>
    <w:rsid w:val="20261D71"/>
    <w:rsid w:val="20626372"/>
    <w:rsid w:val="20C35BA6"/>
    <w:rsid w:val="213B7B4F"/>
    <w:rsid w:val="2149741F"/>
    <w:rsid w:val="21861DDC"/>
    <w:rsid w:val="21AE6FF1"/>
    <w:rsid w:val="21DB087F"/>
    <w:rsid w:val="22317971"/>
    <w:rsid w:val="22356D36"/>
    <w:rsid w:val="224E3661"/>
    <w:rsid w:val="23326541"/>
    <w:rsid w:val="234C6E20"/>
    <w:rsid w:val="234F72D8"/>
    <w:rsid w:val="23552C0D"/>
    <w:rsid w:val="236D0D9D"/>
    <w:rsid w:val="238D506A"/>
    <w:rsid w:val="23F059D2"/>
    <w:rsid w:val="240063DE"/>
    <w:rsid w:val="240F721A"/>
    <w:rsid w:val="24273A92"/>
    <w:rsid w:val="242A39A5"/>
    <w:rsid w:val="24561911"/>
    <w:rsid w:val="24591F38"/>
    <w:rsid w:val="249E7C41"/>
    <w:rsid w:val="24A20ED2"/>
    <w:rsid w:val="24D63971"/>
    <w:rsid w:val="24EC5A21"/>
    <w:rsid w:val="2516480B"/>
    <w:rsid w:val="2536529E"/>
    <w:rsid w:val="25807435"/>
    <w:rsid w:val="258766C7"/>
    <w:rsid w:val="25895BF3"/>
    <w:rsid w:val="25A24470"/>
    <w:rsid w:val="25BD21AD"/>
    <w:rsid w:val="25DD2143"/>
    <w:rsid w:val="25E35533"/>
    <w:rsid w:val="260C1DEF"/>
    <w:rsid w:val="26647AC3"/>
    <w:rsid w:val="27367D90"/>
    <w:rsid w:val="2746748E"/>
    <w:rsid w:val="274D36E4"/>
    <w:rsid w:val="278C51B3"/>
    <w:rsid w:val="279B63E0"/>
    <w:rsid w:val="27AE0EAD"/>
    <w:rsid w:val="27B24902"/>
    <w:rsid w:val="27D03D78"/>
    <w:rsid w:val="28261C18"/>
    <w:rsid w:val="28307103"/>
    <w:rsid w:val="28706108"/>
    <w:rsid w:val="28AA6967"/>
    <w:rsid w:val="28AD7F14"/>
    <w:rsid w:val="28B2104C"/>
    <w:rsid w:val="29B601BD"/>
    <w:rsid w:val="29F50346"/>
    <w:rsid w:val="2A4320E6"/>
    <w:rsid w:val="2A4C2202"/>
    <w:rsid w:val="2A550FE2"/>
    <w:rsid w:val="2A591132"/>
    <w:rsid w:val="2A5F2BA2"/>
    <w:rsid w:val="2A871F28"/>
    <w:rsid w:val="2AB949D0"/>
    <w:rsid w:val="2ACF41CB"/>
    <w:rsid w:val="2AD613E0"/>
    <w:rsid w:val="2B3F5977"/>
    <w:rsid w:val="2B766148"/>
    <w:rsid w:val="2B785E35"/>
    <w:rsid w:val="2BF9409D"/>
    <w:rsid w:val="2C543C2F"/>
    <w:rsid w:val="2C9848CB"/>
    <w:rsid w:val="2D070CB6"/>
    <w:rsid w:val="2D831DB3"/>
    <w:rsid w:val="2DD43D83"/>
    <w:rsid w:val="2E2A6C1C"/>
    <w:rsid w:val="2E381733"/>
    <w:rsid w:val="2E441581"/>
    <w:rsid w:val="2E854610"/>
    <w:rsid w:val="2ECD5998"/>
    <w:rsid w:val="2EF205F7"/>
    <w:rsid w:val="2F821788"/>
    <w:rsid w:val="2F8E58D1"/>
    <w:rsid w:val="2F9812E0"/>
    <w:rsid w:val="303350A5"/>
    <w:rsid w:val="306A4E5D"/>
    <w:rsid w:val="30735246"/>
    <w:rsid w:val="30843362"/>
    <w:rsid w:val="30D54166"/>
    <w:rsid w:val="30DA11D4"/>
    <w:rsid w:val="30FA12B4"/>
    <w:rsid w:val="315B74F0"/>
    <w:rsid w:val="32087FC3"/>
    <w:rsid w:val="323E187E"/>
    <w:rsid w:val="3256718A"/>
    <w:rsid w:val="3284085C"/>
    <w:rsid w:val="32E72125"/>
    <w:rsid w:val="32EC0E75"/>
    <w:rsid w:val="32ED37B2"/>
    <w:rsid w:val="33412BAA"/>
    <w:rsid w:val="33565EF7"/>
    <w:rsid w:val="33AC0A82"/>
    <w:rsid w:val="33B66770"/>
    <w:rsid w:val="33F97BC3"/>
    <w:rsid w:val="348940F0"/>
    <w:rsid w:val="34AC0B54"/>
    <w:rsid w:val="35036A04"/>
    <w:rsid w:val="353A2B32"/>
    <w:rsid w:val="3558250D"/>
    <w:rsid w:val="355A22C0"/>
    <w:rsid w:val="358833D3"/>
    <w:rsid w:val="35CC5A3E"/>
    <w:rsid w:val="35D00DF7"/>
    <w:rsid w:val="36852831"/>
    <w:rsid w:val="36AB19CF"/>
    <w:rsid w:val="36E64773"/>
    <w:rsid w:val="374E46CA"/>
    <w:rsid w:val="37692D42"/>
    <w:rsid w:val="37715856"/>
    <w:rsid w:val="378F7F37"/>
    <w:rsid w:val="37FA03AE"/>
    <w:rsid w:val="37FE1C4C"/>
    <w:rsid w:val="380B2468"/>
    <w:rsid w:val="381D5581"/>
    <w:rsid w:val="38246991"/>
    <w:rsid w:val="38477172"/>
    <w:rsid w:val="38E52E6A"/>
    <w:rsid w:val="392456E8"/>
    <w:rsid w:val="39281ADA"/>
    <w:rsid w:val="394D03A1"/>
    <w:rsid w:val="394D2FB2"/>
    <w:rsid w:val="39576CAC"/>
    <w:rsid w:val="39897B4B"/>
    <w:rsid w:val="39897C3B"/>
    <w:rsid w:val="39C23E2F"/>
    <w:rsid w:val="39E21F67"/>
    <w:rsid w:val="39F20D19"/>
    <w:rsid w:val="3A122237"/>
    <w:rsid w:val="3A1B0D7F"/>
    <w:rsid w:val="3A2D0CDF"/>
    <w:rsid w:val="3AB07B2F"/>
    <w:rsid w:val="3AB1054B"/>
    <w:rsid w:val="3AD87C2E"/>
    <w:rsid w:val="3B0C7FB1"/>
    <w:rsid w:val="3B351E28"/>
    <w:rsid w:val="3B3C6A8F"/>
    <w:rsid w:val="3BB645EB"/>
    <w:rsid w:val="3BBE2933"/>
    <w:rsid w:val="3BFD417A"/>
    <w:rsid w:val="3C0F395D"/>
    <w:rsid w:val="3C146FE5"/>
    <w:rsid w:val="3C66126E"/>
    <w:rsid w:val="3C6712EE"/>
    <w:rsid w:val="3CB346F8"/>
    <w:rsid w:val="3CD22555"/>
    <w:rsid w:val="3CF0078C"/>
    <w:rsid w:val="3CF20C35"/>
    <w:rsid w:val="3D0F7869"/>
    <w:rsid w:val="3D5F13DF"/>
    <w:rsid w:val="3DAA1165"/>
    <w:rsid w:val="3DB90276"/>
    <w:rsid w:val="3DC25BB8"/>
    <w:rsid w:val="3DFA1107"/>
    <w:rsid w:val="3E644066"/>
    <w:rsid w:val="3E87302B"/>
    <w:rsid w:val="3EAA48DB"/>
    <w:rsid w:val="3EBB5605"/>
    <w:rsid w:val="3EDF2C1D"/>
    <w:rsid w:val="3F23578A"/>
    <w:rsid w:val="3F9A7199"/>
    <w:rsid w:val="3FB12AEB"/>
    <w:rsid w:val="3FD928AD"/>
    <w:rsid w:val="3FDE45C7"/>
    <w:rsid w:val="3FFF067D"/>
    <w:rsid w:val="4016514E"/>
    <w:rsid w:val="402033EC"/>
    <w:rsid w:val="40582531"/>
    <w:rsid w:val="407F4613"/>
    <w:rsid w:val="4085109C"/>
    <w:rsid w:val="40A551BD"/>
    <w:rsid w:val="40B97C4E"/>
    <w:rsid w:val="40DD0623"/>
    <w:rsid w:val="41AA57CD"/>
    <w:rsid w:val="41C97221"/>
    <w:rsid w:val="41EF52CD"/>
    <w:rsid w:val="4222702A"/>
    <w:rsid w:val="42262F16"/>
    <w:rsid w:val="4269685C"/>
    <w:rsid w:val="42780692"/>
    <w:rsid w:val="4286439C"/>
    <w:rsid w:val="42CB1066"/>
    <w:rsid w:val="42F56A3D"/>
    <w:rsid w:val="430375B1"/>
    <w:rsid w:val="431A5ACA"/>
    <w:rsid w:val="43350757"/>
    <w:rsid w:val="435B61A4"/>
    <w:rsid w:val="43C875B2"/>
    <w:rsid w:val="441C19FF"/>
    <w:rsid w:val="44B607EB"/>
    <w:rsid w:val="44C123D8"/>
    <w:rsid w:val="450A2833"/>
    <w:rsid w:val="456B4783"/>
    <w:rsid w:val="461D1B52"/>
    <w:rsid w:val="461D4281"/>
    <w:rsid w:val="46382981"/>
    <w:rsid w:val="46630BE6"/>
    <w:rsid w:val="46A130D7"/>
    <w:rsid w:val="46F54B62"/>
    <w:rsid w:val="47455C3E"/>
    <w:rsid w:val="47D31A02"/>
    <w:rsid w:val="481652EC"/>
    <w:rsid w:val="48D371C2"/>
    <w:rsid w:val="48E56029"/>
    <w:rsid w:val="48E95E38"/>
    <w:rsid w:val="48FA645F"/>
    <w:rsid w:val="48FE0BB8"/>
    <w:rsid w:val="493023AB"/>
    <w:rsid w:val="49544D03"/>
    <w:rsid w:val="49932EB3"/>
    <w:rsid w:val="49C610BE"/>
    <w:rsid w:val="49FC5FB9"/>
    <w:rsid w:val="49FE3EA7"/>
    <w:rsid w:val="4A054E2F"/>
    <w:rsid w:val="4A274866"/>
    <w:rsid w:val="4A484AC1"/>
    <w:rsid w:val="4A4B7383"/>
    <w:rsid w:val="4AF330DD"/>
    <w:rsid w:val="4B4C0E28"/>
    <w:rsid w:val="4B5D730F"/>
    <w:rsid w:val="4B5E2CBD"/>
    <w:rsid w:val="4BA41760"/>
    <w:rsid w:val="4BDF6255"/>
    <w:rsid w:val="4BEF7DD1"/>
    <w:rsid w:val="4C3545BA"/>
    <w:rsid w:val="4C786019"/>
    <w:rsid w:val="4D021EA7"/>
    <w:rsid w:val="4D915AD6"/>
    <w:rsid w:val="4D9A2275"/>
    <w:rsid w:val="4DDD0A98"/>
    <w:rsid w:val="4DE161F9"/>
    <w:rsid w:val="4DEB0DF8"/>
    <w:rsid w:val="4E2A5C26"/>
    <w:rsid w:val="4E576E78"/>
    <w:rsid w:val="4EBD692E"/>
    <w:rsid w:val="4EE00275"/>
    <w:rsid w:val="4EF455D1"/>
    <w:rsid w:val="4EFC5D7C"/>
    <w:rsid w:val="4F111332"/>
    <w:rsid w:val="4F786970"/>
    <w:rsid w:val="4F7B405B"/>
    <w:rsid w:val="4F87640C"/>
    <w:rsid w:val="4FD15A0C"/>
    <w:rsid w:val="507A6D47"/>
    <w:rsid w:val="50B91B96"/>
    <w:rsid w:val="50D61560"/>
    <w:rsid w:val="50FA27B7"/>
    <w:rsid w:val="50FB552B"/>
    <w:rsid w:val="51433366"/>
    <w:rsid w:val="518E5375"/>
    <w:rsid w:val="51CD6E49"/>
    <w:rsid w:val="51EF7A40"/>
    <w:rsid w:val="51F71515"/>
    <w:rsid w:val="5222617C"/>
    <w:rsid w:val="52B8427A"/>
    <w:rsid w:val="52BE57B4"/>
    <w:rsid w:val="52BE7700"/>
    <w:rsid w:val="530C2D5B"/>
    <w:rsid w:val="53275BAC"/>
    <w:rsid w:val="540256B8"/>
    <w:rsid w:val="54716E49"/>
    <w:rsid w:val="54BE4755"/>
    <w:rsid w:val="5514326A"/>
    <w:rsid w:val="556C161A"/>
    <w:rsid w:val="55947227"/>
    <w:rsid w:val="55A43901"/>
    <w:rsid w:val="55E15398"/>
    <w:rsid w:val="55EC4E13"/>
    <w:rsid w:val="55FB5540"/>
    <w:rsid w:val="5614466E"/>
    <w:rsid w:val="5656707D"/>
    <w:rsid w:val="568A7297"/>
    <w:rsid w:val="5697545B"/>
    <w:rsid w:val="56A45F20"/>
    <w:rsid w:val="56B36AA5"/>
    <w:rsid w:val="56E71870"/>
    <w:rsid w:val="56EF33D8"/>
    <w:rsid w:val="57323D27"/>
    <w:rsid w:val="575C2661"/>
    <w:rsid w:val="58140F2A"/>
    <w:rsid w:val="58634B40"/>
    <w:rsid w:val="59311A39"/>
    <w:rsid w:val="59390EB0"/>
    <w:rsid w:val="59671CCA"/>
    <w:rsid w:val="596F535C"/>
    <w:rsid w:val="59735AD0"/>
    <w:rsid w:val="59C226BD"/>
    <w:rsid w:val="59C56EB2"/>
    <w:rsid w:val="5A1F7AD4"/>
    <w:rsid w:val="5A854D10"/>
    <w:rsid w:val="5A9667E3"/>
    <w:rsid w:val="5AEA5DFD"/>
    <w:rsid w:val="5B2A44C3"/>
    <w:rsid w:val="5B7975ED"/>
    <w:rsid w:val="5BD26823"/>
    <w:rsid w:val="5C39128C"/>
    <w:rsid w:val="5C7F2045"/>
    <w:rsid w:val="5C943063"/>
    <w:rsid w:val="5CC051CE"/>
    <w:rsid w:val="5D9B1B67"/>
    <w:rsid w:val="5E1B7F6C"/>
    <w:rsid w:val="5E823B49"/>
    <w:rsid w:val="5E937D4A"/>
    <w:rsid w:val="5EA6392C"/>
    <w:rsid w:val="5ECC681D"/>
    <w:rsid w:val="5F3D5B80"/>
    <w:rsid w:val="5F742670"/>
    <w:rsid w:val="5F7558A0"/>
    <w:rsid w:val="60101E97"/>
    <w:rsid w:val="602538A6"/>
    <w:rsid w:val="6034358B"/>
    <w:rsid w:val="607A09A5"/>
    <w:rsid w:val="60CD4561"/>
    <w:rsid w:val="60D73A64"/>
    <w:rsid w:val="60E74EF8"/>
    <w:rsid w:val="60F875EA"/>
    <w:rsid w:val="610F2056"/>
    <w:rsid w:val="612E5943"/>
    <w:rsid w:val="614C6E55"/>
    <w:rsid w:val="61722BDF"/>
    <w:rsid w:val="61B10E49"/>
    <w:rsid w:val="61D35CA4"/>
    <w:rsid w:val="61D51CCF"/>
    <w:rsid w:val="62007B63"/>
    <w:rsid w:val="621912AD"/>
    <w:rsid w:val="62284340"/>
    <w:rsid w:val="622A1359"/>
    <w:rsid w:val="62372822"/>
    <w:rsid w:val="625D5A4E"/>
    <w:rsid w:val="628B10C4"/>
    <w:rsid w:val="628F50BC"/>
    <w:rsid w:val="629569CE"/>
    <w:rsid w:val="62A73DF8"/>
    <w:rsid w:val="63461A8D"/>
    <w:rsid w:val="636A185B"/>
    <w:rsid w:val="63747EBF"/>
    <w:rsid w:val="63E1474B"/>
    <w:rsid w:val="640E76A0"/>
    <w:rsid w:val="642E160C"/>
    <w:rsid w:val="64346872"/>
    <w:rsid w:val="648C06B4"/>
    <w:rsid w:val="649563AC"/>
    <w:rsid w:val="64ED7E46"/>
    <w:rsid w:val="65290368"/>
    <w:rsid w:val="652D6046"/>
    <w:rsid w:val="65711400"/>
    <w:rsid w:val="658729D1"/>
    <w:rsid w:val="65BD1819"/>
    <w:rsid w:val="65D82EB9"/>
    <w:rsid w:val="65F92D0E"/>
    <w:rsid w:val="66055A43"/>
    <w:rsid w:val="667A42E4"/>
    <w:rsid w:val="669729F9"/>
    <w:rsid w:val="66D86E08"/>
    <w:rsid w:val="66E15D4B"/>
    <w:rsid w:val="66F34A87"/>
    <w:rsid w:val="66F916AD"/>
    <w:rsid w:val="670A6EBA"/>
    <w:rsid w:val="678F4F86"/>
    <w:rsid w:val="679726F0"/>
    <w:rsid w:val="681A2B04"/>
    <w:rsid w:val="681F5B80"/>
    <w:rsid w:val="68347765"/>
    <w:rsid w:val="689D3C55"/>
    <w:rsid w:val="68A16A06"/>
    <w:rsid w:val="68C17741"/>
    <w:rsid w:val="68E1741B"/>
    <w:rsid w:val="69923DA4"/>
    <w:rsid w:val="69CE78DA"/>
    <w:rsid w:val="69DB7BEC"/>
    <w:rsid w:val="6A1E51F1"/>
    <w:rsid w:val="6A417AB5"/>
    <w:rsid w:val="6A751438"/>
    <w:rsid w:val="6A8B4921"/>
    <w:rsid w:val="6AC973EE"/>
    <w:rsid w:val="6B000621"/>
    <w:rsid w:val="6B310C5C"/>
    <w:rsid w:val="6B6657F2"/>
    <w:rsid w:val="6B7A3154"/>
    <w:rsid w:val="6BB93C0E"/>
    <w:rsid w:val="6BE720B5"/>
    <w:rsid w:val="6C0F498B"/>
    <w:rsid w:val="6C59713A"/>
    <w:rsid w:val="6C692BA0"/>
    <w:rsid w:val="6CA22515"/>
    <w:rsid w:val="6CA74FAC"/>
    <w:rsid w:val="6D1A38F7"/>
    <w:rsid w:val="6D5C063D"/>
    <w:rsid w:val="6E042DF9"/>
    <w:rsid w:val="6E8403F6"/>
    <w:rsid w:val="6EA17140"/>
    <w:rsid w:val="6F2200B6"/>
    <w:rsid w:val="6FBA2537"/>
    <w:rsid w:val="6FBB1DCF"/>
    <w:rsid w:val="6FF01B40"/>
    <w:rsid w:val="700A0487"/>
    <w:rsid w:val="704F76FE"/>
    <w:rsid w:val="705E7F32"/>
    <w:rsid w:val="708244C1"/>
    <w:rsid w:val="7099228F"/>
    <w:rsid w:val="70A72872"/>
    <w:rsid w:val="70B71331"/>
    <w:rsid w:val="70EC417D"/>
    <w:rsid w:val="711F197A"/>
    <w:rsid w:val="71224C0C"/>
    <w:rsid w:val="713C1616"/>
    <w:rsid w:val="71A5627F"/>
    <w:rsid w:val="71BF1312"/>
    <w:rsid w:val="71F7622F"/>
    <w:rsid w:val="720E38B7"/>
    <w:rsid w:val="72426CA2"/>
    <w:rsid w:val="729371AC"/>
    <w:rsid w:val="72F47B8C"/>
    <w:rsid w:val="731F7FA6"/>
    <w:rsid w:val="734464CA"/>
    <w:rsid w:val="749862DE"/>
    <w:rsid w:val="74AF5B6B"/>
    <w:rsid w:val="74EC0AA3"/>
    <w:rsid w:val="74FF7EF2"/>
    <w:rsid w:val="7513171D"/>
    <w:rsid w:val="75324707"/>
    <w:rsid w:val="753E621C"/>
    <w:rsid w:val="75442FB9"/>
    <w:rsid w:val="758B2449"/>
    <w:rsid w:val="75CD61DE"/>
    <w:rsid w:val="75DA6FFC"/>
    <w:rsid w:val="76322AD1"/>
    <w:rsid w:val="766E65AC"/>
    <w:rsid w:val="76A30FD2"/>
    <w:rsid w:val="76C47FCE"/>
    <w:rsid w:val="76E258C8"/>
    <w:rsid w:val="7728784A"/>
    <w:rsid w:val="772D765C"/>
    <w:rsid w:val="7737270F"/>
    <w:rsid w:val="77706B6E"/>
    <w:rsid w:val="777F4A60"/>
    <w:rsid w:val="77C52287"/>
    <w:rsid w:val="77F263D0"/>
    <w:rsid w:val="786F17CF"/>
    <w:rsid w:val="78914E57"/>
    <w:rsid w:val="78BE00B5"/>
    <w:rsid w:val="78FA6438"/>
    <w:rsid w:val="79177DEF"/>
    <w:rsid w:val="792C110C"/>
    <w:rsid w:val="793739E7"/>
    <w:rsid w:val="79986FF6"/>
    <w:rsid w:val="7A0B7F0B"/>
    <w:rsid w:val="7A811C8D"/>
    <w:rsid w:val="7ADD4111"/>
    <w:rsid w:val="7B073F40"/>
    <w:rsid w:val="7B281593"/>
    <w:rsid w:val="7B5D6256"/>
    <w:rsid w:val="7B6825E1"/>
    <w:rsid w:val="7B875186"/>
    <w:rsid w:val="7BC65BA9"/>
    <w:rsid w:val="7BDD312F"/>
    <w:rsid w:val="7BF6324B"/>
    <w:rsid w:val="7C080487"/>
    <w:rsid w:val="7C0876C1"/>
    <w:rsid w:val="7C12264D"/>
    <w:rsid w:val="7C1D11E6"/>
    <w:rsid w:val="7C1D5AC8"/>
    <w:rsid w:val="7C3B17B4"/>
    <w:rsid w:val="7C3D26D3"/>
    <w:rsid w:val="7C5A7F0B"/>
    <w:rsid w:val="7CBC6298"/>
    <w:rsid w:val="7D3354C1"/>
    <w:rsid w:val="7D33750B"/>
    <w:rsid w:val="7D8B0707"/>
    <w:rsid w:val="7D953C18"/>
    <w:rsid w:val="7DB33651"/>
    <w:rsid w:val="7E044AAC"/>
    <w:rsid w:val="7E3F39E7"/>
    <w:rsid w:val="7E68649B"/>
    <w:rsid w:val="7E721BAB"/>
    <w:rsid w:val="7EF53E05"/>
    <w:rsid w:val="7F751604"/>
    <w:rsid w:val="7FF7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line="360" w:lineRule="auto"/>
    </w:pPr>
    <w:rPr>
      <w:rFonts w:ascii="仿宋" w:hAnsi="仿宋" w:eastAsia="仿宋"/>
      <w:color w:val="000000"/>
      <w:sz w:val="36"/>
    </w:rPr>
  </w:style>
  <w:style w:type="paragraph" w:styleId="4">
    <w:name w:val="heading 2"/>
    <w:basedOn w:val="5"/>
    <w:next w:val="1"/>
    <w:link w:val="35"/>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6">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widowControl/>
      <w:spacing w:line="360" w:lineRule="auto"/>
    </w:pPr>
    <w:rPr>
      <w:rFonts w:ascii="Courier New" w:hAnsi="Courier New"/>
      <w:sz w:val="20"/>
      <w:szCs w:val="20"/>
    </w:rPr>
  </w:style>
  <w:style w:type="paragraph" w:customStyle="1" w:styleId="5">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7">
    <w:name w:val="Body Text"/>
    <w:basedOn w:val="1"/>
    <w:qFormat/>
    <w:uiPriority w:val="0"/>
    <w:rPr>
      <w:sz w:val="24"/>
      <w:szCs w:val="24"/>
    </w:rPr>
  </w:style>
  <w:style w:type="paragraph" w:styleId="8">
    <w:name w:val="Body Text Indent"/>
    <w:basedOn w:val="1"/>
    <w:qFormat/>
    <w:uiPriority w:val="0"/>
    <w:pPr>
      <w:ind w:left="1617" w:leftChars="770" w:firstLine="2"/>
    </w:pPr>
    <w:rPr>
      <w:sz w:val="28"/>
    </w:rPr>
  </w:style>
  <w:style w:type="paragraph" w:styleId="9">
    <w:name w:val="Plain Text"/>
    <w:basedOn w:val="1"/>
    <w:qFormat/>
    <w:uiPriority w:val="0"/>
    <w:rPr>
      <w:rFonts w:ascii="宋体" w:hAnsi="Courier New"/>
      <w:sz w:val="11"/>
    </w:rPr>
  </w:style>
  <w:style w:type="paragraph" w:styleId="10">
    <w:name w:val="Balloon Text"/>
    <w:basedOn w:val="1"/>
    <w:link w:val="36"/>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spacing w:before="120" w:after="120" w:line="360" w:lineRule="auto"/>
      <w:ind w:firstLine="200" w:firstLineChars="200"/>
      <w:jc w:val="left"/>
    </w:pPr>
    <w:rPr>
      <w:b/>
      <w:bCs/>
      <w:caps/>
      <w:sz w:val="20"/>
    </w:rPr>
  </w:style>
  <w:style w:type="paragraph" w:styleId="14">
    <w:name w:val="toc 2"/>
    <w:basedOn w:val="1"/>
    <w:next w:val="1"/>
    <w:qFormat/>
    <w:uiPriority w:val="39"/>
    <w:pPr>
      <w:ind w:left="100" w:leftChars="100"/>
      <w:jc w:val="left"/>
    </w:pPr>
    <w:rPr>
      <w:rFonts w:ascii="Arial" w:hAnsi="Arial"/>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Title"/>
    <w:basedOn w:val="1"/>
    <w:qFormat/>
    <w:uiPriority w:val="99"/>
    <w:pPr>
      <w:spacing w:before="240" w:after="60"/>
      <w:ind w:left="425" w:hanging="425"/>
      <w:jc w:val="center"/>
      <w:outlineLvl w:val="0"/>
    </w:pPr>
    <w:rPr>
      <w:rFonts w:ascii="Arial" w:hAnsi="Arial" w:cs="Arial"/>
      <w:b/>
      <w:bCs/>
      <w:sz w:val="32"/>
      <w:szCs w:val="32"/>
    </w:rPr>
  </w:style>
  <w:style w:type="paragraph" w:styleId="17">
    <w:name w:val="Body Text First Indent 2"/>
    <w:basedOn w:val="8"/>
    <w:qFormat/>
    <w:uiPriority w:val="0"/>
    <w:pPr>
      <w:spacing w:after="120" w:line="360" w:lineRule="auto"/>
      <w:ind w:firstLine="480" w:firstLineChars="200"/>
    </w:pPr>
    <w:rPr>
      <w:sz w:val="24"/>
      <w:lang w:val="zh-CN"/>
    </w:rPr>
  </w:style>
  <w:style w:type="character" w:styleId="20">
    <w:name w:val="Emphasis"/>
    <w:basedOn w:val="19"/>
    <w:qFormat/>
    <w:uiPriority w:val="0"/>
    <w:rPr>
      <w:i/>
      <w:iCs/>
    </w:rPr>
  </w:style>
  <w:style w:type="character" w:styleId="21">
    <w:name w:val="Hyperlink"/>
    <w:qFormat/>
    <w:uiPriority w:val="99"/>
    <w:rPr>
      <w:color w:val="333333"/>
      <w:u w:val="none"/>
    </w:rPr>
  </w:style>
  <w:style w:type="paragraph" w:customStyle="1" w:styleId="22">
    <w:name w:val="_Style 2"/>
    <w:basedOn w:val="1"/>
    <w:next w:val="1"/>
    <w:qFormat/>
    <w:uiPriority w:val="99"/>
    <w:pPr>
      <w:ind w:firstLine="420" w:firstLineChars="200"/>
    </w:pPr>
    <w:rPr>
      <w:szCs w:val="24"/>
    </w:rPr>
  </w:style>
  <w:style w:type="paragraph" w:customStyle="1" w:styleId="23">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5">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7">
    <w:name w:val="列出段落1"/>
    <w:basedOn w:val="1"/>
    <w:qFormat/>
    <w:uiPriority w:val="34"/>
    <w:pPr>
      <w:ind w:firstLine="420" w:firstLineChars="200"/>
    </w:pPr>
    <w:rPr>
      <w:szCs w:val="21"/>
    </w:rPr>
  </w:style>
  <w:style w:type="paragraph" w:customStyle="1" w:styleId="28">
    <w:name w:val="正文缩进1"/>
    <w:basedOn w:val="1"/>
    <w:qFormat/>
    <w:uiPriority w:val="0"/>
    <w:pPr>
      <w:ind w:firstLine="420"/>
    </w:pPr>
    <w:rPr>
      <w:rFonts w:ascii="Times New Roman" w:hAnsi="Times New Roman"/>
    </w:rPr>
  </w:style>
  <w:style w:type="paragraph" w:customStyle="1" w:styleId="2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0">
    <w:name w:val="7）页眉页脚"/>
    <w:qFormat/>
    <w:uiPriority w:val="0"/>
    <w:rPr>
      <w:rFonts w:ascii="仿宋_GB2312" w:eastAsia="仿宋_GB2312"/>
      <w:b/>
      <w:i/>
      <w:sz w:val="18"/>
      <w:vertAlign w:val="baseline"/>
    </w:rPr>
  </w:style>
  <w:style w:type="paragraph" w:customStyle="1" w:styleId="31">
    <w:name w:val="答复表头"/>
    <w:basedOn w:val="32"/>
    <w:next w:val="1"/>
    <w:qFormat/>
    <w:uiPriority w:val="0"/>
    <w:pPr>
      <w:tabs>
        <w:tab w:val="left" w:pos="480"/>
      </w:tabs>
    </w:pPr>
    <w:rPr>
      <w:b/>
    </w:rPr>
  </w:style>
  <w:style w:type="paragraph" w:customStyle="1" w:styleId="3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33">
    <w:name w:val="List Paragraph"/>
    <w:basedOn w:val="1"/>
    <w:qFormat/>
    <w:uiPriority w:val="99"/>
    <w:pPr>
      <w:ind w:firstLine="420" w:firstLineChars="200"/>
    </w:pPr>
  </w:style>
  <w:style w:type="paragraph" w:customStyle="1" w:styleId="34">
    <w:name w:val="封面署名"/>
    <w:basedOn w:val="1"/>
    <w:qFormat/>
    <w:uiPriority w:val="0"/>
    <w:pPr>
      <w:jc w:val="center"/>
    </w:pPr>
    <w:rPr>
      <w:b/>
      <w:kern w:val="0"/>
      <w:sz w:val="28"/>
    </w:rPr>
  </w:style>
  <w:style w:type="character" w:customStyle="1" w:styleId="35">
    <w:name w:val="标题 2 字符"/>
    <w:link w:val="4"/>
    <w:qFormat/>
    <w:uiPriority w:val="0"/>
    <w:rPr>
      <w:rFonts w:ascii="仿宋" w:hAnsi="仿宋" w:eastAsia="仿宋" w:cs="宋体"/>
      <w:color w:val="000000"/>
      <w:kern w:val="0"/>
      <w:sz w:val="28"/>
      <w:szCs w:val="24"/>
    </w:rPr>
  </w:style>
  <w:style w:type="character" w:customStyle="1" w:styleId="36">
    <w:name w:val="批注框文本 字符"/>
    <w:basedOn w:val="19"/>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7"/>
    <customShpInfo spid="_x0000_s1026"/>
    <customShpInfo spid="_x0000_s2050"/>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21590</Words>
  <Characters>23471</Characters>
  <Lines>203</Lines>
  <Paragraphs>57</Paragraphs>
  <TotalTime>22</TotalTime>
  <ScaleCrop>false</ScaleCrop>
  <LinksUpToDate>false</LinksUpToDate>
  <CharactersWithSpaces>25615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硪锝愛，敗給釕時間</cp:lastModifiedBy>
  <cp:lastPrinted>2021-12-29T05:19:00Z</cp:lastPrinted>
  <dcterms:modified xsi:type="dcterms:W3CDTF">2023-02-28T07:54:04Z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22CB5BF5B7A942AE826C8ACB6E552002</vt:lpwstr>
  </property>
</Properties>
</file>