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color w:val="auto"/>
          <w:highlight w:val="none"/>
          <w:shd w:val="clear" w:color="auto" w:fill="auto"/>
        </w:rPr>
      </w:pPr>
      <w:r>
        <w:rPr>
          <w:rFonts w:ascii="宋体" w:hAnsi="宋体"/>
          <w:color w:val="auto"/>
          <w:highlight w:val="none"/>
          <w:shd w:val="clear" w:color="auto" w:fill="auto"/>
        </w:rPr>
        <w:t xml:space="preserve"> </w:t>
      </w:r>
    </w:p>
    <w:p>
      <w:pPr>
        <w:adjustRightInd w:val="0"/>
        <w:snapToGrid w:val="0"/>
        <w:jc w:val="left"/>
        <w:rPr>
          <w:rFonts w:ascii="黑体" w:hAnsi="黑体" w:eastAsia="黑体"/>
          <w:bCs/>
          <w:color w:val="auto"/>
          <w:sz w:val="36"/>
          <w:szCs w:val="36"/>
          <w:highlight w:val="none"/>
          <w:shd w:val="clear" w:color="auto" w:fill="auto"/>
        </w:rPr>
      </w:pPr>
      <w:r>
        <w:rPr>
          <w:rFonts w:ascii="宋体" w:hAnsi="宋体"/>
          <w:color w:val="auto"/>
          <w:highlight w:val="none"/>
          <w:shd w:val="clear" w:color="auto" w:fill="auto"/>
        </w:rPr>
        <w:t xml:space="preserve">  </w:t>
      </w:r>
    </w:p>
    <w:p>
      <w:pPr>
        <w:pStyle w:val="7"/>
        <w:numPr>
          <w:ilvl w:val="0"/>
          <w:numId w:val="0"/>
        </w:numPr>
        <w:jc w:val="center"/>
        <w:rPr>
          <w:color w:val="auto"/>
          <w:highlight w:val="none"/>
          <w:shd w:val="clear" w:color="auto" w:fill="auto"/>
        </w:rPr>
      </w:pPr>
      <w:r>
        <w:rPr>
          <w:rFonts w:hint="eastAsia" w:ascii="宋体" w:hAnsi="宋体"/>
          <w:bCs/>
          <w:color w:val="auto"/>
          <w:sz w:val="36"/>
          <w:szCs w:val="36"/>
          <w:highlight w:val="none"/>
          <w:shd w:val="clear" w:color="auto" w:fill="auto"/>
        </w:rPr>
        <w:t>2023年度伊犁州重大动物疫病强制免疫用疫苗、常规动物疫病免疫用疫苗以及吡喹酮咀嚼片（犬驱虫药）采购项目（一标段）</w:t>
      </w:r>
    </w:p>
    <w:p>
      <w:pPr>
        <w:pStyle w:val="7"/>
        <w:numPr>
          <w:ilvl w:val="0"/>
          <w:numId w:val="0"/>
        </w:numPr>
        <w:rPr>
          <w:color w:val="auto"/>
          <w:highlight w:val="none"/>
          <w:shd w:val="clear" w:color="auto" w:fill="auto"/>
        </w:rPr>
      </w:pPr>
      <w:r>
        <w:rPr>
          <w:rFonts w:hint="eastAsia"/>
          <w:color w:val="auto"/>
          <w:highlight w:val="none"/>
          <w:shd w:val="clear" w:color="auto" w:fill="auto"/>
        </w:rPr>
        <w:t xml:space="preserve">  </w:t>
      </w:r>
    </w:p>
    <w:p>
      <w:pPr>
        <w:pStyle w:val="7"/>
        <w:numPr>
          <w:ilvl w:val="0"/>
          <w:numId w:val="0"/>
        </w:numPr>
        <w:rPr>
          <w:color w:val="auto"/>
          <w:highlight w:val="none"/>
          <w:shd w:val="clear" w:color="auto" w:fill="auto"/>
        </w:rPr>
      </w:pPr>
    </w:p>
    <w:p>
      <w:pPr>
        <w:pStyle w:val="7"/>
        <w:numPr>
          <w:ilvl w:val="0"/>
          <w:numId w:val="0"/>
        </w:numPr>
        <w:rPr>
          <w:color w:val="auto"/>
          <w:highlight w:val="none"/>
          <w:shd w:val="clear" w:color="auto" w:fill="auto"/>
        </w:rPr>
      </w:pPr>
    </w:p>
    <w:p>
      <w:pPr>
        <w:snapToGrid w:val="0"/>
        <w:spacing w:before="480" w:beforeLines="200" w:line="500" w:lineRule="exact"/>
        <w:jc w:val="center"/>
        <w:rPr>
          <w:rFonts w:ascii="Times New Roman" w:hAnsi="Times New Roman" w:eastAsia="黑体"/>
          <w:b/>
          <w:color w:val="auto"/>
          <w:sz w:val="72"/>
          <w:szCs w:val="72"/>
          <w:highlight w:val="none"/>
          <w:shd w:val="clear" w:color="auto" w:fill="auto"/>
        </w:rPr>
      </w:pPr>
      <w:r>
        <w:rPr>
          <w:rFonts w:hint="eastAsia" w:ascii="Times New Roman" w:hAnsi="Times New Roman" w:eastAsia="黑体"/>
          <w:b/>
          <w:color w:val="auto"/>
          <w:sz w:val="72"/>
          <w:szCs w:val="72"/>
          <w:highlight w:val="none"/>
          <w:shd w:val="clear" w:color="auto" w:fill="auto"/>
        </w:rPr>
        <w:t>招  标  文  件</w:t>
      </w:r>
    </w:p>
    <w:p>
      <w:pPr>
        <w:spacing w:line="360" w:lineRule="exact"/>
        <w:ind w:left="420" w:hanging="420"/>
        <w:jc w:val="left"/>
        <w:rPr>
          <w:rFonts w:ascii="Times New Roman" w:hAnsi="Times New Roman"/>
          <w:color w:val="auto"/>
          <w:szCs w:val="21"/>
          <w:highlight w:val="none"/>
          <w:shd w:val="clear" w:color="auto" w:fill="auto"/>
        </w:rPr>
      </w:pPr>
    </w:p>
    <w:p>
      <w:pPr>
        <w:spacing w:line="360" w:lineRule="exact"/>
        <w:ind w:firstLine="2160" w:firstLineChars="9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项目编号：XJXZYL-HW20230201-01</w:t>
      </w:r>
    </w:p>
    <w:p>
      <w:pPr>
        <w:spacing w:line="720" w:lineRule="exact"/>
        <w:rPr>
          <w:color w:val="auto"/>
          <w:sz w:val="28"/>
          <w:szCs w:val="28"/>
          <w:highlight w:val="none"/>
          <w:shd w:val="clear" w:color="auto" w:fill="auto"/>
        </w:rPr>
      </w:pPr>
    </w:p>
    <w:p>
      <w:pPr>
        <w:pStyle w:val="7"/>
        <w:numPr>
          <w:ilvl w:val="0"/>
          <w:numId w:val="0"/>
        </w:numPr>
        <w:rPr>
          <w:color w:val="auto"/>
          <w:highlight w:val="none"/>
          <w:shd w:val="clear" w:color="auto" w:fill="auto"/>
        </w:rPr>
      </w:pPr>
    </w:p>
    <w:p>
      <w:pPr>
        <w:pStyle w:val="7"/>
        <w:numPr>
          <w:ilvl w:val="0"/>
          <w:numId w:val="0"/>
        </w:numPr>
        <w:rPr>
          <w:color w:val="auto"/>
          <w:highlight w:val="none"/>
          <w:shd w:val="clear" w:color="auto" w:fill="auto"/>
        </w:rPr>
      </w:pPr>
    </w:p>
    <w:p>
      <w:pPr>
        <w:pStyle w:val="7"/>
        <w:numPr>
          <w:ilvl w:val="0"/>
          <w:numId w:val="0"/>
        </w:numPr>
        <w:rPr>
          <w:color w:val="auto"/>
          <w:highlight w:val="none"/>
          <w:shd w:val="clear" w:color="auto" w:fill="auto"/>
        </w:rPr>
      </w:pPr>
    </w:p>
    <w:p>
      <w:pPr>
        <w:autoSpaceDE w:val="0"/>
        <w:autoSpaceDN w:val="0"/>
        <w:spacing w:line="400" w:lineRule="exact"/>
        <w:jc w:val="left"/>
        <w:rPr>
          <w:rFonts w:ascii="Times New Roman" w:hAnsi="Times New Roman"/>
          <w:bCs/>
          <w:color w:val="auto"/>
          <w:sz w:val="32"/>
          <w:szCs w:val="24"/>
          <w:highlight w:val="none"/>
          <w:shd w:val="clear" w:color="auto" w:fill="auto"/>
        </w:rPr>
      </w:pPr>
    </w:p>
    <w:p>
      <w:pPr>
        <w:widowControl/>
        <w:adjustRightInd w:val="0"/>
        <w:snapToGrid w:val="0"/>
        <w:spacing w:line="360" w:lineRule="auto"/>
        <w:textAlignment w:val="baseline"/>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采 购 人：</w:t>
      </w:r>
      <w:r>
        <w:rPr>
          <w:rFonts w:ascii="宋体" w:hAnsi="宋体"/>
          <w:bCs/>
          <w:color w:val="auto"/>
          <w:sz w:val="28"/>
          <w:szCs w:val="28"/>
          <w:highlight w:val="none"/>
          <w:shd w:val="clear" w:color="auto" w:fill="auto"/>
        </w:rPr>
        <w:t>伊犁哈萨克自治州动物疾病控制与诊断中心</w:t>
      </w:r>
      <w:r>
        <w:rPr>
          <w:rFonts w:hint="eastAsia" w:ascii="宋体" w:hAnsi="宋体"/>
          <w:bCs/>
          <w:color w:val="auto"/>
          <w:sz w:val="28"/>
          <w:szCs w:val="28"/>
          <w:highlight w:val="none"/>
          <w:shd w:val="clear" w:color="auto" w:fill="auto"/>
        </w:rPr>
        <w:t>(盖章)</w:t>
      </w:r>
    </w:p>
    <w:p>
      <w:pPr>
        <w:widowControl/>
        <w:adjustRightInd w:val="0"/>
        <w:snapToGrid w:val="0"/>
        <w:spacing w:line="360" w:lineRule="auto"/>
        <w:textAlignment w:val="baseline"/>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联 系 人：王鹏</w:t>
      </w:r>
    </w:p>
    <w:p>
      <w:pPr>
        <w:widowControl/>
        <w:adjustRightInd w:val="0"/>
        <w:snapToGrid w:val="0"/>
        <w:spacing w:line="360" w:lineRule="auto"/>
        <w:textAlignment w:val="baseline"/>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联系电话：13369995355</w:t>
      </w:r>
    </w:p>
    <w:p>
      <w:pPr>
        <w:widowControl/>
        <w:spacing w:line="360" w:lineRule="auto"/>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100330</wp:posOffset>
                </wp:positionV>
                <wp:extent cx="500062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36.75pt;margin-top:7.9pt;height:0pt;width:393.75pt;z-index:251665408;mso-width-relative:page;mso-height-relative:page;" filled="f" stroked="t" coordsize="21600,21600" o:gfxdata="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4NMSdkAAAAIAQAADwAAAAAAAAABACAAAAAiAAAAZHJzL2Rvd25yZXYueG1sUEsBAhQAFAAA&#10;AAgAh07iQDAuDVvuAQAA2QMAAA4AAAAAAAAAAQAgAAAAKAEAAGRycy9lMm9Eb2MueG1sUEsFBgAA&#10;AAAGAAYAWQEAAIgFAAAAAA==&#10;">
                <v:fill on="f" focussize="0,0"/>
                <v:stroke weight="1pt" color="#000000" joinstyle="round" dashstyle="1 1" endcap="round"/>
                <v:imagedata o:title=""/>
                <o:lock v:ext="edit" aspectratio="f"/>
              </v:line>
            </w:pict>
          </mc:Fallback>
        </mc:AlternateContent>
      </w:r>
    </w:p>
    <w:p>
      <w:pPr>
        <w:widowControl/>
        <w:tabs>
          <w:tab w:val="center" w:pos="4509"/>
        </w:tabs>
        <w:spacing w:line="360" w:lineRule="auto"/>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 xml:space="preserve">采购代理机构：新疆新招工程项目咨询管理有限公司（盖章） </w:t>
      </w:r>
    </w:p>
    <w:p>
      <w:pPr>
        <w:widowControl/>
        <w:tabs>
          <w:tab w:val="center" w:pos="4509"/>
        </w:tabs>
        <w:spacing w:line="360" w:lineRule="auto"/>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联 系 人：宋红杰、王少伟</w:t>
      </w:r>
    </w:p>
    <w:p>
      <w:pPr>
        <w:widowControl/>
        <w:tabs>
          <w:tab w:val="center" w:pos="4509"/>
        </w:tabs>
        <w:spacing w:line="360" w:lineRule="auto"/>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联系电话：</w:t>
      </w:r>
      <w:r>
        <w:rPr>
          <w:rFonts w:ascii="宋体" w:hAnsi="宋体"/>
          <w:bCs/>
          <w:color w:val="auto"/>
          <w:sz w:val="28"/>
          <w:szCs w:val="28"/>
          <w:highlight w:val="none"/>
          <w:shd w:val="clear" w:color="auto" w:fill="auto"/>
        </w:rPr>
        <w:t>15</w:t>
      </w:r>
      <w:r>
        <w:rPr>
          <w:rFonts w:hint="eastAsia" w:ascii="宋体" w:hAnsi="宋体"/>
          <w:bCs/>
          <w:color w:val="auto"/>
          <w:sz w:val="28"/>
          <w:szCs w:val="28"/>
          <w:highlight w:val="none"/>
          <w:shd w:val="clear" w:color="auto" w:fill="auto"/>
        </w:rPr>
        <w:t>509992621</w:t>
      </w:r>
    </w:p>
    <w:p>
      <w:pPr>
        <w:widowControl/>
        <w:tabs>
          <w:tab w:val="center" w:pos="4509"/>
        </w:tabs>
        <w:spacing w:line="360" w:lineRule="auto"/>
        <w:rPr>
          <w:rFonts w:ascii="宋体" w:hAnsi="宋体"/>
          <w:bCs/>
          <w:color w:val="auto"/>
          <w:sz w:val="28"/>
          <w:szCs w:val="28"/>
          <w:highlight w:val="none"/>
          <w:shd w:val="clear" w:color="auto" w:fill="auto"/>
        </w:rPr>
      </w:pPr>
      <w:r>
        <w:rPr>
          <w:rFonts w:hint="eastAsia" w:ascii="宋体" w:hAnsi="宋体"/>
          <w:bCs/>
          <w:color w:val="auto"/>
          <w:sz w:val="28"/>
          <w:szCs w:val="28"/>
          <w:highlight w:val="none"/>
          <w:shd w:val="clear" w:color="auto" w:fill="auto"/>
        </w:rPr>
        <w:t>详细地址：新疆伊犁州伊宁市开发区如意街新房大厦4楼401室</w:t>
      </w:r>
    </w:p>
    <w:p>
      <w:pPr>
        <w:spacing w:line="360" w:lineRule="exact"/>
        <w:ind w:left="420" w:hanging="420"/>
        <w:jc w:val="left"/>
        <w:rPr>
          <w:rFonts w:ascii="Times New Roman" w:hAnsi="Times New Roman"/>
          <w:color w:val="auto"/>
          <w:szCs w:val="21"/>
          <w:highlight w:val="none"/>
          <w:shd w:val="clear" w:color="auto" w:fill="auto"/>
        </w:rPr>
      </w:pPr>
    </w:p>
    <w:p>
      <w:pPr>
        <w:autoSpaceDE w:val="0"/>
        <w:autoSpaceDN w:val="0"/>
        <w:jc w:val="center"/>
        <w:rPr>
          <w:rFonts w:ascii="宋体" w:hAnsi="宋体"/>
          <w:bCs/>
          <w:color w:val="auto"/>
          <w:kern w:val="0"/>
          <w:sz w:val="30"/>
          <w:szCs w:val="30"/>
          <w:highlight w:val="none"/>
          <w:shd w:val="clear" w:color="auto" w:fill="auto"/>
        </w:rPr>
      </w:pPr>
      <w:r>
        <w:rPr>
          <w:rFonts w:hint="eastAsia" w:ascii="宋体" w:hAnsi="宋体"/>
          <w:bCs/>
          <w:color w:val="auto"/>
          <w:kern w:val="0"/>
          <w:sz w:val="30"/>
          <w:szCs w:val="30"/>
          <w:highlight w:val="none"/>
          <w:shd w:val="clear" w:color="auto" w:fill="auto"/>
        </w:rPr>
        <w:t>二零二三年二月</w:t>
      </w:r>
    </w:p>
    <w:p>
      <w:pPr>
        <w:spacing w:line="276" w:lineRule="auto"/>
        <w:jc w:val="center"/>
        <w:rPr>
          <w:rFonts w:ascii="宋体" w:hAnsi="宋体" w:cs="宋体"/>
          <w:b/>
          <w:bCs/>
          <w:color w:val="auto"/>
          <w:sz w:val="24"/>
          <w:szCs w:val="24"/>
          <w:highlight w:val="none"/>
          <w:shd w:val="clear" w:color="auto" w:fill="auto"/>
        </w:rPr>
        <w:sectPr>
          <w:headerReference r:id="rId4" w:type="default"/>
          <w:footerReference r:id="rId5" w:type="even"/>
          <w:pgSz w:w="12240" w:h="15840"/>
          <w:pgMar w:top="1440" w:right="1800" w:bottom="1440" w:left="1800" w:header="851" w:footer="992" w:gutter="0"/>
          <w:cols w:space="720" w:num="1"/>
          <w:titlePg/>
          <w:docGrid w:linePitch="312" w:charSpace="0"/>
        </w:sectPr>
      </w:pPr>
    </w:p>
    <w:p>
      <w:pPr>
        <w:spacing w:line="276" w:lineRule="auto"/>
        <w:jc w:val="center"/>
        <w:rPr>
          <w:rFonts w:ascii="宋体" w:hAnsi="宋体" w:cs="宋体"/>
          <w:b/>
          <w:bCs/>
          <w:color w:val="auto"/>
          <w:sz w:val="24"/>
          <w:szCs w:val="24"/>
          <w:highlight w:val="none"/>
          <w:shd w:val="clear" w:color="auto" w:fill="auto"/>
        </w:rPr>
      </w:pPr>
    </w:p>
    <w:p>
      <w:pPr>
        <w:spacing w:line="276" w:lineRule="auto"/>
        <w:jc w:val="center"/>
        <w:rPr>
          <w:rFonts w:ascii="宋体" w:hAnsi="宋体" w:cs="宋体"/>
          <w:b/>
          <w:bCs/>
          <w:color w:val="auto"/>
          <w:sz w:val="24"/>
          <w:szCs w:val="24"/>
          <w:highlight w:val="none"/>
          <w:shd w:val="clear" w:color="auto" w:fill="auto"/>
        </w:rPr>
      </w:pPr>
    </w:p>
    <w:p>
      <w:pPr>
        <w:spacing w:line="276" w:lineRule="auto"/>
        <w:jc w:val="center"/>
        <w:rPr>
          <w:rFonts w:asci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目</w:t>
      </w:r>
      <w:r>
        <w:rPr>
          <w:rFonts w:ascii="宋体" w:hAnsi="宋体" w:cs="宋体"/>
          <w:b/>
          <w:bCs/>
          <w:color w:val="auto"/>
          <w:sz w:val="24"/>
          <w:szCs w:val="24"/>
          <w:highlight w:val="none"/>
          <w:shd w:val="clear" w:color="auto" w:fill="auto"/>
        </w:rPr>
        <w:t xml:space="preserve"> </w:t>
      </w:r>
      <w:r>
        <w:rPr>
          <w:rFonts w:hint="eastAsia" w:ascii="宋体" w:hAnsi="宋体" w:cs="宋体"/>
          <w:b/>
          <w:bCs/>
          <w:color w:val="auto"/>
          <w:sz w:val="24"/>
          <w:szCs w:val="24"/>
          <w:highlight w:val="none"/>
          <w:shd w:val="clear" w:color="auto" w:fill="auto"/>
        </w:rPr>
        <w:t>录</w:t>
      </w:r>
    </w:p>
    <w:p>
      <w:pPr>
        <w:pStyle w:val="16"/>
        <w:tabs>
          <w:tab w:val="right" w:leader="dot" w:pos="8306"/>
        </w:tabs>
        <w:spacing w:line="276" w:lineRule="auto"/>
        <w:rPr>
          <w:color w:val="auto"/>
          <w:sz w:val="24"/>
          <w:highlight w:val="none"/>
          <w:shd w:val="clear" w:color="auto" w:fill="auto"/>
        </w:rPr>
      </w:pPr>
      <w:r>
        <w:rPr>
          <w:rFonts w:ascii="宋体" w:hAnsi="宋体" w:cs="宋体"/>
          <w:b/>
          <w:bCs/>
          <w:color w:val="auto"/>
          <w:sz w:val="24"/>
          <w:highlight w:val="none"/>
          <w:shd w:val="clear" w:color="auto" w:fill="auto"/>
        </w:rPr>
        <w:fldChar w:fldCharType="begin"/>
      </w:r>
      <w:r>
        <w:rPr>
          <w:rFonts w:ascii="宋体" w:hAnsi="宋体" w:cs="宋体"/>
          <w:b/>
          <w:bCs/>
          <w:color w:val="auto"/>
          <w:sz w:val="24"/>
          <w:highlight w:val="none"/>
          <w:shd w:val="clear" w:color="auto" w:fill="auto"/>
        </w:rPr>
        <w:instrText xml:space="preserve">TOC \o "1-3" \h \u </w:instrText>
      </w:r>
      <w:r>
        <w:rPr>
          <w:rFonts w:ascii="宋体" w:hAnsi="宋体" w:cs="宋体"/>
          <w:b/>
          <w:bCs/>
          <w:color w:val="auto"/>
          <w:sz w:val="24"/>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"_Toc1076"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第一章 招标公告</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_Toc1076 \h </w:instrText>
      </w:r>
      <w:r>
        <w:rPr>
          <w:color w:val="auto"/>
          <w:sz w:val="24"/>
          <w:highlight w:val="none"/>
          <w:shd w:val="clear" w:color="auto" w:fill="auto"/>
        </w:rPr>
        <w:fldChar w:fldCharType="separate"/>
      </w:r>
      <w:r>
        <w:rPr>
          <w:color w:val="auto"/>
          <w:sz w:val="24"/>
          <w:highlight w:val="none"/>
          <w:shd w:val="clear" w:color="auto" w:fill="auto"/>
        </w:rPr>
        <w:t>2</w:t>
      </w:r>
      <w:r>
        <w:rPr>
          <w:color w:val="auto"/>
          <w:sz w:val="24"/>
          <w:highlight w:val="none"/>
          <w:shd w:val="clear" w:color="auto" w:fill="auto"/>
        </w:rPr>
        <w:fldChar w:fldCharType="end"/>
      </w:r>
      <w:r>
        <w:rPr>
          <w:color w:val="auto"/>
          <w:sz w:val="24"/>
          <w:highlight w:val="none"/>
          <w:shd w:val="clear" w:color="auto" w:fill="auto"/>
        </w:rPr>
        <w:fldChar w:fldCharType="end"/>
      </w:r>
    </w:p>
    <w:p>
      <w:pPr>
        <w:pStyle w:val="16"/>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"_Toc27824"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第二章 投标人须知前附表</w:t>
      </w:r>
      <w:r>
        <w:rPr>
          <w:color w:val="auto"/>
          <w:sz w:val="24"/>
          <w:highlight w:val="none"/>
          <w:shd w:val="clear" w:color="auto" w:fill="auto"/>
        </w:rPr>
        <w:tab/>
      </w:r>
      <w:r>
        <w:rPr>
          <w:rFonts w:hint="eastAsia"/>
          <w:color w:val="auto"/>
          <w:sz w:val="24"/>
          <w:highlight w:val="none"/>
          <w:shd w:val="clear" w:color="auto" w:fill="auto"/>
        </w:rPr>
        <w:t>6</w:t>
      </w:r>
      <w:r>
        <w:rPr>
          <w:rFonts w:hint="eastAsia"/>
          <w:color w:val="auto"/>
          <w:sz w:val="24"/>
          <w:highlight w:val="none"/>
          <w:shd w:val="clear" w:color="auto" w:fill="auto"/>
        </w:rPr>
        <w:fldChar w:fldCharType="end"/>
      </w:r>
    </w:p>
    <w:p>
      <w:pPr>
        <w:pStyle w:val="16"/>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"_Toc14733"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第三章 投标须知</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_Toc14733 \h </w:instrText>
      </w:r>
      <w:r>
        <w:rPr>
          <w:color w:val="auto"/>
          <w:sz w:val="24"/>
          <w:highlight w:val="none"/>
          <w:shd w:val="clear" w:color="auto" w:fill="auto"/>
        </w:rPr>
        <w:fldChar w:fldCharType="separate"/>
      </w:r>
      <w:r>
        <w:rPr>
          <w:color w:val="auto"/>
          <w:sz w:val="24"/>
          <w:highlight w:val="none"/>
          <w:shd w:val="clear" w:color="auto" w:fill="auto"/>
        </w:rPr>
        <w:t>11</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"_Toc30774"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第一节 总则</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_Toc30774 \h </w:instrText>
      </w:r>
      <w:r>
        <w:rPr>
          <w:color w:val="auto"/>
          <w:sz w:val="24"/>
          <w:highlight w:val="none"/>
          <w:shd w:val="clear" w:color="auto" w:fill="auto"/>
        </w:rPr>
        <w:fldChar w:fldCharType="separate"/>
      </w:r>
      <w:r>
        <w:rPr>
          <w:color w:val="auto"/>
          <w:sz w:val="24"/>
          <w:highlight w:val="none"/>
          <w:shd w:val="clear" w:color="auto" w:fill="auto"/>
        </w:rPr>
        <w:t>11</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"_Toc25582"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第二节 招标文件</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_Toc25582 \h </w:instrText>
      </w:r>
      <w:r>
        <w:rPr>
          <w:color w:val="auto"/>
          <w:sz w:val="24"/>
          <w:highlight w:val="none"/>
          <w:shd w:val="clear" w:color="auto" w:fill="auto"/>
        </w:rPr>
        <w:fldChar w:fldCharType="separate"/>
      </w:r>
      <w:r>
        <w:rPr>
          <w:color w:val="auto"/>
          <w:sz w:val="24"/>
          <w:highlight w:val="none"/>
          <w:shd w:val="clear" w:color="auto" w:fill="auto"/>
        </w:rPr>
        <w:t>14</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"_Toc9055"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第三节 投标文件</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_Toc9055 \h </w:instrText>
      </w:r>
      <w:r>
        <w:rPr>
          <w:color w:val="auto"/>
          <w:sz w:val="24"/>
          <w:highlight w:val="none"/>
          <w:shd w:val="clear" w:color="auto" w:fill="auto"/>
        </w:rPr>
        <w:fldChar w:fldCharType="separate"/>
      </w:r>
      <w:r>
        <w:rPr>
          <w:color w:val="auto"/>
          <w:sz w:val="24"/>
          <w:highlight w:val="none"/>
          <w:shd w:val="clear" w:color="auto" w:fill="auto"/>
        </w:rPr>
        <w:t>15</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"_Toc12338"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第四节 纪律和监督</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_Toc12338 \h </w:instrText>
      </w:r>
      <w:r>
        <w:rPr>
          <w:color w:val="auto"/>
          <w:sz w:val="24"/>
          <w:highlight w:val="none"/>
          <w:shd w:val="clear" w:color="auto" w:fill="auto"/>
        </w:rPr>
        <w:fldChar w:fldCharType="separate"/>
      </w:r>
      <w:r>
        <w:rPr>
          <w:color w:val="auto"/>
          <w:sz w:val="24"/>
          <w:highlight w:val="none"/>
          <w:shd w:val="clear" w:color="auto" w:fill="auto"/>
        </w:rPr>
        <w:t>17</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"_Toc28529"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第五节 询问、质疑和投诉</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_Toc28529 \h </w:instrText>
      </w:r>
      <w:r>
        <w:rPr>
          <w:color w:val="auto"/>
          <w:sz w:val="24"/>
          <w:highlight w:val="none"/>
          <w:shd w:val="clear" w:color="auto" w:fill="auto"/>
        </w:rPr>
        <w:fldChar w:fldCharType="separate"/>
      </w:r>
      <w:r>
        <w:rPr>
          <w:color w:val="auto"/>
          <w:sz w:val="24"/>
          <w:highlight w:val="none"/>
          <w:shd w:val="clear" w:color="auto" w:fill="auto"/>
        </w:rPr>
        <w:t>17</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"_Toc27389"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第六节 评标</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_Toc27389 \h </w:instrText>
      </w:r>
      <w:r>
        <w:rPr>
          <w:color w:val="auto"/>
          <w:sz w:val="24"/>
          <w:highlight w:val="none"/>
          <w:shd w:val="clear" w:color="auto" w:fill="auto"/>
        </w:rPr>
        <w:fldChar w:fldCharType="separate"/>
      </w:r>
      <w:r>
        <w:rPr>
          <w:color w:val="auto"/>
          <w:sz w:val="24"/>
          <w:highlight w:val="none"/>
          <w:shd w:val="clear" w:color="auto" w:fill="auto"/>
        </w:rPr>
        <w:t>18</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"_Toc19761"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第七节 定标及合同授予</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_Toc19761 \h </w:instrText>
      </w:r>
      <w:r>
        <w:rPr>
          <w:color w:val="auto"/>
          <w:sz w:val="24"/>
          <w:highlight w:val="none"/>
          <w:shd w:val="clear" w:color="auto" w:fill="auto"/>
        </w:rPr>
        <w:fldChar w:fldCharType="separate"/>
      </w:r>
      <w:r>
        <w:rPr>
          <w:color w:val="auto"/>
          <w:sz w:val="24"/>
          <w:highlight w:val="none"/>
          <w:shd w:val="clear" w:color="auto" w:fill="auto"/>
        </w:rPr>
        <w:t>30</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"_Toc26112"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第八节 合同条款及格式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_Toc26112 \h </w:instrText>
      </w:r>
      <w:r>
        <w:rPr>
          <w:color w:val="auto"/>
          <w:sz w:val="24"/>
          <w:highlight w:val="none"/>
          <w:shd w:val="clear" w:color="auto" w:fill="auto"/>
        </w:rPr>
        <w:fldChar w:fldCharType="separate"/>
      </w:r>
      <w:r>
        <w:rPr>
          <w:color w:val="auto"/>
          <w:sz w:val="24"/>
          <w:highlight w:val="none"/>
          <w:shd w:val="clear" w:color="auto" w:fill="auto"/>
        </w:rPr>
        <w:t>32</w:t>
      </w:r>
      <w:r>
        <w:rPr>
          <w:color w:val="auto"/>
          <w:sz w:val="24"/>
          <w:highlight w:val="none"/>
          <w:shd w:val="clear" w:color="auto" w:fill="auto"/>
        </w:rPr>
        <w:fldChar w:fldCharType="end"/>
      </w:r>
      <w:r>
        <w:rPr>
          <w:color w:val="auto"/>
          <w:sz w:val="24"/>
          <w:highlight w:val="none"/>
          <w:shd w:val="clear" w:color="auto" w:fill="auto"/>
        </w:rPr>
        <w:fldChar w:fldCharType="end"/>
      </w:r>
    </w:p>
    <w:p>
      <w:pPr>
        <w:pStyle w:val="16"/>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"_Toc25473"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第四章 技术标准和服务要求</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_Toc25473 \h </w:instrText>
      </w:r>
      <w:r>
        <w:rPr>
          <w:color w:val="auto"/>
          <w:sz w:val="24"/>
          <w:highlight w:val="none"/>
          <w:shd w:val="clear" w:color="auto" w:fill="auto"/>
        </w:rPr>
        <w:fldChar w:fldCharType="separate"/>
      </w:r>
      <w:r>
        <w:rPr>
          <w:color w:val="auto"/>
          <w:sz w:val="24"/>
          <w:highlight w:val="none"/>
          <w:shd w:val="clear" w:color="auto" w:fill="auto"/>
        </w:rPr>
        <w:t>40</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"_Toc16551"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 xml:space="preserve">第一节 </w:t>
      </w:r>
      <w:r>
        <w:rPr>
          <w:rFonts w:hint="eastAsia" w:ascii="宋体" w:hAnsi="宋体" w:cs="宋体"/>
          <w:bCs/>
          <w:color w:val="auto"/>
          <w:sz w:val="24"/>
          <w:highlight w:val="none"/>
          <w:shd w:val="clear" w:color="auto" w:fill="auto"/>
        </w:rPr>
        <w:t>重大动物疫病疫苗采购项目需求技术参数</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_Toc16551 \h </w:instrText>
      </w:r>
      <w:r>
        <w:rPr>
          <w:color w:val="auto"/>
          <w:sz w:val="24"/>
          <w:highlight w:val="none"/>
          <w:shd w:val="clear" w:color="auto" w:fill="auto"/>
        </w:rPr>
        <w:fldChar w:fldCharType="separate"/>
      </w:r>
      <w:r>
        <w:rPr>
          <w:color w:val="auto"/>
          <w:sz w:val="24"/>
          <w:highlight w:val="none"/>
          <w:shd w:val="clear" w:color="auto" w:fill="auto"/>
        </w:rPr>
        <w:t>40</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"_Toc30472"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第二节 供货服务要求</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_Toc30472 \h </w:instrText>
      </w:r>
      <w:r>
        <w:rPr>
          <w:color w:val="auto"/>
          <w:sz w:val="24"/>
          <w:highlight w:val="none"/>
          <w:shd w:val="clear" w:color="auto" w:fill="auto"/>
        </w:rPr>
        <w:fldChar w:fldCharType="separate"/>
      </w:r>
      <w:r>
        <w:rPr>
          <w:color w:val="auto"/>
          <w:sz w:val="24"/>
          <w:highlight w:val="none"/>
          <w:shd w:val="clear" w:color="auto" w:fill="auto"/>
        </w:rPr>
        <w:t>40</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"_Toc18492"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2.1</w:t>
      </w:r>
      <w:r>
        <w:rPr>
          <w:rFonts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供货期、地点、运输方式及验收方式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_Toc18492 \h </w:instrText>
      </w:r>
      <w:r>
        <w:rPr>
          <w:color w:val="auto"/>
          <w:sz w:val="24"/>
          <w:highlight w:val="none"/>
          <w:shd w:val="clear" w:color="auto" w:fill="auto"/>
        </w:rPr>
        <w:fldChar w:fldCharType="separate"/>
      </w:r>
      <w:r>
        <w:rPr>
          <w:color w:val="auto"/>
          <w:sz w:val="24"/>
          <w:highlight w:val="none"/>
          <w:shd w:val="clear" w:color="auto" w:fill="auto"/>
        </w:rPr>
        <w:t>40</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"_Toc28983"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w:t>
      </w:r>
      <w:r>
        <w:rPr>
          <w:rFonts w:ascii="宋体" w:hAnsi="宋体" w:cs="宋体"/>
          <w:color w:val="auto"/>
          <w:sz w:val="24"/>
          <w:highlight w:val="none"/>
          <w:shd w:val="clear" w:color="auto" w:fill="auto"/>
        </w:rPr>
        <w:t xml:space="preserve">2 </w:t>
      </w:r>
      <w:r>
        <w:rPr>
          <w:rFonts w:hint="eastAsia" w:ascii="宋体" w:hAnsi="宋体" w:cs="宋体"/>
          <w:color w:val="auto"/>
          <w:sz w:val="24"/>
          <w:highlight w:val="none"/>
          <w:shd w:val="clear" w:color="auto" w:fill="auto"/>
        </w:rPr>
        <w:t>质量责任</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_Toc28983 \h </w:instrText>
      </w:r>
      <w:r>
        <w:rPr>
          <w:color w:val="auto"/>
          <w:sz w:val="24"/>
          <w:highlight w:val="none"/>
          <w:shd w:val="clear" w:color="auto" w:fill="auto"/>
        </w:rPr>
        <w:fldChar w:fldCharType="separate"/>
      </w:r>
      <w:r>
        <w:rPr>
          <w:color w:val="auto"/>
          <w:sz w:val="24"/>
          <w:highlight w:val="none"/>
          <w:shd w:val="clear" w:color="auto" w:fill="auto"/>
        </w:rPr>
        <w:t>41</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"_Toc16176"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2.3</w:t>
      </w:r>
      <w:r>
        <w:rPr>
          <w:rFonts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质量保证及售后服务</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_Toc16176 \h </w:instrText>
      </w:r>
      <w:r>
        <w:rPr>
          <w:color w:val="auto"/>
          <w:sz w:val="24"/>
          <w:highlight w:val="none"/>
          <w:shd w:val="clear" w:color="auto" w:fill="auto"/>
        </w:rPr>
        <w:fldChar w:fldCharType="separate"/>
      </w:r>
      <w:r>
        <w:rPr>
          <w:color w:val="auto"/>
          <w:sz w:val="24"/>
          <w:highlight w:val="none"/>
          <w:shd w:val="clear" w:color="auto" w:fill="auto"/>
        </w:rPr>
        <w:t>41</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"_Toc24187"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2.4</w:t>
      </w:r>
      <w:r>
        <w:rPr>
          <w:rFonts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付款方式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_Toc24187 \h </w:instrText>
      </w:r>
      <w:r>
        <w:rPr>
          <w:color w:val="auto"/>
          <w:sz w:val="24"/>
          <w:highlight w:val="none"/>
          <w:shd w:val="clear" w:color="auto" w:fill="auto"/>
        </w:rPr>
        <w:fldChar w:fldCharType="separate"/>
      </w:r>
      <w:r>
        <w:rPr>
          <w:color w:val="auto"/>
          <w:sz w:val="24"/>
          <w:highlight w:val="none"/>
          <w:shd w:val="clear" w:color="auto" w:fill="auto"/>
        </w:rPr>
        <w:t>42</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"_Toc31012"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2.5</w:t>
      </w:r>
      <w:r>
        <w:rPr>
          <w:rFonts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知识产权</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_Toc31012 \h </w:instrText>
      </w:r>
      <w:r>
        <w:rPr>
          <w:color w:val="auto"/>
          <w:sz w:val="24"/>
          <w:highlight w:val="none"/>
          <w:shd w:val="clear" w:color="auto" w:fill="auto"/>
        </w:rPr>
        <w:fldChar w:fldCharType="separate"/>
      </w:r>
      <w:r>
        <w:rPr>
          <w:color w:val="auto"/>
          <w:sz w:val="24"/>
          <w:highlight w:val="none"/>
          <w:shd w:val="clear" w:color="auto" w:fill="auto"/>
        </w:rPr>
        <w:t>43</w:t>
      </w:r>
      <w:r>
        <w:rPr>
          <w:color w:val="auto"/>
          <w:sz w:val="24"/>
          <w:highlight w:val="none"/>
          <w:shd w:val="clear" w:color="auto" w:fill="auto"/>
        </w:rPr>
        <w:fldChar w:fldCharType="end"/>
      </w:r>
      <w:r>
        <w:rPr>
          <w:color w:val="auto"/>
          <w:sz w:val="24"/>
          <w:highlight w:val="none"/>
          <w:shd w:val="clear" w:color="auto" w:fill="auto"/>
        </w:rPr>
        <w:fldChar w:fldCharType="end"/>
      </w:r>
    </w:p>
    <w:p>
      <w:pPr>
        <w:pStyle w:val="9"/>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"_Toc17147"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2.6</w:t>
      </w:r>
      <w:r>
        <w:rPr>
          <w:rFonts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其他</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_Toc17147 \h </w:instrText>
      </w:r>
      <w:r>
        <w:rPr>
          <w:color w:val="auto"/>
          <w:sz w:val="24"/>
          <w:highlight w:val="none"/>
          <w:shd w:val="clear" w:color="auto" w:fill="auto"/>
        </w:rPr>
        <w:fldChar w:fldCharType="separate"/>
      </w:r>
      <w:r>
        <w:rPr>
          <w:color w:val="auto"/>
          <w:sz w:val="24"/>
          <w:highlight w:val="none"/>
          <w:shd w:val="clear" w:color="auto" w:fill="auto"/>
        </w:rPr>
        <w:t>43</w:t>
      </w:r>
      <w:r>
        <w:rPr>
          <w:color w:val="auto"/>
          <w:sz w:val="24"/>
          <w:highlight w:val="none"/>
          <w:shd w:val="clear" w:color="auto" w:fill="auto"/>
        </w:rPr>
        <w:fldChar w:fldCharType="end"/>
      </w:r>
      <w:r>
        <w:rPr>
          <w:color w:val="auto"/>
          <w:sz w:val="24"/>
          <w:highlight w:val="none"/>
          <w:shd w:val="clear" w:color="auto" w:fill="auto"/>
        </w:rPr>
        <w:fldChar w:fldCharType="end"/>
      </w:r>
    </w:p>
    <w:p>
      <w:pPr>
        <w:pStyle w:val="16"/>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"_Toc19890"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第五章 投标文件格式</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_Toc19890 \h </w:instrText>
      </w:r>
      <w:r>
        <w:rPr>
          <w:color w:val="auto"/>
          <w:sz w:val="24"/>
          <w:highlight w:val="none"/>
          <w:shd w:val="clear" w:color="auto" w:fill="auto"/>
        </w:rPr>
        <w:fldChar w:fldCharType="separate"/>
      </w:r>
      <w:r>
        <w:rPr>
          <w:color w:val="auto"/>
          <w:sz w:val="24"/>
          <w:highlight w:val="none"/>
          <w:shd w:val="clear" w:color="auto" w:fill="auto"/>
        </w:rPr>
        <w:t>44</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"_Toc5067"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第一节 投标文件封面示例</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_Toc5067 \h </w:instrText>
      </w:r>
      <w:r>
        <w:rPr>
          <w:color w:val="auto"/>
          <w:sz w:val="24"/>
          <w:highlight w:val="none"/>
          <w:shd w:val="clear" w:color="auto" w:fill="auto"/>
        </w:rPr>
        <w:fldChar w:fldCharType="separate"/>
      </w:r>
      <w:r>
        <w:rPr>
          <w:color w:val="auto"/>
          <w:sz w:val="24"/>
          <w:highlight w:val="none"/>
          <w:shd w:val="clear" w:color="auto" w:fill="auto"/>
        </w:rPr>
        <w:t>44</w:t>
      </w:r>
      <w:r>
        <w:rPr>
          <w:color w:val="auto"/>
          <w:sz w:val="24"/>
          <w:highlight w:val="none"/>
          <w:shd w:val="clear" w:color="auto" w:fill="auto"/>
        </w:rPr>
        <w:fldChar w:fldCharType="end"/>
      </w:r>
      <w:r>
        <w:rPr>
          <w:color w:val="auto"/>
          <w:sz w:val="24"/>
          <w:highlight w:val="none"/>
          <w:shd w:val="clear" w:color="auto" w:fill="auto"/>
        </w:rPr>
        <w:fldChar w:fldCharType="end"/>
      </w:r>
    </w:p>
    <w:p>
      <w:pPr>
        <w:pStyle w:val="8"/>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"_Toc29172" </w:instrText>
      </w:r>
      <w:r>
        <w:rPr>
          <w:color w:val="auto"/>
          <w:highlight w:val="none"/>
          <w:shd w:val="clear" w:color="auto" w:fill="auto"/>
        </w:rPr>
        <w:fldChar w:fldCharType="separate"/>
      </w:r>
      <w:r>
        <w:rPr>
          <w:rFonts w:hint="eastAsia" w:ascii="宋体" w:hAnsi="宋体" w:cs="宋体"/>
          <w:color w:val="auto"/>
          <w:sz w:val="24"/>
          <w:highlight w:val="none"/>
          <w:shd w:val="clear" w:color="auto" w:fill="auto"/>
        </w:rPr>
        <w:t>第二节 投标文件目录示例</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_Toc29172 \h </w:instrText>
      </w:r>
      <w:r>
        <w:rPr>
          <w:color w:val="auto"/>
          <w:sz w:val="24"/>
          <w:highlight w:val="none"/>
          <w:shd w:val="clear" w:color="auto" w:fill="auto"/>
        </w:rPr>
        <w:fldChar w:fldCharType="separate"/>
      </w:r>
      <w:r>
        <w:rPr>
          <w:color w:val="auto"/>
          <w:sz w:val="24"/>
          <w:highlight w:val="none"/>
          <w:shd w:val="clear" w:color="auto" w:fill="auto"/>
        </w:rPr>
        <w:t>45</w:t>
      </w:r>
      <w:r>
        <w:rPr>
          <w:color w:val="auto"/>
          <w:sz w:val="24"/>
          <w:highlight w:val="none"/>
          <w:shd w:val="clear" w:color="auto" w:fill="auto"/>
        </w:rPr>
        <w:fldChar w:fldCharType="end"/>
      </w:r>
      <w:r>
        <w:rPr>
          <w:color w:val="auto"/>
          <w:sz w:val="24"/>
          <w:highlight w:val="none"/>
          <w:shd w:val="clear" w:color="auto" w:fill="auto"/>
        </w:rPr>
        <w:fldChar w:fldCharType="end"/>
      </w:r>
    </w:p>
    <w:p>
      <w:pPr>
        <w:pStyle w:val="16"/>
        <w:tabs>
          <w:tab w:val="right" w:leader="dot" w:pos="8306"/>
        </w:tabs>
        <w:spacing w:line="276" w:lineRule="auto"/>
        <w:rPr>
          <w:color w:val="auto"/>
          <w:sz w:val="24"/>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"_Toc23695" </w:instrText>
      </w:r>
      <w:r>
        <w:rPr>
          <w:color w:val="auto"/>
          <w:highlight w:val="none"/>
          <w:shd w:val="clear" w:color="auto" w:fill="auto"/>
        </w:rPr>
        <w:fldChar w:fldCharType="separate"/>
      </w:r>
      <w:r>
        <w:rPr>
          <w:rFonts w:hint="eastAsia" w:ascii="黑体" w:hAnsi="黑体" w:eastAsia="黑体" w:cs="黑体"/>
          <w:bCs/>
          <w:color w:val="auto"/>
          <w:sz w:val="24"/>
          <w:highlight w:val="none"/>
          <w:shd w:val="clear" w:color="auto" w:fill="auto"/>
        </w:rPr>
        <w:t>第六章 补充条款</w:t>
      </w:r>
      <w:r>
        <w:rPr>
          <w:color w:val="auto"/>
          <w:sz w:val="24"/>
          <w:highlight w:val="none"/>
          <w:shd w:val="clear" w:color="auto" w:fill="auto"/>
        </w:rPr>
        <w:tab/>
      </w:r>
      <w:r>
        <w:rPr>
          <w:color w:val="auto"/>
          <w:sz w:val="24"/>
          <w:highlight w:val="none"/>
          <w:shd w:val="clear" w:color="auto" w:fill="auto"/>
        </w:rPr>
        <w:fldChar w:fldCharType="begin"/>
      </w:r>
      <w:r>
        <w:rPr>
          <w:color w:val="auto"/>
          <w:sz w:val="24"/>
          <w:highlight w:val="none"/>
          <w:shd w:val="clear" w:color="auto" w:fill="auto"/>
        </w:rPr>
        <w:instrText xml:space="preserve"> PAGEREF _Toc23695 \h </w:instrText>
      </w:r>
      <w:r>
        <w:rPr>
          <w:color w:val="auto"/>
          <w:sz w:val="24"/>
          <w:highlight w:val="none"/>
          <w:shd w:val="clear" w:color="auto" w:fill="auto"/>
        </w:rPr>
        <w:fldChar w:fldCharType="separate"/>
      </w:r>
      <w:r>
        <w:rPr>
          <w:color w:val="auto"/>
          <w:sz w:val="24"/>
          <w:highlight w:val="none"/>
          <w:shd w:val="clear" w:color="auto" w:fill="auto"/>
        </w:rPr>
        <w:t>6</w:t>
      </w:r>
      <w:r>
        <w:rPr>
          <w:rFonts w:hint="eastAsia"/>
          <w:color w:val="auto"/>
          <w:sz w:val="24"/>
          <w:highlight w:val="none"/>
          <w:shd w:val="clear" w:color="auto" w:fill="auto"/>
        </w:rPr>
        <w:t>5</w:t>
      </w:r>
      <w:r>
        <w:rPr>
          <w:color w:val="auto"/>
          <w:sz w:val="24"/>
          <w:highlight w:val="none"/>
          <w:shd w:val="clear" w:color="auto" w:fill="auto"/>
        </w:rPr>
        <w:fldChar w:fldCharType="end"/>
      </w:r>
      <w:r>
        <w:rPr>
          <w:color w:val="auto"/>
          <w:sz w:val="24"/>
          <w:highlight w:val="none"/>
          <w:shd w:val="clear" w:color="auto" w:fill="auto"/>
        </w:rPr>
        <w:fldChar w:fldCharType="end"/>
      </w:r>
    </w:p>
    <w:p>
      <w:pPr>
        <w:spacing w:line="276" w:lineRule="auto"/>
        <w:rPr>
          <w:rFonts w:ascii="宋体" w:hAnsi="宋体" w:cs="宋体"/>
          <w:bCs/>
          <w:color w:val="auto"/>
          <w:highlight w:val="none"/>
          <w:shd w:val="clear" w:color="auto" w:fill="auto"/>
        </w:rPr>
      </w:pPr>
      <w:r>
        <w:rPr>
          <w:rFonts w:ascii="宋体" w:hAnsi="宋体" w:cs="宋体"/>
          <w:bCs/>
          <w:color w:val="auto"/>
          <w:highlight w:val="none"/>
          <w:shd w:val="clear" w:color="auto" w:fill="auto"/>
        </w:rPr>
        <w:fldChar w:fldCharType="end"/>
      </w: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pStyle w:val="7"/>
        <w:numPr>
          <w:ilvl w:val="0"/>
          <w:numId w:val="0"/>
        </w:numPr>
        <w:rPr>
          <w:rFonts w:hAnsi="黑体" w:cs="黑体"/>
          <w:bCs/>
          <w:color w:val="auto"/>
          <w:sz w:val="32"/>
          <w:szCs w:val="32"/>
          <w:highlight w:val="none"/>
          <w:shd w:val="clear" w:color="auto" w:fill="auto"/>
        </w:rPr>
      </w:pPr>
    </w:p>
    <w:p>
      <w:pPr>
        <w:pStyle w:val="7"/>
        <w:numPr>
          <w:ilvl w:val="0"/>
          <w:numId w:val="0"/>
        </w:numPr>
        <w:rPr>
          <w:rFonts w:hAnsi="黑体" w:cs="黑体"/>
          <w:bCs/>
          <w:color w:val="auto"/>
          <w:sz w:val="32"/>
          <w:szCs w:val="32"/>
          <w:highlight w:val="none"/>
          <w:shd w:val="clear" w:color="auto" w:fill="auto"/>
        </w:rPr>
      </w:pPr>
    </w:p>
    <w:p>
      <w:pPr>
        <w:rPr>
          <w:rFonts w:ascii="黑体" w:hAnsi="黑体" w:eastAsia="黑体" w:cs="黑体"/>
          <w:bCs/>
          <w:color w:val="auto"/>
          <w:sz w:val="32"/>
          <w:szCs w:val="32"/>
          <w:highlight w:val="none"/>
          <w:shd w:val="clear" w:color="auto" w:fill="auto"/>
        </w:rPr>
      </w:pPr>
    </w:p>
    <w:p>
      <w:pPr>
        <w:pStyle w:val="7"/>
        <w:numPr>
          <w:ilvl w:val="0"/>
          <w:numId w:val="0"/>
        </w:numPr>
        <w:rPr>
          <w:rFonts w:hAnsi="黑体" w:cs="黑体"/>
          <w:bCs/>
          <w:color w:val="auto"/>
          <w:sz w:val="32"/>
          <w:szCs w:val="32"/>
          <w:highlight w:val="none"/>
          <w:shd w:val="clear" w:color="auto" w:fill="auto"/>
        </w:rPr>
        <w:sectPr>
          <w:footerReference r:id="rId7" w:type="first"/>
          <w:footerReference r:id="rId6" w:type="default"/>
          <w:pgSz w:w="12240" w:h="15840"/>
          <w:pgMar w:top="1440" w:right="1800" w:bottom="1440" w:left="1800" w:header="851" w:footer="992" w:gutter="0"/>
          <w:pgNumType w:start="1"/>
          <w:cols w:space="720" w:num="1"/>
          <w:titlePg/>
          <w:docGrid w:linePitch="312" w:charSpace="0"/>
        </w:sectPr>
      </w:pPr>
    </w:p>
    <w:p>
      <w:pPr>
        <w:spacing w:line="560" w:lineRule="exact"/>
        <w:jc w:val="center"/>
        <w:outlineLvl w:val="0"/>
        <w:rPr>
          <w:rFonts w:ascii="宋体" w:hAnsi="宋体" w:eastAsia="黑体" w:cs="宋体"/>
          <w:b/>
          <w:color w:val="auto"/>
          <w:sz w:val="24"/>
          <w:szCs w:val="24"/>
          <w:highlight w:val="none"/>
          <w:shd w:val="clear" w:color="auto" w:fill="auto"/>
        </w:rPr>
      </w:pPr>
      <w:bookmarkStart w:id="0" w:name="_Toc12782"/>
      <w:bookmarkStart w:id="1" w:name="_Toc1076"/>
      <w:bookmarkStart w:id="2" w:name="_Toc27824"/>
      <w:r>
        <w:rPr>
          <w:rFonts w:hint="eastAsia" w:ascii="黑体" w:hAnsi="黑体" w:eastAsia="黑体" w:cs="黑体"/>
          <w:bCs/>
          <w:color w:val="auto"/>
          <w:sz w:val="32"/>
          <w:szCs w:val="32"/>
          <w:highlight w:val="none"/>
          <w:shd w:val="clear" w:color="auto" w:fill="auto"/>
        </w:rPr>
        <w:t xml:space="preserve">第一章 </w:t>
      </w:r>
      <w:bookmarkEnd w:id="0"/>
      <w:bookmarkEnd w:id="1"/>
      <w:r>
        <w:rPr>
          <w:rFonts w:hint="eastAsia" w:ascii="黑体" w:hAnsi="黑体" w:eastAsia="黑体" w:cs="黑体"/>
          <w:bCs/>
          <w:color w:val="auto"/>
          <w:sz w:val="32"/>
          <w:szCs w:val="32"/>
          <w:highlight w:val="none"/>
          <w:shd w:val="clear" w:color="auto" w:fill="auto"/>
        </w:rPr>
        <w:t>招标公告</w:t>
      </w:r>
    </w:p>
    <w:tbl>
      <w:tblPr>
        <w:tblStyle w:val="4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780" w:type="dxa"/>
          </w:tcPr>
          <w:p>
            <w:pPr>
              <w:spacing w:line="460" w:lineRule="exact"/>
              <w:rPr>
                <w:rFonts w:ascii="宋体" w:hAnsi="宋体"/>
                <w:bCs/>
                <w:color w:val="auto"/>
                <w:kern w:val="0"/>
                <w:sz w:val="24"/>
                <w:szCs w:val="20"/>
                <w:highlight w:val="none"/>
                <w:shd w:val="clear" w:color="auto" w:fill="auto"/>
              </w:rPr>
            </w:pPr>
            <w:r>
              <w:rPr>
                <w:rFonts w:hint="eastAsia" w:ascii="宋体" w:hAnsi="宋体"/>
                <w:bCs/>
                <w:color w:val="auto"/>
                <w:kern w:val="0"/>
                <w:sz w:val="24"/>
                <w:szCs w:val="20"/>
                <w:highlight w:val="none"/>
                <w:shd w:val="clear" w:color="auto" w:fill="auto"/>
              </w:rPr>
              <w:t xml:space="preserve">    项目概况</w:t>
            </w:r>
          </w:p>
          <w:p>
            <w:pPr>
              <w:spacing w:line="460" w:lineRule="exact"/>
              <w:ind w:firstLine="480" w:firstLineChars="200"/>
              <w:rPr>
                <w:rFonts w:ascii="宋体" w:hAnsi="宋体"/>
                <w:bCs/>
                <w:color w:val="auto"/>
                <w:kern w:val="0"/>
                <w:sz w:val="24"/>
                <w:szCs w:val="20"/>
                <w:highlight w:val="none"/>
                <w:shd w:val="clear" w:color="auto" w:fill="auto"/>
              </w:rPr>
            </w:pPr>
            <w:r>
              <w:rPr>
                <w:rFonts w:hint="eastAsia" w:cs="宋体"/>
                <w:color w:val="auto"/>
                <w:kern w:val="0"/>
                <w:sz w:val="24"/>
                <w:szCs w:val="24"/>
                <w:highlight w:val="none"/>
                <w:u w:val="single"/>
                <w:shd w:val="clear" w:color="auto" w:fill="auto"/>
              </w:rPr>
              <w:t>2023年度伊犁州重大动物疫病强制免疫用疫苗、常规动物疫病免疫用疫苗以及吡喹酮咀嚼片（犬驱虫药）采购项目</w:t>
            </w:r>
            <w:r>
              <w:rPr>
                <w:rFonts w:hint="eastAsia" w:cs="宋体"/>
                <w:color w:val="auto"/>
                <w:kern w:val="0"/>
                <w:sz w:val="24"/>
                <w:szCs w:val="24"/>
                <w:highlight w:val="none"/>
                <w:shd w:val="clear" w:color="auto" w:fill="auto"/>
              </w:rPr>
              <w:t>的潜在投标人应在</w:t>
            </w:r>
            <w:r>
              <w:rPr>
                <w:rFonts w:ascii="宋体" w:hAnsi="宋体"/>
                <w:bCs/>
                <w:color w:val="auto"/>
                <w:sz w:val="24"/>
                <w:szCs w:val="20"/>
                <w:highlight w:val="none"/>
                <w:shd w:val="clear" w:color="auto" w:fill="auto"/>
              </w:rPr>
              <w:t>政采云平台线上获取采购文件</w:t>
            </w:r>
            <w:r>
              <w:rPr>
                <w:rFonts w:hint="eastAsia" w:ascii="宋体" w:hAnsi="宋体" w:cs="宋体"/>
                <w:color w:val="auto"/>
                <w:kern w:val="0"/>
                <w:sz w:val="24"/>
                <w:szCs w:val="24"/>
                <w:highlight w:val="none"/>
                <w:shd w:val="clear" w:color="auto" w:fill="auto"/>
              </w:rPr>
              <w:t>，并于</w:t>
            </w:r>
            <w:r>
              <w:rPr>
                <w:rFonts w:hint="eastAsia" w:ascii="宋体" w:hAnsi="宋体" w:cs="宋体"/>
                <w:color w:val="auto"/>
                <w:kern w:val="0"/>
                <w:sz w:val="24"/>
                <w:szCs w:val="24"/>
                <w:highlight w:val="none"/>
                <w:u w:val="single"/>
                <w:shd w:val="clear" w:color="auto" w:fill="auto"/>
              </w:rPr>
              <w:t>2023年</w:t>
            </w:r>
            <w:r>
              <w:rPr>
                <w:rFonts w:hint="eastAsia" w:ascii="宋体" w:hAnsi="宋体" w:cs="宋体"/>
                <w:color w:val="auto"/>
                <w:kern w:val="0"/>
                <w:sz w:val="24"/>
                <w:szCs w:val="24"/>
                <w:highlight w:val="none"/>
                <w:u w:val="single"/>
                <w:shd w:val="clear" w:color="auto" w:fill="auto"/>
                <w:lang w:eastAsia="zh-CN"/>
              </w:rPr>
              <w:t>3月15日</w:t>
            </w:r>
            <w:r>
              <w:rPr>
                <w:rFonts w:hint="eastAsia" w:ascii="宋体" w:hAnsi="宋体" w:cs="宋体"/>
                <w:color w:val="auto"/>
                <w:kern w:val="0"/>
                <w:sz w:val="24"/>
                <w:szCs w:val="24"/>
                <w:highlight w:val="none"/>
                <w:u w:val="single"/>
                <w:shd w:val="clear" w:color="auto" w:fill="auto"/>
              </w:rPr>
              <w:t>10：30（北京时间）</w:t>
            </w:r>
            <w:r>
              <w:rPr>
                <w:rFonts w:hint="eastAsia" w:cs="宋体"/>
                <w:color w:val="auto"/>
                <w:kern w:val="0"/>
                <w:sz w:val="24"/>
                <w:szCs w:val="24"/>
                <w:highlight w:val="none"/>
                <w:shd w:val="clear" w:color="auto" w:fill="auto"/>
              </w:rPr>
              <w:t>前递交投标文件</w:t>
            </w:r>
            <w:r>
              <w:rPr>
                <w:rFonts w:hint="eastAsia" w:ascii="宋体" w:hAnsi="宋体"/>
                <w:bCs/>
                <w:color w:val="auto"/>
                <w:kern w:val="0"/>
                <w:sz w:val="24"/>
                <w:szCs w:val="20"/>
                <w:highlight w:val="none"/>
                <w:shd w:val="clear" w:color="auto" w:fill="auto"/>
              </w:rPr>
              <w:t>。</w:t>
            </w:r>
          </w:p>
        </w:tc>
      </w:tr>
    </w:tbl>
    <w:p>
      <w:pPr>
        <w:widowControl/>
        <w:spacing w:line="460" w:lineRule="exact"/>
        <w:ind w:firstLine="482" w:firstLineChars="200"/>
        <w:jc w:val="left"/>
        <w:outlineLvl w:val="0"/>
        <w:rPr>
          <w:rFonts w:ascii="宋体" w:hAnsi="宋体"/>
          <w:b/>
          <w:bCs/>
          <w:color w:val="auto"/>
          <w:kern w:val="0"/>
          <w:sz w:val="24"/>
          <w:highlight w:val="none"/>
          <w:shd w:val="clear" w:color="auto" w:fill="auto"/>
        </w:rPr>
      </w:pPr>
      <w:bookmarkStart w:id="3" w:name="_Toc18652"/>
      <w:r>
        <w:rPr>
          <w:rFonts w:hint="eastAsia" w:ascii="宋体" w:hAnsi="宋体"/>
          <w:b/>
          <w:bCs/>
          <w:color w:val="auto"/>
          <w:kern w:val="0"/>
          <w:sz w:val="24"/>
          <w:highlight w:val="none"/>
          <w:shd w:val="clear" w:color="auto" w:fill="auto"/>
        </w:rPr>
        <w:t>一、项目基本情况</w:t>
      </w:r>
      <w:bookmarkEnd w:id="3"/>
    </w:p>
    <w:p>
      <w:pPr>
        <w:widowControl/>
        <w:spacing w:line="460" w:lineRule="exact"/>
        <w:ind w:firstLine="480" w:firstLineChars="200"/>
        <w:jc w:val="left"/>
        <w:outlineLvl w:val="0"/>
        <w:rPr>
          <w:rFonts w:ascii="宋体" w:hAnsi="宋体"/>
          <w:b/>
          <w:bCs/>
          <w:color w:val="auto"/>
          <w:kern w:val="0"/>
          <w:sz w:val="24"/>
          <w:highlight w:val="none"/>
          <w:shd w:val="clear" w:color="auto" w:fill="auto"/>
        </w:rPr>
      </w:pPr>
      <w:r>
        <w:rPr>
          <w:rFonts w:hint="eastAsia" w:ascii="宋体" w:hAnsi="宋体"/>
          <w:bCs/>
          <w:color w:val="auto"/>
          <w:kern w:val="0"/>
          <w:sz w:val="24"/>
          <w:highlight w:val="none"/>
          <w:shd w:val="clear" w:color="auto" w:fill="auto"/>
        </w:rPr>
        <w:t>(1)项目编号：</w:t>
      </w:r>
      <w:r>
        <w:rPr>
          <w:rFonts w:hint="eastAsia" w:ascii="宋体" w:hAnsi="宋体" w:cs="Arial"/>
          <w:color w:val="auto"/>
          <w:kern w:val="0"/>
          <w:sz w:val="24"/>
          <w:szCs w:val="24"/>
          <w:highlight w:val="none"/>
          <w:shd w:val="clear" w:color="auto" w:fill="auto"/>
        </w:rPr>
        <w:t>XJXZYL-HW20230201</w:t>
      </w:r>
    </w:p>
    <w:p>
      <w:pPr>
        <w:widowControl/>
        <w:spacing w:line="460" w:lineRule="exact"/>
        <w:ind w:firstLine="480" w:firstLineChars="200"/>
        <w:jc w:val="left"/>
        <w:rPr>
          <w:rFonts w:ascii="宋体" w:hAnsi="宋体"/>
          <w:bCs/>
          <w:color w:val="auto"/>
          <w:spacing w:val="-4"/>
          <w:kern w:val="0"/>
          <w:sz w:val="24"/>
          <w:highlight w:val="none"/>
          <w:shd w:val="clear" w:color="auto" w:fill="auto"/>
        </w:rPr>
      </w:pPr>
      <w:r>
        <w:rPr>
          <w:rFonts w:hint="eastAsia" w:ascii="宋体" w:hAnsi="宋体"/>
          <w:bCs/>
          <w:color w:val="auto"/>
          <w:kern w:val="0"/>
          <w:sz w:val="24"/>
          <w:highlight w:val="none"/>
          <w:shd w:val="clear" w:color="auto" w:fill="auto"/>
        </w:rPr>
        <w:t>(2)</w:t>
      </w:r>
      <w:r>
        <w:rPr>
          <w:rFonts w:hint="eastAsia" w:ascii="宋体" w:hAnsi="宋体"/>
          <w:bCs/>
          <w:color w:val="auto"/>
          <w:spacing w:val="-4"/>
          <w:kern w:val="0"/>
          <w:sz w:val="24"/>
          <w:highlight w:val="none"/>
          <w:shd w:val="clear" w:color="auto" w:fill="auto"/>
        </w:rPr>
        <w:t>项目名称：2023年度伊犁州重大动物疫病强制免疫用疫苗、常规动物疫病免疫用疫苗以及吡喹酮咀嚼片（犬驱虫药）采购项目</w:t>
      </w:r>
    </w:p>
    <w:p>
      <w:pPr>
        <w:widowControl/>
        <w:spacing w:line="460" w:lineRule="exact"/>
        <w:ind w:firstLine="480" w:firstLineChars="200"/>
        <w:jc w:val="left"/>
        <w:rPr>
          <w:rFonts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(3)预算金额：1356.95</w:t>
      </w:r>
      <w:r>
        <w:rPr>
          <w:rFonts w:hint="eastAsia" w:ascii="宋体" w:hAnsi="宋体" w:cs="宋体"/>
          <w:bCs/>
          <w:color w:val="auto"/>
          <w:kern w:val="0"/>
          <w:sz w:val="24"/>
          <w:szCs w:val="24"/>
          <w:highlight w:val="none"/>
          <w:shd w:val="clear" w:color="auto" w:fill="auto"/>
        </w:rPr>
        <w:t>万元；</w:t>
      </w:r>
    </w:p>
    <w:p>
      <w:pPr>
        <w:widowControl/>
        <w:spacing w:line="460" w:lineRule="exact"/>
        <w:ind w:firstLine="480" w:firstLineChars="2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(4)采购需求：</w:t>
      </w:r>
    </w:p>
    <w:p>
      <w:pPr>
        <w:widowControl/>
        <w:spacing w:line="460" w:lineRule="exact"/>
        <w:ind w:firstLine="480" w:firstLineChars="200"/>
        <w:jc w:val="left"/>
        <w:rPr>
          <w:rFonts w:ascii="宋体" w:hAnsi="宋体" w:cs="宋体"/>
          <w:bCs/>
          <w:color w:val="auto"/>
          <w:spacing w:val="-4"/>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bidi="ar"/>
        </w:rPr>
        <w:t> </w:t>
      </w:r>
      <w:r>
        <w:rPr>
          <w:rFonts w:hint="eastAsia" w:ascii="宋体" w:hAnsi="宋体" w:cs="宋体"/>
          <w:bCs/>
          <w:color w:val="auto"/>
          <w:spacing w:val="-4"/>
          <w:sz w:val="24"/>
          <w:szCs w:val="24"/>
          <w:highlight w:val="none"/>
          <w:shd w:val="clear" w:color="auto" w:fill="auto"/>
        </w:rPr>
        <w:t>标项一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标项名称：2023年度伊犁州重大动物疫病强制免疫用疫苗、常规动物疫病免疫用疫苗以及吡喹酮咀嚼片（犬驱虫药）采购项目（一标段）   数量：</w:t>
      </w:r>
      <w:r>
        <w:rPr>
          <w:rFonts w:hint="eastAsia" w:ascii="宋体" w:hAnsi="宋体" w:cs="宋体"/>
          <w:bCs/>
          <w:color w:val="auto"/>
          <w:kern w:val="0"/>
          <w:sz w:val="24"/>
          <w:szCs w:val="24"/>
          <w:highlight w:val="none"/>
          <w:shd w:val="clear" w:color="auto" w:fill="auto"/>
        </w:rPr>
        <w:t>950万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预算金额（元）：4750000.00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毫升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简要规格描述：采购牛羊口蹄疫疫苗（具体内容详见招标文件）；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696" w:firstLineChars="3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标项二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标项名称：2023年度伊犁州重大动物疫病强制免疫用疫苗、常规动物疫病免疫用疫苗以及吡喹酮咀嚼片（犬驱虫药）采购项目（二标段）       数量：</w:t>
      </w:r>
      <w:r>
        <w:rPr>
          <w:rFonts w:hint="eastAsia" w:ascii="宋体" w:hAnsi="宋体" w:cs="宋体"/>
          <w:bCs/>
          <w:color w:val="auto"/>
          <w:kern w:val="0"/>
          <w:sz w:val="24"/>
          <w:szCs w:val="24"/>
          <w:highlight w:val="none"/>
          <w:shd w:val="clear" w:color="auto" w:fill="auto"/>
        </w:rPr>
        <w:t>200万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预算金额（元）：1000000.00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毫升</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简要规格描述：采购牛羊口蹄疫疫苗（具体内容详见招标文件）；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80" w:firstLineChars="200"/>
        <w:jc w:val="left"/>
        <w:rPr>
          <w:rFonts w:ascii="宋体" w:hAnsi="宋体" w:cs="宋体"/>
          <w:bCs/>
          <w:color w:val="auto"/>
          <w:spacing w:val="-4"/>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bidi="ar"/>
        </w:rPr>
        <w:t> </w:t>
      </w:r>
      <w:r>
        <w:rPr>
          <w:rFonts w:hint="eastAsia" w:ascii="宋体" w:hAnsi="宋体" w:cs="宋体"/>
          <w:bCs/>
          <w:color w:val="auto"/>
          <w:spacing w:val="-4"/>
          <w:sz w:val="24"/>
          <w:szCs w:val="24"/>
          <w:highlight w:val="none"/>
          <w:shd w:val="clear" w:color="auto" w:fill="auto"/>
        </w:rPr>
        <w:t>标项三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标项名称：2023年度伊犁州重大动物疫病强制免疫用疫苗、常规动物疫病免疫用疫苗以及吡喹酮咀嚼片（犬驱虫药）采购项目（三标段）   数量：</w:t>
      </w:r>
      <w:r>
        <w:rPr>
          <w:rFonts w:hint="eastAsia" w:ascii="宋体" w:hAnsi="宋体" w:cs="宋体"/>
          <w:bCs/>
          <w:color w:val="auto"/>
          <w:kern w:val="0"/>
          <w:sz w:val="24"/>
          <w:szCs w:val="24"/>
          <w:highlight w:val="none"/>
          <w:shd w:val="clear" w:color="auto" w:fill="auto"/>
        </w:rPr>
        <w:t>150万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预算金额（元）：750000.00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毫升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简要规格描述：采购口蹄疫O型、A型二价3B蛋白表位缺失灭活疫苗（具体内容详见招标文件）；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80" w:firstLineChars="200"/>
        <w:jc w:val="left"/>
        <w:rPr>
          <w:rFonts w:ascii="宋体" w:hAnsi="宋体" w:cs="宋体"/>
          <w:bCs/>
          <w:color w:val="auto"/>
          <w:spacing w:val="-4"/>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bidi="ar"/>
        </w:rPr>
        <w:t> </w:t>
      </w:r>
      <w:r>
        <w:rPr>
          <w:rFonts w:hint="eastAsia" w:ascii="宋体" w:hAnsi="宋体" w:cs="宋体"/>
          <w:bCs/>
          <w:color w:val="auto"/>
          <w:spacing w:val="-4"/>
          <w:sz w:val="24"/>
          <w:szCs w:val="24"/>
          <w:highlight w:val="none"/>
          <w:shd w:val="clear" w:color="auto" w:fill="auto"/>
        </w:rPr>
        <w:t>标项四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标项名称：2023年度伊犁州重大动物疫病强制免疫用疫苗、常规动物疫病免疫用疫苗以及吡喹酮咀嚼片（犬驱虫药）采购项目（四标段）   数量：</w:t>
      </w:r>
      <w:r>
        <w:rPr>
          <w:rFonts w:hint="eastAsia" w:ascii="宋体" w:hAnsi="宋体" w:cs="宋体"/>
          <w:bCs/>
          <w:color w:val="auto"/>
          <w:kern w:val="0"/>
          <w:sz w:val="24"/>
          <w:szCs w:val="24"/>
          <w:highlight w:val="none"/>
          <w:shd w:val="clear" w:color="auto" w:fill="auto"/>
        </w:rPr>
        <w:t>75万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预算金额（元）：667500.00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毫升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简要规格描述：采购猪口蹄疫合成肽疫苗（具体内容详见招标文件）；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80" w:firstLineChars="200"/>
        <w:jc w:val="left"/>
        <w:rPr>
          <w:rFonts w:ascii="宋体" w:hAnsi="宋体" w:cs="宋体"/>
          <w:bCs/>
          <w:color w:val="auto"/>
          <w:spacing w:val="-4"/>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bidi="ar"/>
        </w:rPr>
        <w:t> </w:t>
      </w:r>
      <w:r>
        <w:rPr>
          <w:rFonts w:hint="eastAsia" w:ascii="宋体" w:hAnsi="宋体" w:cs="宋体"/>
          <w:bCs/>
          <w:color w:val="auto"/>
          <w:spacing w:val="-4"/>
          <w:sz w:val="24"/>
          <w:szCs w:val="24"/>
          <w:highlight w:val="none"/>
          <w:shd w:val="clear" w:color="auto" w:fill="auto"/>
        </w:rPr>
        <w:t>标项五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标项名称：2023年度伊犁州重大动物疫病强制免疫用疫苗、常规动物疫病免疫用疫苗以及吡喹酮咀嚼片（犬驱虫药）采购项目（五标段）   数量：</w:t>
      </w:r>
      <w:r>
        <w:rPr>
          <w:rFonts w:hint="eastAsia" w:ascii="宋体" w:hAnsi="宋体" w:cs="宋体"/>
          <w:bCs/>
          <w:color w:val="auto"/>
          <w:kern w:val="0"/>
          <w:sz w:val="24"/>
          <w:szCs w:val="24"/>
          <w:highlight w:val="none"/>
          <w:shd w:val="clear" w:color="auto" w:fill="auto"/>
        </w:rPr>
        <w:t>950万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预算金额（元）：2185000.00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毫升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简要规格描述：采购禽流感疫苗（具体内容详见招标文件）；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80" w:firstLineChars="200"/>
        <w:jc w:val="left"/>
        <w:rPr>
          <w:rFonts w:ascii="宋体" w:hAnsi="宋体" w:cs="宋体"/>
          <w:bCs/>
          <w:color w:val="auto"/>
          <w:spacing w:val="-4"/>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bidi="ar"/>
        </w:rPr>
        <w:t> </w:t>
      </w:r>
      <w:r>
        <w:rPr>
          <w:rFonts w:hint="eastAsia" w:ascii="宋体" w:hAnsi="宋体" w:cs="宋体"/>
          <w:bCs/>
          <w:color w:val="auto"/>
          <w:spacing w:val="-4"/>
          <w:sz w:val="24"/>
          <w:szCs w:val="24"/>
          <w:highlight w:val="none"/>
          <w:shd w:val="clear" w:color="auto" w:fill="auto"/>
        </w:rPr>
        <w:t>标项六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标项名称：2023年度伊犁州重大动物疫病强制免疫用疫苗、常规动物疫病免疫用疫苗以及吡喹酮咀嚼片（犬驱虫药）采购项目（六标段）   数量：</w:t>
      </w:r>
      <w:r>
        <w:rPr>
          <w:rFonts w:hint="eastAsia" w:ascii="宋体" w:hAnsi="宋体" w:cs="宋体"/>
          <w:bCs/>
          <w:color w:val="auto"/>
          <w:kern w:val="0"/>
          <w:sz w:val="24"/>
          <w:szCs w:val="24"/>
          <w:highlight w:val="none"/>
          <w:shd w:val="clear" w:color="auto" w:fill="auto"/>
        </w:rPr>
        <w:t>41万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预算金额（元）：2870000.00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头份</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简要规格描述：采购牛布病A19疫苗（具体内容详见招标文件）；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标项七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标项名称：2023年度伊犁州重大动物疫病强制免疫用疫苗、常规动物疫病免疫用疫苗以及吡喹酮咀嚼片（犬驱虫药）采购项目（七标段）   数量：141万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预算金额（元）：282000.00</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单位：头份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简要规格描述：采购羊布病M5弱毒疫苗（具体内容详见招标文件）；</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标项八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标项名称：2023年度伊犁州重大动物疫病强制免疫用疫苗、常规动物疫病免疫用疫苗以及吡喹酮咀嚼片（犬驱虫药）采购项目（八标段）   数量：</w:t>
      </w:r>
      <w:r>
        <w:rPr>
          <w:rFonts w:hint="eastAsia" w:ascii="宋体" w:hAnsi="宋体" w:cs="宋体"/>
          <w:bCs/>
          <w:color w:val="auto"/>
          <w:kern w:val="0"/>
          <w:sz w:val="24"/>
          <w:szCs w:val="24"/>
          <w:highlight w:val="none"/>
          <w:shd w:val="clear" w:color="auto" w:fill="auto"/>
        </w:rPr>
        <w:t>800万</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预算金额（元）：320000.00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头份</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简要规格描述：采购山羊痘活疫苗（牛结节）（具体内容详见招标文件）；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696" w:firstLineChars="3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标项九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标项名称：2023年度伊犁州重大动物疫病强制免疫用疫苗、常规动物疫病免疫用疫苗以及吡喹酮咀嚼片（犬驱虫药）采购项目（九标段）   数量：</w:t>
      </w:r>
      <w:r>
        <w:rPr>
          <w:rFonts w:hint="eastAsia" w:ascii="宋体" w:hAnsi="宋体" w:cs="宋体"/>
          <w:bCs/>
          <w:color w:val="auto"/>
          <w:kern w:val="0"/>
          <w:sz w:val="24"/>
          <w:szCs w:val="24"/>
          <w:highlight w:val="none"/>
          <w:shd w:val="clear" w:color="auto" w:fill="auto"/>
        </w:rPr>
        <w:t>1</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预算金额（元）：745000.00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单位：</w:t>
      </w:r>
      <w:r>
        <w:rPr>
          <w:rFonts w:hint="eastAsia" w:ascii="宋体" w:hAnsi="宋体" w:cs="宋体"/>
          <w:bCs/>
          <w:color w:val="auto"/>
          <w:kern w:val="0"/>
          <w:sz w:val="24"/>
          <w:szCs w:val="24"/>
          <w:highlight w:val="none"/>
          <w:shd w:val="clear" w:color="auto" w:fill="auto"/>
        </w:rPr>
        <w:t>批</w:t>
      </w:r>
      <w:r>
        <w:rPr>
          <w:rFonts w:hint="eastAsia" w:ascii="宋体" w:hAnsi="宋体" w:cs="宋体"/>
          <w:bCs/>
          <w:color w:val="auto"/>
          <w:spacing w:val="-4"/>
          <w:sz w:val="24"/>
          <w:szCs w:val="24"/>
          <w:highlight w:val="none"/>
          <w:shd w:val="clear" w:color="auto" w:fill="auto"/>
        </w:rPr>
        <w:t>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   简要规格描述：采购羊三联四防灭活疫苗，无荚膜炭疽芽孢疫苗，气肿疽灭活疫苗，牛多杀性巴氏杆菌病灭活疫苗，山羊痘活疫苗（牛结节）（具体内容详见招标文件） </w:t>
      </w:r>
    </w:p>
    <w:p>
      <w:pPr>
        <w:widowControl/>
        <w:spacing w:line="460" w:lineRule="exact"/>
        <w:ind w:firstLine="464" w:firstLineChars="200"/>
        <w:jc w:val="left"/>
        <w:rPr>
          <w:color w:val="auto"/>
          <w:highlight w:val="none"/>
          <w:shd w:val="clear" w:color="auto" w:fill="auto"/>
        </w:rPr>
      </w:pPr>
      <w:r>
        <w:rPr>
          <w:rFonts w:hint="eastAsia" w:ascii="宋体" w:hAnsi="宋体" w:cs="宋体"/>
          <w:bCs/>
          <w:color w:val="auto"/>
          <w:spacing w:val="-4"/>
          <w:sz w:val="24"/>
          <w:szCs w:val="24"/>
          <w:highlight w:val="none"/>
          <w:shd w:val="clear" w:color="auto" w:fill="auto"/>
        </w:rPr>
        <w:t>   备注： </w:t>
      </w:r>
    </w:p>
    <w:p>
      <w:pPr>
        <w:widowControl/>
        <w:spacing w:line="460" w:lineRule="exact"/>
        <w:ind w:firstLine="464" w:firstLineChars="200"/>
        <w:jc w:val="left"/>
        <w:rPr>
          <w:rFonts w:ascii="宋体" w:hAnsi="宋体" w:cs="宋体"/>
          <w:bCs/>
          <w:color w:val="auto"/>
          <w:spacing w:val="-4"/>
          <w:sz w:val="24"/>
          <w:szCs w:val="24"/>
          <w:highlight w:val="none"/>
          <w:shd w:val="clear" w:color="auto" w:fill="auto"/>
        </w:rPr>
      </w:pPr>
      <w:r>
        <w:rPr>
          <w:rFonts w:hint="eastAsia" w:ascii="宋体" w:hAnsi="宋体" w:cs="宋体"/>
          <w:bCs/>
          <w:color w:val="auto"/>
          <w:spacing w:val="-4"/>
          <w:sz w:val="24"/>
          <w:szCs w:val="24"/>
          <w:highlight w:val="none"/>
          <w:shd w:val="clear" w:color="auto" w:fill="auto"/>
        </w:rPr>
        <w:t>（5）合同履约期限：合同签订后15日历日内交付使用（具体以采购人通知的时间为准）；   </w:t>
      </w:r>
    </w:p>
    <w:p>
      <w:pPr>
        <w:widowControl/>
        <w:spacing w:line="460" w:lineRule="exact"/>
        <w:ind w:firstLine="464" w:firstLineChars="200"/>
        <w:jc w:val="left"/>
        <w:rPr>
          <w:color w:val="auto"/>
          <w:highlight w:val="none"/>
          <w:shd w:val="clear" w:color="auto" w:fill="auto"/>
        </w:rPr>
      </w:pPr>
      <w:r>
        <w:rPr>
          <w:rFonts w:hint="eastAsia" w:ascii="宋体" w:hAnsi="宋体" w:cs="宋体"/>
          <w:bCs/>
          <w:color w:val="auto"/>
          <w:spacing w:val="-4"/>
          <w:sz w:val="24"/>
          <w:szCs w:val="24"/>
          <w:highlight w:val="none"/>
          <w:shd w:val="clear" w:color="auto" w:fill="auto"/>
        </w:rPr>
        <w:t>（6）本项目（否）接受联合体投标。  </w:t>
      </w:r>
    </w:p>
    <w:p>
      <w:pPr>
        <w:widowControl/>
        <w:spacing w:line="460" w:lineRule="exact"/>
        <w:ind w:firstLine="482" w:firstLineChars="200"/>
        <w:jc w:val="left"/>
        <w:outlineLvl w:val="0"/>
        <w:rPr>
          <w:rFonts w:ascii="宋体" w:hAnsi="宋体"/>
          <w:b/>
          <w:bCs/>
          <w:color w:val="auto"/>
          <w:kern w:val="0"/>
          <w:sz w:val="24"/>
          <w:highlight w:val="none"/>
          <w:shd w:val="clear" w:color="auto" w:fill="auto"/>
        </w:rPr>
      </w:pPr>
      <w:bookmarkStart w:id="4" w:name="_Toc8213"/>
      <w:r>
        <w:rPr>
          <w:rFonts w:hint="eastAsia" w:ascii="宋体" w:hAnsi="宋体"/>
          <w:b/>
          <w:bCs/>
          <w:color w:val="auto"/>
          <w:kern w:val="0"/>
          <w:sz w:val="24"/>
          <w:highlight w:val="none"/>
          <w:shd w:val="clear" w:color="auto" w:fill="auto"/>
        </w:rPr>
        <w:t>二、申请人的资格要求</w:t>
      </w:r>
      <w:bookmarkEnd w:id="4"/>
    </w:p>
    <w:p>
      <w:pPr>
        <w:widowControl/>
        <w:spacing w:line="460" w:lineRule="exact"/>
        <w:ind w:firstLine="480" w:firstLineChars="2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(1)符合《中华人民共和国政府采购法》第二十二条规定条件，并提供《中华人民共和国政府采购法实施条例》第十七条规定提供的证明材料；</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①具有独立承担民事责任的能力；</w:t>
      </w:r>
      <w:bookmarkStart w:id="104" w:name="_GoBack"/>
      <w:bookmarkEnd w:id="104"/>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②具有良好的商业信誉和健全的财务会计制度；</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③具有履行合同所必需的设备和专业技术能力；</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④有依法缴纳税收和社会保障资金的良好记录；</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⑤参加招标采购活动前三年内，在经营活动中没有重大违法记录；</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⑥法律、行政法规规定的其他条件。</w:t>
      </w:r>
    </w:p>
    <w:p>
      <w:pPr>
        <w:widowControl/>
        <w:spacing w:line="460" w:lineRule="exact"/>
        <w:ind w:firstLine="480" w:firstLineChars="2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(2)具有经年检合格且在有效期内的工商营业执照</w:t>
      </w:r>
      <w:r>
        <w:rPr>
          <w:rFonts w:ascii="宋体" w:hAnsi="宋体"/>
          <w:color w:val="auto"/>
          <w:kern w:val="0"/>
          <w:sz w:val="24"/>
          <w:highlight w:val="none"/>
          <w:shd w:val="clear" w:color="auto" w:fill="auto"/>
        </w:rPr>
        <w:t>（经营范围需符合本项目要求）</w:t>
      </w:r>
      <w:r>
        <w:rPr>
          <w:rFonts w:hint="eastAsia" w:ascii="宋体" w:hAnsi="宋体"/>
          <w:bCs/>
          <w:color w:val="auto"/>
          <w:kern w:val="0"/>
          <w:sz w:val="24"/>
          <w:highlight w:val="none"/>
          <w:shd w:val="clear" w:color="auto" w:fill="auto"/>
        </w:rPr>
        <w:t>；</w:t>
      </w:r>
    </w:p>
    <w:p>
      <w:pPr>
        <w:widowControl/>
        <w:spacing w:line="460" w:lineRule="exact"/>
        <w:ind w:firstLine="480" w:firstLineChars="2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(3)投标人</w:t>
      </w:r>
      <w:r>
        <w:rPr>
          <w:rFonts w:ascii="宋体" w:hAnsi="宋体"/>
          <w:bCs/>
          <w:color w:val="auto"/>
          <w:kern w:val="0"/>
          <w:sz w:val="24"/>
          <w:highlight w:val="none"/>
          <w:shd w:val="clear" w:color="auto" w:fill="auto"/>
        </w:rPr>
        <w:t>不得为“信用中国”网站（网址http://www.creditchina.gov.cn ）中列入失信被执行人和重大税收违法案件当事人名单的</w:t>
      </w:r>
      <w:r>
        <w:rPr>
          <w:rFonts w:hint="eastAsia" w:ascii="宋体" w:hAnsi="宋体"/>
          <w:bCs/>
          <w:color w:val="auto"/>
          <w:kern w:val="0"/>
          <w:sz w:val="24"/>
          <w:highlight w:val="none"/>
          <w:shd w:val="clear" w:color="auto" w:fill="auto"/>
        </w:rPr>
        <w:t>投标人</w:t>
      </w:r>
      <w:r>
        <w:rPr>
          <w:rFonts w:ascii="宋体" w:hAnsi="宋体"/>
          <w:bCs/>
          <w:color w:val="auto"/>
          <w:kern w:val="0"/>
          <w:sz w:val="24"/>
          <w:highlight w:val="none"/>
          <w:shd w:val="clear" w:color="auto" w:fill="auto"/>
        </w:rPr>
        <w:t>；不得为“国家企业信用信息公示系统”网站（网址http://www.gsxt.gov.cn/corp-query-homepage.html）列入严重违法失信企业名单（黑名单）的</w:t>
      </w:r>
      <w:r>
        <w:rPr>
          <w:rFonts w:hint="eastAsia" w:ascii="宋体" w:hAnsi="宋体"/>
          <w:bCs/>
          <w:color w:val="auto"/>
          <w:kern w:val="0"/>
          <w:sz w:val="24"/>
          <w:highlight w:val="none"/>
          <w:shd w:val="clear" w:color="auto" w:fill="auto"/>
        </w:rPr>
        <w:t>投标人</w:t>
      </w:r>
      <w:r>
        <w:rPr>
          <w:rFonts w:ascii="宋体" w:hAnsi="宋体"/>
          <w:bCs/>
          <w:color w:val="auto"/>
          <w:kern w:val="0"/>
          <w:sz w:val="24"/>
          <w:highlight w:val="none"/>
          <w:shd w:val="clear" w:color="auto" w:fill="auto"/>
        </w:rPr>
        <w:t>；不得为中国政府采购网（网址http://www.ccgp.gov.cn ）政府采购严重违法失信行为记录名单中被财政部门禁止参加政府采购活动的</w:t>
      </w:r>
      <w:r>
        <w:rPr>
          <w:rFonts w:hint="eastAsia" w:ascii="宋体" w:hAnsi="宋体"/>
          <w:bCs/>
          <w:color w:val="auto"/>
          <w:kern w:val="0"/>
          <w:sz w:val="24"/>
          <w:highlight w:val="none"/>
          <w:shd w:val="clear" w:color="auto" w:fill="auto"/>
        </w:rPr>
        <w:t>投标人</w:t>
      </w:r>
      <w:r>
        <w:rPr>
          <w:rFonts w:ascii="宋体" w:hAnsi="宋体"/>
          <w:bCs/>
          <w:color w:val="auto"/>
          <w:kern w:val="0"/>
          <w:sz w:val="24"/>
          <w:highlight w:val="none"/>
          <w:shd w:val="clear" w:color="auto" w:fill="auto"/>
        </w:rPr>
        <w:t>（处罚决定规定的时间和地域范围内），投标人及法定代表人不得</w:t>
      </w:r>
      <w:r>
        <w:rPr>
          <w:rFonts w:hint="eastAsia" w:ascii="宋体" w:hAnsi="宋体"/>
          <w:bCs/>
          <w:color w:val="auto"/>
          <w:kern w:val="0"/>
          <w:sz w:val="24"/>
          <w:highlight w:val="none"/>
          <w:shd w:val="clear" w:color="auto" w:fill="auto"/>
        </w:rPr>
        <w:t>存在行贿</w:t>
      </w:r>
      <w:r>
        <w:rPr>
          <w:rFonts w:ascii="宋体" w:hAnsi="宋体"/>
          <w:bCs/>
          <w:color w:val="auto"/>
          <w:kern w:val="0"/>
          <w:sz w:val="24"/>
          <w:highlight w:val="none"/>
          <w:shd w:val="clear" w:color="auto" w:fill="auto"/>
        </w:rPr>
        <w:t>犯罪记录行为</w:t>
      </w:r>
      <w:r>
        <w:rPr>
          <w:rFonts w:hint="eastAsia" w:ascii="宋体" w:hAnsi="宋体"/>
          <w:bCs/>
          <w:color w:val="auto"/>
          <w:kern w:val="0"/>
          <w:sz w:val="24"/>
          <w:highlight w:val="none"/>
          <w:shd w:val="clear" w:color="auto" w:fill="auto"/>
        </w:rPr>
        <w:t>，</w:t>
      </w:r>
      <w:r>
        <w:rPr>
          <w:rFonts w:ascii="宋体" w:hAnsi="宋体"/>
          <w:bCs/>
          <w:color w:val="auto"/>
          <w:kern w:val="0"/>
          <w:sz w:val="24"/>
          <w:highlight w:val="none"/>
          <w:shd w:val="clear" w:color="auto" w:fill="auto"/>
        </w:rPr>
        <w:t>须提供中国裁判文书网</w:t>
      </w:r>
      <w:r>
        <w:rPr>
          <w:rFonts w:hint="eastAsia" w:ascii="宋体" w:hAnsi="宋体"/>
          <w:bCs/>
          <w:color w:val="auto"/>
          <w:kern w:val="0"/>
          <w:sz w:val="24"/>
          <w:highlight w:val="none"/>
          <w:shd w:val="clear" w:color="auto" w:fill="auto"/>
        </w:rPr>
        <w:t>（</w:t>
      </w:r>
      <w:r>
        <w:rPr>
          <w:rFonts w:ascii="宋体" w:hAnsi="宋体"/>
          <w:bCs/>
          <w:color w:val="auto"/>
          <w:kern w:val="0"/>
          <w:sz w:val="24"/>
          <w:highlight w:val="none"/>
          <w:shd w:val="clear" w:color="auto" w:fill="auto"/>
        </w:rPr>
        <w:t>https://wenshu.court.gov.cn/</w:t>
      </w:r>
      <w:r>
        <w:rPr>
          <w:rFonts w:hint="eastAsia" w:ascii="宋体" w:hAnsi="宋体"/>
          <w:bCs/>
          <w:color w:val="auto"/>
          <w:kern w:val="0"/>
          <w:sz w:val="24"/>
          <w:highlight w:val="none"/>
          <w:shd w:val="clear" w:color="auto" w:fill="auto"/>
        </w:rPr>
        <w:t>）行贿</w:t>
      </w:r>
      <w:r>
        <w:rPr>
          <w:rFonts w:ascii="宋体" w:hAnsi="宋体"/>
          <w:bCs/>
          <w:color w:val="auto"/>
          <w:kern w:val="0"/>
          <w:sz w:val="24"/>
          <w:highlight w:val="none"/>
          <w:shd w:val="clear" w:color="auto" w:fill="auto"/>
        </w:rPr>
        <w:t>犯罪记录行为</w:t>
      </w:r>
      <w:r>
        <w:rPr>
          <w:rFonts w:hint="eastAsia" w:ascii="宋体" w:hAnsi="宋体"/>
          <w:bCs/>
          <w:color w:val="auto"/>
          <w:kern w:val="0"/>
          <w:sz w:val="24"/>
          <w:highlight w:val="none"/>
          <w:shd w:val="clear" w:color="auto" w:fill="auto"/>
        </w:rPr>
        <w:t>查询截图，</w:t>
      </w:r>
      <w:r>
        <w:rPr>
          <w:rFonts w:ascii="宋体" w:hAnsi="宋体"/>
          <w:bCs/>
          <w:color w:val="auto"/>
          <w:kern w:val="0"/>
          <w:sz w:val="24"/>
          <w:highlight w:val="none"/>
          <w:shd w:val="clear" w:color="auto" w:fill="auto"/>
        </w:rPr>
        <w:t>均须提供查询结果打印件（加盖企业公章）</w:t>
      </w:r>
      <w:r>
        <w:rPr>
          <w:rFonts w:hint="eastAsia" w:ascii="宋体" w:hAnsi="宋体"/>
          <w:bCs/>
          <w:color w:val="auto"/>
          <w:kern w:val="0"/>
          <w:sz w:val="24"/>
          <w:highlight w:val="none"/>
          <w:shd w:val="clear" w:color="auto" w:fill="auto"/>
        </w:rPr>
        <w:t>；</w:t>
      </w:r>
    </w:p>
    <w:p>
      <w:pPr>
        <w:widowControl/>
        <w:spacing w:line="460" w:lineRule="exact"/>
        <w:ind w:firstLine="480" w:firstLineChars="2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（4）</w:t>
      </w:r>
      <w:r>
        <w:rPr>
          <w:rFonts w:ascii="宋体" w:hAnsi="宋体"/>
          <w:bCs/>
          <w:color w:val="auto"/>
          <w:kern w:val="0"/>
          <w:sz w:val="24"/>
          <w:highlight w:val="none"/>
          <w:shd w:val="clear" w:color="auto" w:fill="auto"/>
        </w:rPr>
        <w:t>采购项目需要落实的政府采购政策</w:t>
      </w:r>
      <w:r>
        <w:rPr>
          <w:rFonts w:hint="eastAsia" w:ascii="宋体" w:hAnsi="宋体"/>
          <w:bCs/>
          <w:color w:val="auto"/>
          <w:kern w:val="0"/>
          <w:sz w:val="24"/>
          <w:highlight w:val="none"/>
          <w:shd w:val="clear" w:color="auto" w:fill="auto"/>
        </w:rPr>
        <w:t>：</w:t>
      </w:r>
      <w:r>
        <w:rPr>
          <w:rFonts w:hint="eastAsia" w:ascii="宋体" w:hAnsi="宋体" w:cs="宋体"/>
          <w:bCs/>
          <w:color w:val="auto"/>
          <w:kern w:val="0"/>
          <w:sz w:val="24"/>
          <w:highlight w:val="none"/>
          <w:shd w:val="clear" w:color="auto" w:fill="auto"/>
        </w:rPr>
        <w:t>供应商应为中小企业或小微企业或监狱企业或残疾人福利企业</w:t>
      </w:r>
      <w:r>
        <w:rPr>
          <w:rFonts w:ascii="宋体" w:hAnsi="宋体"/>
          <w:bCs/>
          <w:color w:val="auto"/>
          <w:kern w:val="0"/>
          <w:sz w:val="24"/>
          <w:highlight w:val="none"/>
          <w:shd w:val="clear" w:color="auto" w:fill="auto"/>
        </w:rPr>
        <w:t>。</w:t>
      </w:r>
    </w:p>
    <w:p>
      <w:pPr>
        <w:widowControl/>
        <w:spacing w:line="460" w:lineRule="exact"/>
        <w:ind w:firstLine="480" w:firstLineChars="200"/>
        <w:jc w:val="left"/>
        <w:rPr>
          <w:rFonts w:ascii="宋体" w:hAnsi="宋体"/>
          <w:bCs/>
          <w:color w:val="auto"/>
          <w:sz w:val="24"/>
          <w:highlight w:val="none"/>
          <w:shd w:val="clear" w:color="auto" w:fill="auto"/>
        </w:rPr>
      </w:pPr>
      <w:r>
        <w:rPr>
          <w:rFonts w:hint="eastAsia" w:ascii="宋体" w:hAnsi="宋体"/>
          <w:bCs/>
          <w:color w:val="auto"/>
          <w:sz w:val="24"/>
          <w:highlight w:val="none"/>
          <w:shd w:val="clear" w:color="auto" w:fill="auto"/>
        </w:rPr>
        <w:t>（5）</w:t>
      </w:r>
      <w:r>
        <w:rPr>
          <w:rFonts w:ascii="宋体" w:hAnsi="宋体"/>
          <w:bCs/>
          <w:color w:val="auto"/>
          <w:sz w:val="24"/>
          <w:highlight w:val="none"/>
          <w:shd w:val="clear" w:color="auto" w:fill="auto"/>
        </w:rPr>
        <w:t>本项目的特定资格要求：</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①投标人具有有效的《兽药经营许可证》或《兽药生产许可证》；</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②兽药产品批准文号；有效期内的兽药GMP证书；</w:t>
      </w:r>
    </w:p>
    <w:p>
      <w:pPr>
        <w:widowControl/>
        <w:spacing w:line="460" w:lineRule="exact"/>
        <w:ind w:firstLine="720" w:firstLineChars="300"/>
        <w:jc w:val="left"/>
        <w:rPr>
          <w:rFonts w:ascii="宋体" w:hAnsi="宋体"/>
          <w:bCs/>
          <w:color w:val="auto"/>
          <w:kern w:val="0"/>
          <w:sz w:val="24"/>
          <w:highlight w:val="none"/>
          <w:shd w:val="clear" w:color="auto" w:fill="auto"/>
        </w:rPr>
      </w:pPr>
      <w:r>
        <w:rPr>
          <w:rFonts w:hint="eastAsia" w:ascii="宋体" w:hAnsi="宋体"/>
          <w:bCs/>
          <w:color w:val="auto"/>
          <w:kern w:val="0"/>
          <w:sz w:val="24"/>
          <w:highlight w:val="none"/>
          <w:shd w:val="clear" w:color="auto" w:fill="auto"/>
        </w:rPr>
        <w:t>③供应商须在中国兽药信息网兽药产品登记；</w:t>
      </w:r>
    </w:p>
    <w:p>
      <w:pPr>
        <w:widowControl/>
        <w:spacing w:line="460" w:lineRule="exact"/>
        <w:ind w:firstLine="720" w:firstLineChars="300"/>
        <w:jc w:val="left"/>
        <w:rPr>
          <w:color w:val="auto"/>
          <w:highlight w:val="none"/>
          <w:shd w:val="clear" w:color="auto" w:fill="auto"/>
        </w:rPr>
      </w:pPr>
      <w:r>
        <w:rPr>
          <w:rFonts w:hint="eastAsia" w:ascii="宋体" w:hAnsi="宋体"/>
          <w:bCs/>
          <w:color w:val="auto"/>
          <w:kern w:val="0"/>
          <w:sz w:val="24"/>
          <w:highlight w:val="none"/>
          <w:shd w:val="clear" w:color="auto" w:fill="auto"/>
        </w:rPr>
        <w:t>④从未在新疆维吾尔自治区地州级范围内使用过的疫苗，须有小范围田间试验，并提供新疆维吾尔自治区或相关省份畜牧兽医主管部门出具的免疫效果检验评估报告；</w:t>
      </w:r>
      <w:bookmarkStart w:id="5" w:name="_Toc12882"/>
    </w:p>
    <w:p>
      <w:pPr>
        <w:widowControl/>
        <w:spacing w:line="460" w:lineRule="exact"/>
        <w:ind w:firstLine="482" w:firstLineChars="200"/>
        <w:jc w:val="left"/>
        <w:outlineLvl w:val="0"/>
        <w:rPr>
          <w:rFonts w:ascii="宋体" w:hAnsi="宋体"/>
          <w:b/>
          <w:bCs/>
          <w:color w:val="auto"/>
          <w:kern w:val="0"/>
          <w:sz w:val="24"/>
          <w:highlight w:val="none"/>
          <w:shd w:val="clear" w:color="auto" w:fill="auto"/>
        </w:rPr>
      </w:pPr>
      <w:r>
        <w:rPr>
          <w:rFonts w:hint="eastAsia" w:ascii="宋体" w:hAnsi="宋体"/>
          <w:b/>
          <w:bCs/>
          <w:color w:val="auto"/>
          <w:kern w:val="0"/>
          <w:sz w:val="24"/>
          <w:highlight w:val="none"/>
          <w:shd w:val="clear" w:color="auto" w:fill="auto"/>
        </w:rPr>
        <w:t>三、获取招标文件</w:t>
      </w:r>
      <w:bookmarkEnd w:id="5"/>
    </w:p>
    <w:p>
      <w:pPr>
        <w:widowControl/>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时间：2023年</w:t>
      </w:r>
      <w:r>
        <w:rPr>
          <w:rFonts w:hint="eastAsia" w:ascii="宋体" w:hAnsi="宋体"/>
          <w:color w:val="auto"/>
          <w:kern w:val="0"/>
          <w:sz w:val="24"/>
          <w:highlight w:val="none"/>
          <w:shd w:val="clear" w:color="auto" w:fill="auto"/>
          <w:lang w:eastAsia="zh-CN"/>
        </w:rPr>
        <w:t>2月23日</w:t>
      </w:r>
      <w:r>
        <w:rPr>
          <w:rFonts w:hint="eastAsia" w:ascii="宋体" w:hAnsi="宋体"/>
          <w:color w:val="auto"/>
          <w:kern w:val="0"/>
          <w:sz w:val="24"/>
          <w:highlight w:val="none"/>
          <w:shd w:val="clear" w:color="auto" w:fill="auto"/>
        </w:rPr>
        <w:t>起至2023年</w:t>
      </w:r>
      <w:r>
        <w:rPr>
          <w:rFonts w:hint="eastAsia" w:ascii="宋体" w:hAnsi="宋体"/>
          <w:color w:val="auto"/>
          <w:kern w:val="0"/>
          <w:sz w:val="24"/>
          <w:highlight w:val="none"/>
          <w:shd w:val="clear" w:color="auto" w:fill="auto"/>
          <w:lang w:eastAsia="zh-CN"/>
        </w:rPr>
        <w:t>3月2日</w:t>
      </w:r>
      <w:r>
        <w:rPr>
          <w:rFonts w:hint="eastAsia" w:ascii="宋体" w:hAnsi="宋体"/>
          <w:color w:val="auto"/>
          <w:kern w:val="0"/>
          <w:sz w:val="24"/>
          <w:highlight w:val="none"/>
          <w:shd w:val="clear" w:color="auto" w:fill="auto"/>
        </w:rPr>
        <w:t>，每日上午10:00-14:00时，下午15:30-19:30时（京时，下同；法定节假日除外）；</w:t>
      </w:r>
    </w:p>
    <w:p>
      <w:pPr>
        <w:spacing w:line="460" w:lineRule="exact"/>
        <w:ind w:firstLine="480" w:firstLineChars="200"/>
        <w:rPr>
          <w:rFonts w:ascii="宋体" w:hAnsi="宋体"/>
          <w:bCs/>
          <w:color w:val="auto"/>
          <w:sz w:val="24"/>
          <w:szCs w:val="20"/>
          <w:highlight w:val="none"/>
          <w:shd w:val="clear" w:color="auto" w:fill="auto"/>
        </w:rPr>
      </w:pPr>
      <w:r>
        <w:rPr>
          <w:rFonts w:hint="eastAsia" w:ascii="宋体" w:hAnsi="宋体"/>
          <w:color w:val="auto"/>
          <w:sz w:val="24"/>
          <w:highlight w:val="none"/>
          <w:shd w:val="clear" w:color="auto" w:fill="auto"/>
        </w:rPr>
        <w:t>地</w:t>
      </w:r>
      <w:r>
        <w:rPr>
          <w:rFonts w:hint="eastAsia" w:ascii="宋体" w:hAnsi="宋体"/>
          <w:bCs/>
          <w:color w:val="auto"/>
          <w:sz w:val="24"/>
          <w:szCs w:val="20"/>
          <w:highlight w:val="none"/>
          <w:shd w:val="clear" w:color="auto" w:fill="auto"/>
        </w:rPr>
        <w:t>点：新疆政采云平台线上获取；</w:t>
      </w:r>
    </w:p>
    <w:p>
      <w:pPr>
        <w:spacing w:line="460" w:lineRule="exact"/>
        <w:ind w:firstLine="480" w:firstLineChars="200"/>
        <w:rPr>
          <w:rFonts w:ascii="宋体" w:hAnsi="宋体"/>
          <w:bCs/>
          <w:color w:val="auto"/>
          <w:sz w:val="24"/>
          <w:szCs w:val="20"/>
          <w:highlight w:val="none"/>
          <w:shd w:val="clear" w:color="auto" w:fill="auto"/>
        </w:rPr>
      </w:pPr>
      <w:r>
        <w:rPr>
          <w:rFonts w:hint="eastAsia" w:ascii="宋体" w:hAnsi="宋体"/>
          <w:bCs/>
          <w:color w:val="auto"/>
          <w:sz w:val="24"/>
          <w:szCs w:val="20"/>
          <w:highlight w:val="none"/>
          <w:shd w:val="clear" w:color="auto" w:fill="auto"/>
        </w:rPr>
        <w:t xml:space="preserve">方式：供应商登陆政采云平台http://www.zcygov.cn/，在线申请获取采购文件（登录政府采购云平台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widowControl/>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sz w:val="24"/>
          <w:highlight w:val="none"/>
          <w:shd w:val="clear" w:color="auto" w:fill="auto"/>
        </w:rPr>
        <w:t>售价：0元/本；</w:t>
      </w:r>
      <w:r>
        <w:rPr>
          <w:rFonts w:hint="eastAsia" w:ascii="宋体" w:hAnsi="宋体"/>
          <w:color w:val="auto"/>
          <w:kern w:val="0"/>
          <w:sz w:val="24"/>
          <w:highlight w:val="none"/>
          <w:shd w:val="clear" w:color="auto" w:fill="auto"/>
        </w:rPr>
        <w:t xml:space="preserve"> </w:t>
      </w:r>
    </w:p>
    <w:p>
      <w:pPr>
        <w:widowControl/>
        <w:spacing w:line="460" w:lineRule="exact"/>
        <w:ind w:firstLine="482" w:firstLineChars="200"/>
        <w:jc w:val="left"/>
        <w:outlineLvl w:val="0"/>
        <w:rPr>
          <w:rFonts w:ascii="宋体" w:hAnsi="宋体"/>
          <w:b/>
          <w:bCs/>
          <w:color w:val="auto"/>
          <w:kern w:val="0"/>
          <w:sz w:val="24"/>
          <w:highlight w:val="none"/>
          <w:shd w:val="clear" w:color="auto" w:fill="auto"/>
        </w:rPr>
      </w:pPr>
      <w:bookmarkStart w:id="6" w:name="_Toc4111"/>
      <w:r>
        <w:rPr>
          <w:rFonts w:hint="eastAsia" w:ascii="宋体" w:hAnsi="宋体"/>
          <w:b/>
          <w:bCs/>
          <w:color w:val="auto"/>
          <w:kern w:val="0"/>
          <w:sz w:val="24"/>
          <w:highlight w:val="none"/>
          <w:shd w:val="clear" w:color="auto" w:fill="auto"/>
        </w:rPr>
        <w:t>四、提交投标文件截止时间、开标时间和地点</w:t>
      </w:r>
      <w:bookmarkEnd w:id="6"/>
    </w:p>
    <w:p>
      <w:pPr>
        <w:spacing w:line="440" w:lineRule="exact"/>
        <w:ind w:firstLine="480" w:firstLineChars="200"/>
        <w:rPr>
          <w:rFonts w:ascii="宋体" w:hAnsi="宋体"/>
          <w:color w:val="auto"/>
          <w:sz w:val="24"/>
          <w:highlight w:val="none"/>
          <w:shd w:val="clear" w:color="auto" w:fill="auto"/>
        </w:rPr>
      </w:pPr>
      <w:bookmarkStart w:id="7" w:name="_Toc25835"/>
      <w:r>
        <w:rPr>
          <w:rFonts w:ascii="宋体" w:hAnsi="宋体"/>
          <w:color w:val="auto"/>
          <w:sz w:val="24"/>
          <w:highlight w:val="none"/>
          <w:shd w:val="clear" w:color="auto" w:fill="auto"/>
        </w:rPr>
        <w:t>提交投标文件截止时间：</w:t>
      </w:r>
      <w:r>
        <w:rPr>
          <w:rFonts w:hint="eastAsia" w:ascii="宋体" w:hAnsi="宋体"/>
          <w:color w:val="auto"/>
          <w:kern w:val="0"/>
          <w:sz w:val="24"/>
          <w:highlight w:val="none"/>
          <w:shd w:val="clear" w:color="auto" w:fill="auto"/>
        </w:rPr>
        <w:t>2023年</w:t>
      </w:r>
      <w:r>
        <w:rPr>
          <w:rFonts w:hint="eastAsia" w:ascii="宋体" w:hAnsi="宋体"/>
          <w:color w:val="auto"/>
          <w:kern w:val="0"/>
          <w:sz w:val="24"/>
          <w:highlight w:val="none"/>
          <w:shd w:val="clear" w:color="auto" w:fill="auto"/>
          <w:lang w:eastAsia="zh-CN"/>
        </w:rPr>
        <w:t>3月15日</w:t>
      </w:r>
      <w:r>
        <w:rPr>
          <w:rFonts w:hint="eastAsia" w:ascii="宋体" w:hAnsi="宋体"/>
          <w:color w:val="auto"/>
          <w:kern w:val="0"/>
          <w:sz w:val="24"/>
          <w:highlight w:val="none"/>
          <w:shd w:val="clear" w:color="auto" w:fill="auto"/>
        </w:rPr>
        <w:t>10点30分（北京时间）</w:t>
      </w:r>
      <w:r>
        <w:rPr>
          <w:rFonts w:hint="eastAsia" w:ascii="宋体" w:hAnsi="宋体"/>
          <w:color w:val="auto"/>
          <w:sz w:val="24"/>
          <w:highlight w:val="none"/>
          <w:shd w:val="clear" w:color="auto" w:fill="auto"/>
        </w:rPr>
        <w:t>；</w:t>
      </w:r>
    </w:p>
    <w:p>
      <w:pPr>
        <w:spacing w:line="440" w:lineRule="exact"/>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投标地点：</w:t>
      </w:r>
      <w:r>
        <w:rPr>
          <w:rFonts w:hint="eastAsia" w:ascii="宋体" w:hAnsi="宋体"/>
          <w:bCs/>
          <w:color w:val="auto"/>
          <w:sz w:val="24"/>
          <w:szCs w:val="20"/>
          <w:highlight w:val="none"/>
          <w:shd w:val="clear" w:color="auto" w:fill="auto"/>
        </w:rPr>
        <w:t>政采云平台客户端投标；</w:t>
      </w:r>
    </w:p>
    <w:p>
      <w:pPr>
        <w:spacing w:line="440" w:lineRule="exact"/>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开标时间：202</w:t>
      </w:r>
      <w:r>
        <w:rPr>
          <w:rFonts w:hint="eastAsia" w:ascii="宋体" w:hAnsi="宋体"/>
          <w:color w:val="auto"/>
          <w:sz w:val="24"/>
          <w:highlight w:val="none"/>
          <w:shd w:val="clear" w:color="auto" w:fill="auto"/>
        </w:rPr>
        <w:t>3</w:t>
      </w:r>
      <w:r>
        <w:rPr>
          <w:rFonts w:ascii="宋体" w:hAnsi="宋体"/>
          <w:color w:val="auto"/>
          <w:sz w:val="24"/>
          <w:highlight w:val="none"/>
          <w:shd w:val="clear" w:color="auto" w:fill="auto"/>
        </w:rPr>
        <w:t>年</w:t>
      </w:r>
      <w:r>
        <w:rPr>
          <w:rFonts w:hint="eastAsia" w:ascii="宋体" w:hAnsi="宋体"/>
          <w:color w:val="auto"/>
          <w:kern w:val="0"/>
          <w:sz w:val="24"/>
          <w:highlight w:val="none"/>
          <w:shd w:val="clear" w:color="auto" w:fill="auto"/>
          <w:lang w:eastAsia="zh-CN"/>
        </w:rPr>
        <w:t>3月15日</w:t>
      </w:r>
      <w:r>
        <w:rPr>
          <w:rFonts w:hint="eastAsia" w:ascii="宋体" w:hAnsi="宋体"/>
          <w:color w:val="auto"/>
          <w:kern w:val="0"/>
          <w:sz w:val="24"/>
          <w:highlight w:val="none"/>
          <w:shd w:val="clear" w:color="auto" w:fill="auto"/>
        </w:rPr>
        <w:t>10点30分（北京时间）</w:t>
      </w:r>
      <w:r>
        <w:rPr>
          <w:rFonts w:hint="eastAsia" w:ascii="宋体" w:hAnsi="宋体"/>
          <w:color w:val="auto"/>
          <w:sz w:val="24"/>
          <w:highlight w:val="none"/>
          <w:shd w:val="clear" w:color="auto" w:fill="auto"/>
        </w:rPr>
        <w:t>；</w:t>
      </w:r>
    </w:p>
    <w:p>
      <w:pPr>
        <w:spacing w:line="440" w:lineRule="exact"/>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开标地点</w:t>
      </w:r>
      <w:r>
        <w:rPr>
          <w:rFonts w:hint="eastAsia" w:ascii="宋体" w:hAnsi="宋体"/>
          <w:bCs/>
          <w:color w:val="auto"/>
          <w:sz w:val="24"/>
          <w:szCs w:val="20"/>
          <w:highlight w:val="none"/>
          <w:shd w:val="clear" w:color="auto" w:fill="auto"/>
        </w:rPr>
        <w:t>：政采云电子开标大厅；</w:t>
      </w:r>
    </w:p>
    <w:p>
      <w:pPr>
        <w:widowControl/>
        <w:numPr>
          <w:ilvl w:val="0"/>
          <w:numId w:val="2"/>
        </w:numPr>
        <w:tabs>
          <w:tab w:val="left" w:pos="4980"/>
          <w:tab w:val="right" w:pos="8312"/>
        </w:tabs>
        <w:spacing w:line="460" w:lineRule="exact"/>
        <w:ind w:firstLine="482" w:firstLineChars="200"/>
        <w:jc w:val="left"/>
        <w:outlineLvl w:val="0"/>
        <w:rPr>
          <w:rFonts w:ascii="宋体" w:hAnsi="宋体"/>
          <w:b/>
          <w:bCs/>
          <w:color w:val="auto"/>
          <w:kern w:val="0"/>
          <w:sz w:val="24"/>
          <w:highlight w:val="none"/>
          <w:shd w:val="clear" w:color="auto" w:fill="auto"/>
        </w:rPr>
      </w:pPr>
      <w:r>
        <w:rPr>
          <w:rFonts w:hint="eastAsia" w:ascii="宋体" w:hAnsi="宋体"/>
          <w:b/>
          <w:bCs/>
          <w:color w:val="auto"/>
          <w:kern w:val="0"/>
          <w:sz w:val="24"/>
          <w:highlight w:val="none"/>
          <w:shd w:val="clear" w:color="auto" w:fill="auto"/>
        </w:rPr>
        <w:t>招标公告期限：</w:t>
      </w:r>
      <w:bookmarkEnd w:id="7"/>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color w:val="auto"/>
          <w:kern w:val="0"/>
          <w:sz w:val="24"/>
          <w:highlight w:val="none"/>
          <w:shd w:val="clear" w:color="auto" w:fill="auto"/>
        </w:rPr>
      </w:pPr>
      <w:bookmarkStart w:id="8" w:name="_Toc22988"/>
      <w:r>
        <w:rPr>
          <w:rFonts w:hint="eastAsia" w:ascii="宋体" w:hAnsi="宋体"/>
          <w:b/>
          <w:bCs/>
          <w:color w:val="auto"/>
          <w:kern w:val="0"/>
          <w:sz w:val="24"/>
          <w:highlight w:val="none"/>
          <w:shd w:val="clear" w:color="auto" w:fill="auto"/>
        </w:rPr>
        <w:t>六、其他补充事宜</w:t>
      </w:r>
      <w:bookmarkEnd w:id="8"/>
    </w:p>
    <w:p>
      <w:pPr>
        <w:spacing w:line="440" w:lineRule="exact"/>
        <w:ind w:firstLine="480" w:firstLineChars="200"/>
        <w:rPr>
          <w:rFonts w:ascii="宋体" w:hAnsi="宋体"/>
          <w:bCs/>
          <w:color w:val="auto"/>
          <w:sz w:val="24"/>
          <w:szCs w:val="20"/>
          <w:highlight w:val="none"/>
          <w:shd w:val="clear" w:color="auto" w:fill="auto"/>
        </w:rPr>
      </w:pPr>
      <w:bookmarkStart w:id="9" w:name="_Toc10170"/>
      <w:r>
        <w:rPr>
          <w:rFonts w:hint="eastAsia" w:ascii="宋体" w:hAnsi="宋体"/>
          <w:bCs/>
          <w:color w:val="auto"/>
          <w:sz w:val="24"/>
          <w:szCs w:val="20"/>
          <w:highlight w:val="none"/>
          <w:shd w:val="clear" w:color="auto" w:fill="auto"/>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spacing w:line="440" w:lineRule="exact"/>
        <w:ind w:firstLine="480" w:firstLineChars="200"/>
        <w:rPr>
          <w:rFonts w:ascii="宋体" w:hAnsi="宋体"/>
          <w:bCs/>
          <w:color w:val="auto"/>
          <w:sz w:val="24"/>
          <w:szCs w:val="20"/>
          <w:highlight w:val="none"/>
          <w:shd w:val="clear" w:color="auto" w:fill="auto"/>
        </w:rPr>
      </w:pPr>
      <w:r>
        <w:rPr>
          <w:rFonts w:hint="eastAsia" w:ascii="宋体" w:hAnsi="宋体"/>
          <w:bCs/>
          <w:color w:val="auto"/>
          <w:sz w:val="24"/>
          <w:szCs w:val="20"/>
          <w:highlight w:val="none"/>
          <w:shd w:val="clear" w:color="auto" w:fill="auto"/>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line="440" w:lineRule="exact"/>
        <w:ind w:firstLine="480" w:firstLineChars="200"/>
        <w:rPr>
          <w:rFonts w:ascii="宋体" w:hAnsi="宋体"/>
          <w:bCs/>
          <w:color w:val="auto"/>
          <w:sz w:val="24"/>
          <w:szCs w:val="20"/>
          <w:highlight w:val="none"/>
          <w:shd w:val="clear" w:color="auto" w:fill="auto"/>
        </w:rPr>
      </w:pPr>
      <w:r>
        <w:rPr>
          <w:rFonts w:hint="eastAsia" w:ascii="宋体" w:hAnsi="宋体"/>
          <w:bCs/>
          <w:color w:val="auto"/>
          <w:sz w:val="24"/>
          <w:szCs w:val="20"/>
          <w:highlight w:val="none"/>
          <w:shd w:val="clear" w:color="auto" w:fill="auto"/>
        </w:rPr>
        <w:t>3、供应商应当在投标截止时间前，将“电子招投标供应商客户端”生成的“电子加密投标文件”上传电子交易平台。</w:t>
      </w:r>
    </w:p>
    <w:p>
      <w:pPr>
        <w:spacing w:line="440" w:lineRule="exact"/>
        <w:ind w:firstLine="480" w:firstLineChars="200"/>
        <w:rPr>
          <w:rFonts w:ascii="宋体" w:hAnsi="宋体"/>
          <w:bCs/>
          <w:color w:val="auto"/>
          <w:sz w:val="24"/>
          <w:szCs w:val="20"/>
          <w:highlight w:val="none"/>
          <w:shd w:val="clear" w:color="auto" w:fill="auto"/>
        </w:rPr>
      </w:pPr>
      <w:r>
        <w:rPr>
          <w:rFonts w:hint="eastAsia" w:ascii="宋体" w:hAnsi="宋体"/>
          <w:bCs/>
          <w:color w:val="auto"/>
          <w:sz w:val="24"/>
          <w:szCs w:val="20"/>
          <w:highlight w:val="none"/>
          <w:shd w:val="clear" w:color="auto" w:fill="auto"/>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w:t>
      </w:r>
    </w:p>
    <w:p>
      <w:pPr>
        <w:widowControl/>
        <w:tabs>
          <w:tab w:val="left" w:pos="4980"/>
          <w:tab w:val="right" w:pos="8312"/>
        </w:tabs>
        <w:spacing w:line="460" w:lineRule="exact"/>
        <w:ind w:firstLine="414" w:firstLineChars="200"/>
        <w:jc w:val="left"/>
        <w:outlineLvl w:val="0"/>
        <w:rPr>
          <w:rFonts w:ascii="宋体" w:hAnsi="宋体"/>
          <w:b/>
          <w:bCs/>
          <w:color w:val="auto"/>
          <w:kern w:val="0"/>
          <w:sz w:val="24"/>
          <w:highlight w:val="none"/>
          <w:shd w:val="clear" w:color="auto" w:fill="auto"/>
        </w:rPr>
      </w:pPr>
      <w:r>
        <w:rPr>
          <w:rFonts w:hint="eastAsia" w:ascii="宋体" w:hAnsi="宋体"/>
          <w:b/>
          <w:bCs/>
          <w:color w:val="auto"/>
          <w:spacing w:val="-17"/>
          <w:kern w:val="0"/>
          <w:sz w:val="24"/>
          <w:szCs w:val="24"/>
          <w:highlight w:val="none"/>
          <w:shd w:val="clear" w:color="auto" w:fill="auto"/>
        </w:rPr>
        <w:t>七、</w:t>
      </w:r>
      <w:r>
        <w:rPr>
          <w:rFonts w:hint="eastAsia" w:ascii="宋体" w:hAnsi="宋体"/>
          <w:b/>
          <w:bCs/>
          <w:color w:val="auto"/>
          <w:kern w:val="0"/>
          <w:sz w:val="24"/>
          <w:szCs w:val="24"/>
          <w:highlight w:val="none"/>
          <w:shd w:val="clear" w:color="auto" w:fill="auto"/>
        </w:rPr>
        <w:t>联系方式：</w:t>
      </w:r>
      <w:bookmarkEnd w:id="9"/>
    </w:p>
    <w:p>
      <w:pPr>
        <w:widowControl/>
        <w:spacing w:line="460" w:lineRule="exact"/>
        <w:ind w:firstLine="480" w:firstLineChars="200"/>
        <w:jc w:val="left"/>
        <w:outlineLvl w:val="1"/>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1.采购人信息：</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名 称：伊犁哈萨克自治州动物疾病控制与诊断中心</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地 址：新疆伊宁市胜利街</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联系人：王鹏    联系电话：13369995355</w:t>
      </w:r>
    </w:p>
    <w:p>
      <w:pPr>
        <w:widowControl/>
        <w:spacing w:line="460" w:lineRule="exact"/>
        <w:ind w:firstLine="480" w:firstLineChars="200"/>
        <w:jc w:val="left"/>
        <w:outlineLvl w:val="1"/>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2.采购代理机构信息</w:t>
      </w:r>
    </w:p>
    <w:p>
      <w:pPr>
        <w:widowControl/>
        <w:spacing w:line="460" w:lineRule="exact"/>
        <w:ind w:firstLine="480" w:firstLineChars="200"/>
        <w:jc w:val="left"/>
        <w:rPr>
          <w:rFonts w:ascii="宋体" w:hAnsi="宋体"/>
          <w:color w:val="auto"/>
          <w:spacing w:val="-17"/>
          <w:kern w:val="0"/>
          <w:sz w:val="24"/>
          <w:highlight w:val="none"/>
          <w:shd w:val="clear" w:color="auto" w:fill="auto"/>
        </w:rPr>
      </w:pPr>
      <w:r>
        <w:rPr>
          <w:rFonts w:hint="eastAsia" w:ascii="宋体" w:hAnsi="宋体"/>
          <w:color w:val="auto"/>
          <w:kern w:val="0"/>
          <w:sz w:val="24"/>
          <w:highlight w:val="none"/>
          <w:shd w:val="clear" w:color="auto" w:fill="auto"/>
        </w:rPr>
        <w:t>名    称： 新疆新招工程项目咨询管理有限公司</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地    址： 新疆伊宁市开发区如意街新房大厦4楼</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bCs/>
          <w:color w:val="auto"/>
          <w:kern w:val="0"/>
          <w:sz w:val="24"/>
          <w:highlight w:val="none"/>
          <w:shd w:val="clear" w:color="auto" w:fill="auto"/>
        </w:rPr>
        <w:t>项目联系人：王少伟</w:t>
      </w:r>
    </w:p>
    <w:p>
      <w:pPr>
        <w:widowControl/>
        <w:tabs>
          <w:tab w:val="left" w:pos="4980"/>
          <w:tab w:val="right" w:pos="8312"/>
        </w:tabs>
        <w:spacing w:line="460" w:lineRule="exact"/>
        <w:ind w:firstLine="480" w:firstLineChars="200"/>
        <w:jc w:val="lef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联系方式： 15509992621</w:t>
      </w:r>
    </w:p>
    <w:p>
      <w:pPr>
        <w:widowControl/>
        <w:spacing w:line="460" w:lineRule="exact"/>
        <w:ind w:firstLine="480" w:firstLineChars="200"/>
        <w:jc w:val="righ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 xml:space="preserve">                </w:t>
      </w:r>
    </w:p>
    <w:p>
      <w:pPr>
        <w:widowControl/>
        <w:spacing w:line="460" w:lineRule="exact"/>
        <w:ind w:firstLine="480" w:firstLineChars="200"/>
        <w:jc w:val="righ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 xml:space="preserve">     </w:t>
      </w:r>
      <w:r>
        <w:rPr>
          <w:rFonts w:hint="eastAsia"/>
          <w:bCs/>
          <w:color w:val="auto"/>
          <w:kern w:val="0"/>
          <w:sz w:val="24"/>
          <w:highlight w:val="none"/>
          <w:shd w:val="clear" w:color="auto" w:fill="auto"/>
        </w:rPr>
        <w:t xml:space="preserve">  </w:t>
      </w:r>
      <w:r>
        <w:rPr>
          <w:rFonts w:hint="eastAsia" w:ascii="宋体" w:hAnsi="宋体"/>
          <w:color w:val="auto"/>
          <w:kern w:val="0"/>
          <w:sz w:val="24"/>
          <w:highlight w:val="none"/>
          <w:shd w:val="clear" w:color="auto" w:fill="auto"/>
        </w:rPr>
        <w:t xml:space="preserve">新疆新招工程项目咨询管理有限公司    </w:t>
      </w:r>
      <w:r>
        <w:rPr>
          <w:rFonts w:hint="eastAsia"/>
          <w:bCs/>
          <w:color w:val="auto"/>
          <w:kern w:val="0"/>
          <w:sz w:val="24"/>
          <w:highlight w:val="none"/>
          <w:shd w:val="clear" w:color="auto" w:fill="auto"/>
        </w:rPr>
        <w:t xml:space="preserve">          </w:t>
      </w:r>
      <w:r>
        <w:rPr>
          <w:rFonts w:hint="eastAsia" w:ascii="宋体" w:hAnsi="宋体"/>
          <w:color w:val="auto"/>
          <w:kern w:val="0"/>
          <w:sz w:val="24"/>
          <w:highlight w:val="none"/>
          <w:shd w:val="clear" w:color="auto" w:fill="auto"/>
        </w:rPr>
        <w:t xml:space="preserve">                              </w:t>
      </w:r>
    </w:p>
    <w:p>
      <w:pPr>
        <w:pStyle w:val="16"/>
        <w:rPr>
          <w:rFonts w:ascii="宋体" w:hAnsi="宋体"/>
          <w:color w:val="auto"/>
          <w:kern w:val="0"/>
          <w:sz w:val="24"/>
          <w:highlight w:val="none"/>
          <w:shd w:val="clear" w:color="auto" w:fill="auto"/>
        </w:rPr>
      </w:pPr>
      <w:r>
        <w:rPr>
          <w:rFonts w:hint="eastAsia"/>
          <w:bCs/>
          <w:color w:val="auto"/>
          <w:kern w:val="0"/>
          <w:sz w:val="24"/>
          <w:highlight w:val="none"/>
          <w:shd w:val="clear" w:color="auto" w:fill="auto"/>
        </w:rPr>
        <w:t xml:space="preserve">                                                         </w:t>
      </w:r>
      <w:r>
        <w:rPr>
          <w:rFonts w:hint="eastAsia" w:ascii="宋体" w:hAnsi="宋体"/>
          <w:color w:val="auto"/>
          <w:kern w:val="0"/>
          <w:sz w:val="24"/>
          <w:highlight w:val="none"/>
          <w:shd w:val="clear" w:color="auto" w:fill="auto"/>
        </w:rPr>
        <w:t xml:space="preserve"> </w:t>
      </w:r>
      <w:bookmarkStart w:id="10" w:name="_Toc25453"/>
      <w:r>
        <w:rPr>
          <w:rFonts w:hint="eastAsia" w:ascii="宋体" w:hAnsi="宋体"/>
          <w:color w:val="auto"/>
          <w:kern w:val="0"/>
          <w:sz w:val="24"/>
          <w:highlight w:val="none"/>
          <w:shd w:val="clear" w:color="auto" w:fill="auto"/>
        </w:rPr>
        <w:t>2023年2月20日</w:t>
      </w:r>
      <w:bookmarkEnd w:id="10"/>
    </w:p>
    <w:p>
      <w:pPr>
        <w:spacing w:line="560" w:lineRule="exact"/>
        <w:jc w:val="center"/>
        <w:outlineLvl w:val="0"/>
        <w:rPr>
          <w:rFonts w:ascii="黑体" w:hAnsi="黑体" w:eastAsia="黑体" w:cs="黑体"/>
          <w:bCs/>
          <w:color w:val="auto"/>
          <w:sz w:val="32"/>
          <w:szCs w:val="32"/>
          <w:highlight w:val="none"/>
          <w:shd w:val="clear" w:color="auto" w:fill="auto"/>
        </w:rPr>
      </w:pPr>
    </w:p>
    <w:p>
      <w:pPr>
        <w:pStyle w:val="2"/>
        <w:rPr>
          <w:rFonts w:ascii="黑体" w:hAnsi="黑体" w:cs="黑体"/>
          <w:bCs/>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p>
      <w:pPr>
        <w:pStyle w:val="3"/>
        <w:rPr>
          <w:rFonts w:ascii="黑体" w:hAnsi="黑体" w:eastAsia="黑体" w:cs="黑体"/>
          <w:color w:val="auto"/>
          <w:sz w:val="32"/>
          <w:szCs w:val="32"/>
          <w:highlight w:val="none"/>
          <w:shd w:val="clear" w:color="auto" w:fill="auto"/>
        </w:rPr>
      </w:pPr>
    </w:p>
    <w:bookmarkEnd w:id="2"/>
    <w:p>
      <w:pPr>
        <w:pStyle w:val="3"/>
        <w:spacing w:line="560" w:lineRule="exact"/>
        <w:jc w:val="center"/>
        <w:rPr>
          <w:rFonts w:ascii="黑体" w:hAnsi="黑体" w:eastAsia="黑体" w:cs="黑体"/>
          <w:b w:val="0"/>
          <w:color w:val="auto"/>
          <w:sz w:val="32"/>
          <w:szCs w:val="32"/>
          <w:highlight w:val="none"/>
          <w:shd w:val="clear" w:color="auto" w:fill="auto"/>
        </w:rPr>
      </w:pPr>
      <w:r>
        <w:rPr>
          <w:rFonts w:hint="eastAsia" w:ascii="黑体" w:hAnsi="黑体" w:eastAsia="黑体" w:cs="黑体"/>
          <w:b w:val="0"/>
          <w:color w:val="auto"/>
          <w:sz w:val="32"/>
          <w:szCs w:val="32"/>
          <w:highlight w:val="none"/>
          <w:shd w:val="clear" w:color="auto" w:fill="auto"/>
        </w:rPr>
        <w:t>第二章 投标人须知前附表</w:t>
      </w:r>
    </w:p>
    <w:tbl>
      <w:tblPr>
        <w:tblStyle w:val="21"/>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648"/>
        <w:gridCol w:w="1531"/>
        <w:gridCol w:w="7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6" w:hRule="atLeast"/>
          <w:jc w:val="center"/>
        </w:trPr>
        <w:tc>
          <w:tcPr>
            <w:tcW w:w="648" w:type="dxa"/>
            <w:vAlign w:val="center"/>
          </w:tcPr>
          <w:p>
            <w:pPr>
              <w:spacing w:line="440" w:lineRule="exact"/>
              <w:jc w:val="center"/>
              <w:rPr>
                <w:rFonts w:ascii="宋体" w:hAnsi="宋体"/>
                <w:b/>
                <w:color w:val="auto"/>
                <w:kern w:val="0"/>
                <w:szCs w:val="21"/>
                <w:highlight w:val="none"/>
                <w:shd w:val="clear" w:color="auto" w:fill="auto"/>
              </w:rPr>
            </w:pPr>
            <w:r>
              <w:rPr>
                <w:rFonts w:hint="eastAsia" w:ascii="宋体" w:hAnsi="宋体"/>
                <w:b/>
                <w:color w:val="auto"/>
                <w:kern w:val="0"/>
                <w:szCs w:val="21"/>
                <w:highlight w:val="none"/>
                <w:shd w:val="clear" w:color="auto" w:fill="auto"/>
              </w:rPr>
              <w:t>项号</w:t>
            </w:r>
          </w:p>
        </w:tc>
        <w:tc>
          <w:tcPr>
            <w:tcW w:w="9211" w:type="dxa"/>
            <w:gridSpan w:val="2"/>
            <w:vAlign w:val="center"/>
          </w:tcPr>
          <w:p>
            <w:pPr>
              <w:spacing w:line="440" w:lineRule="exact"/>
              <w:jc w:val="center"/>
              <w:rPr>
                <w:rFonts w:ascii="宋体" w:hAnsi="宋体"/>
                <w:b/>
                <w:color w:val="auto"/>
                <w:kern w:val="0"/>
                <w:szCs w:val="21"/>
                <w:highlight w:val="none"/>
                <w:shd w:val="clear" w:color="auto" w:fill="auto"/>
              </w:rPr>
            </w:pPr>
            <w:r>
              <w:rPr>
                <w:rFonts w:hint="eastAsia" w:ascii="宋体" w:hAnsi="宋体"/>
                <w:b/>
                <w:color w:val="auto"/>
                <w:kern w:val="0"/>
                <w:szCs w:val="21"/>
                <w:highlight w:val="none"/>
                <w:shd w:val="clear" w:color="auto" w:fill="auto"/>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采购人</w:t>
            </w:r>
          </w:p>
        </w:tc>
        <w:tc>
          <w:tcPr>
            <w:tcW w:w="7680" w:type="dxa"/>
            <w:vAlign w:val="center"/>
          </w:tcPr>
          <w:p>
            <w:pPr>
              <w:keepNext/>
              <w:widowControl/>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采购人名称：伊犁哈萨克自治州动物疾病控制与诊断中心</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r>
              <w:rPr>
                <w:rFonts w:hint="eastAsia" w:ascii="宋体" w:hAnsi="宋体" w:eastAsia="宋体" w:cs="宋体"/>
                <w:color w:val="auto"/>
                <w:sz w:val="21"/>
                <w:szCs w:val="21"/>
                <w:highlight w:val="none"/>
                <w:shd w:val="clear" w:color="auto" w:fill="auto"/>
              </w:rPr>
              <w:t>新疆伊宁市胜利街</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联系人：</w:t>
            </w:r>
            <w:r>
              <w:rPr>
                <w:rFonts w:hint="eastAsia" w:ascii="宋体" w:hAnsi="宋体" w:eastAsia="宋体" w:cs="宋体"/>
                <w:color w:val="auto"/>
                <w:sz w:val="21"/>
                <w:szCs w:val="21"/>
                <w:highlight w:val="none"/>
                <w:shd w:val="clear" w:color="auto" w:fill="auto"/>
              </w:rPr>
              <w:t>王鹏</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w:t>
            </w:r>
            <w:r>
              <w:rPr>
                <w:rFonts w:hint="eastAsia" w:ascii="宋体" w:hAnsi="宋体" w:eastAsia="宋体"/>
                <w:color w:val="auto"/>
                <w:kern w:val="0"/>
                <w:sz w:val="21"/>
                <w:szCs w:val="21"/>
                <w:highlight w:val="none"/>
                <w:shd w:val="clear" w:color="auto" w:fill="auto"/>
              </w:rPr>
              <w:t>13369995355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采购代理机构</w:t>
            </w:r>
          </w:p>
        </w:tc>
        <w:tc>
          <w:tcPr>
            <w:tcW w:w="7680" w:type="dxa"/>
            <w:vAlign w:val="center"/>
          </w:tcPr>
          <w:p>
            <w:pPr>
              <w:keepNext/>
              <w:widowControl/>
              <w:jc w:val="lef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采购代理机构：新疆新招工程项目咨询管理有限公司</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地址：新疆伊宁市开发区如意街新房大厦4楼</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联系人：宋红杰、王少伟</w:t>
            </w:r>
          </w:p>
          <w:p>
            <w:pPr>
              <w:pStyle w:val="7"/>
              <w:numPr>
                <w:ilvl w:val="0"/>
                <w:numId w:val="0"/>
              </w:numP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联系电话：15509992621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2</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项 目 名 称</w:t>
            </w:r>
          </w:p>
        </w:tc>
        <w:tc>
          <w:tcPr>
            <w:tcW w:w="7680" w:type="dxa"/>
            <w:vAlign w:val="center"/>
          </w:tcPr>
          <w:p>
            <w:pPr>
              <w:keepNext/>
              <w:widowControl/>
              <w:rPr>
                <w:rFonts w:ascii="宋体" w:hAnsi="宋体" w:cs="Arial"/>
                <w:b/>
                <w:bCs/>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2023年度伊犁州重大动物疫病强制免疫用疫苗、常规动物疫病免疫用疫苗以及吡喹酮咀嚼片（犬驱虫药）采购项目（一标段）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项目编号</w:t>
            </w:r>
          </w:p>
        </w:tc>
        <w:tc>
          <w:tcPr>
            <w:tcW w:w="7680" w:type="dxa"/>
            <w:vAlign w:val="center"/>
          </w:tcPr>
          <w:p>
            <w:pPr>
              <w:keepNext/>
              <w:widowControl/>
              <w:jc w:val="left"/>
              <w:rPr>
                <w:rFonts w:ascii="宋体" w:hAnsi="宋体" w:cs="Arial"/>
                <w:b/>
                <w:bCs/>
                <w:color w:val="auto"/>
                <w:kern w:val="0"/>
                <w:szCs w:val="21"/>
                <w:highlight w:val="none"/>
                <w:shd w:val="clear" w:color="auto" w:fill="auto"/>
              </w:rPr>
            </w:pPr>
            <w:r>
              <w:rPr>
                <w:rFonts w:hint="eastAsia" w:ascii="宋体" w:hAnsi="宋体" w:cs="宋体"/>
                <w:color w:val="auto"/>
                <w:kern w:val="0"/>
                <w:szCs w:val="21"/>
                <w:highlight w:val="none"/>
                <w:shd w:val="clear" w:color="auto" w:fill="auto"/>
              </w:rPr>
              <w:t>XJXZYL-HW20230201-01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项目地点</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新疆维吾尔自治区伊犁哈萨克自治州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交货地点</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中标企业通过冷链运输疫苗送达至采购人指定地点</w:t>
            </w:r>
          </w:p>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伊犁哈萨克自治州动物疾病控制与诊断中心</w:t>
            </w:r>
            <w:r>
              <w:rPr>
                <w:rFonts w:hint="eastAsia" w:ascii="宋体" w:hAnsi="宋体" w:cs="宋体"/>
                <w:color w:val="auto"/>
                <w:kern w:val="0"/>
                <w:szCs w:val="21"/>
                <w:highlight w:val="none"/>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供货时间</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bCs/>
                <w:color w:val="auto"/>
                <w:kern w:val="0"/>
                <w:szCs w:val="21"/>
                <w:highlight w:val="none"/>
                <w:shd w:val="clear" w:color="auto" w:fill="auto"/>
              </w:rPr>
              <w:t>合同签订后15日历日内交付使用（具体以采购人通知的时间为准）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资金来源</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预算金额</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bCs/>
                <w:color w:val="auto"/>
                <w:szCs w:val="21"/>
                <w:highlight w:val="none"/>
                <w:shd w:val="clear" w:color="auto" w:fill="auto"/>
              </w:rPr>
              <w:t>475万元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最高限价</w:t>
            </w:r>
          </w:p>
        </w:tc>
        <w:tc>
          <w:tcPr>
            <w:tcW w:w="7680" w:type="dxa"/>
            <w:vAlign w:val="center"/>
          </w:tcPr>
          <w:p>
            <w:pPr>
              <w:pStyle w:val="7"/>
              <w:numPr>
                <w:ilvl w:val="0"/>
                <w:numId w:val="0"/>
              </w:numPr>
              <w:rPr>
                <w:rFonts w:ascii="宋体" w:hAnsi="宋体" w:eastAsia="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单价：0.5元/毫升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货款支付</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经疫苗接收单位验收合格并在每批次疫苗投入使用2个月无异常后，凭验收合格证明、合同及按合同总价开据的发票（完税价），甲方积极协调本级财政拨付货款，严格按照合同约定，按供货数量向乙方支付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招标方式</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现场踏勘</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评比办法</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资格审查方式</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3</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采购需求</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2023年度伊犁州重大动物疫病强制免疫用疫苗、常规动物疫病免疫用疫苗以及吡喹酮咀嚼片（犬驱虫药）采购项目（一标段）</w:t>
            </w: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采购牛羊口蹄疫疫苗950万毫升，关于招标范围的详细说明见第四章“技术标准和服务要求”。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4</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投标人的资格要求</w:t>
            </w:r>
          </w:p>
        </w:tc>
        <w:tc>
          <w:tcPr>
            <w:tcW w:w="7680" w:type="dxa"/>
            <w:vAlign w:val="center"/>
          </w:tcPr>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4.1.1符合《中华人民共和国政府采购法》第二十二条规定条件，并提供《中华人民共和国政府采购法实施条例》第十七条规定提供的证明材料；</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①具有独立承担民事责任的能力；</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②具有良好的商业信誉和健全的财务会计制度；</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③具有履行合同所必需的设备和专业技术能力；</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④有依法缴纳税收和社会保障资金的良好记录；</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⑤参加招标采购活动前三年内，在经营活动中没有重大违法记录；</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⑥法律、行政法规规定的其他条件。</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4.1.2具有经年检合格且在有效期内的工商营业执照（经营范围需符合本项目要求）；</w:t>
            </w:r>
          </w:p>
          <w:p>
            <w:pPr>
              <w:widowControl/>
              <w:spacing w:line="360" w:lineRule="exact"/>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4.1.3</w:t>
            </w:r>
            <w:r>
              <w:rPr>
                <w:rFonts w:hint="eastAsia" w:ascii="宋体" w:hAnsi="宋体"/>
                <w:bCs/>
                <w:color w:val="auto"/>
                <w:kern w:val="0"/>
                <w:szCs w:val="21"/>
                <w:highlight w:val="none"/>
                <w:shd w:val="clear" w:color="auto" w:fill="auto"/>
              </w:rPr>
              <w:t>投标人</w:t>
            </w:r>
            <w:r>
              <w:rPr>
                <w:rFonts w:ascii="宋体" w:hAnsi="宋体"/>
                <w:bCs/>
                <w:color w:val="auto"/>
                <w:kern w:val="0"/>
                <w:szCs w:val="21"/>
                <w:highlight w:val="none"/>
                <w:shd w:val="clear" w:color="auto" w:fill="auto"/>
              </w:rPr>
              <w:t>不得为“信用中国”网站（网址http://www.creditchina.gov.cn ）中列入失信被执行人和重大税收违法案件当事人名单的</w:t>
            </w:r>
            <w:r>
              <w:rPr>
                <w:rFonts w:hint="eastAsia" w:ascii="宋体" w:hAnsi="宋体"/>
                <w:bCs/>
                <w:color w:val="auto"/>
                <w:kern w:val="0"/>
                <w:szCs w:val="21"/>
                <w:highlight w:val="none"/>
                <w:shd w:val="clear" w:color="auto" w:fill="auto"/>
              </w:rPr>
              <w:t>投标人</w:t>
            </w:r>
            <w:r>
              <w:rPr>
                <w:rFonts w:ascii="宋体" w:hAnsi="宋体"/>
                <w:bCs/>
                <w:color w:val="auto"/>
                <w:kern w:val="0"/>
                <w:szCs w:val="21"/>
                <w:highlight w:val="none"/>
                <w:shd w:val="clear" w:color="auto" w:fill="auto"/>
              </w:rPr>
              <w:t>；不得为“国家企业信用信息公示系统”网站（网址http://www.gsxt.gov.cn/corp-query-homepage.html）列入严重违法失信企业名单（黑名单）的</w:t>
            </w:r>
            <w:r>
              <w:rPr>
                <w:rFonts w:hint="eastAsia" w:ascii="宋体" w:hAnsi="宋体"/>
                <w:bCs/>
                <w:color w:val="auto"/>
                <w:kern w:val="0"/>
                <w:szCs w:val="21"/>
                <w:highlight w:val="none"/>
                <w:shd w:val="clear" w:color="auto" w:fill="auto"/>
              </w:rPr>
              <w:t>投标人</w:t>
            </w:r>
            <w:r>
              <w:rPr>
                <w:rFonts w:ascii="宋体" w:hAnsi="宋体"/>
                <w:bCs/>
                <w:color w:val="auto"/>
                <w:kern w:val="0"/>
                <w:szCs w:val="21"/>
                <w:highlight w:val="none"/>
                <w:shd w:val="clear" w:color="auto" w:fill="auto"/>
              </w:rPr>
              <w:t>；不得为中国政府采购网（网址http://www.ccgp.gov.cn ）政府采购严重违法失信行为记录名单中被财政部门禁止参加政府采购活动的</w:t>
            </w:r>
            <w:r>
              <w:rPr>
                <w:rFonts w:hint="eastAsia" w:ascii="宋体" w:hAnsi="宋体"/>
                <w:bCs/>
                <w:color w:val="auto"/>
                <w:kern w:val="0"/>
                <w:szCs w:val="21"/>
                <w:highlight w:val="none"/>
                <w:shd w:val="clear" w:color="auto" w:fill="auto"/>
              </w:rPr>
              <w:t>投标人</w:t>
            </w:r>
            <w:r>
              <w:rPr>
                <w:rFonts w:ascii="宋体" w:hAnsi="宋体"/>
                <w:bCs/>
                <w:color w:val="auto"/>
                <w:kern w:val="0"/>
                <w:szCs w:val="21"/>
                <w:highlight w:val="none"/>
                <w:shd w:val="clear" w:color="auto" w:fill="auto"/>
              </w:rPr>
              <w:t>（处罚决定规定的时间和地域范围内），投标人及法定代表人不得</w:t>
            </w:r>
            <w:r>
              <w:rPr>
                <w:rFonts w:hint="eastAsia" w:ascii="宋体" w:hAnsi="宋体"/>
                <w:bCs/>
                <w:color w:val="auto"/>
                <w:kern w:val="0"/>
                <w:szCs w:val="21"/>
                <w:highlight w:val="none"/>
                <w:shd w:val="clear" w:color="auto" w:fill="auto"/>
              </w:rPr>
              <w:t>存在行贿</w:t>
            </w:r>
            <w:r>
              <w:rPr>
                <w:rFonts w:ascii="宋体" w:hAnsi="宋体"/>
                <w:bCs/>
                <w:color w:val="auto"/>
                <w:kern w:val="0"/>
                <w:szCs w:val="21"/>
                <w:highlight w:val="none"/>
                <w:shd w:val="clear" w:color="auto" w:fill="auto"/>
              </w:rPr>
              <w:t>犯罪记录行为</w:t>
            </w:r>
            <w:r>
              <w:rPr>
                <w:rFonts w:hint="eastAsia" w:ascii="宋体" w:hAnsi="宋体"/>
                <w:bCs/>
                <w:color w:val="auto"/>
                <w:kern w:val="0"/>
                <w:szCs w:val="21"/>
                <w:highlight w:val="none"/>
                <w:shd w:val="clear" w:color="auto" w:fill="auto"/>
              </w:rPr>
              <w:t>，</w:t>
            </w:r>
            <w:r>
              <w:rPr>
                <w:rFonts w:ascii="宋体" w:hAnsi="宋体"/>
                <w:bCs/>
                <w:color w:val="auto"/>
                <w:kern w:val="0"/>
                <w:szCs w:val="21"/>
                <w:highlight w:val="none"/>
                <w:shd w:val="clear" w:color="auto" w:fill="auto"/>
              </w:rPr>
              <w:t>须提供中国裁判文书网</w:t>
            </w:r>
            <w:r>
              <w:rPr>
                <w:rFonts w:hint="eastAsia" w:ascii="宋体" w:hAnsi="宋体"/>
                <w:bCs/>
                <w:color w:val="auto"/>
                <w:kern w:val="0"/>
                <w:szCs w:val="21"/>
                <w:highlight w:val="none"/>
                <w:shd w:val="clear" w:color="auto" w:fill="auto"/>
              </w:rPr>
              <w:t>（</w:t>
            </w:r>
            <w:r>
              <w:rPr>
                <w:rFonts w:ascii="宋体" w:hAnsi="宋体"/>
                <w:bCs/>
                <w:color w:val="auto"/>
                <w:kern w:val="0"/>
                <w:szCs w:val="21"/>
                <w:highlight w:val="none"/>
                <w:shd w:val="clear" w:color="auto" w:fill="auto"/>
              </w:rPr>
              <w:t>https://wenshu.court.gov.cn/</w:t>
            </w:r>
            <w:r>
              <w:rPr>
                <w:rFonts w:hint="eastAsia" w:ascii="宋体" w:hAnsi="宋体"/>
                <w:bCs/>
                <w:color w:val="auto"/>
                <w:kern w:val="0"/>
                <w:szCs w:val="21"/>
                <w:highlight w:val="none"/>
                <w:shd w:val="clear" w:color="auto" w:fill="auto"/>
              </w:rPr>
              <w:t>）行贿</w:t>
            </w:r>
            <w:r>
              <w:rPr>
                <w:rFonts w:ascii="宋体" w:hAnsi="宋体"/>
                <w:bCs/>
                <w:color w:val="auto"/>
                <w:kern w:val="0"/>
                <w:szCs w:val="21"/>
                <w:highlight w:val="none"/>
                <w:shd w:val="clear" w:color="auto" w:fill="auto"/>
              </w:rPr>
              <w:t>犯罪记录行为</w:t>
            </w:r>
            <w:r>
              <w:rPr>
                <w:rFonts w:hint="eastAsia" w:ascii="宋体" w:hAnsi="宋体"/>
                <w:bCs/>
                <w:color w:val="auto"/>
                <w:kern w:val="0"/>
                <w:szCs w:val="21"/>
                <w:highlight w:val="none"/>
                <w:shd w:val="clear" w:color="auto" w:fill="auto"/>
              </w:rPr>
              <w:t>查询截图，</w:t>
            </w:r>
            <w:r>
              <w:rPr>
                <w:rFonts w:ascii="宋体" w:hAnsi="宋体"/>
                <w:bCs/>
                <w:color w:val="auto"/>
                <w:kern w:val="0"/>
                <w:szCs w:val="21"/>
                <w:highlight w:val="none"/>
                <w:shd w:val="clear" w:color="auto" w:fill="auto"/>
              </w:rPr>
              <w:t>均须提供查询结果打印件（加盖企业公章）</w:t>
            </w:r>
            <w:r>
              <w:rPr>
                <w:rFonts w:hint="eastAsia" w:ascii="宋体" w:hAnsi="宋体" w:cs="宋体"/>
                <w:color w:val="auto"/>
                <w:szCs w:val="21"/>
                <w:highlight w:val="none"/>
                <w:shd w:val="clear" w:color="auto" w:fill="auto"/>
              </w:rPr>
              <w:t>；</w:t>
            </w:r>
          </w:p>
          <w:p>
            <w:pPr>
              <w:jc w:val="left"/>
              <w:rPr>
                <w:color w:val="auto"/>
                <w:highlight w:val="none"/>
                <w:shd w:val="clear" w:color="auto" w:fill="auto"/>
              </w:rPr>
            </w:pPr>
            <w:r>
              <w:rPr>
                <w:rFonts w:hint="eastAsia"/>
                <w:color w:val="auto"/>
                <w:highlight w:val="none"/>
                <w:shd w:val="clear" w:color="auto" w:fill="auto"/>
              </w:rPr>
              <w:t>4.2特殊资格要求</w:t>
            </w:r>
          </w:p>
          <w:p>
            <w:pPr>
              <w:pStyle w:val="7"/>
              <w:numPr>
                <w:ilvl w:val="0"/>
                <w:numId w:val="0"/>
              </w:numPr>
              <w:rPr>
                <w:rFonts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4.2.1投标人具有有效期内的《兽药经营许可证》或《兽药生产许可证》；</w:t>
            </w:r>
          </w:p>
          <w:p>
            <w:pPr>
              <w:spacing w:line="300" w:lineRule="exact"/>
              <w:rPr>
                <w:rFonts w:ascii="宋体" w:hAnsi="宋体" w:cs="宋体"/>
                <w:b/>
                <w:bCs/>
                <w:color w:val="auto"/>
                <w:highlight w:val="none"/>
                <w:shd w:val="clear" w:color="auto" w:fill="auto"/>
              </w:rPr>
            </w:pPr>
            <w:r>
              <w:rPr>
                <w:rFonts w:hint="eastAsia" w:ascii="宋体" w:hAnsi="宋体" w:cs="宋体"/>
                <w:b/>
                <w:bCs/>
                <w:color w:val="auto"/>
                <w:highlight w:val="none"/>
                <w:shd w:val="clear" w:color="auto" w:fill="auto"/>
              </w:rPr>
              <w:t>4.2.2兽药产品批准文号；有效期内的兽药GMP证书；</w:t>
            </w:r>
          </w:p>
          <w:p>
            <w:pPr>
              <w:spacing w:line="300" w:lineRule="exact"/>
              <w:rPr>
                <w:rFonts w:ascii="宋体" w:hAnsi="宋体" w:cs="宋体"/>
                <w:b/>
                <w:bCs/>
                <w:color w:val="auto"/>
                <w:highlight w:val="none"/>
                <w:shd w:val="clear" w:color="auto" w:fill="auto"/>
              </w:rPr>
            </w:pPr>
            <w:r>
              <w:rPr>
                <w:rFonts w:hint="eastAsia" w:ascii="宋体" w:hAnsi="宋体" w:cs="宋体"/>
                <w:b/>
                <w:bCs/>
                <w:color w:val="auto"/>
                <w:highlight w:val="none"/>
                <w:shd w:val="clear" w:color="auto" w:fill="auto"/>
              </w:rPr>
              <w:t>4.2.3 供应商须在中国兽药信息网兽药产品登记；</w:t>
            </w:r>
          </w:p>
          <w:p>
            <w:pPr>
              <w:spacing w:line="300" w:lineRule="exact"/>
              <w:rPr>
                <w:rFonts w:ascii="宋体" w:hAnsi="宋体" w:cs="宋体"/>
                <w:b/>
                <w:bCs/>
                <w:color w:val="auto"/>
                <w:highlight w:val="none"/>
                <w:shd w:val="clear" w:color="auto" w:fill="auto"/>
              </w:rPr>
            </w:pPr>
            <w:r>
              <w:rPr>
                <w:rFonts w:hint="eastAsia" w:ascii="宋体" w:hAnsi="宋体" w:cs="宋体"/>
                <w:b/>
                <w:bCs/>
                <w:color w:val="auto"/>
                <w:highlight w:val="none"/>
                <w:shd w:val="clear" w:color="auto" w:fill="auto"/>
              </w:rPr>
              <w:t>4.2.4 从未在新疆维吾尔自治区地州级范围内使用过的疫苗，须有小范围田间试验，并提供新疆维吾尔自治区或相关省份畜牧兽医主管部门出具的免疫效果检验评估报告；</w:t>
            </w:r>
          </w:p>
          <w:p>
            <w:pPr>
              <w:jc w:val="left"/>
              <w:rPr>
                <w:rFonts w:ascii="宋体" w:hAnsi="宋体" w:cs="宋体"/>
                <w:color w:val="auto"/>
                <w:szCs w:val="21"/>
                <w:highlight w:val="none"/>
                <w:shd w:val="clear" w:color="auto" w:fill="auto"/>
              </w:rPr>
            </w:pPr>
            <w:r>
              <w:rPr>
                <w:rFonts w:hint="eastAsia" w:ascii="宋体" w:hAnsi="宋体" w:cs="宋体"/>
                <w:b/>
                <w:bCs/>
                <w:color w:val="auto"/>
                <w:szCs w:val="21"/>
                <w:highlight w:val="none"/>
                <w:shd w:val="clear" w:color="auto" w:fill="auto"/>
              </w:rPr>
              <w:t>4.3本项目不接受联合体投标。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5</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获取招标文件</w:t>
            </w:r>
          </w:p>
        </w:tc>
        <w:tc>
          <w:tcPr>
            <w:tcW w:w="7680" w:type="dxa"/>
            <w:vAlign w:val="center"/>
          </w:tcPr>
          <w:p>
            <w:pPr>
              <w:keepNext/>
              <w:widowControl/>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时间：2023年</w:t>
            </w:r>
            <w:r>
              <w:rPr>
                <w:rFonts w:hint="eastAsia" w:ascii="宋体" w:hAnsi="宋体" w:cs="宋体"/>
                <w:color w:val="auto"/>
                <w:szCs w:val="21"/>
                <w:highlight w:val="none"/>
                <w:shd w:val="clear" w:color="auto" w:fill="auto"/>
                <w:lang w:eastAsia="zh-CN"/>
              </w:rPr>
              <w:t>2月23日</w:t>
            </w:r>
            <w:r>
              <w:rPr>
                <w:rFonts w:hint="eastAsia" w:ascii="宋体" w:hAnsi="宋体" w:cs="宋体"/>
                <w:color w:val="auto"/>
                <w:szCs w:val="21"/>
                <w:highlight w:val="none"/>
                <w:shd w:val="clear" w:color="auto" w:fill="auto"/>
              </w:rPr>
              <w:t>起至2023年</w:t>
            </w:r>
            <w:r>
              <w:rPr>
                <w:rFonts w:hint="eastAsia" w:ascii="宋体" w:hAnsi="宋体" w:cs="宋体"/>
                <w:color w:val="auto"/>
                <w:szCs w:val="21"/>
                <w:highlight w:val="none"/>
                <w:shd w:val="clear" w:color="auto" w:fill="auto"/>
                <w:lang w:eastAsia="zh-CN"/>
              </w:rPr>
              <w:t>3月2日</w:t>
            </w:r>
            <w:r>
              <w:rPr>
                <w:rFonts w:hint="eastAsia" w:ascii="宋体" w:hAnsi="宋体" w:cs="宋体"/>
                <w:color w:val="auto"/>
                <w:szCs w:val="21"/>
                <w:highlight w:val="none"/>
                <w:shd w:val="clear" w:color="auto" w:fill="auto"/>
              </w:rPr>
              <w:t>，每日上午10:00-14:00时，下午15:30-19:30时（京时，法定节假日除外）</w:t>
            </w:r>
          </w:p>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地点：新疆政采云平台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方式</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招标文件费</w:t>
            </w:r>
          </w:p>
        </w:tc>
        <w:tc>
          <w:tcPr>
            <w:tcW w:w="7680" w:type="dxa"/>
            <w:vAlign w:val="center"/>
          </w:tcPr>
          <w:p>
            <w:pPr>
              <w:keepNext/>
              <w:widowControl/>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0元/标段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6</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公告期限</w:t>
            </w:r>
          </w:p>
        </w:tc>
        <w:tc>
          <w:tcPr>
            <w:tcW w:w="7680" w:type="dxa"/>
            <w:vAlign w:val="center"/>
          </w:tcPr>
          <w:p>
            <w:pPr>
              <w:pStyle w:val="19"/>
              <w:spacing w:before="75" w:beforeAutospacing="0" w:after="75" w:afterAutospacing="0" w:line="264" w:lineRule="auto"/>
              <w:rPr>
                <w:b/>
                <w:bCs/>
                <w:color w:val="auto"/>
                <w:sz w:val="21"/>
                <w:szCs w:val="21"/>
                <w:highlight w:val="none"/>
                <w:shd w:val="clear" w:color="auto" w:fill="auto"/>
              </w:rPr>
            </w:pPr>
            <w:r>
              <w:rPr>
                <w:rFonts w:hint="eastAsia"/>
                <w:color w:val="auto"/>
                <w:sz w:val="21"/>
                <w:szCs w:val="21"/>
                <w:highlight w:val="none"/>
                <w:shd w:val="clear" w:color="auto" w:fill="auto"/>
              </w:rPr>
              <w:t>自本公告发布之日起5个工作日内领取招标文件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18" w:hRule="atLeast"/>
          <w:jc w:val="center"/>
        </w:trPr>
        <w:tc>
          <w:tcPr>
            <w:tcW w:w="648" w:type="dxa"/>
            <w:vMerge w:val="restart"/>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7</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olor w:val="auto"/>
                <w:szCs w:val="21"/>
                <w:highlight w:val="none"/>
                <w:shd w:val="clear" w:color="auto" w:fill="auto"/>
              </w:rPr>
              <w:t>递交投标文件地点</w:t>
            </w:r>
          </w:p>
        </w:tc>
        <w:tc>
          <w:tcPr>
            <w:tcW w:w="7680" w:type="dxa"/>
            <w:vAlign w:val="center"/>
          </w:tcPr>
          <w:p>
            <w:pPr>
              <w:keepNext/>
              <w:widowControl/>
              <w:jc w:val="left"/>
              <w:rPr>
                <w:rFonts w:ascii="宋体" w:hAnsi="宋体" w:cs="宋体"/>
                <w:b/>
                <w:bCs/>
                <w:color w:val="auto"/>
                <w:kern w:val="0"/>
                <w:szCs w:val="21"/>
                <w:highlight w:val="none"/>
                <w:shd w:val="clear" w:color="auto" w:fill="auto"/>
              </w:rPr>
            </w:pPr>
            <w:r>
              <w:rPr>
                <w:rFonts w:hint="eastAsia" w:ascii="宋体" w:hAnsi="宋体"/>
                <w:color w:val="auto"/>
                <w:szCs w:val="21"/>
                <w:highlight w:val="none"/>
                <w:shd w:val="clear" w:color="auto" w:fill="auto"/>
              </w:rPr>
              <w:t>供应商应在投标截止时间前将“电子加密投标文件”成功上传递交至“政府采购云平台”，否则投标无效。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color w:val="auto"/>
                <w:kern w:val="0"/>
                <w:szCs w:val="21"/>
                <w:highlight w:val="none"/>
                <w:shd w:val="clear" w:color="auto" w:fill="auto"/>
              </w:rPr>
            </w:pP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olor w:val="auto"/>
                <w:szCs w:val="21"/>
                <w:highlight w:val="none"/>
                <w:shd w:val="clear" w:color="auto" w:fill="auto"/>
              </w:rPr>
              <w:t>投标截止时间</w:t>
            </w:r>
          </w:p>
        </w:tc>
        <w:tc>
          <w:tcPr>
            <w:tcW w:w="7680" w:type="dxa"/>
            <w:vAlign w:val="center"/>
          </w:tcPr>
          <w:p>
            <w:pPr>
              <w:keepNext/>
              <w:widowControl/>
              <w:jc w:val="left"/>
              <w:rPr>
                <w:rFonts w:ascii="宋体" w:hAnsi="宋体" w:cs="宋体"/>
                <w:b/>
                <w:bCs/>
                <w:color w:val="auto"/>
                <w:kern w:val="0"/>
                <w:szCs w:val="21"/>
                <w:highlight w:val="none"/>
                <w:shd w:val="clear" w:color="auto" w:fill="auto"/>
              </w:rPr>
            </w:pPr>
            <w:r>
              <w:rPr>
                <w:rFonts w:hint="eastAsia" w:ascii="宋体" w:hAnsi="宋体"/>
                <w:color w:val="auto"/>
                <w:szCs w:val="21"/>
                <w:highlight w:val="none"/>
                <w:shd w:val="clear" w:color="auto" w:fill="auto"/>
              </w:rPr>
              <w:t>投标人应于</w:t>
            </w:r>
            <w:r>
              <w:rPr>
                <w:rFonts w:hint="eastAsia" w:ascii="宋体" w:hAnsi="宋体" w:cs="宋体"/>
                <w:color w:val="auto"/>
                <w:szCs w:val="21"/>
                <w:highlight w:val="none"/>
                <w:shd w:val="clear" w:color="auto" w:fill="auto"/>
              </w:rPr>
              <w:t>2023年</w:t>
            </w:r>
            <w:r>
              <w:rPr>
                <w:rFonts w:hint="eastAsia" w:ascii="宋体" w:hAnsi="宋体" w:cs="宋体"/>
                <w:color w:val="auto"/>
                <w:szCs w:val="21"/>
                <w:highlight w:val="none"/>
                <w:shd w:val="clear" w:color="auto" w:fill="auto"/>
                <w:lang w:eastAsia="zh-CN"/>
              </w:rPr>
              <w:t>3月15日</w:t>
            </w:r>
            <w:r>
              <w:rPr>
                <w:rFonts w:hint="eastAsia" w:ascii="宋体" w:hAnsi="宋体" w:cs="宋体"/>
                <w:color w:val="auto"/>
                <w:szCs w:val="21"/>
                <w:highlight w:val="none"/>
                <w:shd w:val="clear" w:color="auto" w:fill="auto"/>
              </w:rPr>
              <w:t>10:30（北京时间）之前将</w:t>
            </w:r>
            <w:r>
              <w:rPr>
                <w:rFonts w:hint="eastAsia" w:ascii="宋体" w:hAnsi="宋体"/>
                <w:color w:val="auto"/>
                <w:szCs w:val="21"/>
                <w:highlight w:val="none"/>
                <w:shd w:val="clear" w:color="auto" w:fill="auto"/>
              </w:rPr>
              <w:t>电子投标文件上传到“政采云”平台。</w:t>
            </w:r>
            <w:r>
              <w:rPr>
                <w:rFonts w:hint="eastAsia" w:ascii="宋体" w:hAnsi="宋体"/>
                <w:b/>
                <w:color w:val="auto"/>
                <w:szCs w:val="21"/>
                <w:highlight w:val="none"/>
                <w:shd w:val="clear" w:color="auto" w:fill="auto"/>
              </w:rPr>
              <w:t>开标时间后30分钟内（2023年</w:t>
            </w:r>
            <w:r>
              <w:rPr>
                <w:rFonts w:hint="eastAsia" w:ascii="宋体" w:hAnsi="宋体" w:eastAsiaTheme="minorEastAsia"/>
                <w:b/>
                <w:color w:val="auto"/>
                <w:szCs w:val="21"/>
                <w:highlight w:val="none"/>
                <w:shd w:val="clear" w:color="auto" w:fill="auto"/>
                <w:lang w:eastAsia="zh-CN"/>
              </w:rPr>
              <w:t>3月15日</w:t>
            </w:r>
            <w:r>
              <w:rPr>
                <w:rFonts w:hint="eastAsia" w:ascii="宋体" w:hAnsi="宋体"/>
                <w:b/>
                <w:color w:val="auto"/>
                <w:szCs w:val="21"/>
                <w:highlight w:val="none"/>
                <w:shd w:val="clear" w:color="auto" w:fill="auto"/>
              </w:rPr>
              <w:t>上午10:30-11：00前）供应商登录“政采云”平台，用“项目采购-开标评标”功能进行解密投标文件。若供应商在规定时间内（2023年</w:t>
            </w:r>
            <w:r>
              <w:rPr>
                <w:rFonts w:hint="eastAsia" w:ascii="宋体" w:hAnsi="宋体"/>
                <w:b/>
                <w:color w:val="auto"/>
                <w:szCs w:val="21"/>
                <w:highlight w:val="none"/>
                <w:shd w:val="clear" w:color="auto" w:fill="auto"/>
                <w:lang w:eastAsia="zh-CN"/>
              </w:rPr>
              <w:t>3月15日</w:t>
            </w:r>
            <w:r>
              <w:rPr>
                <w:rFonts w:hint="eastAsia" w:ascii="宋体" w:hAnsi="宋体"/>
                <w:b/>
                <w:color w:val="auto"/>
                <w:szCs w:val="21"/>
                <w:highlight w:val="none"/>
                <w:shd w:val="clear" w:color="auto" w:fill="auto"/>
              </w:rPr>
              <w:t>上午11:00前）未按时解密的，视为无效投标。</w:t>
            </w:r>
            <w:r>
              <w:rPr>
                <w:rFonts w:hint="eastAsia" w:ascii="宋体" w:hAnsi="宋体"/>
                <w:b/>
                <w:color w:val="auto"/>
                <w:szCs w:val="21"/>
                <w:highlight w:val="none"/>
                <w:u w:val="single"/>
                <w:shd w:val="clear" w:color="auto" w:fill="auto"/>
              </w:rPr>
              <w:t>（解密时间开始时政采云平台将以短信形式向供应商在政采云平台预留的手机号发送短信通知，请供应商及时关注。）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8</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投标保证金</w:t>
            </w:r>
          </w:p>
        </w:tc>
        <w:tc>
          <w:tcPr>
            <w:tcW w:w="7680" w:type="dxa"/>
            <w:vAlign w:val="center"/>
          </w:tcPr>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1.投标保证金的金额：人民币陆万元整；</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2.投标保证金的</w:t>
            </w:r>
            <w:r>
              <w:rPr>
                <w:rFonts w:ascii="宋体" w:hAnsi="宋体"/>
                <w:color w:val="auto"/>
                <w:szCs w:val="21"/>
                <w:highlight w:val="none"/>
                <w:shd w:val="clear" w:color="auto" w:fill="auto"/>
              </w:rPr>
              <w:t>形式：</w:t>
            </w:r>
            <w:r>
              <w:rPr>
                <w:rFonts w:hint="eastAsia" w:ascii="宋体" w:hAnsi="宋体"/>
                <w:color w:val="auto"/>
                <w:szCs w:val="21"/>
                <w:highlight w:val="none"/>
                <w:shd w:val="clear" w:color="auto" w:fill="auto"/>
              </w:rPr>
              <w:fldChar w:fldCharType="begin"/>
            </w:r>
            <w:r>
              <w:rPr>
                <w:rFonts w:hint="eastAsia" w:ascii="宋体" w:hAnsi="宋体"/>
                <w:color w:val="auto"/>
                <w:szCs w:val="21"/>
                <w:highlight w:val="none"/>
                <w:shd w:val="clear" w:color="auto" w:fill="auto"/>
              </w:rPr>
              <w:instrText xml:space="preserve"> = 1 \* GB3 \* MERGEFORMAT </w:instrText>
            </w:r>
            <w:r>
              <w:rPr>
                <w:rFonts w:hint="eastAsia" w:ascii="宋体" w:hAnsi="宋体"/>
                <w:color w:val="auto"/>
                <w:szCs w:val="21"/>
                <w:highlight w:val="none"/>
                <w:shd w:val="clear" w:color="auto" w:fill="auto"/>
              </w:rPr>
              <w:fldChar w:fldCharType="separate"/>
            </w:r>
            <w:r>
              <w:rPr>
                <w:rFonts w:ascii="宋体" w:hAnsi="宋体"/>
                <w:color w:val="auto"/>
                <w:szCs w:val="21"/>
                <w:highlight w:val="none"/>
                <w:shd w:val="clear" w:color="auto" w:fill="auto"/>
              </w:rPr>
              <w:t>①</w:t>
            </w:r>
            <w:r>
              <w:rPr>
                <w:rFonts w:hint="eastAsia" w:ascii="宋体" w:hAnsi="宋体"/>
                <w:color w:val="auto"/>
                <w:szCs w:val="21"/>
                <w:highlight w:val="none"/>
                <w:shd w:val="clear" w:color="auto" w:fill="auto"/>
              </w:rPr>
              <w:fldChar w:fldCharType="end"/>
            </w:r>
            <w:r>
              <w:rPr>
                <w:rFonts w:hint="eastAsia" w:ascii="宋体" w:hAnsi="宋体"/>
                <w:color w:val="auto"/>
                <w:szCs w:val="21"/>
                <w:highlight w:val="none"/>
                <w:shd w:val="clear" w:color="auto" w:fill="auto"/>
              </w:rPr>
              <w:t>支票；</w:t>
            </w:r>
            <w:r>
              <w:rPr>
                <w:rFonts w:hint="eastAsia" w:ascii="宋体" w:hAnsi="宋体"/>
                <w:color w:val="auto"/>
                <w:szCs w:val="21"/>
                <w:highlight w:val="none"/>
                <w:shd w:val="clear" w:color="auto" w:fill="auto"/>
              </w:rPr>
              <w:fldChar w:fldCharType="begin"/>
            </w:r>
            <w:r>
              <w:rPr>
                <w:rFonts w:hint="eastAsia" w:ascii="宋体" w:hAnsi="宋体"/>
                <w:color w:val="auto"/>
                <w:szCs w:val="21"/>
                <w:highlight w:val="none"/>
                <w:shd w:val="clear" w:color="auto" w:fill="auto"/>
              </w:rPr>
              <w:instrText xml:space="preserve"> = 2 \* GB3 \* MERGEFORMAT </w:instrText>
            </w:r>
            <w:r>
              <w:rPr>
                <w:rFonts w:hint="eastAsia" w:ascii="宋体" w:hAnsi="宋体"/>
                <w:color w:val="auto"/>
                <w:szCs w:val="21"/>
                <w:highlight w:val="none"/>
                <w:shd w:val="clear" w:color="auto" w:fill="auto"/>
              </w:rPr>
              <w:fldChar w:fldCharType="separate"/>
            </w:r>
            <w:r>
              <w:rPr>
                <w:rFonts w:ascii="宋体" w:hAnsi="宋体"/>
                <w:color w:val="auto"/>
                <w:szCs w:val="21"/>
                <w:highlight w:val="none"/>
                <w:shd w:val="clear" w:color="auto" w:fill="auto"/>
              </w:rPr>
              <w:t>②</w:t>
            </w:r>
            <w:r>
              <w:rPr>
                <w:rFonts w:hint="eastAsia" w:ascii="宋体" w:hAnsi="宋体"/>
                <w:color w:val="auto"/>
                <w:szCs w:val="21"/>
                <w:highlight w:val="none"/>
                <w:shd w:val="clear" w:color="auto" w:fill="auto"/>
              </w:rPr>
              <w:fldChar w:fldCharType="end"/>
            </w:r>
            <w:r>
              <w:rPr>
                <w:rFonts w:hint="eastAsia" w:ascii="宋体" w:hAnsi="宋体"/>
                <w:color w:val="auto"/>
                <w:szCs w:val="21"/>
                <w:highlight w:val="none"/>
                <w:shd w:val="clear" w:color="auto" w:fill="auto"/>
              </w:rPr>
              <w:t>电汇；</w:t>
            </w:r>
            <w:r>
              <w:rPr>
                <w:rFonts w:hint="eastAsia" w:ascii="宋体" w:hAnsi="宋体"/>
                <w:color w:val="auto"/>
                <w:szCs w:val="21"/>
                <w:highlight w:val="none"/>
                <w:shd w:val="clear" w:color="auto" w:fill="auto"/>
              </w:rPr>
              <w:fldChar w:fldCharType="begin"/>
            </w:r>
            <w:r>
              <w:rPr>
                <w:rFonts w:hint="eastAsia" w:ascii="宋体" w:hAnsi="宋体"/>
                <w:color w:val="auto"/>
                <w:szCs w:val="21"/>
                <w:highlight w:val="none"/>
                <w:shd w:val="clear" w:color="auto" w:fill="auto"/>
              </w:rPr>
              <w:instrText xml:space="preserve"> = 3 \* GB3 \* MERGEFORMAT </w:instrText>
            </w:r>
            <w:r>
              <w:rPr>
                <w:rFonts w:hint="eastAsia" w:ascii="宋体" w:hAnsi="宋体"/>
                <w:color w:val="auto"/>
                <w:szCs w:val="21"/>
                <w:highlight w:val="none"/>
                <w:shd w:val="clear" w:color="auto" w:fill="auto"/>
              </w:rPr>
              <w:fldChar w:fldCharType="separate"/>
            </w:r>
            <w:r>
              <w:rPr>
                <w:rFonts w:ascii="宋体" w:hAnsi="宋体"/>
                <w:color w:val="auto"/>
                <w:szCs w:val="21"/>
                <w:highlight w:val="none"/>
                <w:shd w:val="clear" w:color="auto" w:fill="auto"/>
              </w:rPr>
              <w:t>③</w:t>
            </w:r>
            <w:r>
              <w:rPr>
                <w:rFonts w:hint="eastAsia" w:ascii="宋体" w:hAnsi="宋体"/>
                <w:color w:val="auto"/>
                <w:szCs w:val="21"/>
                <w:highlight w:val="none"/>
                <w:shd w:val="clear" w:color="auto" w:fill="auto"/>
              </w:rPr>
              <w:fldChar w:fldCharType="end"/>
            </w:r>
            <w:r>
              <w:rPr>
                <w:rFonts w:hint="eastAsia" w:ascii="宋体" w:hAnsi="宋体"/>
                <w:color w:val="auto"/>
                <w:szCs w:val="21"/>
                <w:highlight w:val="none"/>
                <w:shd w:val="clear" w:color="auto" w:fill="auto"/>
              </w:rPr>
              <w:t>保函；</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3.投标保证金的递交方式：</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3.1采用第</w:t>
            </w:r>
            <w:r>
              <w:rPr>
                <w:rFonts w:hint="eastAsia" w:ascii="宋体" w:hAnsi="宋体"/>
                <w:color w:val="auto"/>
                <w:szCs w:val="21"/>
                <w:highlight w:val="none"/>
                <w:shd w:val="clear" w:color="auto" w:fill="auto"/>
              </w:rPr>
              <w:fldChar w:fldCharType="begin"/>
            </w:r>
            <w:r>
              <w:rPr>
                <w:rFonts w:hint="eastAsia" w:ascii="宋体" w:hAnsi="宋体"/>
                <w:color w:val="auto"/>
                <w:szCs w:val="21"/>
                <w:highlight w:val="none"/>
                <w:shd w:val="clear" w:color="auto" w:fill="auto"/>
              </w:rPr>
              <w:instrText xml:space="preserve"> = 1 \* GB3 \* MERGEFORMAT </w:instrText>
            </w:r>
            <w:r>
              <w:rPr>
                <w:rFonts w:hint="eastAsia" w:ascii="宋体" w:hAnsi="宋体"/>
                <w:color w:val="auto"/>
                <w:szCs w:val="21"/>
                <w:highlight w:val="none"/>
                <w:shd w:val="clear" w:color="auto" w:fill="auto"/>
              </w:rPr>
              <w:fldChar w:fldCharType="separate"/>
            </w:r>
            <w:r>
              <w:rPr>
                <w:rFonts w:ascii="宋体" w:hAnsi="宋体"/>
                <w:color w:val="auto"/>
                <w:szCs w:val="21"/>
                <w:highlight w:val="none"/>
                <w:shd w:val="clear" w:color="auto" w:fill="auto"/>
              </w:rPr>
              <w:t>①</w:t>
            </w:r>
            <w:r>
              <w:rPr>
                <w:rFonts w:hint="eastAsia" w:ascii="宋体" w:hAnsi="宋体"/>
                <w:color w:val="auto"/>
                <w:szCs w:val="21"/>
                <w:highlight w:val="none"/>
                <w:shd w:val="clear" w:color="auto" w:fill="auto"/>
              </w:rPr>
              <w:fldChar w:fldCharType="end"/>
            </w:r>
            <w:r>
              <w:rPr>
                <w:rFonts w:hint="eastAsia" w:ascii="宋体" w:hAnsi="宋体"/>
                <w:color w:val="auto"/>
                <w:szCs w:val="21"/>
                <w:highlight w:val="none"/>
                <w:shd w:val="clear" w:color="auto" w:fill="auto"/>
              </w:rPr>
              <w:fldChar w:fldCharType="begin"/>
            </w:r>
            <w:r>
              <w:rPr>
                <w:rFonts w:hint="eastAsia" w:ascii="宋体" w:hAnsi="宋体"/>
                <w:color w:val="auto"/>
                <w:szCs w:val="21"/>
                <w:highlight w:val="none"/>
                <w:shd w:val="clear" w:color="auto" w:fill="auto"/>
              </w:rPr>
              <w:instrText xml:space="preserve"> = 2 \* GB3 \* MERGEFORMAT </w:instrText>
            </w:r>
            <w:r>
              <w:rPr>
                <w:rFonts w:hint="eastAsia" w:ascii="宋体" w:hAnsi="宋体"/>
                <w:color w:val="auto"/>
                <w:szCs w:val="21"/>
                <w:highlight w:val="none"/>
                <w:shd w:val="clear" w:color="auto" w:fill="auto"/>
              </w:rPr>
              <w:fldChar w:fldCharType="separate"/>
            </w:r>
            <w:r>
              <w:rPr>
                <w:rFonts w:ascii="宋体" w:hAnsi="宋体"/>
                <w:color w:val="auto"/>
                <w:szCs w:val="21"/>
                <w:highlight w:val="none"/>
                <w:shd w:val="clear" w:color="auto" w:fill="auto"/>
              </w:rPr>
              <w:t>②</w:t>
            </w:r>
            <w:r>
              <w:rPr>
                <w:rFonts w:hint="eastAsia" w:ascii="宋体" w:hAnsi="宋体"/>
                <w:color w:val="auto"/>
                <w:szCs w:val="21"/>
                <w:highlight w:val="none"/>
                <w:shd w:val="clear" w:color="auto" w:fill="auto"/>
              </w:rPr>
              <w:fldChar w:fldCharType="end"/>
            </w:r>
            <w:r>
              <w:rPr>
                <w:rFonts w:hint="eastAsia" w:ascii="宋体" w:hAnsi="宋体"/>
                <w:color w:val="auto"/>
                <w:szCs w:val="21"/>
                <w:highlight w:val="none"/>
                <w:shd w:val="clear" w:color="auto" w:fill="auto"/>
              </w:rPr>
              <w:t>种形式递交保证金的，收款账户信息如下：</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单位名称：新疆新招工程项目咨询管理有限公司伊犁分公司</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账    号：107083061966</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开户行名称：中国银行股份有限公司伊宁市边境经济合作区四川路支行注：投标保证金必须从投标人企业基本账户转入到指定账户，并注明“2023年度伊犁州重大动物疫病强制免疫用疫苗、常规动物疫病免疫用疫苗以及吡喹酮咀嚼片（犬驱虫药）采购项目（一标段）”字样；</w:t>
            </w:r>
          </w:p>
          <w:p>
            <w:pPr>
              <w:jc w:val="left"/>
              <w:rPr>
                <w:rFonts w:ascii="宋体" w:hAnsi="宋体" w:cs="Arial"/>
                <w:color w:val="auto"/>
                <w:kern w:val="0"/>
                <w:szCs w:val="21"/>
                <w:highlight w:val="none"/>
                <w:shd w:val="clear" w:color="auto" w:fill="auto"/>
              </w:rPr>
            </w:pPr>
            <w:r>
              <w:rPr>
                <w:rFonts w:hint="eastAsia" w:ascii="宋体" w:hAnsi="宋体"/>
                <w:color w:val="auto"/>
                <w:szCs w:val="21"/>
                <w:highlight w:val="none"/>
                <w:shd w:val="clear" w:color="auto" w:fill="auto"/>
              </w:rPr>
              <w:t>4.潜在投标人可以自主选择以上任一种形式递交保证金。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9</w:t>
            </w:r>
          </w:p>
        </w:tc>
        <w:tc>
          <w:tcPr>
            <w:tcW w:w="1531" w:type="dxa"/>
            <w:vAlign w:val="center"/>
          </w:tcPr>
          <w:p>
            <w:pPr>
              <w:keepNext/>
              <w:widowControl/>
              <w:jc w:val="distribute"/>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招标文件澄清发出的形式</w:t>
            </w:r>
          </w:p>
        </w:tc>
        <w:tc>
          <w:tcPr>
            <w:tcW w:w="7680" w:type="dxa"/>
            <w:vAlign w:val="center"/>
          </w:tcPr>
          <w:p>
            <w:pPr>
              <w:jc w:val="lef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政采云平台发布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21"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10</w:t>
            </w:r>
          </w:p>
        </w:tc>
        <w:tc>
          <w:tcPr>
            <w:tcW w:w="1531" w:type="dxa"/>
            <w:vAlign w:val="center"/>
          </w:tcPr>
          <w:p>
            <w:pPr>
              <w:keepNext/>
              <w:widowControl/>
              <w:jc w:val="distribute"/>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投标人在投标预备会前提出问题</w:t>
            </w:r>
          </w:p>
        </w:tc>
        <w:tc>
          <w:tcPr>
            <w:tcW w:w="7680" w:type="dxa"/>
            <w:vAlign w:val="center"/>
          </w:tcPr>
          <w:p>
            <w:pPr>
              <w:jc w:val="lef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时间：开标前15天</w:t>
            </w:r>
          </w:p>
          <w:p>
            <w:pPr>
              <w:jc w:val="lef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形式：政采云平台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11</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投标文件份数</w:t>
            </w:r>
          </w:p>
        </w:tc>
        <w:tc>
          <w:tcPr>
            <w:tcW w:w="7680" w:type="dxa"/>
            <w:vAlign w:val="center"/>
          </w:tcPr>
          <w:p>
            <w:pPr>
              <w:keepNext/>
              <w:widowControl/>
              <w:jc w:val="left"/>
              <w:rPr>
                <w:rFonts w:ascii="宋体" w:hAnsi="宋体" w:cs="宋体"/>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12</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投标有效期</w:t>
            </w:r>
          </w:p>
        </w:tc>
        <w:tc>
          <w:tcPr>
            <w:tcW w:w="7680" w:type="dxa"/>
            <w:vAlign w:val="center"/>
          </w:tcPr>
          <w:p>
            <w:pPr>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自投标截止之日起60个日历日，有效期不满足要求的投标将被视为非实质性响应投标。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13</w:t>
            </w:r>
          </w:p>
        </w:tc>
        <w:tc>
          <w:tcPr>
            <w:tcW w:w="1531" w:type="dxa"/>
            <w:vAlign w:val="center"/>
          </w:tcPr>
          <w:p>
            <w:pPr>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招标公告发布媒体</w:t>
            </w:r>
          </w:p>
        </w:tc>
        <w:tc>
          <w:tcPr>
            <w:tcW w:w="7680" w:type="dxa"/>
            <w:vAlign w:val="center"/>
          </w:tcPr>
          <w:p>
            <w:pPr>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14</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履约保证金</w:t>
            </w:r>
          </w:p>
        </w:tc>
        <w:tc>
          <w:tcPr>
            <w:tcW w:w="7680" w:type="dxa"/>
            <w:vAlign w:val="center"/>
          </w:tcPr>
          <w:p>
            <w:pPr>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4.1.履约保证金的形式为履约保函；金额为合同总额的10%；</w:t>
            </w:r>
          </w:p>
          <w:p>
            <w:pPr>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14.2.中标企业收到中标通知书后（签订协议前）向采购人提交；</w:t>
            </w:r>
          </w:p>
          <w:p>
            <w:pPr>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14.3.在合同签订时中标企业须同时提供履约保函；</w:t>
            </w:r>
          </w:p>
          <w:p>
            <w:pPr>
              <w:jc w:val="left"/>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14.4.</w:t>
            </w:r>
            <w:r>
              <w:rPr>
                <w:rFonts w:hint="eastAsia" w:ascii="宋体" w:hAnsi="宋体"/>
                <w:color w:val="auto"/>
                <w:szCs w:val="21"/>
                <w:highlight w:val="none"/>
                <w:shd w:val="clear" w:color="auto" w:fill="auto"/>
              </w:rPr>
              <w:t>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15</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olor w:val="auto"/>
                <w:szCs w:val="21"/>
                <w:highlight w:val="none"/>
                <w:shd w:val="clear" w:color="auto" w:fill="auto"/>
              </w:rPr>
              <w:t>开标程序</w:t>
            </w:r>
          </w:p>
        </w:tc>
        <w:tc>
          <w:tcPr>
            <w:tcW w:w="7680" w:type="dxa"/>
            <w:vAlign w:val="center"/>
          </w:tcPr>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资格审查文件：</w:t>
            </w:r>
          </w:p>
          <w:p>
            <w:pPr>
              <w:spacing w:line="360" w:lineRule="exact"/>
              <w:rPr>
                <w:rFonts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开标前，请各投标人将下</w:t>
            </w:r>
            <w:r>
              <w:rPr>
                <w:rFonts w:hint="eastAsia" w:ascii="宋体" w:hAnsi="宋体" w:cs="宋体"/>
                <w:color w:val="auto"/>
                <w:kern w:val="0"/>
                <w:szCs w:val="21"/>
                <w:highlight w:val="none"/>
                <w:shd w:val="clear" w:color="auto" w:fill="auto"/>
              </w:rPr>
              <w:t>列有效证件上传到“政采云”平台查验：</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r>
              <w:rPr>
                <w:rFonts w:hint="eastAsia" w:ascii="宋体" w:hAnsi="宋体"/>
                <w:color w:val="auto"/>
                <w:szCs w:val="21"/>
                <w:highlight w:val="none"/>
                <w:shd w:val="clear" w:color="auto" w:fill="auto"/>
              </w:rPr>
              <w:t>法定代表人（单位负责人）身份证明及本人身份证（或法定代表人授权委托书及委托代理人的身份证）</w:t>
            </w:r>
            <w:r>
              <w:rPr>
                <w:rFonts w:hint="eastAsia" w:ascii="宋体" w:hAnsi="宋体" w:cs="宋体"/>
                <w:color w:val="auto"/>
                <w:kern w:val="0"/>
                <w:szCs w:val="21"/>
                <w:highlight w:val="none"/>
                <w:shd w:val="clear" w:color="auto" w:fill="auto"/>
              </w:rPr>
              <w:t>；</w:t>
            </w:r>
          </w:p>
          <w:p>
            <w:pPr>
              <w:spacing w:line="360" w:lineRule="exac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（2）企业营业执照（要求投标人具有上述产品生产经营范围，三证合一）；</w:t>
            </w:r>
          </w:p>
          <w:p>
            <w:pPr>
              <w:spacing w:line="360" w:lineRule="exac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（3）《兽药经营许可证》或《兽药生产许可证》；</w:t>
            </w:r>
          </w:p>
          <w:p>
            <w:pPr>
              <w:spacing w:line="360" w:lineRule="exac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r>
              <w:rPr>
                <w:rFonts w:hint="eastAsia" w:ascii="宋体" w:hAnsi="宋体" w:cs="宋体"/>
                <w:color w:val="auto"/>
                <w:szCs w:val="21"/>
                <w:highlight w:val="none"/>
                <w:shd w:val="clear" w:color="auto" w:fill="auto"/>
              </w:rPr>
              <w:t>兽药产品批准文号；有效期内的兽药GMP证书；</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（5）企业2021或2022年度财务审计报告（新公司除外）（注：投标人的成立时间少于规定年份的，应提供成立以来的财务状况表）；</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（6）近一年被授权人及法定代表人的社保缴纳证明；</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（7）企业近一年完税证明；</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（8）针对本次项目的反商业贿赂承诺书；</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（9）供应商须在中国兽药信息网兽药产品登记提供登记截图（加盖企业公章）；</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（10）提供“信用中国”网站（www.creditchina.gov.cn ）、“国家企业信用信息公示系统” 网站 （www.gsxt.gov.cn/corp-query-homepage.html）中国政府采购网（www.ccgp.gov.cn ）、中国裁判文书网（https://wenshu.court.gov.cn/）查询结果打印件（加盖企业公章）；</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（11）投标保证金收据；</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（12）从未在新疆维吾尔自治区地州级范围内使用过的疫苗，须有小范围田间试验，并提供新疆维吾尔自治区或相关省份畜牧兽医主管部门出具的免疫效果检验评估报告；</w:t>
            </w:r>
          </w:p>
          <w:p>
            <w:pPr>
              <w:widowControl/>
              <w:spacing w:line="360" w:lineRule="exact"/>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开标顺序：以递交投标文件的确认收到时间正顺序依次唱标。</w:t>
            </w:r>
          </w:p>
          <w:p>
            <w:pPr>
              <w:jc w:val="left"/>
              <w:rPr>
                <w:rFonts w:ascii="宋体" w:hAnsi="宋体" w:cs="宋体"/>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备注：</w:t>
            </w:r>
            <w:r>
              <w:rPr>
                <w:rFonts w:hint="eastAsia" w:ascii="宋体" w:hAnsi="宋体"/>
                <w:b/>
                <w:bCs/>
                <w:color w:val="auto"/>
                <w:szCs w:val="21"/>
                <w:highlight w:val="none"/>
                <w:shd w:val="clear" w:color="auto" w:fill="auto"/>
              </w:rPr>
              <w:t>上述证件原件扫描加盖公章或电子章，证件齐全有效满足要求的投标人为有效投标人；上述证件的公证件，本次招标不予认可</w:t>
            </w:r>
            <w:r>
              <w:rPr>
                <w:rFonts w:hint="eastAsia" w:ascii="宋体" w:hAnsi="宋体" w:cs="宋体"/>
                <w:b/>
                <w:bCs/>
                <w:color w:val="auto"/>
                <w:szCs w:val="21"/>
                <w:highlight w:val="none"/>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16</w:t>
            </w:r>
          </w:p>
        </w:tc>
        <w:tc>
          <w:tcPr>
            <w:tcW w:w="1531" w:type="dxa"/>
            <w:vAlign w:val="center"/>
          </w:tcPr>
          <w:p>
            <w:pPr>
              <w:spacing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评标委员会的组建</w:t>
            </w:r>
          </w:p>
        </w:tc>
        <w:tc>
          <w:tcPr>
            <w:tcW w:w="7680" w:type="dxa"/>
            <w:vAlign w:val="center"/>
          </w:tcPr>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评标委员会构成：7人，其中采购人代表2人，评标专家5人。</w:t>
            </w:r>
          </w:p>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评标专家确定方式：评标专家由随机抽取的方式确定。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17</w:t>
            </w:r>
          </w:p>
        </w:tc>
        <w:tc>
          <w:tcPr>
            <w:tcW w:w="1531" w:type="dxa"/>
            <w:vAlign w:val="center"/>
          </w:tcPr>
          <w:p>
            <w:pPr>
              <w:spacing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是否采用电子招标投标</w:t>
            </w:r>
          </w:p>
        </w:tc>
        <w:tc>
          <w:tcPr>
            <w:tcW w:w="7680" w:type="dxa"/>
          </w:tcPr>
          <w:p>
            <w:pPr>
              <w:spacing w:line="3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□否</w:t>
            </w:r>
          </w:p>
          <w:p>
            <w:pPr>
              <w:adjustRightInd w:val="0"/>
              <w:snapToGrid w:val="0"/>
              <w:spacing w:line="40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■是，具体要求：</w:t>
            </w:r>
          </w:p>
          <w:p>
            <w:pPr>
              <w:adjustRightInd w:val="0"/>
              <w:snapToGrid w:val="0"/>
              <w:spacing w:line="400" w:lineRule="exact"/>
              <w:rPr>
                <w:rFonts w:ascii="宋体" w:hAnsi="宋体"/>
                <w:color w:val="auto"/>
                <w:szCs w:val="24"/>
                <w:highlight w:val="none"/>
                <w:shd w:val="clear" w:color="auto" w:fill="auto"/>
              </w:rPr>
            </w:pPr>
            <w:r>
              <w:rPr>
                <w:rFonts w:hint="eastAsia" w:ascii="Times New Roman" w:hAnsi="Times New Roman"/>
                <w:b/>
                <w:bCs/>
                <w:color w:val="auto"/>
                <w:szCs w:val="24"/>
                <w:highlight w:val="none"/>
                <w:shd w:val="clear" w:color="auto" w:fill="auto"/>
              </w:rPr>
              <w:t>1、</w:t>
            </w:r>
            <w:r>
              <w:rPr>
                <w:rFonts w:hint="eastAsia" w:ascii="宋体" w:hAnsi="宋体"/>
                <w:b/>
                <w:bCs/>
                <w:color w:val="auto"/>
                <w:szCs w:val="24"/>
                <w:highlight w:val="none"/>
                <w:shd w:val="clear" w:color="auto" w:fill="auto"/>
              </w:rPr>
              <w:t>投标文件解密时间：</w:t>
            </w:r>
            <w:r>
              <w:rPr>
                <w:rFonts w:hint="eastAsia" w:ascii="宋体" w:hAnsi="宋体"/>
                <w:color w:val="auto"/>
                <w:szCs w:val="24"/>
                <w:highlight w:val="none"/>
                <w:shd w:val="clear" w:color="auto" w:fill="auto"/>
              </w:rPr>
              <w:t>投标文件解密时间30分钟，开标前需投标单位</w:t>
            </w:r>
            <w:r>
              <w:rPr>
                <w:rFonts w:hint="eastAsia" w:ascii="宋体" w:hAnsi="宋体"/>
                <w:b/>
                <w:color w:val="auto"/>
                <w:szCs w:val="21"/>
                <w:highlight w:val="none"/>
                <w:u w:val="single"/>
                <w:shd w:val="clear" w:color="auto" w:fill="auto"/>
              </w:rPr>
              <w:t>用CA证书登录政采云平台开标大</w:t>
            </w:r>
            <w:r>
              <w:rPr>
                <w:rFonts w:hint="eastAsia" w:ascii="宋体" w:hAnsi="宋体"/>
                <w:color w:val="auto"/>
                <w:szCs w:val="24"/>
                <w:highlight w:val="none"/>
                <w:shd w:val="clear" w:color="auto" w:fill="auto"/>
              </w:rPr>
              <w:t>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adjustRightInd w:val="0"/>
              <w:snapToGrid w:val="0"/>
              <w:spacing w:line="400" w:lineRule="exact"/>
              <w:rPr>
                <w:rFonts w:ascii="宋体" w:hAnsi="宋体"/>
                <w:color w:val="auto"/>
                <w:szCs w:val="24"/>
                <w:highlight w:val="none"/>
                <w:shd w:val="clear" w:color="auto" w:fill="auto"/>
              </w:rPr>
            </w:pPr>
            <w:r>
              <w:rPr>
                <w:rFonts w:hint="eastAsia" w:ascii="宋体" w:hAnsi="宋体"/>
                <w:b/>
                <w:bCs/>
                <w:color w:val="auto"/>
                <w:szCs w:val="24"/>
                <w:highlight w:val="none"/>
                <w:shd w:val="clear" w:color="auto" w:fill="auto"/>
              </w:rPr>
              <w:t>2、供应商报价CA签字确认：</w:t>
            </w:r>
            <w:r>
              <w:rPr>
                <w:rFonts w:hint="eastAsia" w:ascii="宋体" w:hAnsi="宋体"/>
                <w:color w:val="auto"/>
                <w:szCs w:val="24"/>
                <w:highlight w:val="none"/>
                <w:shd w:val="clear" w:color="auto" w:fill="auto"/>
              </w:rPr>
              <w:t>报价文件开启后将开启签字时段，供应商须在20分钟内用CA证书对报价进行签字确认。</w:t>
            </w:r>
          </w:p>
          <w:p>
            <w:pPr>
              <w:adjustRightInd w:val="0"/>
              <w:snapToGrid w:val="0"/>
              <w:spacing w:line="400" w:lineRule="exact"/>
              <w:rPr>
                <w:rFonts w:ascii="宋体" w:hAnsi="宋体"/>
                <w:b/>
                <w:bCs/>
                <w:color w:val="auto"/>
                <w:szCs w:val="24"/>
                <w:highlight w:val="none"/>
                <w:shd w:val="clear" w:color="auto" w:fill="auto"/>
              </w:rPr>
            </w:pPr>
            <w:r>
              <w:rPr>
                <w:rFonts w:hint="eastAsia" w:ascii="宋体" w:hAnsi="宋体"/>
                <w:b/>
                <w:bCs/>
                <w:color w:val="auto"/>
                <w:szCs w:val="24"/>
                <w:highlight w:val="none"/>
                <w:shd w:val="clear" w:color="auto" w:fill="auto"/>
              </w:rPr>
              <w:t>3、备注:</w:t>
            </w:r>
          </w:p>
          <w:p>
            <w:pPr>
              <w:adjustRightInd w:val="0"/>
              <w:snapToGrid w:val="0"/>
              <w:spacing w:line="400" w:lineRule="exact"/>
              <w:rPr>
                <w:rFonts w:ascii="宋体" w:hAnsi="宋体"/>
                <w:color w:val="auto"/>
                <w:szCs w:val="24"/>
                <w:highlight w:val="none"/>
                <w:shd w:val="clear" w:color="auto" w:fill="auto"/>
              </w:rPr>
            </w:pPr>
            <w:r>
              <w:rPr>
                <w:rFonts w:hint="eastAsia" w:ascii="宋体" w:hAnsi="宋体"/>
                <w:color w:val="auto"/>
                <w:szCs w:val="24"/>
                <w:highlight w:val="none"/>
                <w:shd w:val="clear" w:color="auto" w:fill="auto"/>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rPr>
                <w:rFonts w:ascii="宋体" w:hAnsi="宋体"/>
                <w:color w:val="auto"/>
                <w:szCs w:val="24"/>
                <w:highlight w:val="none"/>
                <w:shd w:val="clear" w:color="auto" w:fill="auto"/>
              </w:rPr>
            </w:pPr>
            <w:r>
              <w:rPr>
                <w:rFonts w:hint="eastAsia" w:ascii="宋体" w:hAnsi="宋体"/>
                <w:color w:val="auto"/>
                <w:szCs w:val="24"/>
                <w:highlight w:val="none"/>
                <w:shd w:val="clear" w:color="auto" w:fill="auto"/>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rPr>
                <w:rFonts w:ascii="宋体" w:hAnsi="宋体"/>
                <w:color w:val="auto"/>
                <w:szCs w:val="24"/>
                <w:highlight w:val="none"/>
                <w:shd w:val="clear" w:color="auto" w:fill="auto"/>
              </w:rPr>
            </w:pPr>
            <w:r>
              <w:rPr>
                <w:rFonts w:hint="eastAsia" w:ascii="宋体" w:hAnsi="宋体"/>
                <w:color w:val="auto"/>
                <w:szCs w:val="24"/>
                <w:highlight w:val="none"/>
                <w:shd w:val="clear" w:color="auto" w:fill="auto"/>
              </w:rPr>
              <w:t>（3）供应商应当在投标截止时间前，将“电子招投标供应商客户端”生成的“电子加密投标文件”上传电子交易平台。</w:t>
            </w:r>
          </w:p>
          <w:p>
            <w:pPr>
              <w:spacing w:line="360" w:lineRule="exact"/>
              <w:rPr>
                <w:rFonts w:ascii="宋体" w:hAnsi="宋体"/>
                <w:color w:val="auto"/>
                <w:szCs w:val="21"/>
                <w:highlight w:val="none"/>
                <w:shd w:val="clear" w:color="auto" w:fill="auto"/>
              </w:rPr>
            </w:pPr>
            <w:r>
              <w:rPr>
                <w:rFonts w:hint="eastAsia" w:ascii="宋体" w:hAnsi="宋体"/>
                <w:color w:val="auto"/>
                <w:szCs w:val="24"/>
                <w:highlight w:val="none"/>
                <w:shd w:val="clear" w:color="auto" w:fill="auto"/>
              </w:rPr>
              <w:t>（5）服务与支持。各政府采购代理机构（含集采机构）及供应商对不见面开评标系统的技术操作咨询，可通过</w:t>
            </w:r>
            <w:r>
              <w:rPr>
                <w:color w:val="auto"/>
                <w:highlight w:val="none"/>
                <w:shd w:val="clear" w:color="auto" w:fill="auto"/>
              </w:rPr>
              <w:fldChar w:fldCharType="begin"/>
            </w:r>
            <w:r>
              <w:rPr>
                <w:color w:val="auto"/>
                <w:highlight w:val="none"/>
                <w:shd w:val="clear" w:color="auto" w:fill="auto"/>
              </w:rPr>
              <w:instrText xml:space="preserve"> HYPERLINK "https://edu.zcygov.cn/luban/xinjiang-e-biding" </w:instrText>
            </w:r>
            <w:r>
              <w:rPr>
                <w:color w:val="auto"/>
                <w:highlight w:val="none"/>
                <w:shd w:val="clear" w:color="auto" w:fill="auto"/>
              </w:rPr>
              <w:fldChar w:fldCharType="separate"/>
            </w:r>
            <w:r>
              <w:rPr>
                <w:rFonts w:hint="eastAsia" w:ascii="宋体" w:hAnsi="宋体"/>
                <w:color w:val="auto"/>
                <w:szCs w:val="24"/>
                <w:highlight w:val="none"/>
                <w:shd w:val="clear" w:color="auto" w:fill="auto"/>
              </w:rPr>
              <w:t>https://edu.zcygov.cn/luban/xinjiang-e-biding</w:t>
            </w:r>
            <w:r>
              <w:rPr>
                <w:rFonts w:hint="eastAsia" w:ascii="宋体" w:hAnsi="宋体"/>
                <w:color w:val="auto"/>
                <w:szCs w:val="24"/>
                <w:highlight w:val="none"/>
                <w:shd w:val="clear" w:color="auto" w:fill="auto"/>
              </w:rPr>
              <w:fldChar w:fldCharType="end"/>
            </w:r>
            <w:r>
              <w:rPr>
                <w:rFonts w:hint="eastAsia" w:ascii="宋体" w:hAnsi="宋体"/>
                <w:color w:val="auto"/>
                <w:szCs w:val="24"/>
                <w:highlight w:val="none"/>
                <w:shd w:val="clear" w:color="auto" w:fill="auto"/>
              </w:rPr>
              <w:t>自助查询，也可在政采云帮助中心常见问题解答和操作流程讲解视频中自助查询，网址为：</w:t>
            </w:r>
            <w:r>
              <w:rPr>
                <w:color w:val="auto"/>
                <w:highlight w:val="none"/>
                <w:shd w:val="clear" w:color="auto" w:fill="auto"/>
              </w:rPr>
              <w:fldChar w:fldCharType="begin"/>
            </w:r>
            <w:r>
              <w:rPr>
                <w:color w:val="auto"/>
                <w:highlight w:val="none"/>
                <w:shd w:val="clear" w:color="auto" w:fill="auto"/>
              </w:rPr>
              <w:instrText xml:space="preserve"> HYPERLINK "https://service.zcygov.cn/" \l "/help" </w:instrText>
            </w:r>
            <w:r>
              <w:rPr>
                <w:color w:val="auto"/>
                <w:highlight w:val="none"/>
                <w:shd w:val="clear" w:color="auto" w:fill="auto"/>
              </w:rPr>
              <w:fldChar w:fldCharType="separate"/>
            </w:r>
            <w:r>
              <w:rPr>
                <w:rFonts w:hint="eastAsia" w:ascii="宋体" w:hAnsi="宋体"/>
                <w:color w:val="auto"/>
                <w:szCs w:val="24"/>
                <w:highlight w:val="none"/>
                <w:shd w:val="clear" w:color="auto" w:fill="auto"/>
              </w:rPr>
              <w:t>https://service.zcygov.cn/#/help</w:t>
            </w:r>
            <w:r>
              <w:rPr>
                <w:rFonts w:hint="eastAsia" w:ascii="宋体" w:hAnsi="宋体"/>
                <w:color w:val="auto"/>
                <w:szCs w:val="24"/>
                <w:highlight w:val="none"/>
                <w:shd w:val="clear" w:color="auto" w:fill="auto"/>
              </w:rPr>
              <w:fldChar w:fldCharType="end"/>
            </w:r>
            <w:r>
              <w:rPr>
                <w:rFonts w:hint="eastAsia" w:ascii="宋体" w:hAnsi="宋体"/>
                <w:color w:val="auto"/>
                <w:szCs w:val="24"/>
                <w:highlight w:val="none"/>
                <w:shd w:val="clear" w:color="auto" w:fill="auto"/>
              </w:rPr>
              <w:t>，“项目采购—操作流程—电子招投标—政府采购项目电子交易管理操作指南-供应商”版面获取操作指南，同时对自助查询无法解决的问题可通过钉钉群及政采云在线客服获取服务支</w:t>
            </w:r>
            <w:r>
              <w:rPr>
                <w:rFonts w:ascii="宋体" w:hAnsi="宋体"/>
                <w:color w:val="auto"/>
                <w:szCs w:val="24"/>
                <w:highlight w:val="none"/>
                <w:shd w:val="clear" w:color="auto" w:fill="auto"/>
              </w:rPr>
              <w:t>持。</w:t>
            </w:r>
            <w:r>
              <w:rPr>
                <w:rFonts w:hint="eastAsia" w:ascii="宋体" w:hAnsi="宋体"/>
                <w:color w:val="auto"/>
                <w:szCs w:val="24"/>
                <w:highlight w:val="none"/>
                <w:shd w:val="clear" w:color="auto" w:fill="auto"/>
              </w:rPr>
              <w:t>政采云热线人工号码：400-881-7190（工作时间：工作日08:00~20：00）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18</w:t>
            </w:r>
          </w:p>
        </w:tc>
        <w:tc>
          <w:tcPr>
            <w:tcW w:w="1531" w:type="dxa"/>
            <w:vAlign w:val="center"/>
          </w:tcPr>
          <w:p>
            <w:pPr>
              <w:keepNext/>
              <w:widowControl/>
              <w:jc w:val="distribute"/>
              <w:rPr>
                <w:rFonts w:ascii="宋体" w:hAnsi="宋体" w:cs="黑体"/>
                <w:color w:val="auto"/>
                <w:kern w:val="0"/>
                <w:szCs w:val="21"/>
                <w:highlight w:val="none"/>
                <w:shd w:val="clear" w:color="auto" w:fill="auto"/>
              </w:rPr>
            </w:pPr>
            <w:r>
              <w:rPr>
                <w:rFonts w:hint="eastAsia" w:ascii="宋体" w:hAnsi="宋体" w:cs="黑体"/>
                <w:color w:val="auto"/>
                <w:kern w:val="0"/>
                <w:szCs w:val="21"/>
                <w:highlight w:val="none"/>
                <w:shd w:val="clear" w:color="auto" w:fill="auto"/>
              </w:rPr>
              <w:t>投标人应考虑多方因素</w:t>
            </w:r>
          </w:p>
        </w:tc>
        <w:tc>
          <w:tcPr>
            <w:tcW w:w="7680" w:type="dxa"/>
            <w:vAlign w:val="center"/>
          </w:tcPr>
          <w:p>
            <w:pPr>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1.采购人根据中标企业生产规模、供货能力、社会公认度及工作实际需要情况综合分配供货比例；</w:t>
            </w:r>
          </w:p>
          <w:p>
            <w:pPr>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2.国家政策调整或取消该招标品种的，该品种将不再列入招标计划或如果已经进行了招标的该品种将作为无效招标处理，由此产生的一切费用和损失由投标人承担，采购人不承担任何责任；</w:t>
            </w:r>
          </w:p>
          <w:p>
            <w:pPr>
              <w:widowControl/>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3、质保期：除“产品需求一览表”载明的特殊规定外，本项目质保期不得少于9个月；</w:t>
            </w:r>
          </w:p>
          <w:p>
            <w:pPr>
              <w:widowControl/>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4、质量要求：合格；</w:t>
            </w:r>
          </w:p>
          <w:p>
            <w:pPr>
              <w:widowControl/>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5、售后服务响应时间：本项目的售后服务响应时间为2小时；</w:t>
            </w:r>
          </w:p>
          <w:p>
            <w:pPr>
              <w:widowControl/>
              <w:spacing w:line="360" w:lineRule="exact"/>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6、为确保投标人充分了解采购需求，投标人须认真阅读第五章供货需求；</w:t>
            </w:r>
          </w:p>
          <w:p>
            <w:pPr>
              <w:pStyle w:val="2"/>
              <w:spacing w:before="0" w:line="360" w:lineRule="exact"/>
              <w:jc w:val="left"/>
              <w:rPr>
                <w:rFonts w:ascii="宋体" w:hAnsi="宋体" w:eastAsia="宋体"/>
                <w:bCs/>
                <w:color w:val="auto"/>
                <w:kern w:val="2"/>
                <w:sz w:val="21"/>
                <w:szCs w:val="21"/>
                <w:highlight w:val="none"/>
                <w:shd w:val="clear" w:color="auto" w:fill="auto"/>
              </w:rPr>
            </w:pPr>
            <w:r>
              <w:rPr>
                <w:rFonts w:hint="eastAsia" w:ascii="宋体" w:hAnsi="宋体" w:eastAsia="宋体"/>
                <w:bCs/>
                <w:color w:val="auto"/>
                <w:kern w:val="2"/>
                <w:sz w:val="21"/>
                <w:szCs w:val="21"/>
                <w:highlight w:val="none"/>
                <w:shd w:val="clear" w:color="auto" w:fill="auto"/>
              </w:rPr>
              <w:t>7、投标文件中描述的投标货物参数与投标人提供的产品实物必须完全吻合，严禁弄虚作假以次充好骗取评标加分；如投标人违反上述规定，评标委员会将否决其投标，采购人将没收其投标保证金并提请行业监管部门将该投标人列入“严重违法失信行为记录名单”中，三年内禁止参加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spacing w:line="360" w:lineRule="exact"/>
              <w:jc w:val="center"/>
              <w:rPr>
                <w:rFonts w:ascii="宋体" w:hAnsi="宋体"/>
                <w:color w:val="auto"/>
                <w:kern w:val="0"/>
                <w:szCs w:val="21"/>
                <w:highlight w:val="none"/>
                <w:shd w:val="clear" w:color="auto" w:fill="auto"/>
              </w:rPr>
            </w:pPr>
            <w:r>
              <w:rPr>
                <w:rFonts w:hint="eastAsia" w:ascii="宋体" w:hAnsi="宋体"/>
                <w:color w:val="auto"/>
                <w:szCs w:val="21"/>
                <w:highlight w:val="none"/>
                <w:shd w:val="clear" w:color="auto" w:fill="auto"/>
              </w:rPr>
              <w:t>19</w:t>
            </w:r>
          </w:p>
        </w:tc>
        <w:tc>
          <w:tcPr>
            <w:tcW w:w="1531" w:type="dxa"/>
            <w:vAlign w:val="center"/>
          </w:tcPr>
          <w:p>
            <w:pPr>
              <w:spacing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本项目所属</w:t>
            </w:r>
          </w:p>
          <w:p>
            <w:pPr>
              <w:spacing w:line="360" w:lineRule="exact"/>
              <w:jc w:val="center"/>
              <w:rPr>
                <w:rFonts w:ascii="宋体" w:hAnsi="宋体" w:cs="黑体"/>
                <w:color w:val="auto"/>
                <w:kern w:val="0"/>
                <w:szCs w:val="21"/>
                <w:highlight w:val="none"/>
                <w:shd w:val="clear" w:color="auto" w:fill="auto"/>
              </w:rPr>
            </w:pPr>
            <w:r>
              <w:rPr>
                <w:rFonts w:hint="eastAsia" w:ascii="宋体" w:hAnsi="宋体"/>
                <w:color w:val="auto"/>
                <w:szCs w:val="21"/>
                <w:highlight w:val="none"/>
                <w:shd w:val="clear" w:color="auto" w:fill="auto"/>
              </w:rPr>
              <w:t>行业</w:t>
            </w:r>
          </w:p>
        </w:tc>
        <w:tc>
          <w:tcPr>
            <w:tcW w:w="7680" w:type="dxa"/>
            <w:vAlign w:val="center"/>
          </w:tcPr>
          <w:p>
            <w:pPr>
              <w:spacing w:line="360" w:lineRule="exact"/>
              <w:jc w:val="left"/>
              <w:rPr>
                <w:rFonts w:ascii="宋体" w:hAnsi="宋体"/>
                <w:b/>
                <w:bCs/>
                <w:color w:val="auto"/>
                <w:szCs w:val="21"/>
                <w:highlight w:val="none"/>
                <w:shd w:val="clear" w:color="auto" w:fill="auto"/>
              </w:rPr>
            </w:pPr>
            <w:r>
              <w:rPr>
                <w:rFonts w:hint="eastAsia" w:ascii="宋体" w:hAnsi="宋体"/>
                <w:color w:val="auto"/>
                <w:szCs w:val="21"/>
                <w:highlight w:val="none"/>
                <w:shd w:val="clear" w:color="auto" w:fill="auto"/>
              </w:rPr>
              <w:t>工业</w:t>
            </w:r>
          </w:p>
        </w:tc>
      </w:tr>
    </w:tbl>
    <w:p>
      <w:pPr>
        <w:ind w:firstLine="211" w:firstLineChars="100"/>
        <w:jc w:val="lef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本表是本</w:t>
      </w:r>
      <w:r>
        <w:rPr>
          <w:rFonts w:ascii="宋体" w:hAnsi="宋体"/>
          <w:b/>
          <w:bCs/>
          <w:color w:val="auto"/>
          <w:szCs w:val="21"/>
          <w:highlight w:val="none"/>
          <w:shd w:val="clear" w:color="auto" w:fill="auto"/>
        </w:rPr>
        <w:t>招标项目</w:t>
      </w:r>
      <w:r>
        <w:rPr>
          <w:rFonts w:hint="eastAsia" w:ascii="宋体" w:hAnsi="宋体"/>
          <w:b/>
          <w:bCs/>
          <w:color w:val="auto"/>
          <w:szCs w:val="21"/>
          <w:highlight w:val="none"/>
          <w:shd w:val="clear" w:color="auto" w:fill="auto"/>
        </w:rPr>
        <w:t>的具体资料，是对投标人须知的具体补充和修改，如有矛盾，以本资料表为准。</w:t>
      </w:r>
      <w:bookmarkStart w:id="11" w:name="_Toc14733"/>
    </w:p>
    <w:p>
      <w:pPr>
        <w:ind w:firstLine="320" w:firstLineChars="100"/>
        <w:jc w:val="center"/>
        <w:rPr>
          <w:rFonts w:ascii="黑体" w:hAnsi="黑体" w:eastAsia="黑体" w:cs="黑体"/>
          <w:color w:val="auto"/>
          <w:sz w:val="32"/>
          <w:szCs w:val="32"/>
          <w:highlight w:val="none"/>
          <w:shd w:val="clear" w:color="auto" w:fill="auto"/>
        </w:rPr>
      </w:pPr>
    </w:p>
    <w:p>
      <w:pPr>
        <w:ind w:firstLine="320" w:firstLineChars="100"/>
        <w:jc w:val="center"/>
        <w:rPr>
          <w:rFonts w:ascii="黑体" w:hAnsi="黑体" w:eastAsia="黑体" w:cs="黑体"/>
          <w:color w:val="auto"/>
          <w:sz w:val="32"/>
          <w:szCs w:val="32"/>
          <w:highlight w:val="none"/>
          <w:shd w:val="clear" w:color="auto" w:fill="auto"/>
        </w:rPr>
      </w:pPr>
    </w:p>
    <w:p>
      <w:pPr>
        <w:jc w:val="center"/>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第三章 投标须知</w:t>
      </w:r>
      <w:bookmarkEnd w:id="11"/>
      <w:bookmarkStart w:id="12" w:name="_BookMark_2"/>
      <w:bookmarkEnd w:id="12"/>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13" w:name="_Toc30774"/>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第一节 总则</w:t>
      </w:r>
      <w:bookmarkEnd w:id="13"/>
    </w:p>
    <w:p>
      <w:pPr>
        <w:widowControl/>
        <w:shd w:val="clear" w:color="auto" w:fill="FFFFFF"/>
        <w:snapToGrid w:val="0"/>
        <w:spacing w:line="360" w:lineRule="auto"/>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1.1 项目适用范围</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根据《中华人民共和国政府采购法》、《中华人民共和国政府采购法实施条例》、《政府采购货物和服务招标投标管理办法》（财政部令第87号）等有关法律、法规和规章的规定，本招标项目已具备招标条件，现对本次货物采购及服务进行招标。</w:t>
      </w:r>
    </w:p>
    <w:p>
      <w:pPr>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1.2 项目的一般概述</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1.2.1 采购人：见投标人须知前附表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1.2.2 采购代理机构：见投标人须知前附表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1.2.3 项目名称、编号、地址：见投标人须知前附表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1.2.4 供货时间、地址：见投标人须知前附表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1.2.5 采购需求：见投标人须知前附表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1.2.6 投标人应考虑多方因素：见投标人须知前附表。</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 xml:space="preserve">1.3 </w:t>
      </w:r>
      <w:r>
        <w:rPr>
          <w:rFonts w:hint="eastAsia" w:ascii="宋体" w:hAnsi="宋体" w:cs="Arial"/>
          <w:b/>
          <w:bCs/>
          <w:color w:val="auto"/>
          <w:kern w:val="0"/>
          <w:szCs w:val="21"/>
          <w:highlight w:val="none"/>
          <w:shd w:val="clear" w:color="auto" w:fill="auto"/>
        </w:rPr>
        <w:t>费用承担</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1.3.1招标文件费：见投标人须知前附表。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1.3.2</w:t>
      </w:r>
      <w:r>
        <w:rPr>
          <w:rFonts w:hint="eastAsia" w:ascii="宋体" w:hAnsi="宋体" w:cstheme="majorEastAsia"/>
          <w:color w:val="auto"/>
          <w:szCs w:val="21"/>
          <w:highlight w:val="none"/>
          <w:shd w:val="clear" w:color="auto" w:fill="auto"/>
        </w:rPr>
        <w:t>投标人自行承担响应招标、参加投标竞争的一切费用。不论投标的结果如何，采购人或采购代理机构在任何情况下均无义务和责任,承担因投标所发生的一切费用。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1.3.3</w:t>
      </w:r>
      <w:r>
        <w:rPr>
          <w:rFonts w:ascii="宋体" w:hAnsi="宋体" w:cs="Arial"/>
          <w:color w:val="auto"/>
          <w:szCs w:val="21"/>
          <w:highlight w:val="none"/>
          <w:shd w:val="clear" w:color="auto" w:fill="auto"/>
        </w:rPr>
        <w:t>招标代理服务费</w:t>
      </w:r>
      <w:r>
        <w:rPr>
          <w:rFonts w:hint="eastAsia" w:ascii="宋体" w:hAnsi="宋体" w:cs="Arial"/>
          <w:color w:val="auto"/>
          <w:szCs w:val="21"/>
          <w:highlight w:val="none"/>
          <w:shd w:val="clear" w:color="auto" w:fill="auto"/>
        </w:rPr>
        <w:t>在中标结果公告发出后2个工作日内</w:t>
      </w:r>
      <w:r>
        <w:rPr>
          <w:rFonts w:ascii="宋体" w:hAnsi="宋体" w:cs="Arial"/>
          <w:color w:val="auto"/>
          <w:szCs w:val="21"/>
          <w:highlight w:val="none"/>
          <w:shd w:val="clear" w:color="auto" w:fill="auto"/>
        </w:rPr>
        <w:t>由</w:t>
      </w:r>
      <w:r>
        <w:rPr>
          <w:rFonts w:hint="eastAsia" w:ascii="宋体" w:hAnsi="宋体" w:cs="Arial"/>
          <w:color w:val="auto"/>
          <w:szCs w:val="21"/>
          <w:highlight w:val="none"/>
          <w:shd w:val="clear" w:color="auto" w:fill="auto"/>
        </w:rPr>
        <w:t>中标企业</w:t>
      </w:r>
      <w:r>
        <w:rPr>
          <w:rFonts w:ascii="宋体" w:hAnsi="宋体" w:cs="Arial"/>
          <w:color w:val="auto"/>
          <w:szCs w:val="21"/>
          <w:highlight w:val="none"/>
          <w:shd w:val="clear" w:color="auto" w:fill="auto"/>
        </w:rPr>
        <w:t>支付</w:t>
      </w:r>
      <w:r>
        <w:rPr>
          <w:rFonts w:hint="eastAsia" w:ascii="宋体" w:hAnsi="宋体" w:cstheme="majorEastAsia"/>
          <w:color w:val="auto"/>
          <w:szCs w:val="21"/>
          <w:highlight w:val="none"/>
          <w:shd w:val="clear" w:color="auto" w:fill="auto"/>
        </w:rPr>
        <w:t>。</w:t>
      </w:r>
    </w:p>
    <w:p>
      <w:pPr>
        <w:pStyle w:val="4"/>
        <w:spacing w:line="360" w:lineRule="auto"/>
        <w:ind w:firstLineChars="200"/>
        <w:rPr>
          <w:rFonts w:ascii="宋体" w:hAnsi="宋体"/>
          <w:color w:val="auto"/>
          <w:szCs w:val="21"/>
          <w:highlight w:val="none"/>
          <w:shd w:val="clear" w:color="auto" w:fill="auto"/>
        </w:rPr>
      </w:pPr>
      <w:r>
        <w:rPr>
          <w:rFonts w:hint="eastAsia" w:ascii="宋体" w:hAnsi="宋体" w:cs="Arial"/>
          <w:color w:val="auto"/>
          <w:kern w:val="0"/>
          <w:szCs w:val="21"/>
          <w:highlight w:val="none"/>
          <w:shd w:val="clear" w:color="auto" w:fill="auto"/>
        </w:rPr>
        <w:t>1.3.4</w:t>
      </w:r>
      <w:r>
        <w:rPr>
          <w:rFonts w:hint="eastAsia" w:ascii="宋体" w:hAnsi="宋体" w:cs="宋体"/>
          <w:color w:val="auto"/>
          <w:szCs w:val="21"/>
          <w:highlight w:val="none"/>
          <w:shd w:val="clear" w:color="auto" w:fill="auto"/>
        </w:rPr>
        <w:t>如</w:t>
      </w:r>
      <w:r>
        <w:rPr>
          <w:rFonts w:hint="eastAsia" w:ascii="宋体" w:hAnsi="宋体" w:cs="Arial"/>
          <w:color w:val="auto"/>
          <w:szCs w:val="21"/>
          <w:highlight w:val="none"/>
          <w:shd w:val="clear" w:color="auto" w:fill="auto"/>
        </w:rPr>
        <w:t>中标企业</w:t>
      </w:r>
      <w:r>
        <w:rPr>
          <w:rFonts w:hint="eastAsia" w:ascii="宋体" w:hAnsi="宋体" w:cs="宋体"/>
          <w:color w:val="auto"/>
          <w:szCs w:val="21"/>
          <w:highlight w:val="none"/>
          <w:shd w:val="clear" w:color="auto" w:fill="auto"/>
        </w:rPr>
        <w:t>未在规定时间内向采购代理机构支付招标代理服务费，</w:t>
      </w:r>
      <w:r>
        <w:rPr>
          <w:rFonts w:hint="eastAsia" w:ascii="宋体" w:hAnsi="宋体" w:cs="Arial"/>
          <w:color w:val="auto"/>
          <w:szCs w:val="21"/>
          <w:highlight w:val="none"/>
          <w:shd w:val="clear" w:color="auto" w:fill="auto"/>
        </w:rPr>
        <w:t>中标企业承诺同意应当支付的招标代理服务费从其</w:t>
      </w:r>
      <w:r>
        <w:rPr>
          <w:rFonts w:hint="eastAsia" w:ascii="宋体" w:hAnsi="宋体" w:cs="宋体"/>
          <w:color w:val="auto"/>
          <w:szCs w:val="21"/>
          <w:highlight w:val="none"/>
          <w:shd w:val="clear" w:color="auto" w:fill="auto"/>
        </w:rPr>
        <w:t>递交的投标保证金中扣除</w:t>
      </w:r>
      <w:r>
        <w:rPr>
          <w:rFonts w:hint="eastAsia" w:ascii="宋体" w:hAnsi="宋体" w:cstheme="minorEastAsia"/>
          <w:color w:val="auto"/>
          <w:szCs w:val="21"/>
          <w:highlight w:val="none"/>
          <w:shd w:val="clear" w:color="auto" w:fill="auto"/>
        </w:rPr>
        <w:t>。</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ascii="宋体" w:hAnsi="宋体" w:cs="Arial"/>
          <w:b/>
          <w:bCs/>
          <w:color w:val="auto"/>
          <w:kern w:val="0"/>
          <w:szCs w:val="21"/>
          <w:highlight w:val="none"/>
          <w:shd w:val="clear" w:color="auto" w:fill="auto"/>
        </w:rPr>
        <w:t>1.</w:t>
      </w:r>
      <w:r>
        <w:rPr>
          <w:rFonts w:hint="eastAsia" w:ascii="宋体" w:hAnsi="宋体" w:cs="Arial"/>
          <w:b/>
          <w:bCs/>
          <w:color w:val="auto"/>
          <w:kern w:val="0"/>
          <w:szCs w:val="21"/>
          <w:highlight w:val="none"/>
          <w:shd w:val="clear" w:color="auto" w:fill="auto"/>
        </w:rPr>
        <w:t>4投标保证金</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1.4.1投标人在提交投标文件时，应提交不少于《投标人须知前附表》第</w:t>
      </w:r>
      <w:r>
        <w:rPr>
          <w:rFonts w:hint="eastAsia" w:ascii="宋体" w:hAnsi="宋体" w:cstheme="majorEastAsia"/>
          <w:color w:val="auto"/>
          <w:szCs w:val="21"/>
          <w:highlight w:val="none"/>
          <w:u w:val="single"/>
          <w:shd w:val="clear" w:color="auto" w:fill="auto"/>
        </w:rPr>
        <w:t xml:space="preserve"> 8 </w:t>
      </w:r>
      <w:r>
        <w:rPr>
          <w:rFonts w:hint="eastAsia" w:ascii="宋体" w:hAnsi="宋体" w:cstheme="majorEastAsia"/>
          <w:color w:val="auto"/>
          <w:szCs w:val="21"/>
          <w:highlight w:val="none"/>
          <w:shd w:val="clear" w:color="auto" w:fill="auto"/>
        </w:rPr>
        <w:t>条约定的投标保证金数额，按要求缴纳；并作为其投标的一部分。</w:t>
      </w:r>
    </w:p>
    <w:p>
      <w:pPr>
        <w:spacing w:line="360" w:lineRule="auto"/>
        <w:ind w:firstLine="211" w:firstLineChars="100"/>
        <w:jc w:val="left"/>
        <w:rPr>
          <w:rFonts w:ascii="宋体" w:hAnsi="宋体"/>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（1）</w:t>
      </w:r>
      <w:r>
        <w:rPr>
          <w:rFonts w:hint="eastAsia" w:ascii="宋体" w:hAnsi="宋体"/>
          <w:b/>
          <w:bCs/>
          <w:color w:val="auto"/>
          <w:kern w:val="0"/>
          <w:szCs w:val="21"/>
          <w:highlight w:val="none"/>
          <w:shd w:val="clear" w:color="auto" w:fill="auto"/>
        </w:rPr>
        <w:t>投标保证金额缴纳形式：</w:t>
      </w:r>
      <w:r>
        <w:rPr>
          <w:rFonts w:hint="eastAsia" w:ascii="宋体" w:hAnsi="宋体"/>
          <w:b/>
          <w:bCs/>
          <w:color w:val="auto"/>
          <w:kern w:val="0"/>
          <w:szCs w:val="21"/>
          <w:highlight w:val="none"/>
          <w:shd w:val="clear" w:color="auto" w:fill="auto"/>
        </w:rPr>
        <w:fldChar w:fldCharType="begin"/>
      </w:r>
      <w:r>
        <w:rPr>
          <w:rFonts w:hint="eastAsia" w:ascii="宋体" w:hAnsi="宋体"/>
          <w:b/>
          <w:bCs/>
          <w:color w:val="auto"/>
          <w:kern w:val="0"/>
          <w:szCs w:val="21"/>
          <w:highlight w:val="none"/>
          <w:shd w:val="clear" w:color="auto" w:fill="auto"/>
        </w:rPr>
        <w:instrText xml:space="preserve"> = 1 \* GB3 \* MERGEFORMAT </w:instrText>
      </w:r>
      <w:r>
        <w:rPr>
          <w:rFonts w:hint="eastAsia" w:ascii="宋体" w:hAnsi="宋体"/>
          <w:b/>
          <w:bCs/>
          <w:color w:val="auto"/>
          <w:kern w:val="0"/>
          <w:szCs w:val="21"/>
          <w:highlight w:val="none"/>
          <w:shd w:val="clear" w:color="auto" w:fill="auto"/>
        </w:rPr>
        <w:fldChar w:fldCharType="separate"/>
      </w:r>
      <w:r>
        <w:rPr>
          <w:rFonts w:hint="eastAsia" w:ascii="宋体" w:hAnsi="宋体"/>
          <w:b/>
          <w:bCs/>
          <w:color w:val="auto"/>
          <w:kern w:val="0"/>
          <w:szCs w:val="21"/>
          <w:highlight w:val="none"/>
          <w:shd w:val="clear" w:color="auto" w:fill="auto"/>
        </w:rPr>
        <w:t>①</w:t>
      </w:r>
      <w:r>
        <w:rPr>
          <w:rFonts w:hint="eastAsia" w:ascii="宋体" w:hAnsi="宋体"/>
          <w:b/>
          <w:bCs/>
          <w:color w:val="auto"/>
          <w:kern w:val="0"/>
          <w:szCs w:val="21"/>
          <w:highlight w:val="none"/>
          <w:shd w:val="clear" w:color="auto" w:fill="auto"/>
        </w:rPr>
        <w:fldChar w:fldCharType="end"/>
      </w:r>
      <w:r>
        <w:rPr>
          <w:rFonts w:hint="eastAsia" w:ascii="宋体" w:hAnsi="宋体"/>
          <w:b/>
          <w:bCs/>
          <w:color w:val="auto"/>
          <w:kern w:val="0"/>
          <w:szCs w:val="21"/>
          <w:highlight w:val="none"/>
          <w:shd w:val="clear" w:color="auto" w:fill="auto"/>
        </w:rPr>
        <w:t>支票；</w:t>
      </w:r>
      <w:r>
        <w:rPr>
          <w:rFonts w:hint="eastAsia" w:ascii="宋体" w:hAnsi="宋体"/>
          <w:b/>
          <w:bCs/>
          <w:color w:val="auto"/>
          <w:kern w:val="0"/>
          <w:szCs w:val="21"/>
          <w:highlight w:val="none"/>
          <w:shd w:val="clear" w:color="auto" w:fill="auto"/>
        </w:rPr>
        <w:fldChar w:fldCharType="begin"/>
      </w:r>
      <w:r>
        <w:rPr>
          <w:rFonts w:hint="eastAsia" w:ascii="宋体" w:hAnsi="宋体"/>
          <w:b/>
          <w:bCs/>
          <w:color w:val="auto"/>
          <w:kern w:val="0"/>
          <w:szCs w:val="21"/>
          <w:highlight w:val="none"/>
          <w:shd w:val="clear" w:color="auto" w:fill="auto"/>
        </w:rPr>
        <w:instrText xml:space="preserve"> = 2 \* GB3 \* MERGEFORMAT </w:instrText>
      </w:r>
      <w:r>
        <w:rPr>
          <w:rFonts w:hint="eastAsia" w:ascii="宋体" w:hAnsi="宋体"/>
          <w:b/>
          <w:bCs/>
          <w:color w:val="auto"/>
          <w:kern w:val="0"/>
          <w:szCs w:val="21"/>
          <w:highlight w:val="none"/>
          <w:shd w:val="clear" w:color="auto" w:fill="auto"/>
        </w:rPr>
        <w:fldChar w:fldCharType="separate"/>
      </w:r>
      <w:r>
        <w:rPr>
          <w:rFonts w:hint="eastAsia" w:ascii="宋体" w:hAnsi="宋体"/>
          <w:b/>
          <w:bCs/>
          <w:color w:val="auto"/>
          <w:kern w:val="0"/>
          <w:szCs w:val="21"/>
          <w:highlight w:val="none"/>
          <w:shd w:val="clear" w:color="auto" w:fill="auto"/>
        </w:rPr>
        <w:t>②</w:t>
      </w:r>
      <w:r>
        <w:rPr>
          <w:rFonts w:hint="eastAsia" w:ascii="宋体" w:hAnsi="宋体"/>
          <w:b/>
          <w:bCs/>
          <w:color w:val="auto"/>
          <w:kern w:val="0"/>
          <w:szCs w:val="21"/>
          <w:highlight w:val="none"/>
          <w:shd w:val="clear" w:color="auto" w:fill="auto"/>
        </w:rPr>
        <w:fldChar w:fldCharType="end"/>
      </w:r>
      <w:r>
        <w:rPr>
          <w:rFonts w:hint="eastAsia" w:ascii="宋体" w:hAnsi="宋体"/>
          <w:b/>
          <w:bCs/>
          <w:color w:val="auto"/>
          <w:kern w:val="0"/>
          <w:szCs w:val="21"/>
          <w:highlight w:val="none"/>
          <w:shd w:val="clear" w:color="auto" w:fill="auto"/>
        </w:rPr>
        <w:t>电汇；</w:t>
      </w:r>
      <w:r>
        <w:rPr>
          <w:rFonts w:hint="eastAsia" w:ascii="宋体" w:hAnsi="宋体"/>
          <w:b/>
          <w:bCs/>
          <w:color w:val="auto"/>
          <w:kern w:val="0"/>
          <w:szCs w:val="21"/>
          <w:highlight w:val="none"/>
          <w:shd w:val="clear" w:color="auto" w:fill="auto"/>
        </w:rPr>
        <w:fldChar w:fldCharType="begin"/>
      </w:r>
      <w:r>
        <w:rPr>
          <w:rFonts w:hint="eastAsia" w:ascii="宋体" w:hAnsi="宋体"/>
          <w:b/>
          <w:bCs/>
          <w:color w:val="auto"/>
          <w:kern w:val="0"/>
          <w:szCs w:val="21"/>
          <w:highlight w:val="none"/>
          <w:shd w:val="clear" w:color="auto" w:fill="auto"/>
        </w:rPr>
        <w:instrText xml:space="preserve"> = 3 \* GB3 \* MERGEFORMAT </w:instrText>
      </w:r>
      <w:r>
        <w:rPr>
          <w:rFonts w:hint="eastAsia" w:ascii="宋体" w:hAnsi="宋体"/>
          <w:b/>
          <w:bCs/>
          <w:color w:val="auto"/>
          <w:kern w:val="0"/>
          <w:szCs w:val="21"/>
          <w:highlight w:val="none"/>
          <w:shd w:val="clear" w:color="auto" w:fill="auto"/>
        </w:rPr>
        <w:fldChar w:fldCharType="separate"/>
      </w:r>
      <w:r>
        <w:rPr>
          <w:rFonts w:hint="eastAsia" w:ascii="宋体" w:hAnsi="宋体"/>
          <w:b/>
          <w:bCs/>
          <w:color w:val="auto"/>
          <w:kern w:val="0"/>
          <w:szCs w:val="21"/>
          <w:highlight w:val="none"/>
          <w:shd w:val="clear" w:color="auto" w:fill="auto"/>
        </w:rPr>
        <w:t>③</w:t>
      </w:r>
      <w:r>
        <w:rPr>
          <w:rFonts w:hint="eastAsia" w:ascii="宋体" w:hAnsi="宋体"/>
          <w:b/>
          <w:bCs/>
          <w:color w:val="auto"/>
          <w:kern w:val="0"/>
          <w:szCs w:val="21"/>
          <w:highlight w:val="none"/>
          <w:shd w:val="clear" w:color="auto" w:fill="auto"/>
        </w:rPr>
        <w:fldChar w:fldCharType="end"/>
      </w:r>
      <w:r>
        <w:rPr>
          <w:rFonts w:hint="eastAsia" w:ascii="宋体" w:hAnsi="宋体"/>
          <w:b/>
          <w:bCs/>
          <w:color w:val="auto"/>
          <w:kern w:val="0"/>
          <w:szCs w:val="21"/>
          <w:highlight w:val="none"/>
          <w:shd w:val="clear" w:color="auto" w:fill="auto"/>
        </w:rPr>
        <w:t>保函；</w:t>
      </w:r>
    </w:p>
    <w:p>
      <w:pPr>
        <w:keepNext/>
        <w:widowControl/>
        <w:spacing w:line="360" w:lineRule="auto"/>
        <w:ind w:firstLine="211" w:firstLineChars="100"/>
        <w:jc w:val="left"/>
        <w:rPr>
          <w:rFonts w:ascii="宋体" w:hAnsi="宋体"/>
          <w:b/>
          <w:bCs/>
          <w:color w:val="auto"/>
          <w:szCs w:val="21"/>
          <w:highlight w:val="none"/>
          <w:shd w:val="clear" w:color="auto" w:fill="auto"/>
        </w:rPr>
      </w:pPr>
      <w:r>
        <w:rPr>
          <w:rFonts w:hint="eastAsia" w:ascii="宋体" w:hAnsi="宋体" w:cs="宋体"/>
          <w:b/>
          <w:bCs/>
          <w:color w:val="auto"/>
          <w:szCs w:val="21"/>
          <w:highlight w:val="none"/>
          <w:shd w:val="clear" w:color="auto" w:fill="auto"/>
        </w:rPr>
        <w:t>（2）</w:t>
      </w:r>
      <w:r>
        <w:rPr>
          <w:rFonts w:hint="eastAsia" w:ascii="宋体" w:hAnsi="宋体"/>
          <w:b/>
          <w:bCs/>
          <w:color w:val="auto"/>
          <w:kern w:val="0"/>
          <w:szCs w:val="21"/>
          <w:highlight w:val="none"/>
          <w:shd w:val="clear" w:color="auto" w:fill="auto"/>
        </w:rPr>
        <w:t>递交时间：在</w:t>
      </w:r>
      <w:r>
        <w:rPr>
          <w:rFonts w:hint="eastAsia" w:ascii="宋体" w:hAnsi="宋体" w:cs="宋体"/>
          <w:b/>
          <w:bCs/>
          <w:color w:val="auto"/>
          <w:szCs w:val="21"/>
          <w:highlight w:val="none"/>
          <w:shd w:val="clear" w:color="auto" w:fill="auto"/>
        </w:rPr>
        <w:t>投标文件截止时间</w:t>
      </w:r>
      <w:r>
        <w:rPr>
          <w:rFonts w:hint="eastAsia" w:ascii="宋体" w:hAnsi="宋体"/>
          <w:b/>
          <w:bCs/>
          <w:color w:val="auto"/>
          <w:kern w:val="0"/>
          <w:szCs w:val="21"/>
          <w:highlight w:val="none"/>
          <w:shd w:val="clear" w:color="auto" w:fill="auto"/>
        </w:rPr>
        <w:t>前提交</w:t>
      </w:r>
      <w:r>
        <w:rPr>
          <w:rFonts w:hint="eastAsia" w:ascii="宋体" w:hAnsi="宋体" w:cs="宋体"/>
          <w:b/>
          <w:bCs/>
          <w:color w:val="auto"/>
          <w:kern w:val="0"/>
          <w:szCs w:val="21"/>
          <w:highlight w:val="none"/>
          <w:shd w:val="clear" w:color="auto" w:fill="auto"/>
        </w:rPr>
        <w:t>(以银行到账信息为准）</w:t>
      </w:r>
      <w:r>
        <w:rPr>
          <w:rFonts w:hint="eastAsia" w:ascii="宋体" w:hAnsi="宋体"/>
          <w:b/>
          <w:bCs/>
          <w:color w:val="auto"/>
          <w:kern w:val="0"/>
          <w:szCs w:val="21"/>
          <w:highlight w:val="none"/>
          <w:shd w:val="clear" w:color="auto" w:fill="auto"/>
        </w:rPr>
        <w:t>；</w:t>
      </w:r>
    </w:p>
    <w:p>
      <w:pPr>
        <w:keepNext/>
        <w:widowControl/>
        <w:spacing w:line="360" w:lineRule="auto"/>
        <w:ind w:firstLine="211" w:firstLineChars="100"/>
        <w:jc w:val="left"/>
        <w:rPr>
          <w:rFonts w:ascii="宋体" w:hAnsi="宋体"/>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（3）</w:t>
      </w:r>
      <w:r>
        <w:rPr>
          <w:rFonts w:hint="eastAsia" w:ascii="宋体" w:hAnsi="宋体"/>
          <w:b/>
          <w:bCs/>
          <w:color w:val="auto"/>
          <w:kern w:val="0"/>
          <w:szCs w:val="21"/>
          <w:highlight w:val="none"/>
          <w:shd w:val="clear" w:color="auto" w:fill="auto"/>
        </w:rPr>
        <w:t>投标人递交保证金后，须至采购代理机构处领取投标保证金收据；</w:t>
      </w:r>
    </w:p>
    <w:p>
      <w:pPr>
        <w:keepNext/>
        <w:widowControl/>
        <w:spacing w:line="360" w:lineRule="auto"/>
        <w:ind w:firstLine="632" w:firstLineChars="300"/>
        <w:jc w:val="left"/>
        <w:rPr>
          <w:rFonts w:ascii="宋体" w:hAnsi="宋体"/>
          <w:b/>
          <w:bCs/>
          <w:color w:val="auto"/>
          <w:kern w:val="0"/>
          <w:szCs w:val="21"/>
          <w:highlight w:val="none"/>
          <w:shd w:val="clear" w:color="auto" w:fill="auto"/>
        </w:rPr>
      </w:pPr>
      <w:r>
        <w:rPr>
          <w:rFonts w:hint="eastAsia" w:ascii="宋体" w:hAnsi="宋体"/>
          <w:b/>
          <w:bCs/>
          <w:color w:val="auto"/>
          <w:kern w:val="0"/>
          <w:szCs w:val="21"/>
          <w:highlight w:val="none"/>
          <w:shd w:val="clear" w:color="auto" w:fill="auto"/>
        </w:rPr>
        <w:t>保证金账户名称：新疆新招工程项目咨询管理有限公司伊犁分公司；</w:t>
      </w:r>
    </w:p>
    <w:p>
      <w:pPr>
        <w:keepNext/>
        <w:widowControl/>
        <w:spacing w:line="360" w:lineRule="auto"/>
        <w:ind w:firstLine="632" w:firstLineChars="300"/>
        <w:jc w:val="left"/>
        <w:rPr>
          <w:rFonts w:ascii="宋体" w:hAnsi="宋体"/>
          <w:b/>
          <w:bCs/>
          <w:color w:val="auto"/>
          <w:kern w:val="0"/>
          <w:szCs w:val="21"/>
          <w:highlight w:val="none"/>
          <w:shd w:val="clear" w:color="auto" w:fill="auto"/>
        </w:rPr>
      </w:pPr>
      <w:r>
        <w:rPr>
          <w:rFonts w:hint="eastAsia" w:ascii="宋体" w:hAnsi="宋体"/>
          <w:b/>
          <w:bCs/>
          <w:color w:val="auto"/>
          <w:kern w:val="0"/>
          <w:szCs w:val="21"/>
          <w:highlight w:val="none"/>
          <w:shd w:val="clear" w:color="auto" w:fill="auto"/>
        </w:rPr>
        <w:t>开户行：中国银行伊宁市边境经济合作区四川路支行</w:t>
      </w:r>
    </w:p>
    <w:p>
      <w:pPr>
        <w:keepNext/>
        <w:widowControl/>
        <w:spacing w:line="360" w:lineRule="auto"/>
        <w:ind w:firstLine="632" w:firstLineChars="300"/>
        <w:jc w:val="left"/>
        <w:rPr>
          <w:rFonts w:ascii="宋体" w:hAnsi="宋体"/>
          <w:b/>
          <w:bCs/>
          <w:color w:val="auto"/>
          <w:kern w:val="0"/>
          <w:szCs w:val="21"/>
          <w:highlight w:val="none"/>
          <w:shd w:val="clear" w:color="auto" w:fill="auto"/>
        </w:rPr>
      </w:pPr>
      <w:r>
        <w:rPr>
          <w:rFonts w:hint="eastAsia" w:ascii="宋体" w:hAnsi="宋体"/>
          <w:b/>
          <w:bCs/>
          <w:color w:val="auto"/>
          <w:kern w:val="0"/>
          <w:szCs w:val="21"/>
          <w:highlight w:val="none"/>
          <w:shd w:val="clear" w:color="auto" w:fill="auto"/>
        </w:rPr>
        <w:t>账号：107083061966</w:t>
      </w:r>
    </w:p>
    <w:p>
      <w:pPr>
        <w:spacing w:line="360" w:lineRule="auto"/>
        <w:ind w:firstLine="632" w:firstLineChars="300"/>
        <w:jc w:val="left"/>
        <w:rPr>
          <w:rFonts w:ascii="宋体" w:hAnsi="宋体" w:cs="宋体"/>
          <w:b/>
          <w:bCs/>
          <w:color w:val="auto"/>
          <w:kern w:val="0"/>
          <w:szCs w:val="21"/>
          <w:highlight w:val="none"/>
          <w:shd w:val="clear" w:color="auto" w:fill="auto"/>
        </w:rPr>
      </w:pPr>
      <w:r>
        <w:rPr>
          <w:rFonts w:hint="eastAsia" w:ascii="宋体" w:hAnsi="宋体"/>
          <w:b/>
          <w:bCs/>
          <w:color w:val="auto"/>
          <w:kern w:val="0"/>
          <w:szCs w:val="21"/>
          <w:highlight w:val="none"/>
          <w:shd w:val="clear" w:color="auto" w:fill="auto"/>
        </w:rPr>
        <w:t>备注：投标保证金汇款凭证用途栏上应注明本项目招标编号</w:t>
      </w:r>
      <w:r>
        <w:rPr>
          <w:rFonts w:hint="eastAsia" w:ascii="宋体" w:hAnsi="宋体" w:cs="宋体"/>
          <w:b/>
          <w:bCs/>
          <w:color w:val="auto"/>
          <w:kern w:val="0"/>
          <w:szCs w:val="21"/>
          <w:highlight w:val="none"/>
          <w:shd w:val="clear" w:color="auto" w:fill="auto"/>
        </w:rPr>
        <w:t>[标准格式：XX项目第X标段保证金]如字数超出规定字数可简写。否则，届时其投标将被拒绝。</w:t>
      </w:r>
      <w:r>
        <w:rPr>
          <w:rFonts w:hint="eastAsia" w:ascii="宋体" w:hAnsi="宋体"/>
          <w:b/>
          <w:bCs/>
          <w:color w:val="auto"/>
          <w:kern w:val="0"/>
          <w:szCs w:val="21"/>
          <w:highlight w:val="none"/>
          <w:shd w:val="clear" w:color="auto" w:fill="auto"/>
        </w:rPr>
        <w:t>潜在投标人可以自主选择以上任一种形式递交保证金。</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1.4.2 采购人投标保证金退还</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宋体"/>
          <w:color w:val="auto"/>
          <w:szCs w:val="21"/>
          <w:highlight w:val="none"/>
          <w:shd w:val="clear" w:color="auto" w:fill="auto"/>
        </w:rPr>
        <w:t>（2）中标企业自收到中标通知书之日三十日内与采购人签订《合同》，自采购合同签订之日并送一份《合同》原件及履约保函复印件加盖公章给采购代理机构，按每标段，单个中标产品的合同实际总金额计算招标代理服务费，成功缴纳后，5个工作日内退还该中标企业的投标保证金或者转为中标人的履约保证金。</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1.4.3 投标保证金有效期与投标有效期一致。</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1.4.4 不予退还投标保证金的情形：</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（1）投标人在规定的投标有效期内撤销或修改其投标文件的；</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（2）投标文件中提供虚假材料的；</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（3）未按招标文件规定提交履约保证金的；</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（4）除因不可抗力或招标文件认可的情形外，中标人无正当理由不与招标人订立合同、在签订合同时向采购人提出附加条件或者更改合同实质性内容的；</w:t>
      </w:r>
    </w:p>
    <w:p>
      <w:pPr>
        <w:spacing w:line="360" w:lineRule="auto"/>
        <w:ind w:firstLine="420" w:firstLineChars="200"/>
        <w:jc w:val="left"/>
        <w:rPr>
          <w:color w:val="auto"/>
          <w:highlight w:val="none"/>
          <w:shd w:val="clear" w:color="auto" w:fill="auto"/>
        </w:rPr>
      </w:pPr>
      <w:r>
        <w:rPr>
          <w:rFonts w:hint="eastAsia" w:ascii="宋体" w:hAnsi="宋体" w:cstheme="majorEastAsia"/>
          <w:color w:val="auto"/>
          <w:szCs w:val="21"/>
          <w:highlight w:val="none"/>
          <w:shd w:val="clear" w:color="auto" w:fill="auto"/>
        </w:rPr>
        <w:t>（5）中标人放弃中标的。</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1.4.5下列任何情况发生时，情节严重的，由采购人或采购代理机构上报相关财政监督部门，将其列入不良行为记录名单，在一至三年内禁止参加政府采购活动，并予以通报：</w:t>
      </w:r>
    </w:p>
    <w:p>
      <w:pPr>
        <w:spacing w:line="360" w:lineRule="auto"/>
        <w:ind w:firstLine="210" w:firstLineChars="1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（1）投标人在投标有效期内采用不正当的手段扰乱招投标秩序；</w:t>
      </w:r>
    </w:p>
    <w:p>
      <w:pPr>
        <w:spacing w:line="360" w:lineRule="auto"/>
        <w:ind w:firstLine="210" w:firstLineChars="1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 xml:space="preserve">（2）将中标项目转让给他人，或者在投标文件中未说明，且未经批准，将中标项目分包给他人的； </w:t>
      </w:r>
    </w:p>
    <w:p>
      <w:pPr>
        <w:spacing w:line="360" w:lineRule="auto"/>
        <w:ind w:firstLine="210" w:firstLineChars="1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（3）拒绝履行合同义务的；</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1.5投标有效期：</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cs="Arial"/>
          <w:color w:val="auto"/>
          <w:kern w:val="0"/>
          <w:szCs w:val="21"/>
          <w:highlight w:val="none"/>
          <w:shd w:val="clear" w:color="auto" w:fill="auto"/>
        </w:rPr>
        <w:t xml:space="preserve"> </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1.6踏勘现场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.1 </w:t>
      </w:r>
      <w:r>
        <w:rPr>
          <w:rFonts w:hint="eastAsia" w:ascii="宋体" w:hAnsi="宋体" w:cs="Arial"/>
          <w:color w:val="auto"/>
          <w:kern w:val="0"/>
          <w:szCs w:val="21"/>
          <w:highlight w:val="none"/>
          <w:shd w:val="clear" w:color="auto" w:fill="auto"/>
        </w:rPr>
        <w:t>投标人须知前附表规定组织踏勘现场的，采购人或采购代理机构按投标人须知前附表规定的时间、地点组织投标人踏勘项目现场。</w:t>
      </w:r>
      <w:r>
        <w:rPr>
          <w:rFonts w:ascii="宋体" w:hAnsi="宋体" w:cs="Arial"/>
          <w:color w:val="auto"/>
          <w:kern w:val="0"/>
          <w:szCs w:val="21"/>
          <w:highlight w:val="none"/>
          <w:shd w:val="clear" w:color="auto" w:fill="auto"/>
        </w:rPr>
        <w:t xml:space="preserve"> </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.2 </w:t>
      </w:r>
      <w:r>
        <w:rPr>
          <w:rFonts w:hint="eastAsia" w:ascii="宋体" w:hAnsi="宋体" w:cs="Arial"/>
          <w:color w:val="auto"/>
          <w:kern w:val="0"/>
          <w:szCs w:val="21"/>
          <w:highlight w:val="none"/>
          <w:shd w:val="clear" w:color="auto" w:fill="auto"/>
        </w:rPr>
        <w:t>投标人踏勘现场发生的费用自理。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.3 </w:t>
      </w:r>
      <w:r>
        <w:rPr>
          <w:rFonts w:hint="eastAsia" w:ascii="宋体" w:hAnsi="宋体" w:cs="Arial"/>
          <w:color w:val="auto"/>
          <w:kern w:val="0"/>
          <w:szCs w:val="21"/>
          <w:highlight w:val="none"/>
          <w:shd w:val="clear" w:color="auto" w:fill="auto"/>
        </w:rPr>
        <w:t>除采购人或采购代理机构的原因外，投标人自行负责在踏勘现场中所发生的人员伤亡和财产损失。</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.4 </w:t>
      </w:r>
      <w:r>
        <w:rPr>
          <w:rFonts w:hint="eastAsia" w:ascii="宋体" w:hAnsi="宋体" w:cs="Arial"/>
          <w:color w:val="auto"/>
          <w:kern w:val="0"/>
          <w:szCs w:val="21"/>
          <w:highlight w:val="none"/>
          <w:shd w:val="clear" w:color="auto" w:fill="auto"/>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5</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本项目不组织现场考察或者开答疑会。</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 xml:space="preserve">1.7 </w:t>
      </w:r>
      <w:r>
        <w:rPr>
          <w:rFonts w:hint="eastAsia" w:ascii="宋体" w:hAnsi="宋体" w:cs="Arial"/>
          <w:b/>
          <w:bCs/>
          <w:color w:val="auto"/>
          <w:kern w:val="0"/>
          <w:szCs w:val="21"/>
          <w:highlight w:val="none"/>
          <w:shd w:val="clear" w:color="auto" w:fill="auto"/>
        </w:rPr>
        <w:t>投标人存在下列情况之一的，投标无效：</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1.7.1未按照招标文件的规定提交投标保证金的；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1.7.2投标文件未按招标文件要求签署、盖章的；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1.7.3不具备招标文件中规定的资格要求的；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1.7.4报价超过招标文件中规定的预算金额或者最高限价的；</w:t>
      </w:r>
    </w:p>
    <w:p>
      <w:pPr>
        <w:widowControl/>
        <w:shd w:val="clear" w:color="auto" w:fill="FFFFFF"/>
        <w:tabs>
          <w:tab w:val="left" w:pos="754"/>
        </w:tabs>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ab/>
      </w:r>
      <w:r>
        <w:rPr>
          <w:rFonts w:hint="eastAsia" w:ascii="宋体" w:hAnsi="宋体" w:cs="Arial"/>
          <w:color w:val="auto"/>
          <w:kern w:val="0"/>
          <w:szCs w:val="21"/>
          <w:highlight w:val="none"/>
          <w:shd w:val="clear" w:color="auto" w:fill="auto"/>
        </w:rPr>
        <w:t>7.5投标文件含有采购人不能接受的附加条件的；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1.7.6不具备招标文件中规定的资格要求的；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1.7.7与采购人存在利害关系可能影响招标公正性的法人、其他组织或者个人的；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1.7.10被责令停业的；</w:t>
      </w:r>
      <w:r>
        <w:rPr>
          <w:rFonts w:ascii="宋体" w:hAnsi="宋体" w:cs="Arial"/>
          <w:color w:val="auto"/>
          <w:kern w:val="0"/>
          <w:szCs w:val="21"/>
          <w:highlight w:val="none"/>
          <w:shd w:val="clear" w:color="auto" w:fill="auto"/>
        </w:rPr>
        <w:t xml:space="preserve"> </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1.7.11被暂停或取消投标资格的；</w:t>
      </w:r>
      <w:r>
        <w:rPr>
          <w:rFonts w:ascii="宋体" w:hAnsi="宋体" w:cs="Arial"/>
          <w:color w:val="auto"/>
          <w:kern w:val="0"/>
          <w:szCs w:val="21"/>
          <w:highlight w:val="none"/>
          <w:shd w:val="clear" w:color="auto" w:fill="auto"/>
        </w:rPr>
        <w:t xml:space="preserve"> </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1.7.12财产被接管或冻结的；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1.7.13在最近三年内有骗取中标或严重违约或重大质量问题的；</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1.7.14投标文件中有弄虚作假的内容，其投标文件作废（假证书、假业绩、隐瞒不良行为记录、夸大荣誉）；</w:t>
      </w:r>
      <w:r>
        <w:rPr>
          <w:rFonts w:ascii="宋体" w:hAnsi="宋体" w:cs="Arial"/>
          <w:color w:val="auto"/>
          <w:kern w:val="0"/>
          <w:szCs w:val="21"/>
          <w:highlight w:val="none"/>
          <w:shd w:val="clear" w:color="auto" w:fill="auto"/>
        </w:rPr>
        <w:t xml:space="preserve"> </w:t>
      </w:r>
    </w:p>
    <w:p>
      <w:pPr>
        <w:pStyle w:val="4"/>
        <w:spacing w:line="360" w:lineRule="auto"/>
        <w:ind w:firstLineChars="200"/>
        <w:rPr>
          <w:rFonts w:ascii="宋体" w:hAnsi="宋体" w:cs="@仿宋_GB2312"/>
          <w:color w:val="auto"/>
          <w:szCs w:val="21"/>
          <w:highlight w:val="none"/>
          <w:shd w:val="clear" w:color="auto" w:fill="auto"/>
        </w:rPr>
      </w:pPr>
      <w:r>
        <w:rPr>
          <w:rFonts w:hint="eastAsia" w:ascii="宋体" w:hAnsi="宋体" w:cs="Arial"/>
          <w:color w:val="auto"/>
          <w:kern w:val="0"/>
          <w:szCs w:val="21"/>
          <w:highlight w:val="none"/>
          <w:shd w:val="clear" w:color="auto" w:fill="auto"/>
        </w:rPr>
        <w:t>1.7.15法律、规定和招标文件规定的其他无效情形</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宋体"/>
          <w:b/>
          <w:bCs/>
          <w:color w:val="auto"/>
          <w:szCs w:val="21"/>
          <w:highlight w:val="none"/>
          <w:shd w:val="clear" w:color="auto" w:fill="auto"/>
        </w:rPr>
        <w:t>1.8 投标人应具备承担本招标项目的资格条件和能力：</w:t>
      </w:r>
    </w:p>
    <w:p>
      <w:pPr>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1.8.1投标人的资格要求见投标人须知前附表</w:t>
      </w:r>
      <w:r>
        <w:rPr>
          <w:rFonts w:hint="eastAsia" w:ascii="宋体" w:hAnsi="宋体" w:cs="宋体"/>
          <w:color w:val="auto"/>
          <w:kern w:val="0"/>
          <w:szCs w:val="21"/>
          <w:highlight w:val="none"/>
          <w:shd w:val="clear" w:color="auto" w:fill="auto"/>
        </w:rPr>
        <w:t>；</w:t>
      </w:r>
    </w:p>
    <w:p>
      <w:pPr>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1.8.2便于采购人完成评标定标工作，资质有效期应覆盖投标有效期，资质证书报名阶段没过期，开标时可能过期时须提供资质审批部门开具的证明，证明正在履行复验程序且无导致企业资质降级或撤销事由的书面证明。</w:t>
      </w:r>
    </w:p>
    <w:p>
      <w:pPr>
        <w:pStyle w:val="4"/>
        <w:spacing w:line="360" w:lineRule="auto"/>
        <w:ind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1.8.3法律、法规规定的其他条件。</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theme="majorEastAsia"/>
          <w:b/>
          <w:color w:val="auto"/>
          <w:szCs w:val="21"/>
          <w:highlight w:val="none"/>
          <w:shd w:val="clear" w:color="auto" w:fill="auto"/>
        </w:rPr>
        <w:t>1.9</w:t>
      </w:r>
      <w:r>
        <w:rPr>
          <w:rFonts w:hint="eastAsia" w:ascii="宋体" w:hAnsi="宋体" w:cs="宋体"/>
          <w:b/>
          <w:bCs/>
          <w:color w:val="auto"/>
          <w:szCs w:val="21"/>
          <w:highlight w:val="none"/>
          <w:shd w:val="clear" w:color="auto" w:fill="auto"/>
        </w:rPr>
        <w:t>招标文件的约束力：</w:t>
      </w:r>
    </w:p>
    <w:p>
      <w:pPr>
        <w:pStyle w:val="7"/>
        <w:numPr>
          <w:ilvl w:val="0"/>
          <w:numId w:val="0"/>
        </w:numPr>
        <w:spacing w:line="360" w:lineRule="auto"/>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投标人报名参与本项目即被认可接受本招标文件中的所有条款和规定。</w:t>
      </w:r>
    </w:p>
    <w:p>
      <w:pPr>
        <w:pStyle w:val="10"/>
        <w:rPr>
          <w:rFonts w:cs="宋体"/>
          <w:color w:val="auto"/>
          <w:kern w:val="0"/>
          <w:szCs w:val="21"/>
          <w:highlight w:val="none"/>
          <w:shd w:val="clear" w:color="auto" w:fill="auto"/>
        </w:rPr>
      </w:pPr>
    </w:p>
    <w:p>
      <w:pPr>
        <w:pStyle w:val="10"/>
        <w:rPr>
          <w:rFonts w:cs="宋体"/>
          <w:color w:val="auto"/>
          <w:kern w:val="0"/>
          <w:szCs w:val="21"/>
          <w:highlight w:val="none"/>
          <w:shd w:val="clear" w:color="auto" w:fill="auto"/>
        </w:rPr>
      </w:pP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14" w:name="_Toc13635"/>
      <w:bookmarkStart w:id="15" w:name="_Toc25582"/>
      <w:r>
        <w:rPr>
          <w:rFonts w:hint="eastAsia" w:ascii="宋体" w:hAnsi="宋体" w:cs="宋体"/>
          <w:b/>
          <w:color w:val="auto"/>
          <w:szCs w:val="21"/>
          <w:highlight w:val="none"/>
          <w:shd w:val="clear" w:color="auto" w:fill="auto"/>
        </w:rPr>
        <w:t xml:space="preserve">第二节 </w:t>
      </w:r>
      <w:bookmarkEnd w:id="14"/>
      <w:r>
        <w:rPr>
          <w:rFonts w:hint="eastAsia" w:ascii="宋体" w:hAnsi="宋体" w:cs="宋体"/>
          <w:b/>
          <w:color w:val="auto"/>
          <w:szCs w:val="21"/>
          <w:highlight w:val="none"/>
          <w:shd w:val="clear" w:color="auto" w:fill="auto"/>
        </w:rPr>
        <w:t>招标文件</w:t>
      </w:r>
      <w:bookmarkEnd w:id="15"/>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ascii="宋体" w:hAnsi="宋体" w:cs="Arial"/>
          <w:b/>
          <w:bCs/>
          <w:color w:val="auto"/>
          <w:kern w:val="0"/>
          <w:szCs w:val="21"/>
          <w:highlight w:val="none"/>
          <w:shd w:val="clear" w:color="auto" w:fill="auto"/>
        </w:rPr>
        <w:t xml:space="preserve">2.1 </w:t>
      </w:r>
      <w:r>
        <w:rPr>
          <w:rFonts w:hint="eastAsia" w:ascii="宋体" w:hAnsi="宋体" w:cs="Arial"/>
          <w:b/>
          <w:bCs/>
          <w:color w:val="auto"/>
          <w:kern w:val="0"/>
          <w:szCs w:val="21"/>
          <w:highlight w:val="none"/>
          <w:shd w:val="clear" w:color="auto" w:fill="auto"/>
        </w:rPr>
        <w:t>招标文件的组成</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2.1.1招标公告；</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2.1.2投标人须知前附表；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2.1.3投标人须知</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2.1.4技术标准和服务要求；</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2.1.5投标文件格式（附文件后）；</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2.1.6补充条款。</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ascii="宋体" w:hAnsi="宋体" w:cs="Arial"/>
          <w:b/>
          <w:bCs/>
          <w:color w:val="auto"/>
          <w:kern w:val="0"/>
          <w:szCs w:val="21"/>
          <w:highlight w:val="none"/>
          <w:shd w:val="clear" w:color="auto" w:fill="auto"/>
        </w:rPr>
        <w:t>2.</w:t>
      </w:r>
      <w:r>
        <w:rPr>
          <w:rFonts w:hint="eastAsia" w:ascii="宋体" w:hAnsi="宋体" w:cs="Arial"/>
          <w:b/>
          <w:bCs/>
          <w:color w:val="auto"/>
          <w:kern w:val="0"/>
          <w:szCs w:val="21"/>
          <w:highlight w:val="none"/>
          <w:shd w:val="clear" w:color="auto" w:fill="auto"/>
        </w:rPr>
        <w:t>2</w:t>
      </w:r>
      <w:r>
        <w:rPr>
          <w:rFonts w:ascii="宋体" w:hAnsi="宋体" w:cs="Arial"/>
          <w:b/>
          <w:bCs/>
          <w:color w:val="auto"/>
          <w:kern w:val="0"/>
          <w:szCs w:val="21"/>
          <w:highlight w:val="none"/>
          <w:shd w:val="clear" w:color="auto" w:fill="auto"/>
        </w:rPr>
        <w:t xml:space="preserve"> </w:t>
      </w:r>
      <w:r>
        <w:rPr>
          <w:rFonts w:hint="eastAsia" w:ascii="宋体" w:hAnsi="宋体" w:cs="Arial"/>
          <w:b/>
          <w:bCs/>
          <w:color w:val="auto"/>
          <w:kern w:val="0"/>
          <w:szCs w:val="21"/>
          <w:highlight w:val="none"/>
          <w:shd w:val="clear" w:color="auto" w:fill="auto"/>
        </w:rPr>
        <w:t>招标文件的澄清</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2</w:t>
      </w:r>
      <w:r>
        <w:rPr>
          <w:rFonts w:ascii="宋体" w:hAnsi="宋体" w:cs="Arial"/>
          <w:color w:val="auto"/>
          <w:kern w:val="0"/>
          <w:szCs w:val="21"/>
          <w:highlight w:val="none"/>
          <w:shd w:val="clear" w:color="auto" w:fill="auto"/>
        </w:rPr>
        <w:t xml:space="preserve">.1 </w:t>
      </w:r>
      <w:r>
        <w:rPr>
          <w:rFonts w:hint="eastAsia" w:ascii="宋体" w:hAnsi="宋体" w:cs="Arial"/>
          <w:color w:val="auto"/>
          <w:kern w:val="0"/>
          <w:szCs w:val="21"/>
          <w:highlight w:val="none"/>
          <w:shd w:val="clear" w:color="auto" w:fill="auto"/>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2</w:t>
      </w:r>
      <w:r>
        <w:rPr>
          <w:rFonts w:ascii="宋体" w:hAnsi="宋体" w:cs="Arial"/>
          <w:color w:val="auto"/>
          <w:kern w:val="0"/>
          <w:szCs w:val="21"/>
          <w:highlight w:val="none"/>
          <w:shd w:val="clear" w:color="auto" w:fill="auto"/>
        </w:rPr>
        <w:t xml:space="preserve">.2 </w:t>
      </w:r>
      <w:r>
        <w:rPr>
          <w:rFonts w:hint="eastAsia" w:ascii="宋体" w:hAnsi="宋体" w:cs="Arial"/>
          <w:color w:val="auto"/>
          <w:kern w:val="0"/>
          <w:szCs w:val="21"/>
          <w:highlight w:val="none"/>
          <w:shd w:val="clear" w:color="auto" w:fill="auto"/>
        </w:rPr>
        <w:t>招标文件的澄清将按照投标人须知前附表规定的时间、方式发布，但不指明澄清问题的来源。</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2.3招标文件的修改</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.1 </w:t>
      </w:r>
      <w:r>
        <w:rPr>
          <w:rFonts w:hint="eastAsia" w:ascii="宋体" w:hAnsi="宋体" w:cs="Arial"/>
          <w:color w:val="auto"/>
          <w:kern w:val="0"/>
          <w:szCs w:val="21"/>
          <w:highlight w:val="none"/>
          <w:shd w:val="clear" w:color="auto" w:fill="auto"/>
        </w:rPr>
        <w:t>招标文件的修改将按照投标人须知前附表规定的时间、方式发布，但不指明澄清问题的来源。</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.2 </w:t>
      </w:r>
      <w:r>
        <w:rPr>
          <w:rFonts w:hint="eastAsia" w:ascii="宋体" w:hAnsi="宋体" w:cs="Arial"/>
          <w:color w:val="auto"/>
          <w:kern w:val="0"/>
          <w:szCs w:val="21"/>
          <w:highlight w:val="none"/>
          <w:shd w:val="clear" w:color="auto" w:fill="auto"/>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.3 </w:t>
      </w:r>
      <w:r>
        <w:rPr>
          <w:rFonts w:hint="eastAsia" w:ascii="宋体" w:hAnsi="宋体" w:cs="Arial"/>
          <w:color w:val="auto"/>
          <w:kern w:val="0"/>
          <w:szCs w:val="21"/>
          <w:highlight w:val="none"/>
          <w:shd w:val="clear" w:color="auto" w:fill="auto"/>
        </w:rPr>
        <w:t>招标文件的修改部分是招标文件的组成部分对投标人具有约束力。</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.4 </w:t>
      </w:r>
      <w:r>
        <w:rPr>
          <w:rFonts w:hint="eastAsia" w:ascii="宋体" w:hAnsi="宋体" w:cs="Arial"/>
          <w:color w:val="auto"/>
          <w:kern w:val="0"/>
          <w:szCs w:val="21"/>
          <w:highlight w:val="none"/>
          <w:shd w:val="clear" w:color="auto" w:fill="auto"/>
        </w:rPr>
        <w:t>为使投标人准备投标时有充分时间对招标文件的修改部分进行研究，采购人可适当推迟投标截止期。</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.5 </w:t>
      </w:r>
      <w:r>
        <w:rPr>
          <w:rFonts w:hint="eastAsia" w:ascii="宋体" w:hAnsi="宋体" w:cs="Arial"/>
          <w:color w:val="auto"/>
          <w:kern w:val="0"/>
          <w:szCs w:val="21"/>
          <w:highlight w:val="none"/>
          <w:shd w:val="clear" w:color="auto" w:fill="auto"/>
        </w:rPr>
        <w:t>当采购人发放的招标文件及招标文件的答疑文件、修改文件、补充文件前后不一致，发生矛盾情况时，以最后发出的为准。</w:t>
      </w:r>
    </w:p>
    <w:p>
      <w:pPr>
        <w:tabs>
          <w:tab w:val="left" w:pos="630"/>
        </w:tabs>
        <w:spacing w:line="360" w:lineRule="auto"/>
        <w:ind w:firstLine="420" w:firstLineChars="200"/>
        <w:jc w:val="left"/>
        <w:textAlignment w:val="center"/>
        <w:rPr>
          <w:rFonts w:ascii="宋体" w:hAnsi="宋体" w:cstheme="majorEastAsia"/>
          <w:color w:val="auto"/>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.6 </w:t>
      </w:r>
      <w:r>
        <w:rPr>
          <w:rFonts w:hint="eastAsia" w:ascii="宋体" w:hAnsi="宋体" w:cs="Arial"/>
          <w:color w:val="auto"/>
          <w:kern w:val="0"/>
          <w:szCs w:val="21"/>
          <w:highlight w:val="none"/>
          <w:shd w:val="clear" w:color="auto" w:fill="auto"/>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宋体" w:hAnsi="宋体" w:cstheme="majorEastAsia"/>
          <w:color w:val="auto"/>
          <w:szCs w:val="21"/>
          <w:highlight w:val="none"/>
          <w:shd w:val="clear" w:color="auto" w:fill="auto"/>
        </w:rPr>
        <w:t>中标企业</w:t>
      </w:r>
      <w:r>
        <w:rPr>
          <w:rFonts w:hint="eastAsia" w:ascii="宋体" w:hAnsi="宋体" w:cs="Arial"/>
          <w:color w:val="auto"/>
          <w:kern w:val="0"/>
          <w:szCs w:val="21"/>
          <w:highlight w:val="none"/>
          <w:shd w:val="clear" w:color="auto" w:fill="auto"/>
        </w:rPr>
        <w:t>将必须接受由采购人依据合同有关条款而做出的书面澄清</w:t>
      </w:r>
      <w:r>
        <w:rPr>
          <w:rFonts w:hint="eastAsia" w:ascii="宋体" w:hAnsi="宋体" w:cstheme="majorEastAsia"/>
          <w:color w:val="auto"/>
          <w:szCs w:val="21"/>
          <w:highlight w:val="none"/>
          <w:shd w:val="clear" w:color="auto" w:fill="auto"/>
        </w:rPr>
        <w:t>。</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2.4保密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参与招标投标活动的各方应当对招标文件和投标文件中的商业和技术等秘密保密，否则应当承担相应的法律责任。</w:t>
      </w:r>
    </w:p>
    <w:p>
      <w:pPr>
        <w:pStyle w:val="4"/>
        <w:rPr>
          <w:rFonts w:ascii="宋体" w:hAnsi="宋体"/>
          <w:color w:val="auto"/>
          <w:szCs w:val="21"/>
          <w:highlight w:val="none"/>
          <w:shd w:val="clear" w:color="auto" w:fill="auto"/>
        </w:rPr>
      </w:pP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16" w:name="_Toc9055"/>
      <w:r>
        <w:rPr>
          <w:rFonts w:hint="eastAsia" w:ascii="宋体" w:hAnsi="宋体" w:cs="宋体"/>
          <w:b/>
          <w:color w:val="auto"/>
          <w:szCs w:val="21"/>
          <w:highlight w:val="none"/>
          <w:shd w:val="clear" w:color="auto" w:fill="auto"/>
        </w:rPr>
        <w:t>第三节 投标文件</w:t>
      </w:r>
      <w:bookmarkEnd w:id="16"/>
    </w:p>
    <w:p>
      <w:pPr>
        <w:tabs>
          <w:tab w:val="left" w:pos="630"/>
        </w:tabs>
        <w:spacing w:line="360" w:lineRule="auto"/>
        <w:jc w:val="left"/>
        <w:textAlignment w:val="center"/>
        <w:rPr>
          <w:rFonts w:ascii="宋体" w:hAnsi="宋体" w:cstheme="majorEastAsia"/>
          <w:b/>
          <w:bCs/>
          <w:color w:val="auto"/>
          <w:szCs w:val="21"/>
          <w:highlight w:val="none"/>
          <w:shd w:val="clear" w:color="auto" w:fill="auto"/>
        </w:rPr>
      </w:pPr>
      <w:r>
        <w:rPr>
          <w:rFonts w:hint="eastAsia" w:ascii="宋体" w:hAnsi="宋体" w:cs="Arial"/>
          <w:b/>
          <w:bCs/>
          <w:color w:val="auto"/>
          <w:kern w:val="0"/>
          <w:szCs w:val="21"/>
          <w:highlight w:val="none"/>
          <w:shd w:val="clear" w:color="auto" w:fill="auto"/>
        </w:rPr>
        <w:t>3</w:t>
      </w:r>
      <w:r>
        <w:rPr>
          <w:rFonts w:ascii="宋体" w:hAnsi="宋体" w:cs="Arial"/>
          <w:b/>
          <w:bCs/>
          <w:color w:val="auto"/>
          <w:kern w:val="0"/>
          <w:szCs w:val="21"/>
          <w:highlight w:val="none"/>
          <w:shd w:val="clear" w:color="auto" w:fill="auto"/>
        </w:rPr>
        <w:t xml:space="preserve">.1 </w:t>
      </w:r>
      <w:r>
        <w:rPr>
          <w:rFonts w:hint="eastAsia" w:ascii="宋体" w:hAnsi="宋体" w:cs="Arial"/>
          <w:b/>
          <w:bCs/>
          <w:color w:val="auto"/>
          <w:kern w:val="0"/>
          <w:szCs w:val="21"/>
          <w:highlight w:val="none"/>
          <w:shd w:val="clear" w:color="auto" w:fill="auto"/>
        </w:rPr>
        <w:t>投标文件的组成</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（1）投标函</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（2）开标一览表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（3）法定代表人身份证明书</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（4）授权委托书</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（5）无重大违法记录的承诺书</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（6）投标人概况</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（7）项目负责人简历表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（8）项目管理人员表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（9）技术条款偏离表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（10）商务条款偏离表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（11）反商业贿赂承诺书</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（12）中小微企业声明函</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（13）资格声明</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（14）投标人近年类似项目业绩情况表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（15）供货计划</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（16）服务方案</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（17）其他需要提交的资料</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（18）其他需要提交的资料（根据招标文件的要求和投标人认为需要提供的资料）</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ascii="宋体" w:hAnsi="宋体" w:cs="Arial"/>
          <w:b/>
          <w:bCs/>
          <w:color w:val="auto"/>
          <w:kern w:val="0"/>
          <w:szCs w:val="21"/>
          <w:highlight w:val="none"/>
          <w:shd w:val="clear" w:color="auto" w:fill="auto"/>
        </w:rPr>
        <w:t xml:space="preserve">3.2 </w:t>
      </w:r>
      <w:r>
        <w:rPr>
          <w:rFonts w:hint="eastAsia" w:ascii="宋体" w:hAnsi="宋体" w:cs="Arial"/>
          <w:b/>
          <w:bCs/>
          <w:color w:val="auto"/>
          <w:kern w:val="0"/>
          <w:szCs w:val="21"/>
          <w:highlight w:val="none"/>
          <w:shd w:val="clear" w:color="auto" w:fill="auto"/>
        </w:rPr>
        <w:t>投标价格</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 xml:space="preserve">3.2.1 </w:t>
      </w:r>
      <w:r>
        <w:rPr>
          <w:rFonts w:hint="eastAsia" w:ascii="宋体" w:hAnsi="宋体" w:cs="Arial"/>
          <w:color w:val="auto"/>
          <w:kern w:val="0"/>
          <w:szCs w:val="21"/>
          <w:highlight w:val="none"/>
          <w:shd w:val="clear" w:color="auto" w:fill="auto"/>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 xml:space="preserve">3.2.2 </w:t>
      </w:r>
      <w:r>
        <w:rPr>
          <w:rFonts w:hint="eastAsia" w:ascii="宋体" w:hAnsi="宋体" w:cs="Arial"/>
          <w:color w:val="auto"/>
          <w:kern w:val="0"/>
          <w:szCs w:val="21"/>
          <w:highlight w:val="none"/>
          <w:shd w:val="clear" w:color="auto" w:fill="auto"/>
        </w:rPr>
        <w:t>投标人的投标价格不能超出本项目最高限价。</w:t>
      </w:r>
    </w:p>
    <w:p>
      <w:pPr>
        <w:tabs>
          <w:tab w:val="left" w:pos="630"/>
        </w:tabs>
        <w:spacing w:line="360" w:lineRule="auto"/>
        <w:ind w:firstLine="420" w:firstLineChars="200"/>
        <w:jc w:val="left"/>
        <w:textAlignment w:val="center"/>
        <w:rPr>
          <w:rFonts w:ascii="宋体" w:hAnsi="宋体" w:cstheme="majorEastAsia"/>
          <w:color w:val="auto"/>
          <w:szCs w:val="21"/>
          <w:highlight w:val="none"/>
          <w:shd w:val="clear" w:color="auto" w:fill="auto"/>
        </w:rPr>
      </w:pPr>
      <w:r>
        <w:rPr>
          <w:rFonts w:ascii="宋体" w:hAnsi="宋体" w:cs="Arial"/>
          <w:color w:val="auto"/>
          <w:kern w:val="0"/>
          <w:szCs w:val="21"/>
          <w:highlight w:val="none"/>
          <w:shd w:val="clear" w:color="auto" w:fill="auto"/>
        </w:rPr>
        <w:t>3.2.3</w:t>
      </w:r>
      <w:r>
        <w:rPr>
          <w:rFonts w:hint="eastAsia" w:ascii="宋体" w:hAnsi="宋体" w:cs="Arial"/>
          <w:color w:val="auto"/>
          <w:kern w:val="0"/>
          <w:szCs w:val="21"/>
          <w:highlight w:val="none"/>
          <w:shd w:val="clear" w:color="auto" w:fill="auto"/>
        </w:rPr>
        <w:t>投标人在投标截止时间前修改投标函中的投标报价的，应同时修改第五章“投标文件格式”中开标一览表（报价单）的相应报价。</w:t>
      </w:r>
    </w:p>
    <w:p>
      <w:pPr>
        <w:spacing w:line="360" w:lineRule="auto"/>
        <w:jc w:val="left"/>
        <w:rPr>
          <w:rFonts w:ascii="宋体" w:hAnsi="宋体" w:cstheme="majorEastAsia"/>
          <w:b/>
          <w:bCs/>
          <w:color w:val="auto"/>
          <w:szCs w:val="21"/>
          <w:highlight w:val="none"/>
          <w:shd w:val="clear" w:color="auto" w:fill="auto"/>
        </w:rPr>
      </w:pPr>
      <w:r>
        <w:rPr>
          <w:rFonts w:hint="eastAsia" w:ascii="宋体" w:hAnsi="宋体" w:cs="Arial"/>
          <w:b/>
          <w:bCs/>
          <w:color w:val="auto"/>
          <w:kern w:val="0"/>
          <w:szCs w:val="21"/>
          <w:highlight w:val="none"/>
          <w:shd w:val="clear" w:color="auto" w:fill="auto"/>
        </w:rPr>
        <w:t>3.3投标文件</w:t>
      </w:r>
      <w:r>
        <w:rPr>
          <w:rFonts w:hint="eastAsia" w:ascii="宋体" w:hAnsi="宋体" w:cstheme="majorEastAsia"/>
          <w:b/>
          <w:bCs/>
          <w:color w:val="auto"/>
          <w:szCs w:val="21"/>
          <w:highlight w:val="none"/>
          <w:shd w:val="clear" w:color="auto" w:fill="auto"/>
        </w:rPr>
        <w:t>密封</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3.3.1投标文件按标段分别编制递交，不允许将两个及以上标段的投标文件编制在一起，否则，届时其投标将被拒绝。</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3.3.2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 “投标文件格式”的要求。投标文件应尽量避免涂改、行间插字或删除。如果出现上述情况，改动之处应由投标人的法定代表人（单位负责人）或其授权的代理人签字或盖单位章。</w:t>
      </w:r>
    </w:p>
    <w:p>
      <w:pPr>
        <w:widowControl/>
        <w:shd w:val="clear" w:color="auto" w:fill="FFFFFF"/>
        <w:snapToGrid w:val="0"/>
        <w:spacing w:line="360" w:lineRule="auto"/>
        <w:ind w:firstLine="422" w:firstLineChars="200"/>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3.3.3投标人投标文件若有以下情况的采购代理机构有权拒绝：</w:t>
      </w:r>
    </w:p>
    <w:p>
      <w:pPr>
        <w:pStyle w:val="7"/>
        <w:numPr>
          <w:ilvl w:val="0"/>
          <w:numId w:val="0"/>
        </w:numPr>
        <w:spacing w:line="360" w:lineRule="auto"/>
        <w:ind w:firstLine="630" w:firstLineChars="300"/>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①投标文件在递交截止时间后递交的；</w:t>
      </w:r>
    </w:p>
    <w:p>
      <w:pPr>
        <w:pStyle w:val="7"/>
        <w:numPr>
          <w:ilvl w:val="0"/>
          <w:numId w:val="0"/>
        </w:numPr>
        <w:spacing w:line="360" w:lineRule="auto"/>
        <w:ind w:firstLine="630" w:firstLineChars="300"/>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②投标文件不完整或有附加条件的，有保留的，有涂改的，有变更的；</w:t>
      </w:r>
    </w:p>
    <w:p>
      <w:pPr>
        <w:widowControl/>
        <w:shd w:val="clear" w:color="auto" w:fill="FFFFFF"/>
        <w:snapToGrid w:val="0"/>
        <w:spacing w:line="360" w:lineRule="auto"/>
        <w:ind w:firstLine="422" w:firstLineChars="200"/>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3.3.4 投标文件格式</w:t>
      </w:r>
    </w:p>
    <w:p>
      <w:pPr>
        <w:widowControl/>
        <w:shd w:val="clear" w:color="auto" w:fill="FFFFFF"/>
        <w:snapToGrid w:val="0"/>
        <w:spacing w:line="360" w:lineRule="auto"/>
        <w:ind w:firstLine="630" w:firstLineChars="300"/>
        <w:rPr>
          <w:rFonts w:ascii="宋体" w:hAnsi="宋体" w:cs="Arial"/>
          <w:b/>
          <w:bCs/>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 投标文件电子版要求包含投标文件全部内容，投标文件电子版与开标后提供的纸质版一致。</w:t>
      </w:r>
    </w:p>
    <w:p>
      <w:pPr>
        <w:widowControl/>
        <w:shd w:val="clear" w:color="auto" w:fill="FFFFFF"/>
        <w:snapToGrid w:val="0"/>
        <w:spacing w:line="360" w:lineRule="auto"/>
        <w:ind w:firstLine="630" w:firstLineChars="3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投标文件应当对招标文件有关招标范围、技术与服务要求等实质性内容做出响应。</w:t>
      </w:r>
    </w:p>
    <w:p>
      <w:pPr>
        <w:widowControl/>
        <w:shd w:val="clear" w:color="auto" w:fill="FFFFFF"/>
        <w:snapToGrid w:val="0"/>
        <w:spacing w:line="360" w:lineRule="auto"/>
        <w:ind w:firstLine="422" w:firstLineChars="200"/>
        <w:rPr>
          <w:rFonts w:ascii="宋体" w:hAnsi="宋体" w:cs="Arial"/>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3.3.5</w:t>
      </w:r>
      <w:r>
        <w:rPr>
          <w:rFonts w:ascii="宋体" w:hAnsi="宋体" w:cs="Arial"/>
          <w:b/>
          <w:bCs/>
          <w:color w:val="auto"/>
          <w:kern w:val="0"/>
          <w:szCs w:val="21"/>
          <w:highlight w:val="none"/>
          <w:shd w:val="clear" w:color="auto" w:fill="auto"/>
        </w:rPr>
        <w:t xml:space="preserve"> </w:t>
      </w:r>
      <w:r>
        <w:rPr>
          <w:rFonts w:hint="eastAsia" w:ascii="宋体" w:hAnsi="宋体" w:cs="Arial"/>
          <w:b/>
          <w:bCs/>
          <w:color w:val="auto"/>
          <w:kern w:val="0"/>
          <w:szCs w:val="21"/>
          <w:highlight w:val="none"/>
          <w:shd w:val="clear" w:color="auto" w:fill="auto"/>
        </w:rPr>
        <w:t>投标文件的修改与撤回</w:t>
      </w:r>
    </w:p>
    <w:p>
      <w:pPr>
        <w:widowControl/>
        <w:shd w:val="clear" w:color="auto" w:fill="FFFFFF"/>
        <w:snapToGrid w:val="0"/>
        <w:spacing w:line="360" w:lineRule="auto"/>
        <w:ind w:firstLine="630" w:firstLineChars="3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投标人递交投标文件后，在规定投标截止时间前，可以书面形式向采购人递交修改或撤回其投标文件的通知，采用电子采购交易方式，执行相关政策。</w:t>
      </w:r>
    </w:p>
    <w:p>
      <w:pPr>
        <w:widowControl/>
        <w:shd w:val="clear" w:color="auto" w:fill="FFFFFF"/>
        <w:snapToGrid w:val="0"/>
        <w:spacing w:line="360" w:lineRule="auto"/>
        <w:ind w:firstLine="630" w:firstLineChars="3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修改的内容为投标文件的组成部分。修改的投标文件应按照本招标文件的规定进行编制、标记和递交，并标明“修改”字样。</w:t>
      </w: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17" w:name="_Toc12338"/>
      <w:bookmarkStart w:id="18" w:name="_Toc2117"/>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第四节 纪律和监督</w:t>
      </w:r>
      <w:bookmarkEnd w:id="17"/>
      <w:bookmarkEnd w:id="18"/>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w:t>
      </w:r>
      <w:r>
        <w:rPr>
          <w:rFonts w:ascii="宋体" w:hAnsi="宋体" w:cs="Arial"/>
          <w:b/>
          <w:bCs/>
          <w:color w:val="auto"/>
          <w:kern w:val="0"/>
          <w:szCs w:val="21"/>
          <w:highlight w:val="none"/>
          <w:shd w:val="clear" w:color="auto" w:fill="auto"/>
        </w:rPr>
        <w:t xml:space="preserve">.1 </w:t>
      </w:r>
      <w:r>
        <w:rPr>
          <w:rFonts w:hint="eastAsia" w:ascii="宋体" w:hAnsi="宋体" w:cs="Arial"/>
          <w:b/>
          <w:bCs/>
          <w:color w:val="auto"/>
          <w:kern w:val="0"/>
          <w:szCs w:val="21"/>
          <w:highlight w:val="none"/>
          <w:shd w:val="clear" w:color="auto" w:fill="auto"/>
        </w:rPr>
        <w:t>对采购人的纪律要求</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w:t>
      </w:r>
      <w:r>
        <w:rPr>
          <w:rFonts w:ascii="宋体" w:hAnsi="宋体" w:cs="Arial"/>
          <w:b/>
          <w:bCs/>
          <w:color w:val="auto"/>
          <w:kern w:val="0"/>
          <w:szCs w:val="21"/>
          <w:highlight w:val="none"/>
          <w:shd w:val="clear" w:color="auto" w:fill="auto"/>
        </w:rPr>
        <w:t xml:space="preserve">.2 </w:t>
      </w:r>
      <w:r>
        <w:rPr>
          <w:rFonts w:hint="eastAsia" w:ascii="宋体" w:hAnsi="宋体" w:cs="Arial"/>
          <w:b/>
          <w:bCs/>
          <w:color w:val="auto"/>
          <w:kern w:val="0"/>
          <w:szCs w:val="21"/>
          <w:highlight w:val="none"/>
          <w:shd w:val="clear" w:color="auto" w:fill="auto"/>
        </w:rPr>
        <w:t>对投标人的纪律要求</w:t>
      </w:r>
    </w:p>
    <w:p>
      <w:pPr>
        <w:widowControl/>
        <w:shd w:val="clear" w:color="auto" w:fill="FFFFFF"/>
        <w:snapToGrid w:val="0"/>
        <w:spacing w:line="360" w:lineRule="auto"/>
        <w:ind w:firstLine="422" w:firstLineChars="200"/>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投标人有下列情形之一的，视为投标人串通投标，其投标无效：</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4.2.1不同投标人的投标文件由同一单位或者个人编制；</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4.2.2不同投标人委托同一单位或者个人办理投标事宜；</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4.2.3不同投标人的投标文件载明的项目管理成员或者联系人员为同一人；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4.2.4</w:t>
      </w:r>
      <w:r>
        <w:rPr>
          <w:rFonts w:hint="eastAsia" w:ascii="宋体" w:hAnsi="宋体" w:cs="宋体"/>
          <w:color w:val="auto"/>
          <w:kern w:val="0"/>
          <w:szCs w:val="21"/>
          <w:highlight w:val="none"/>
          <w:shd w:val="clear" w:color="auto" w:fill="auto"/>
        </w:rPr>
        <w:t>不同投标人的投标文件异常一致或者投标报价呈现规律性差异；</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4.2.5不同投标人的投标文件相互混装；</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Arial"/>
          <w:color w:val="auto"/>
          <w:kern w:val="0"/>
          <w:szCs w:val="21"/>
          <w:highlight w:val="none"/>
          <w:shd w:val="clear" w:color="auto" w:fill="auto"/>
        </w:rPr>
        <w:t>4.2.6</w:t>
      </w:r>
      <w:r>
        <w:rPr>
          <w:rFonts w:hint="eastAsia" w:ascii="宋体" w:hAnsi="宋体" w:cs="宋体"/>
          <w:color w:val="auto"/>
          <w:kern w:val="0"/>
          <w:szCs w:val="21"/>
          <w:highlight w:val="none"/>
          <w:shd w:val="clear" w:color="auto" w:fill="auto"/>
        </w:rPr>
        <w:t>不同投标人的投标保证金从同一单位或者个人的账户转出。</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w:t>
      </w:r>
      <w:r>
        <w:rPr>
          <w:rFonts w:ascii="宋体" w:hAnsi="宋体" w:cs="Arial"/>
          <w:b/>
          <w:bCs/>
          <w:color w:val="auto"/>
          <w:kern w:val="0"/>
          <w:szCs w:val="21"/>
          <w:highlight w:val="none"/>
          <w:shd w:val="clear" w:color="auto" w:fill="auto"/>
        </w:rPr>
        <w:t xml:space="preserve">.3 </w:t>
      </w:r>
      <w:r>
        <w:rPr>
          <w:rFonts w:hint="eastAsia" w:ascii="宋体" w:hAnsi="宋体" w:cs="Arial"/>
          <w:b/>
          <w:bCs/>
          <w:color w:val="auto"/>
          <w:kern w:val="0"/>
          <w:szCs w:val="21"/>
          <w:highlight w:val="none"/>
          <w:shd w:val="clear" w:color="auto" w:fill="auto"/>
        </w:rPr>
        <w:t>对评标委员会成员的纪律要求</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w:t>
      </w:r>
      <w:r>
        <w:rPr>
          <w:rFonts w:ascii="宋体" w:hAnsi="宋体" w:cs="Arial"/>
          <w:b/>
          <w:bCs/>
          <w:color w:val="auto"/>
          <w:kern w:val="0"/>
          <w:szCs w:val="21"/>
          <w:highlight w:val="none"/>
          <w:shd w:val="clear" w:color="auto" w:fill="auto"/>
        </w:rPr>
        <w:t xml:space="preserve">.4 </w:t>
      </w:r>
      <w:r>
        <w:rPr>
          <w:rFonts w:hint="eastAsia" w:ascii="宋体" w:hAnsi="宋体" w:cs="Arial"/>
          <w:b/>
          <w:bCs/>
          <w:color w:val="auto"/>
          <w:kern w:val="0"/>
          <w:szCs w:val="21"/>
          <w:highlight w:val="none"/>
          <w:shd w:val="clear" w:color="auto" w:fill="auto"/>
        </w:rPr>
        <w:t>对与评标活动有关的工作人员的纪律要求</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w:t>
      </w:r>
      <w:r>
        <w:rPr>
          <w:rFonts w:ascii="宋体" w:hAnsi="宋体" w:cs="Arial"/>
          <w:b/>
          <w:bCs/>
          <w:color w:val="auto"/>
          <w:kern w:val="0"/>
          <w:szCs w:val="21"/>
          <w:highlight w:val="none"/>
          <w:shd w:val="clear" w:color="auto" w:fill="auto"/>
        </w:rPr>
        <w:t xml:space="preserve">.5 </w:t>
      </w:r>
      <w:r>
        <w:rPr>
          <w:rFonts w:hint="eastAsia" w:ascii="宋体" w:hAnsi="宋体" w:cs="Arial"/>
          <w:b/>
          <w:bCs/>
          <w:color w:val="auto"/>
          <w:kern w:val="0"/>
          <w:szCs w:val="21"/>
          <w:highlight w:val="none"/>
          <w:shd w:val="clear" w:color="auto" w:fill="auto"/>
        </w:rPr>
        <w:t>监督</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本项目的招标投标活动及其相关当事人应当接受有管辖权的监督部门依法实施的监督。</w:t>
      </w:r>
    </w:p>
    <w:p>
      <w:pPr>
        <w:pStyle w:val="2"/>
        <w:rPr>
          <w:rFonts w:ascii="宋体" w:hAnsi="宋体" w:eastAsia="宋体"/>
          <w:color w:val="auto"/>
          <w:sz w:val="21"/>
          <w:szCs w:val="21"/>
          <w:highlight w:val="none"/>
          <w:shd w:val="clear" w:color="auto" w:fill="auto"/>
        </w:rPr>
      </w:pPr>
    </w:p>
    <w:p>
      <w:pPr>
        <w:tabs>
          <w:tab w:val="center" w:pos="4832"/>
          <w:tab w:val="left" w:pos="7140"/>
        </w:tabs>
        <w:spacing w:line="360" w:lineRule="auto"/>
        <w:jc w:val="center"/>
        <w:outlineLvl w:val="1"/>
        <w:rPr>
          <w:rFonts w:ascii="宋体" w:hAnsi="宋体" w:cs="宋体"/>
          <w:color w:val="auto"/>
          <w:szCs w:val="21"/>
          <w:highlight w:val="none"/>
          <w:shd w:val="clear" w:color="auto" w:fill="auto"/>
        </w:rPr>
      </w:pPr>
      <w:bookmarkStart w:id="19" w:name="_Toc28529"/>
      <w:bookmarkStart w:id="20" w:name="_Toc5106"/>
      <w:r>
        <w:rPr>
          <w:rFonts w:hint="eastAsia" w:ascii="宋体" w:hAnsi="宋体" w:cs="宋体"/>
          <w:b/>
          <w:color w:val="auto"/>
          <w:szCs w:val="21"/>
          <w:highlight w:val="none"/>
          <w:shd w:val="clear" w:color="auto" w:fill="auto"/>
        </w:rPr>
        <w:t>第五节 询问、质疑和投诉</w:t>
      </w:r>
      <w:bookmarkEnd w:id="19"/>
      <w:bookmarkEnd w:id="20"/>
    </w:p>
    <w:p>
      <w:pPr>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5.1 询问</w:t>
      </w:r>
    </w:p>
    <w:p>
      <w:pPr>
        <w:spacing w:line="360" w:lineRule="auto"/>
        <w:ind w:firstLine="420" w:firstLineChars="200"/>
        <w:rPr>
          <w:rFonts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投标人对采购活动事项有疑问的，可以提出询问，我公司将在两个工作日内作出答复，但答复的内容不涉及商业秘密。</w:t>
      </w:r>
    </w:p>
    <w:p>
      <w:pPr>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5.2 质疑</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5.2.1提出质疑的</w:t>
      </w:r>
      <w:r>
        <w:rPr>
          <w:rFonts w:hint="eastAsia" w:ascii="宋体" w:hAnsi="宋体" w:cs="宋体"/>
          <w:color w:val="auto"/>
          <w:szCs w:val="21"/>
          <w:highlight w:val="none"/>
          <w:shd w:val="clear" w:color="auto" w:fill="auto"/>
          <w:lang w:val="zh-CN"/>
        </w:rPr>
        <w:t>投标人</w:t>
      </w:r>
      <w:r>
        <w:rPr>
          <w:rFonts w:hint="eastAsia" w:ascii="宋体" w:hAnsi="宋体" w:cs="宋体"/>
          <w:color w:val="auto"/>
          <w:szCs w:val="21"/>
          <w:highlight w:val="none"/>
          <w:shd w:val="clear" w:color="auto" w:fill="auto"/>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5.2.2</w:t>
      </w:r>
      <w:r>
        <w:rPr>
          <w:rFonts w:hint="eastAsia" w:ascii="宋体" w:hAnsi="宋体" w:cs="宋体"/>
          <w:color w:val="auto"/>
          <w:szCs w:val="21"/>
          <w:highlight w:val="none"/>
          <w:shd w:val="clear" w:color="auto" w:fill="auto"/>
          <w:lang w:val="zh-CN"/>
        </w:rPr>
        <w:t>投标人</w:t>
      </w:r>
      <w:r>
        <w:rPr>
          <w:rFonts w:hint="eastAsia" w:ascii="宋体" w:hAnsi="宋体" w:cs="宋体"/>
          <w:color w:val="auto"/>
          <w:szCs w:val="21"/>
          <w:highlight w:val="none"/>
          <w:shd w:val="clear" w:color="auto" w:fill="auto"/>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5.2.3</w:t>
      </w:r>
      <w:r>
        <w:rPr>
          <w:rFonts w:hint="eastAsia" w:ascii="宋体" w:hAnsi="宋体" w:cs="宋体"/>
          <w:color w:val="auto"/>
          <w:szCs w:val="21"/>
          <w:highlight w:val="none"/>
          <w:shd w:val="clear" w:color="auto" w:fill="auto"/>
          <w:lang w:val="zh-CN"/>
        </w:rPr>
        <w:t>投标人</w:t>
      </w:r>
      <w:r>
        <w:rPr>
          <w:rFonts w:hint="eastAsia" w:ascii="宋体" w:hAnsi="宋体" w:cs="宋体"/>
          <w:color w:val="auto"/>
          <w:kern w:val="0"/>
          <w:szCs w:val="21"/>
          <w:highlight w:val="none"/>
          <w:shd w:val="clear" w:color="auto" w:fill="auto"/>
        </w:rPr>
        <w:t>应当在法定质疑期内一次性提出针对同一采购程序环节的质疑。</w:t>
      </w:r>
      <w:r>
        <w:rPr>
          <w:rFonts w:hint="eastAsia" w:ascii="宋体" w:hAnsi="宋体" w:cs="宋体"/>
          <w:color w:val="auto"/>
          <w:szCs w:val="21"/>
          <w:highlight w:val="none"/>
          <w:shd w:val="clear" w:color="auto" w:fill="auto"/>
          <w:lang w:val="zh-CN"/>
        </w:rPr>
        <w:t>投标人</w:t>
      </w:r>
      <w:r>
        <w:rPr>
          <w:rFonts w:hint="eastAsia" w:ascii="宋体" w:hAnsi="宋体" w:cs="宋体"/>
          <w:color w:val="auto"/>
          <w:kern w:val="0"/>
          <w:szCs w:val="21"/>
          <w:highlight w:val="none"/>
          <w:shd w:val="clear" w:color="auto" w:fill="auto"/>
        </w:rPr>
        <w:t>如在法定期限内对同一采购程序环节提出多次质疑的，将只对供应商第一次质疑作出答复。</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5.2.4质疑函必须按要求的格式和内容进行填写。</w:t>
      </w:r>
      <w:r>
        <w:rPr>
          <w:rFonts w:hint="eastAsia" w:ascii="宋体" w:hAnsi="宋体" w:cs="宋体"/>
          <w:color w:val="auto"/>
          <w:szCs w:val="21"/>
          <w:highlight w:val="none"/>
          <w:shd w:val="clear" w:color="auto" w:fill="auto"/>
          <w:lang w:val="zh-CN"/>
        </w:rPr>
        <w:t>投标人</w:t>
      </w:r>
      <w:r>
        <w:rPr>
          <w:rFonts w:hint="eastAsia" w:ascii="宋体" w:hAnsi="宋体" w:cs="宋体"/>
          <w:color w:val="auto"/>
          <w:szCs w:val="21"/>
          <w:highlight w:val="none"/>
          <w:shd w:val="clear" w:color="auto" w:fill="auto"/>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5.2.5只接收以纸质原件形式送达的质疑。项目开标前的质疑（针对采购文件的质疑），由采购人负责回复答疑。项目开评标中评标结束后由代理公司负责回复。</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开标前、后质疑（针对采购文件的质疑）接收人：本项目采购单位联系人，联系地址：见第一章 。</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5.2.6以下情形的质疑不予受理</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①内容不符合《政府采购质疑和投诉办法》第十二条规定的质疑。</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②超出政府采购法定期限的质疑。</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③以传真、电子邮件等方式递交的非原件形式的质疑。</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④未参加投标活动的投标人或在投标活动中自身权益未受到损害的投标人所提出的质疑。</w:t>
      </w:r>
    </w:p>
    <w:p>
      <w:pPr>
        <w:snapToGrid w:val="0"/>
        <w:spacing w:line="360" w:lineRule="auto"/>
        <w:ind w:firstLine="48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⑤投标人组成联合体参加投标，联合体中任何一方或多方未按要求签字、盖章、加盖公章的质疑。</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5.3 投诉</w:t>
      </w:r>
    </w:p>
    <w:p>
      <w:pPr>
        <w:spacing w:line="360" w:lineRule="auto"/>
        <w:ind w:firstLine="420" w:firstLineChars="200"/>
        <w:rPr>
          <w:rFonts w:ascii="宋体" w:hAnsi="宋体"/>
          <w:color w:val="auto"/>
          <w:szCs w:val="21"/>
          <w:highlight w:val="none"/>
          <w:shd w:val="clear" w:color="auto" w:fill="auto"/>
        </w:rPr>
      </w:pPr>
      <w:r>
        <w:rPr>
          <w:rFonts w:hint="eastAsia" w:ascii="宋体" w:hAnsi="宋体" w:cs="宋体"/>
          <w:color w:val="auto"/>
          <w:szCs w:val="21"/>
          <w:highlight w:val="none"/>
          <w:shd w:val="clear" w:color="auto" w:fill="auto"/>
          <w:lang w:val="zh-CN"/>
        </w:rPr>
        <w:t>质疑供应商对我单位的答复不满意，或未在规定的时间内作出答复的，可以在答复期满</w:t>
      </w:r>
      <w:r>
        <w:rPr>
          <w:rFonts w:hint="eastAsia" w:ascii="宋体" w:hAnsi="宋体" w:cs="宋体"/>
          <w:color w:val="auto"/>
          <w:szCs w:val="21"/>
          <w:highlight w:val="none"/>
          <w:shd w:val="clear" w:color="auto" w:fill="auto"/>
        </w:rPr>
        <w:t>后十五个工作日内向财政局</w:t>
      </w:r>
      <w:r>
        <w:rPr>
          <w:rFonts w:hint="eastAsia" w:ascii="宋体" w:hAnsi="宋体" w:cs="宋体"/>
          <w:color w:val="auto"/>
          <w:szCs w:val="21"/>
          <w:highlight w:val="none"/>
          <w:shd w:val="clear" w:color="auto" w:fill="auto"/>
          <w:lang w:val="zh-CN"/>
        </w:rPr>
        <w:t>投诉。</w:t>
      </w:r>
      <w:bookmarkStart w:id="21" w:name="_BookMark_1"/>
      <w:bookmarkEnd w:id="21"/>
    </w:p>
    <w:p>
      <w:pPr>
        <w:pStyle w:val="7"/>
        <w:numPr>
          <w:ilvl w:val="0"/>
          <w:numId w:val="0"/>
        </w:numPr>
        <w:rPr>
          <w:rFonts w:ascii="宋体" w:hAnsi="宋体" w:eastAsia="宋体"/>
          <w:color w:val="auto"/>
          <w:sz w:val="21"/>
          <w:szCs w:val="21"/>
          <w:highlight w:val="none"/>
          <w:shd w:val="clear" w:color="auto" w:fill="auto"/>
        </w:rPr>
      </w:pPr>
    </w:p>
    <w:p>
      <w:pPr>
        <w:pStyle w:val="7"/>
        <w:numPr>
          <w:ilvl w:val="0"/>
          <w:numId w:val="0"/>
        </w:numPr>
        <w:rPr>
          <w:rFonts w:ascii="宋体" w:hAnsi="宋体" w:eastAsia="宋体"/>
          <w:color w:val="auto"/>
          <w:sz w:val="21"/>
          <w:szCs w:val="21"/>
          <w:highlight w:val="none"/>
          <w:shd w:val="clear" w:color="auto" w:fill="auto"/>
        </w:rPr>
      </w:pP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22" w:name="_Toc27389"/>
      <w:r>
        <w:rPr>
          <w:rFonts w:hint="eastAsia" w:ascii="宋体" w:hAnsi="宋体" w:cs="宋体"/>
          <w:b/>
          <w:color w:val="auto"/>
          <w:szCs w:val="21"/>
          <w:highlight w:val="none"/>
          <w:shd w:val="clear" w:color="auto" w:fill="auto"/>
        </w:rPr>
        <w:t>第六节 评标</w:t>
      </w:r>
      <w:bookmarkEnd w:id="22"/>
    </w:p>
    <w:p>
      <w:pPr>
        <w:tabs>
          <w:tab w:val="left" w:pos="630"/>
        </w:tabs>
        <w:spacing w:line="360" w:lineRule="auto"/>
        <w:jc w:val="left"/>
        <w:textAlignment w:val="center"/>
        <w:rPr>
          <w:rFonts w:ascii="宋体" w:hAnsi="宋体" w:cstheme="majorEastAsia"/>
          <w:b/>
          <w:bCs/>
          <w:color w:val="auto"/>
          <w:szCs w:val="21"/>
          <w:highlight w:val="none"/>
          <w:shd w:val="clear" w:color="auto" w:fill="auto"/>
        </w:rPr>
      </w:pPr>
      <w:r>
        <w:rPr>
          <w:rFonts w:hint="eastAsia" w:ascii="宋体" w:hAnsi="宋体" w:cs="Arial"/>
          <w:b/>
          <w:bCs/>
          <w:color w:val="auto"/>
          <w:kern w:val="0"/>
          <w:szCs w:val="21"/>
          <w:highlight w:val="none"/>
          <w:shd w:val="clear" w:color="auto" w:fill="auto"/>
        </w:rPr>
        <w:t>6</w:t>
      </w:r>
      <w:r>
        <w:rPr>
          <w:rFonts w:ascii="宋体" w:hAnsi="宋体" w:cs="Arial"/>
          <w:b/>
          <w:bCs/>
          <w:color w:val="auto"/>
          <w:kern w:val="0"/>
          <w:szCs w:val="21"/>
          <w:highlight w:val="none"/>
          <w:shd w:val="clear" w:color="auto" w:fill="auto"/>
        </w:rPr>
        <w:t>.</w:t>
      </w:r>
      <w:r>
        <w:rPr>
          <w:rFonts w:hint="eastAsia" w:ascii="宋体" w:hAnsi="宋体" w:cs="Arial"/>
          <w:b/>
          <w:bCs/>
          <w:color w:val="auto"/>
          <w:kern w:val="0"/>
          <w:szCs w:val="21"/>
          <w:highlight w:val="none"/>
          <w:shd w:val="clear" w:color="auto" w:fill="auto"/>
        </w:rPr>
        <w:t>1</w:t>
      </w:r>
      <w:r>
        <w:rPr>
          <w:rFonts w:hint="eastAsia" w:ascii="宋体" w:hAnsi="宋体" w:cstheme="majorEastAsia"/>
          <w:b/>
          <w:bCs/>
          <w:color w:val="auto"/>
          <w:szCs w:val="21"/>
          <w:highlight w:val="none"/>
          <w:shd w:val="clear" w:color="auto" w:fill="auto"/>
        </w:rPr>
        <w:t xml:space="preserve"> 评标委员会</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.1.1 </w:t>
      </w:r>
      <w:r>
        <w:rPr>
          <w:rFonts w:hint="eastAsia" w:ascii="宋体" w:hAnsi="宋体" w:cs="Arial"/>
          <w:color w:val="auto"/>
          <w:kern w:val="0"/>
          <w:szCs w:val="21"/>
          <w:highlight w:val="none"/>
          <w:shd w:val="clear" w:color="auto" w:fill="auto"/>
        </w:rPr>
        <w:t>评标由采购人按照《政府采购评审专家管理办法》财库〔2016〕198号，依法组建的评标委员会负责。</w:t>
      </w:r>
      <w:r>
        <w:rPr>
          <w:rFonts w:hint="eastAsia" w:ascii="宋体" w:hAnsi="宋体" w:cs="Arial"/>
          <w:b/>
          <w:bCs/>
          <w:color w:val="auto"/>
          <w:kern w:val="0"/>
          <w:szCs w:val="21"/>
          <w:highlight w:val="none"/>
          <w:shd w:val="clear" w:color="auto" w:fill="auto"/>
        </w:rPr>
        <w:t>评标委员会由采购人2人和评审专家5人，共7人组成。</w:t>
      </w:r>
      <w:r>
        <w:rPr>
          <w:rFonts w:hint="eastAsia" w:ascii="宋体" w:hAnsi="宋体" w:cs="Arial"/>
          <w:color w:val="auto"/>
          <w:kern w:val="0"/>
          <w:szCs w:val="21"/>
          <w:highlight w:val="none"/>
          <w:shd w:val="clear" w:color="auto" w:fill="auto"/>
        </w:rPr>
        <w:t>根据项目特点，于开标前从评审专家库中随机抽取专家组建评标委员会。评标委员会在监督人员的监督下独立完成评标工作，负责对投标文件进行审查、质询、评审、推选中标候选人。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 xml:space="preserve">.1.2 </w:t>
      </w:r>
      <w:r>
        <w:rPr>
          <w:rFonts w:hint="eastAsia" w:ascii="宋体" w:hAnsi="宋体" w:cs="Arial"/>
          <w:color w:val="auto"/>
          <w:kern w:val="0"/>
          <w:szCs w:val="21"/>
          <w:highlight w:val="none"/>
          <w:shd w:val="clear" w:color="auto" w:fill="auto"/>
        </w:rPr>
        <w:t>评标委员会按照规定履行下列职责：</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承担投标文件的审核工作，并作出评价；</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要求投标人对投标文件有关事宜作出澄清或答复；</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对质疑问题的审议工作；</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④ </w:t>
      </w:r>
      <w:r>
        <w:rPr>
          <w:rFonts w:hint="eastAsia" w:ascii="宋体" w:hAnsi="宋体" w:cs="Arial"/>
          <w:color w:val="auto"/>
          <w:kern w:val="0"/>
          <w:szCs w:val="21"/>
          <w:highlight w:val="none"/>
          <w:shd w:val="clear" w:color="auto" w:fill="auto"/>
        </w:rPr>
        <w:t>推荐中标候选供应商名单或者直接确定入中标应商；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微软雅黑"/>
          <w:color w:val="auto"/>
          <w:kern w:val="0"/>
          <w:szCs w:val="21"/>
          <w:highlight w:val="none"/>
          <w:shd w:val="clear" w:color="auto" w:fill="auto"/>
        </w:rPr>
        <w:t xml:space="preserve">⑤ </w:t>
      </w:r>
      <w:r>
        <w:rPr>
          <w:rFonts w:hint="eastAsia" w:ascii="宋体" w:hAnsi="宋体" w:cs="Arial"/>
          <w:color w:val="auto"/>
          <w:kern w:val="0"/>
          <w:szCs w:val="21"/>
          <w:highlight w:val="none"/>
          <w:shd w:val="clear" w:color="auto" w:fill="auto"/>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评标委员会享有以下权利：</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对供应商所供货物、服务质量的评审权；</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按照招标文件对评审意见承担相应责任；</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推荐中标候选人供应商的表决权；</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④ </w:t>
      </w:r>
      <w:r>
        <w:rPr>
          <w:rFonts w:hint="eastAsia" w:ascii="宋体" w:hAnsi="宋体" w:cs="Arial"/>
          <w:color w:val="auto"/>
          <w:kern w:val="0"/>
          <w:szCs w:val="21"/>
          <w:highlight w:val="none"/>
          <w:shd w:val="clear" w:color="auto" w:fill="auto"/>
        </w:rPr>
        <w:t>参与评标报告的书写；</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微软雅黑"/>
          <w:color w:val="auto"/>
          <w:kern w:val="0"/>
          <w:szCs w:val="21"/>
          <w:highlight w:val="none"/>
          <w:shd w:val="clear" w:color="auto" w:fill="auto"/>
        </w:rPr>
        <w:t xml:space="preserve">⑤ </w:t>
      </w:r>
      <w:r>
        <w:rPr>
          <w:rFonts w:hint="eastAsia" w:ascii="宋体" w:hAnsi="宋体" w:cs="Arial"/>
          <w:color w:val="auto"/>
          <w:kern w:val="0"/>
          <w:szCs w:val="21"/>
          <w:highlight w:val="none"/>
          <w:shd w:val="clear" w:color="auto" w:fill="auto"/>
        </w:rPr>
        <w:t>配合相关部门的投诉处理工作；</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微软雅黑"/>
          <w:color w:val="auto"/>
          <w:kern w:val="0"/>
          <w:szCs w:val="21"/>
          <w:highlight w:val="none"/>
          <w:shd w:val="clear" w:color="auto" w:fill="auto"/>
        </w:rPr>
        <w:t xml:space="preserve">⑥ </w:t>
      </w:r>
      <w:r>
        <w:rPr>
          <w:rFonts w:hint="eastAsia" w:ascii="宋体" w:hAnsi="宋体" w:cs="Arial"/>
          <w:color w:val="auto"/>
          <w:kern w:val="0"/>
          <w:szCs w:val="21"/>
          <w:highlight w:val="none"/>
          <w:shd w:val="clear" w:color="auto" w:fill="auto"/>
        </w:rPr>
        <w:t>配合答复投标人提出的质疑。</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4</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评标委员会成员有下列情形之一的，应当回避：</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与投标人的法定代表人或者负责人有夫妻、直系血亲、三代以内旁系血亲或者近姻亲关系。</w:t>
      </w:r>
    </w:p>
    <w:p>
      <w:pPr>
        <w:spacing w:line="360" w:lineRule="auto"/>
        <w:ind w:left="420" w:leftChars="200"/>
        <w:jc w:val="left"/>
        <w:rPr>
          <w:rFonts w:ascii="宋体" w:hAnsi="宋体" w:cstheme="majorEastAsia"/>
          <w:color w:val="auto"/>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与投标人有其他可能影响政府采购活动公平、公正进行的关系。</w:t>
      </w:r>
    </w:p>
    <w:p>
      <w:pPr>
        <w:tabs>
          <w:tab w:val="left" w:pos="630"/>
        </w:tabs>
        <w:spacing w:line="360" w:lineRule="auto"/>
        <w:jc w:val="left"/>
        <w:textAlignment w:val="center"/>
        <w:rPr>
          <w:rFonts w:ascii="宋体" w:hAnsi="宋体" w:cstheme="majorEastAsia"/>
          <w:b/>
          <w:bCs/>
          <w:color w:val="auto"/>
          <w:szCs w:val="21"/>
          <w:highlight w:val="none"/>
          <w:shd w:val="clear" w:color="auto" w:fill="auto"/>
        </w:rPr>
      </w:pPr>
      <w:r>
        <w:rPr>
          <w:rFonts w:hint="eastAsia" w:ascii="宋体" w:hAnsi="宋体" w:cstheme="majorEastAsia"/>
          <w:b/>
          <w:bCs/>
          <w:color w:val="auto"/>
          <w:szCs w:val="21"/>
          <w:highlight w:val="none"/>
          <w:shd w:val="clear" w:color="auto" w:fill="auto"/>
        </w:rPr>
        <w:t>6.2 评标原则</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6.2.1 评标过程中应遵循公开、公平、公正、择优的原则；</w:t>
      </w:r>
    </w:p>
    <w:p>
      <w:pPr>
        <w:tabs>
          <w:tab w:val="left" w:pos="210"/>
        </w:tabs>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6.2.2 评标应同时维护用户单位和投标单位的利益；</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6.2.3 资格审查合格的投标企业，中标机会均等；</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6.2.4 评标人员应独立进行评审，对个人的评审意见承担法律责任；</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6.2.5 评标人员不得私自泄露评标内容；</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6.2.6 评标采取质量、性能、价格、服务综合比、物有所值；</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theme="majorEastAsia"/>
          <w:color w:val="auto"/>
          <w:szCs w:val="21"/>
          <w:highlight w:val="none"/>
          <w:shd w:val="clear" w:color="auto" w:fill="auto"/>
        </w:rPr>
        <w:t>6.2.7 本次采购方式为公开招标方式，各投标单位的报价为最终报价不得更改。</w:t>
      </w:r>
    </w:p>
    <w:p>
      <w:pPr>
        <w:tabs>
          <w:tab w:val="left" w:pos="210"/>
        </w:tabs>
        <w:spacing w:line="360" w:lineRule="auto"/>
        <w:jc w:val="left"/>
        <w:rPr>
          <w:rFonts w:ascii="宋体" w:hAnsi="宋体" w:cstheme="majorEastAsia"/>
          <w:b/>
          <w:bCs/>
          <w:color w:val="auto"/>
          <w:szCs w:val="21"/>
          <w:highlight w:val="none"/>
          <w:shd w:val="clear" w:color="auto" w:fill="auto"/>
        </w:rPr>
      </w:pPr>
      <w:r>
        <w:rPr>
          <w:rFonts w:hint="eastAsia" w:ascii="宋体" w:hAnsi="宋体" w:cstheme="majorEastAsia"/>
          <w:b/>
          <w:bCs/>
          <w:color w:val="auto"/>
          <w:szCs w:val="21"/>
          <w:highlight w:val="none"/>
          <w:shd w:val="clear" w:color="auto" w:fill="auto"/>
        </w:rPr>
        <w:t>6.3 评标方法</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Arial"/>
          <w:color w:val="auto"/>
          <w:kern w:val="0"/>
          <w:szCs w:val="21"/>
          <w:highlight w:val="none"/>
          <w:shd w:val="clear" w:color="auto" w:fill="auto"/>
        </w:rPr>
        <w:t>本次评标采用综合评分法。评标委员会对满足招标文件实质性要求的投标文件，按照本节规定的评审标准进行评审。评标中各评委若发生意见分歧，以少数服从多数原则确定。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宋体" w:hAnsi="宋体" w:cstheme="majorEastAsia"/>
          <w:b/>
          <w:bCs/>
          <w:color w:val="auto"/>
          <w:szCs w:val="21"/>
          <w:highlight w:val="none"/>
          <w:shd w:val="clear" w:color="auto" w:fill="auto"/>
        </w:rPr>
      </w:pPr>
      <w:r>
        <w:rPr>
          <w:rFonts w:hint="eastAsia" w:ascii="宋体" w:hAnsi="宋体" w:cstheme="majorEastAsia"/>
          <w:b/>
          <w:bCs/>
          <w:color w:val="auto"/>
          <w:szCs w:val="21"/>
          <w:highlight w:val="none"/>
          <w:shd w:val="clear" w:color="auto" w:fill="auto"/>
        </w:rPr>
        <w:t>6.4 评标标准</w:t>
      </w:r>
    </w:p>
    <w:p>
      <w:pPr>
        <w:pStyle w:val="12"/>
        <w:ind w:firstLine="420" w:firstLineChars="200"/>
        <w:jc w:val="left"/>
        <w:rPr>
          <w:rFonts w:ascii="宋体" w:hAnsi="宋体" w:cstheme="majorEastAsia"/>
          <w:color w:val="auto"/>
          <w:sz w:val="21"/>
          <w:szCs w:val="21"/>
          <w:highlight w:val="none"/>
          <w:shd w:val="clear" w:color="auto" w:fill="auto"/>
        </w:rPr>
      </w:pPr>
      <w:r>
        <w:rPr>
          <w:rFonts w:hint="eastAsia" w:ascii="宋体" w:hAnsi="宋体" w:cstheme="majorEastAsia"/>
          <w:color w:val="auto"/>
          <w:sz w:val="21"/>
          <w:szCs w:val="21"/>
          <w:highlight w:val="none"/>
          <w:shd w:val="clear" w:color="auto" w:fill="auto"/>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6.4</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1</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资格审查：评审因素和评审标准见《资格审查标准》。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6.4</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2</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完备性及符合性审查：评审因素和评审标准见《完备性及符合性审查标准》。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6.4</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详细评审：评审因素和评审标准见《详细评审标准》。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6.4</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4</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投标报价评分标准：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分值构成及权重：见评标办法前附表。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微软雅黑"/>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评标基准价计算：见评标办法前附表。</w:t>
      </w:r>
    </w:p>
    <w:p>
      <w:pPr>
        <w:spacing w:line="360" w:lineRule="auto"/>
        <w:ind w:firstLine="420" w:firstLineChars="200"/>
        <w:jc w:val="left"/>
        <w:rPr>
          <w:rFonts w:ascii="宋体" w:hAnsi="宋体" w:cstheme="majorEastAsia"/>
          <w:color w:val="auto"/>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投标报价得分的计算：见评标办法前附表。</w:t>
      </w:r>
    </w:p>
    <w:p>
      <w:pPr>
        <w:jc w:val="center"/>
        <w:rPr>
          <w:rFonts w:ascii="宋体" w:hAnsi="宋体"/>
          <w:b/>
          <w:bCs/>
          <w:color w:val="auto"/>
          <w:szCs w:val="21"/>
          <w:highlight w:val="none"/>
          <w:shd w:val="clear" w:color="auto" w:fill="auto"/>
        </w:rPr>
      </w:pPr>
      <w:bookmarkStart w:id="23" w:name="_BookMark_10"/>
      <w:bookmarkEnd w:id="23"/>
      <w:bookmarkStart w:id="24" w:name="_Toc501719167"/>
      <w:r>
        <w:rPr>
          <w:rFonts w:hint="eastAsia" w:ascii="宋体" w:hAnsi="宋体"/>
          <w:b/>
          <w:bCs/>
          <w:color w:val="auto"/>
          <w:szCs w:val="21"/>
          <w:highlight w:val="none"/>
          <w:shd w:val="clear" w:color="auto" w:fill="auto"/>
        </w:rPr>
        <w:t>综合评分法</w:t>
      </w:r>
    </w:p>
    <w:p>
      <w:pPr>
        <w:jc w:val="center"/>
        <w:rPr>
          <w:rFonts w:ascii="宋体" w:hAnsi="宋体"/>
          <w:color w:val="auto"/>
          <w:szCs w:val="21"/>
          <w:highlight w:val="none"/>
          <w:shd w:val="clear" w:color="auto" w:fill="auto"/>
        </w:rPr>
      </w:pPr>
      <w:bookmarkStart w:id="25" w:name="_Toc1514"/>
      <w:r>
        <w:rPr>
          <w:rFonts w:hint="eastAsia" w:ascii="宋体" w:hAnsi="宋体"/>
          <w:color w:val="auto"/>
          <w:szCs w:val="21"/>
          <w:highlight w:val="none"/>
          <w:shd w:val="clear" w:color="auto" w:fill="auto"/>
        </w:rPr>
        <w:t>评标办法前附表</w:t>
      </w:r>
      <w:bookmarkEnd w:id="25"/>
    </w:p>
    <w:tbl>
      <w:tblPr>
        <w:tblStyle w:val="20"/>
        <w:tblW w:w="9160" w:type="dxa"/>
        <w:jc w:val="center"/>
        <w:tblLayout w:type="fixed"/>
        <w:tblCellMar>
          <w:top w:w="0" w:type="dxa"/>
          <w:left w:w="0" w:type="dxa"/>
          <w:bottom w:w="0" w:type="dxa"/>
          <w:right w:w="0" w:type="dxa"/>
        </w:tblCellMar>
      </w:tblPr>
      <w:tblGrid>
        <w:gridCol w:w="612"/>
        <w:gridCol w:w="1418"/>
        <w:gridCol w:w="7130"/>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条款内容</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ascii="宋体" w:hAnsi="宋体"/>
                <w:color w:val="auto"/>
                <w:szCs w:val="21"/>
                <w:highlight w:val="none"/>
                <w:shd w:val="clear" w:color="auto" w:fill="auto"/>
              </w:rPr>
              <w:t>1</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分值构成及权重</w:t>
            </w:r>
          </w:p>
          <w:p>
            <w:pPr>
              <w:spacing w:line="276" w:lineRule="auto"/>
              <w:jc w:val="center"/>
              <w:rPr>
                <w:rFonts w:ascii="宋体" w:hAnsi="宋体"/>
                <w:color w:val="auto"/>
                <w:szCs w:val="21"/>
                <w:highlight w:val="none"/>
                <w:shd w:val="clear" w:color="auto" w:fill="auto"/>
              </w:rPr>
            </w:pP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总分</w:t>
            </w:r>
            <w:r>
              <w:rPr>
                <w:rFonts w:ascii="宋体" w:hAnsi="宋体"/>
                <w:color w:val="auto"/>
                <w:szCs w:val="21"/>
                <w:highlight w:val="none"/>
                <w:shd w:val="clear" w:color="auto" w:fill="auto"/>
              </w:rPr>
              <w:t>100</w:t>
            </w:r>
            <w:r>
              <w:rPr>
                <w:rFonts w:hint="eastAsia" w:ascii="宋体" w:hAnsi="宋体"/>
                <w:color w:val="auto"/>
                <w:szCs w:val="21"/>
                <w:highlight w:val="none"/>
                <w:shd w:val="clear" w:color="auto" w:fill="auto"/>
              </w:rPr>
              <w:t>分</w:t>
            </w:r>
            <w:r>
              <w:rPr>
                <w:rFonts w:ascii="宋体" w:hAnsi="宋体"/>
                <w:color w:val="auto"/>
                <w:szCs w:val="21"/>
                <w:highlight w:val="none"/>
                <w:shd w:val="clear" w:color="auto" w:fill="auto"/>
              </w:rPr>
              <w:t>)</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r>
              <w:rPr>
                <w:rFonts w:ascii="宋体" w:hAnsi="宋体"/>
                <w:color w:val="auto"/>
                <w:szCs w:val="21"/>
                <w:highlight w:val="none"/>
                <w:shd w:val="clear" w:color="auto" w:fill="auto"/>
              </w:rPr>
              <w:t>1.</w:t>
            </w:r>
            <w:r>
              <w:rPr>
                <w:rFonts w:hint="eastAsia" w:ascii="宋体" w:hAnsi="宋体"/>
                <w:color w:val="auto"/>
                <w:szCs w:val="21"/>
                <w:highlight w:val="none"/>
                <w:shd w:val="clear" w:color="auto" w:fill="auto"/>
              </w:rPr>
              <w:t>详细评审部分权重</w:t>
            </w:r>
            <w:r>
              <w:rPr>
                <w:rFonts w:ascii="宋体" w:hAnsi="宋体"/>
                <w:color w:val="auto"/>
                <w:szCs w:val="21"/>
                <w:highlight w:val="none"/>
                <w:shd w:val="clear" w:color="auto" w:fill="auto"/>
              </w:rPr>
              <w:t>Q1=70%</w:t>
            </w:r>
          </w:p>
          <w:p>
            <w:pPr>
              <w:spacing w:line="276" w:lineRule="auto"/>
              <w:rPr>
                <w:rFonts w:ascii="宋体" w:hAnsi="宋体"/>
                <w:color w:val="auto"/>
                <w:szCs w:val="21"/>
                <w:highlight w:val="none"/>
                <w:shd w:val="clear" w:color="auto" w:fill="auto"/>
              </w:rPr>
            </w:pPr>
            <w:r>
              <w:rPr>
                <w:rFonts w:ascii="宋体" w:hAnsi="宋体"/>
                <w:color w:val="auto"/>
                <w:szCs w:val="21"/>
                <w:highlight w:val="none"/>
                <w:shd w:val="clear" w:color="auto" w:fill="auto"/>
              </w:rPr>
              <w:t>2.</w:t>
            </w:r>
            <w:r>
              <w:rPr>
                <w:rFonts w:hint="eastAsia" w:ascii="宋体" w:hAnsi="宋体"/>
                <w:color w:val="auto"/>
                <w:szCs w:val="21"/>
                <w:highlight w:val="none"/>
                <w:shd w:val="clear" w:color="auto" w:fill="auto"/>
              </w:rPr>
              <w:t>投标报价权重</w:t>
            </w:r>
            <w:r>
              <w:rPr>
                <w:rFonts w:ascii="宋体" w:hAnsi="宋体"/>
                <w:color w:val="auto"/>
                <w:szCs w:val="21"/>
                <w:highlight w:val="none"/>
                <w:shd w:val="clear" w:color="auto" w:fill="auto"/>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资格审查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完备性及符合性审查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4</w:t>
            </w:r>
          </w:p>
        </w:tc>
        <w:tc>
          <w:tcPr>
            <w:tcW w:w="1418"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投标品牌</w:t>
            </w:r>
          </w:p>
        </w:tc>
        <w:tc>
          <w:tcPr>
            <w:tcW w:w="7130"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p>
        </w:tc>
        <w:tc>
          <w:tcPr>
            <w:tcW w:w="1418" w:type="dxa"/>
            <w:vMerge w:val="restart"/>
            <w:tcBorders>
              <w:top w:val="single" w:color="auto" w:sz="4"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详细评审</w:t>
            </w:r>
          </w:p>
        </w:tc>
        <w:tc>
          <w:tcPr>
            <w:tcW w:w="7130"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详见《详细评审标准》及</w:t>
            </w:r>
            <w:r>
              <w:rPr>
                <w:rFonts w:hint="eastAsia" w:ascii="宋体" w:hAnsi="宋体" w:cs="Arial"/>
                <w:color w:val="auto"/>
                <w:kern w:val="0"/>
                <w:szCs w:val="21"/>
                <w:highlight w:val="none"/>
                <w:shd w:val="clear" w:color="auto" w:fill="auto"/>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top w:val="single" w:color="auto" w:sz="4" w:space="0"/>
              <w:left w:val="single" w:color="auto" w:sz="4"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color w:val="auto"/>
                <w:szCs w:val="21"/>
                <w:highlight w:val="none"/>
                <w:shd w:val="clear" w:color="auto" w:fill="auto"/>
              </w:rPr>
            </w:pPr>
          </w:p>
        </w:tc>
        <w:tc>
          <w:tcPr>
            <w:tcW w:w="1418" w:type="dxa"/>
            <w:vMerge w:val="continue"/>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color w:val="auto"/>
                <w:szCs w:val="21"/>
                <w:highlight w:val="none"/>
                <w:shd w:val="clear" w:color="auto" w:fill="auto"/>
              </w:rPr>
            </w:pPr>
          </w:p>
        </w:tc>
        <w:tc>
          <w:tcPr>
            <w:tcW w:w="7130" w:type="dxa"/>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tcPr>
          <w:p>
            <w:pPr>
              <w:spacing w:line="276"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投标报价得分计算方法：</w:t>
            </w:r>
          </w:p>
          <w:p>
            <w:pPr>
              <w:spacing w:line="276" w:lineRule="auto"/>
              <w:rPr>
                <w:rFonts w:ascii="宋体" w:hAnsi="宋体"/>
                <w:bCs/>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hAnsi="宋体"/>
                <w:bCs/>
                <w:color w:val="auto"/>
                <w:szCs w:val="21"/>
                <w:highlight w:val="none"/>
                <w:shd w:val="clear" w:color="auto" w:fill="auto"/>
              </w:rPr>
              <w:t>.投标报价的确定</w:t>
            </w:r>
          </w:p>
          <w:p>
            <w:pPr>
              <w:spacing w:line="276" w:lineRule="auto"/>
              <w:rPr>
                <w:rFonts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投标报价是指经评审的且不超过采购预算金额的投标价格</w:t>
            </w:r>
          </w:p>
          <w:p>
            <w:pPr>
              <w:spacing w:line="276" w:lineRule="auto"/>
              <w:rPr>
                <w:rFonts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2.评标基准价的确定</w:t>
            </w:r>
          </w:p>
          <w:p>
            <w:pPr>
              <w:spacing w:line="276" w:lineRule="auto"/>
              <w:rPr>
                <w:rFonts w:ascii="宋体" w:hAnsi="宋体"/>
                <w:bCs/>
                <w:color w:val="auto"/>
                <w:szCs w:val="21"/>
                <w:highlight w:val="none"/>
                <w:shd w:val="clear" w:color="auto" w:fill="auto"/>
              </w:rPr>
            </w:pPr>
            <w:r>
              <w:rPr>
                <w:rFonts w:ascii="宋体" w:hAnsi="宋体"/>
                <w:bCs/>
                <w:color w:val="auto"/>
                <w:szCs w:val="21"/>
                <w:highlight w:val="none"/>
                <w:shd w:val="clear" w:color="auto" w:fill="auto"/>
              </w:rPr>
              <w:t>满足招标文件要求且</w:t>
            </w:r>
            <w:r>
              <w:rPr>
                <w:rFonts w:hint="eastAsia" w:ascii="宋体" w:hAnsi="宋体"/>
                <w:bCs/>
                <w:color w:val="auto"/>
                <w:szCs w:val="21"/>
                <w:highlight w:val="none"/>
                <w:shd w:val="clear" w:color="auto" w:fill="auto"/>
              </w:rPr>
              <w:t>投标报价</w:t>
            </w:r>
            <w:r>
              <w:rPr>
                <w:rFonts w:ascii="宋体" w:hAnsi="宋体"/>
                <w:bCs/>
                <w:color w:val="auto"/>
                <w:szCs w:val="21"/>
                <w:highlight w:val="none"/>
                <w:shd w:val="clear" w:color="auto" w:fill="auto"/>
              </w:rPr>
              <w:t>最低的为评标基准价</w:t>
            </w:r>
          </w:p>
          <w:p>
            <w:pPr>
              <w:spacing w:line="276" w:lineRule="auto"/>
              <w:rPr>
                <w:rFonts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3.</w:t>
            </w:r>
            <w:r>
              <w:rPr>
                <w:rFonts w:ascii="宋体" w:hAnsi="宋体"/>
                <w:bCs/>
                <w:color w:val="auto"/>
                <w:szCs w:val="21"/>
                <w:highlight w:val="none"/>
                <w:shd w:val="clear" w:color="auto" w:fill="auto"/>
              </w:rPr>
              <w:t>投标报价得分=(评标基准价／投标报价)×100×</w:t>
            </w:r>
            <w:r>
              <w:rPr>
                <w:rFonts w:hint="eastAsia" w:ascii="宋体" w:hAnsi="宋体"/>
                <w:bCs/>
                <w:color w:val="auto"/>
                <w:szCs w:val="21"/>
                <w:highlight w:val="none"/>
                <w:shd w:val="clear" w:color="auto" w:fill="auto"/>
              </w:rPr>
              <w:t>Q2</w:t>
            </w:r>
          </w:p>
          <w:p>
            <w:pPr>
              <w:spacing w:line="276" w:lineRule="auto"/>
              <w:rPr>
                <w:rFonts w:ascii="宋体" w:hAnsi="宋体"/>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评分分值计算保留小数点后两位，小数点后三位“四舍五入”。</w:t>
            </w:r>
          </w:p>
          <w:p>
            <w:pPr>
              <w:spacing w:line="276" w:lineRule="auto"/>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落实政府采购政策：</w:t>
            </w:r>
          </w:p>
          <w:p>
            <w:pPr>
              <w:spacing w:line="276" w:lineRule="auto"/>
              <w:rPr>
                <w:rFonts w:ascii="宋体" w:hAnsi="宋体"/>
                <w:color w:val="auto"/>
                <w:szCs w:val="21"/>
                <w:highlight w:val="none"/>
                <w:shd w:val="clear" w:color="auto" w:fill="auto"/>
              </w:rPr>
            </w:pPr>
            <w:r>
              <w:rPr>
                <w:rFonts w:ascii="宋体" w:hAnsi="宋体"/>
                <w:bCs/>
                <w:color w:val="auto"/>
                <w:szCs w:val="21"/>
                <w:highlight w:val="none"/>
                <w:shd w:val="clear" w:color="auto" w:fill="auto"/>
              </w:rPr>
              <w:t>根据</w:t>
            </w:r>
            <w:r>
              <w:rPr>
                <w:rFonts w:hint="eastAsia" w:ascii="宋体" w:hAnsi="宋体"/>
                <w:bCs/>
                <w:color w:val="auto"/>
                <w:szCs w:val="21"/>
                <w:highlight w:val="none"/>
                <w:shd w:val="clear" w:color="auto" w:fill="auto"/>
              </w:rPr>
              <w:t>《关于印发&lt;</w:t>
            </w:r>
            <w:r>
              <w:rPr>
                <w:rFonts w:ascii="宋体" w:hAnsi="宋体"/>
                <w:bCs/>
                <w:color w:val="auto"/>
                <w:szCs w:val="21"/>
                <w:highlight w:val="none"/>
                <w:shd w:val="clear" w:color="auto" w:fill="auto"/>
              </w:rPr>
              <w:t>政府采购促进中小企业发展</w:t>
            </w:r>
            <w:r>
              <w:rPr>
                <w:rFonts w:hint="eastAsia" w:ascii="宋体" w:hAnsi="宋体"/>
                <w:bCs/>
                <w:color w:val="auto"/>
                <w:szCs w:val="21"/>
                <w:highlight w:val="none"/>
                <w:shd w:val="clear" w:color="auto" w:fill="auto"/>
              </w:rPr>
              <w:t>管理</w:t>
            </w:r>
            <w:r>
              <w:rPr>
                <w:rFonts w:ascii="宋体" w:hAnsi="宋体"/>
                <w:bCs/>
                <w:color w:val="auto"/>
                <w:szCs w:val="21"/>
                <w:highlight w:val="none"/>
                <w:shd w:val="clear" w:color="auto" w:fill="auto"/>
              </w:rPr>
              <w:t>办法</w:t>
            </w:r>
            <w:r>
              <w:rPr>
                <w:rFonts w:hint="eastAsia" w:ascii="宋体" w:hAnsi="宋体"/>
                <w:bCs/>
                <w:color w:val="auto"/>
                <w:szCs w:val="21"/>
                <w:highlight w:val="none"/>
                <w:shd w:val="clear" w:color="auto" w:fill="auto"/>
              </w:rPr>
              <w:t>&gt;的通知》</w:t>
            </w:r>
            <w:r>
              <w:rPr>
                <w:rFonts w:ascii="宋体" w:hAnsi="宋体"/>
                <w:bCs/>
                <w:color w:val="auto"/>
                <w:szCs w:val="21"/>
                <w:highlight w:val="none"/>
                <w:shd w:val="clear" w:color="auto" w:fill="auto"/>
              </w:rPr>
              <w:t>（财库[20</w:t>
            </w:r>
            <w:r>
              <w:rPr>
                <w:rFonts w:hint="eastAsia" w:ascii="宋体" w:hAnsi="宋体"/>
                <w:bCs/>
                <w:color w:val="auto"/>
                <w:szCs w:val="21"/>
                <w:highlight w:val="none"/>
                <w:shd w:val="clear" w:color="auto" w:fill="auto"/>
              </w:rPr>
              <w:t>20</w:t>
            </w:r>
            <w:r>
              <w:rPr>
                <w:rFonts w:ascii="宋体" w:hAnsi="宋体"/>
                <w:bCs/>
                <w:color w:val="auto"/>
                <w:szCs w:val="21"/>
                <w:highlight w:val="none"/>
                <w:shd w:val="clear" w:color="auto" w:fill="auto"/>
              </w:rPr>
              <w:t>]</w:t>
            </w:r>
            <w:r>
              <w:rPr>
                <w:rFonts w:hint="eastAsia" w:ascii="宋体" w:hAnsi="宋体"/>
                <w:bCs/>
                <w:color w:val="auto"/>
                <w:szCs w:val="21"/>
                <w:highlight w:val="none"/>
                <w:shd w:val="clear" w:color="auto" w:fill="auto"/>
              </w:rPr>
              <w:t>46</w:t>
            </w:r>
            <w:r>
              <w:rPr>
                <w:rFonts w:ascii="宋体" w:hAnsi="宋体"/>
                <w:bCs/>
                <w:color w:val="auto"/>
                <w:szCs w:val="21"/>
                <w:highlight w:val="none"/>
                <w:shd w:val="clear" w:color="auto" w:fill="auto"/>
              </w:rPr>
              <w:t>号）、《关于促进残疾人就业政府采购政策的通知》（财库〔2017〕141号）《关于政府采购支持监狱企业发展有关问题的通知》（财库〔2014〕68号）和《</w:t>
            </w:r>
            <w:r>
              <w:rPr>
                <w:rFonts w:hint="eastAsia" w:ascii="宋体" w:hAnsi="宋体"/>
                <w:bCs/>
                <w:color w:val="auto"/>
                <w:szCs w:val="21"/>
                <w:highlight w:val="none"/>
                <w:shd w:val="clear" w:color="auto" w:fill="auto"/>
              </w:rPr>
              <w:t>关于调整优化节能产品、环境标志产品政府采购执行机制的通知》</w:t>
            </w:r>
            <w:r>
              <w:rPr>
                <w:rFonts w:ascii="宋体" w:hAnsi="宋体"/>
                <w:bCs/>
                <w:color w:val="auto"/>
                <w:szCs w:val="21"/>
                <w:highlight w:val="none"/>
                <w:shd w:val="clear" w:color="auto" w:fill="auto"/>
              </w:rPr>
              <w:t>（财库[</w:t>
            </w:r>
            <w:r>
              <w:rPr>
                <w:rFonts w:hint="eastAsia" w:ascii="宋体" w:hAnsi="宋体"/>
                <w:bCs/>
                <w:color w:val="auto"/>
                <w:szCs w:val="21"/>
                <w:highlight w:val="none"/>
                <w:shd w:val="clear" w:color="auto" w:fill="auto"/>
              </w:rPr>
              <w:t>2019</w:t>
            </w:r>
            <w:r>
              <w:rPr>
                <w:rFonts w:ascii="宋体" w:hAnsi="宋体"/>
                <w:bCs/>
                <w:color w:val="auto"/>
                <w:szCs w:val="21"/>
                <w:highlight w:val="none"/>
                <w:shd w:val="clear" w:color="auto" w:fill="auto"/>
              </w:rPr>
              <w:t>]</w:t>
            </w:r>
            <w:r>
              <w:rPr>
                <w:rFonts w:hint="eastAsia" w:ascii="宋体" w:hAnsi="宋体"/>
                <w:bCs/>
                <w:color w:val="auto"/>
                <w:szCs w:val="21"/>
                <w:highlight w:val="none"/>
                <w:shd w:val="clear" w:color="auto" w:fill="auto"/>
              </w:rPr>
              <w:t>9</w:t>
            </w:r>
            <w:r>
              <w:rPr>
                <w:rFonts w:ascii="宋体" w:hAnsi="宋体"/>
                <w:bCs/>
                <w:color w:val="auto"/>
                <w:szCs w:val="21"/>
                <w:highlight w:val="none"/>
                <w:shd w:val="clear" w:color="auto" w:fill="auto"/>
              </w:rPr>
              <w:t>号）的规定，对满足价格扣除条件且在投标文件中提交了《投标人企业类型声明函》或省级以上监狱管理局、戒毒管理局（含新疆生产建设兵团）出具的属于监狱企业的证明文件的投标人，</w:t>
            </w:r>
            <w:r>
              <w:rPr>
                <w:rFonts w:hint="eastAsia" w:ascii="宋体" w:hAnsi="宋体"/>
                <w:bCs/>
                <w:color w:val="auto"/>
                <w:szCs w:val="21"/>
                <w:highlight w:val="none"/>
                <w:shd w:val="clear" w:color="auto" w:fill="auto"/>
              </w:rPr>
              <w:t>其投标报价扣除10%后参与评审。</w:t>
            </w:r>
          </w:p>
        </w:tc>
      </w:tr>
    </w:tbl>
    <w:p>
      <w:pPr>
        <w:widowControl/>
        <w:shd w:val="clear" w:color="auto" w:fill="FFFFFF"/>
        <w:snapToGrid w:val="0"/>
        <w:jc w:val="center"/>
        <w:rPr>
          <w:rFonts w:ascii="宋体" w:hAnsi="宋体" w:cs="Arial"/>
          <w:b/>
          <w:color w:val="auto"/>
          <w:kern w:val="0"/>
          <w:szCs w:val="21"/>
          <w:highlight w:val="none"/>
          <w:shd w:val="clear" w:color="auto" w:fill="auto"/>
        </w:rPr>
      </w:pPr>
      <w:bookmarkStart w:id="26" w:name="_Toc501719166"/>
    </w:p>
    <w:bookmarkEnd w:id="26"/>
    <w:p>
      <w:pPr>
        <w:widowControl/>
        <w:shd w:val="clear" w:color="auto" w:fill="FFFFFF"/>
        <w:snapToGrid w:val="0"/>
        <w:jc w:val="center"/>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《资格审查标准》</w:t>
      </w:r>
    </w:p>
    <w:tbl>
      <w:tblPr>
        <w:tblStyle w:val="20"/>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67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审查标准</w:t>
            </w:r>
          </w:p>
        </w:tc>
      </w:tr>
      <w:tr>
        <w:tblPrEx>
          <w:tblCellMar>
            <w:top w:w="0" w:type="dxa"/>
            <w:left w:w="0" w:type="dxa"/>
            <w:bottom w:w="0" w:type="dxa"/>
            <w:right w:w="0" w:type="dxa"/>
          </w:tblCellMar>
        </w:tblPrEx>
        <w:trPr>
          <w:cantSplit/>
          <w:trHeight w:val="6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资格审查的内容详见本招标文件第二章《投标人须知前附表》知第15条规定；</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备注：</w:t>
            </w:r>
            <w:r>
              <w:rPr>
                <w:rFonts w:ascii="宋体" w:hAnsi="宋体" w:cs="Arial"/>
                <w:b/>
                <w:bCs/>
                <w:color w:val="auto"/>
                <w:kern w:val="0"/>
                <w:szCs w:val="21"/>
                <w:highlight w:val="none"/>
                <w:shd w:val="clear" w:color="auto" w:fill="auto"/>
              </w:rPr>
              <w:t xml:space="preserve"> </w:t>
            </w:r>
            <w:r>
              <w:rPr>
                <w:rFonts w:hint="eastAsia" w:ascii="宋体" w:hAnsi="宋体" w:cs="Arial"/>
                <w:b/>
                <w:bCs/>
                <w:color w:val="auto"/>
                <w:kern w:val="0"/>
                <w:szCs w:val="21"/>
                <w:highlight w:val="none"/>
                <w:shd w:val="clear" w:color="auto" w:fill="auto"/>
              </w:rPr>
              <w:t>通过打“√”，不通过打“×”；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color w:val="auto"/>
          <w:kern w:val="0"/>
          <w:szCs w:val="21"/>
          <w:highlight w:val="none"/>
          <w:shd w:val="clear" w:color="auto" w:fill="auto"/>
        </w:rPr>
      </w:pPr>
    </w:p>
    <w:p>
      <w:pPr>
        <w:widowControl/>
        <w:shd w:val="clear" w:color="auto" w:fill="FFFFFF"/>
        <w:snapToGrid w:val="0"/>
        <w:jc w:val="center"/>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《完备性及符合性审查标准》</w:t>
      </w:r>
      <w:bookmarkEnd w:id="24"/>
    </w:p>
    <w:tbl>
      <w:tblPr>
        <w:tblStyle w:val="20"/>
        <w:tblW w:w="9255" w:type="dxa"/>
        <w:jc w:val="center"/>
        <w:tblLayout w:type="fixed"/>
        <w:tblCellMar>
          <w:top w:w="0" w:type="dxa"/>
          <w:left w:w="0" w:type="dxa"/>
          <w:bottom w:w="0" w:type="dxa"/>
          <w:right w:w="0" w:type="dxa"/>
        </w:tblCellMar>
      </w:tblPr>
      <w:tblGrid>
        <w:gridCol w:w="623"/>
        <w:gridCol w:w="8632"/>
      </w:tblGrid>
      <w:tr>
        <w:tblPrEx>
          <w:tblCellMar>
            <w:top w:w="0" w:type="dxa"/>
            <w:left w:w="0" w:type="dxa"/>
            <w:bottom w:w="0" w:type="dxa"/>
            <w:right w:w="0" w:type="dxa"/>
          </w:tblCellMar>
        </w:tblPrEx>
        <w:trPr>
          <w:cantSplit/>
          <w:trHeight w:val="505"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序号</w:t>
            </w:r>
          </w:p>
        </w:tc>
        <w:tc>
          <w:tcPr>
            <w:tcW w:w="86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评审标准</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投标文件要求签署并加盖投标人章、法定代表人章处未签署和加盖的；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2</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投标价格不得超过投标人须知前附表中的采购预算金额及最高限价的；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3</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color w:val="auto"/>
                <w:kern w:val="0"/>
                <w:szCs w:val="21"/>
                <w:highlight w:val="none"/>
                <w:shd w:val="clear" w:color="auto" w:fill="auto"/>
              </w:rPr>
            </w:pPr>
            <w:r>
              <w:rPr>
                <w:rFonts w:hint="eastAsia" w:ascii="宋体" w:hAnsi="宋体" w:cs="宋体"/>
                <w:color w:val="auto"/>
                <w:szCs w:val="21"/>
                <w:highlight w:val="none"/>
                <w:shd w:val="clear" w:color="auto" w:fill="auto"/>
              </w:rPr>
              <w:t>投标人所报交货期是否满足招标文件规定期限的；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投标人所报</w:t>
            </w:r>
            <w:r>
              <w:rPr>
                <w:rFonts w:hint="eastAsia" w:ascii="宋体" w:hAnsi="宋体"/>
                <w:color w:val="auto"/>
                <w:szCs w:val="21"/>
                <w:highlight w:val="none"/>
                <w:shd w:val="clear" w:color="auto" w:fill="auto"/>
              </w:rPr>
              <w:t>交货地点</w:t>
            </w:r>
            <w:r>
              <w:rPr>
                <w:rFonts w:hint="eastAsia" w:ascii="宋体" w:hAnsi="宋体" w:cs="宋体"/>
                <w:color w:val="auto"/>
                <w:szCs w:val="21"/>
                <w:highlight w:val="none"/>
                <w:shd w:val="clear" w:color="auto" w:fill="auto"/>
              </w:rPr>
              <w:t>是否满足招标文件规定的；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5</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技术性能指标是否满足招标文件要求；</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投标有效期是否满足招标文件要求的；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投标文件是否按招标文件规定格式完整准确填写；</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8</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投标文件是否按照招标文件要求编写、装订并依照商务技术评分标准逐条对应编制评标索引目录；</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9</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是否承诺按采购人的要求提供疫苗产品包装规格；</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ind w:firstLine="210" w:firstLineChars="1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10</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color w:val="auto"/>
                <w:szCs w:val="21"/>
                <w:highlight w:val="none"/>
                <w:shd w:val="clear" w:color="auto" w:fill="auto"/>
              </w:rPr>
            </w:pPr>
            <w:r>
              <w:rPr>
                <w:rFonts w:hint="eastAsia" w:ascii="宋体" w:hAnsi="宋体" w:cs="Arial"/>
                <w:color w:val="auto"/>
                <w:kern w:val="0"/>
                <w:szCs w:val="21"/>
                <w:highlight w:val="none"/>
                <w:shd w:val="clear" w:color="auto" w:fill="auto"/>
              </w:rPr>
              <w:t>投标文件有无符合招标文件实质性要求的。</w:t>
            </w:r>
          </w:p>
        </w:tc>
      </w:tr>
      <w:tr>
        <w:tblPrEx>
          <w:tblCellMar>
            <w:top w:w="0" w:type="dxa"/>
            <w:left w:w="0" w:type="dxa"/>
            <w:bottom w:w="0" w:type="dxa"/>
            <w:right w:w="0" w:type="dxa"/>
          </w:tblCellMar>
        </w:tblPrEx>
        <w:trPr>
          <w:cantSplit/>
          <w:trHeight w:val="22" w:hRule="atLeast"/>
          <w:jc w:val="center"/>
        </w:trPr>
        <w:tc>
          <w:tcPr>
            <w:tcW w:w="9255"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备注：通过打“√”，不通过打“×”；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只有通过了资格审查、完备性及符合性审查且投标</w:t>
      </w:r>
      <w:r>
        <w:rPr>
          <w:rFonts w:hint="eastAsia" w:ascii="宋体" w:hAnsi="宋体" w:cs="Arial"/>
          <w:color w:val="auto"/>
          <w:kern w:val="0"/>
          <w:szCs w:val="21"/>
          <w:highlight w:val="none"/>
          <w:shd w:val="clear" w:color="auto" w:fill="auto"/>
          <w:lang w:eastAsia="zh-Hans"/>
        </w:rPr>
        <w:t>人</w:t>
      </w:r>
      <w:r>
        <w:rPr>
          <w:rFonts w:hint="eastAsia" w:ascii="宋体" w:hAnsi="宋体" w:cs="Arial"/>
          <w:color w:val="auto"/>
          <w:kern w:val="0"/>
          <w:szCs w:val="21"/>
          <w:highlight w:val="none"/>
          <w:shd w:val="clear" w:color="auto" w:fill="auto"/>
        </w:rPr>
        <w:t>不少于3个方可进入详细评审。</w:t>
      </w:r>
    </w:p>
    <w:p>
      <w:pPr>
        <w:pStyle w:val="2"/>
        <w:rPr>
          <w:rFonts w:ascii="宋体" w:hAnsi="宋体" w:eastAsia="宋体"/>
          <w:color w:val="auto"/>
          <w:sz w:val="21"/>
          <w:szCs w:val="21"/>
          <w:highlight w:val="none"/>
          <w:shd w:val="clear" w:color="auto" w:fill="auto"/>
        </w:rPr>
      </w:pPr>
    </w:p>
    <w:p>
      <w:pPr>
        <w:jc w:val="center"/>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《详细评审标准》</w:t>
      </w:r>
    </w:p>
    <w:p>
      <w:pPr>
        <w:snapToGrid w:val="0"/>
        <w:spacing w:line="360" w:lineRule="auto"/>
        <w:jc w:val="left"/>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1、价格部分（满分30分）</w:t>
      </w:r>
    </w:p>
    <w:p>
      <w:pPr>
        <w:snapToGrid w:val="0"/>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bCs/>
          <w:color w:val="auto"/>
          <w:szCs w:val="21"/>
          <w:highlight w:val="none"/>
          <w:shd w:val="clear" w:color="auto" w:fill="auto"/>
        </w:rPr>
        <w:t>综合评分法中的价格分统一采用低价优先法计算，即满足投标文件要求且最后报价最低的供应商的价格为评标基准价，其价格分为满分</w:t>
      </w:r>
      <w:r>
        <w:rPr>
          <w:rFonts w:hint="eastAsia" w:ascii="宋体" w:hAnsi="宋体" w:cs="宋体"/>
          <w:color w:val="auto"/>
          <w:szCs w:val="21"/>
          <w:highlight w:val="none"/>
          <w:shd w:val="clear" w:color="auto" w:fill="auto"/>
        </w:rPr>
        <w:t>。其他投标人的价格分统一按照下列公式计算：</w:t>
      </w:r>
    </w:p>
    <w:p>
      <w:pPr>
        <w:snapToGrid w:val="0"/>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投标报价得分=(评标基准价／评标报价)×投标报价权重</w:t>
      </w:r>
    </w:p>
    <w:p>
      <w:pPr>
        <w:spacing w:line="400" w:lineRule="exact"/>
        <w:ind w:firstLine="422" w:firstLineChars="200"/>
        <w:rPr>
          <w:rStyle w:val="47"/>
          <w:rFonts w:hint="default" w:ascii="Times New Roman" w:hAnsi="Times New Roman" w:eastAsiaTheme="minorEastAsia"/>
          <w:b/>
          <w:color w:val="auto"/>
          <w:sz w:val="21"/>
          <w:szCs w:val="21"/>
          <w:highlight w:val="none"/>
          <w:shd w:val="clear" w:color="auto" w:fill="auto"/>
        </w:rPr>
      </w:pPr>
      <w:r>
        <w:rPr>
          <w:rStyle w:val="47"/>
          <w:rFonts w:hint="default" w:ascii="Times New Roman" w:hAnsi="Times New Roman" w:eastAsiaTheme="minorEastAsia"/>
          <w:b/>
          <w:color w:val="auto"/>
          <w:sz w:val="21"/>
          <w:szCs w:val="21"/>
          <w:highlight w:val="none"/>
          <w:shd w:val="clear" w:color="auto" w:fill="auto"/>
        </w:rPr>
        <w:t>注：根据《2020国家动物疫病强制免疫计划》（农牧发【2019】44号）规定，“疫苗生产企业禁止恶意竞标，不得以低于成本的价格参与投标。”</w:t>
      </w:r>
    </w:p>
    <w:p>
      <w:pPr>
        <w:spacing w:line="400" w:lineRule="exact"/>
        <w:ind w:firstLine="435"/>
        <w:rPr>
          <w:rFonts w:ascii="宋体" w:hAnsi="宋体"/>
          <w:color w:val="auto"/>
          <w:szCs w:val="21"/>
          <w:highlight w:val="none"/>
          <w:shd w:val="clear" w:color="auto" w:fill="auto"/>
        </w:rPr>
      </w:pPr>
      <w:r>
        <w:rPr>
          <w:rStyle w:val="47"/>
          <w:rFonts w:hint="default" w:ascii="Times New Roman" w:hAnsi="Times New Roman" w:eastAsiaTheme="minorEastAsia"/>
          <w:b/>
          <w:color w:val="auto"/>
          <w:sz w:val="21"/>
          <w:szCs w:val="21"/>
          <w:highlight w:val="none"/>
          <w:shd w:val="clear" w:color="auto" w:fill="auto"/>
        </w:rPr>
        <w:t>在本次招标中，各投标人不得采取恶意竞价方式投标，不得以低于成本的价格参与投标。评标委员会认为投标人的报价明显低于其他通过符合性审查投标人的报价，有可能影响产品质量或者不能诚信履约的，评标委员会应当要求其在评标现场合理的时间内提供该投标人相关资料（包括但不限于投标人近三年的审计报告原件、该投标产品成本核算表原件、投标人近三年以该价格履行完成的业绩资料原件及对应的用户反馈资料原件等）进行查证；投标人未在规定时间提供或者提供的资料不能证明其报价合理性的，评标委员会应当将其作为无效投标处理。</w:t>
      </w:r>
    </w:p>
    <w:p>
      <w:pPr>
        <w:pStyle w:val="15"/>
        <w:jc w:val="left"/>
        <w:rPr>
          <w:rFonts w:ascii="宋体" w:hAnsi="宋体" w:cs="宋体"/>
          <w:b/>
          <w:bCs/>
          <w:color w:val="auto"/>
          <w:sz w:val="21"/>
          <w:szCs w:val="21"/>
          <w:highlight w:val="none"/>
          <w:shd w:val="clear" w:color="auto" w:fill="auto"/>
        </w:rPr>
      </w:pPr>
    </w:p>
    <w:p>
      <w:pPr>
        <w:pStyle w:val="15"/>
        <w:jc w:val="left"/>
        <w:rPr>
          <w:rFonts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2、商务评分标准（</w:t>
      </w:r>
      <w:r>
        <w:rPr>
          <w:rFonts w:ascii="宋体" w:hAnsi="宋体" w:cs="宋体"/>
          <w:b/>
          <w:bCs/>
          <w:color w:val="auto"/>
          <w:sz w:val="21"/>
          <w:szCs w:val="21"/>
          <w:highlight w:val="none"/>
          <w:shd w:val="clear" w:color="auto" w:fill="auto"/>
        </w:rPr>
        <w:t>4</w:t>
      </w:r>
      <w:r>
        <w:rPr>
          <w:rFonts w:hint="eastAsia" w:ascii="宋体" w:hAnsi="宋体" w:cs="宋体"/>
          <w:b/>
          <w:bCs/>
          <w:color w:val="auto"/>
          <w:sz w:val="21"/>
          <w:szCs w:val="21"/>
          <w:highlight w:val="none"/>
          <w:shd w:val="clear" w:color="auto" w:fill="auto"/>
        </w:rPr>
        <w:t>5分）</w:t>
      </w:r>
    </w:p>
    <w:tbl>
      <w:tblPr>
        <w:tblStyle w:val="21"/>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741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8"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序号</w:t>
            </w:r>
          </w:p>
        </w:tc>
        <w:tc>
          <w:tcPr>
            <w:tcW w:w="1417"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评分因素</w:t>
            </w:r>
          </w:p>
        </w:tc>
        <w:tc>
          <w:tcPr>
            <w:tcW w:w="7413"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评分标准</w:t>
            </w:r>
          </w:p>
        </w:tc>
        <w:tc>
          <w:tcPr>
            <w:tcW w:w="700"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产品业绩</w:t>
            </w: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1、投标人2022年以来</w:t>
            </w:r>
            <w:r>
              <w:rPr>
                <w:rFonts w:hint="eastAsia" w:ascii="宋体" w:hAnsi="宋体" w:cs="宋体"/>
                <w:color w:val="auto"/>
                <w:kern w:val="0"/>
                <w:sz w:val="21"/>
                <w:szCs w:val="21"/>
                <w:highlight w:val="none"/>
                <w:shd w:val="clear" w:color="auto" w:fill="auto"/>
                <w:lang w:eastAsia="zh-Hans"/>
              </w:rPr>
              <w:t>省级</w:t>
            </w:r>
            <w:r>
              <w:rPr>
                <w:rFonts w:hint="eastAsia" w:ascii="宋体" w:hAnsi="宋体" w:cs="宋体"/>
                <w:color w:val="auto"/>
                <w:kern w:val="0"/>
                <w:sz w:val="21"/>
                <w:szCs w:val="21"/>
                <w:highlight w:val="none"/>
                <w:shd w:val="clear" w:color="auto" w:fill="auto"/>
              </w:rPr>
              <w:t>本投标产品业绩，（</w:t>
            </w:r>
            <w:r>
              <w:rPr>
                <w:rFonts w:hint="eastAsia" w:ascii="宋体" w:hAnsi="宋体"/>
                <w:b/>
                <w:bCs/>
                <w:color w:val="auto"/>
                <w:kern w:val="0"/>
                <w:sz w:val="21"/>
                <w:szCs w:val="21"/>
                <w:highlight w:val="none"/>
                <w:shd w:val="clear" w:color="auto" w:fill="auto"/>
              </w:rPr>
              <w:t>须提供省级采购合同原件和中标通知书原件，并在投标文件中附复印件，否则不得分</w:t>
            </w:r>
            <w:r>
              <w:rPr>
                <w:rFonts w:hint="eastAsia" w:ascii="宋体" w:hAnsi="宋体" w:cs="宋体"/>
                <w:color w:val="auto"/>
                <w:kern w:val="0"/>
                <w:sz w:val="21"/>
                <w:szCs w:val="21"/>
                <w:highlight w:val="none"/>
                <w:shd w:val="clear" w:color="auto" w:fill="auto"/>
              </w:rPr>
              <w:t>）（满分</w:t>
            </w:r>
            <w:r>
              <w:rPr>
                <w:rFonts w:ascii="宋体" w:hAnsi="宋体" w:cs="宋体"/>
                <w:color w:val="auto"/>
                <w:kern w:val="0"/>
                <w:sz w:val="21"/>
                <w:szCs w:val="21"/>
                <w:highlight w:val="none"/>
                <w:shd w:val="clear" w:color="auto" w:fill="auto"/>
              </w:rPr>
              <w:t>8</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0个及以上的得8分；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w:t>
            </w:r>
            <w:r>
              <w:rPr>
                <w:rFonts w:ascii="宋体" w:hAnsi="宋体" w:cs="宋体"/>
                <w:color w:val="auto"/>
                <w:kern w:val="0"/>
                <w:sz w:val="21"/>
                <w:szCs w:val="21"/>
                <w:highlight w:val="none"/>
                <w:shd w:val="clear" w:color="auto" w:fill="auto"/>
              </w:rPr>
              <w:t>15</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19</w:t>
            </w:r>
            <w:r>
              <w:rPr>
                <w:rFonts w:hint="eastAsia" w:ascii="宋体" w:hAnsi="宋体" w:cs="宋体"/>
                <w:color w:val="auto"/>
                <w:kern w:val="0"/>
                <w:sz w:val="21"/>
                <w:szCs w:val="21"/>
                <w:highlight w:val="none"/>
                <w:shd w:val="clear" w:color="auto" w:fill="auto"/>
              </w:rPr>
              <w:t>个的得5分；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w:t>
            </w:r>
            <w:r>
              <w:rPr>
                <w:rFonts w:ascii="宋体" w:hAnsi="宋体" w:cs="宋体"/>
                <w:color w:val="auto"/>
                <w:kern w:val="0"/>
                <w:sz w:val="21"/>
                <w:szCs w:val="21"/>
                <w:highlight w:val="none"/>
                <w:shd w:val="clear" w:color="auto" w:fill="auto"/>
              </w:rPr>
              <w:t>0</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rPr>
              <w:t>个的得3分；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w:t>
            </w:r>
            <w:r>
              <w:rPr>
                <w:rFonts w:hint="eastAsia" w:ascii="宋体" w:hAnsi="宋体" w:cs="宋体"/>
                <w:color w:val="auto"/>
                <w:kern w:val="0"/>
                <w:sz w:val="21"/>
                <w:szCs w:val="21"/>
                <w:highlight w:val="none"/>
                <w:shd w:val="clear" w:color="auto" w:fill="auto"/>
                <w:lang w:eastAsia="zh-Hans"/>
              </w:rPr>
              <w:t>提供</w:t>
            </w:r>
            <w:r>
              <w:rPr>
                <w:rFonts w:ascii="宋体" w:hAnsi="宋体" w:cs="宋体"/>
                <w:color w:val="auto"/>
                <w:kern w:val="0"/>
                <w:sz w:val="21"/>
                <w:szCs w:val="21"/>
                <w:highlight w:val="none"/>
                <w:shd w:val="clear" w:color="auto" w:fill="auto"/>
              </w:rPr>
              <w:t>10</w:t>
            </w:r>
            <w:r>
              <w:rPr>
                <w:rFonts w:hint="eastAsia" w:ascii="宋体" w:hAnsi="宋体" w:cs="宋体"/>
                <w:color w:val="auto"/>
                <w:kern w:val="0"/>
                <w:sz w:val="21"/>
                <w:szCs w:val="21"/>
                <w:highlight w:val="none"/>
                <w:shd w:val="clear" w:color="auto" w:fill="auto"/>
                <w:lang w:eastAsia="zh-Hans"/>
              </w:rPr>
              <w:t>个以下</w:t>
            </w:r>
            <w:r>
              <w:rPr>
                <w:rFonts w:hint="eastAsia" w:ascii="宋体" w:hAnsi="宋体" w:cs="宋体"/>
                <w:color w:val="auto"/>
                <w:kern w:val="0"/>
                <w:sz w:val="21"/>
                <w:szCs w:val="21"/>
                <w:highlight w:val="none"/>
                <w:shd w:val="clear" w:color="auto" w:fill="auto"/>
              </w:rPr>
              <w:t>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⑤没有的不得分；</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培训</w:t>
            </w:r>
          </w:p>
        </w:tc>
        <w:tc>
          <w:tcPr>
            <w:tcW w:w="7413" w:type="dxa"/>
            <w:vMerge w:val="restart"/>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提供2022年内受训地州市和省级动物疫控机构出具的针对中标产品的培训履约证明，并出具地州市及省级畜牧兽医机构培训材料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①提供10个及以上的得3分；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②提供5-9个的得2分；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③提供1-4个的得1分；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④没有的不得分；</w:t>
            </w:r>
          </w:p>
        </w:tc>
        <w:tc>
          <w:tcPr>
            <w:tcW w:w="700"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7413" w:type="dxa"/>
            <w:vMerge w:val="continue"/>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p>
        </w:tc>
        <w:tc>
          <w:tcPr>
            <w:tcW w:w="700"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疫苗免疫副反应、免疫失败、产品质量问题等处理方案损失补偿</w:t>
            </w: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3.1、疫苗免疫副反应处理（满分3分）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①投标企业承诺因疫苗</w:t>
            </w:r>
            <w:r>
              <w:rPr>
                <w:rFonts w:hint="eastAsia" w:ascii="宋体" w:hAnsi="宋体" w:cs="宋体"/>
                <w:color w:val="auto"/>
                <w:kern w:val="0"/>
                <w:sz w:val="21"/>
                <w:szCs w:val="21"/>
                <w:highlight w:val="none"/>
                <w:shd w:val="clear" w:color="auto" w:fill="auto"/>
                <w:lang w:eastAsia="zh-Hans"/>
              </w:rPr>
              <w:t>副</w:t>
            </w:r>
            <w:r>
              <w:rPr>
                <w:rFonts w:hint="eastAsia" w:ascii="宋体" w:hAnsi="宋体" w:cs="宋体"/>
                <w:color w:val="auto"/>
                <w:kern w:val="0"/>
                <w:sz w:val="21"/>
                <w:szCs w:val="21"/>
                <w:highlight w:val="none"/>
                <w:shd w:val="clear" w:color="auto" w:fill="auto"/>
              </w:rPr>
              <w:t>反应、免疫失败、产品质量导致畜禽死亡或流产造成损失按照不低于国家标准补偿得1分（满分1分）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②提供近两年2021年1月1日起副反应赔付响应程度证明（以赔付发票为准）提供一个得1分(满分2分)</w:t>
            </w:r>
          </w:p>
        </w:tc>
        <w:tc>
          <w:tcPr>
            <w:tcW w:w="700"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3.2、补偿方案并建立补偿准备金（满分6分）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①补偿方案建立补偿准备金的得1分；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②提供2022年省级动物疫控机构对产品使用效果和副反应赔付等售后服务满意度证明资料</w:t>
            </w:r>
            <w:r>
              <w:rPr>
                <w:rFonts w:ascii="宋体" w:hAnsi="宋体" w:cs="宋体"/>
                <w:color w:val="auto"/>
                <w:kern w:val="0"/>
                <w:sz w:val="21"/>
                <w:szCs w:val="21"/>
                <w:highlight w:val="none"/>
                <w:shd w:val="clear" w:color="auto" w:fill="auto"/>
              </w:rPr>
              <w:t>（</w:t>
            </w:r>
            <w:r>
              <w:rPr>
                <w:rFonts w:hint="eastAsia" w:ascii="宋体" w:hAnsi="宋体"/>
                <w:b/>
                <w:bCs/>
                <w:color w:val="auto"/>
                <w:kern w:val="0"/>
                <w:sz w:val="21"/>
                <w:szCs w:val="21"/>
                <w:highlight w:val="none"/>
                <w:shd w:val="clear" w:color="auto" w:fill="auto"/>
              </w:rPr>
              <w:t>须提供省级售后服务满意度证明资料原件，并在投标文件中附复印件，否则不得分</w:t>
            </w:r>
            <w:r>
              <w:rPr>
                <w:rFonts w:ascii="宋体" w:hAnsi="宋体" w:cs="宋体"/>
                <w:color w:val="auto"/>
                <w:kern w:val="0"/>
                <w:sz w:val="21"/>
                <w:szCs w:val="21"/>
                <w:highlight w:val="none"/>
                <w:shd w:val="clear" w:color="auto" w:fill="auto"/>
              </w:rPr>
              <w:t>）</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0个及以上的得5分；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w:t>
            </w:r>
            <w:r>
              <w:rPr>
                <w:rFonts w:ascii="宋体" w:hAnsi="宋体" w:cs="宋体"/>
                <w:color w:val="auto"/>
                <w:kern w:val="0"/>
                <w:sz w:val="21"/>
                <w:szCs w:val="21"/>
                <w:highlight w:val="none"/>
                <w:shd w:val="clear" w:color="auto" w:fill="auto"/>
              </w:rPr>
              <w:t>15</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19</w:t>
            </w:r>
            <w:r>
              <w:rPr>
                <w:rFonts w:hint="eastAsia" w:ascii="宋体" w:hAnsi="宋体" w:cs="宋体"/>
                <w:color w:val="auto"/>
                <w:kern w:val="0"/>
                <w:sz w:val="21"/>
                <w:szCs w:val="21"/>
                <w:highlight w:val="none"/>
                <w:shd w:val="clear" w:color="auto" w:fill="auto"/>
              </w:rPr>
              <w:t>个的得</w:t>
            </w:r>
            <w:r>
              <w:rPr>
                <w:rFonts w:ascii="宋体" w:hAnsi="宋体" w:cs="宋体"/>
                <w:color w:val="auto"/>
                <w:kern w:val="0"/>
                <w:sz w:val="21"/>
                <w:szCs w:val="21"/>
                <w:highlight w:val="none"/>
                <w:shd w:val="clear" w:color="auto" w:fill="auto"/>
              </w:rPr>
              <w:t>3</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w:t>
            </w:r>
            <w:r>
              <w:rPr>
                <w:rFonts w:ascii="宋体" w:hAnsi="宋体" w:cs="宋体"/>
                <w:color w:val="auto"/>
                <w:kern w:val="0"/>
                <w:sz w:val="21"/>
                <w:szCs w:val="21"/>
                <w:highlight w:val="none"/>
                <w:shd w:val="clear" w:color="auto" w:fill="auto"/>
              </w:rPr>
              <w:t>0</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rPr>
              <w:t>个的得</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w:t>
            </w:r>
            <w:r>
              <w:rPr>
                <w:rFonts w:hint="eastAsia" w:ascii="宋体" w:hAnsi="宋体" w:cs="宋体"/>
                <w:color w:val="auto"/>
                <w:kern w:val="0"/>
                <w:sz w:val="21"/>
                <w:szCs w:val="21"/>
                <w:highlight w:val="none"/>
                <w:shd w:val="clear" w:color="auto" w:fill="auto"/>
                <w:lang w:eastAsia="zh-Hans"/>
              </w:rPr>
              <w:t>提供</w:t>
            </w:r>
            <w:r>
              <w:rPr>
                <w:rFonts w:ascii="宋体" w:hAnsi="宋体" w:cs="宋体"/>
                <w:color w:val="auto"/>
                <w:kern w:val="0"/>
                <w:sz w:val="21"/>
                <w:szCs w:val="21"/>
                <w:highlight w:val="none"/>
                <w:shd w:val="clear" w:color="auto" w:fill="auto"/>
              </w:rPr>
              <w:t>10</w:t>
            </w:r>
            <w:r>
              <w:rPr>
                <w:rFonts w:hint="eastAsia" w:ascii="宋体" w:hAnsi="宋体" w:cs="宋体"/>
                <w:color w:val="auto"/>
                <w:kern w:val="0"/>
                <w:sz w:val="21"/>
                <w:szCs w:val="21"/>
                <w:highlight w:val="none"/>
                <w:shd w:val="clear" w:color="auto" w:fill="auto"/>
                <w:lang w:eastAsia="zh-Hans"/>
              </w:rPr>
              <w:t>个以下</w:t>
            </w:r>
            <w:r>
              <w:rPr>
                <w:rFonts w:hint="eastAsia" w:ascii="宋体" w:hAnsi="宋体" w:cs="宋体"/>
                <w:color w:val="auto"/>
                <w:kern w:val="0"/>
                <w:sz w:val="21"/>
                <w:szCs w:val="21"/>
                <w:highlight w:val="none"/>
                <w:shd w:val="clear" w:color="auto" w:fill="auto"/>
              </w:rPr>
              <w:t>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⑤没有的不得分；</w:t>
            </w:r>
          </w:p>
        </w:tc>
        <w:tc>
          <w:tcPr>
            <w:tcW w:w="700"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抗体水平监测</w:t>
            </w:r>
          </w:p>
        </w:tc>
        <w:tc>
          <w:tcPr>
            <w:tcW w:w="7413"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投标企业进行抗体水平监测并制定监测方案（免疫抗体监测比例为中标产品免疫数量的万分之一</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）（满分</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①制定监测方案的得</w:t>
            </w:r>
            <w:r>
              <w:rPr>
                <w:rFonts w:ascii="宋体" w:hAnsi="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③承诺提供满足中标产品免疫抗体水平监测所需的材料支持且不额外收费的，得2分，否则不得分；</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投标人实力</w:t>
            </w:r>
          </w:p>
        </w:tc>
        <w:tc>
          <w:tcPr>
            <w:tcW w:w="7413"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投标人自201</w:t>
            </w:r>
            <w:r>
              <w:rPr>
                <w:rFonts w:hint="eastAsia" w:ascii="宋体" w:hAnsi="宋体" w:cs="宋体"/>
                <w:color w:val="auto"/>
                <w:kern w:val="0"/>
                <w:sz w:val="21"/>
                <w:szCs w:val="21"/>
                <w:highlight w:val="none"/>
                <w:shd w:val="clear" w:color="auto" w:fill="auto"/>
                <w:lang w:val="en-US" w:eastAsia="zh-CN"/>
              </w:rPr>
              <w:t>8</w:t>
            </w:r>
            <w:r>
              <w:rPr>
                <w:rFonts w:hint="eastAsia" w:ascii="宋体" w:hAnsi="宋体" w:cs="宋体"/>
                <w:color w:val="auto"/>
                <w:kern w:val="0"/>
                <w:sz w:val="21"/>
                <w:szCs w:val="21"/>
                <w:highlight w:val="none"/>
                <w:shd w:val="clear" w:color="auto" w:fill="auto"/>
              </w:rPr>
              <w:t>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连续四年入围的，得3分；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连续三年入围的，得2分；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连续两年入围的，得1分；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连续一年入围的，得0.5分；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未入围的，不得分；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入围证明以中国政府采购网中标公示及新疆维吾尔自治区畜牧兽医局新牧防字【2021】1号文为准；</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售后服务及质量保障措施</w:t>
            </w: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6.1、针对本</w:t>
            </w:r>
            <w:r>
              <w:rPr>
                <w:rFonts w:hint="eastAsia" w:ascii="宋体" w:hAnsi="宋体" w:cs="Arial"/>
                <w:color w:val="auto"/>
                <w:kern w:val="0"/>
                <w:sz w:val="21"/>
                <w:szCs w:val="21"/>
                <w:highlight w:val="none"/>
                <w:shd w:val="clear" w:color="auto" w:fill="auto"/>
              </w:rPr>
              <w:t>项目进度计划安排、配送方案、验收组织安排是否完整合理、是否符合需求，以及质量保证措施、等综合情况</w:t>
            </w:r>
            <w:r>
              <w:rPr>
                <w:rFonts w:hint="eastAsia" w:ascii="宋体" w:hAnsi="宋体" w:cs="宋体"/>
                <w:color w:val="auto"/>
                <w:kern w:val="0"/>
                <w:sz w:val="21"/>
                <w:szCs w:val="21"/>
                <w:highlight w:val="none"/>
                <w:shd w:val="clear" w:color="auto" w:fill="auto"/>
              </w:rPr>
              <w:t>进行赋分（满分4分）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①横向比较</w:t>
            </w:r>
            <w:r>
              <w:rPr>
                <w:rFonts w:hint="eastAsia" w:ascii="宋体" w:hAnsi="宋体" w:cs="Arial"/>
                <w:color w:val="auto"/>
                <w:kern w:val="0"/>
                <w:sz w:val="21"/>
                <w:szCs w:val="21"/>
                <w:highlight w:val="none"/>
                <w:shd w:val="clear" w:color="auto" w:fill="auto"/>
              </w:rPr>
              <w:t>项目进度计划安排、配送方案、验收组织安排完整合理、符合需求，以及质量保证措施完善</w:t>
            </w:r>
            <w:r>
              <w:rPr>
                <w:rFonts w:hint="eastAsia" w:ascii="宋体" w:hAnsi="宋体" w:cs="宋体"/>
                <w:color w:val="auto"/>
                <w:kern w:val="0"/>
                <w:sz w:val="21"/>
                <w:szCs w:val="21"/>
                <w:highlight w:val="none"/>
                <w:shd w:val="clear" w:color="auto" w:fill="auto"/>
              </w:rPr>
              <w:t>的得1-3分；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②疫苗供应企业在自治区及伊犁州内设立售后保障服务网点，配备专业技术服务人员（包括委托相关有资质机构，如有委托，提供被委托机构能力证明材料）的得1分；没有不得分。（满分1分）</w:t>
            </w:r>
          </w:p>
        </w:tc>
        <w:tc>
          <w:tcPr>
            <w:tcW w:w="700"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6.2、疫苗的冷链运输（满分2分）：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6.2.1（满分1分）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③超过以上最低时限或未采取规定运载工具运输的不得分。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6.2.2（满分1分）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①提供2022年内5个地市级的冷链运输供货完整记录凭证的得1分，不提供不得分。</w:t>
            </w:r>
          </w:p>
        </w:tc>
        <w:tc>
          <w:tcPr>
            <w:tcW w:w="700"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7</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交货日期</w:t>
            </w:r>
          </w:p>
        </w:tc>
        <w:tc>
          <w:tcPr>
            <w:tcW w:w="7413" w:type="dxa"/>
          </w:tcPr>
          <w:p>
            <w:pPr>
              <w:pStyle w:val="15"/>
              <w:pBdr>
                <w:bottom w:val="none" w:color="auto" w:sz="0" w:space="0"/>
              </w:pBdr>
              <w:jc w:val="left"/>
              <w:rPr>
                <w:rFonts w:ascii="宋体" w:hAnsi="宋体" w:cs="Arial"/>
                <w:color w:val="auto"/>
                <w:kern w:val="0"/>
                <w:sz w:val="21"/>
                <w:szCs w:val="21"/>
                <w:highlight w:val="none"/>
                <w:shd w:val="clear" w:color="auto" w:fill="auto"/>
              </w:rPr>
            </w:pPr>
            <w:r>
              <w:rPr>
                <w:rFonts w:hint="eastAsia" w:ascii="宋体" w:hAnsi="宋体" w:cs="Arial"/>
                <w:color w:val="auto"/>
                <w:kern w:val="0"/>
                <w:sz w:val="21"/>
                <w:szCs w:val="21"/>
                <w:highlight w:val="none"/>
                <w:shd w:val="clear" w:color="auto" w:fill="auto"/>
              </w:rPr>
              <w:t>交货日期</w:t>
            </w:r>
            <w:r>
              <w:rPr>
                <w:rFonts w:hint="eastAsia" w:ascii="宋体" w:hAnsi="宋体" w:cs="宋体"/>
                <w:color w:val="auto"/>
                <w:sz w:val="21"/>
                <w:szCs w:val="21"/>
                <w:highlight w:val="none"/>
                <w:shd w:val="clear" w:color="auto" w:fill="auto"/>
              </w:rPr>
              <w:t>（满分2分）：</w:t>
            </w:r>
          </w:p>
          <w:p>
            <w:pPr>
              <w:pStyle w:val="15"/>
              <w:pBdr>
                <w:bottom w:val="none" w:color="auto" w:sz="0" w:space="0"/>
              </w:pBdr>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①采购人要求15日内交付使用</w:t>
            </w:r>
            <w:r>
              <w:rPr>
                <w:rFonts w:hint="eastAsia" w:ascii="宋体" w:hAnsi="宋体" w:cs="Arial"/>
                <w:color w:val="auto"/>
                <w:kern w:val="0"/>
                <w:sz w:val="21"/>
                <w:szCs w:val="21"/>
                <w:highlight w:val="none"/>
                <w:shd w:val="clear" w:color="auto" w:fill="auto"/>
              </w:rPr>
              <w:t>，如因特殊情况需要提前在3日内供货的，投标人能够按采购人通知要求执行</w:t>
            </w:r>
            <w:r>
              <w:rPr>
                <w:rFonts w:hint="eastAsia" w:ascii="宋体" w:hAnsi="宋体" w:cs="宋体"/>
                <w:color w:val="auto"/>
                <w:sz w:val="21"/>
                <w:szCs w:val="21"/>
                <w:highlight w:val="none"/>
                <w:shd w:val="clear" w:color="auto" w:fill="auto"/>
              </w:rPr>
              <w:t>，得2分；</w:t>
            </w:r>
          </w:p>
          <w:p>
            <w:pPr>
              <w:pStyle w:val="15"/>
              <w:pBdr>
                <w:bottom w:val="none" w:color="auto" w:sz="0" w:space="0"/>
              </w:pBdr>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②承诺不清楚或</w:t>
            </w:r>
            <w:r>
              <w:rPr>
                <w:rFonts w:hint="eastAsia" w:ascii="宋体" w:hAnsi="宋体" w:cs="Arial"/>
                <w:color w:val="auto"/>
                <w:kern w:val="0"/>
                <w:sz w:val="21"/>
                <w:szCs w:val="21"/>
                <w:highlight w:val="none"/>
                <w:shd w:val="clear" w:color="auto" w:fill="auto"/>
              </w:rPr>
              <w:t>未承诺的，不</w:t>
            </w:r>
            <w:r>
              <w:rPr>
                <w:rFonts w:hint="eastAsia" w:ascii="宋体" w:hAnsi="宋体" w:cs="宋体"/>
                <w:color w:val="auto"/>
                <w:sz w:val="21"/>
                <w:szCs w:val="21"/>
                <w:highlight w:val="none"/>
                <w:shd w:val="clear" w:color="auto" w:fill="auto"/>
              </w:rPr>
              <w:t>得分。</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8</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响应时间及承诺</w:t>
            </w:r>
          </w:p>
        </w:tc>
        <w:tc>
          <w:tcPr>
            <w:tcW w:w="7413" w:type="dxa"/>
          </w:tcPr>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8.1投标人承诺响应时间（满分5分）：</w:t>
            </w:r>
          </w:p>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①投标人承诺措施全面、可行性强，对疫苗免疫严重副反应（免疫日县级区域内副反应数量≥1‰）现场处置响应时间 </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12</w:t>
            </w:r>
            <w:r>
              <w:rPr>
                <w:rFonts w:hint="eastAsia" w:ascii="宋体" w:hAnsi="宋体" w:cs="宋体"/>
                <w:color w:val="auto"/>
                <w:kern w:val="0"/>
                <w:szCs w:val="21"/>
                <w:highlight w:val="none"/>
                <w:shd w:val="clear" w:color="auto" w:fill="auto"/>
              </w:rPr>
              <w:t>小时，得2分，没有不得分；</w:t>
            </w:r>
          </w:p>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②投标人承诺在采购人规定时间内给予反应死亡赔偿费（按死亡牲畜实际价值的50%进行赔偿，实际价值以县级物价部门核定为准）的，得3分；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③承诺不全面或无承诺不得分。</w:t>
            </w:r>
          </w:p>
        </w:tc>
        <w:tc>
          <w:tcPr>
            <w:tcW w:w="700"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7413"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8.2投标人承诺（满分1分）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②投标人针对本项目自主承诺的各项优惠事项，经评标委员会判定与项目推进、安全保障等无关的或者无承诺的，不得分。</w:t>
            </w:r>
          </w:p>
        </w:tc>
        <w:tc>
          <w:tcPr>
            <w:tcW w:w="700"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9</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包装要求</w:t>
            </w:r>
          </w:p>
        </w:tc>
        <w:tc>
          <w:tcPr>
            <w:tcW w:w="7413" w:type="dxa"/>
          </w:tcPr>
          <w:p>
            <w:pPr>
              <w:pStyle w:val="15"/>
              <w:pBdr>
                <w:bottom w:val="none" w:color="auto" w:sz="0" w:space="0"/>
              </w:pBdr>
              <w:spacing w:line="276" w:lineRule="auto"/>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rPr>
              <w:t>投标产品的包装应低碳环保、实用性强，不浪费、利于使用；标签印刷规范明晰，利于运输保存（须提供证明材料彩页并清晰可辨）</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提供得2分，不提供得0分</w:t>
            </w:r>
            <w:r>
              <w:rPr>
                <w:rFonts w:hint="eastAsia" w:ascii="宋体" w:hAnsi="宋体" w:cs="宋体"/>
                <w:color w:val="auto"/>
                <w:kern w:val="0"/>
                <w:sz w:val="21"/>
                <w:szCs w:val="21"/>
                <w:highlight w:val="none"/>
                <w:shd w:val="clear" w:color="auto" w:fill="auto"/>
                <w:lang w:eastAsia="zh-CN"/>
              </w:rPr>
              <w:t>。</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10</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产品保险</w:t>
            </w:r>
          </w:p>
        </w:tc>
        <w:tc>
          <w:tcPr>
            <w:tcW w:w="7413"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①投标产品应参加相关保险，并在保险有效期内（须提供有效的证明材料）得1分；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②没有参加保险或保险已过期的不得分。</w:t>
            </w: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5" w:type="dxa"/>
            <w:gridSpan w:val="2"/>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小计</w:t>
            </w:r>
          </w:p>
        </w:tc>
        <w:tc>
          <w:tcPr>
            <w:tcW w:w="7413"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p>
        </w:tc>
        <w:tc>
          <w:tcPr>
            <w:tcW w:w="70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4</w:t>
            </w:r>
            <w:r>
              <w:rPr>
                <w:rFonts w:hint="eastAsia" w:ascii="宋体" w:hAnsi="宋体" w:cs="宋体"/>
                <w:color w:val="auto"/>
                <w:kern w:val="0"/>
                <w:sz w:val="21"/>
                <w:szCs w:val="21"/>
                <w:highlight w:val="none"/>
                <w:shd w:val="clear" w:color="auto" w:fill="auto"/>
              </w:rPr>
              <w:t>5</w:t>
            </w:r>
          </w:p>
        </w:tc>
      </w:tr>
    </w:tbl>
    <w:p>
      <w:pPr>
        <w:rPr>
          <w:rFonts w:ascii="宋体" w:hAnsi="宋体" w:cs="宋体"/>
          <w:b/>
          <w:bCs/>
          <w:color w:val="auto"/>
          <w:szCs w:val="21"/>
          <w:highlight w:val="none"/>
          <w:shd w:val="clear" w:color="auto" w:fill="auto"/>
        </w:rPr>
      </w:pPr>
      <w:r>
        <w:rPr>
          <w:rFonts w:ascii="宋体" w:hAnsi="宋体"/>
          <w:color w:val="auto"/>
          <w:szCs w:val="21"/>
          <w:highlight w:val="none"/>
          <w:shd w:val="clear" w:color="auto" w:fill="auto"/>
        </w:rPr>
        <w:br w:type="page"/>
      </w:r>
      <w:r>
        <w:rPr>
          <w:rFonts w:hint="eastAsia" w:ascii="宋体" w:hAnsi="宋体" w:cs="宋体"/>
          <w:b/>
          <w:bCs/>
          <w:color w:val="auto"/>
          <w:szCs w:val="21"/>
          <w:highlight w:val="none"/>
          <w:shd w:val="clear" w:color="auto" w:fill="auto"/>
        </w:rPr>
        <w:t>技术评分标准（25分）</w:t>
      </w:r>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8"/>
        <w:gridCol w:w="652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序号</w:t>
            </w:r>
          </w:p>
        </w:tc>
        <w:tc>
          <w:tcPr>
            <w:tcW w:w="144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评分因素及权值</w:t>
            </w:r>
          </w:p>
        </w:tc>
        <w:tc>
          <w:tcPr>
            <w:tcW w:w="6520"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评分标准</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p>
        </w:tc>
        <w:tc>
          <w:tcPr>
            <w:tcW w:w="144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产品技术指标及生产能力技术部分（25%）</w:t>
            </w:r>
          </w:p>
        </w:tc>
        <w:tc>
          <w:tcPr>
            <w:tcW w:w="6520" w:type="dxa"/>
          </w:tcPr>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生产技术（满分</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生产线设备满足并优于本次疫苗采购，提供相关疫苗生产线GMP验收证明材料（相关设备购置合同、发票等）的加2分，没有的不得分。</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520" w:type="dxa"/>
          </w:tcPr>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2、产品功能（满分1分）：</w:t>
            </w:r>
          </w:p>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①所投产品满足国家对该产品的技术生产要求具有完整的产品说明书、使用范围、使用方法，注意事项等情况。说明书全面分项介绍详细，配图完整易理解。得1分；</w:t>
            </w:r>
          </w:p>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②说明书简略分项介绍内容不明确、不清晰得0.5分；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③未提供说明书不得分。</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520" w:type="dxa"/>
          </w:tcPr>
          <w:p>
            <w:pPr>
              <w:pStyle w:val="15"/>
              <w:pBdr>
                <w:bottom w:val="none" w:color="auto" w:sz="0" w:space="0"/>
              </w:pBdr>
              <w:jc w:val="left"/>
              <w:rPr>
                <w:rFonts w:ascii="宋体" w:hAnsi="宋体" w:cs="Arial"/>
                <w:color w:val="auto"/>
                <w:kern w:val="0"/>
                <w:sz w:val="21"/>
                <w:szCs w:val="21"/>
                <w:highlight w:val="none"/>
                <w:shd w:val="clear" w:color="auto" w:fill="auto"/>
              </w:rPr>
            </w:pPr>
            <w:r>
              <w:rPr>
                <w:rFonts w:hint="eastAsia" w:ascii="宋体" w:hAnsi="宋体" w:cs="Arial"/>
                <w:color w:val="auto"/>
                <w:kern w:val="0"/>
                <w:sz w:val="21"/>
                <w:szCs w:val="21"/>
                <w:highlight w:val="none"/>
                <w:shd w:val="clear" w:color="auto" w:fill="auto"/>
              </w:rPr>
              <w:t>3、安全性（满分</w:t>
            </w:r>
            <w:r>
              <w:rPr>
                <w:rFonts w:ascii="宋体" w:hAnsi="宋体" w:cs="Arial"/>
                <w:color w:val="auto"/>
                <w:kern w:val="0"/>
                <w:sz w:val="21"/>
                <w:szCs w:val="21"/>
                <w:highlight w:val="none"/>
                <w:shd w:val="clear" w:color="auto" w:fill="auto"/>
              </w:rPr>
              <w:t>3</w:t>
            </w:r>
            <w:r>
              <w:rPr>
                <w:rFonts w:hint="eastAsia" w:ascii="宋体" w:hAnsi="宋体" w:cs="Arial"/>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提供20</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2年购买</w:t>
            </w:r>
            <w:r>
              <w:rPr>
                <w:rFonts w:hint="eastAsia" w:ascii="宋体" w:hAnsi="宋体" w:cs="宋体"/>
                <w:bCs/>
                <w:color w:val="auto"/>
                <w:kern w:val="0"/>
                <w:sz w:val="21"/>
                <w:szCs w:val="21"/>
                <w:highlight w:val="none"/>
                <w:shd w:val="clear" w:color="auto" w:fill="auto"/>
              </w:rPr>
              <w:t>进口佐剂</w:t>
            </w:r>
            <w:r>
              <w:rPr>
                <w:rFonts w:hint="eastAsia" w:ascii="宋体" w:hAnsi="宋体" w:cs="宋体"/>
                <w:color w:val="auto"/>
                <w:kern w:val="0"/>
                <w:sz w:val="21"/>
                <w:szCs w:val="21"/>
                <w:highlight w:val="none"/>
                <w:shd w:val="clear" w:color="auto" w:fill="auto"/>
              </w:rPr>
              <w:t>合同及发票复印件的得</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分。承诺供货产品1</w:t>
            </w:r>
            <w:r>
              <w:rPr>
                <w:rFonts w:ascii="宋体" w:hAnsi="宋体" w:cs="宋体"/>
                <w:color w:val="auto"/>
                <w:kern w:val="0"/>
                <w:sz w:val="21"/>
                <w:szCs w:val="21"/>
                <w:highlight w:val="none"/>
                <w:shd w:val="clear" w:color="auto" w:fill="auto"/>
              </w:rPr>
              <w:t>00</w:t>
            </w:r>
            <w:r>
              <w:rPr>
                <w:rFonts w:hint="eastAsia" w:ascii="宋体" w:hAnsi="宋体" w:cs="宋体"/>
                <w:color w:val="auto"/>
                <w:kern w:val="0"/>
                <w:sz w:val="21"/>
                <w:szCs w:val="21"/>
                <w:highlight w:val="none"/>
                <w:shd w:val="clear" w:color="auto" w:fill="auto"/>
              </w:rPr>
              <w:t>%使用进口佐剂</w:t>
            </w:r>
            <w:r>
              <w:rPr>
                <w:rFonts w:hint="eastAsia" w:ascii="宋体" w:hAnsi="宋体" w:cs="宋体"/>
                <w:bCs/>
                <w:color w:val="auto"/>
                <w:kern w:val="0"/>
                <w:sz w:val="21"/>
                <w:szCs w:val="21"/>
                <w:highlight w:val="none"/>
                <w:shd w:val="clear" w:color="auto" w:fill="auto"/>
              </w:rPr>
              <w:t>的得1分。</w:t>
            </w:r>
            <w:r>
              <w:rPr>
                <w:rFonts w:hint="eastAsia" w:ascii="宋体" w:hAnsi="宋体" w:cs="Arial"/>
                <w:color w:val="auto"/>
                <w:kern w:val="0"/>
                <w:sz w:val="21"/>
                <w:szCs w:val="21"/>
                <w:highlight w:val="none"/>
                <w:shd w:val="clear" w:color="auto" w:fill="auto"/>
              </w:rPr>
              <w:t>没有不得分</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520" w:type="dxa"/>
          </w:tcPr>
          <w:p>
            <w:pPr>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企业技术研发能力</w:t>
            </w:r>
            <w:r>
              <w:rPr>
                <w:rFonts w:hint="eastAsia" w:ascii="宋体" w:hAnsi="宋体" w:cs="Arial"/>
                <w:color w:val="auto"/>
                <w:kern w:val="0"/>
                <w:szCs w:val="21"/>
                <w:highlight w:val="none"/>
                <w:shd w:val="clear" w:color="auto" w:fill="auto"/>
              </w:rPr>
              <w:t>（满分</w:t>
            </w:r>
            <w:r>
              <w:rPr>
                <w:rFonts w:ascii="宋体" w:hAnsi="宋体" w:cs="Arial"/>
                <w:color w:val="auto"/>
                <w:kern w:val="0"/>
                <w:szCs w:val="21"/>
                <w:highlight w:val="none"/>
                <w:shd w:val="clear" w:color="auto" w:fill="auto"/>
              </w:rPr>
              <w:t>8</w:t>
            </w:r>
            <w:r>
              <w:rPr>
                <w:rFonts w:hint="eastAsia" w:ascii="宋体" w:hAnsi="宋体" w:cs="Arial"/>
                <w:color w:val="auto"/>
                <w:kern w:val="0"/>
                <w:szCs w:val="21"/>
                <w:highlight w:val="none"/>
                <w:shd w:val="clear" w:color="auto" w:fill="auto"/>
              </w:rPr>
              <w:t>分）：</w:t>
            </w:r>
          </w:p>
          <w:p>
            <w:pPr>
              <w:rPr>
                <w:rFonts w:ascii="宋体" w:hAnsi="宋体" w:cs="宋体"/>
                <w:color w:val="auto"/>
                <w:kern w:val="0"/>
                <w:szCs w:val="21"/>
                <w:highlight w:val="none"/>
                <w:shd w:val="clear" w:color="auto" w:fill="auto"/>
                <w:lang w:eastAsia="zh-Hans"/>
              </w:rPr>
            </w:pPr>
            <w:r>
              <w:rPr>
                <w:rFonts w:hint="eastAsia" w:ascii="宋体" w:hAnsi="宋体" w:cs="宋体"/>
                <w:color w:val="auto"/>
                <w:kern w:val="0"/>
                <w:szCs w:val="21"/>
                <w:highlight w:val="none"/>
                <w:shd w:val="clear" w:color="auto" w:fill="auto"/>
              </w:rPr>
              <w:t>①投标人</w:t>
            </w:r>
            <w:r>
              <w:rPr>
                <w:rFonts w:hint="eastAsia" w:ascii="宋体" w:hAnsi="宋体" w:cs="宋体"/>
                <w:color w:val="auto"/>
                <w:kern w:val="0"/>
                <w:szCs w:val="21"/>
                <w:highlight w:val="none"/>
                <w:shd w:val="clear" w:color="auto" w:fill="auto"/>
                <w:lang w:eastAsia="zh-Hans"/>
              </w:rPr>
              <w:t>获得</w:t>
            </w:r>
            <w:r>
              <w:rPr>
                <w:rFonts w:hint="eastAsia" w:ascii="宋体" w:hAnsi="宋体" w:cs="宋体"/>
                <w:color w:val="auto"/>
                <w:kern w:val="0"/>
                <w:szCs w:val="21"/>
                <w:highlight w:val="none"/>
                <w:shd w:val="clear" w:color="auto" w:fill="auto"/>
              </w:rPr>
              <w:t>“国家认定企业技术中心”得</w:t>
            </w:r>
            <w:r>
              <w:rPr>
                <w:rFonts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rPr>
              <w:t>分，没有的不得分</w:t>
            </w:r>
            <w:r>
              <w:rPr>
                <w:rFonts w:ascii="宋体" w:hAnsi="宋体" w:cs="宋体"/>
                <w:color w:val="auto"/>
                <w:kern w:val="0"/>
                <w:szCs w:val="21"/>
                <w:highlight w:val="none"/>
                <w:shd w:val="clear" w:color="auto" w:fill="auto"/>
                <w:lang w:eastAsia="zh-Hans"/>
              </w:rPr>
              <w:t>。</w:t>
            </w:r>
          </w:p>
          <w:p>
            <w:pP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②投标人</w:t>
            </w:r>
            <w:r>
              <w:rPr>
                <w:rFonts w:hint="eastAsia" w:ascii="宋体" w:hAnsi="宋体" w:cs="宋体"/>
                <w:color w:val="auto"/>
                <w:kern w:val="0"/>
                <w:szCs w:val="21"/>
                <w:highlight w:val="none"/>
                <w:shd w:val="clear" w:color="auto" w:fill="auto"/>
                <w:lang w:eastAsia="zh-Hans"/>
              </w:rPr>
              <w:t>获得“动物用生物制品技术国家地方联合工程实验室”</w:t>
            </w:r>
            <w:r>
              <w:rPr>
                <w:rFonts w:hint="eastAsia" w:ascii="宋体" w:hAnsi="宋体" w:cs="宋体"/>
                <w:color w:val="auto"/>
                <w:kern w:val="0"/>
                <w:szCs w:val="21"/>
                <w:highlight w:val="none"/>
                <w:shd w:val="clear" w:color="auto" w:fill="auto"/>
              </w:rPr>
              <w:t>得</w:t>
            </w:r>
            <w:r>
              <w:rPr>
                <w:rFonts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rPr>
              <w:t>分</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没有的不得分</w:t>
            </w:r>
            <w:r>
              <w:rPr>
                <w:rFonts w:ascii="宋体" w:hAnsi="宋体" w:cs="宋体"/>
                <w:color w:val="auto"/>
                <w:kern w:val="0"/>
                <w:szCs w:val="21"/>
                <w:highlight w:val="none"/>
                <w:shd w:val="clear" w:color="auto" w:fill="auto"/>
                <w:lang w:eastAsia="zh-Hans"/>
              </w:rPr>
              <w:t>。</w:t>
            </w:r>
          </w:p>
          <w:p>
            <w:pP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③投标疫苗由投标人自主研发，且取得相关新兽药注册证书的，得</w:t>
            </w:r>
            <w:r>
              <w:rPr>
                <w:rFonts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rPr>
              <w:t>分，没有的不得分。</w:t>
            </w:r>
          </w:p>
          <w:p>
            <w:pPr>
              <w:rPr>
                <w:rFonts w:ascii="宋体" w:hAnsi="宋体" w:cs="宋体"/>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（以上需提供证明材料，原件备查）</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520" w:type="dxa"/>
          </w:tcPr>
          <w:p>
            <w:pPr>
              <w:pStyle w:val="15"/>
              <w:pBdr>
                <w:bottom w:val="none" w:color="auto" w:sz="0" w:space="0"/>
              </w:pBdr>
              <w:jc w:val="left"/>
              <w:rPr>
                <w:rFonts w:ascii="宋体" w:hAnsi="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5、疫苗效力（满分9分）：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w:t>
            </w:r>
            <w:r>
              <w:rPr>
                <w:rFonts w:hint="eastAsia" w:ascii="宋体" w:hAnsi="宋体" w:cs="宋体"/>
                <w:b/>
                <w:bCs/>
                <w:color w:val="auto"/>
                <w:kern w:val="0"/>
                <w:sz w:val="21"/>
                <w:szCs w:val="21"/>
                <w:highlight w:val="none"/>
                <w:shd w:val="clear" w:color="auto" w:fill="auto"/>
              </w:rPr>
              <w:t xml:space="preserve"> </w:t>
            </w:r>
            <w:r>
              <w:rPr>
                <w:rFonts w:hint="eastAsia" w:ascii="宋体" w:hAnsi="宋体" w:cs="宋体"/>
                <w:color w:val="auto"/>
                <w:kern w:val="0"/>
                <w:sz w:val="21"/>
                <w:szCs w:val="21"/>
                <w:highlight w:val="none"/>
                <w:shd w:val="clear" w:color="auto" w:fill="auto"/>
              </w:rPr>
              <w:t>提供2022年8月1日以来连续</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个批次的批签发（共3分）：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个批次在同一月内生产的得3分；二个月内生产的得2分；半年内的得1分；超过半年以上不得分；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②计算上述</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批次疫苗的PD50平均值（满分5分）：达到6个PD50的得2分；每高一个PD50加1分，加到满分为止；</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w:t>
            </w:r>
            <w:r>
              <w:rPr>
                <w:rFonts w:hint="eastAsia" w:ascii="宋体" w:hAnsi="宋体" w:cs="宋体"/>
                <w:b/>
                <w:bCs/>
                <w:color w:val="auto"/>
                <w:kern w:val="0"/>
                <w:sz w:val="21"/>
                <w:szCs w:val="21"/>
                <w:highlight w:val="none"/>
                <w:shd w:val="clear" w:color="auto" w:fill="auto"/>
              </w:rPr>
              <w:t xml:space="preserve"> </w:t>
            </w:r>
            <w:r>
              <w:rPr>
                <w:rFonts w:hint="eastAsia" w:ascii="宋体" w:hAnsi="宋体" w:cs="宋体"/>
                <w:color w:val="auto"/>
                <w:kern w:val="0"/>
                <w:sz w:val="21"/>
                <w:szCs w:val="21"/>
                <w:highlight w:val="none"/>
                <w:shd w:val="clear" w:color="auto" w:fill="auto"/>
              </w:rPr>
              <w:t>PD50值的离散度（满分1分）：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上述</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个批次双组份疫苗的离散度在±1以内得1分，±2以内得0.5分，有一个批次及以上PD50值的离散度不在此范围不得分。（示例：PD50值的离散度均值为10，则</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个批次批签发PD50值的离散度在9～11之间的得1分，8～12之间的得0.5分，除此以外不得分；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（提供批签发报告复印件，原件备查）</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520" w:type="dxa"/>
          </w:tcPr>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6、内毒素检测（满分2分）：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提供上述2022年</w:t>
            </w:r>
            <w:r>
              <w:rPr>
                <w:rFonts w:ascii="宋体" w:hAnsi="宋体" w:cs="宋体"/>
                <w:color w:val="auto"/>
                <w:kern w:val="0"/>
                <w:sz w:val="21"/>
                <w:szCs w:val="21"/>
                <w:highlight w:val="none"/>
                <w:shd w:val="clear" w:color="auto" w:fill="auto"/>
              </w:rPr>
              <w:t>8</w:t>
            </w:r>
            <w:r>
              <w:rPr>
                <w:rFonts w:hint="eastAsia" w:ascii="宋体" w:hAnsi="宋体" w:cs="宋体"/>
                <w:color w:val="auto"/>
                <w:kern w:val="0"/>
                <w:sz w:val="21"/>
                <w:szCs w:val="21"/>
                <w:highlight w:val="none"/>
                <w:shd w:val="clear" w:color="auto" w:fill="auto"/>
              </w:rPr>
              <w:t>月1日以来连续5个批次产品内毒素检验报告单</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rPr>
              <w:t>证明低于20EU/ml加0.5分；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证明低于10EU/ml加1分；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证明低于 5EU/ml加</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内毒素超过50EU/ml不得分；</w:t>
            </w: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01" w:type="dxa"/>
            <w:gridSpan w:val="2"/>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小计</w:t>
            </w:r>
          </w:p>
        </w:tc>
        <w:tc>
          <w:tcPr>
            <w:tcW w:w="6520" w:type="dxa"/>
          </w:tcPr>
          <w:p>
            <w:pPr>
              <w:pStyle w:val="15"/>
              <w:pBdr>
                <w:bottom w:val="none" w:color="auto" w:sz="0" w:space="0"/>
              </w:pBdr>
              <w:jc w:val="left"/>
              <w:rPr>
                <w:rFonts w:ascii="宋体" w:hAnsi="宋体" w:cs="宋体"/>
                <w:color w:val="auto"/>
                <w:kern w:val="0"/>
                <w:sz w:val="21"/>
                <w:szCs w:val="21"/>
                <w:highlight w:val="none"/>
                <w:shd w:val="clear" w:color="auto" w:fill="auto"/>
              </w:rPr>
            </w:pPr>
          </w:p>
        </w:tc>
        <w:tc>
          <w:tcPr>
            <w:tcW w:w="1017"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25</w:t>
            </w:r>
          </w:p>
        </w:tc>
      </w:tr>
    </w:tbl>
    <w:p>
      <w:pPr>
        <w:tabs>
          <w:tab w:val="left" w:pos="210"/>
        </w:tabs>
        <w:spacing w:line="360" w:lineRule="auto"/>
        <w:jc w:val="left"/>
        <w:rPr>
          <w:rFonts w:ascii="宋体" w:hAnsi="宋体" w:cstheme="majorEastAsia"/>
          <w:b/>
          <w:bCs/>
          <w:color w:val="auto"/>
          <w:szCs w:val="21"/>
          <w:highlight w:val="none"/>
          <w:shd w:val="clear" w:color="auto" w:fill="auto"/>
        </w:rPr>
      </w:pPr>
      <w:r>
        <w:rPr>
          <w:rFonts w:hint="eastAsia" w:ascii="宋体" w:hAnsi="宋体" w:cstheme="majorEastAsia"/>
          <w:b/>
          <w:bCs/>
          <w:color w:val="auto"/>
          <w:szCs w:val="21"/>
          <w:highlight w:val="none"/>
          <w:shd w:val="clear" w:color="auto" w:fill="auto"/>
        </w:rPr>
        <w:t>4、1评标程序</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4.1.1评标准备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评标委员会成员签到</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评标委员会成员到达评标现场时应当在签到表上签到以证明其出席。</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评标委员会的分工</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评标委员会首先推选一名评标委员会主任</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⒉评标委员会主任除履行自己作为评标委员会成员独立评标的职责外，主要负责以下工作： </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⒊组织评标委员会成员学习招标文件；</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⒋汇总各评标委员会成员认为需要投标人澄清、说明或者补正的问题；</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⒌组织评标委员会对投标人质询并对投标人的答复进行评审；</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⒍对出现较大争议的事项进行书面记录；</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⒎组织收回评标过程中使用的文件、表格和评标记录以及其他资料，并查验评标记录的完整性及有效性；</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⒏组织对评标结论进行复核确认；</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⒐组织编写评标报告。</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④ 熟悉文件资料</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⑤ 采购人或采购代理机构应当向评标委员会提供评标所需的信息和数据，包括：</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⒈招标文件及其澄清修改等招标文件补充；</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⒉未在开标会上当场拒绝的各投标文件；</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⒊开标会记录；</w:t>
      </w:r>
    </w:p>
    <w:p>
      <w:pPr>
        <w:widowControl/>
        <w:shd w:val="clear" w:color="auto" w:fill="FFFFFF"/>
        <w:snapToGrid w:val="0"/>
        <w:spacing w:line="360" w:lineRule="auto"/>
        <w:ind w:firstLine="630" w:firstLineChars="3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⒋评标表格；</w:t>
      </w:r>
    </w:p>
    <w:p>
      <w:pPr>
        <w:widowControl/>
        <w:shd w:val="clear" w:color="auto" w:fill="FFFFFF"/>
        <w:snapToGrid w:val="0"/>
        <w:spacing w:line="360" w:lineRule="auto"/>
        <w:ind w:firstLine="630" w:firstLineChars="3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⒌其他信息和数据</w:t>
      </w:r>
      <w:r>
        <w:rPr>
          <w:rFonts w:hint="eastAsia" w:ascii="宋体" w:hAnsi="宋体" w:cs="Arial"/>
          <w:color w:val="auto"/>
          <w:kern w:val="0"/>
          <w:szCs w:val="21"/>
          <w:highlight w:val="none"/>
          <w:shd w:val="clear" w:color="auto" w:fill="auto"/>
        </w:rPr>
        <w:t>；</w:t>
      </w:r>
    </w:p>
    <w:p>
      <w:pPr>
        <w:widowControl/>
        <w:shd w:val="clear" w:color="auto" w:fill="FFFFFF"/>
        <w:snapToGrid w:val="0"/>
        <w:spacing w:line="360" w:lineRule="auto"/>
        <w:ind w:firstLine="422" w:firstLineChars="200"/>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4.2.2资格审查（适用于资格后审）</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2" w:firstLineChars="200"/>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4.3.3完备性及符合性审查</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 </w:t>
      </w:r>
      <w:r>
        <w:rPr>
          <w:rFonts w:hint="eastAsia" w:ascii="宋体" w:hAnsi="宋体" w:cs="Arial"/>
          <w:color w:val="auto"/>
          <w:kern w:val="0"/>
          <w:szCs w:val="21"/>
          <w:highlight w:val="none"/>
          <w:shd w:val="clear" w:color="auto" w:fill="auto"/>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② </w:t>
      </w:r>
      <w:r>
        <w:rPr>
          <w:rFonts w:hint="eastAsia" w:ascii="宋体" w:hAnsi="宋体" w:cs="Arial"/>
          <w:color w:val="auto"/>
          <w:kern w:val="0"/>
          <w:szCs w:val="21"/>
          <w:highlight w:val="none"/>
          <w:shd w:val="clear" w:color="auto" w:fill="auto"/>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③ </w:t>
      </w:r>
      <w:r>
        <w:rPr>
          <w:rFonts w:hint="eastAsia" w:ascii="宋体" w:hAnsi="宋体" w:cs="Arial"/>
          <w:color w:val="auto"/>
          <w:kern w:val="0"/>
          <w:szCs w:val="21"/>
          <w:highlight w:val="none"/>
          <w:shd w:val="clear" w:color="auto" w:fill="auto"/>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22" w:firstLineChars="200"/>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5、详细评审</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只有通过了资格审查、完备性及符合性审查且投标人不少于3个方可进入详细评审。</w:t>
      </w:r>
    </w:p>
    <w:p>
      <w:pPr>
        <w:widowControl/>
        <w:shd w:val="clear" w:color="auto" w:fill="FFFFFF"/>
        <w:snapToGrid w:val="0"/>
        <w:spacing w:line="360" w:lineRule="auto"/>
        <w:rPr>
          <w:rFonts w:ascii="宋体" w:hAnsi="宋体" w:cs="Arial"/>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6.6开标程序</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按下列程序进行开标：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6.6.1宣布开标纪律；</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6.6.2开标会主持人介绍参加会议的人员；；</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6.6.3公布在投标截止时间前递交投标文件的投标人名称；</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6.6.4投标人在规定的时间解密投标文件，由采购代理机构工作人员宣布公开唱标。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6.6.5按照规定采购代理机构工作人员当众宣布投标人名称、投标价格和招标文件规定的需要宣布的其他内容，并作记录；</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6.6.6投标人不足3家的，不得开标。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6.6.7评标委员会成员不得参加开标活动。</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6.6.8投标文件报价出现前后不一致的，除招标文件另有规定外，按照下列规定修正：</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Arial"/>
          <w:color w:val="auto"/>
          <w:kern w:val="0"/>
          <w:szCs w:val="21"/>
          <w:highlight w:val="none"/>
          <w:shd w:val="clear" w:color="auto" w:fill="auto"/>
        </w:rPr>
        <w:t>投标文件中开标一览表（报价表）内容与投标文件中相应内容不一致的，以开标一览表（报价表）为准。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w:t>
      </w:r>
      <w:r>
        <w:rPr>
          <w:rFonts w:hint="eastAsia" w:ascii="宋体" w:hAnsi="宋体" w:cs="Arial"/>
          <w:color w:val="auto"/>
          <w:kern w:val="0"/>
          <w:szCs w:val="21"/>
          <w:highlight w:val="none"/>
          <w:shd w:val="clear" w:color="auto" w:fill="auto"/>
        </w:rPr>
        <w:t>大写金额和小写金额不一致的，以大写金额为准。</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w:t>
      </w:r>
      <w:r>
        <w:rPr>
          <w:rFonts w:hint="eastAsia" w:ascii="宋体" w:hAnsi="宋体" w:cs="Arial"/>
          <w:color w:val="auto"/>
          <w:kern w:val="0"/>
          <w:szCs w:val="21"/>
          <w:highlight w:val="none"/>
          <w:shd w:val="clear" w:color="auto" w:fill="auto"/>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④</w:t>
      </w:r>
      <w:r>
        <w:rPr>
          <w:rFonts w:hint="eastAsia" w:ascii="宋体" w:hAnsi="宋体" w:cs="Arial"/>
          <w:color w:val="auto"/>
          <w:kern w:val="0"/>
          <w:szCs w:val="21"/>
          <w:highlight w:val="none"/>
          <w:shd w:val="clear" w:color="auto" w:fill="auto"/>
        </w:rPr>
        <w:t>对不同文字文本投标文件的解释发生异议的，以中文文本为准。</w:t>
      </w:r>
    </w:p>
    <w:p>
      <w:pPr>
        <w:widowControl/>
        <w:shd w:val="clear" w:color="auto" w:fill="FFFFFF"/>
        <w:snapToGrid w:val="0"/>
        <w:spacing w:line="360" w:lineRule="auto"/>
        <w:ind w:firstLine="420" w:firstLineChars="200"/>
        <w:rPr>
          <w:rFonts w:ascii="宋体" w:hAnsi="宋体"/>
          <w:color w:val="auto"/>
          <w:szCs w:val="21"/>
          <w:highlight w:val="none"/>
          <w:shd w:val="clear" w:color="auto" w:fill="auto"/>
        </w:rPr>
      </w:pPr>
      <w:r>
        <w:rPr>
          <w:rFonts w:hint="eastAsia" w:ascii="宋体" w:hAnsi="宋体" w:cs="微软雅黑"/>
          <w:color w:val="auto"/>
          <w:kern w:val="0"/>
          <w:szCs w:val="21"/>
          <w:highlight w:val="none"/>
          <w:shd w:val="clear" w:color="auto" w:fill="auto"/>
        </w:rPr>
        <w:t>⑤</w:t>
      </w:r>
      <w:r>
        <w:rPr>
          <w:rFonts w:hint="eastAsia" w:ascii="宋体" w:hAnsi="宋体" w:cs="Arial"/>
          <w:color w:val="auto"/>
          <w:kern w:val="0"/>
          <w:szCs w:val="21"/>
          <w:highlight w:val="none"/>
          <w:shd w:val="clear" w:color="auto" w:fill="auto"/>
        </w:rPr>
        <w:t>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6.7澄清、说明和补正</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20" w:firstLineChars="200"/>
        <w:rPr>
          <w:rFonts w:ascii="宋体" w:hAnsi="宋体" w:cs="宋体"/>
          <w:b/>
          <w:bCs/>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6.7.5</w:t>
      </w:r>
      <w:r>
        <w:rPr>
          <w:rFonts w:hint="eastAsia" w:ascii="宋体" w:hAnsi="宋体" w:cs="宋体"/>
          <w:b/>
          <w:bCs/>
          <w:color w:val="auto"/>
          <w:kern w:val="0"/>
          <w:szCs w:val="21"/>
          <w:highlight w:val="none"/>
          <w:shd w:val="clear" w:color="auto" w:fill="auto"/>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6.7.6投标报价评分：对投标报价进行投标报价得分计算，计算方法详见评标办法前附表。</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6.7.7汇总评分结果，评分分值计算保留小数点后两位，小数点后第三位“四舍五入”。</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6.7.8详细评审工作全部结束后，投标人总得分排序按照以下原则进行。</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6.7.9按照总得分由高到低顺序对投标人进行排序；</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6.7.10总得分相同时报价低的投标人排序靠前；</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6.7.11总得分相同且报价相同的投标人，采取随机抽取方式确定排序顺序。</w:t>
      </w:r>
    </w:p>
    <w:p>
      <w:pPr>
        <w:widowControl/>
        <w:shd w:val="clear" w:color="auto" w:fill="FFFFFF"/>
        <w:snapToGrid w:val="0"/>
        <w:spacing w:line="360" w:lineRule="auto"/>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6.8推荐中标候选人及提交评标报告</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6.8.2当通过了资格审查、完备性及符合性审查后，投标人少于3个时，采购人应当依法重新招标。</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6.8.3评标委员会完成评标后，应当向采购人提交书面评标报告。</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6.8.4特殊情况的处置程序</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①关于评标活动暂停</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②关于评标中途更换评委</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除非发生下列情况之一，评标委员会成员不得在评标中途更换：</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⒈因不可抗拒的客观原因，不能到场或需在评标中途退出评标活动。</w:t>
      </w:r>
    </w:p>
    <w:p>
      <w:pPr>
        <w:widowControl/>
        <w:shd w:val="clear" w:color="auto" w:fill="FFFFFF"/>
        <w:snapToGrid w:val="0"/>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⒉根据法律法规规定，某个或某几个评标委员会成员需要回避。</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退出评标的评标委员会成员，</w:t>
      </w:r>
      <w:r>
        <w:rPr>
          <w:rFonts w:hint="eastAsia" w:ascii="宋体" w:hAnsi="宋体" w:cs="Arial"/>
          <w:color w:val="auto"/>
          <w:kern w:val="0"/>
          <w:szCs w:val="21"/>
          <w:highlight w:val="none"/>
          <w:shd w:val="clear" w:color="auto" w:fill="auto"/>
        </w:rPr>
        <w:t>其已完成的评标行为无效，由更换的评委进行评标。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在评标环节中，需评标委员会就某项定性的评审结论做出表决的，由评标委员会全体成员按照少数服从多数的原则确定。</w:t>
      </w:r>
    </w:p>
    <w:p>
      <w:pPr>
        <w:pStyle w:val="3"/>
        <w:rPr>
          <w:rFonts w:cs="Arial"/>
          <w:color w:val="auto"/>
          <w:kern w:val="0"/>
          <w:szCs w:val="21"/>
          <w:highlight w:val="none"/>
          <w:shd w:val="clear" w:color="auto" w:fill="auto"/>
        </w:rPr>
      </w:pPr>
    </w:p>
    <w:p>
      <w:pPr>
        <w:pStyle w:val="3"/>
        <w:rPr>
          <w:rFonts w:cs="Arial"/>
          <w:color w:val="auto"/>
          <w:kern w:val="0"/>
          <w:szCs w:val="21"/>
          <w:highlight w:val="none"/>
          <w:shd w:val="clear" w:color="auto" w:fill="auto"/>
        </w:rPr>
      </w:pPr>
    </w:p>
    <w:p>
      <w:pPr>
        <w:pStyle w:val="3"/>
        <w:rPr>
          <w:rFonts w:cs="Arial"/>
          <w:color w:val="auto"/>
          <w:kern w:val="0"/>
          <w:szCs w:val="21"/>
          <w:highlight w:val="none"/>
          <w:shd w:val="clear" w:color="auto" w:fill="auto"/>
        </w:rPr>
      </w:pPr>
    </w:p>
    <w:p>
      <w:pPr>
        <w:pStyle w:val="3"/>
        <w:ind w:firstLine="0"/>
        <w:rPr>
          <w:rFonts w:cs="Arial"/>
          <w:color w:val="auto"/>
          <w:kern w:val="0"/>
          <w:szCs w:val="21"/>
          <w:highlight w:val="none"/>
          <w:shd w:val="clear" w:color="auto" w:fill="auto"/>
        </w:rPr>
      </w:pPr>
    </w:p>
    <w:p>
      <w:pPr>
        <w:widowControl/>
        <w:shd w:val="clear" w:color="auto" w:fill="FFFFFF"/>
        <w:snapToGrid w:val="0"/>
        <w:spacing w:line="360" w:lineRule="auto"/>
        <w:ind w:firstLine="422" w:firstLineChars="200"/>
        <w:jc w:val="center"/>
        <w:rPr>
          <w:rFonts w:ascii="宋体" w:hAnsi="宋体"/>
          <w:b/>
          <w:color w:val="auto"/>
          <w:szCs w:val="21"/>
          <w:highlight w:val="none"/>
          <w:shd w:val="clear" w:color="auto" w:fill="auto"/>
        </w:rPr>
      </w:pPr>
    </w:p>
    <w:p>
      <w:pPr>
        <w:widowControl/>
        <w:shd w:val="clear" w:color="auto" w:fill="FFFFFF"/>
        <w:snapToGrid w:val="0"/>
        <w:spacing w:line="360" w:lineRule="auto"/>
        <w:ind w:firstLine="422" w:firstLineChars="200"/>
        <w:jc w:val="center"/>
        <w:rPr>
          <w:rFonts w:ascii="宋体" w:hAnsi="宋体"/>
          <w:b/>
          <w:color w:val="auto"/>
          <w:szCs w:val="21"/>
          <w:highlight w:val="none"/>
          <w:shd w:val="clear" w:color="auto" w:fill="auto"/>
        </w:rPr>
      </w:pPr>
    </w:p>
    <w:p>
      <w:pPr>
        <w:widowControl/>
        <w:shd w:val="clear" w:color="auto" w:fill="FFFFFF"/>
        <w:snapToGrid w:val="0"/>
        <w:spacing w:line="360" w:lineRule="auto"/>
        <w:ind w:firstLine="422" w:firstLineChars="200"/>
        <w:jc w:val="center"/>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问题澄清通知</w:t>
      </w:r>
    </w:p>
    <w:p>
      <w:pPr>
        <w:rPr>
          <w:rFonts w:ascii="宋体" w:hAnsi="宋体"/>
          <w:color w:val="auto"/>
          <w:szCs w:val="21"/>
          <w:highlight w:val="none"/>
          <w:shd w:val="clear" w:color="auto" w:fill="auto"/>
        </w:rPr>
      </w:pPr>
    </w:p>
    <w:p>
      <w:pPr>
        <w:rPr>
          <w:rFonts w:ascii="宋体" w:hAnsi="宋体" w:cs="Arial"/>
          <w:color w:val="auto"/>
          <w:kern w:val="0"/>
          <w:szCs w:val="21"/>
          <w:highlight w:val="none"/>
          <w:shd w:val="clear" w:color="auto" w:fill="auto"/>
        </w:rPr>
      </w:pPr>
      <w:r>
        <w:rPr>
          <w:rFonts w:ascii="宋体" w:hAnsi="宋体" w:cs="Arial"/>
          <w:color w:val="auto"/>
          <w:kern w:val="0"/>
          <w:szCs w:val="21"/>
          <w:highlight w:val="none"/>
          <w:u w:val="single"/>
          <w:shd w:val="clear" w:color="auto" w:fill="auto"/>
        </w:rPr>
        <w:t xml:space="preserve">                         </w:t>
      </w:r>
      <w:r>
        <w:rPr>
          <w:rFonts w:hint="eastAsia" w:ascii="宋体" w:hAnsi="宋体" w:cs="Arial"/>
          <w:color w:val="auto"/>
          <w:kern w:val="0"/>
          <w:szCs w:val="21"/>
          <w:highlight w:val="none"/>
          <w:shd w:val="clear" w:color="auto" w:fill="auto"/>
        </w:rPr>
        <w:t>（投标人名称）：</w:t>
      </w:r>
    </w:p>
    <w:p>
      <w:pPr>
        <w:pStyle w:val="7"/>
        <w:numPr>
          <w:ilvl w:val="0"/>
          <w:numId w:val="0"/>
        </w:numPr>
        <w:spacing w:line="335" w:lineRule="exact"/>
        <w:ind w:left="420" w:leftChars="200" w:firstLine="440" w:firstLine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评标委员会对你方的投标文件进行了仔细的审查，现需你方对下列问题以书面形式予以澄清、说明或补正：</w:t>
      </w:r>
    </w:p>
    <w:p>
      <w:pPr>
        <w:spacing w:line="220" w:lineRule="exact"/>
        <w:ind w:firstLine="420" w:firstLineChars="200"/>
        <w:rPr>
          <w:rFonts w:ascii="宋体" w:hAnsi="宋体"/>
          <w:color w:val="auto"/>
          <w:szCs w:val="21"/>
          <w:highlight w:val="none"/>
          <w:shd w:val="clear" w:color="auto" w:fill="auto"/>
        </w:rPr>
      </w:pPr>
    </w:p>
    <w:p>
      <w:pPr>
        <w:pStyle w:val="7"/>
        <w:numPr>
          <w:ilvl w:val="0"/>
          <w:numId w:val="0"/>
        </w:numPr>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1.</w:t>
      </w:r>
    </w:p>
    <w:p>
      <w:pPr>
        <w:spacing w:line="190" w:lineRule="exact"/>
        <w:ind w:firstLine="420" w:firstLineChars="200"/>
        <w:rPr>
          <w:rFonts w:ascii="宋体" w:hAnsi="宋体"/>
          <w:color w:val="auto"/>
          <w:szCs w:val="21"/>
          <w:highlight w:val="none"/>
          <w:shd w:val="clear" w:color="auto" w:fill="auto"/>
        </w:rPr>
      </w:pPr>
    </w:p>
    <w:p>
      <w:pPr>
        <w:pStyle w:val="7"/>
        <w:numPr>
          <w:ilvl w:val="0"/>
          <w:numId w:val="0"/>
        </w:numPr>
        <w:ind w:left="420" w:leftChars="200"/>
        <w:rPr>
          <w:rFonts w:ascii="宋体" w:hAnsi="宋体"/>
          <w:color w:val="auto"/>
          <w:sz w:val="21"/>
          <w:szCs w:val="21"/>
          <w:highlight w:val="none"/>
          <w:shd w:val="clear" w:color="auto" w:fill="auto"/>
        </w:rPr>
      </w:pPr>
      <w:r>
        <w:rPr>
          <w:rFonts w:hint="eastAsia" w:ascii="宋体" w:hAnsi="宋体" w:eastAsia="宋体"/>
          <w:color w:val="auto"/>
          <w:highlight w:val="none"/>
          <w:shd w:val="clear" w:color="auto" w:fill="auto"/>
        </w:rPr>
        <w:t>2.</w:t>
      </w:r>
    </w:p>
    <w:p>
      <w:pPr>
        <w:pStyle w:val="7"/>
        <w:numPr>
          <w:ilvl w:val="0"/>
          <w:numId w:val="0"/>
        </w:numPr>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3......</w:t>
      </w:r>
    </w:p>
    <w:p>
      <w:pPr>
        <w:ind w:firstLine="420" w:firstLineChars="200"/>
        <w:rPr>
          <w:rFonts w:ascii="宋体" w:hAnsi="宋体" w:cs="Arial"/>
          <w:color w:val="auto"/>
          <w:kern w:val="0"/>
          <w:szCs w:val="21"/>
          <w:highlight w:val="none"/>
          <w:shd w:val="clear" w:color="auto" w:fill="auto"/>
        </w:rPr>
      </w:pPr>
    </w:p>
    <w:p>
      <w:pPr>
        <w:pStyle w:val="7"/>
        <w:numPr>
          <w:ilvl w:val="0"/>
          <w:numId w:val="0"/>
        </w:numPr>
        <w:tabs>
          <w:tab w:val="left" w:pos="4603"/>
          <w:tab w:val="left" w:pos="5549"/>
          <w:tab w:val="left" w:pos="6494"/>
          <w:tab w:val="left" w:pos="7438"/>
        </w:tabs>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请将上述问题的澄清、说明或补正于</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年</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月</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日</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时前递交至</w:t>
      </w:r>
    </w:p>
    <w:p>
      <w:pPr>
        <w:spacing w:line="100" w:lineRule="exact"/>
        <w:ind w:firstLine="420" w:firstLineChars="200"/>
        <w:rPr>
          <w:rFonts w:ascii="宋体" w:hAnsi="宋体"/>
          <w:color w:val="auto"/>
          <w:szCs w:val="21"/>
          <w:highlight w:val="none"/>
          <w:shd w:val="clear" w:color="auto" w:fill="auto"/>
        </w:rPr>
      </w:pPr>
    </w:p>
    <w:p>
      <w:pPr>
        <w:pStyle w:val="7"/>
        <w:numPr>
          <w:ilvl w:val="0"/>
          <w:numId w:val="0"/>
        </w:numPr>
        <w:tabs>
          <w:tab w:val="left" w:pos="3040"/>
          <w:tab w:val="left" w:pos="7320"/>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（详细地址）或传真至</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（传真号码）或</w:t>
      </w:r>
    </w:p>
    <w:p>
      <w:pPr>
        <w:spacing w:line="100" w:lineRule="exact"/>
        <w:ind w:firstLine="420" w:firstLineChars="200"/>
        <w:rPr>
          <w:rFonts w:ascii="宋体" w:hAnsi="宋体"/>
          <w:color w:val="auto"/>
          <w:szCs w:val="21"/>
          <w:highlight w:val="none"/>
          <w:shd w:val="clear" w:color="auto" w:fill="auto"/>
        </w:rPr>
      </w:pPr>
    </w:p>
    <w:p>
      <w:pPr>
        <w:pStyle w:val="7"/>
        <w:numPr>
          <w:ilvl w:val="0"/>
          <w:numId w:val="0"/>
        </w:numPr>
        <w:tabs>
          <w:tab w:val="left" w:pos="7138"/>
          <w:tab w:val="left" w:pos="8084"/>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通过下载招标文件的电子招标交易平台上传。采用传真方式的，应在</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年</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月</w:t>
      </w:r>
    </w:p>
    <w:p>
      <w:pPr>
        <w:spacing w:line="100" w:lineRule="exact"/>
        <w:ind w:firstLine="420" w:firstLineChars="200"/>
        <w:rPr>
          <w:rFonts w:ascii="宋体" w:hAnsi="宋体"/>
          <w:color w:val="auto"/>
          <w:szCs w:val="21"/>
          <w:highlight w:val="none"/>
          <w:shd w:val="clear" w:color="auto" w:fill="auto"/>
        </w:rPr>
      </w:pPr>
    </w:p>
    <w:p>
      <w:pPr>
        <w:pStyle w:val="7"/>
        <w:numPr>
          <w:ilvl w:val="0"/>
          <w:numId w:val="0"/>
        </w:numPr>
        <w:tabs>
          <w:tab w:val="left" w:pos="837"/>
          <w:tab w:val="left" w:pos="1782"/>
          <w:tab w:val="left" w:pos="5669"/>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日</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时前将原件递交至</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（详细地址）。</w:t>
      </w: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rPr>
          <w:rFonts w:ascii="宋体" w:hAnsi="宋体" w:cs="Arial"/>
          <w:color w:val="auto"/>
          <w:kern w:val="0"/>
          <w:szCs w:val="21"/>
          <w:highlight w:val="none"/>
          <w:shd w:val="clear" w:color="auto" w:fill="auto"/>
        </w:rPr>
      </w:pPr>
    </w:p>
    <w:p>
      <w:pPr>
        <w:pStyle w:val="7"/>
        <w:numPr>
          <w:ilvl w:val="0"/>
          <w:numId w:val="0"/>
        </w:numPr>
        <w:tabs>
          <w:tab w:val="left" w:pos="7032"/>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评标委员会授权的采购人或采购代理机构：</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（签字或盖章）</w:t>
      </w:r>
    </w:p>
    <w:p>
      <w:pPr>
        <w:spacing w:line="140" w:lineRule="exact"/>
        <w:ind w:firstLine="420" w:firstLineChars="200"/>
        <w:rPr>
          <w:rFonts w:ascii="宋体" w:hAnsi="宋体"/>
          <w:color w:val="auto"/>
          <w:szCs w:val="21"/>
          <w:highlight w:val="none"/>
          <w:shd w:val="clear" w:color="auto" w:fill="auto"/>
        </w:rPr>
      </w:pPr>
    </w:p>
    <w:p>
      <w:pPr>
        <w:spacing w:line="200" w:lineRule="exact"/>
        <w:ind w:firstLine="420" w:firstLineChars="200"/>
        <w:rPr>
          <w:rFonts w:ascii="宋体" w:hAnsi="宋体"/>
          <w:color w:val="auto"/>
          <w:szCs w:val="21"/>
          <w:highlight w:val="none"/>
          <w:shd w:val="clear" w:color="auto" w:fill="auto"/>
        </w:rPr>
      </w:pPr>
    </w:p>
    <w:p>
      <w:pPr>
        <w:spacing w:line="200" w:lineRule="exact"/>
        <w:ind w:firstLine="420" w:firstLineChars="200"/>
        <w:rPr>
          <w:rFonts w:ascii="宋体" w:hAnsi="宋体"/>
          <w:color w:val="auto"/>
          <w:szCs w:val="21"/>
          <w:highlight w:val="none"/>
          <w:shd w:val="clear" w:color="auto" w:fill="auto"/>
        </w:rPr>
      </w:pPr>
    </w:p>
    <w:p>
      <w:pPr>
        <w:pStyle w:val="7"/>
        <w:numPr>
          <w:ilvl w:val="0"/>
          <w:numId w:val="0"/>
        </w:numPr>
        <w:tabs>
          <w:tab w:val="left" w:pos="5803"/>
          <w:tab w:val="left" w:pos="6746"/>
          <w:tab w:val="left" w:pos="7692"/>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年</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月</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日</w:t>
      </w:r>
    </w:p>
    <w:p>
      <w:pPr>
        <w:jc w:val="center"/>
        <w:rPr>
          <w:rFonts w:ascii="宋体" w:hAnsi="宋体"/>
          <w:b/>
          <w:color w:val="auto"/>
          <w:szCs w:val="21"/>
          <w:highlight w:val="none"/>
          <w:shd w:val="clear" w:color="auto" w:fill="auto"/>
        </w:rPr>
      </w:pPr>
    </w:p>
    <w:p>
      <w:pPr>
        <w:jc w:val="center"/>
        <w:rPr>
          <w:rFonts w:ascii="宋体" w:hAnsi="宋体"/>
          <w:b/>
          <w:color w:val="auto"/>
          <w:szCs w:val="21"/>
          <w:highlight w:val="none"/>
          <w:shd w:val="clear" w:color="auto" w:fill="auto"/>
        </w:rPr>
      </w:pPr>
    </w:p>
    <w:p>
      <w:pPr>
        <w:jc w:val="center"/>
        <w:rPr>
          <w:rFonts w:ascii="宋体" w:hAnsi="宋体"/>
          <w:b/>
          <w:color w:val="auto"/>
          <w:szCs w:val="21"/>
          <w:highlight w:val="none"/>
          <w:shd w:val="clear" w:color="auto" w:fill="auto"/>
        </w:rPr>
      </w:pPr>
    </w:p>
    <w:p>
      <w:pPr>
        <w:pStyle w:val="2"/>
        <w:rPr>
          <w:rFonts w:ascii="宋体" w:hAnsi="宋体" w:eastAsia="宋体"/>
          <w:color w:val="auto"/>
          <w:sz w:val="21"/>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pStyle w:val="3"/>
        <w:rPr>
          <w:color w:val="auto"/>
          <w:szCs w:val="21"/>
          <w:highlight w:val="none"/>
          <w:shd w:val="clear" w:color="auto" w:fill="auto"/>
        </w:rPr>
      </w:pPr>
    </w:p>
    <w:p>
      <w:pPr>
        <w:jc w:val="center"/>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问题的澄清、说明或补正</w:t>
      </w:r>
    </w:p>
    <w:p>
      <w:pPr>
        <w:rPr>
          <w:rFonts w:ascii="宋体" w:hAnsi="宋体" w:cs="Arial"/>
          <w:color w:val="auto"/>
          <w:kern w:val="0"/>
          <w:szCs w:val="21"/>
          <w:highlight w:val="none"/>
          <w:shd w:val="clear" w:color="auto" w:fill="auto"/>
        </w:rPr>
      </w:pPr>
    </w:p>
    <w:p>
      <w:pPr>
        <w:pStyle w:val="7"/>
        <w:numPr>
          <w:ilvl w:val="0"/>
          <w:numId w:val="0"/>
        </w:numPr>
        <w:tabs>
          <w:tab w:val="left" w:pos="5947"/>
        </w:tabs>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（编号：</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w:t>
      </w:r>
    </w:p>
    <w:p>
      <w:pPr>
        <w:spacing w:line="100" w:lineRule="exact"/>
        <w:ind w:firstLine="200" w:firstLineChars="200"/>
        <w:rPr>
          <w:rFonts w:ascii="宋体" w:hAnsi="宋体"/>
          <w:color w:val="auto"/>
          <w:sz w:val="10"/>
          <w:szCs w:val="1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spacing w:line="335" w:lineRule="exact"/>
        <w:ind w:left="420" w:leftChars="200" w:right="118"/>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评标委员会：</w:t>
      </w:r>
    </w:p>
    <w:p>
      <w:pPr>
        <w:spacing w:line="110" w:lineRule="exact"/>
        <w:ind w:firstLine="220" w:firstLineChars="200"/>
        <w:rPr>
          <w:rFonts w:ascii="宋体" w:hAnsi="宋体"/>
          <w:color w:val="auto"/>
          <w:sz w:val="11"/>
          <w:szCs w:val="11"/>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tabs>
          <w:tab w:val="left" w:pos="3460"/>
        </w:tabs>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问题澄清通知（编号：</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）已收悉，现澄清、说明或补正如下：</w:t>
      </w:r>
    </w:p>
    <w:p>
      <w:pPr>
        <w:spacing w:line="110" w:lineRule="exact"/>
        <w:ind w:firstLine="220" w:firstLineChars="200"/>
        <w:rPr>
          <w:rFonts w:ascii="宋体" w:hAnsi="宋体"/>
          <w:color w:val="auto"/>
          <w:sz w:val="11"/>
          <w:szCs w:val="11"/>
          <w:highlight w:val="none"/>
          <w:shd w:val="clear" w:color="auto" w:fill="auto"/>
        </w:rPr>
      </w:pPr>
    </w:p>
    <w:p>
      <w:pPr>
        <w:pStyle w:val="7"/>
        <w:numPr>
          <w:ilvl w:val="0"/>
          <w:numId w:val="0"/>
        </w:numPr>
        <w:ind w:left="420" w:leftChars="200" w:right="7027" w:firstLine="950" w:firstLineChars="500"/>
        <w:rPr>
          <w:rFonts w:ascii="宋体" w:hAnsi="宋体"/>
          <w:color w:val="auto"/>
          <w:sz w:val="19"/>
          <w:szCs w:val="19"/>
          <w:highlight w:val="none"/>
          <w:shd w:val="clear" w:color="auto" w:fill="auto"/>
        </w:rPr>
      </w:pPr>
      <w:r>
        <w:rPr>
          <w:rFonts w:hint="eastAsia" w:ascii="宋体" w:hAnsi="宋体"/>
          <w:color w:val="auto"/>
          <w:sz w:val="19"/>
          <w:szCs w:val="19"/>
          <w:highlight w:val="none"/>
          <w:shd w:val="clear" w:color="auto" w:fill="auto"/>
        </w:rPr>
        <w:t>1.</w:t>
      </w:r>
    </w:p>
    <w:p>
      <w:pPr>
        <w:pStyle w:val="7"/>
        <w:numPr>
          <w:ilvl w:val="0"/>
          <w:numId w:val="0"/>
        </w:numPr>
        <w:ind w:left="420" w:leftChars="200" w:right="7027" w:firstLine="950" w:firstLineChars="500"/>
        <w:rPr>
          <w:rFonts w:ascii="宋体" w:hAnsi="宋体" w:eastAsia="宋体"/>
          <w:color w:val="auto"/>
          <w:highlight w:val="none"/>
          <w:shd w:val="clear" w:color="auto" w:fill="auto"/>
        </w:rPr>
      </w:pPr>
      <w:r>
        <w:rPr>
          <w:rFonts w:hint="eastAsia" w:ascii="宋体" w:hAnsi="宋体"/>
          <w:color w:val="auto"/>
          <w:sz w:val="19"/>
          <w:szCs w:val="19"/>
          <w:highlight w:val="none"/>
          <w:shd w:val="clear" w:color="auto" w:fill="auto"/>
        </w:rPr>
        <w:t>2.</w:t>
      </w:r>
    </w:p>
    <w:p>
      <w:pPr>
        <w:spacing w:line="190" w:lineRule="exact"/>
        <w:ind w:firstLine="380" w:firstLineChars="200"/>
        <w:rPr>
          <w:rFonts w:ascii="宋体" w:hAnsi="宋体"/>
          <w:color w:val="auto"/>
          <w:sz w:val="19"/>
          <w:szCs w:val="19"/>
          <w:highlight w:val="none"/>
          <w:shd w:val="clear" w:color="auto" w:fill="auto"/>
        </w:rPr>
      </w:pPr>
    </w:p>
    <w:p>
      <w:pPr>
        <w:pStyle w:val="7"/>
        <w:numPr>
          <w:ilvl w:val="0"/>
          <w:numId w:val="0"/>
        </w:numPr>
        <w:ind w:left="420" w:leftChars="200" w:right="7132" w:firstLine="1100" w:firstLineChars="5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w:t>
      </w: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spacing w:line="291" w:lineRule="auto"/>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上述问题澄清、说明或补正，不改变我方投标文件的实质性内容，构成我方投标文件的组 成部分。</w:t>
      </w:r>
    </w:p>
    <w:p>
      <w:pPr>
        <w:spacing w:line="150" w:lineRule="exact"/>
        <w:ind w:firstLine="300" w:firstLineChars="200"/>
        <w:rPr>
          <w:rFonts w:ascii="宋体" w:hAnsi="宋体"/>
          <w:color w:val="auto"/>
          <w:sz w:val="15"/>
          <w:szCs w:val="15"/>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tabs>
          <w:tab w:val="left" w:pos="7382"/>
        </w:tabs>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投标人：</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（盖单位章）</w:t>
      </w: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tabs>
          <w:tab w:val="left" w:pos="7904"/>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shd w:val="clear" w:color="auto" w:fill="auto"/>
        </w:rPr>
        <w:t>法定代表人（单位负责人）或其委托代理人：</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u w:val="single" w:color="000000"/>
          <w:shd w:val="clear" w:color="auto" w:fill="auto"/>
        </w:rPr>
        <w:t>（签</w:t>
      </w:r>
      <w:r>
        <w:rPr>
          <w:rFonts w:hint="eastAsia" w:ascii="宋体" w:hAnsi="宋体" w:eastAsia="宋体"/>
          <w:color w:val="auto"/>
          <w:highlight w:val="none"/>
          <w:shd w:val="clear" w:color="auto" w:fill="auto"/>
        </w:rPr>
        <w:t>字）</w:t>
      </w:r>
    </w:p>
    <w:p>
      <w:pPr>
        <w:spacing w:line="190" w:lineRule="exact"/>
        <w:ind w:firstLine="380" w:firstLineChars="200"/>
        <w:rPr>
          <w:rFonts w:ascii="宋体" w:hAnsi="宋体"/>
          <w:color w:val="auto"/>
          <w:sz w:val="19"/>
          <w:szCs w:val="19"/>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spacing w:line="200" w:lineRule="exact"/>
        <w:ind w:firstLine="400" w:firstLineChars="200"/>
        <w:rPr>
          <w:rFonts w:ascii="宋体" w:hAnsi="宋体"/>
          <w:color w:val="auto"/>
          <w:sz w:val="20"/>
          <w:szCs w:val="20"/>
          <w:highlight w:val="none"/>
          <w:shd w:val="clear" w:color="auto" w:fill="auto"/>
        </w:rPr>
      </w:pPr>
    </w:p>
    <w:p>
      <w:pPr>
        <w:pStyle w:val="7"/>
        <w:numPr>
          <w:ilvl w:val="0"/>
          <w:numId w:val="0"/>
        </w:numPr>
        <w:tabs>
          <w:tab w:val="left" w:pos="6434"/>
          <w:tab w:val="left" w:pos="7483"/>
          <w:tab w:val="left" w:pos="8533"/>
        </w:tabs>
        <w:spacing w:line="335" w:lineRule="exact"/>
        <w:ind w:left="420" w:leftChars="200"/>
        <w:rPr>
          <w:rFonts w:ascii="宋体" w:hAnsi="宋体" w:eastAsia="宋体"/>
          <w:color w:val="auto"/>
          <w:highlight w:val="none"/>
          <w:shd w:val="clear" w:color="auto" w:fill="auto"/>
        </w:rPr>
      </w:pP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年</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月</w:t>
      </w:r>
      <w:r>
        <w:rPr>
          <w:rFonts w:hint="eastAsia" w:ascii="宋体" w:hAnsi="宋体" w:eastAsia="宋体"/>
          <w:color w:val="auto"/>
          <w:highlight w:val="none"/>
          <w:u w:val="single" w:color="000000"/>
          <w:shd w:val="clear" w:color="auto" w:fill="auto"/>
        </w:rPr>
        <w:tab/>
      </w:r>
      <w:r>
        <w:rPr>
          <w:rFonts w:hint="eastAsia" w:ascii="宋体" w:hAnsi="宋体" w:eastAsia="宋体"/>
          <w:color w:val="auto"/>
          <w:highlight w:val="none"/>
          <w:shd w:val="clear" w:color="auto" w:fill="auto"/>
        </w:rPr>
        <w:t>日</w:t>
      </w:r>
    </w:p>
    <w:p>
      <w:pPr>
        <w:pStyle w:val="3"/>
        <w:ind w:firstLine="0"/>
        <w:rPr>
          <w:color w:val="auto"/>
          <w:szCs w:val="21"/>
          <w:highlight w:val="none"/>
          <w:shd w:val="clear" w:color="auto" w:fill="auto"/>
        </w:rPr>
      </w:pPr>
    </w:p>
    <w:p>
      <w:pPr>
        <w:pStyle w:val="3"/>
        <w:ind w:firstLine="0"/>
        <w:rPr>
          <w:color w:val="auto"/>
          <w:szCs w:val="21"/>
          <w:highlight w:val="none"/>
          <w:shd w:val="clear" w:color="auto" w:fill="auto"/>
        </w:rPr>
      </w:pPr>
    </w:p>
    <w:p>
      <w:pPr>
        <w:pStyle w:val="3"/>
        <w:ind w:firstLine="0"/>
        <w:rPr>
          <w:color w:val="auto"/>
          <w:szCs w:val="21"/>
          <w:highlight w:val="none"/>
          <w:shd w:val="clear" w:color="auto" w:fill="auto"/>
        </w:rPr>
      </w:pPr>
    </w:p>
    <w:p>
      <w:pPr>
        <w:rPr>
          <w:rFonts w:ascii="宋体" w:hAnsi="宋体" w:cs="宋体"/>
          <w:b/>
          <w:color w:val="auto"/>
          <w:szCs w:val="21"/>
          <w:highlight w:val="none"/>
          <w:shd w:val="clear" w:color="auto" w:fill="auto"/>
        </w:rPr>
      </w:pPr>
      <w:bookmarkStart w:id="27" w:name="_Toc21324"/>
      <w:bookmarkStart w:id="28" w:name="_Toc19761"/>
      <w:r>
        <w:rPr>
          <w:rFonts w:hint="eastAsia" w:ascii="宋体" w:hAnsi="宋体" w:cs="宋体"/>
          <w:b/>
          <w:color w:val="auto"/>
          <w:szCs w:val="21"/>
          <w:highlight w:val="none"/>
          <w:shd w:val="clear" w:color="auto" w:fill="auto"/>
        </w:rPr>
        <w:br w:type="page"/>
      </w: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第七节 定标及合同授予</w:t>
      </w:r>
      <w:bookmarkEnd w:id="27"/>
      <w:bookmarkEnd w:id="28"/>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7</w:t>
      </w:r>
      <w:r>
        <w:rPr>
          <w:rFonts w:ascii="宋体" w:hAnsi="宋体" w:cs="Arial"/>
          <w:b/>
          <w:bCs/>
          <w:color w:val="auto"/>
          <w:kern w:val="0"/>
          <w:szCs w:val="21"/>
          <w:highlight w:val="none"/>
          <w:shd w:val="clear" w:color="auto" w:fill="auto"/>
        </w:rPr>
        <w:t xml:space="preserve">.1 </w:t>
      </w:r>
      <w:r>
        <w:rPr>
          <w:rFonts w:hint="eastAsia" w:ascii="宋体" w:hAnsi="宋体" w:cs="Arial"/>
          <w:b/>
          <w:bCs/>
          <w:color w:val="auto"/>
          <w:kern w:val="0"/>
          <w:szCs w:val="21"/>
          <w:highlight w:val="none"/>
          <w:shd w:val="clear" w:color="auto" w:fill="auto"/>
        </w:rPr>
        <w:t>定标方法</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 xml:space="preserve">.1.1 </w:t>
      </w:r>
      <w:r>
        <w:rPr>
          <w:rFonts w:hint="eastAsia" w:ascii="宋体" w:hAnsi="宋体" w:cs="Arial"/>
          <w:color w:val="auto"/>
          <w:kern w:val="0"/>
          <w:szCs w:val="21"/>
          <w:highlight w:val="none"/>
          <w:shd w:val="clear" w:color="auto" w:fill="auto"/>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Arial"/>
          <w:color w:val="auto"/>
          <w:kern w:val="0"/>
          <w:szCs w:val="21"/>
          <w:highlight w:val="none"/>
          <w:shd w:val="clear" w:color="auto" w:fill="auto"/>
        </w:rPr>
        <w:t>未通过审查的投标文件为无效标。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w:t>
      </w:r>
      <w:r>
        <w:rPr>
          <w:rFonts w:hint="eastAsia" w:ascii="宋体" w:hAnsi="宋体" w:cs="Arial"/>
          <w:color w:val="auto"/>
          <w:kern w:val="0"/>
          <w:szCs w:val="21"/>
          <w:highlight w:val="none"/>
          <w:shd w:val="clear" w:color="auto" w:fill="auto"/>
        </w:rPr>
        <w:t>经评标委员会三分之二以上组员同意对存在重大偏离的投标文件可判定为无效标。</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w:t>
      </w:r>
      <w:r>
        <w:rPr>
          <w:rFonts w:hint="eastAsia" w:ascii="宋体" w:hAnsi="宋体" w:cs="Arial"/>
          <w:color w:val="auto"/>
          <w:kern w:val="0"/>
          <w:szCs w:val="21"/>
          <w:highlight w:val="none"/>
          <w:shd w:val="clear" w:color="auto" w:fill="auto"/>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④</w:t>
      </w:r>
      <w:r>
        <w:rPr>
          <w:rFonts w:hint="eastAsia" w:ascii="宋体" w:hAnsi="宋体" w:cs="Arial"/>
          <w:color w:val="auto"/>
          <w:kern w:val="0"/>
          <w:szCs w:val="21"/>
          <w:highlight w:val="none"/>
          <w:shd w:val="clear" w:color="auto" w:fill="auto"/>
        </w:rPr>
        <w:t>评标过程出现异议的，由评标委员会共同商讨决定，需要投标人澄清的，评标委员会将以书面形式通知投标人。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2</w:t>
      </w:r>
      <w:r>
        <w:rPr>
          <w:rFonts w:ascii="宋体" w:hAnsi="宋体" w:cs="Arial"/>
          <w:color w:val="auto"/>
          <w:kern w:val="0"/>
          <w:szCs w:val="21"/>
          <w:highlight w:val="none"/>
          <w:shd w:val="clear" w:color="auto" w:fill="auto"/>
        </w:rPr>
        <w:t xml:space="preserve"> </w:t>
      </w:r>
      <w:r>
        <w:rPr>
          <w:rFonts w:hint="eastAsia" w:ascii="宋体" w:hAnsi="宋体" w:cs="宋体"/>
          <w:color w:val="auto"/>
          <w:szCs w:val="21"/>
          <w:highlight w:val="none"/>
          <w:shd w:val="clear" w:color="auto" w:fill="auto"/>
        </w:rPr>
        <w:t>评标委员会按综合得分高低推荐中标候选人或者确定中标人，得分相同的，以报价低的为优先中标候选人。</w:t>
      </w:r>
      <w:r>
        <w:rPr>
          <w:rFonts w:hint="eastAsia" w:ascii="宋体" w:hAnsi="宋体" w:cs="Arial"/>
          <w:color w:val="auto"/>
          <w:kern w:val="0"/>
          <w:szCs w:val="21"/>
          <w:highlight w:val="none"/>
          <w:shd w:val="clear" w:color="auto" w:fill="auto"/>
        </w:rPr>
        <w:t xml:space="preserve"> </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3</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评标委员会认为</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4</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如成交候选投标人被确认为不具备执行合同的能力，采购人将考虑按同样的程序审查下一个</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 xml:space="preserve">候选人。 </w:t>
      </w:r>
    </w:p>
    <w:p>
      <w:pPr>
        <w:widowControl/>
        <w:shd w:val="clear" w:color="auto" w:fill="FFFFFF"/>
        <w:snapToGrid w:val="0"/>
        <w:spacing w:line="360" w:lineRule="auto"/>
        <w:ind w:firstLine="420" w:firstLineChars="200"/>
        <w:rPr>
          <w:rFonts w:ascii="宋体" w:hAnsi="宋体" w:cs="Arial"/>
          <w:b/>
          <w:bCs/>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5</w:t>
      </w:r>
      <w:r>
        <w:rPr>
          <w:rFonts w:ascii="宋体" w:hAnsi="宋体" w:cs="Arial"/>
          <w:color w:val="auto"/>
          <w:kern w:val="0"/>
          <w:szCs w:val="21"/>
          <w:highlight w:val="none"/>
          <w:shd w:val="clear" w:color="auto" w:fill="auto"/>
        </w:rPr>
        <w:t xml:space="preserve"> </w:t>
      </w:r>
      <w:r>
        <w:rPr>
          <w:rFonts w:hint="eastAsia" w:ascii="宋体" w:hAnsi="宋体" w:cs="Arial"/>
          <w:b/>
          <w:bCs/>
          <w:color w:val="auto"/>
          <w:kern w:val="0"/>
          <w:szCs w:val="21"/>
          <w:highlight w:val="none"/>
          <w:shd w:val="clear" w:color="auto" w:fill="auto"/>
        </w:rPr>
        <w:t>对未成交的供应企业不作未成交原因的解释</w:t>
      </w:r>
      <w:r>
        <w:rPr>
          <w:rFonts w:hint="eastAsia" w:ascii="宋体" w:hAnsi="宋体" w:cs="Arial"/>
          <w:color w:val="auto"/>
          <w:kern w:val="0"/>
          <w:szCs w:val="21"/>
          <w:highlight w:val="none"/>
          <w:shd w:val="clear" w:color="auto" w:fill="auto"/>
        </w:rPr>
        <w:t>。</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7</w:t>
      </w:r>
      <w:r>
        <w:rPr>
          <w:rFonts w:ascii="宋体" w:hAnsi="宋体" w:cs="Arial"/>
          <w:b/>
          <w:bCs/>
          <w:color w:val="auto"/>
          <w:kern w:val="0"/>
          <w:szCs w:val="21"/>
          <w:highlight w:val="none"/>
          <w:shd w:val="clear" w:color="auto" w:fill="auto"/>
        </w:rPr>
        <w:t xml:space="preserve">.2 </w:t>
      </w:r>
      <w:r>
        <w:rPr>
          <w:rFonts w:hint="eastAsia" w:ascii="宋体" w:hAnsi="宋体" w:cs="Arial"/>
          <w:b/>
          <w:bCs/>
          <w:color w:val="auto"/>
          <w:kern w:val="0"/>
          <w:szCs w:val="21"/>
          <w:highlight w:val="none"/>
          <w:shd w:val="clear" w:color="auto" w:fill="auto"/>
        </w:rPr>
        <w:t>中标候选人公示</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在中标通知书发出前，中标候选人的情况将在招标公告发布的媒体上公示，公示期为1个工作日。</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7</w:t>
      </w:r>
      <w:r>
        <w:rPr>
          <w:rFonts w:ascii="宋体" w:hAnsi="宋体" w:cs="Arial"/>
          <w:b/>
          <w:bCs/>
          <w:color w:val="auto"/>
          <w:kern w:val="0"/>
          <w:szCs w:val="21"/>
          <w:highlight w:val="none"/>
          <w:shd w:val="clear" w:color="auto" w:fill="auto"/>
        </w:rPr>
        <w:t xml:space="preserve">.3 </w:t>
      </w:r>
      <w:r>
        <w:rPr>
          <w:rFonts w:hint="eastAsia" w:ascii="宋体" w:hAnsi="宋体" w:cs="Arial"/>
          <w:b/>
          <w:bCs/>
          <w:color w:val="auto"/>
          <w:kern w:val="0"/>
          <w:szCs w:val="21"/>
          <w:highlight w:val="none"/>
          <w:shd w:val="clear" w:color="auto" w:fill="auto"/>
        </w:rPr>
        <w:t>中标通知</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hAnsi="宋体" w:cs="Arial"/>
          <w:b/>
          <w:bCs/>
          <w:color w:val="auto"/>
          <w:kern w:val="0"/>
          <w:szCs w:val="21"/>
          <w:highlight w:val="none"/>
          <w:shd w:val="clear" w:color="auto" w:fill="auto"/>
        </w:rPr>
      </w:pPr>
      <w:r>
        <w:rPr>
          <w:rFonts w:hint="eastAsia" w:ascii="宋体" w:hAnsi="宋体" w:cs="Arial"/>
          <w:b/>
          <w:bCs/>
          <w:color w:val="auto"/>
          <w:kern w:val="0"/>
          <w:szCs w:val="21"/>
          <w:highlight w:val="none"/>
          <w:shd w:val="clear" w:color="auto" w:fill="auto"/>
        </w:rPr>
        <w:t>7</w:t>
      </w:r>
      <w:r>
        <w:rPr>
          <w:rFonts w:ascii="宋体" w:hAnsi="宋体" w:cs="Arial"/>
          <w:b/>
          <w:bCs/>
          <w:color w:val="auto"/>
          <w:kern w:val="0"/>
          <w:szCs w:val="21"/>
          <w:highlight w:val="none"/>
          <w:shd w:val="clear" w:color="auto" w:fill="auto"/>
        </w:rPr>
        <w:t xml:space="preserve">.4 </w:t>
      </w:r>
      <w:r>
        <w:rPr>
          <w:rFonts w:hint="eastAsia" w:ascii="宋体" w:hAnsi="宋体" w:cs="Arial"/>
          <w:b/>
          <w:bCs/>
          <w:color w:val="auto"/>
          <w:kern w:val="0"/>
          <w:szCs w:val="21"/>
          <w:highlight w:val="none"/>
          <w:shd w:val="clear" w:color="auto" w:fill="auto"/>
        </w:rPr>
        <w:t>履约保证金</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 xml:space="preserve">.4.1 </w:t>
      </w:r>
      <w:r>
        <w:rPr>
          <w:rFonts w:hint="eastAsia" w:ascii="宋体" w:hAnsi="宋体" w:cs="Arial"/>
          <w:color w:val="auto"/>
          <w:kern w:val="0"/>
          <w:szCs w:val="21"/>
          <w:highlight w:val="none"/>
          <w:shd w:val="clear" w:color="auto" w:fill="auto"/>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 xml:space="preserve">.4.2 </w:t>
      </w:r>
      <w:r>
        <w:rPr>
          <w:rFonts w:hint="eastAsia" w:ascii="宋体" w:hAnsi="宋体" w:cs="Arial"/>
          <w:color w:val="auto"/>
          <w:kern w:val="0"/>
          <w:szCs w:val="21"/>
          <w:highlight w:val="none"/>
          <w:shd w:val="clear" w:color="auto" w:fill="auto"/>
        </w:rPr>
        <w:t>中标人不能按第二章投标人须知前附表中第14条要求提交履约保证金的，视为放弃中标，其投标保证金不予退还；给采购人造成的损失超过投标保证金数额的，中标人还应当对超过部分予以赔偿。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 xml:space="preserve">.5 </w:t>
      </w:r>
      <w:r>
        <w:rPr>
          <w:rFonts w:hint="eastAsia" w:ascii="宋体" w:hAnsi="宋体" w:cs="Arial"/>
          <w:color w:val="auto"/>
          <w:kern w:val="0"/>
          <w:szCs w:val="21"/>
          <w:highlight w:val="none"/>
          <w:shd w:val="clear" w:color="auto" w:fill="auto"/>
        </w:rPr>
        <w:t>签订合同</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bookmarkStart w:id="29" w:name="_BookMark_11"/>
      <w:bookmarkEnd w:id="29"/>
      <w:r>
        <w:rPr>
          <w:rFonts w:hint="eastAsia" w:ascii="宋体" w:hAnsi="宋体" w:cs="Arial"/>
          <w:color w:val="auto"/>
          <w:kern w:val="0"/>
          <w:szCs w:val="21"/>
          <w:highlight w:val="none"/>
          <w:shd w:val="clear" w:color="auto" w:fill="auto"/>
        </w:rPr>
        <w:t>7</w:t>
      </w:r>
      <w:r>
        <w:rPr>
          <w:rFonts w:ascii="宋体" w:hAnsi="宋体" w:cs="Arial"/>
          <w:color w:val="auto"/>
          <w:kern w:val="0"/>
          <w:szCs w:val="21"/>
          <w:highlight w:val="none"/>
          <w:shd w:val="clear" w:color="auto" w:fill="auto"/>
        </w:rPr>
        <w:t>.5.1</w:t>
      </w:r>
      <w:r>
        <w:rPr>
          <w:rFonts w:hint="eastAsia" w:ascii="宋体" w:hAnsi="宋体" w:cs="Arial"/>
          <w:color w:val="auto"/>
          <w:kern w:val="0"/>
          <w:szCs w:val="21"/>
          <w:highlight w:val="none"/>
          <w:shd w:val="clear" w:color="auto" w:fill="auto"/>
        </w:rPr>
        <w:t>采购人和</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企业应当自中标通知书发出之日起30日内，按照招标文件和</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企业的投标文件订立书面合同。所签订的合同不得对招标文件确定的事项和</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企业投标文件作实质性修改。采购人不得向</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企业提出任何不合理的要求及私下订立背离合同实质性内容的协议作为签订合同的条件。招标文件、</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企业的投标文件及评标过程中有关澄清等文件作为合同附件。</w:t>
      </w:r>
    </w:p>
    <w:p>
      <w:pPr>
        <w:widowControl/>
        <w:shd w:val="clear" w:color="auto" w:fill="FFFFFF"/>
        <w:snapToGrid w:val="0"/>
        <w:spacing w:line="360" w:lineRule="auto"/>
        <w:ind w:firstLine="420" w:firstLineChars="200"/>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7.5.2</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企业因不可抗力或自身原因不能签订协议合同或者不能履行合同的，采购人可以按成交候选顺序确定新的</w:t>
      </w:r>
      <w:r>
        <w:rPr>
          <w:rFonts w:hint="eastAsia" w:ascii="宋体" w:hAnsi="宋体" w:cs="宋体"/>
          <w:color w:val="auto"/>
          <w:szCs w:val="21"/>
          <w:highlight w:val="none"/>
          <w:shd w:val="clear" w:color="auto" w:fill="auto"/>
        </w:rPr>
        <w:t>中标</w:t>
      </w:r>
      <w:r>
        <w:rPr>
          <w:rFonts w:hint="eastAsia" w:ascii="宋体" w:hAnsi="宋体" w:cs="Arial"/>
          <w:color w:val="auto"/>
          <w:kern w:val="0"/>
          <w:szCs w:val="21"/>
          <w:highlight w:val="none"/>
          <w:shd w:val="clear" w:color="auto" w:fill="auto"/>
        </w:rPr>
        <w:t>供应企业并签订合同，依次类推，或重新进行采购。</w:t>
      </w:r>
    </w:p>
    <w:p>
      <w:pPr>
        <w:spacing w:line="360" w:lineRule="auto"/>
        <w:rPr>
          <w:rFonts w:ascii="宋体" w:hAnsi="宋体" w:cs="宋体"/>
          <w:color w:val="auto"/>
          <w:szCs w:val="21"/>
          <w:highlight w:val="none"/>
          <w:shd w:val="clear" w:color="auto" w:fill="auto"/>
        </w:rPr>
      </w:pPr>
    </w:p>
    <w:p>
      <w:pPr>
        <w:widowControl/>
        <w:shd w:val="clear" w:color="auto" w:fill="FFFFFF"/>
        <w:snapToGrid w:val="0"/>
        <w:spacing w:line="360" w:lineRule="auto"/>
        <w:ind w:firstLine="422" w:firstLineChars="200"/>
        <w:rPr>
          <w:rFonts w:ascii="宋体" w:hAnsi="宋体" w:cs="宋体"/>
          <w:b/>
          <w:color w:val="auto"/>
          <w:szCs w:val="21"/>
          <w:highlight w:val="none"/>
          <w:shd w:val="clear" w:color="auto" w:fill="auto"/>
        </w:rPr>
      </w:pPr>
      <w:bookmarkStart w:id="30" w:name="_BookMark_12"/>
      <w:bookmarkEnd w:id="30"/>
    </w:p>
    <w:p>
      <w:pP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br w:type="page"/>
      </w: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31" w:name="_Toc26112"/>
      <w:r>
        <w:rPr>
          <w:rFonts w:hint="eastAsia" w:ascii="宋体" w:hAnsi="宋体" w:cs="宋体"/>
          <w:b/>
          <w:color w:val="auto"/>
          <w:szCs w:val="21"/>
          <w:highlight w:val="none"/>
          <w:shd w:val="clear" w:color="auto" w:fill="auto"/>
        </w:rPr>
        <w:t>第八节 合同条款及格式</w:t>
      </w:r>
      <w:bookmarkEnd w:id="31"/>
    </w:p>
    <w:p>
      <w:pPr>
        <w:widowControl/>
        <w:spacing w:before="240" w:line="360" w:lineRule="auto"/>
        <w:jc w:val="center"/>
        <w:rPr>
          <w:rFonts w:ascii="宋体" w:hAnsi="宋体" w:cs="楷体_GB2312"/>
          <w:b/>
          <w:bCs/>
          <w:color w:val="auto"/>
          <w:kern w:val="0"/>
          <w:szCs w:val="21"/>
          <w:highlight w:val="none"/>
          <w:shd w:val="clear" w:color="auto" w:fill="auto"/>
        </w:rPr>
      </w:pPr>
    </w:p>
    <w:p>
      <w:pPr>
        <w:widowControl/>
        <w:spacing w:before="240" w:line="360" w:lineRule="auto"/>
        <w:jc w:val="center"/>
        <w:rPr>
          <w:rFonts w:ascii="宋体" w:hAnsi="宋体" w:cs="楷体_GB2312"/>
          <w:b/>
          <w:bCs/>
          <w:color w:val="auto"/>
          <w:kern w:val="0"/>
          <w:szCs w:val="21"/>
          <w:highlight w:val="none"/>
          <w:shd w:val="clear" w:color="auto" w:fill="auto"/>
        </w:rPr>
      </w:pPr>
    </w:p>
    <w:p>
      <w:pPr>
        <w:widowControl/>
        <w:spacing w:before="240" w:line="360" w:lineRule="auto"/>
        <w:jc w:val="center"/>
        <w:rPr>
          <w:rFonts w:ascii="宋体" w:hAnsi="宋体" w:cs="楷体_GB2312"/>
          <w:b/>
          <w:bCs/>
          <w:color w:val="auto"/>
          <w:kern w:val="0"/>
          <w:sz w:val="36"/>
          <w:szCs w:val="36"/>
          <w:highlight w:val="none"/>
          <w:shd w:val="clear" w:color="auto" w:fill="auto"/>
        </w:rPr>
      </w:pPr>
      <w:r>
        <w:rPr>
          <w:rFonts w:hint="eastAsia" w:ascii="宋体" w:hAnsi="宋体" w:cs="楷体_GB2312"/>
          <w:b/>
          <w:bCs/>
          <w:color w:val="auto"/>
          <w:kern w:val="0"/>
          <w:sz w:val="36"/>
          <w:szCs w:val="36"/>
          <w:highlight w:val="none"/>
          <w:shd w:val="clear" w:color="auto" w:fill="auto"/>
        </w:rPr>
        <w:t>采购合同</w:t>
      </w:r>
    </w:p>
    <w:p>
      <w:pPr>
        <w:pStyle w:val="7"/>
        <w:numPr>
          <w:ilvl w:val="0"/>
          <w:numId w:val="0"/>
        </w:numPr>
        <w:rPr>
          <w:rFonts w:ascii="宋体" w:hAnsi="宋体" w:eastAsia="宋体"/>
          <w:color w:val="auto"/>
          <w:sz w:val="21"/>
          <w:szCs w:val="21"/>
          <w:highlight w:val="none"/>
          <w:shd w:val="clear" w:color="auto" w:fill="auto"/>
        </w:rPr>
      </w:pPr>
    </w:p>
    <w:p>
      <w:pPr>
        <w:pStyle w:val="7"/>
        <w:numPr>
          <w:ilvl w:val="0"/>
          <w:numId w:val="0"/>
        </w:numPr>
        <w:jc w:val="center"/>
        <w:rPr>
          <w:rFonts w:ascii="宋体" w:hAnsi="宋体" w:eastAsia="宋体" w:cs="宋体"/>
          <w:color w:val="auto"/>
          <w:kern w:val="0"/>
          <w:sz w:val="21"/>
          <w:szCs w:val="21"/>
          <w:highlight w:val="none"/>
          <w:shd w:val="clear" w:color="auto" w:fill="auto"/>
        </w:rPr>
      </w:pPr>
    </w:p>
    <w:p>
      <w:pPr>
        <w:pStyle w:val="7"/>
        <w:numPr>
          <w:ilvl w:val="0"/>
          <w:numId w:val="0"/>
        </w:numPr>
        <w:jc w:val="center"/>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2023年度伊犁州重大动物疫病强制免疫用疫苗、常规动物疫病免疫用疫苗以及吡喹酮咀嚼片（犬驱虫药）采购项目</w:t>
      </w:r>
    </w:p>
    <w:p>
      <w:pPr>
        <w:pStyle w:val="7"/>
        <w:numPr>
          <w:ilvl w:val="0"/>
          <w:numId w:val="0"/>
        </w:numPr>
        <w:jc w:val="cente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Arial"/>
          <w:color w:val="auto"/>
          <w:kern w:val="0"/>
          <w:sz w:val="21"/>
          <w:szCs w:val="21"/>
          <w:highlight w:val="none"/>
          <w:shd w:val="clear" w:color="auto" w:fill="auto"/>
        </w:rPr>
      </w:pPr>
    </w:p>
    <w:p>
      <w:pPr>
        <w:widowControl/>
        <w:spacing w:line="360" w:lineRule="auto"/>
        <w:jc w:val="left"/>
        <w:rPr>
          <w:rFonts w:ascii="宋体" w:hAnsi="宋体" w:cs="宋体"/>
          <w:color w:val="auto"/>
          <w:kern w:val="0"/>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ind w:firstLine="1680" w:firstLineChars="800"/>
        <w:rPr>
          <w:rFonts w:ascii="宋体" w:hAnsi="宋体" w:eastAsia="宋体" w:cs="宋体"/>
          <w:color w:val="auto"/>
          <w:kern w:val="0"/>
          <w:sz w:val="21"/>
          <w:szCs w:val="21"/>
          <w:highlight w:val="none"/>
          <w:shd w:val="clear" w:color="auto" w:fill="auto"/>
        </w:rPr>
      </w:pPr>
    </w:p>
    <w:p>
      <w:pPr>
        <w:widowControl/>
        <w:spacing w:line="360" w:lineRule="auto"/>
        <w:ind w:firstLine="1680" w:firstLineChars="800"/>
        <w:jc w:val="left"/>
        <w:rPr>
          <w:rFonts w:ascii="宋体" w:hAnsi="宋体" w:cs="宋体"/>
          <w:color w:val="auto"/>
          <w:kern w:val="0"/>
          <w:szCs w:val="21"/>
          <w:highlight w:val="none"/>
          <w:u w:val="single"/>
          <w:shd w:val="clear" w:color="auto" w:fill="auto"/>
        </w:rPr>
      </w:pPr>
      <w:r>
        <w:rPr>
          <w:rFonts w:hint="eastAsia" w:ascii="宋体" w:hAnsi="宋体" w:cs="宋体"/>
          <w:color w:val="auto"/>
          <w:kern w:val="0"/>
          <w:szCs w:val="21"/>
          <w:highlight w:val="none"/>
          <w:shd w:val="clear" w:color="auto" w:fill="auto"/>
        </w:rPr>
        <w:t>采购方：</w:t>
      </w:r>
      <w:r>
        <w:rPr>
          <w:rFonts w:hint="eastAsia" w:ascii="宋体" w:hAnsi="宋体" w:cs="宋体"/>
          <w:color w:val="auto"/>
          <w:kern w:val="0"/>
          <w:szCs w:val="21"/>
          <w:highlight w:val="none"/>
          <w:u w:val="single"/>
          <w:shd w:val="clear" w:color="auto" w:fill="auto"/>
        </w:rPr>
        <w:t>伊犁哈萨克自治州动物疾病控制与诊断中心</w:t>
      </w:r>
      <w:r>
        <w:rPr>
          <w:rFonts w:hint="eastAsia" w:ascii="宋体" w:hAnsi="宋体" w:cs="宋体"/>
          <w:color w:val="auto"/>
          <w:kern w:val="0"/>
          <w:szCs w:val="21"/>
          <w:highlight w:val="none"/>
          <w:shd w:val="clear" w:color="auto" w:fill="auto"/>
        </w:rPr>
        <w:t xml:space="preserve">（以下简称甲方） </w:t>
      </w:r>
    </w:p>
    <w:p>
      <w:pPr>
        <w:widowControl/>
        <w:spacing w:line="360" w:lineRule="auto"/>
        <w:ind w:firstLine="1680" w:firstLineChars="80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联系电话：</w:t>
      </w:r>
      <w:r>
        <w:rPr>
          <w:rFonts w:hint="eastAsia" w:ascii="宋体" w:hAnsi="宋体" w:cs="宋体"/>
          <w:color w:val="auto"/>
          <w:kern w:val="0"/>
          <w:szCs w:val="21"/>
          <w:highlight w:val="none"/>
          <w:u w:val="single"/>
          <w:shd w:val="clear" w:color="auto" w:fill="auto"/>
        </w:rPr>
        <w:t xml:space="preserve">13369995355                 </w:t>
      </w:r>
      <w:r>
        <w:rPr>
          <w:rFonts w:hint="eastAsia" w:ascii="宋体" w:hAnsi="宋体" w:cs="宋体"/>
          <w:color w:val="auto"/>
          <w:kern w:val="0"/>
          <w:szCs w:val="21"/>
          <w:highlight w:val="none"/>
          <w:shd w:val="clear" w:color="auto" w:fill="auto"/>
        </w:rPr>
        <w:t xml:space="preserve">   </w:t>
      </w:r>
    </w:p>
    <w:p>
      <w:pPr>
        <w:pStyle w:val="7"/>
        <w:numPr>
          <w:ilvl w:val="0"/>
          <w:numId w:val="0"/>
        </w:numPr>
        <w:spacing w:line="360" w:lineRule="auto"/>
        <w:ind w:firstLine="1680" w:firstLineChars="800"/>
        <w:rPr>
          <w:rFonts w:ascii="宋体" w:hAnsi="宋体" w:eastAsia="宋体" w:cs="宋体"/>
          <w:color w:val="auto"/>
          <w:kern w:val="0"/>
          <w:sz w:val="21"/>
          <w:szCs w:val="21"/>
          <w:highlight w:val="none"/>
          <w:shd w:val="clear" w:color="auto" w:fill="auto"/>
        </w:rPr>
      </w:pPr>
    </w:p>
    <w:p>
      <w:pPr>
        <w:pStyle w:val="7"/>
        <w:numPr>
          <w:ilvl w:val="0"/>
          <w:numId w:val="0"/>
        </w:numPr>
        <w:spacing w:line="360" w:lineRule="auto"/>
        <w:ind w:firstLine="1680" w:firstLineChars="800"/>
        <w:rPr>
          <w:rFonts w:ascii="宋体" w:hAnsi="宋体" w:eastAsia="宋体" w:cs="宋体"/>
          <w:color w:val="auto"/>
          <w:kern w:val="0"/>
          <w:sz w:val="21"/>
          <w:szCs w:val="21"/>
          <w:highlight w:val="none"/>
          <w:u w:val="single"/>
          <w:shd w:val="clear" w:color="auto" w:fill="auto"/>
        </w:rPr>
      </w:pPr>
      <w:r>
        <w:rPr>
          <w:rFonts w:hint="eastAsia" w:ascii="宋体" w:hAnsi="宋体" w:eastAsia="宋体" w:cs="宋体"/>
          <w:color w:val="auto"/>
          <w:kern w:val="0"/>
          <w:sz w:val="21"/>
          <w:szCs w:val="21"/>
          <w:highlight w:val="none"/>
          <w:shd w:val="clear" w:color="auto" w:fill="auto"/>
        </w:rPr>
        <w:t>供货方：</w:t>
      </w:r>
      <w:r>
        <w:rPr>
          <w:rFonts w:hint="eastAsia" w:ascii="宋体" w:hAnsi="宋体" w:eastAsia="宋体" w:cs="宋体"/>
          <w:color w:val="auto"/>
          <w:kern w:val="0"/>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shd w:val="clear" w:color="auto" w:fill="auto"/>
        </w:rPr>
        <w:t xml:space="preserve">（以下简称乙方） </w:t>
      </w:r>
    </w:p>
    <w:p>
      <w:pPr>
        <w:pStyle w:val="7"/>
        <w:numPr>
          <w:ilvl w:val="0"/>
          <w:numId w:val="0"/>
        </w:numPr>
        <w:spacing w:line="360" w:lineRule="auto"/>
        <w:ind w:firstLine="1680" w:firstLineChars="800"/>
        <w:rPr>
          <w:rFonts w:ascii="宋体" w:hAnsi="宋体" w:eastAsia="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w:t>
      </w:r>
      <w:r>
        <w:rPr>
          <w:rFonts w:hint="eastAsia" w:ascii="宋体" w:hAnsi="宋体" w:eastAsia="宋体" w:cs="宋体"/>
          <w:color w:val="auto"/>
          <w:kern w:val="0"/>
          <w:sz w:val="21"/>
          <w:szCs w:val="21"/>
          <w:highlight w:val="none"/>
          <w:u w:val="single"/>
          <w:shd w:val="clear" w:color="auto" w:fill="auto"/>
        </w:rPr>
        <w:t xml:space="preserve">                             </w:t>
      </w:r>
      <w:r>
        <w:rPr>
          <w:rFonts w:hint="eastAsia" w:ascii="宋体" w:hAnsi="宋体" w:eastAsia="宋体" w:cs="宋体"/>
          <w:color w:val="auto"/>
          <w:kern w:val="0"/>
          <w:sz w:val="21"/>
          <w:szCs w:val="21"/>
          <w:highlight w:val="none"/>
          <w:shd w:val="clear" w:color="auto" w:fill="auto"/>
        </w:rPr>
        <w:t xml:space="preserve"> </w:t>
      </w:r>
    </w:p>
    <w:p>
      <w:pPr>
        <w:pStyle w:val="7"/>
        <w:numPr>
          <w:ilvl w:val="0"/>
          <w:numId w:val="0"/>
        </w:numPr>
        <w:spacing w:line="360" w:lineRule="auto"/>
        <w:ind w:firstLine="1680" w:firstLineChars="800"/>
        <w:rPr>
          <w:rFonts w:ascii="宋体" w:hAnsi="宋体" w:eastAsia="宋体" w:cs="宋体"/>
          <w:color w:val="auto"/>
          <w:kern w:val="0"/>
          <w:sz w:val="21"/>
          <w:szCs w:val="21"/>
          <w:highlight w:val="none"/>
          <w:shd w:val="clear" w:color="auto" w:fill="auto"/>
        </w:rPr>
      </w:pPr>
    </w:p>
    <w:p>
      <w:pPr>
        <w:pStyle w:val="7"/>
        <w:numPr>
          <w:ilvl w:val="0"/>
          <w:numId w:val="0"/>
        </w:numPr>
        <w:spacing w:line="360" w:lineRule="auto"/>
        <w:ind w:firstLine="1680" w:firstLineChars="800"/>
        <w:rPr>
          <w:rFonts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项目标段号：</w:t>
      </w:r>
      <w:r>
        <w:rPr>
          <w:rFonts w:hint="eastAsia" w:ascii="宋体" w:hAnsi="宋体" w:eastAsia="宋体" w:cs="宋体"/>
          <w:color w:val="auto"/>
          <w:kern w:val="0"/>
          <w:sz w:val="21"/>
          <w:szCs w:val="21"/>
          <w:highlight w:val="none"/>
          <w:u w:val="single"/>
          <w:shd w:val="clear" w:color="auto" w:fill="auto"/>
        </w:rPr>
        <w:t xml:space="preserve">                            </w:t>
      </w:r>
    </w:p>
    <w:p>
      <w:pPr>
        <w:pStyle w:val="7"/>
        <w:numPr>
          <w:ilvl w:val="0"/>
          <w:numId w:val="0"/>
        </w:numPr>
        <w:spacing w:line="360" w:lineRule="auto"/>
        <w:ind w:firstLine="1680" w:firstLineChars="800"/>
        <w:rPr>
          <w:rFonts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项目编号：</w:t>
      </w:r>
      <w:r>
        <w:rPr>
          <w:rFonts w:hint="eastAsia" w:ascii="宋体" w:hAnsi="宋体" w:eastAsia="宋体" w:cs="宋体"/>
          <w:color w:val="auto"/>
          <w:kern w:val="0"/>
          <w:sz w:val="21"/>
          <w:szCs w:val="21"/>
          <w:highlight w:val="none"/>
          <w:u w:val="single"/>
          <w:shd w:val="clear" w:color="auto" w:fill="auto"/>
        </w:rPr>
        <w:t xml:space="preserve">                              </w:t>
      </w:r>
    </w:p>
    <w:p>
      <w:pPr>
        <w:widowControl/>
        <w:spacing w:line="360" w:lineRule="auto"/>
        <w:ind w:firstLine="1680" w:firstLineChars="8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签订日期：</w:t>
      </w:r>
      <w:r>
        <w:rPr>
          <w:rFonts w:hint="eastAsia" w:ascii="宋体" w:hAnsi="宋体" w:cs="宋体"/>
          <w:color w:val="auto"/>
          <w:kern w:val="0"/>
          <w:szCs w:val="21"/>
          <w:highlight w:val="none"/>
          <w:u w:val="single"/>
          <w:shd w:val="clear" w:color="auto" w:fill="auto"/>
        </w:rPr>
        <w:t xml:space="preserve">                              </w:t>
      </w: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0"/>
        </w:numPr>
        <w:rPr>
          <w:rFonts w:ascii="宋体" w:hAnsi="宋体" w:eastAsia="宋体" w:cs="宋体"/>
          <w:color w:val="auto"/>
          <w:kern w:val="0"/>
          <w:sz w:val="21"/>
          <w:szCs w:val="21"/>
          <w:highlight w:val="none"/>
          <w:shd w:val="clear" w:color="auto" w:fill="auto"/>
        </w:rPr>
      </w:pPr>
    </w:p>
    <w:p>
      <w:pPr>
        <w:pStyle w:val="7"/>
        <w:numPr>
          <w:ilvl w:val="0"/>
          <w:numId w:val="3"/>
        </w:numPr>
        <w:jc w:val="center"/>
        <w:rPr>
          <w:rFonts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 xml:space="preserve"> 通用条款</w:t>
      </w:r>
    </w:p>
    <w:p>
      <w:pPr>
        <w:pStyle w:val="7"/>
        <w:numPr>
          <w:ilvl w:val="0"/>
          <w:numId w:val="0"/>
        </w:numPr>
        <w:ind w:left="360"/>
        <w:rPr>
          <w:rFonts w:ascii="宋体" w:hAnsi="宋体" w:eastAsia="宋体" w:cs="宋体"/>
          <w:color w:val="auto"/>
          <w:kern w:val="0"/>
          <w:sz w:val="21"/>
          <w:szCs w:val="21"/>
          <w:highlight w:val="none"/>
          <w:shd w:val="clear" w:color="auto" w:fill="auto"/>
        </w:rPr>
      </w:pPr>
    </w:p>
    <w:p>
      <w:pPr>
        <w:pStyle w:val="7"/>
        <w:numPr>
          <w:ilvl w:val="0"/>
          <w:numId w:val="0"/>
        </w:numPr>
        <w:ind w:left="360"/>
        <w:rPr>
          <w:rFonts w:ascii="宋体" w:hAnsi="宋体" w:eastAsia="宋体" w:cs="宋体"/>
          <w:color w:val="auto"/>
          <w:kern w:val="0"/>
          <w:sz w:val="21"/>
          <w:szCs w:val="21"/>
          <w:highlight w:val="none"/>
          <w:shd w:val="clear" w:color="auto" w:fill="auto"/>
        </w:rPr>
      </w:pP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ind w:firstLine="422" w:firstLineChars="200"/>
        <w:rPr>
          <w:rFonts w:ascii="宋体" w:hAnsi="宋体" w:cs="宋体"/>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一、甲方的权利和义务</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1.甲方组织本次采购活动，应当符合采购价格低于市场平均价格、采购效率更高、采购质量优良和服务良好的要求。</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2.甲方就本项目的任何或全部事项相关的活动或行为，均应当严格遵循公开透明原则、公平竞争原则、公正原则和诚实信用原则。</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乙方名单。</w:t>
      </w:r>
    </w:p>
    <w:p>
      <w:pPr>
        <w:widowControl/>
        <w:spacing w:line="360" w:lineRule="auto"/>
        <w:ind w:firstLine="422" w:firstLineChars="200"/>
        <w:rPr>
          <w:rFonts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二、乙方的权利和义务</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 乙方在通过本次2023年度伊犁州重大动物疫病强制免疫用疫苗、常规动物疫病免疫用疫苗以及吡喹酮咀嚼片（犬驱虫药）采购项目评审后，取得为伊犁哈萨克自治州动物疾病控制与诊断中心提供成交产品的有效资格。</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指定的第三方机构进行检验并承担由此发生的送检费用。</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7.乙方特别承诺提供的中标产品的供货价格均低于新疆地区同类型招标项目供货价及结算价、优惠价。</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20" w:firstLineChars="200"/>
        <w:rPr>
          <w:rFonts w:ascii="宋体" w:hAnsi="宋体" w:cs="宋体"/>
          <w:b/>
          <w:bCs/>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10.乙方承诺：对本协议、本项目招标文件、投标文件、相关合同的任何内容的违反，或提供虚假资料、信息等，均构成违约；对任何违约，乙方将无条件地承担违约责任，向甲方支付违约金人民币壹佰万元。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11.乙方承诺：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12.乙方同意本协议适用于2023年度伊犁州重大动物疫病强制免疫用疫苗、常规动物疫病免疫用疫苗以及吡喹酮咀嚼片（犬驱虫药）采购项目提供中标产品的有效资格， 以及甲方指定的共享本次协议供货招标结果的其他单位</w:t>
      </w: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 </w:t>
      </w:r>
    </w:p>
    <w:p>
      <w:pPr>
        <w:widowControl/>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13.本协议有效期间，乙方经行业主管部门授予的资格（质）如发生变更，或机构变更、相关人员变动、歇业、停产、转产等状况，应在2个工作日内通知甲方。</w:t>
      </w:r>
    </w:p>
    <w:p>
      <w:pPr>
        <w:pStyle w:val="10"/>
        <w:spacing w:line="360" w:lineRule="auto"/>
        <w:rPr>
          <w:rFonts w:cs="宋体"/>
          <w:color w:val="auto"/>
          <w:kern w:val="0"/>
          <w:szCs w:val="21"/>
          <w:highlight w:val="none"/>
          <w:shd w:val="clear" w:color="auto" w:fill="auto"/>
        </w:rPr>
      </w:pPr>
    </w:p>
    <w:p>
      <w:pPr>
        <w:rPr>
          <w:rFonts w:ascii="宋体" w:hAnsi="宋体"/>
          <w:b/>
          <w:bCs/>
          <w:color w:val="auto"/>
          <w:szCs w:val="21"/>
          <w:highlight w:val="none"/>
          <w:shd w:val="clear" w:color="auto" w:fill="auto"/>
        </w:rPr>
      </w:pPr>
    </w:p>
    <w:p>
      <w:pPr>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br w:type="page"/>
      </w:r>
    </w:p>
    <w:p>
      <w:pPr>
        <w:spacing w:line="240" w:lineRule="exact"/>
        <w:jc w:val="center"/>
        <w:rPr>
          <w:rFonts w:ascii="宋体" w:hAnsi="宋体"/>
          <w:b/>
          <w:bCs/>
          <w:color w:val="auto"/>
          <w:szCs w:val="21"/>
          <w:highlight w:val="none"/>
          <w:shd w:val="clear" w:color="auto" w:fill="auto"/>
        </w:rPr>
      </w:pPr>
    </w:p>
    <w:p>
      <w:pPr>
        <w:spacing w:line="240" w:lineRule="exact"/>
        <w:jc w:val="center"/>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第二部分  专用条款</w:t>
      </w:r>
    </w:p>
    <w:p>
      <w:pPr>
        <w:widowControl/>
        <w:spacing w:line="360" w:lineRule="auto"/>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w:t>
      </w:r>
    </w:p>
    <w:p>
      <w:pPr>
        <w:widowControl/>
        <w:spacing w:line="360" w:lineRule="auto"/>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采购方：</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（以下简称甲方）</w:t>
      </w:r>
    </w:p>
    <w:p>
      <w:pPr>
        <w:widowControl/>
        <w:spacing w:line="360" w:lineRule="auto"/>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供货方：</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（以下简称乙方）</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根据</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 xml:space="preserve">项目名称(项目编号：     )及相关结果，甲、乙双方经协商一致，签订本合同。   </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一、合同编号：</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二、签订地点：</w:t>
      </w:r>
      <w:r>
        <w:rPr>
          <w:rFonts w:hint="eastAsia" w:ascii="宋体" w:hAnsi="宋体" w:cs="宋体"/>
          <w:color w:val="auto"/>
          <w:szCs w:val="21"/>
          <w:highlight w:val="none"/>
          <w:shd w:val="clear" w:color="auto" w:fill="auto"/>
        </w:rPr>
        <w:t>伊宁市胜利街伊犁哈萨克自治州动物疾病控制与诊断中心会议室</w:t>
      </w:r>
    </w:p>
    <w:p>
      <w:pPr>
        <w:adjustRightInd w:val="0"/>
        <w:snapToGrid w:val="0"/>
        <w:spacing w:line="360" w:lineRule="auto"/>
        <w:ind w:firstLine="422" w:firstLineChars="200"/>
        <w:rPr>
          <w:rFonts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三、签订时间：</w:t>
      </w:r>
      <w:r>
        <w:rPr>
          <w:rFonts w:hint="eastAsia" w:ascii="宋体" w:hAnsi="宋体" w:cs="宋体"/>
          <w:color w:val="auto"/>
          <w:szCs w:val="21"/>
          <w:highlight w:val="none"/>
          <w:shd w:val="clear" w:color="auto" w:fill="auto"/>
        </w:rPr>
        <w:t>2023年  月  日</w:t>
      </w:r>
    </w:p>
    <w:p>
      <w:pPr>
        <w:adjustRightInd w:val="0"/>
        <w:snapToGrid w:val="0"/>
        <w:spacing w:line="360" w:lineRule="auto"/>
        <w:ind w:firstLine="422" w:firstLineChars="200"/>
        <w:rPr>
          <w:rFonts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四、合同内容：</w:t>
      </w:r>
      <w:r>
        <w:rPr>
          <w:rFonts w:hint="eastAsia" w:ascii="宋体" w:hAnsi="宋体" w:cs="宋体"/>
          <w:color w:val="auto"/>
          <w:szCs w:val="21"/>
          <w:highlight w:val="none"/>
          <w:shd w:val="clear" w:color="auto" w:fill="auto"/>
        </w:rPr>
        <w:t>甲方向乙方订购的货物及服务如下：</w:t>
      </w:r>
    </w:p>
    <w:p>
      <w:pPr>
        <w:tabs>
          <w:tab w:val="left" w:pos="840"/>
        </w:tabs>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1、动物疫苗品名、生产厂商、规格、数量等信息详见供货一览表。 </w:t>
      </w:r>
    </w:p>
    <w:p>
      <w:pPr>
        <w:tabs>
          <w:tab w:val="left" w:pos="840"/>
        </w:tabs>
        <w:adjustRightInd w:val="0"/>
        <w:snapToGrid w:val="0"/>
        <w:spacing w:line="360" w:lineRule="auto"/>
        <w:ind w:firstLine="422" w:firstLineChars="200"/>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春防供货信息一览表</w:t>
      </w:r>
    </w:p>
    <w:tbl>
      <w:tblPr>
        <w:tblStyle w:val="21"/>
        <w:tblpPr w:leftFromText="180" w:rightFromText="180" w:vertAnchor="text" w:horzAnchor="page" w:tblpX="1140" w:tblpY="75"/>
        <w:tblOverlap w:val="never"/>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2158"/>
        <w:gridCol w:w="1457"/>
        <w:gridCol w:w="1136"/>
        <w:gridCol w:w="1388"/>
        <w:gridCol w:w="1388"/>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00"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序号</w:t>
            </w:r>
          </w:p>
        </w:tc>
        <w:tc>
          <w:tcPr>
            <w:tcW w:w="2158"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疫苗品名型号</w:t>
            </w:r>
          </w:p>
        </w:tc>
        <w:tc>
          <w:tcPr>
            <w:tcW w:w="1457"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规格参数</w:t>
            </w:r>
          </w:p>
        </w:tc>
        <w:tc>
          <w:tcPr>
            <w:tcW w:w="1136"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数量</w:t>
            </w:r>
          </w:p>
        </w:tc>
        <w:tc>
          <w:tcPr>
            <w:tcW w:w="1388"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单价</w:t>
            </w:r>
          </w:p>
        </w:tc>
        <w:tc>
          <w:tcPr>
            <w:tcW w:w="1388"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总金额</w:t>
            </w:r>
          </w:p>
        </w:tc>
        <w:tc>
          <w:tcPr>
            <w:tcW w:w="1388"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color w:val="auto"/>
                <w:sz w:val="21"/>
                <w:szCs w:val="21"/>
                <w:highlight w:val="none"/>
                <w:shd w:val="clear" w:color="auto" w:fill="auto"/>
              </w:rPr>
            </w:pPr>
          </w:p>
        </w:tc>
        <w:tc>
          <w:tcPr>
            <w:tcW w:w="2158" w:type="dxa"/>
          </w:tcPr>
          <w:p>
            <w:pPr>
              <w:pStyle w:val="7"/>
              <w:numPr>
                <w:ilvl w:val="0"/>
                <w:numId w:val="0"/>
              </w:numPr>
              <w:rPr>
                <w:rFonts w:ascii="宋体" w:hAnsi="宋体" w:eastAsia="宋体"/>
                <w:color w:val="auto"/>
                <w:sz w:val="21"/>
                <w:szCs w:val="21"/>
                <w:highlight w:val="none"/>
                <w:shd w:val="clear" w:color="auto" w:fill="auto"/>
              </w:rPr>
            </w:pPr>
          </w:p>
        </w:tc>
        <w:tc>
          <w:tcPr>
            <w:tcW w:w="1457" w:type="dxa"/>
          </w:tcPr>
          <w:p>
            <w:pPr>
              <w:pStyle w:val="7"/>
              <w:numPr>
                <w:ilvl w:val="0"/>
                <w:numId w:val="0"/>
              </w:numPr>
              <w:rPr>
                <w:rFonts w:ascii="宋体" w:hAnsi="宋体" w:eastAsia="宋体"/>
                <w:color w:val="auto"/>
                <w:sz w:val="21"/>
                <w:szCs w:val="21"/>
                <w:highlight w:val="none"/>
                <w:shd w:val="clear" w:color="auto" w:fill="auto"/>
              </w:rPr>
            </w:pPr>
          </w:p>
        </w:tc>
        <w:tc>
          <w:tcPr>
            <w:tcW w:w="1136"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color w:val="auto"/>
                <w:sz w:val="21"/>
                <w:szCs w:val="21"/>
                <w:highlight w:val="none"/>
                <w:shd w:val="clear" w:color="auto" w:fill="auto"/>
              </w:rPr>
            </w:pPr>
          </w:p>
        </w:tc>
        <w:tc>
          <w:tcPr>
            <w:tcW w:w="2158" w:type="dxa"/>
          </w:tcPr>
          <w:p>
            <w:pPr>
              <w:pStyle w:val="7"/>
              <w:numPr>
                <w:ilvl w:val="0"/>
                <w:numId w:val="0"/>
              </w:numPr>
              <w:rPr>
                <w:rFonts w:ascii="宋体" w:hAnsi="宋体" w:eastAsia="宋体"/>
                <w:color w:val="auto"/>
                <w:sz w:val="21"/>
                <w:szCs w:val="21"/>
                <w:highlight w:val="none"/>
                <w:shd w:val="clear" w:color="auto" w:fill="auto"/>
              </w:rPr>
            </w:pPr>
          </w:p>
        </w:tc>
        <w:tc>
          <w:tcPr>
            <w:tcW w:w="1457" w:type="dxa"/>
          </w:tcPr>
          <w:p>
            <w:pPr>
              <w:pStyle w:val="7"/>
              <w:numPr>
                <w:ilvl w:val="0"/>
                <w:numId w:val="0"/>
              </w:numPr>
              <w:rPr>
                <w:rFonts w:ascii="宋体" w:hAnsi="宋体" w:eastAsia="宋体"/>
                <w:color w:val="auto"/>
                <w:sz w:val="21"/>
                <w:szCs w:val="21"/>
                <w:highlight w:val="none"/>
                <w:shd w:val="clear" w:color="auto" w:fill="auto"/>
              </w:rPr>
            </w:pPr>
          </w:p>
        </w:tc>
        <w:tc>
          <w:tcPr>
            <w:tcW w:w="1136"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00" w:type="dxa"/>
          </w:tcPr>
          <w:p>
            <w:pPr>
              <w:pStyle w:val="7"/>
              <w:numPr>
                <w:ilvl w:val="0"/>
                <w:numId w:val="0"/>
              </w:numPr>
              <w:rPr>
                <w:rFonts w:ascii="宋体" w:hAnsi="宋体" w:eastAsia="宋体"/>
                <w:color w:val="auto"/>
                <w:sz w:val="21"/>
                <w:szCs w:val="21"/>
                <w:highlight w:val="none"/>
                <w:shd w:val="clear" w:color="auto" w:fill="auto"/>
              </w:rPr>
            </w:pPr>
          </w:p>
        </w:tc>
        <w:tc>
          <w:tcPr>
            <w:tcW w:w="2158" w:type="dxa"/>
          </w:tcPr>
          <w:p>
            <w:pPr>
              <w:pStyle w:val="7"/>
              <w:numPr>
                <w:ilvl w:val="0"/>
                <w:numId w:val="0"/>
              </w:numPr>
              <w:rPr>
                <w:rFonts w:ascii="宋体" w:hAnsi="宋体" w:eastAsia="宋体"/>
                <w:color w:val="auto"/>
                <w:sz w:val="21"/>
                <w:szCs w:val="21"/>
                <w:highlight w:val="none"/>
                <w:shd w:val="clear" w:color="auto" w:fill="auto"/>
              </w:rPr>
            </w:pPr>
          </w:p>
        </w:tc>
        <w:tc>
          <w:tcPr>
            <w:tcW w:w="1457" w:type="dxa"/>
          </w:tcPr>
          <w:p>
            <w:pPr>
              <w:pStyle w:val="7"/>
              <w:numPr>
                <w:ilvl w:val="0"/>
                <w:numId w:val="0"/>
              </w:numPr>
              <w:rPr>
                <w:rFonts w:ascii="宋体" w:hAnsi="宋体" w:eastAsia="宋体"/>
                <w:color w:val="auto"/>
                <w:sz w:val="21"/>
                <w:szCs w:val="21"/>
                <w:highlight w:val="none"/>
                <w:shd w:val="clear" w:color="auto" w:fill="auto"/>
              </w:rPr>
            </w:pPr>
          </w:p>
        </w:tc>
        <w:tc>
          <w:tcPr>
            <w:tcW w:w="1136"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c>
          <w:tcPr>
            <w:tcW w:w="1388" w:type="dxa"/>
          </w:tcPr>
          <w:p>
            <w:pPr>
              <w:pStyle w:val="7"/>
              <w:numPr>
                <w:ilvl w:val="0"/>
                <w:numId w:val="0"/>
              </w:numPr>
              <w:rPr>
                <w:rFonts w:ascii="宋体" w:hAnsi="宋体" w:eastAsia="宋体"/>
                <w:color w:val="auto"/>
                <w:sz w:val="21"/>
                <w:szCs w:val="21"/>
                <w:highlight w:val="none"/>
                <w:shd w:val="clear" w:color="auto" w:fill="auto"/>
              </w:rPr>
            </w:pPr>
          </w:p>
        </w:tc>
      </w:tr>
    </w:tbl>
    <w:p>
      <w:pPr>
        <w:pStyle w:val="7"/>
        <w:numPr>
          <w:ilvl w:val="0"/>
          <w:numId w:val="0"/>
        </w:numPr>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 xml:space="preserve"> </w:t>
      </w:r>
      <w:r>
        <w:rPr>
          <w:rFonts w:ascii="宋体" w:hAnsi="宋体" w:eastAsia="宋体"/>
          <w:color w:val="auto"/>
          <w:sz w:val="21"/>
          <w:szCs w:val="21"/>
          <w:highlight w:val="none"/>
          <w:shd w:val="clear" w:color="auto" w:fill="auto"/>
        </w:rPr>
        <w:t xml:space="preserve">    </w:t>
      </w:r>
    </w:p>
    <w:p>
      <w:pPr>
        <w:pStyle w:val="7"/>
        <w:numPr>
          <w:ilvl w:val="0"/>
          <w:numId w:val="0"/>
        </w:numPr>
        <w:rPr>
          <w:rFonts w:ascii="宋体" w:hAnsi="宋体" w:eastAsia="宋体"/>
          <w:color w:val="auto"/>
          <w:sz w:val="21"/>
          <w:szCs w:val="21"/>
          <w:highlight w:val="none"/>
          <w:shd w:val="clear" w:color="auto" w:fill="auto"/>
        </w:rPr>
      </w:pPr>
    </w:p>
    <w:p>
      <w:pPr>
        <w:tabs>
          <w:tab w:val="left" w:pos="840"/>
        </w:tabs>
        <w:adjustRightInd w:val="0"/>
        <w:snapToGrid w:val="0"/>
        <w:spacing w:line="360" w:lineRule="auto"/>
        <w:ind w:firstLine="422" w:firstLineChars="200"/>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秋防供货信息一览表</w:t>
      </w:r>
    </w:p>
    <w:tbl>
      <w:tblPr>
        <w:tblStyle w:val="21"/>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145"/>
        <w:gridCol w:w="1448"/>
        <w:gridCol w:w="1129"/>
        <w:gridCol w:w="1380"/>
        <w:gridCol w:w="138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95"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序号</w:t>
            </w:r>
          </w:p>
        </w:tc>
        <w:tc>
          <w:tcPr>
            <w:tcW w:w="2145"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疫苗品名型号</w:t>
            </w:r>
          </w:p>
        </w:tc>
        <w:tc>
          <w:tcPr>
            <w:tcW w:w="1448"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规格参数</w:t>
            </w:r>
          </w:p>
        </w:tc>
        <w:tc>
          <w:tcPr>
            <w:tcW w:w="1129"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数量</w:t>
            </w:r>
          </w:p>
        </w:tc>
        <w:tc>
          <w:tcPr>
            <w:tcW w:w="1380"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单价</w:t>
            </w:r>
          </w:p>
        </w:tc>
        <w:tc>
          <w:tcPr>
            <w:tcW w:w="1380"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总金额</w:t>
            </w:r>
          </w:p>
        </w:tc>
        <w:tc>
          <w:tcPr>
            <w:tcW w:w="1380" w:type="dxa"/>
          </w:tcPr>
          <w:p>
            <w:pPr>
              <w:pStyle w:val="7"/>
              <w:numPr>
                <w:ilvl w:val="0"/>
                <w:numId w:val="0"/>
              </w:numPr>
              <w:jc w:val="center"/>
              <w:rPr>
                <w:rFonts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color w:val="auto"/>
                <w:sz w:val="21"/>
                <w:szCs w:val="21"/>
                <w:highlight w:val="none"/>
                <w:shd w:val="clear" w:color="auto" w:fill="auto"/>
              </w:rPr>
            </w:pPr>
          </w:p>
        </w:tc>
        <w:tc>
          <w:tcPr>
            <w:tcW w:w="2145" w:type="dxa"/>
          </w:tcPr>
          <w:p>
            <w:pPr>
              <w:pStyle w:val="7"/>
              <w:numPr>
                <w:ilvl w:val="0"/>
                <w:numId w:val="0"/>
              </w:numPr>
              <w:rPr>
                <w:rFonts w:ascii="宋体" w:hAnsi="宋体" w:eastAsia="宋体"/>
                <w:color w:val="auto"/>
                <w:sz w:val="21"/>
                <w:szCs w:val="21"/>
                <w:highlight w:val="none"/>
                <w:shd w:val="clear" w:color="auto" w:fill="auto"/>
              </w:rPr>
            </w:pPr>
          </w:p>
        </w:tc>
        <w:tc>
          <w:tcPr>
            <w:tcW w:w="1448" w:type="dxa"/>
          </w:tcPr>
          <w:p>
            <w:pPr>
              <w:pStyle w:val="7"/>
              <w:numPr>
                <w:ilvl w:val="0"/>
                <w:numId w:val="0"/>
              </w:numPr>
              <w:rPr>
                <w:rFonts w:ascii="宋体" w:hAnsi="宋体" w:eastAsia="宋体"/>
                <w:color w:val="auto"/>
                <w:sz w:val="21"/>
                <w:szCs w:val="21"/>
                <w:highlight w:val="none"/>
                <w:shd w:val="clear" w:color="auto" w:fill="auto"/>
              </w:rPr>
            </w:pPr>
          </w:p>
        </w:tc>
        <w:tc>
          <w:tcPr>
            <w:tcW w:w="1129"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color w:val="auto"/>
                <w:sz w:val="21"/>
                <w:szCs w:val="21"/>
                <w:highlight w:val="none"/>
                <w:shd w:val="clear" w:color="auto" w:fill="auto"/>
              </w:rPr>
            </w:pPr>
          </w:p>
        </w:tc>
        <w:tc>
          <w:tcPr>
            <w:tcW w:w="2145" w:type="dxa"/>
          </w:tcPr>
          <w:p>
            <w:pPr>
              <w:pStyle w:val="7"/>
              <w:numPr>
                <w:ilvl w:val="0"/>
                <w:numId w:val="0"/>
              </w:numPr>
              <w:rPr>
                <w:rFonts w:ascii="宋体" w:hAnsi="宋体" w:eastAsia="宋体"/>
                <w:color w:val="auto"/>
                <w:sz w:val="21"/>
                <w:szCs w:val="21"/>
                <w:highlight w:val="none"/>
                <w:shd w:val="clear" w:color="auto" w:fill="auto"/>
              </w:rPr>
            </w:pPr>
          </w:p>
        </w:tc>
        <w:tc>
          <w:tcPr>
            <w:tcW w:w="1448" w:type="dxa"/>
          </w:tcPr>
          <w:p>
            <w:pPr>
              <w:pStyle w:val="7"/>
              <w:numPr>
                <w:ilvl w:val="0"/>
                <w:numId w:val="0"/>
              </w:numPr>
              <w:rPr>
                <w:rFonts w:ascii="宋体" w:hAnsi="宋体" w:eastAsia="宋体"/>
                <w:color w:val="auto"/>
                <w:sz w:val="21"/>
                <w:szCs w:val="21"/>
                <w:highlight w:val="none"/>
                <w:shd w:val="clear" w:color="auto" w:fill="auto"/>
              </w:rPr>
            </w:pPr>
          </w:p>
        </w:tc>
        <w:tc>
          <w:tcPr>
            <w:tcW w:w="1129"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color w:val="auto"/>
                <w:sz w:val="21"/>
                <w:szCs w:val="21"/>
                <w:highlight w:val="none"/>
                <w:shd w:val="clear" w:color="auto" w:fill="auto"/>
              </w:rPr>
            </w:pPr>
          </w:p>
        </w:tc>
        <w:tc>
          <w:tcPr>
            <w:tcW w:w="2145" w:type="dxa"/>
          </w:tcPr>
          <w:p>
            <w:pPr>
              <w:pStyle w:val="7"/>
              <w:numPr>
                <w:ilvl w:val="0"/>
                <w:numId w:val="0"/>
              </w:numPr>
              <w:rPr>
                <w:rFonts w:ascii="宋体" w:hAnsi="宋体" w:eastAsia="宋体"/>
                <w:color w:val="auto"/>
                <w:sz w:val="21"/>
                <w:szCs w:val="21"/>
                <w:highlight w:val="none"/>
                <w:shd w:val="clear" w:color="auto" w:fill="auto"/>
              </w:rPr>
            </w:pPr>
          </w:p>
        </w:tc>
        <w:tc>
          <w:tcPr>
            <w:tcW w:w="1448" w:type="dxa"/>
          </w:tcPr>
          <w:p>
            <w:pPr>
              <w:pStyle w:val="7"/>
              <w:numPr>
                <w:ilvl w:val="0"/>
                <w:numId w:val="0"/>
              </w:numPr>
              <w:rPr>
                <w:rFonts w:ascii="宋体" w:hAnsi="宋体" w:eastAsia="宋体"/>
                <w:color w:val="auto"/>
                <w:sz w:val="21"/>
                <w:szCs w:val="21"/>
                <w:highlight w:val="none"/>
                <w:shd w:val="clear" w:color="auto" w:fill="auto"/>
              </w:rPr>
            </w:pPr>
          </w:p>
        </w:tc>
        <w:tc>
          <w:tcPr>
            <w:tcW w:w="1129"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c>
          <w:tcPr>
            <w:tcW w:w="1380" w:type="dxa"/>
          </w:tcPr>
          <w:p>
            <w:pPr>
              <w:pStyle w:val="7"/>
              <w:numPr>
                <w:ilvl w:val="0"/>
                <w:numId w:val="0"/>
              </w:numPr>
              <w:rPr>
                <w:rFonts w:ascii="宋体" w:hAnsi="宋体" w:eastAsia="宋体"/>
                <w:color w:val="auto"/>
                <w:sz w:val="21"/>
                <w:szCs w:val="21"/>
                <w:highlight w:val="none"/>
                <w:shd w:val="clear" w:color="auto" w:fill="auto"/>
              </w:rPr>
            </w:pPr>
          </w:p>
        </w:tc>
      </w:tr>
    </w:tbl>
    <w:p>
      <w:pPr>
        <w:pStyle w:val="7"/>
        <w:numPr>
          <w:ilvl w:val="0"/>
          <w:numId w:val="0"/>
        </w:numPr>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 xml:space="preserve"> </w:t>
      </w:r>
      <w:r>
        <w:rPr>
          <w:rFonts w:ascii="宋体" w:hAnsi="宋体" w:eastAsia="宋体"/>
          <w:color w:val="auto"/>
          <w:sz w:val="21"/>
          <w:szCs w:val="21"/>
          <w:highlight w:val="none"/>
          <w:shd w:val="clear" w:color="auto" w:fill="auto"/>
        </w:rPr>
        <w:t xml:space="preserve">    </w:t>
      </w:r>
    </w:p>
    <w:p>
      <w:pPr>
        <w:tabs>
          <w:tab w:val="left" w:pos="840"/>
        </w:tabs>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2、价格构成：合同价格包括成本、税款、包装、运费（含二次运费）、售后服务等全部费用，价格一次确定不再变更，本次采购货品单价以报价一览表为准。 </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合同所签定疫苗数量仅为参考数量，甲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 xml:space="preserve">    4、合同金额：</w:t>
      </w:r>
    </w:p>
    <w:p>
      <w:pPr>
        <w:adjustRightInd w:val="0"/>
        <w:snapToGrid w:val="0"/>
        <w:spacing w:line="360" w:lineRule="auto"/>
        <w:ind w:firstLine="420" w:firstLineChars="200"/>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小写：</w:t>
      </w:r>
      <w:r>
        <w:rPr>
          <w:rFonts w:hint="eastAsia" w:ascii="宋体" w:hAnsi="宋体" w:cs="宋体"/>
          <w:color w:val="auto"/>
          <w:szCs w:val="21"/>
          <w:highlight w:val="none"/>
          <w:u w:val="single"/>
          <w:shd w:val="clear" w:color="auto" w:fill="auto"/>
        </w:rPr>
        <w:t xml:space="preserve">¥   ，   ，   .00 </w:t>
      </w:r>
    </w:p>
    <w:p>
      <w:pPr>
        <w:adjustRightInd w:val="0"/>
        <w:snapToGrid w:val="0"/>
        <w:spacing w:line="360" w:lineRule="auto"/>
        <w:ind w:firstLine="420" w:firstLineChars="200"/>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大写：</w:t>
      </w:r>
      <w:r>
        <w:rPr>
          <w:rFonts w:hint="eastAsia" w:ascii="宋体" w:hAnsi="宋体" w:cs="宋体"/>
          <w:color w:val="auto"/>
          <w:szCs w:val="21"/>
          <w:highlight w:val="none"/>
          <w:u w:val="single"/>
          <w:shd w:val="clear" w:color="auto" w:fill="auto"/>
        </w:rPr>
        <w:t xml:space="preserve">                  </w:t>
      </w:r>
    </w:p>
    <w:p>
      <w:pPr>
        <w:adjustRightInd w:val="0"/>
        <w:snapToGrid w:val="0"/>
        <w:spacing w:line="360" w:lineRule="auto"/>
        <w:ind w:firstLine="420" w:firstLineChars="200"/>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数量：</w:t>
      </w:r>
      <w:r>
        <w:rPr>
          <w:rFonts w:hint="eastAsia" w:ascii="宋体" w:hAnsi="宋体" w:cs="宋体"/>
          <w:color w:val="auto"/>
          <w:szCs w:val="21"/>
          <w:highlight w:val="none"/>
          <w:u w:val="single"/>
          <w:shd w:val="clear" w:color="auto" w:fill="auto"/>
        </w:rPr>
        <w:t xml:space="preserve">                  </w:t>
      </w:r>
    </w:p>
    <w:p>
      <w:pPr>
        <w:tabs>
          <w:tab w:val="left" w:pos="840"/>
        </w:tabs>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包装要求：不论采取何种包装形式，乙方均需确保货品无破损，无污染，且方便二次运输。产品包装按照大小包装分配成一定比例供货，而且标识清楚，以方便散养动物免疫注射使用，避免造成疫苗浪费。因包装不当造成的损失由乙方负责，包退包换。</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五、交货时间、交货地点和验收单位：</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1、交货时间和地点：接到通知后，在规定时间内运达甲方指定</w:t>
      </w:r>
      <w:r>
        <w:rPr>
          <w:rFonts w:hint="eastAsia" w:ascii="宋体" w:hAnsi="宋体" w:cs="宋体"/>
          <w:color w:val="auto"/>
          <w:kern w:val="0"/>
          <w:szCs w:val="21"/>
          <w:highlight w:val="none"/>
          <w:shd w:val="clear" w:color="auto" w:fill="auto"/>
        </w:rPr>
        <w:t>的</w:t>
      </w:r>
      <w:r>
        <w:rPr>
          <w:rFonts w:hint="eastAsia" w:ascii="宋体" w:hAnsi="宋体" w:cs="宋体"/>
          <w:color w:val="auto"/>
          <w:kern w:val="0"/>
          <w:szCs w:val="21"/>
          <w:highlight w:val="none"/>
          <w:shd w:val="clear" w:color="auto" w:fill="auto"/>
          <w:lang w:eastAsia="zh-Hans"/>
        </w:rPr>
        <w:t>地点进行验收</w:t>
      </w:r>
      <w:r>
        <w:rPr>
          <w:rFonts w:ascii="宋体" w:hAnsi="宋体" w:cs="宋体"/>
          <w:color w:val="auto"/>
          <w:kern w:val="0"/>
          <w:szCs w:val="21"/>
          <w:highlight w:val="none"/>
          <w:shd w:val="clear" w:color="auto" w:fill="auto"/>
          <w:lang w:eastAsia="zh-Hans"/>
        </w:rPr>
        <w:t>，</w:t>
      </w:r>
      <w:r>
        <w:rPr>
          <w:rFonts w:hint="eastAsia" w:ascii="宋体" w:hAnsi="宋体" w:cs="宋体"/>
          <w:color w:val="auto"/>
          <w:kern w:val="0"/>
          <w:szCs w:val="21"/>
          <w:highlight w:val="none"/>
          <w:shd w:val="clear" w:color="auto" w:fill="auto"/>
          <w:lang w:eastAsia="zh-Hans"/>
        </w:rPr>
        <w:t>验收合格后由乙方负责运输至甲方指定的地点</w:t>
      </w:r>
      <w:r>
        <w:rPr>
          <w:rFonts w:hint="eastAsia" w:ascii="宋体" w:hAnsi="宋体" w:cs="宋体"/>
          <w:color w:val="auto"/>
          <w:szCs w:val="21"/>
          <w:highlight w:val="none"/>
          <w:shd w:val="clear" w:color="auto" w:fill="auto"/>
        </w:rPr>
        <w:t>。</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2、验收单位：收货单位为疫苗验收第一责任单位，伊犁哈萨克自治州动物疾病控制与诊断中心负责疫苗验收工作。</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bCs/>
          <w:color w:val="auto"/>
          <w:szCs w:val="21"/>
          <w:highlight w:val="none"/>
          <w:shd w:val="clear" w:color="auto" w:fill="auto"/>
        </w:rPr>
        <w:t>六、</w:t>
      </w:r>
      <w:r>
        <w:rPr>
          <w:rFonts w:hint="eastAsia" w:ascii="宋体" w:hAnsi="宋体" w:cs="宋体"/>
          <w:b/>
          <w:color w:val="auto"/>
          <w:szCs w:val="21"/>
          <w:highlight w:val="none"/>
          <w:shd w:val="clear" w:color="auto" w:fill="auto"/>
        </w:rPr>
        <w:t>验收方式：</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1、甲方在交货地点验收，如发现损坏、缺件等问题，乙方</w:t>
      </w:r>
      <w:r>
        <w:rPr>
          <w:rFonts w:hint="eastAsia" w:ascii="宋体" w:hAnsi="宋体" w:cs="宋体"/>
          <w:color w:val="auto"/>
          <w:szCs w:val="21"/>
          <w:highlight w:val="none"/>
          <w:shd w:val="clear" w:color="auto" w:fill="auto"/>
          <w:lang w:eastAsia="zh-Hans"/>
        </w:rPr>
        <w:t>应当在接到甲方通知</w:t>
      </w:r>
      <w:r>
        <w:rPr>
          <w:rFonts w:ascii="宋体" w:hAnsi="宋体" w:cs="宋体"/>
          <w:color w:val="auto"/>
          <w:szCs w:val="21"/>
          <w:highlight w:val="none"/>
          <w:shd w:val="clear" w:color="auto" w:fill="auto"/>
          <w:lang w:eastAsia="zh-Hans"/>
        </w:rPr>
        <w:t>（</w:t>
      </w:r>
      <w:r>
        <w:rPr>
          <w:rFonts w:hint="eastAsia" w:ascii="宋体" w:hAnsi="宋体" w:cs="宋体"/>
          <w:color w:val="auto"/>
          <w:szCs w:val="21"/>
          <w:highlight w:val="none"/>
          <w:shd w:val="clear" w:color="auto" w:fill="auto"/>
          <w:lang w:eastAsia="zh-Hans"/>
        </w:rPr>
        <w:t>包括但不限于电话</w:t>
      </w:r>
      <w:r>
        <w:rPr>
          <w:rFonts w:ascii="宋体" w:hAnsi="宋体" w:cs="宋体"/>
          <w:color w:val="auto"/>
          <w:szCs w:val="21"/>
          <w:highlight w:val="none"/>
          <w:shd w:val="clear" w:color="auto" w:fill="auto"/>
          <w:lang w:eastAsia="zh-Hans"/>
        </w:rPr>
        <w:t>、</w:t>
      </w:r>
      <w:r>
        <w:rPr>
          <w:rFonts w:hint="eastAsia" w:ascii="宋体" w:hAnsi="宋体" w:cs="宋体"/>
          <w:color w:val="auto"/>
          <w:szCs w:val="21"/>
          <w:highlight w:val="none"/>
          <w:shd w:val="clear" w:color="auto" w:fill="auto"/>
          <w:lang w:eastAsia="zh-Hans"/>
        </w:rPr>
        <w:t>传真</w:t>
      </w:r>
      <w:r>
        <w:rPr>
          <w:rFonts w:ascii="宋体" w:hAnsi="宋体" w:cs="宋体"/>
          <w:color w:val="auto"/>
          <w:szCs w:val="21"/>
          <w:highlight w:val="none"/>
          <w:shd w:val="clear" w:color="auto" w:fill="auto"/>
          <w:lang w:eastAsia="zh-Hans"/>
        </w:rPr>
        <w:t>、</w:t>
      </w:r>
      <w:r>
        <w:rPr>
          <w:rFonts w:hint="eastAsia" w:ascii="宋体" w:hAnsi="宋体" w:cs="宋体"/>
          <w:color w:val="auto"/>
          <w:szCs w:val="21"/>
          <w:highlight w:val="none"/>
          <w:shd w:val="clear" w:color="auto" w:fill="auto"/>
          <w:lang w:eastAsia="zh-Hans"/>
        </w:rPr>
        <w:t>短信</w:t>
      </w:r>
      <w:r>
        <w:rPr>
          <w:rFonts w:ascii="宋体" w:hAnsi="宋体" w:cs="宋体"/>
          <w:color w:val="auto"/>
          <w:szCs w:val="21"/>
          <w:highlight w:val="none"/>
          <w:shd w:val="clear" w:color="auto" w:fill="auto"/>
          <w:lang w:eastAsia="zh-Hans"/>
        </w:rPr>
        <w:t>、</w:t>
      </w:r>
      <w:r>
        <w:rPr>
          <w:rFonts w:hint="eastAsia" w:ascii="宋体" w:hAnsi="宋体" w:cs="宋体"/>
          <w:color w:val="auto"/>
          <w:szCs w:val="21"/>
          <w:highlight w:val="none"/>
          <w:shd w:val="clear" w:color="auto" w:fill="auto"/>
          <w:lang w:eastAsia="zh-Hans"/>
        </w:rPr>
        <w:t>电子邮件等通知方式</w:t>
      </w:r>
      <w:r>
        <w:rPr>
          <w:rFonts w:ascii="宋体" w:hAnsi="宋体" w:cs="宋体"/>
          <w:color w:val="auto"/>
          <w:szCs w:val="21"/>
          <w:highlight w:val="none"/>
          <w:shd w:val="clear" w:color="auto" w:fill="auto"/>
          <w:lang w:eastAsia="zh-Hans"/>
        </w:rPr>
        <w:t>）</w:t>
      </w:r>
      <w:r>
        <w:rPr>
          <w:rFonts w:hint="eastAsia" w:ascii="宋体" w:hAnsi="宋体" w:cs="宋体"/>
          <w:color w:val="auto"/>
          <w:szCs w:val="21"/>
          <w:highlight w:val="none"/>
          <w:shd w:val="clear" w:color="auto" w:fill="auto"/>
          <w:lang w:eastAsia="zh-Hans"/>
        </w:rPr>
        <w:t>后</w:t>
      </w:r>
      <w:r>
        <w:rPr>
          <w:rFonts w:ascii="宋体" w:hAnsi="宋体" w:cs="宋体"/>
          <w:color w:val="auto"/>
          <w:szCs w:val="21"/>
          <w:highlight w:val="none"/>
          <w:shd w:val="clear" w:color="auto" w:fill="auto"/>
          <w:lang w:eastAsia="zh-Hans"/>
        </w:rPr>
        <w:t>10</w:t>
      </w:r>
      <w:r>
        <w:rPr>
          <w:rFonts w:hint="eastAsia" w:ascii="宋体" w:hAnsi="宋体" w:cs="宋体"/>
          <w:color w:val="auto"/>
          <w:szCs w:val="21"/>
          <w:highlight w:val="none"/>
          <w:shd w:val="clear" w:color="auto" w:fill="auto"/>
          <w:lang w:eastAsia="zh-Hans"/>
        </w:rPr>
        <w:t>日内</w:t>
      </w:r>
      <w:r>
        <w:rPr>
          <w:rFonts w:hint="eastAsia" w:ascii="宋体" w:hAnsi="宋体" w:cs="宋体"/>
          <w:color w:val="auto"/>
          <w:szCs w:val="21"/>
          <w:highlight w:val="none"/>
          <w:shd w:val="clear" w:color="auto" w:fill="auto"/>
        </w:rPr>
        <w:t>负责</w:t>
      </w:r>
      <w:r>
        <w:rPr>
          <w:rFonts w:hint="eastAsia" w:ascii="宋体" w:hAnsi="宋体" w:cs="宋体"/>
          <w:color w:val="auto"/>
          <w:szCs w:val="21"/>
          <w:highlight w:val="none"/>
          <w:shd w:val="clear" w:color="auto" w:fill="auto"/>
          <w:lang w:eastAsia="zh-Hans"/>
        </w:rPr>
        <w:t>完成</w:t>
      </w:r>
      <w:r>
        <w:rPr>
          <w:rFonts w:hint="eastAsia" w:ascii="宋体" w:hAnsi="宋体" w:cs="宋体"/>
          <w:color w:val="auto"/>
          <w:szCs w:val="21"/>
          <w:highlight w:val="none"/>
          <w:shd w:val="clear" w:color="auto" w:fill="auto"/>
        </w:rPr>
        <w:t>更换</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补齐。</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2、甲方应在10个工作日内完成到货验收工作，验收合格后在验收单上签署 “验收合格”字样。</w:t>
      </w:r>
    </w:p>
    <w:p>
      <w:pPr>
        <w:adjustRightInd w:val="0"/>
        <w:snapToGrid w:val="0"/>
        <w:spacing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甲方委托的验收人在疫苗验收中发现不符合合同要求和验收标准或有异议时，及时通知乙方，乙方应在接到甲方通知（包括但不限于电话、短信、传真、电子邮件等方式）后十日内完成货物更换、补齐三天内给予答复，并负责处理，若需送法定质检部门检验，检验费用由乙方承担。如发现疫苗质量严重不符合质量要求的，甲方可通知乙方停止供货，解除合同，乙方自愿放弃一切抗辩权利。</w:t>
      </w:r>
    </w:p>
    <w:p>
      <w:pPr>
        <w:adjustRightInd w:val="0"/>
        <w:snapToGrid w:val="0"/>
        <w:spacing w:line="360" w:lineRule="auto"/>
        <w:ind w:firstLine="422" w:firstLineChars="200"/>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七、甲方义务：</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1、到货后，甲方积极组织验收，乙方予以配合；</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2、付款方式：</w:t>
      </w:r>
      <w:r>
        <w:rPr>
          <w:rFonts w:hint="eastAsia" w:ascii="宋体" w:hAnsi="宋体" w:cs="宋体"/>
          <w:color w:val="auto"/>
          <w:kern w:val="0"/>
          <w:szCs w:val="21"/>
          <w:highlight w:val="none"/>
          <w:shd w:val="clear" w:color="auto" w:fill="auto"/>
        </w:rPr>
        <w:t>经疫苗接收单位验收合格并在每批次疫苗投入使用2个月无异常后，凭验收合格证明、合同及按合同总价开据的发票（完税价），甲方积极协调本级财政拨付货款，严格按照合同约定，按供货数量向乙方支付货款。</w:t>
      </w:r>
    </w:p>
    <w:p>
      <w:pPr>
        <w:pStyle w:val="2"/>
        <w:spacing w:before="0" w:line="360" w:lineRule="auto"/>
        <w:ind w:firstLine="420" w:firstLineChars="200"/>
        <w:jc w:val="both"/>
        <w:rPr>
          <w:rFonts w:ascii="宋体" w:hAnsi="宋体" w:eastAsia="宋体" w:cs="宋体"/>
          <w:b w:val="0"/>
          <w:color w:val="auto"/>
          <w:kern w:val="2"/>
          <w:sz w:val="21"/>
          <w:szCs w:val="21"/>
          <w:highlight w:val="none"/>
          <w:shd w:val="clear" w:color="auto" w:fill="auto"/>
        </w:rPr>
      </w:pPr>
      <w:r>
        <w:rPr>
          <w:rFonts w:hint="eastAsia" w:ascii="宋体" w:hAnsi="宋体" w:eastAsia="宋体" w:cs="宋体"/>
          <w:b w:val="0"/>
          <w:color w:val="auto"/>
          <w:kern w:val="2"/>
          <w:sz w:val="21"/>
          <w:szCs w:val="21"/>
          <w:highlight w:val="none"/>
          <w:shd w:val="clear" w:color="auto" w:fill="auto"/>
        </w:rPr>
        <w:t>3、</w:t>
      </w:r>
      <w:r>
        <w:rPr>
          <w:rFonts w:hint="eastAsia" w:ascii="宋体" w:hAnsi="宋体" w:eastAsia="宋体" w:cs="宋体"/>
          <w:b w:val="0"/>
          <w:color w:val="auto"/>
          <w:kern w:val="2"/>
          <w:sz w:val="21"/>
          <w:szCs w:val="21"/>
          <w:highlight w:val="none"/>
          <w:shd w:val="clear" w:color="auto" w:fill="auto"/>
          <w:lang w:eastAsia="zh-Hans"/>
        </w:rPr>
        <w:t>乙方应当按照甲方要求提供增值税发票</w:t>
      </w:r>
      <w:r>
        <w:rPr>
          <w:rFonts w:ascii="宋体" w:hAnsi="宋体" w:eastAsia="宋体" w:cs="宋体"/>
          <w:b w:val="0"/>
          <w:color w:val="auto"/>
          <w:kern w:val="2"/>
          <w:sz w:val="21"/>
          <w:szCs w:val="21"/>
          <w:highlight w:val="none"/>
          <w:shd w:val="clear" w:color="auto" w:fill="auto"/>
          <w:lang w:eastAsia="zh-Hans"/>
        </w:rPr>
        <w:t>，</w:t>
      </w:r>
      <w:r>
        <w:rPr>
          <w:rFonts w:hint="eastAsia" w:ascii="宋体" w:hAnsi="宋体" w:eastAsia="宋体" w:cs="宋体"/>
          <w:b w:val="0"/>
          <w:color w:val="auto"/>
          <w:kern w:val="2"/>
          <w:sz w:val="21"/>
          <w:szCs w:val="21"/>
          <w:highlight w:val="none"/>
          <w:shd w:val="clear" w:color="auto" w:fill="auto"/>
          <w:lang w:eastAsia="zh-Hans"/>
        </w:rPr>
        <w:t>如乙方未按时提供</w:t>
      </w:r>
      <w:r>
        <w:rPr>
          <w:rFonts w:ascii="宋体" w:hAnsi="宋体" w:eastAsia="宋体" w:cs="宋体"/>
          <w:b w:val="0"/>
          <w:color w:val="auto"/>
          <w:kern w:val="2"/>
          <w:sz w:val="21"/>
          <w:szCs w:val="21"/>
          <w:highlight w:val="none"/>
          <w:shd w:val="clear" w:color="auto" w:fill="auto"/>
          <w:lang w:eastAsia="zh-Hans"/>
        </w:rPr>
        <w:t>，</w:t>
      </w:r>
      <w:r>
        <w:rPr>
          <w:rFonts w:hint="eastAsia" w:ascii="宋体" w:hAnsi="宋体" w:eastAsia="宋体" w:cs="宋体"/>
          <w:b w:val="0"/>
          <w:color w:val="auto"/>
          <w:kern w:val="2"/>
          <w:sz w:val="21"/>
          <w:szCs w:val="21"/>
          <w:highlight w:val="none"/>
          <w:shd w:val="clear" w:color="auto" w:fill="auto"/>
          <w:lang w:eastAsia="zh-Hans"/>
        </w:rPr>
        <w:t>甲方付款时间相应顺延</w:t>
      </w:r>
      <w:r>
        <w:rPr>
          <w:rFonts w:hint="eastAsia" w:ascii="宋体" w:hAnsi="宋体" w:eastAsia="宋体" w:cs="宋体"/>
          <w:b w:val="0"/>
          <w:color w:val="auto"/>
          <w:kern w:val="2"/>
          <w:sz w:val="21"/>
          <w:szCs w:val="21"/>
          <w:highlight w:val="none"/>
          <w:shd w:val="clear" w:color="auto" w:fill="auto"/>
        </w:rPr>
        <w:t>。</w:t>
      </w:r>
    </w:p>
    <w:p>
      <w:pPr>
        <w:adjustRightInd w:val="0"/>
        <w:snapToGrid w:val="0"/>
        <w:spacing w:line="360" w:lineRule="auto"/>
        <w:ind w:firstLine="422" w:firstLineChars="200"/>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八、乙方义务：</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1、乙方须按招标文件规定向甲方提交履约保证金；</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2、乙方所提供的动物疫苗符合国家现行标准，因质量问题而发生的任何损失均由乙方负责；</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3、乙方承担交货前的一切风险和费用；</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4、乙方在发运疫苗时需提供相应的技术文件，包括使用说明等；</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5、乙方对所供产品保质期应按生产厂商的承诺执行(附生产厂家承诺)以实际产品招标文件要求执行。</w:t>
      </w:r>
    </w:p>
    <w:p>
      <w:pPr>
        <w:adjustRightInd w:val="0"/>
        <w:snapToGrid w:val="0"/>
        <w:spacing w:line="360" w:lineRule="auto"/>
        <w:ind w:firstLine="422" w:firstLineChars="200"/>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九、培训和售后服务：</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(1)乙方应根据销售计划无偿为甲方提供畜禽免疫相关知识的培训，培训次数≥2次/年，培训时长≥10天/次；甲方可以提出培训计划，培训费用由乙方承担，培训对象为甲方确定的相关兽医技术人员。</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(2)因注射疫苗造成副反应，发生畜禽发病、死亡造成重大经济损失的，供货厂家12小时内派人现场调查解决或由供需双方组成联合调查组认定，确认是由于疫苗质量引起的损失，将由供货厂家</w:t>
      </w:r>
      <w:r>
        <w:rPr>
          <w:rFonts w:hint="eastAsia" w:ascii="宋体" w:hAnsi="宋体" w:cs="宋体"/>
          <w:color w:val="auto"/>
          <w:szCs w:val="21"/>
          <w:highlight w:val="none"/>
          <w:shd w:val="clear" w:color="auto" w:fill="auto"/>
          <w:lang w:eastAsia="zh-Hans"/>
        </w:rPr>
        <w:t>赔偿并承担全部法律责任</w:t>
      </w:r>
      <w:r>
        <w:rPr>
          <w:rFonts w:hint="eastAsia" w:ascii="宋体" w:hAnsi="宋体" w:cs="宋体"/>
          <w:color w:val="auto"/>
          <w:szCs w:val="21"/>
          <w:highlight w:val="none"/>
          <w:shd w:val="clear" w:color="auto" w:fill="auto"/>
        </w:rPr>
        <w:t>。</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如果伊犁州直范围内畜禽因注射乙方提供的疫苗后出现规模性群体性疫苗副反应，乙方应在12小时内派专业技术人员到达现场，进行采样、分析和解决问题，并承担不良反应所造成的一切损失；因疫苗原因造成畜禽群体性应激反应甚至死亡的，经当地县（市）防治重大动物疫病指挥部、县（市）畜牧兽医发展中心或委托第三方机构进行认定，确认后，由乙方主动对受损失的养殖户按照死亡动物市价的50%进行补偿。补偿不及时或拒不补偿的，履约保证金不予退还，上交国库。</w:t>
      </w:r>
    </w:p>
    <w:p>
      <w:pPr>
        <w:adjustRightInd w:val="0"/>
        <w:snapToGrid w:val="0"/>
        <w:spacing w:line="360" w:lineRule="auto"/>
        <w:ind w:firstLine="420" w:firstLineChars="200"/>
        <w:rPr>
          <w:rFonts w:ascii="宋体" w:hAnsi="宋体" w:cs="宋体"/>
          <w:bCs/>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bCs/>
          <w:color w:val="auto"/>
          <w:szCs w:val="21"/>
          <w:highlight w:val="none"/>
          <w:shd w:val="clear" w:color="auto" w:fill="auto"/>
        </w:rPr>
        <w:t>经甲方组织对各类疫苗抗体效价测定，达不到国家要求的疫苗，停止继续使用，中止供苗合同，必要时要对提供疫苗造成的损失进行赔偿。</w:t>
      </w:r>
    </w:p>
    <w:p>
      <w:pPr>
        <w:adjustRightInd w:val="0"/>
        <w:snapToGrid w:val="0"/>
        <w:spacing w:line="360" w:lineRule="auto"/>
        <w:ind w:firstLine="422" w:firstLineChars="200"/>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十、违约责任：</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1、凡货款由财政国库或甲方支付的,乙方凭合同向甲方供货,未见合同供货而造成的一切后果由乙方负责。</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乙方不履行合同或交付的疫苗全部或部分不符合合同要求的，甲方或甲方委托验收人有权拒收不符合质量要求的全部或部分疫苗，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疫苗质量不符合合同规定时，乙方负责包退包换。由于上述原因导致延误交货时间的，每延误一日，乙方应按逾期交货部分疫苗价款总值的5‰向甲方偿付违约金，违约金上限不超过合同总价款的20%；延误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乙方必须按合同规定的日期交货，每逾期一日，乙方必须向甲方支付逾期交货疫苗总额5‰的违约金，违约金上限不超过合同总价款的20%；逾期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十一、合同解释：</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招标文件、投标文件，乙方在评标过程中的承诺文件，合同所附供货一览表均为本合同不可分割的一部分。如果供货一览表的内容与招、投标文件和评标结果表不一致时，以招、投标文件和评标结果表为准。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十二、争议解决</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本合同执行过程中发生的一切争议，双方应通过友好协商解决，如协商不能解决，任何一方均可向甲方所在地人民法院诉讼解决。</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十三、合同生效</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本合同经甲乙双方签字盖章后且甲方收到乙方提交的履约保证金后生效。本合同具有法律效力，受国家法律保护。</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十四、合同份数</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本合同一式六份，伊犁哈萨克自治州畜牧兽医局备档一份，甲乙双方各执二份，采购代理机构一份。</w:t>
      </w:r>
    </w:p>
    <w:p>
      <w:pPr>
        <w:adjustRightInd w:val="0"/>
        <w:snapToGrid w:val="0"/>
        <w:spacing w:line="360" w:lineRule="auto"/>
        <w:ind w:firstLine="422" w:firstLineChars="200"/>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十五、其他</w:t>
      </w:r>
    </w:p>
    <w:p>
      <w:pPr>
        <w:adjustRightInd w:val="0"/>
        <w:snapToGrid w:val="0"/>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其它未尽事宜由甲乙双方协商约定。另定补充协议，补充协议与本协议具有同等法律效力。</w:t>
      </w:r>
    </w:p>
    <w:p>
      <w:pPr>
        <w:adjustRightInd w:val="0"/>
        <w:snapToGrid w:val="0"/>
        <w:spacing w:line="360" w:lineRule="auto"/>
        <w:ind w:firstLine="420" w:firstLineChars="200"/>
        <w:rPr>
          <w:rFonts w:ascii="宋体" w:hAnsi="宋体" w:cs="宋体"/>
          <w:color w:val="auto"/>
          <w:kern w:val="0"/>
          <w:szCs w:val="21"/>
          <w:highlight w:val="none"/>
          <w:shd w:val="clear" w:color="auto" w:fill="auto"/>
        </w:rPr>
      </w:pPr>
    </w:p>
    <w:p>
      <w:pPr>
        <w:widowControl/>
        <w:spacing w:line="360" w:lineRule="auto"/>
        <w:jc w:val="left"/>
        <w:rPr>
          <w:rFonts w:ascii="宋体" w:hAnsi="宋体" w:cs="宋体"/>
          <w:b/>
          <w:color w:val="auto"/>
          <w:kern w:val="0"/>
          <w:szCs w:val="21"/>
          <w:highlight w:val="none"/>
          <w:shd w:val="clear" w:color="auto" w:fill="auto"/>
        </w:rPr>
      </w:pPr>
    </w:p>
    <w:p>
      <w:pPr>
        <w:widowControl/>
        <w:spacing w:line="360" w:lineRule="auto"/>
        <w:jc w:val="left"/>
        <w:rPr>
          <w:rFonts w:ascii="宋体" w:hAnsi="宋体" w:cs="宋体"/>
          <w:b/>
          <w:color w:val="auto"/>
          <w:kern w:val="0"/>
          <w:szCs w:val="21"/>
          <w:highlight w:val="none"/>
          <w:shd w:val="clear" w:color="auto" w:fill="auto"/>
        </w:rPr>
      </w:pPr>
    </w:p>
    <w:p>
      <w:pPr>
        <w:widowControl/>
        <w:spacing w:line="360" w:lineRule="auto"/>
        <w:ind w:firstLine="420" w:firstLineChars="200"/>
        <w:jc w:val="left"/>
        <w:rPr>
          <w:rFonts w:ascii="宋体" w:hAnsi="宋体" w:cs="宋体"/>
          <w:bCs/>
          <w:color w:val="auto"/>
          <w:kern w:val="0"/>
          <w:szCs w:val="21"/>
          <w:highlight w:val="none"/>
          <w:shd w:val="clear" w:color="auto" w:fill="auto"/>
        </w:rPr>
      </w:pPr>
      <w:r>
        <w:rPr>
          <w:rFonts w:hint="eastAsia" w:ascii="宋体" w:hAnsi="宋体" w:cs="宋体"/>
          <w:bCs/>
          <w:color w:val="auto"/>
          <w:kern w:val="0"/>
          <w:szCs w:val="21"/>
          <w:highlight w:val="none"/>
          <w:shd w:val="clear" w:color="auto" w:fill="auto"/>
        </w:rPr>
        <w:t>甲方：</w:t>
      </w:r>
      <w:r>
        <w:rPr>
          <w:rFonts w:hint="eastAsia" w:ascii="宋体" w:hAnsi="宋体" w:cs="宋体"/>
          <w:color w:val="auto"/>
          <w:szCs w:val="21"/>
          <w:highlight w:val="none"/>
          <w:shd w:val="clear" w:color="auto" w:fill="auto"/>
        </w:rPr>
        <w:t>伊犁哈萨克自治州动物疾病控制与诊断中心</w:t>
      </w:r>
      <w:r>
        <w:rPr>
          <w:rFonts w:hint="eastAsia" w:ascii="宋体" w:hAnsi="宋体" w:cs="宋体"/>
          <w:bCs/>
          <w:color w:val="auto"/>
          <w:kern w:val="0"/>
          <w:szCs w:val="21"/>
          <w:highlight w:val="none"/>
          <w:shd w:val="clear" w:color="auto" w:fill="auto"/>
        </w:rPr>
        <w:t xml:space="preserve">    乙方：                   </w:t>
      </w:r>
    </w:p>
    <w:p>
      <w:pPr>
        <w:widowControl/>
        <w:spacing w:line="360" w:lineRule="auto"/>
        <w:ind w:firstLine="420" w:firstLineChars="200"/>
        <w:jc w:val="left"/>
        <w:rPr>
          <w:rFonts w:ascii="宋体" w:hAnsi="宋体" w:cs="宋体"/>
          <w:bCs/>
          <w:color w:val="auto"/>
          <w:kern w:val="0"/>
          <w:szCs w:val="21"/>
          <w:highlight w:val="none"/>
          <w:shd w:val="clear" w:color="auto" w:fill="auto"/>
        </w:rPr>
      </w:pPr>
      <w:r>
        <w:rPr>
          <w:rFonts w:hint="eastAsia" w:ascii="宋体" w:hAnsi="宋体" w:cs="宋体"/>
          <w:bCs/>
          <w:color w:val="auto"/>
          <w:kern w:val="0"/>
          <w:szCs w:val="21"/>
          <w:highlight w:val="none"/>
          <w:shd w:val="clear" w:color="auto" w:fill="auto"/>
        </w:rPr>
        <w:t>（盖章）                                       （盖章）</w:t>
      </w:r>
    </w:p>
    <w:p>
      <w:pPr>
        <w:widowControl/>
        <w:spacing w:line="360" w:lineRule="auto"/>
        <w:ind w:firstLine="420" w:firstLineChars="200"/>
        <w:jc w:val="left"/>
        <w:rPr>
          <w:rFonts w:ascii="宋体" w:hAnsi="宋体" w:cs="宋体"/>
          <w:bCs/>
          <w:color w:val="auto"/>
          <w:kern w:val="0"/>
          <w:szCs w:val="21"/>
          <w:highlight w:val="none"/>
          <w:shd w:val="clear" w:color="auto" w:fill="auto"/>
        </w:rPr>
      </w:pPr>
      <w:r>
        <w:rPr>
          <w:rFonts w:hint="eastAsia" w:ascii="宋体" w:hAnsi="宋体" w:cs="宋体"/>
          <w:bCs/>
          <w:color w:val="auto"/>
          <w:kern w:val="0"/>
          <w:szCs w:val="21"/>
          <w:highlight w:val="none"/>
          <w:shd w:val="clear" w:color="auto" w:fill="auto"/>
        </w:rPr>
        <w:t xml:space="preserve">法定代表人或其授权代表：                      法定代表人或其授权代表：        </w:t>
      </w:r>
    </w:p>
    <w:p>
      <w:pPr>
        <w:widowControl/>
        <w:spacing w:line="360" w:lineRule="auto"/>
        <w:ind w:firstLine="420" w:firstLineChars="200"/>
        <w:jc w:val="left"/>
        <w:rPr>
          <w:rFonts w:ascii="宋体" w:hAnsi="宋体" w:cs="宋体"/>
          <w:bCs/>
          <w:color w:val="auto"/>
          <w:kern w:val="0"/>
          <w:szCs w:val="21"/>
          <w:highlight w:val="none"/>
          <w:shd w:val="clear" w:color="auto" w:fill="auto"/>
        </w:rPr>
      </w:pP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 xml:space="preserve">联系电话： </w:t>
      </w:r>
      <w:r>
        <w:rPr>
          <w:rFonts w:hint="eastAsia" w:ascii="宋体" w:hAnsi="宋体" w:eastAsia="宋体" w:cs="宋体"/>
          <w:color w:val="auto"/>
          <w:kern w:val="0"/>
          <w:sz w:val="21"/>
          <w:szCs w:val="21"/>
          <w:highlight w:val="none"/>
          <w:shd w:val="clear" w:color="auto" w:fill="auto"/>
        </w:rPr>
        <w:t>13369995355</w:t>
      </w:r>
      <w:r>
        <w:rPr>
          <w:rFonts w:hint="eastAsia" w:ascii="宋体" w:hAnsi="宋体" w:eastAsia="宋体" w:cs="宋体"/>
          <w:bCs/>
          <w:color w:val="auto"/>
          <w:kern w:val="0"/>
          <w:sz w:val="21"/>
          <w:szCs w:val="21"/>
          <w:highlight w:val="none"/>
          <w:shd w:val="clear" w:color="auto" w:fill="auto"/>
        </w:rPr>
        <w:t xml:space="preserve">                        联系电话：                      </w:t>
      </w:r>
    </w:p>
    <w:p>
      <w:pPr>
        <w:widowControl/>
        <w:spacing w:line="360" w:lineRule="auto"/>
        <w:ind w:firstLine="420" w:firstLineChars="200"/>
        <w:jc w:val="left"/>
        <w:rPr>
          <w:rFonts w:ascii="宋体" w:hAnsi="宋体" w:cs="宋体"/>
          <w:bCs/>
          <w:color w:val="auto"/>
          <w:kern w:val="0"/>
          <w:szCs w:val="21"/>
          <w:highlight w:val="none"/>
          <w:shd w:val="clear" w:color="auto" w:fill="auto"/>
        </w:rPr>
      </w:pP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 xml:space="preserve">开户行：                                      开户行：                        </w:t>
      </w: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 xml:space="preserve">账户：                                        账户：                          </w:t>
      </w: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p>
    <w:p>
      <w:pPr>
        <w:pStyle w:val="7"/>
        <w:numPr>
          <w:ilvl w:val="0"/>
          <w:numId w:val="0"/>
        </w:numPr>
        <w:spacing w:line="360" w:lineRule="auto"/>
        <w:ind w:firstLine="420" w:firstLineChars="200"/>
        <w:rPr>
          <w:rFonts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地址：</w:t>
      </w:r>
      <w:r>
        <w:rPr>
          <w:rFonts w:hint="eastAsia" w:ascii="宋体" w:hAnsi="宋体" w:eastAsia="宋体" w:cs="宋体"/>
          <w:color w:val="auto"/>
          <w:sz w:val="21"/>
          <w:szCs w:val="21"/>
          <w:highlight w:val="none"/>
          <w:shd w:val="clear" w:color="auto" w:fill="auto"/>
        </w:rPr>
        <w:t>新疆伊宁市胜利街</w:t>
      </w:r>
      <w:r>
        <w:rPr>
          <w:rFonts w:hint="eastAsia" w:ascii="宋体" w:hAnsi="宋体" w:eastAsia="宋体" w:cs="宋体"/>
          <w:bCs/>
          <w:color w:val="auto"/>
          <w:kern w:val="0"/>
          <w:sz w:val="21"/>
          <w:szCs w:val="21"/>
          <w:highlight w:val="none"/>
          <w:shd w:val="clear" w:color="auto" w:fill="auto"/>
        </w:rPr>
        <w:t xml:space="preserve">                        地址：                          </w:t>
      </w:r>
    </w:p>
    <w:p>
      <w:pPr>
        <w:widowControl/>
        <w:spacing w:line="360" w:lineRule="auto"/>
        <w:ind w:firstLine="420" w:firstLineChars="200"/>
        <w:jc w:val="left"/>
        <w:rPr>
          <w:rFonts w:ascii="宋体" w:hAnsi="宋体" w:cs="宋体"/>
          <w:bCs/>
          <w:color w:val="auto"/>
          <w:kern w:val="0"/>
          <w:szCs w:val="21"/>
          <w:highlight w:val="none"/>
          <w:shd w:val="clear" w:color="auto" w:fill="auto"/>
        </w:rPr>
      </w:pPr>
    </w:p>
    <w:p>
      <w:pPr>
        <w:widowControl/>
        <w:spacing w:line="360" w:lineRule="auto"/>
        <w:ind w:firstLine="420" w:firstLineChars="200"/>
        <w:jc w:val="left"/>
        <w:rPr>
          <w:rFonts w:ascii="宋体" w:hAnsi="宋体" w:cs="宋体"/>
          <w:bCs/>
          <w:color w:val="auto"/>
          <w:szCs w:val="21"/>
          <w:highlight w:val="none"/>
          <w:shd w:val="clear" w:color="auto" w:fill="auto"/>
        </w:rPr>
      </w:pPr>
      <w:r>
        <w:rPr>
          <w:rFonts w:hint="eastAsia" w:ascii="宋体" w:hAnsi="宋体" w:cs="宋体"/>
          <w:bCs/>
          <w:color w:val="auto"/>
          <w:kern w:val="0"/>
          <w:szCs w:val="21"/>
          <w:highlight w:val="none"/>
          <w:shd w:val="clear" w:color="auto" w:fill="auto"/>
        </w:rPr>
        <w:t>日 期：                                       日期：</w:t>
      </w:r>
    </w:p>
    <w:p>
      <w:pPr>
        <w:pStyle w:val="7"/>
        <w:numPr>
          <w:ilvl w:val="0"/>
          <w:numId w:val="0"/>
        </w:numPr>
        <w:rPr>
          <w:rFonts w:ascii="宋体" w:hAnsi="宋体" w:eastAsia="宋体"/>
          <w:color w:val="auto"/>
          <w:sz w:val="21"/>
          <w:szCs w:val="21"/>
          <w:highlight w:val="none"/>
          <w:shd w:val="clear" w:color="auto" w:fill="auto"/>
        </w:rPr>
      </w:pPr>
    </w:p>
    <w:p>
      <w:pPr>
        <w:pStyle w:val="7"/>
        <w:numPr>
          <w:ilvl w:val="0"/>
          <w:numId w:val="0"/>
        </w:numPr>
        <w:rPr>
          <w:rFonts w:ascii="宋体" w:hAnsi="宋体" w:eastAsia="宋体"/>
          <w:color w:val="auto"/>
          <w:sz w:val="21"/>
          <w:szCs w:val="21"/>
          <w:highlight w:val="none"/>
          <w:shd w:val="clear" w:color="auto" w:fill="auto"/>
        </w:rPr>
      </w:pPr>
    </w:p>
    <w:p>
      <w:pPr>
        <w:rPr>
          <w:color w:val="auto"/>
          <w:highlight w:val="none"/>
          <w:shd w:val="clear" w:color="auto" w:fill="auto"/>
        </w:rPr>
      </w:pPr>
    </w:p>
    <w:p>
      <w:pPr>
        <w:pStyle w:val="7"/>
        <w:numPr>
          <w:ilvl w:val="0"/>
          <w:numId w:val="0"/>
        </w:numPr>
        <w:rPr>
          <w:rFonts w:ascii="宋体" w:hAnsi="宋体" w:eastAsia="宋体"/>
          <w:color w:val="auto"/>
          <w:sz w:val="21"/>
          <w:szCs w:val="21"/>
          <w:highlight w:val="none"/>
          <w:shd w:val="clear" w:color="auto" w:fill="auto"/>
        </w:rPr>
      </w:pPr>
    </w:p>
    <w:p>
      <w:pPr>
        <w:ind w:firstLine="2730" w:firstLineChars="1300"/>
        <w:rPr>
          <w:rFonts w:ascii="黑体" w:hAnsi="黑体" w:eastAsia="黑体" w:cs="黑体"/>
          <w:b/>
          <w:color w:val="auto"/>
          <w:sz w:val="32"/>
          <w:szCs w:val="32"/>
          <w:highlight w:val="none"/>
          <w:shd w:val="clear" w:color="auto" w:fill="auto"/>
        </w:rPr>
      </w:pPr>
      <w:r>
        <w:rPr>
          <w:rFonts w:hint="eastAsia" w:ascii="宋体" w:hAnsi="宋体" w:cs="黑体"/>
          <w:bCs/>
          <w:color w:val="auto"/>
          <w:szCs w:val="21"/>
          <w:highlight w:val="none"/>
          <w:shd w:val="clear" w:color="auto" w:fill="auto"/>
        </w:rPr>
        <w:br w:type="page"/>
      </w:r>
      <w:bookmarkStart w:id="32" w:name="_Toc25473"/>
      <w:r>
        <w:rPr>
          <w:rFonts w:hint="eastAsia" w:ascii="黑体" w:hAnsi="黑体" w:eastAsia="黑体" w:cs="黑体"/>
          <w:color w:val="auto"/>
          <w:sz w:val="32"/>
          <w:szCs w:val="32"/>
          <w:highlight w:val="none"/>
          <w:shd w:val="clear" w:color="auto" w:fill="auto"/>
        </w:rPr>
        <w:t>第四章 技术标准和服务要求</w:t>
      </w:r>
      <w:bookmarkEnd w:id="32"/>
      <w:bookmarkStart w:id="33" w:name="_Toc138638538"/>
      <w:bookmarkEnd w:id="33"/>
      <w:bookmarkStart w:id="34" w:name="_Toc138638718"/>
      <w:bookmarkEnd w:id="34"/>
      <w:bookmarkStart w:id="35" w:name="_Toc138638510"/>
      <w:bookmarkEnd w:id="35"/>
      <w:bookmarkStart w:id="36" w:name="_Toc138638773"/>
      <w:bookmarkEnd w:id="36"/>
      <w:bookmarkStart w:id="37" w:name="_Toc138638906"/>
      <w:bookmarkEnd w:id="37"/>
      <w:bookmarkStart w:id="38" w:name="_Toc138639090"/>
      <w:bookmarkEnd w:id="38"/>
      <w:bookmarkStart w:id="39" w:name="_Toc138638509"/>
      <w:bookmarkEnd w:id="39"/>
      <w:bookmarkStart w:id="40" w:name="_Toc138639145"/>
      <w:bookmarkEnd w:id="40"/>
      <w:bookmarkStart w:id="41" w:name="_Toc138638910"/>
      <w:bookmarkEnd w:id="41"/>
      <w:bookmarkStart w:id="42" w:name="_Toc138639091"/>
      <w:bookmarkEnd w:id="42"/>
      <w:bookmarkStart w:id="43" w:name="_合同文件的组成及解释顺序"/>
      <w:bookmarkEnd w:id="43"/>
      <w:bookmarkStart w:id="44" w:name="_Toc138638534"/>
      <w:bookmarkEnd w:id="44"/>
      <w:bookmarkStart w:id="45" w:name="_Toc138638702"/>
      <w:bookmarkEnd w:id="45"/>
      <w:bookmarkStart w:id="46" w:name="_Toc138638884"/>
      <w:bookmarkEnd w:id="46"/>
      <w:bookmarkStart w:id="47" w:name="_Toc138638883"/>
      <w:bookmarkEnd w:id="47"/>
      <w:bookmarkStart w:id="48" w:name="_Toc138638535"/>
      <w:bookmarkEnd w:id="48"/>
      <w:bookmarkStart w:id="49" w:name="_Toc138638719"/>
      <w:bookmarkEnd w:id="49"/>
      <w:bookmarkStart w:id="50" w:name="_Toc138639074"/>
      <w:bookmarkEnd w:id="50"/>
      <w:bookmarkStart w:id="51" w:name="_Toc138638907"/>
      <w:bookmarkEnd w:id="51"/>
    </w:p>
    <w:p>
      <w:pPr>
        <w:pStyle w:val="10"/>
        <w:rPr>
          <w:rFonts w:cs="宋体"/>
          <w:color w:val="auto"/>
          <w:kern w:val="0"/>
          <w:szCs w:val="21"/>
          <w:highlight w:val="none"/>
          <w:shd w:val="clear" w:color="auto" w:fill="auto"/>
        </w:rPr>
      </w:pPr>
    </w:p>
    <w:p>
      <w:pPr>
        <w:numPr>
          <w:ilvl w:val="0"/>
          <w:numId w:val="4"/>
        </w:numPr>
        <w:tabs>
          <w:tab w:val="center" w:pos="4832"/>
          <w:tab w:val="left" w:pos="7140"/>
        </w:tabs>
        <w:spacing w:line="360" w:lineRule="auto"/>
        <w:jc w:val="center"/>
        <w:outlineLvl w:val="1"/>
        <w:rPr>
          <w:rFonts w:ascii="宋体" w:hAnsi="宋体" w:cs="宋体"/>
          <w:b/>
          <w:color w:val="auto"/>
          <w:szCs w:val="21"/>
          <w:highlight w:val="none"/>
          <w:shd w:val="clear" w:color="auto" w:fill="auto"/>
        </w:rPr>
      </w:pPr>
      <w:bookmarkStart w:id="52" w:name="_Toc16551"/>
      <w:r>
        <w:rPr>
          <w:rFonts w:hint="eastAsia" w:ascii="宋体" w:hAnsi="宋体" w:cs="宋体"/>
          <w:b/>
          <w:bCs/>
          <w:color w:val="auto"/>
          <w:szCs w:val="21"/>
          <w:highlight w:val="none"/>
          <w:shd w:val="clear" w:color="auto" w:fill="auto"/>
        </w:rPr>
        <w:t>重大动物疫病疫苗采购项目需求技术参数</w:t>
      </w:r>
      <w:bookmarkEnd w:id="52"/>
    </w:p>
    <w:p>
      <w:pPr>
        <w:spacing w:line="360" w:lineRule="auto"/>
        <w:ind w:firstLine="435"/>
        <w:rPr>
          <w:rFonts w:ascii="宋体" w:hAnsi="宋体" w:cs="宋体"/>
          <w:color w:val="auto"/>
          <w:szCs w:val="21"/>
          <w:highlight w:val="none"/>
          <w:shd w:val="clear" w:color="auto" w:fill="auto"/>
        </w:rPr>
      </w:pPr>
      <w:r>
        <w:rPr>
          <w:rFonts w:hint="eastAsia" w:ascii="宋体" w:hAnsi="宋体" w:cs="@仿宋_GB2312"/>
          <w:b/>
          <w:color w:val="auto"/>
          <w:szCs w:val="21"/>
          <w:highlight w:val="none"/>
          <w:shd w:val="clear" w:color="auto" w:fill="auto"/>
        </w:rPr>
        <w:t xml:space="preserve"> </w:t>
      </w:r>
      <w:r>
        <w:rPr>
          <w:rFonts w:hint="eastAsia" w:ascii="宋体" w:hAnsi="宋体" w:cs="宋体"/>
          <w:color w:val="auto"/>
          <w:szCs w:val="21"/>
          <w:highlight w:val="none"/>
          <w:shd w:val="clear" w:color="auto" w:fill="auto"/>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pStyle w:val="7"/>
        <w:numPr>
          <w:ilvl w:val="0"/>
          <w:numId w:val="0"/>
        </w:numPr>
        <w:spacing w:line="360" w:lineRule="auto"/>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pStyle w:val="7"/>
        <w:numPr>
          <w:ilvl w:val="0"/>
          <w:numId w:val="0"/>
        </w:numPr>
        <w:spacing w:line="360" w:lineRule="auto"/>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3.投标产品的技术标准应严格执行新疆维吾尔自治区新牧防字【2022】1</w:t>
      </w:r>
      <w:r>
        <w:rPr>
          <w:rFonts w:hint="eastAsia" w:ascii="宋体" w:hAnsi="宋体" w:eastAsia="宋体" w:cs="宋体"/>
          <w:color w:val="auto"/>
          <w:sz w:val="24"/>
          <w:szCs w:val="24"/>
          <w:highlight w:val="none"/>
          <w:shd w:val="clear" w:color="auto" w:fill="auto"/>
        </w:rPr>
        <w:t>号</w:t>
      </w:r>
      <w:r>
        <w:rPr>
          <w:rFonts w:hint="eastAsia" w:ascii="宋体" w:hAnsi="宋体" w:eastAsia="宋体" w:cs="宋体"/>
          <w:color w:val="auto"/>
          <w:sz w:val="21"/>
          <w:szCs w:val="21"/>
          <w:highlight w:val="none"/>
          <w:shd w:val="clear" w:color="auto" w:fill="auto"/>
        </w:rPr>
        <w:t>《关于印发&lt;新疆维吾尔自治区2022年动物疫病免疫计划&gt;的通知》及其附件的相关规定。</w:t>
      </w:r>
    </w:p>
    <w:p>
      <w:pPr>
        <w:pStyle w:val="7"/>
        <w:numPr>
          <w:ilvl w:val="0"/>
          <w:numId w:val="0"/>
        </w:numPr>
        <w:rPr>
          <w:rFonts w:ascii="宋体" w:hAnsi="宋体" w:eastAsia="宋体"/>
          <w:color w:val="auto"/>
          <w:sz w:val="21"/>
          <w:szCs w:val="21"/>
          <w:highlight w:val="none"/>
          <w:shd w:val="clear" w:color="auto" w:fill="auto"/>
        </w:rPr>
      </w:pPr>
    </w:p>
    <w:tbl>
      <w:tblPr>
        <w:tblStyle w:val="20"/>
        <w:tblpPr w:leftFromText="180" w:rightFromText="180" w:vertAnchor="text" w:horzAnchor="page" w:tblpX="1411" w:tblpY="219"/>
        <w:tblOverlap w:val="never"/>
        <w:tblW w:w="9696" w:type="dxa"/>
        <w:tblInd w:w="0" w:type="dxa"/>
        <w:tblLayout w:type="fixed"/>
        <w:tblCellMar>
          <w:top w:w="0" w:type="dxa"/>
          <w:left w:w="0" w:type="dxa"/>
          <w:bottom w:w="0" w:type="dxa"/>
          <w:right w:w="0" w:type="dxa"/>
        </w:tblCellMar>
      </w:tblPr>
      <w:tblGrid>
        <w:gridCol w:w="656"/>
        <w:gridCol w:w="1912"/>
        <w:gridCol w:w="1566"/>
        <w:gridCol w:w="4896"/>
        <w:gridCol w:w="666"/>
      </w:tblGrid>
      <w:tr>
        <w:tblPrEx>
          <w:tblCellMar>
            <w:top w:w="0" w:type="dxa"/>
            <w:left w:w="0" w:type="dxa"/>
            <w:bottom w:w="0" w:type="dxa"/>
            <w:right w:w="0" w:type="dxa"/>
          </w:tblCellMar>
        </w:tblPrEx>
        <w:trPr>
          <w:trHeight w:val="82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序号</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疫苗品名</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作用与用途</w:t>
            </w:r>
          </w:p>
        </w:tc>
        <w:tc>
          <w:tcPr>
            <w:tcW w:w="4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主要技术参数及要求</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数量</w:t>
            </w:r>
          </w:p>
        </w:tc>
      </w:tr>
      <w:tr>
        <w:tblPrEx>
          <w:tblCellMar>
            <w:top w:w="0" w:type="dxa"/>
            <w:left w:w="0" w:type="dxa"/>
            <w:bottom w:w="0" w:type="dxa"/>
            <w:right w:w="0" w:type="dxa"/>
          </w:tblCellMar>
        </w:tblPrEx>
        <w:trPr>
          <w:trHeight w:val="406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bCs/>
                <w:color w:val="auto"/>
                <w:szCs w:val="21"/>
                <w:highlight w:val="none"/>
                <w:shd w:val="clear" w:color="auto" w:fill="auto"/>
              </w:rPr>
            </w:pPr>
            <w:r>
              <w:rPr>
                <w:rFonts w:hint="eastAsia" w:ascii="宋体" w:hAnsi="宋体" w:cs="宋体"/>
                <w:color w:val="auto"/>
                <w:kern w:val="0"/>
                <w:szCs w:val="21"/>
                <w:highlight w:val="none"/>
                <w:shd w:val="clear" w:color="auto" w:fill="auto"/>
                <w:lang w:bidi="ar"/>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color w:val="auto"/>
                <w:szCs w:val="21"/>
                <w:highlight w:val="none"/>
                <w:shd w:val="clear" w:color="auto" w:fill="auto"/>
              </w:rPr>
            </w:pPr>
            <w:r>
              <w:rPr>
                <w:rFonts w:hint="eastAsia" w:ascii="宋体" w:hAnsi="宋体" w:cs="宋体"/>
                <w:color w:val="auto"/>
                <w:szCs w:val="21"/>
                <w:highlight w:val="none"/>
                <w:shd w:val="clear" w:color="auto" w:fill="auto"/>
              </w:rPr>
              <w:t>牛羊用口蹄疫O型、A型二价灭活疫苗（O/MYA98/BY/2010 株或OHM/02株或O/HB/HK/99株+AKT-Ⅲ株或Re-A/WH/09 株或AF/72株）</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color w:val="auto"/>
                <w:szCs w:val="21"/>
                <w:highlight w:val="none"/>
                <w:shd w:val="clear" w:color="auto" w:fill="auto"/>
              </w:rPr>
            </w:pPr>
            <w:r>
              <w:rPr>
                <w:rFonts w:hint="eastAsia" w:ascii="宋体" w:hAnsi="宋体" w:cs="宋体"/>
                <w:color w:val="auto"/>
                <w:kern w:val="0"/>
                <w:szCs w:val="21"/>
                <w:highlight w:val="none"/>
                <w:shd w:val="clear" w:color="auto" w:fill="auto"/>
                <w:lang w:bidi="ar"/>
              </w:rPr>
              <w:t>用于预防牛、羊O型、A型口蹄疫</w:t>
            </w:r>
          </w:p>
        </w:tc>
        <w:tc>
          <w:tcPr>
            <w:tcW w:w="4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Style w:val="30"/>
                <w:rFonts w:ascii="宋体" w:hAnsi="宋体" w:eastAsia="宋体" w:cs="宋体"/>
                <w:color w:val="auto"/>
                <w:sz w:val="21"/>
                <w:szCs w:val="21"/>
                <w:highlight w:val="none"/>
                <w:shd w:val="clear" w:color="auto" w:fill="auto"/>
                <w:lang w:bidi="ar"/>
              </w:rPr>
            </w:pPr>
            <w:r>
              <w:rPr>
                <w:rStyle w:val="30"/>
                <w:rFonts w:hint="eastAsia" w:ascii="宋体" w:hAnsi="宋体" w:eastAsia="宋体" w:cs="宋体"/>
                <w:color w:val="auto"/>
                <w:sz w:val="21"/>
                <w:szCs w:val="21"/>
                <w:highlight w:val="none"/>
                <w:shd w:val="clear" w:color="auto" w:fill="auto"/>
                <w:lang w:bidi="ar"/>
              </w:rPr>
              <w:t>1.规格：50、100毫升/瓶。</w:t>
            </w:r>
          </w:p>
          <w:p>
            <w:pPr>
              <w:widowControl/>
              <w:spacing w:line="360" w:lineRule="auto"/>
              <w:jc w:val="left"/>
              <w:textAlignment w:val="center"/>
              <w:rPr>
                <w:rStyle w:val="30"/>
                <w:rFonts w:ascii="宋体" w:hAnsi="宋体" w:eastAsia="宋体" w:cs="宋体"/>
                <w:color w:val="auto"/>
                <w:sz w:val="21"/>
                <w:szCs w:val="21"/>
                <w:highlight w:val="none"/>
                <w:shd w:val="clear" w:color="auto" w:fill="auto"/>
                <w:lang w:bidi="ar"/>
              </w:rPr>
            </w:pPr>
            <w:r>
              <w:rPr>
                <w:rStyle w:val="30"/>
                <w:rFonts w:hint="eastAsia" w:ascii="宋体" w:hAnsi="宋体" w:eastAsia="宋体" w:cs="宋体"/>
                <w:color w:val="auto"/>
                <w:sz w:val="21"/>
                <w:szCs w:val="21"/>
                <w:highlight w:val="none"/>
                <w:shd w:val="clear" w:color="auto" w:fill="auto"/>
                <w:lang w:bidi="ar"/>
              </w:rPr>
              <w:t>2.贮藏与有效期：在2-8℃保存，有效期为12个月。</w:t>
            </w:r>
          </w:p>
          <w:p>
            <w:pPr>
              <w:widowControl/>
              <w:spacing w:line="360" w:lineRule="auto"/>
              <w:jc w:val="left"/>
              <w:textAlignment w:val="center"/>
              <w:rPr>
                <w:rStyle w:val="30"/>
                <w:rFonts w:ascii="宋体" w:hAnsi="宋体" w:eastAsia="宋体" w:cs="宋体"/>
                <w:color w:val="auto"/>
                <w:sz w:val="21"/>
                <w:szCs w:val="21"/>
                <w:highlight w:val="none"/>
                <w:shd w:val="clear" w:color="auto" w:fill="auto"/>
                <w:lang w:bidi="ar"/>
              </w:rPr>
            </w:pPr>
            <w:r>
              <w:rPr>
                <w:rStyle w:val="30"/>
                <w:rFonts w:hint="eastAsia" w:ascii="宋体" w:hAnsi="宋体" w:eastAsia="宋体" w:cs="宋体"/>
                <w:color w:val="auto"/>
                <w:sz w:val="21"/>
                <w:szCs w:val="21"/>
                <w:highlight w:val="none"/>
                <w:shd w:val="clear" w:color="auto" w:fill="auto"/>
                <w:lang w:bidi="ar"/>
              </w:rPr>
              <w:t>3.产品的安全检验指标应符合中国兽医药品监察所审核认可的“兽用生物制品生产与检验报告”要求，</w:t>
            </w:r>
            <w:r>
              <w:rPr>
                <w:rFonts w:hint="eastAsia" w:ascii="宋体" w:hAnsi="宋体" w:cs="宋体"/>
                <w:color w:val="auto"/>
                <w:kern w:val="0"/>
                <w:szCs w:val="21"/>
                <w:highlight w:val="none"/>
                <w:shd w:val="clear" w:color="auto" w:fill="auto"/>
                <w:lang w:bidi="ar"/>
              </w:rPr>
              <w:t>免疫保护期持续</w:t>
            </w:r>
            <w:r>
              <w:rPr>
                <w:rStyle w:val="30"/>
                <w:rFonts w:hint="eastAsia" w:ascii="宋体" w:hAnsi="宋体" w:eastAsia="宋体" w:cs="宋体"/>
                <w:color w:val="auto"/>
                <w:sz w:val="21"/>
                <w:szCs w:val="21"/>
                <w:highlight w:val="none"/>
                <w:shd w:val="clear" w:color="auto" w:fill="auto"/>
                <w:lang w:bidi="ar"/>
              </w:rPr>
              <w:t>6个月以上。</w:t>
            </w:r>
          </w:p>
          <w:p>
            <w:pPr>
              <w:widowControl/>
              <w:spacing w:line="360" w:lineRule="auto"/>
              <w:jc w:val="left"/>
              <w:textAlignment w:val="center"/>
              <w:rPr>
                <w:rStyle w:val="30"/>
                <w:rFonts w:ascii="宋体" w:hAnsi="宋体" w:eastAsia="宋体" w:cs="宋体"/>
                <w:color w:val="auto"/>
                <w:sz w:val="21"/>
                <w:szCs w:val="21"/>
                <w:highlight w:val="none"/>
                <w:shd w:val="clear" w:color="auto" w:fill="auto"/>
                <w:lang w:bidi="ar"/>
              </w:rPr>
            </w:pPr>
            <w:r>
              <w:rPr>
                <w:rStyle w:val="30"/>
                <w:rFonts w:hint="eastAsia" w:ascii="宋体" w:hAnsi="宋体" w:eastAsia="宋体" w:cs="宋体"/>
                <w:color w:val="auto"/>
                <w:sz w:val="21"/>
                <w:szCs w:val="21"/>
                <w:highlight w:val="none"/>
                <w:shd w:val="clear" w:color="auto" w:fill="auto"/>
                <w:lang w:bidi="ar"/>
              </w:rPr>
              <w:t>4.交货时产品有效期在</w:t>
            </w:r>
            <w:r>
              <w:rPr>
                <w:rStyle w:val="30"/>
                <w:rFonts w:hint="eastAsia" w:ascii="宋体" w:hAnsi="宋体" w:cs="宋体"/>
                <w:color w:val="auto"/>
                <w:sz w:val="21"/>
                <w:szCs w:val="21"/>
                <w:highlight w:val="none"/>
                <w:shd w:val="clear" w:color="auto" w:fill="auto"/>
                <w:lang w:bidi="ar"/>
              </w:rPr>
              <w:t>9</w:t>
            </w:r>
            <w:r>
              <w:rPr>
                <w:rStyle w:val="30"/>
                <w:rFonts w:hint="eastAsia" w:ascii="宋体" w:hAnsi="宋体" w:eastAsia="宋体" w:cs="宋体"/>
                <w:color w:val="auto"/>
                <w:sz w:val="21"/>
                <w:szCs w:val="21"/>
                <w:highlight w:val="none"/>
                <w:shd w:val="clear" w:color="auto" w:fill="auto"/>
                <w:lang w:bidi="ar"/>
              </w:rPr>
              <w:t>个月以上。</w:t>
            </w:r>
          </w:p>
          <w:p>
            <w:pPr>
              <w:spacing w:line="360" w:lineRule="auto"/>
              <w:rPr>
                <w:rFonts w:ascii="宋体" w:hAnsi="宋体" w:cs="宋体"/>
                <w:b/>
                <w:bCs/>
                <w:color w:val="auto"/>
                <w:szCs w:val="21"/>
                <w:highlight w:val="none"/>
                <w:shd w:val="clear" w:color="auto" w:fill="auto"/>
              </w:rPr>
            </w:pPr>
            <w:r>
              <w:rPr>
                <w:rStyle w:val="30"/>
                <w:rFonts w:hint="eastAsia" w:ascii="宋体" w:hAnsi="宋体" w:eastAsia="宋体" w:cs="宋体"/>
                <w:color w:val="auto"/>
                <w:sz w:val="21"/>
                <w:szCs w:val="21"/>
                <w:highlight w:val="none"/>
                <w:shd w:val="clear" w:color="auto" w:fill="auto"/>
                <w:lang w:bidi="ar"/>
              </w:rPr>
              <w:t>5.采用206油佐剂生产；效力检验，每头份疫苗应至少含牛口蹄疫0型、A型各</w:t>
            </w:r>
            <w:r>
              <w:rPr>
                <w:rFonts w:hint="eastAsia" w:ascii="宋体" w:hAnsi="宋体" w:cs="宋体"/>
                <w:color w:val="auto"/>
                <w:szCs w:val="21"/>
                <w:highlight w:val="none"/>
                <w:shd w:val="clear" w:color="auto" w:fill="auto"/>
              </w:rPr>
              <w:t>6PD</w:t>
            </w:r>
            <w:r>
              <w:rPr>
                <w:rFonts w:hint="eastAsia" w:ascii="宋体" w:hAnsi="宋体" w:cs="宋体"/>
                <w:color w:val="auto"/>
                <w:sz w:val="15"/>
                <w:szCs w:val="15"/>
                <w:highlight w:val="none"/>
                <w:shd w:val="clear" w:color="auto" w:fill="auto"/>
              </w:rPr>
              <w:t>50</w:t>
            </w:r>
            <w:r>
              <w:rPr>
                <w:rStyle w:val="30"/>
                <w:rFonts w:hint="eastAsia" w:ascii="宋体" w:hAnsi="宋体" w:eastAsia="宋体" w:cs="宋体"/>
                <w:color w:val="auto"/>
                <w:sz w:val="21"/>
                <w:szCs w:val="21"/>
                <w:highlight w:val="none"/>
                <w:shd w:val="clear" w:color="auto" w:fill="auto"/>
                <w:lang w:bidi="ar"/>
              </w:rPr>
              <w:t>；内毒素含量不高于50EU/毫升；总蛋白含量不高于350ug/毫升。</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950万毫升</w:t>
            </w:r>
          </w:p>
        </w:tc>
      </w:tr>
      <w:tr>
        <w:tblPrEx>
          <w:tblCellMar>
            <w:top w:w="0" w:type="dxa"/>
            <w:left w:w="0" w:type="dxa"/>
            <w:bottom w:w="0" w:type="dxa"/>
            <w:right w:w="0" w:type="dxa"/>
          </w:tblCellMar>
        </w:tblPrEx>
        <w:trPr>
          <w:trHeight w:val="2182" w:hRule="atLeast"/>
        </w:trPr>
        <w:tc>
          <w:tcPr>
            <w:tcW w:w="9696" w:type="dxa"/>
            <w:gridSpan w:val="5"/>
            <w:tcBorders>
              <w:top w:val="nil"/>
              <w:left w:val="nil"/>
              <w:bottom w:val="nil"/>
              <w:right w:val="nil"/>
            </w:tcBorders>
            <w:shd w:val="clear" w:color="auto" w:fill="auto"/>
            <w:tcMar>
              <w:top w:w="15" w:type="dxa"/>
              <w:left w:w="15" w:type="dxa"/>
              <w:right w:w="15" w:type="dxa"/>
            </w:tcMar>
            <w:vAlign w:val="center"/>
          </w:tcPr>
          <w:p>
            <w:pPr>
              <w:widowControl/>
              <w:spacing w:line="276" w:lineRule="auto"/>
              <w:jc w:val="left"/>
              <w:textAlignment w:val="center"/>
              <w:rPr>
                <w:rFonts w:ascii="宋体" w:hAnsi="宋体" w:cs="等线"/>
                <w:color w:val="auto"/>
                <w:kern w:val="0"/>
                <w:szCs w:val="21"/>
                <w:highlight w:val="none"/>
                <w:shd w:val="clear" w:color="auto" w:fill="auto"/>
                <w:lang w:bidi="ar"/>
              </w:rPr>
            </w:pPr>
            <w:r>
              <w:rPr>
                <w:rFonts w:ascii="宋体" w:hAnsi="宋体" w:cs="等线"/>
                <w:color w:val="auto"/>
                <w:kern w:val="0"/>
                <w:szCs w:val="21"/>
                <w:highlight w:val="none"/>
                <w:shd w:val="clear" w:color="auto" w:fill="auto"/>
                <w:lang w:bidi="ar"/>
              </w:rPr>
              <w:t>1、产品质量及技术标准应符合或遵守《中华人民共和国兽用生物制品生产规程》《中华人民共和国兽用生物制品质量标准》及颁布的相应产品质量标准。</w:t>
            </w:r>
          </w:p>
          <w:p>
            <w:pPr>
              <w:widowControl/>
              <w:spacing w:line="276" w:lineRule="auto"/>
              <w:jc w:val="left"/>
              <w:textAlignment w:val="center"/>
              <w:rPr>
                <w:rFonts w:ascii="宋体" w:hAnsi="宋体" w:cs="等线"/>
                <w:color w:val="auto"/>
                <w:kern w:val="0"/>
                <w:szCs w:val="21"/>
                <w:highlight w:val="none"/>
                <w:shd w:val="clear" w:color="auto" w:fill="auto"/>
                <w:lang w:bidi="ar"/>
              </w:rPr>
            </w:pPr>
            <w:r>
              <w:rPr>
                <w:rFonts w:ascii="宋体" w:hAnsi="宋体" w:cs="等线"/>
                <w:color w:val="auto"/>
                <w:kern w:val="0"/>
                <w:szCs w:val="21"/>
                <w:highlight w:val="none"/>
                <w:shd w:val="clear" w:color="auto" w:fill="auto"/>
                <w:lang w:bidi="ar"/>
              </w:rPr>
              <w:t>2、产品的物理性状、无菌检验、安全检验、效力检验等指标应出具中国兽医药品监察所审核认可的“兽用生物制品生产与检验报告”（批签发记录）。</w:t>
            </w:r>
          </w:p>
          <w:p>
            <w:pPr>
              <w:widowControl/>
              <w:spacing w:line="276" w:lineRule="auto"/>
              <w:jc w:val="left"/>
              <w:textAlignment w:val="center"/>
              <w:rPr>
                <w:rFonts w:ascii="宋体" w:hAnsi="宋体" w:cs="等线"/>
                <w:color w:val="auto"/>
                <w:kern w:val="0"/>
                <w:szCs w:val="21"/>
                <w:highlight w:val="none"/>
                <w:shd w:val="clear" w:color="auto" w:fill="auto"/>
                <w:lang w:bidi="ar"/>
              </w:rPr>
            </w:pPr>
            <w:r>
              <w:rPr>
                <w:rFonts w:ascii="宋体" w:hAnsi="宋体" w:cs="等线"/>
                <w:color w:val="auto"/>
                <w:kern w:val="0"/>
                <w:szCs w:val="21"/>
                <w:highlight w:val="none"/>
                <w:shd w:val="clear" w:color="auto" w:fill="auto"/>
                <w:lang w:bidi="ar"/>
              </w:rPr>
              <w:t>3、投标单位应在投标文件中提供农业部备案的兽药注册目录，质量标准、说明书和标签。</w:t>
            </w:r>
          </w:p>
          <w:p>
            <w:pPr>
              <w:widowControl/>
              <w:spacing w:line="360" w:lineRule="auto"/>
              <w:jc w:val="left"/>
              <w:textAlignment w:val="center"/>
              <w:rPr>
                <w:rFonts w:ascii="宋体" w:hAnsi="宋体" w:cs="等线"/>
                <w:color w:val="auto"/>
                <w:szCs w:val="21"/>
                <w:highlight w:val="none"/>
                <w:shd w:val="clear" w:color="auto" w:fill="auto"/>
              </w:rPr>
            </w:pPr>
            <w:r>
              <w:rPr>
                <w:rFonts w:ascii="宋体" w:hAnsi="宋体" w:cs="等线"/>
                <w:color w:val="auto"/>
                <w:kern w:val="0"/>
                <w:szCs w:val="21"/>
                <w:highlight w:val="none"/>
                <w:shd w:val="clear" w:color="auto" w:fill="auto"/>
                <w:lang w:bidi="ar"/>
              </w:rPr>
              <w:t>4、招标之前或之后，如遇农业农村部政策调整，有关疫苗毒株变更，相应产品直接变更。</w:t>
            </w:r>
          </w:p>
        </w:tc>
      </w:tr>
    </w:tbl>
    <w:p>
      <w:pPr>
        <w:pStyle w:val="10"/>
        <w:rPr>
          <w:rFonts w:cs="宋体"/>
          <w:b/>
          <w:color w:val="auto"/>
          <w:szCs w:val="21"/>
          <w:highlight w:val="none"/>
          <w:shd w:val="clear" w:color="auto" w:fill="auto"/>
        </w:rPr>
      </w:pPr>
    </w:p>
    <w:p>
      <w:pPr>
        <w:pStyle w:val="10"/>
        <w:rPr>
          <w:rFonts w:cs="宋体"/>
          <w:b/>
          <w:color w:val="auto"/>
          <w:szCs w:val="21"/>
          <w:highlight w:val="none"/>
          <w:shd w:val="clear" w:color="auto" w:fill="auto"/>
        </w:rPr>
      </w:pPr>
    </w:p>
    <w:p>
      <w:pPr>
        <w:rPr>
          <w:rFonts w:ascii="宋体" w:hAnsi="宋体" w:cs="宋体"/>
          <w:b/>
          <w:color w:val="auto"/>
          <w:szCs w:val="21"/>
          <w:highlight w:val="none"/>
          <w:shd w:val="clear" w:color="auto" w:fill="auto"/>
        </w:rPr>
      </w:pPr>
      <w:bookmarkStart w:id="53" w:name="_Toc30472"/>
      <w:r>
        <w:rPr>
          <w:rFonts w:hint="eastAsia" w:ascii="宋体" w:hAnsi="宋体" w:cs="宋体"/>
          <w:b/>
          <w:color w:val="auto"/>
          <w:szCs w:val="21"/>
          <w:highlight w:val="none"/>
          <w:shd w:val="clear" w:color="auto" w:fill="auto"/>
        </w:rPr>
        <w:br w:type="page"/>
      </w:r>
    </w:p>
    <w:p>
      <w:pPr>
        <w:tabs>
          <w:tab w:val="center" w:pos="4832"/>
          <w:tab w:val="left" w:pos="7140"/>
        </w:tabs>
        <w:spacing w:line="360" w:lineRule="auto"/>
        <w:jc w:val="center"/>
        <w:outlineLvl w:val="1"/>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第二节 供货服务要求</w:t>
      </w:r>
      <w:bookmarkEnd w:id="53"/>
      <w:bookmarkStart w:id="54" w:name="_Toc26951"/>
      <w:bookmarkStart w:id="55" w:name="_Toc17208"/>
    </w:p>
    <w:bookmarkEnd w:id="54"/>
    <w:bookmarkEnd w:id="55"/>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bookmarkStart w:id="56" w:name="_Toc18492"/>
      <w:r>
        <w:rPr>
          <w:rFonts w:hint="eastAsia" w:ascii="宋体" w:hAnsi="宋体" w:cs="宋体"/>
          <w:b/>
          <w:color w:val="auto"/>
          <w:szCs w:val="21"/>
          <w:highlight w:val="none"/>
          <w:shd w:val="clear" w:color="auto" w:fill="auto"/>
        </w:rPr>
        <w:t>2.1</w:t>
      </w:r>
      <w:r>
        <w:rPr>
          <w:rFonts w:ascii="宋体" w:hAnsi="宋体" w:cs="宋体"/>
          <w:b/>
          <w:color w:val="auto"/>
          <w:szCs w:val="21"/>
          <w:highlight w:val="none"/>
          <w:shd w:val="clear" w:color="auto" w:fill="auto"/>
        </w:rPr>
        <w:t xml:space="preserve"> </w:t>
      </w:r>
      <w:r>
        <w:rPr>
          <w:rFonts w:hint="eastAsia" w:ascii="宋体" w:hAnsi="宋体" w:cs="宋体"/>
          <w:b/>
          <w:color w:val="auto"/>
          <w:szCs w:val="21"/>
          <w:highlight w:val="none"/>
          <w:shd w:val="clear" w:color="auto" w:fill="auto"/>
        </w:rPr>
        <w:t>供货期、地点、运输方式及验收方式</w:t>
      </w:r>
      <w:bookmarkEnd w:id="56"/>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2.1.1 供货期：合同签订后15日历日内交付使用（具体以采购人通知的时间为准）。</w:t>
      </w:r>
    </w:p>
    <w:p>
      <w:pPr>
        <w:spacing w:line="360" w:lineRule="auto"/>
        <w:ind w:firstLine="420" w:firstLineChars="20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2.1.2 交货地点：</w:t>
      </w:r>
      <w:r>
        <w:rPr>
          <w:rFonts w:hint="eastAsia" w:ascii="宋体" w:hAnsi="宋体" w:cs="宋体"/>
          <w:color w:val="auto"/>
          <w:kern w:val="0"/>
          <w:szCs w:val="21"/>
          <w:highlight w:val="none"/>
          <w:shd w:val="clear" w:color="auto" w:fill="auto"/>
        </w:rPr>
        <w:t>中标企业通过冷链运输疫苗送达至采购人指定地点。</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2.1.3 运输要求：由中标企业（以下简称乙方）通过冷链运输疫苗，送至采购人指定地点，专用疫苗冷链运输，必须有连续温度监控仪，内包装有泡沫保温箱、外包装使用纸箱，供货后必须向收货方和采购方提供出库单据、与实物相对应批号的兽用生物制品生产与中监所的批签发报告和温度监控记录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2.1.4 验收方式</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⑴ 乙方必须保证所供应疫苗有效期应满足甲方要求（详见：“招标项目技术需求”中的“主要技术参数”）。</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⑵ 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⑶ 产品说明书内注意事项与瓶签说明必须一致。</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⑷ 在甲方查验货物时如数量少于定货数量，以甲方实际收到的数量为准，按甲方要求决定是否补发；如数量多于定货数量，由甲方根据需要决定接受或退货。</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⑸ 疫苗在运输过程中出现的破损或失效由乙方负责。</w:t>
      </w:r>
    </w:p>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bookmarkStart w:id="57" w:name="_Toc16729"/>
      <w:bookmarkStart w:id="58" w:name="_Toc8866"/>
      <w:bookmarkStart w:id="59" w:name="_Toc28983"/>
      <w:bookmarkStart w:id="60" w:name="_Toc27018_WPSOffice_Level1"/>
      <w:bookmarkStart w:id="61" w:name="_Toc439255246"/>
      <w:r>
        <w:rPr>
          <w:rFonts w:hint="eastAsia" w:ascii="宋体" w:hAnsi="宋体" w:cs="宋体"/>
          <w:b/>
          <w:color w:val="auto"/>
          <w:szCs w:val="21"/>
          <w:highlight w:val="none"/>
          <w:shd w:val="clear" w:color="auto" w:fill="auto"/>
        </w:rPr>
        <w:t>2.</w:t>
      </w:r>
      <w:r>
        <w:rPr>
          <w:rFonts w:ascii="宋体" w:hAnsi="宋体" w:cs="宋体"/>
          <w:b/>
          <w:color w:val="auto"/>
          <w:szCs w:val="21"/>
          <w:highlight w:val="none"/>
          <w:shd w:val="clear" w:color="auto" w:fill="auto"/>
        </w:rPr>
        <w:t xml:space="preserve">2 </w:t>
      </w:r>
      <w:r>
        <w:rPr>
          <w:rFonts w:hint="eastAsia" w:ascii="宋体" w:hAnsi="宋体" w:cs="宋体"/>
          <w:b/>
          <w:color w:val="auto"/>
          <w:szCs w:val="21"/>
          <w:highlight w:val="none"/>
          <w:shd w:val="clear" w:color="auto" w:fill="auto"/>
        </w:rPr>
        <w:t>质量责任</w:t>
      </w:r>
      <w:bookmarkEnd w:id="57"/>
      <w:bookmarkEnd w:id="58"/>
      <w:bookmarkEnd w:id="59"/>
    </w:p>
    <w:bookmarkEnd w:id="60"/>
    <w:bookmarkEnd w:id="61"/>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2.2.2 在使用疫苗过程中出现的苗源反应引起的畜禽死亡或因免疫失败而导致疫情暴发的均由乙方负责处理，并且对造成的损失给予经济赔偿。</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⑴ 因注射疫苗引起的畜禽副反应或死亡，经双方联合调查确认后，由乙方负责对造成的损失给予赔偿。</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⑵ 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⑶ 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⑷ 若在疫苗的使用过程中，发现乙方所提供的全部产品出现质量问题，甲方有权停止采购该分包的产品，并将相关情况上报给采购计划主管部门和农业农村部备案，终止该乙方的采购合同，并追究其违约责任。</w:t>
      </w:r>
    </w:p>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bookmarkStart w:id="62" w:name="_Toc24342"/>
      <w:bookmarkStart w:id="63" w:name="_Toc10385"/>
      <w:bookmarkStart w:id="64" w:name="_Toc16176"/>
      <w:bookmarkStart w:id="65" w:name="_Toc439255248"/>
      <w:bookmarkStart w:id="66" w:name="_Toc7742_WPSOffice_Level1"/>
      <w:bookmarkStart w:id="67" w:name="_Toc267320050"/>
      <w:r>
        <w:rPr>
          <w:rFonts w:hint="eastAsia" w:ascii="宋体" w:hAnsi="宋体" w:cs="宋体"/>
          <w:b/>
          <w:color w:val="auto"/>
          <w:szCs w:val="21"/>
          <w:highlight w:val="none"/>
          <w:shd w:val="clear" w:color="auto" w:fill="auto"/>
        </w:rPr>
        <w:t>2.3</w:t>
      </w:r>
      <w:r>
        <w:rPr>
          <w:rFonts w:ascii="宋体" w:hAnsi="宋体" w:cs="宋体"/>
          <w:b/>
          <w:color w:val="auto"/>
          <w:szCs w:val="21"/>
          <w:highlight w:val="none"/>
          <w:shd w:val="clear" w:color="auto" w:fill="auto"/>
        </w:rPr>
        <w:t xml:space="preserve"> </w:t>
      </w:r>
      <w:r>
        <w:rPr>
          <w:rFonts w:hint="eastAsia" w:ascii="宋体" w:hAnsi="宋体" w:cs="宋体"/>
          <w:b/>
          <w:color w:val="auto"/>
          <w:szCs w:val="21"/>
          <w:highlight w:val="none"/>
          <w:shd w:val="clear" w:color="auto" w:fill="auto"/>
        </w:rPr>
        <w:t>质量保证</w:t>
      </w:r>
      <w:bookmarkEnd w:id="62"/>
      <w:bookmarkEnd w:id="63"/>
      <w:r>
        <w:rPr>
          <w:rFonts w:hint="eastAsia" w:ascii="宋体" w:hAnsi="宋体" w:cs="宋体"/>
          <w:b/>
          <w:color w:val="auto"/>
          <w:szCs w:val="21"/>
          <w:highlight w:val="none"/>
          <w:shd w:val="clear" w:color="auto" w:fill="auto"/>
        </w:rPr>
        <w:t>及售后服务</w:t>
      </w:r>
      <w:bookmarkEnd w:id="64"/>
    </w:p>
    <w:bookmarkEnd w:id="65"/>
    <w:bookmarkEnd w:id="66"/>
    <w:bookmarkEnd w:id="67"/>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2.3.1 培训：采购方根据供货服务商的承诺，协商免费培训时间、地点及方式，使采购人的使用人员能够正常操作相关设备。 </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2.3.2 优惠承诺：按照投标人承诺为准。</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2.3.3 投标人需要其他详细阐明的：</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⑴ 所投货物的免费质量保证期：按生产商及国家有关规定。</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⑵ 质保期内服务基本要求：</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①交货时采购人对产品进行抽检，发现产品有沉淀、混浊、变色、分层等现象，采购人拒收，并要求中标人重新发货。并承担所有费用，更换疫苗到达最终用户地不得超过12小时。</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微软雅黑"/>
          <w:color w:val="auto"/>
          <w:szCs w:val="21"/>
          <w:highlight w:val="none"/>
          <w:shd w:val="clear" w:color="auto" w:fill="auto"/>
        </w:rPr>
        <w:t>②</w:t>
      </w:r>
      <w:r>
        <w:rPr>
          <w:rFonts w:hint="eastAsia" w:ascii="宋体" w:hAnsi="宋体" w:cs="宋体"/>
          <w:color w:val="auto"/>
          <w:szCs w:val="21"/>
          <w:highlight w:val="none"/>
          <w:shd w:val="clear" w:color="auto" w:fill="auto"/>
        </w:rPr>
        <w:t>供货服务商在疫苗质保期内保证疫苗的质量，在有效期内对因检定表明是疫苗质量引起的任何缺陷，实施更换和其它补偿。</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olor w:val="auto"/>
          <w:szCs w:val="21"/>
          <w:highlight w:val="none"/>
          <w:shd w:val="clear" w:color="auto" w:fill="auto"/>
        </w:rPr>
        <w:t>交货时疫苗有效期不得低于中标人在投标文件中承诺的有效期时长，且包装规格必须与投标文件承诺一致，</w:t>
      </w:r>
      <w:r>
        <w:rPr>
          <w:rFonts w:hint="eastAsia" w:ascii="宋体" w:hAnsi="宋体" w:cs="宋体"/>
          <w:color w:val="auto"/>
          <w:szCs w:val="21"/>
          <w:highlight w:val="none"/>
          <w:shd w:val="clear" w:color="auto" w:fill="auto"/>
        </w:rPr>
        <w:t>疫苗的供货有效期有效（详见：“招标项目技术标准和服务要求”中的“主要技术参数”中的具体要求）</w:t>
      </w:r>
      <w:r>
        <w:rPr>
          <w:rFonts w:hint="eastAsia" w:ascii="宋体" w:hAnsi="宋体"/>
          <w:color w:val="auto"/>
          <w:szCs w:val="21"/>
          <w:highlight w:val="none"/>
          <w:shd w:val="clear" w:color="auto" w:fill="auto"/>
        </w:rPr>
        <w:t>否则采购人拒收，并要求中标人重新发货</w:t>
      </w:r>
      <w:r>
        <w:rPr>
          <w:rFonts w:hint="eastAsia" w:ascii="宋体" w:hAnsi="宋体" w:cs="宋体"/>
          <w:color w:val="auto"/>
          <w:szCs w:val="21"/>
          <w:highlight w:val="none"/>
          <w:shd w:val="clear" w:color="auto" w:fill="auto"/>
        </w:rPr>
        <w:t>。</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w:t>
      </w:r>
      <w:r>
        <w:rPr>
          <w:rFonts w:hint="eastAsia" w:ascii="宋体" w:hAnsi="宋体"/>
          <w:color w:val="auto"/>
          <w:szCs w:val="21"/>
          <w:highlight w:val="none"/>
          <w:shd w:val="clear" w:color="auto" w:fill="auto"/>
        </w:rPr>
        <w:t>交货时需提供产品出厂合格证、使用说明书和中国兽医药品监察所对该批产品的批签发报告扫描件。</w:t>
      </w:r>
      <w:r>
        <w:rPr>
          <w:rFonts w:hint="eastAsia" w:ascii="宋体" w:hAnsi="宋体" w:cs="宋体"/>
          <w:color w:val="auto"/>
          <w:szCs w:val="21"/>
          <w:highlight w:val="none"/>
          <w:shd w:val="clear" w:color="auto" w:fill="auto"/>
        </w:rPr>
        <w:t>质保期内供货服务商接到甲方产品出现问题的通知后，至少满足12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color w:val="auto"/>
          <w:szCs w:val="21"/>
          <w:highlight w:val="none"/>
          <w:shd w:val="clear" w:color="auto" w:fill="auto"/>
        </w:rPr>
        <w:t>中标人</w:t>
      </w:r>
      <w:r>
        <w:rPr>
          <w:rFonts w:hint="eastAsia" w:ascii="宋体" w:hAnsi="宋体" w:cs="宋体"/>
          <w:color w:val="auto"/>
          <w:szCs w:val="21"/>
          <w:highlight w:val="none"/>
          <w:shd w:val="clear" w:color="auto" w:fill="auto"/>
        </w:rPr>
        <w:t>自行负责，采购方立即停止合同。</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⑶ 质保期外服务基本要求：</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供货服务商接到使用方产品出现问题的通知后，12小时内到达产品现场，进行处理，并提供预防接种异常反应处理方案。</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2.3.4 售后服务和技术支持要求 </w:t>
      </w:r>
    </w:p>
    <w:p>
      <w:pPr>
        <w:spacing w:line="360" w:lineRule="auto"/>
        <w:ind w:firstLine="420" w:firstLineChars="200"/>
        <w:rPr>
          <w:rFonts w:ascii="宋体" w:hAnsi="宋体"/>
          <w:color w:val="auto"/>
          <w:szCs w:val="21"/>
          <w:highlight w:val="none"/>
          <w:shd w:val="clear" w:color="auto" w:fill="auto"/>
        </w:rPr>
      </w:pPr>
      <w:r>
        <w:rPr>
          <w:rFonts w:hint="eastAsia" w:ascii="宋体" w:hAnsi="宋体" w:cs="宋体"/>
          <w:color w:val="auto"/>
          <w:szCs w:val="21"/>
          <w:highlight w:val="none"/>
          <w:shd w:val="clear" w:color="auto" w:fill="auto"/>
        </w:rPr>
        <w:t xml:space="preserve">⑴ </w:t>
      </w:r>
      <w:r>
        <w:rPr>
          <w:rFonts w:hint="eastAsia" w:ascii="宋体" w:hAnsi="宋体"/>
          <w:color w:val="auto"/>
          <w:szCs w:val="21"/>
          <w:highlight w:val="none"/>
          <w:shd w:val="clear" w:color="auto" w:fill="auto"/>
        </w:rPr>
        <w:t>送货地点为</w:t>
      </w:r>
      <w:r>
        <w:rPr>
          <w:rFonts w:hint="eastAsia" w:ascii="宋体" w:hAnsi="宋体" w:cs="Arial"/>
          <w:color w:val="auto"/>
          <w:kern w:val="0"/>
          <w:szCs w:val="21"/>
          <w:highlight w:val="none"/>
          <w:shd w:val="clear" w:color="auto" w:fill="auto"/>
        </w:rPr>
        <w:t>采购人指定地点（</w:t>
      </w:r>
      <w:r>
        <w:rPr>
          <w:rFonts w:hint="eastAsia" w:ascii="宋体" w:hAnsi="宋体" w:cs="宋体"/>
          <w:bCs/>
          <w:color w:val="auto"/>
          <w:szCs w:val="21"/>
          <w:highlight w:val="none"/>
          <w:shd w:val="clear" w:color="auto" w:fill="auto"/>
        </w:rPr>
        <w:t>伊犁哈萨克自治州动物疾病控制与诊断中心</w:t>
      </w:r>
      <w:r>
        <w:rPr>
          <w:rFonts w:hint="eastAsia" w:ascii="宋体" w:hAnsi="宋体" w:cs="Arial"/>
          <w:color w:val="auto"/>
          <w:kern w:val="0"/>
          <w:szCs w:val="21"/>
          <w:highlight w:val="none"/>
          <w:shd w:val="clear" w:color="auto" w:fill="auto"/>
        </w:rPr>
        <w:t>）</w:t>
      </w:r>
      <w:r>
        <w:rPr>
          <w:rFonts w:hint="eastAsia" w:ascii="宋体" w:hAnsi="宋体"/>
          <w:color w:val="auto"/>
          <w:szCs w:val="21"/>
          <w:highlight w:val="none"/>
          <w:shd w:val="clear" w:color="auto" w:fill="auto"/>
        </w:rPr>
        <w:t>。</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⑵ 供货服务商免费提供技术咨询和相关宣传资料。如采购方需要，供货服务商应免费开展相关疫苗实验、检测、培训等，一切费用由中标企业承担。</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⑶ 因注射疫苗造成副反应，发生畜禽发病、死亡造成重大经济损失的，供货厂家12小时内派人现场调查解决或由供需双方组成联合调查组认定，确认是由于疫苗质量引起的损失，将由供货厂家补偿。</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⑷ 如因注射疫苗暴发疫情，乙方与供货厂家应会同有关部门组成调查小组查清原因，确认是由产品质量原因造成，供货厂家应承担扑疫经费，并赔偿相应的经济损失。</w:t>
      </w:r>
    </w:p>
    <w:p>
      <w:pPr>
        <w:spacing w:line="360" w:lineRule="auto"/>
        <w:ind w:firstLine="420" w:firstLineChars="200"/>
        <w:rPr>
          <w:rFonts w:ascii="宋体" w:hAnsi="宋体"/>
          <w:color w:val="auto"/>
          <w:szCs w:val="21"/>
          <w:highlight w:val="none"/>
          <w:shd w:val="clear" w:color="auto" w:fill="auto"/>
        </w:rPr>
      </w:pPr>
      <w:r>
        <w:rPr>
          <w:rFonts w:hint="eastAsia" w:ascii="宋体" w:hAnsi="宋体" w:cs="微软雅黑"/>
          <w:color w:val="auto"/>
          <w:szCs w:val="21"/>
          <w:highlight w:val="none"/>
          <w:shd w:val="clear" w:color="auto" w:fill="auto"/>
        </w:rPr>
        <w:t>⑸</w:t>
      </w:r>
      <w:r>
        <w:rPr>
          <w:rFonts w:hint="eastAsia" w:ascii="宋体" w:hAnsi="宋体" w:cs="宋体"/>
          <w:color w:val="auto"/>
          <w:szCs w:val="21"/>
          <w:highlight w:val="none"/>
          <w:shd w:val="clear" w:color="auto" w:fill="auto"/>
        </w:rPr>
        <w:t xml:space="preserve"> 详细售后服务内容见本章节部分。如投标人有更优质的服务内容，以投标人承诺的服务内容为准。</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2.3.5 以上内容及“项目技术规格、数量及技术要求”中的商务要求投标人必须在投标文件上清楚阐明。如投标人有更优质的服务内容，以投标人承诺的服务内容为准。</w:t>
      </w:r>
    </w:p>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bookmarkStart w:id="68" w:name="_Toc7577"/>
      <w:bookmarkStart w:id="69" w:name="_Toc24187"/>
      <w:bookmarkStart w:id="70" w:name="_Toc18005"/>
      <w:bookmarkStart w:id="71" w:name="_Toc267320051"/>
      <w:bookmarkStart w:id="72" w:name="_Toc13600_WPSOffice_Level1"/>
      <w:bookmarkStart w:id="73" w:name="_Toc439255249"/>
      <w:r>
        <w:rPr>
          <w:rFonts w:hint="eastAsia" w:ascii="宋体" w:hAnsi="宋体" w:cs="宋体"/>
          <w:b/>
          <w:color w:val="auto"/>
          <w:szCs w:val="21"/>
          <w:highlight w:val="none"/>
          <w:shd w:val="clear" w:color="auto" w:fill="auto"/>
        </w:rPr>
        <w:t>2.4</w:t>
      </w:r>
      <w:r>
        <w:rPr>
          <w:rFonts w:ascii="宋体" w:hAnsi="宋体" w:cs="宋体"/>
          <w:b/>
          <w:color w:val="auto"/>
          <w:szCs w:val="21"/>
          <w:highlight w:val="none"/>
          <w:shd w:val="clear" w:color="auto" w:fill="auto"/>
        </w:rPr>
        <w:t xml:space="preserve"> </w:t>
      </w:r>
      <w:r>
        <w:rPr>
          <w:rFonts w:hint="eastAsia" w:ascii="宋体" w:hAnsi="宋体" w:cs="宋体"/>
          <w:b/>
          <w:color w:val="auto"/>
          <w:szCs w:val="21"/>
          <w:highlight w:val="none"/>
          <w:shd w:val="clear" w:color="auto" w:fill="auto"/>
        </w:rPr>
        <w:t>付款方式</w:t>
      </w:r>
      <w:bookmarkEnd w:id="68"/>
      <w:bookmarkEnd w:id="69"/>
      <w:bookmarkEnd w:id="70"/>
    </w:p>
    <w:bookmarkEnd w:id="71"/>
    <w:bookmarkEnd w:id="72"/>
    <w:bookmarkEnd w:id="73"/>
    <w:p>
      <w:pPr>
        <w:tabs>
          <w:tab w:val="center" w:pos="4832"/>
          <w:tab w:val="left" w:pos="7140"/>
        </w:tabs>
        <w:spacing w:line="360" w:lineRule="auto"/>
        <w:ind w:firstLine="420" w:firstLineChars="200"/>
        <w:jc w:val="left"/>
        <w:outlineLvl w:val="2"/>
        <w:rPr>
          <w:rFonts w:ascii="宋体" w:hAnsi="宋体" w:cs="宋体"/>
          <w:color w:val="auto"/>
          <w:szCs w:val="21"/>
          <w:highlight w:val="none"/>
          <w:shd w:val="clear" w:color="auto" w:fill="auto"/>
        </w:rPr>
      </w:pPr>
      <w:bookmarkStart w:id="74" w:name="_Toc31012"/>
      <w:bookmarkStart w:id="75" w:name="_Toc16945"/>
      <w:bookmarkStart w:id="76" w:name="_Toc8238"/>
      <w:bookmarkStart w:id="77" w:name="_Toc267320052"/>
      <w:bookmarkStart w:id="78" w:name="_Toc6208_WPSOffice_Level1"/>
      <w:bookmarkStart w:id="79" w:name="_Toc439255250"/>
      <w:r>
        <w:rPr>
          <w:rFonts w:hint="eastAsia" w:ascii="宋体" w:hAnsi="宋体" w:cs="宋体"/>
          <w:color w:val="auto"/>
          <w:kern w:val="0"/>
          <w:szCs w:val="21"/>
          <w:highlight w:val="none"/>
          <w:shd w:val="clear" w:color="auto" w:fill="auto"/>
        </w:rPr>
        <w:t>经疫苗接收单位验收合格并在每批次疫苗投入使用2个月无异常后，凭验收合格证明、合同及按合同总价开据的发票（完税价），甲方积极协调本级财政拨付货款，严格按照合同约定，按供货数量向乙方支付货款</w:t>
      </w:r>
      <w:r>
        <w:rPr>
          <w:rFonts w:hint="eastAsia" w:ascii="宋体" w:hAnsi="宋体" w:cs="宋体"/>
          <w:color w:val="auto"/>
          <w:szCs w:val="21"/>
          <w:highlight w:val="none"/>
          <w:shd w:val="clear" w:color="auto" w:fill="auto"/>
        </w:rPr>
        <w:t>。</w:t>
      </w:r>
    </w:p>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r>
        <w:rPr>
          <w:rFonts w:hint="eastAsia" w:ascii="宋体" w:hAnsi="宋体" w:cs="宋体"/>
          <w:b/>
          <w:color w:val="auto"/>
          <w:szCs w:val="21"/>
          <w:highlight w:val="none"/>
          <w:shd w:val="clear" w:color="auto" w:fill="auto"/>
        </w:rPr>
        <w:t>2.5</w:t>
      </w:r>
      <w:r>
        <w:rPr>
          <w:rFonts w:ascii="宋体" w:hAnsi="宋体" w:cs="宋体"/>
          <w:b/>
          <w:color w:val="auto"/>
          <w:szCs w:val="21"/>
          <w:highlight w:val="none"/>
          <w:shd w:val="clear" w:color="auto" w:fill="auto"/>
        </w:rPr>
        <w:t xml:space="preserve"> </w:t>
      </w:r>
      <w:r>
        <w:rPr>
          <w:rFonts w:hint="eastAsia" w:ascii="宋体" w:hAnsi="宋体" w:cs="宋体"/>
          <w:b/>
          <w:color w:val="auto"/>
          <w:szCs w:val="21"/>
          <w:highlight w:val="none"/>
          <w:shd w:val="clear" w:color="auto" w:fill="auto"/>
        </w:rPr>
        <w:t>知识产权</w:t>
      </w:r>
      <w:bookmarkEnd w:id="74"/>
      <w:bookmarkEnd w:id="75"/>
      <w:bookmarkEnd w:id="76"/>
    </w:p>
    <w:bookmarkEnd w:id="77"/>
    <w:bookmarkEnd w:id="78"/>
    <w:bookmarkEnd w:id="79"/>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tabs>
          <w:tab w:val="center" w:pos="4832"/>
          <w:tab w:val="left" w:pos="7140"/>
        </w:tabs>
        <w:spacing w:line="360" w:lineRule="auto"/>
        <w:jc w:val="left"/>
        <w:outlineLvl w:val="2"/>
        <w:rPr>
          <w:rFonts w:ascii="宋体" w:hAnsi="宋体" w:cs="Arial"/>
          <w:color w:val="auto"/>
          <w:kern w:val="0"/>
          <w:szCs w:val="21"/>
          <w:highlight w:val="none"/>
          <w:shd w:val="clear" w:color="auto" w:fill="auto"/>
        </w:rPr>
      </w:pPr>
      <w:bookmarkStart w:id="80" w:name="_Toc20832"/>
      <w:bookmarkStart w:id="81" w:name="_Toc7598"/>
      <w:bookmarkStart w:id="82" w:name="_Toc17147"/>
      <w:bookmarkStart w:id="83" w:name="_Toc12840_WPSOffice_Level1"/>
      <w:bookmarkStart w:id="84" w:name="_Toc439255252"/>
      <w:bookmarkStart w:id="85" w:name="_Toc267320054"/>
      <w:r>
        <w:rPr>
          <w:rFonts w:hint="eastAsia" w:ascii="宋体" w:hAnsi="宋体" w:cs="宋体"/>
          <w:b/>
          <w:color w:val="auto"/>
          <w:szCs w:val="21"/>
          <w:highlight w:val="none"/>
          <w:shd w:val="clear" w:color="auto" w:fill="auto"/>
        </w:rPr>
        <w:t>2.6</w:t>
      </w:r>
      <w:r>
        <w:rPr>
          <w:rFonts w:ascii="宋体" w:hAnsi="宋体" w:cs="宋体"/>
          <w:b/>
          <w:color w:val="auto"/>
          <w:szCs w:val="21"/>
          <w:highlight w:val="none"/>
          <w:shd w:val="clear" w:color="auto" w:fill="auto"/>
        </w:rPr>
        <w:t xml:space="preserve"> </w:t>
      </w:r>
      <w:r>
        <w:rPr>
          <w:rFonts w:hint="eastAsia" w:ascii="宋体" w:hAnsi="宋体" w:cs="宋体"/>
          <w:b/>
          <w:color w:val="auto"/>
          <w:szCs w:val="21"/>
          <w:highlight w:val="none"/>
          <w:shd w:val="clear" w:color="auto" w:fill="auto"/>
        </w:rPr>
        <w:t>其他</w:t>
      </w:r>
      <w:bookmarkEnd w:id="80"/>
      <w:bookmarkEnd w:id="81"/>
      <w:bookmarkEnd w:id="82"/>
    </w:p>
    <w:bookmarkEnd w:id="83"/>
    <w:bookmarkEnd w:id="84"/>
    <w:bookmarkEnd w:id="85"/>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2.6.1 投标人必须在投标文件中对以上条款和服务承诺明确列出，承诺内容必须达到本篇及招标文件其他条款的要求。</w:t>
      </w:r>
    </w:p>
    <w:p>
      <w:pPr>
        <w:spacing w:line="360" w:lineRule="auto"/>
        <w:ind w:firstLine="420" w:firstLineChars="200"/>
        <w:rPr>
          <w:rFonts w:ascii="宋体" w:hAnsi="宋体"/>
          <w:color w:val="auto"/>
          <w:szCs w:val="21"/>
          <w:highlight w:val="none"/>
          <w:shd w:val="clear" w:color="auto" w:fill="auto"/>
        </w:rPr>
      </w:pPr>
      <w:r>
        <w:rPr>
          <w:rFonts w:hint="eastAsia" w:ascii="宋体" w:hAnsi="宋体" w:cs="宋体"/>
          <w:color w:val="auto"/>
          <w:szCs w:val="21"/>
          <w:highlight w:val="none"/>
          <w:shd w:val="clear" w:color="auto" w:fill="auto"/>
        </w:rPr>
        <w:t xml:space="preserve">2.6.2 </w:t>
      </w:r>
      <w:r>
        <w:rPr>
          <w:rFonts w:hint="eastAsia" w:ascii="宋体" w:hAnsi="宋体"/>
          <w:color w:val="auto"/>
          <w:szCs w:val="21"/>
          <w:highlight w:val="none"/>
          <w:shd w:val="clear" w:color="auto" w:fill="auto"/>
        </w:rPr>
        <w:t>中标人与采购人签订《协议》后，须与用户方签订《疫苗采购供应合同》（包括供货范围、需求数量、单价等），明确具体供货数量、供货时间、送达地点等内容。</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2.6.3 其他未尽事宜由供需双方在采购合同中详细约定。</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2.6.4 若供货服务商不能按招标文件规定的交货期正常交货，采购方有权终止采购合同，并将相关情况上报给采购计划主管部门，取消其中标资格。</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2.6.5 采购方根据国家免疫政策调整情况，享有本次采购疫苗品种、类别、数量调整的权利。</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ind w:firstLine="420" w:firstLineChars="200"/>
        <w:rPr>
          <w:rFonts w:ascii="宋体" w:hAnsi="宋体" w:cs="宋体"/>
          <w:color w:val="auto"/>
          <w:szCs w:val="21"/>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rPr>
          <w:rFonts w:ascii="黑体" w:hAnsi="黑体" w:eastAsia="黑体" w:cs="黑体"/>
          <w:bCs/>
          <w:color w:val="auto"/>
          <w:sz w:val="32"/>
          <w:szCs w:val="32"/>
          <w:highlight w:val="none"/>
          <w:shd w:val="clear" w:color="auto" w:fill="auto"/>
        </w:rPr>
      </w:pPr>
    </w:p>
    <w:p>
      <w:pPr>
        <w:rPr>
          <w:rFonts w:ascii="黑体" w:hAnsi="黑体" w:eastAsia="黑体" w:cs="黑体"/>
          <w:bCs/>
          <w:color w:val="auto"/>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br w:type="page"/>
      </w:r>
    </w:p>
    <w:p>
      <w:pPr>
        <w:spacing w:line="440" w:lineRule="exact"/>
        <w:jc w:val="center"/>
        <w:outlineLvl w:val="0"/>
        <w:rPr>
          <w:rFonts w:ascii="黑体" w:hAnsi="黑体" w:eastAsia="黑体" w:cs="黑体"/>
          <w:bCs/>
          <w:color w:val="auto"/>
          <w:sz w:val="32"/>
          <w:szCs w:val="32"/>
          <w:highlight w:val="none"/>
          <w:shd w:val="clear" w:color="auto" w:fill="auto"/>
        </w:rPr>
      </w:pPr>
      <w:bookmarkStart w:id="86" w:name="_Toc19890"/>
      <w:r>
        <w:rPr>
          <w:rFonts w:hint="eastAsia" w:ascii="黑体" w:hAnsi="黑体" w:eastAsia="黑体" w:cs="黑体"/>
          <w:bCs/>
          <w:color w:val="auto"/>
          <w:sz w:val="32"/>
          <w:szCs w:val="32"/>
          <w:highlight w:val="none"/>
          <w:shd w:val="clear" w:color="auto" w:fill="auto"/>
        </w:rPr>
        <w:t>第五章 投标文件格式</w:t>
      </w:r>
      <w:bookmarkEnd w:id="86"/>
    </w:p>
    <w:p>
      <w:pPr>
        <w:pStyle w:val="10"/>
        <w:rPr>
          <w:rFonts w:cs="宋体"/>
          <w:color w:val="auto"/>
          <w:kern w:val="0"/>
          <w:sz w:val="24"/>
          <w:highlight w:val="none"/>
          <w:shd w:val="clear" w:color="auto" w:fill="auto"/>
        </w:rPr>
      </w:pPr>
    </w:p>
    <w:p>
      <w:pPr>
        <w:tabs>
          <w:tab w:val="center" w:pos="4832"/>
          <w:tab w:val="left" w:pos="7140"/>
        </w:tabs>
        <w:spacing w:line="360" w:lineRule="auto"/>
        <w:jc w:val="center"/>
        <w:outlineLvl w:val="1"/>
        <w:rPr>
          <w:rFonts w:ascii="宋体" w:hAnsi="宋体" w:cs="宋体"/>
          <w:b/>
          <w:color w:val="auto"/>
          <w:sz w:val="24"/>
          <w:szCs w:val="24"/>
          <w:highlight w:val="none"/>
          <w:shd w:val="clear" w:color="auto" w:fill="auto"/>
        </w:rPr>
      </w:pPr>
      <w:bookmarkStart w:id="87" w:name="_Toc5067"/>
      <w:r>
        <w:rPr>
          <w:rFonts w:hint="eastAsia" w:ascii="宋体" w:hAnsi="宋体" w:cs="宋体"/>
          <w:b/>
          <w:color w:val="auto"/>
          <w:sz w:val="24"/>
          <w:szCs w:val="24"/>
          <w:highlight w:val="none"/>
          <w:shd w:val="clear" w:color="auto" w:fill="auto"/>
        </w:rPr>
        <w:t>第一节 投标文件封面示例</w:t>
      </w:r>
      <w:bookmarkEnd w:id="87"/>
    </w:p>
    <w:p>
      <w:pPr>
        <w:pStyle w:val="10"/>
        <w:rPr>
          <w:rFonts w:cs="宋体"/>
          <w:color w:val="auto"/>
          <w:sz w:val="24"/>
          <w:szCs w:val="24"/>
          <w:highlight w:val="none"/>
          <w:shd w:val="clear" w:color="auto" w:fill="auto"/>
        </w:rPr>
      </w:pPr>
    </w:p>
    <w:p>
      <w:pPr>
        <w:rPr>
          <w:rFonts w:ascii="宋体" w:cs="宋体"/>
          <w:b/>
          <w:color w:val="auto"/>
          <w:sz w:val="24"/>
          <w:szCs w:val="24"/>
          <w:highlight w:val="none"/>
          <w:shd w:val="clear" w:color="auto" w:fill="auto"/>
        </w:rPr>
      </w:pPr>
    </w:p>
    <w:p>
      <w:pPr>
        <w:rPr>
          <w:rFonts w:ascii="宋体" w:cs="宋体"/>
          <w:b/>
          <w:color w:val="auto"/>
          <w:sz w:val="24"/>
          <w:szCs w:val="24"/>
          <w:highlight w:val="none"/>
          <w:shd w:val="clear" w:color="auto" w:fill="auto"/>
        </w:rPr>
      </w:pPr>
    </w:p>
    <w:p>
      <w:pPr>
        <w:spacing w:line="720" w:lineRule="auto"/>
        <w:ind w:right="315"/>
        <w:jc w:val="right"/>
        <w:rPr>
          <w:rFonts w:ascii="宋体" w:cs="宋体"/>
          <w:b/>
          <w:color w:val="auto"/>
          <w:sz w:val="24"/>
          <w:szCs w:val="24"/>
          <w:highlight w:val="none"/>
          <w:bdr w:val="single" w:color="auto" w:sz="4" w:space="0"/>
          <w:shd w:val="clear" w:color="auto" w:fill="auto"/>
        </w:rPr>
      </w:pPr>
      <w:r>
        <w:rPr>
          <w:rFonts w:hint="eastAsia" w:ascii="宋体" w:hAnsi="宋体" w:cs="宋体"/>
          <w:b/>
          <w:color w:val="auto"/>
          <w:sz w:val="24"/>
          <w:szCs w:val="24"/>
          <w:highlight w:val="none"/>
          <w:bdr w:val="single" w:color="auto" w:sz="4" w:space="0"/>
          <w:shd w:val="clear" w:color="auto" w:fill="auto"/>
        </w:rPr>
        <w:t>正本/副本</w:t>
      </w:r>
    </w:p>
    <w:p>
      <w:pPr>
        <w:spacing w:line="480" w:lineRule="auto"/>
        <w:jc w:val="center"/>
        <w:rPr>
          <w:rFonts w:ascii="宋体" w:hAnsi="宋体" w:cs="宋体"/>
          <w:b/>
          <w:bCs/>
          <w:color w:val="auto"/>
          <w:sz w:val="24"/>
          <w:szCs w:val="24"/>
          <w:highlight w:val="none"/>
          <w:u w:val="single"/>
          <w:shd w:val="clear" w:color="auto" w:fill="auto"/>
        </w:rPr>
      </w:pPr>
      <w:r>
        <w:rPr>
          <w:rFonts w:hint="eastAsia" w:ascii="宋体" w:hAnsi="宋体" w:cs="宋体"/>
          <w:b/>
          <w:bCs/>
          <w:color w:val="auto"/>
          <w:sz w:val="24"/>
          <w:szCs w:val="24"/>
          <w:highlight w:val="none"/>
          <w:u w:val="single"/>
          <w:shd w:val="clear" w:color="auto" w:fill="auto"/>
        </w:rPr>
        <w:t>项目名称（标段号）</w:t>
      </w:r>
    </w:p>
    <w:p>
      <w:pPr>
        <w:spacing w:line="480" w:lineRule="auto"/>
        <w:jc w:val="center"/>
        <w:rPr>
          <w:rFonts w:ascii="宋体" w:cs="宋体"/>
          <w:b/>
          <w:bCs/>
          <w:color w:val="auto"/>
          <w:sz w:val="24"/>
          <w:szCs w:val="24"/>
          <w:highlight w:val="none"/>
          <w:u w:val="single"/>
          <w:shd w:val="clear" w:color="auto" w:fill="auto"/>
        </w:rPr>
      </w:pPr>
      <w:r>
        <w:rPr>
          <w:rFonts w:hint="eastAsia" w:ascii="宋体" w:hAnsi="宋体" w:cs="宋体"/>
          <w:b/>
          <w:bCs/>
          <w:color w:val="auto"/>
          <w:sz w:val="24"/>
          <w:szCs w:val="24"/>
          <w:highlight w:val="none"/>
          <w:u w:val="single"/>
          <w:shd w:val="clear" w:color="auto" w:fill="auto"/>
        </w:rPr>
        <w:t>（项目编号）</w:t>
      </w:r>
    </w:p>
    <w:p>
      <w:pPr>
        <w:spacing w:line="300" w:lineRule="exact"/>
        <w:jc w:val="center"/>
        <w:rPr>
          <w:rFonts w:ascii="宋体" w:hAnsi="宋体" w:cs="宋体"/>
          <w:b/>
          <w:bCs/>
          <w:color w:val="auto"/>
          <w:sz w:val="24"/>
          <w:szCs w:val="24"/>
          <w:highlight w:val="none"/>
          <w:shd w:val="clear" w:color="auto" w:fill="auto"/>
        </w:rPr>
      </w:pPr>
    </w:p>
    <w:p>
      <w:pPr>
        <w:spacing w:line="300" w:lineRule="exact"/>
        <w:jc w:val="center"/>
        <w:rPr>
          <w:rFonts w:ascii="宋体" w:hAnsi="宋体" w:cs="宋体"/>
          <w:b/>
          <w:bCs/>
          <w:color w:val="auto"/>
          <w:sz w:val="24"/>
          <w:szCs w:val="24"/>
          <w:highlight w:val="none"/>
          <w:shd w:val="clear" w:color="auto" w:fill="auto"/>
        </w:rPr>
      </w:pPr>
    </w:p>
    <w:p>
      <w:pPr>
        <w:spacing w:line="300" w:lineRule="exact"/>
        <w:jc w:val="center"/>
        <w:rPr>
          <w:rFonts w:asci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投标文件</w:t>
      </w:r>
    </w:p>
    <w:p>
      <w:pPr>
        <w:pStyle w:val="2"/>
        <w:rPr>
          <w:color w:val="auto"/>
          <w:highlight w:val="none"/>
          <w:shd w:val="clear" w:color="auto" w:fill="auto"/>
        </w:rPr>
      </w:pPr>
    </w:p>
    <w:p>
      <w:pPr>
        <w:pStyle w:val="3"/>
        <w:rPr>
          <w:color w:val="auto"/>
          <w:highlight w:val="none"/>
          <w:shd w:val="clear" w:color="auto" w:fill="auto"/>
        </w:rPr>
      </w:pPr>
    </w:p>
    <w:p>
      <w:pPr>
        <w:spacing w:line="720" w:lineRule="auto"/>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投标人：（盖章）</w:t>
      </w:r>
    </w:p>
    <w:p>
      <w:pPr>
        <w:rPr>
          <w:rFonts w:ascii="宋体" w:hAnsi="宋体" w:cs="Arial"/>
          <w:color w:val="auto"/>
          <w:kern w:val="0"/>
          <w:sz w:val="24"/>
          <w:szCs w:val="24"/>
          <w:highlight w:val="none"/>
          <w:shd w:val="clear" w:color="auto" w:fill="auto"/>
        </w:rPr>
      </w:pPr>
      <w:r>
        <w:rPr>
          <w:rFonts w:hint="eastAsia" w:ascii="宋体" w:hAnsi="宋体" w:cs="Arial"/>
          <w:color w:val="auto"/>
          <w:kern w:val="0"/>
          <w:sz w:val="24"/>
          <w:szCs w:val="24"/>
          <w:highlight w:val="none"/>
          <w:shd w:val="clear" w:color="auto" w:fill="auto"/>
        </w:rPr>
        <w:t>法定代表人或委托代理人（签字）：</w:t>
      </w:r>
    </w:p>
    <w:p>
      <w:pPr>
        <w:pStyle w:val="2"/>
        <w:rPr>
          <w:color w:val="auto"/>
          <w:highlight w:val="none"/>
          <w:shd w:val="clear" w:color="auto" w:fill="auto"/>
        </w:rPr>
      </w:pPr>
    </w:p>
    <w:p>
      <w:pPr>
        <w:spacing w:line="720" w:lineRule="auto"/>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单位地址：</w:t>
      </w:r>
    </w:p>
    <w:p>
      <w:pPr>
        <w:spacing w:line="720" w:lineRule="auto"/>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邮政编码：</w:t>
      </w:r>
    </w:p>
    <w:p>
      <w:pPr>
        <w:spacing w:line="720" w:lineRule="auto"/>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联系人：</w:t>
      </w:r>
    </w:p>
    <w:p>
      <w:pPr>
        <w:spacing w:line="720" w:lineRule="auto"/>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联系电话：</w:t>
      </w:r>
    </w:p>
    <w:p>
      <w:pPr>
        <w:spacing w:line="720" w:lineRule="auto"/>
        <w:ind w:firstLine="2" w:firstLineChars="1"/>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年</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月</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日</w:t>
      </w:r>
    </w:p>
    <w:p>
      <w:pPr>
        <w:pStyle w:val="10"/>
        <w:rPr>
          <w:rFonts w:cs="宋体"/>
          <w:color w:val="auto"/>
          <w:kern w:val="0"/>
          <w:sz w:val="24"/>
          <w:highlight w:val="none"/>
          <w:shd w:val="clear" w:color="auto" w:fill="auto"/>
        </w:rPr>
      </w:pPr>
    </w:p>
    <w:p>
      <w:pPr>
        <w:tabs>
          <w:tab w:val="center" w:pos="4832"/>
          <w:tab w:val="left" w:pos="7140"/>
        </w:tabs>
        <w:spacing w:line="360" w:lineRule="auto"/>
        <w:jc w:val="center"/>
        <w:outlineLvl w:val="1"/>
        <w:rPr>
          <w:rFonts w:ascii="宋体" w:hAnsi="宋体" w:cs="宋体"/>
          <w:b/>
          <w:color w:val="auto"/>
          <w:sz w:val="24"/>
          <w:szCs w:val="24"/>
          <w:highlight w:val="none"/>
          <w:shd w:val="clear" w:color="auto" w:fill="auto"/>
        </w:rPr>
      </w:pPr>
      <w:bookmarkStart w:id="88" w:name="_Toc29172"/>
      <w:r>
        <w:rPr>
          <w:rFonts w:hint="eastAsia" w:ascii="宋体" w:hAnsi="宋体" w:cs="宋体"/>
          <w:b/>
          <w:color w:val="auto"/>
          <w:sz w:val="24"/>
          <w:szCs w:val="24"/>
          <w:highlight w:val="none"/>
          <w:shd w:val="clear" w:color="auto" w:fill="auto"/>
        </w:rPr>
        <w:t>第二节 投标文件目录示例</w:t>
      </w:r>
      <w:bookmarkEnd w:id="88"/>
    </w:p>
    <w:p>
      <w:pPr>
        <w:pStyle w:val="2"/>
        <w:rPr>
          <w:color w:val="auto"/>
          <w:highlight w:val="none"/>
          <w:shd w:val="clear" w:color="auto" w:fill="auto"/>
        </w:rPr>
      </w:pPr>
    </w:p>
    <w:p>
      <w:pPr>
        <w:spacing w:line="360" w:lineRule="auto"/>
        <w:ind w:left="424" w:leftChars="202"/>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1</w:t>
      </w:r>
      <w:r>
        <w:rPr>
          <w:rFonts w:hint="eastAsia" w:ascii="宋体" w:hAnsi="宋体" w:cs="Arial"/>
          <w:color w:val="auto"/>
          <w:kern w:val="0"/>
          <w:szCs w:val="21"/>
          <w:highlight w:val="none"/>
          <w:shd w:val="clear" w:color="auto" w:fill="auto"/>
        </w:rPr>
        <w:t>、投标函</w:t>
      </w:r>
    </w:p>
    <w:p>
      <w:pPr>
        <w:spacing w:line="360" w:lineRule="auto"/>
        <w:ind w:left="424" w:leftChars="202"/>
        <w:rPr>
          <w:rFonts w:ascii="宋体" w:hAnsi="宋体" w:cs="Arial"/>
          <w:color w:val="auto"/>
          <w:kern w:val="0"/>
          <w:szCs w:val="21"/>
          <w:highlight w:val="none"/>
          <w:shd w:val="clear" w:color="auto" w:fill="auto"/>
        </w:rPr>
      </w:pPr>
      <w:r>
        <w:rPr>
          <w:rFonts w:ascii="宋体" w:hAnsi="宋体" w:cs="Arial"/>
          <w:color w:val="auto"/>
          <w:kern w:val="0"/>
          <w:szCs w:val="21"/>
          <w:highlight w:val="none"/>
          <w:shd w:val="clear" w:color="auto" w:fill="auto"/>
        </w:rPr>
        <w:t>2</w:t>
      </w:r>
      <w:r>
        <w:rPr>
          <w:rFonts w:hint="eastAsia" w:ascii="宋体" w:hAnsi="宋体" w:cs="Arial"/>
          <w:color w:val="auto"/>
          <w:kern w:val="0"/>
          <w:szCs w:val="21"/>
          <w:highlight w:val="none"/>
          <w:shd w:val="clear" w:color="auto" w:fill="auto"/>
        </w:rPr>
        <w:t>、开标一览表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3、法定代表人身份证明书</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4、授权委托书</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5、无重大违法记录的承诺书</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6、投标人概况</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7、项目负责人简历表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8、项目管理人员表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9、技术条款偏离表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10、商务条款偏离表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11、反商业贿赂承诺书</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12、中小微企业声明函</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13、资格声明</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14、投标人近年类似项目业绩情况表</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15、供货计划</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16、服务方案</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17、其他需要提交的资料</w:t>
      </w:r>
    </w:p>
    <w:p>
      <w:pPr>
        <w:spacing w:line="360" w:lineRule="auto"/>
        <w:ind w:left="424" w:leftChars="202"/>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18、其他需要提交的资料（根据招标文件的要求和投标人认为需要提供的资料）</w:t>
      </w:r>
    </w:p>
    <w:p>
      <w:pPr>
        <w:spacing w:line="360" w:lineRule="auto"/>
        <w:ind w:left="424" w:leftChars="202"/>
        <w:rPr>
          <w:rFonts w:ascii="宋体" w:hAnsi="宋体" w:cs="Arial"/>
          <w:color w:val="auto"/>
          <w:kern w:val="0"/>
          <w:szCs w:val="21"/>
          <w:highlight w:val="none"/>
          <w:shd w:val="clear" w:color="auto" w:fill="auto"/>
        </w:rPr>
      </w:pPr>
    </w:p>
    <w:p>
      <w:pPr>
        <w:spacing w:line="360" w:lineRule="auto"/>
        <w:ind w:left="424" w:leftChars="202"/>
        <w:rPr>
          <w:rFonts w:ascii="宋体"/>
          <w:bCs/>
          <w:color w:val="auto"/>
          <w:szCs w:val="21"/>
          <w:highlight w:val="none"/>
          <w:shd w:val="clear" w:color="auto" w:fill="auto"/>
        </w:rPr>
      </w:pPr>
      <w:r>
        <w:rPr>
          <w:rFonts w:hint="eastAsia" w:ascii="宋体" w:hAnsi="宋体"/>
          <w:bCs/>
          <w:color w:val="auto"/>
          <w:szCs w:val="21"/>
          <w:highlight w:val="none"/>
          <w:shd w:val="clear" w:color="auto" w:fill="auto"/>
        </w:rPr>
        <w:t>注：为了便于查找，请按上述顺序编制投标文件内容，并在目录中标明每项内容的起始页码。</w:t>
      </w:r>
    </w:p>
    <w:p>
      <w:pPr>
        <w:rPr>
          <w:rFonts w:ascii="宋体" w:cs="宋体"/>
          <w:b/>
          <w:color w:val="auto"/>
          <w:szCs w:val="21"/>
          <w:highlight w:val="none"/>
          <w:shd w:val="clear" w:color="auto" w:fill="auto"/>
        </w:rPr>
      </w:pPr>
      <w:r>
        <w:rPr>
          <w:rFonts w:ascii="宋体" w:cs="宋体"/>
          <w:b/>
          <w:color w:val="auto"/>
          <w:szCs w:val="21"/>
          <w:highlight w:val="none"/>
          <w:shd w:val="clear" w:color="auto" w:fill="auto"/>
        </w:rPr>
        <w:br w:type="page"/>
      </w:r>
    </w:p>
    <w:p>
      <w:pPr>
        <w:jc w:val="center"/>
        <w:rPr>
          <w:rFonts w:ascii="宋体" w:hAnsi="宋体" w:cs="宋体"/>
          <w:b/>
          <w:bCs/>
          <w:color w:val="auto"/>
          <w:highlight w:val="none"/>
          <w:shd w:val="clear" w:color="auto" w:fill="auto"/>
        </w:rPr>
      </w:pPr>
      <w:r>
        <w:rPr>
          <w:rFonts w:hint="eastAsia" w:ascii="宋体" w:hAnsi="宋体" w:cs="宋体"/>
          <w:b/>
          <w:bCs/>
          <w:color w:val="auto"/>
          <w:sz w:val="24"/>
          <w:szCs w:val="24"/>
          <w:highlight w:val="none"/>
          <w:shd w:val="clear" w:color="auto" w:fill="auto"/>
        </w:rPr>
        <w:t>商务评标索引目录</w:t>
      </w:r>
    </w:p>
    <w:tbl>
      <w:tblPr>
        <w:tblStyle w:val="21"/>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686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8"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序号</w:t>
            </w:r>
          </w:p>
        </w:tc>
        <w:tc>
          <w:tcPr>
            <w:tcW w:w="1417"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评分因素</w:t>
            </w:r>
          </w:p>
        </w:tc>
        <w:tc>
          <w:tcPr>
            <w:tcW w:w="6860"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评分标准</w:t>
            </w:r>
          </w:p>
        </w:tc>
        <w:tc>
          <w:tcPr>
            <w:tcW w:w="1253"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产品业绩</w:t>
            </w:r>
          </w:p>
        </w:tc>
        <w:tc>
          <w:tcPr>
            <w:tcW w:w="6860"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1、投标人2022年以来</w:t>
            </w:r>
            <w:r>
              <w:rPr>
                <w:rFonts w:hint="eastAsia" w:ascii="宋体" w:hAnsi="宋体" w:cs="宋体"/>
                <w:color w:val="auto"/>
                <w:kern w:val="0"/>
                <w:sz w:val="21"/>
                <w:szCs w:val="21"/>
                <w:highlight w:val="none"/>
                <w:shd w:val="clear" w:color="auto" w:fill="auto"/>
                <w:lang w:eastAsia="zh-Hans"/>
              </w:rPr>
              <w:t>省级</w:t>
            </w:r>
            <w:r>
              <w:rPr>
                <w:rFonts w:hint="eastAsia" w:ascii="宋体" w:hAnsi="宋体" w:cs="宋体"/>
                <w:color w:val="auto"/>
                <w:kern w:val="0"/>
                <w:sz w:val="21"/>
                <w:szCs w:val="21"/>
                <w:highlight w:val="none"/>
                <w:shd w:val="clear" w:color="auto" w:fill="auto"/>
              </w:rPr>
              <w:t>本投标产品业绩，（</w:t>
            </w:r>
            <w:r>
              <w:rPr>
                <w:rFonts w:hint="eastAsia" w:ascii="宋体" w:hAnsi="宋体"/>
                <w:b/>
                <w:bCs/>
                <w:color w:val="auto"/>
                <w:kern w:val="0"/>
                <w:sz w:val="21"/>
                <w:szCs w:val="21"/>
                <w:highlight w:val="none"/>
                <w:shd w:val="clear" w:color="auto" w:fill="auto"/>
              </w:rPr>
              <w:t>须提供省级采购合同原件和中标通知书原件，并在投标文件中附复印件，否则不得分</w:t>
            </w:r>
            <w:r>
              <w:rPr>
                <w:rFonts w:hint="eastAsia" w:ascii="宋体" w:hAnsi="宋体" w:cs="宋体"/>
                <w:color w:val="auto"/>
                <w:kern w:val="0"/>
                <w:sz w:val="21"/>
                <w:szCs w:val="21"/>
                <w:highlight w:val="none"/>
                <w:shd w:val="clear" w:color="auto" w:fill="auto"/>
              </w:rPr>
              <w:t>）（满分</w:t>
            </w:r>
            <w:r>
              <w:rPr>
                <w:rFonts w:ascii="宋体" w:hAnsi="宋体" w:cs="宋体"/>
                <w:color w:val="auto"/>
                <w:kern w:val="0"/>
                <w:sz w:val="21"/>
                <w:szCs w:val="21"/>
                <w:highlight w:val="none"/>
                <w:shd w:val="clear" w:color="auto" w:fill="auto"/>
              </w:rPr>
              <w:t>8</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0个及以上的得8分；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w:t>
            </w:r>
            <w:r>
              <w:rPr>
                <w:rFonts w:ascii="宋体" w:hAnsi="宋体" w:cs="宋体"/>
                <w:color w:val="auto"/>
                <w:kern w:val="0"/>
                <w:sz w:val="21"/>
                <w:szCs w:val="21"/>
                <w:highlight w:val="none"/>
                <w:shd w:val="clear" w:color="auto" w:fill="auto"/>
              </w:rPr>
              <w:t>15</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19</w:t>
            </w:r>
            <w:r>
              <w:rPr>
                <w:rFonts w:hint="eastAsia" w:ascii="宋体" w:hAnsi="宋体" w:cs="宋体"/>
                <w:color w:val="auto"/>
                <w:kern w:val="0"/>
                <w:sz w:val="21"/>
                <w:szCs w:val="21"/>
                <w:highlight w:val="none"/>
                <w:shd w:val="clear" w:color="auto" w:fill="auto"/>
              </w:rPr>
              <w:t>个的得5分；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w:t>
            </w:r>
            <w:r>
              <w:rPr>
                <w:rFonts w:ascii="宋体" w:hAnsi="宋体" w:cs="宋体"/>
                <w:color w:val="auto"/>
                <w:kern w:val="0"/>
                <w:sz w:val="21"/>
                <w:szCs w:val="21"/>
                <w:highlight w:val="none"/>
                <w:shd w:val="clear" w:color="auto" w:fill="auto"/>
              </w:rPr>
              <w:t>0</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rPr>
              <w:t>个的得3分；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w:t>
            </w:r>
            <w:r>
              <w:rPr>
                <w:rFonts w:hint="eastAsia" w:ascii="宋体" w:hAnsi="宋体" w:cs="宋体"/>
                <w:color w:val="auto"/>
                <w:kern w:val="0"/>
                <w:sz w:val="21"/>
                <w:szCs w:val="21"/>
                <w:highlight w:val="none"/>
                <w:shd w:val="clear" w:color="auto" w:fill="auto"/>
                <w:lang w:eastAsia="zh-Hans"/>
              </w:rPr>
              <w:t>提供</w:t>
            </w:r>
            <w:r>
              <w:rPr>
                <w:rFonts w:ascii="宋体" w:hAnsi="宋体" w:cs="宋体"/>
                <w:color w:val="auto"/>
                <w:kern w:val="0"/>
                <w:sz w:val="21"/>
                <w:szCs w:val="21"/>
                <w:highlight w:val="none"/>
                <w:shd w:val="clear" w:color="auto" w:fill="auto"/>
              </w:rPr>
              <w:t>10</w:t>
            </w:r>
            <w:r>
              <w:rPr>
                <w:rFonts w:hint="eastAsia" w:ascii="宋体" w:hAnsi="宋体" w:cs="宋体"/>
                <w:color w:val="auto"/>
                <w:kern w:val="0"/>
                <w:sz w:val="21"/>
                <w:szCs w:val="21"/>
                <w:highlight w:val="none"/>
                <w:shd w:val="clear" w:color="auto" w:fill="auto"/>
                <w:lang w:eastAsia="zh-Hans"/>
              </w:rPr>
              <w:t>个以下</w:t>
            </w:r>
            <w:r>
              <w:rPr>
                <w:rFonts w:hint="eastAsia" w:ascii="宋体" w:hAnsi="宋体" w:cs="宋体"/>
                <w:color w:val="auto"/>
                <w:kern w:val="0"/>
                <w:sz w:val="21"/>
                <w:szCs w:val="21"/>
                <w:highlight w:val="none"/>
                <w:shd w:val="clear" w:color="auto" w:fill="auto"/>
              </w:rPr>
              <w:t>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⑤没有的不得分；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培训</w:t>
            </w:r>
          </w:p>
        </w:tc>
        <w:tc>
          <w:tcPr>
            <w:tcW w:w="6860" w:type="dxa"/>
            <w:vMerge w:val="restart"/>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提供2022年内受训地州市和省级动物疫控机构出具的针对中标产品的培训履约证明，并出具地州市及省级畜牧兽医机构培训材料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①提供10个及以上的得3分；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②提供5-9个的得2分；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③提供1-4个的得1分；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④没有的不得分；</w:t>
            </w:r>
          </w:p>
        </w:tc>
        <w:tc>
          <w:tcPr>
            <w:tcW w:w="1253"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6860" w:type="dxa"/>
            <w:vMerge w:val="continue"/>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p>
        </w:tc>
        <w:tc>
          <w:tcPr>
            <w:tcW w:w="1253"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疫苗免疫副反应、免疫失败、产品质量问题等处理方案损失补偿</w:t>
            </w:r>
          </w:p>
        </w:tc>
        <w:tc>
          <w:tcPr>
            <w:tcW w:w="6860"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3.1、疫苗免疫副反应处理（满分3分）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①投标企业承诺因疫苗</w:t>
            </w:r>
            <w:r>
              <w:rPr>
                <w:rFonts w:hint="eastAsia" w:ascii="宋体" w:hAnsi="宋体" w:cs="宋体"/>
                <w:color w:val="auto"/>
                <w:kern w:val="0"/>
                <w:sz w:val="21"/>
                <w:szCs w:val="21"/>
                <w:highlight w:val="none"/>
                <w:shd w:val="clear" w:color="auto" w:fill="auto"/>
                <w:lang w:eastAsia="zh-Hans"/>
              </w:rPr>
              <w:t>副</w:t>
            </w:r>
            <w:r>
              <w:rPr>
                <w:rFonts w:hint="eastAsia" w:ascii="宋体" w:hAnsi="宋体" w:cs="宋体"/>
                <w:color w:val="auto"/>
                <w:kern w:val="0"/>
                <w:sz w:val="21"/>
                <w:szCs w:val="21"/>
                <w:highlight w:val="none"/>
                <w:shd w:val="clear" w:color="auto" w:fill="auto"/>
              </w:rPr>
              <w:t>反应、免疫失败、产品质量导致畜禽死亡或流产造成损失按照不低于国家标准补偿得1分（满分1分）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②提供近两年2021年1月1日起副反应赔付响应程度证明（以赔付发票为准）提供一个得1分(满分2分)</w:t>
            </w:r>
          </w:p>
        </w:tc>
        <w:tc>
          <w:tcPr>
            <w:tcW w:w="1253"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6860"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3.2、补偿方案并建立补偿准备金（满分7分）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①补偿方案建立补偿准备金的得1分；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②提供2022年省级动物疫控机构对产品使用效果和副反应赔付等售后服务满意度证明资料</w:t>
            </w:r>
            <w:r>
              <w:rPr>
                <w:rFonts w:ascii="宋体" w:hAnsi="宋体" w:cs="宋体"/>
                <w:color w:val="auto"/>
                <w:kern w:val="0"/>
                <w:sz w:val="21"/>
                <w:szCs w:val="21"/>
                <w:highlight w:val="none"/>
                <w:shd w:val="clear" w:color="auto" w:fill="auto"/>
              </w:rPr>
              <w:t>（</w:t>
            </w:r>
            <w:r>
              <w:rPr>
                <w:rFonts w:hint="eastAsia" w:ascii="宋体" w:hAnsi="宋体"/>
                <w:b/>
                <w:bCs/>
                <w:color w:val="auto"/>
                <w:kern w:val="0"/>
                <w:sz w:val="21"/>
                <w:szCs w:val="21"/>
                <w:highlight w:val="none"/>
                <w:shd w:val="clear" w:color="auto" w:fill="auto"/>
              </w:rPr>
              <w:t>须提供省级售后服务满意度证明资料原件，并在投标文件中附复印件，否则不得分</w:t>
            </w:r>
            <w:r>
              <w:rPr>
                <w:rFonts w:ascii="宋体" w:hAnsi="宋体" w:cs="宋体"/>
                <w:color w:val="auto"/>
                <w:kern w:val="0"/>
                <w:sz w:val="21"/>
                <w:szCs w:val="21"/>
                <w:highlight w:val="none"/>
                <w:shd w:val="clear" w:color="auto" w:fill="auto"/>
              </w:rPr>
              <w:t>）</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0个及以上的得</w:t>
            </w:r>
            <w:r>
              <w:rPr>
                <w:rFonts w:ascii="宋体" w:hAnsi="宋体" w:cs="宋体"/>
                <w:color w:val="auto"/>
                <w:kern w:val="0"/>
                <w:sz w:val="21"/>
                <w:szCs w:val="21"/>
                <w:highlight w:val="none"/>
                <w:shd w:val="clear" w:color="auto" w:fill="auto"/>
              </w:rPr>
              <w:t>6</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②提供</w:t>
            </w:r>
            <w:r>
              <w:rPr>
                <w:rFonts w:ascii="宋体" w:hAnsi="宋体" w:cs="宋体"/>
                <w:color w:val="auto"/>
                <w:kern w:val="0"/>
                <w:sz w:val="21"/>
                <w:szCs w:val="21"/>
                <w:highlight w:val="none"/>
                <w:shd w:val="clear" w:color="auto" w:fill="auto"/>
              </w:rPr>
              <w:t>15</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19</w:t>
            </w:r>
            <w:r>
              <w:rPr>
                <w:rFonts w:hint="eastAsia" w:ascii="宋体" w:hAnsi="宋体" w:cs="宋体"/>
                <w:color w:val="auto"/>
                <w:kern w:val="0"/>
                <w:sz w:val="21"/>
                <w:szCs w:val="21"/>
                <w:highlight w:val="none"/>
                <w:shd w:val="clear" w:color="auto" w:fill="auto"/>
              </w:rPr>
              <w:t>个的得</w:t>
            </w:r>
            <w:r>
              <w:rPr>
                <w:rFonts w:ascii="宋体" w:hAnsi="宋体" w:cs="宋体"/>
                <w:color w:val="auto"/>
                <w:kern w:val="0"/>
                <w:sz w:val="21"/>
                <w:szCs w:val="21"/>
                <w:highlight w:val="none"/>
                <w:shd w:val="clear" w:color="auto" w:fill="auto"/>
              </w:rPr>
              <w:t>3</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③提供1</w:t>
            </w:r>
            <w:r>
              <w:rPr>
                <w:rFonts w:ascii="宋体" w:hAnsi="宋体" w:cs="宋体"/>
                <w:color w:val="auto"/>
                <w:kern w:val="0"/>
                <w:sz w:val="21"/>
                <w:szCs w:val="21"/>
                <w:highlight w:val="none"/>
                <w:shd w:val="clear" w:color="auto" w:fill="auto"/>
              </w:rPr>
              <w:t>0</w:t>
            </w:r>
            <w:r>
              <w:rPr>
                <w:rFonts w:hint="eastAsia" w:ascii="宋体" w:hAnsi="宋体" w:cs="宋体"/>
                <w:color w:val="auto"/>
                <w:kern w:val="0"/>
                <w:sz w:val="21"/>
                <w:szCs w:val="21"/>
                <w:highlight w:val="none"/>
                <w:shd w:val="clear" w:color="auto" w:fill="auto"/>
              </w:rPr>
              <w:t>-</w:t>
            </w:r>
            <w:r>
              <w:rPr>
                <w:rFonts w:ascii="宋体" w:hAnsi="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rPr>
              <w:t>个的得</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④</w:t>
            </w:r>
            <w:r>
              <w:rPr>
                <w:rFonts w:hint="eastAsia" w:ascii="宋体" w:hAnsi="宋体" w:cs="宋体"/>
                <w:color w:val="auto"/>
                <w:kern w:val="0"/>
                <w:sz w:val="21"/>
                <w:szCs w:val="21"/>
                <w:highlight w:val="none"/>
                <w:shd w:val="clear" w:color="auto" w:fill="auto"/>
                <w:lang w:eastAsia="zh-Hans"/>
              </w:rPr>
              <w:t>提供</w:t>
            </w:r>
            <w:r>
              <w:rPr>
                <w:rFonts w:ascii="宋体" w:hAnsi="宋体" w:cs="宋体"/>
                <w:color w:val="auto"/>
                <w:kern w:val="0"/>
                <w:sz w:val="21"/>
                <w:szCs w:val="21"/>
                <w:highlight w:val="none"/>
                <w:shd w:val="clear" w:color="auto" w:fill="auto"/>
              </w:rPr>
              <w:t>10</w:t>
            </w:r>
            <w:r>
              <w:rPr>
                <w:rFonts w:hint="eastAsia" w:ascii="宋体" w:hAnsi="宋体" w:cs="宋体"/>
                <w:color w:val="auto"/>
                <w:kern w:val="0"/>
                <w:sz w:val="21"/>
                <w:szCs w:val="21"/>
                <w:highlight w:val="none"/>
                <w:shd w:val="clear" w:color="auto" w:fill="auto"/>
                <w:lang w:eastAsia="zh-Hans"/>
              </w:rPr>
              <w:t>个以下</w:t>
            </w:r>
            <w:r>
              <w:rPr>
                <w:rFonts w:hint="eastAsia" w:ascii="宋体" w:hAnsi="宋体" w:cs="宋体"/>
                <w:color w:val="auto"/>
                <w:kern w:val="0"/>
                <w:sz w:val="21"/>
                <w:szCs w:val="21"/>
                <w:highlight w:val="none"/>
                <w:shd w:val="clear" w:color="auto" w:fill="auto"/>
              </w:rPr>
              <w:t>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⑤没有的不得分；</w:t>
            </w:r>
          </w:p>
        </w:tc>
        <w:tc>
          <w:tcPr>
            <w:tcW w:w="1253"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抗体水平监测</w:t>
            </w:r>
          </w:p>
        </w:tc>
        <w:tc>
          <w:tcPr>
            <w:tcW w:w="6860"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投标企业进行抗体水平监测并制定监测方案（免疫抗体监测比例为中标产品免疫数量的万分之一</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）（满分</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①制定监测方案的得</w:t>
            </w:r>
            <w:r>
              <w:rPr>
                <w:rFonts w:ascii="宋体" w:hAnsi="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rPr>
              <w:t>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③承诺提供满足中标产品免疫抗体水平监测所需的材料支持且不额外收费的，得2分，否则不得分；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投标人实力</w:t>
            </w:r>
          </w:p>
        </w:tc>
        <w:tc>
          <w:tcPr>
            <w:tcW w:w="6860"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投标人自201</w:t>
            </w:r>
            <w:r>
              <w:rPr>
                <w:rFonts w:hint="eastAsia" w:ascii="宋体" w:hAnsi="宋体" w:cs="宋体"/>
                <w:color w:val="auto"/>
                <w:kern w:val="0"/>
                <w:sz w:val="21"/>
                <w:szCs w:val="21"/>
                <w:highlight w:val="none"/>
                <w:shd w:val="clear" w:color="auto" w:fill="auto"/>
                <w:lang w:val="en-US" w:eastAsia="zh-CN"/>
              </w:rPr>
              <w:t>8</w:t>
            </w:r>
            <w:r>
              <w:rPr>
                <w:rFonts w:hint="eastAsia" w:ascii="宋体" w:hAnsi="宋体" w:cs="宋体"/>
                <w:color w:val="auto"/>
                <w:kern w:val="0"/>
                <w:sz w:val="21"/>
                <w:szCs w:val="21"/>
                <w:highlight w:val="none"/>
                <w:shd w:val="clear" w:color="auto" w:fill="auto"/>
              </w:rPr>
              <w:t>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连续四年入围的，得3分；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连续三年入围的，得2分；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连续两年入围的，得1分；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连续一年入围的，得0.5分；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未入围的，不得分；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入围证明以中国政府采购网中标公示及新疆维吾尔自治区畜牧兽医局新牧防字【2021】1号文为准；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售后服务及质量保障措施</w:t>
            </w:r>
          </w:p>
        </w:tc>
        <w:tc>
          <w:tcPr>
            <w:tcW w:w="6860"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6.1、针对本</w:t>
            </w:r>
            <w:r>
              <w:rPr>
                <w:rFonts w:hint="eastAsia" w:ascii="宋体" w:hAnsi="宋体" w:cs="Arial"/>
                <w:color w:val="auto"/>
                <w:kern w:val="0"/>
                <w:sz w:val="21"/>
                <w:szCs w:val="21"/>
                <w:highlight w:val="none"/>
                <w:shd w:val="clear" w:color="auto" w:fill="auto"/>
              </w:rPr>
              <w:t>项目进度计划安排、配送方案、验收组织安排是否完整合理、是否符合需求，以及质量保证措施、等综合情况</w:t>
            </w:r>
            <w:r>
              <w:rPr>
                <w:rFonts w:hint="eastAsia" w:ascii="宋体" w:hAnsi="宋体" w:cs="宋体"/>
                <w:color w:val="auto"/>
                <w:kern w:val="0"/>
                <w:sz w:val="21"/>
                <w:szCs w:val="21"/>
                <w:highlight w:val="none"/>
                <w:shd w:val="clear" w:color="auto" w:fill="auto"/>
              </w:rPr>
              <w:t>进行赋分（满分5分）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①横向比较</w:t>
            </w:r>
            <w:r>
              <w:rPr>
                <w:rFonts w:hint="eastAsia" w:ascii="宋体" w:hAnsi="宋体" w:cs="Arial"/>
                <w:color w:val="auto"/>
                <w:kern w:val="0"/>
                <w:sz w:val="21"/>
                <w:szCs w:val="21"/>
                <w:highlight w:val="none"/>
                <w:shd w:val="clear" w:color="auto" w:fill="auto"/>
              </w:rPr>
              <w:t>项目进度计划安排、配送方案、验收组织安排完整合理、符合需求，以及质量保证措施完善</w:t>
            </w:r>
            <w:r>
              <w:rPr>
                <w:rFonts w:hint="eastAsia" w:ascii="宋体" w:hAnsi="宋体" w:cs="宋体"/>
                <w:color w:val="auto"/>
                <w:kern w:val="0"/>
                <w:sz w:val="21"/>
                <w:szCs w:val="21"/>
                <w:highlight w:val="none"/>
                <w:shd w:val="clear" w:color="auto" w:fill="auto"/>
              </w:rPr>
              <w:t>的得1-4分；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②疫苗供应企业在自治区及伊犁州内设立售后保障服务网点，配备专业技术服务人员（包括委托相关有资质机构，如有委托，提供被委托机构能力证明材料）的得1分；没有不得分。（满分1分）</w:t>
            </w:r>
          </w:p>
        </w:tc>
        <w:tc>
          <w:tcPr>
            <w:tcW w:w="1253"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6860" w:type="dxa"/>
          </w:tcPr>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6.2、疫苗的冷链运输（满分2分）：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6.2.1（满分1分）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③超过以上最低时限或未采取规定运载工具运输的不得分。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6.2.2（满分1分）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①提供2022年内5个地市级的冷链运输供货完整记录凭证的得1分，不提供不得分。</w:t>
            </w:r>
          </w:p>
        </w:tc>
        <w:tc>
          <w:tcPr>
            <w:tcW w:w="1253"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7</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交货日期</w:t>
            </w:r>
          </w:p>
        </w:tc>
        <w:tc>
          <w:tcPr>
            <w:tcW w:w="6860" w:type="dxa"/>
          </w:tcPr>
          <w:p>
            <w:pPr>
              <w:pStyle w:val="15"/>
              <w:pBdr>
                <w:bottom w:val="none" w:color="auto" w:sz="0" w:space="0"/>
              </w:pBdr>
              <w:jc w:val="left"/>
              <w:rPr>
                <w:rFonts w:ascii="宋体" w:hAnsi="宋体" w:cs="Arial"/>
                <w:color w:val="auto"/>
                <w:kern w:val="0"/>
                <w:sz w:val="21"/>
                <w:szCs w:val="21"/>
                <w:highlight w:val="none"/>
                <w:shd w:val="clear" w:color="auto" w:fill="auto"/>
              </w:rPr>
            </w:pPr>
            <w:r>
              <w:rPr>
                <w:rFonts w:hint="eastAsia" w:ascii="宋体" w:hAnsi="宋体" w:cs="Arial"/>
                <w:color w:val="auto"/>
                <w:kern w:val="0"/>
                <w:sz w:val="21"/>
                <w:szCs w:val="21"/>
                <w:highlight w:val="none"/>
                <w:shd w:val="clear" w:color="auto" w:fill="auto"/>
              </w:rPr>
              <w:t>交货日期</w:t>
            </w:r>
            <w:r>
              <w:rPr>
                <w:rFonts w:hint="eastAsia" w:ascii="宋体" w:hAnsi="宋体" w:cs="宋体"/>
                <w:color w:val="auto"/>
                <w:sz w:val="21"/>
                <w:szCs w:val="21"/>
                <w:highlight w:val="none"/>
                <w:shd w:val="clear" w:color="auto" w:fill="auto"/>
              </w:rPr>
              <w:t>（满分2分）：</w:t>
            </w:r>
          </w:p>
          <w:p>
            <w:pPr>
              <w:pStyle w:val="15"/>
              <w:pBdr>
                <w:bottom w:val="none" w:color="auto" w:sz="0" w:space="0"/>
              </w:pBdr>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①采购人要求15日内交付使用</w:t>
            </w:r>
            <w:r>
              <w:rPr>
                <w:rFonts w:hint="eastAsia" w:ascii="宋体" w:hAnsi="宋体" w:cs="Arial"/>
                <w:color w:val="auto"/>
                <w:kern w:val="0"/>
                <w:sz w:val="21"/>
                <w:szCs w:val="21"/>
                <w:highlight w:val="none"/>
                <w:shd w:val="clear" w:color="auto" w:fill="auto"/>
              </w:rPr>
              <w:t>，如因特殊情况需要提前在3日内供货的，投标人能够按采购人通知要求执行</w:t>
            </w:r>
            <w:r>
              <w:rPr>
                <w:rFonts w:hint="eastAsia" w:ascii="宋体" w:hAnsi="宋体" w:cs="宋体"/>
                <w:color w:val="auto"/>
                <w:sz w:val="21"/>
                <w:szCs w:val="21"/>
                <w:highlight w:val="none"/>
                <w:shd w:val="clear" w:color="auto" w:fill="auto"/>
              </w:rPr>
              <w:t>，得2分；</w:t>
            </w:r>
          </w:p>
          <w:p>
            <w:pPr>
              <w:pStyle w:val="15"/>
              <w:pBdr>
                <w:bottom w:val="none" w:color="auto" w:sz="0" w:space="0"/>
              </w:pBdr>
              <w:jc w:val="lef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②承诺不清楚或</w:t>
            </w:r>
            <w:r>
              <w:rPr>
                <w:rFonts w:hint="eastAsia" w:ascii="宋体" w:hAnsi="宋体" w:cs="Arial"/>
                <w:color w:val="auto"/>
                <w:kern w:val="0"/>
                <w:sz w:val="21"/>
                <w:szCs w:val="21"/>
                <w:highlight w:val="none"/>
                <w:shd w:val="clear" w:color="auto" w:fill="auto"/>
              </w:rPr>
              <w:t>未承诺的，不</w:t>
            </w:r>
            <w:r>
              <w:rPr>
                <w:rFonts w:hint="eastAsia" w:ascii="宋体" w:hAnsi="宋体" w:cs="宋体"/>
                <w:color w:val="auto"/>
                <w:sz w:val="21"/>
                <w:szCs w:val="21"/>
                <w:highlight w:val="none"/>
                <w:shd w:val="clear" w:color="auto" w:fill="auto"/>
              </w:rPr>
              <w:t>得分。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8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8</w:t>
            </w:r>
          </w:p>
        </w:tc>
        <w:tc>
          <w:tcPr>
            <w:tcW w:w="1417" w:type="dxa"/>
            <w:vMerge w:val="restart"/>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响应时间及承诺</w:t>
            </w:r>
          </w:p>
        </w:tc>
        <w:tc>
          <w:tcPr>
            <w:tcW w:w="6860" w:type="dxa"/>
          </w:tcPr>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8.1投标人承诺响应时间（满分5分）：</w:t>
            </w:r>
          </w:p>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①投标人承诺措施全面、可行性强，对疫苗免疫严重副反应（免疫日县级区域内副反应数量≥1‰）现场处置响应时间 </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12</w:t>
            </w:r>
            <w:r>
              <w:rPr>
                <w:rFonts w:hint="eastAsia" w:ascii="宋体" w:hAnsi="宋体" w:cs="宋体"/>
                <w:color w:val="auto"/>
                <w:kern w:val="0"/>
                <w:szCs w:val="21"/>
                <w:highlight w:val="none"/>
                <w:shd w:val="clear" w:color="auto" w:fill="auto"/>
              </w:rPr>
              <w:t>小时，得2分，没有不得分；</w:t>
            </w:r>
          </w:p>
          <w:p>
            <w:pPr>
              <w:spacing w:line="276" w:lineRule="auto"/>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②投标人承诺在采购人规定时间内给予反应死亡赔偿费（按死亡牲畜实际价值的50%进行赔偿，实际价值以县级物价部门核定为准）的，得3分；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③承诺不全面或无承诺不得分。</w:t>
            </w:r>
          </w:p>
        </w:tc>
        <w:tc>
          <w:tcPr>
            <w:tcW w:w="1253"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8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1417" w:type="dxa"/>
            <w:vMerge w:val="continue"/>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p>
        </w:tc>
        <w:tc>
          <w:tcPr>
            <w:tcW w:w="6860"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8.2投标人承诺（满分1分）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②投标人针对本项目自主承诺的各项优惠事项，经评标委员会判定与项目推进、安全保障等无关的或者无承诺的，不得分。</w:t>
            </w:r>
          </w:p>
        </w:tc>
        <w:tc>
          <w:tcPr>
            <w:tcW w:w="1253"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9</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包装要求</w:t>
            </w:r>
          </w:p>
        </w:tc>
        <w:tc>
          <w:tcPr>
            <w:tcW w:w="6860" w:type="dxa"/>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投标产品的包装应低碳环保、实用性强，不浪费、利于使用；标签印刷规范明晰，利于运输保存。（须提供证明材料彩页并清晰可辨），提供得2分，不提供得0分。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88"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10</w:t>
            </w:r>
          </w:p>
        </w:tc>
        <w:tc>
          <w:tcPr>
            <w:tcW w:w="1417" w:type="dxa"/>
            <w:vAlign w:val="center"/>
          </w:tcPr>
          <w:p>
            <w:pPr>
              <w:pStyle w:val="15"/>
              <w:pBdr>
                <w:bottom w:val="none" w:color="auto" w:sz="0" w:space="0"/>
              </w:pBdr>
              <w:spacing w:line="276" w:lineRule="auto"/>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产品保险</w:t>
            </w:r>
          </w:p>
        </w:tc>
        <w:tc>
          <w:tcPr>
            <w:tcW w:w="6860" w:type="dxa"/>
            <w:vAlign w:val="center"/>
          </w:tcPr>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①投标产品应参加相关保险，并在保险有效期内（须提供有效的证明材料）得1分；</w:t>
            </w:r>
          </w:p>
          <w:p>
            <w:pPr>
              <w:pStyle w:val="15"/>
              <w:pBdr>
                <w:bottom w:val="none" w:color="auto" w:sz="0" w:space="0"/>
              </w:pBdr>
              <w:spacing w:line="276" w:lineRule="auto"/>
              <w:jc w:val="both"/>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②没有参加保险或保险已过期的不得分。</w:t>
            </w:r>
          </w:p>
        </w:tc>
        <w:tc>
          <w:tcPr>
            <w:tcW w:w="12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bl>
    <w:p>
      <w:pPr>
        <w:pStyle w:val="4"/>
        <w:rPr>
          <w:rFonts w:ascii="宋体" w:hAnsi="宋体"/>
          <w:color w:val="auto"/>
          <w:szCs w:val="21"/>
          <w:highlight w:val="none"/>
          <w:shd w:val="clear" w:color="auto" w:fill="auto"/>
        </w:rPr>
      </w:pPr>
    </w:p>
    <w:p>
      <w:pPr>
        <w:pStyle w:val="4"/>
        <w:rPr>
          <w:rFonts w:ascii="宋体" w:hAnsi="宋体"/>
          <w:color w:val="auto"/>
          <w:szCs w:val="21"/>
          <w:highlight w:val="none"/>
          <w:shd w:val="clear" w:color="auto" w:fill="auto"/>
        </w:rPr>
      </w:pPr>
    </w:p>
    <w:p>
      <w:pPr>
        <w:jc w:val="center"/>
        <w:rPr>
          <w:rFonts w:ascii="宋体" w:hAnsi="宋体" w:cs="宋体"/>
          <w:b/>
          <w:bCs/>
          <w:color w:val="auto"/>
          <w:sz w:val="24"/>
          <w:szCs w:val="24"/>
          <w:highlight w:val="none"/>
          <w:shd w:val="clear" w:color="auto" w:fill="auto"/>
        </w:rPr>
      </w:pPr>
      <w:r>
        <w:rPr>
          <w:rFonts w:ascii="宋体" w:hAnsi="宋体"/>
          <w:color w:val="auto"/>
          <w:szCs w:val="21"/>
          <w:highlight w:val="none"/>
          <w:shd w:val="clear" w:color="auto" w:fill="auto"/>
        </w:rPr>
        <w:br w:type="page"/>
      </w:r>
      <w:r>
        <w:rPr>
          <w:rFonts w:hint="eastAsia" w:ascii="宋体" w:hAnsi="宋体" w:cs="宋体"/>
          <w:b/>
          <w:bCs/>
          <w:color w:val="auto"/>
          <w:sz w:val="24"/>
          <w:szCs w:val="24"/>
          <w:highlight w:val="none"/>
          <w:shd w:val="clear" w:color="auto" w:fill="auto"/>
        </w:rPr>
        <w:t>技术评标索引目录</w:t>
      </w:r>
    </w:p>
    <w:p>
      <w:pPr>
        <w:rPr>
          <w:rFonts w:ascii="宋体" w:hAnsi="宋体" w:cs="宋体"/>
          <w:b/>
          <w:bCs/>
          <w:color w:val="auto"/>
          <w:szCs w:val="21"/>
          <w:highlight w:val="none"/>
          <w:shd w:val="clear" w:color="auto" w:fill="auto"/>
        </w:rPr>
      </w:pPr>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8"/>
        <w:gridCol w:w="620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序号</w:t>
            </w:r>
          </w:p>
        </w:tc>
        <w:tc>
          <w:tcPr>
            <w:tcW w:w="1448"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评分因素及权值</w:t>
            </w:r>
          </w:p>
        </w:tc>
        <w:tc>
          <w:tcPr>
            <w:tcW w:w="6201"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评分标准</w:t>
            </w:r>
          </w:p>
        </w:tc>
        <w:tc>
          <w:tcPr>
            <w:tcW w:w="1336" w:type="dxa"/>
            <w:vAlign w:val="center"/>
          </w:tcPr>
          <w:p>
            <w:pPr>
              <w:pStyle w:val="15"/>
              <w:pBdr>
                <w:bottom w:val="none" w:color="auto" w:sz="0" w:space="0"/>
              </w:pBdr>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p>
        </w:tc>
        <w:tc>
          <w:tcPr>
            <w:tcW w:w="1448" w:type="dxa"/>
            <w:vMerge w:val="restart"/>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产品技术指标及生产能力技术部分（25%）</w:t>
            </w:r>
          </w:p>
        </w:tc>
        <w:tc>
          <w:tcPr>
            <w:tcW w:w="6201" w:type="dxa"/>
          </w:tcPr>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1</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生产技术（满分</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生产线设备满足并优于本次疫苗采购，提供相关疫苗生产线GMP验收证明材料（相关设备购置合同、发票等）的加2分，没有的不得分。</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201" w:type="dxa"/>
          </w:tcPr>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2、产品功能（满分1分）：</w:t>
            </w:r>
          </w:p>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①所投产品满足国家对该产品的技术生产要求具有完整的产品说明书、使用范围、使用方法，注意事项等情况。说明书全面分项介绍详细，配图完整易理解。得1分；</w:t>
            </w:r>
          </w:p>
          <w:p>
            <w:pPr>
              <w:pStyle w:val="10"/>
              <w:rPr>
                <w:rFonts w:cs="宋体"/>
                <w:color w:val="auto"/>
                <w:kern w:val="0"/>
                <w:szCs w:val="21"/>
                <w:highlight w:val="none"/>
                <w:shd w:val="clear" w:color="auto" w:fill="auto"/>
              </w:rPr>
            </w:pPr>
            <w:r>
              <w:rPr>
                <w:rFonts w:hint="eastAsia" w:cs="宋体"/>
                <w:color w:val="auto"/>
                <w:kern w:val="0"/>
                <w:szCs w:val="21"/>
                <w:highlight w:val="none"/>
                <w:shd w:val="clear" w:color="auto" w:fill="auto"/>
              </w:rPr>
              <w:t>②说明书简略分项介绍内容不明确、不清晰得0.5分；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③未提供说明书不得分。</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201" w:type="dxa"/>
          </w:tcPr>
          <w:p>
            <w:pPr>
              <w:pStyle w:val="15"/>
              <w:pBdr>
                <w:bottom w:val="none" w:color="auto" w:sz="0" w:space="0"/>
              </w:pBdr>
              <w:jc w:val="left"/>
              <w:rPr>
                <w:rFonts w:ascii="宋体" w:hAnsi="宋体" w:cs="Arial"/>
                <w:color w:val="auto"/>
                <w:kern w:val="0"/>
                <w:sz w:val="21"/>
                <w:szCs w:val="21"/>
                <w:highlight w:val="none"/>
                <w:shd w:val="clear" w:color="auto" w:fill="auto"/>
              </w:rPr>
            </w:pPr>
            <w:r>
              <w:rPr>
                <w:rFonts w:hint="eastAsia" w:ascii="宋体" w:hAnsi="宋体" w:cs="Arial"/>
                <w:color w:val="auto"/>
                <w:kern w:val="0"/>
                <w:sz w:val="21"/>
                <w:szCs w:val="21"/>
                <w:highlight w:val="none"/>
                <w:shd w:val="clear" w:color="auto" w:fill="auto"/>
              </w:rPr>
              <w:t>3、安全性（满分</w:t>
            </w:r>
            <w:r>
              <w:rPr>
                <w:rFonts w:ascii="宋体" w:hAnsi="宋体" w:cs="Arial"/>
                <w:color w:val="auto"/>
                <w:kern w:val="0"/>
                <w:sz w:val="21"/>
                <w:szCs w:val="21"/>
                <w:highlight w:val="none"/>
                <w:shd w:val="clear" w:color="auto" w:fill="auto"/>
              </w:rPr>
              <w:t>3</w:t>
            </w:r>
            <w:r>
              <w:rPr>
                <w:rFonts w:hint="eastAsia" w:ascii="宋体" w:hAnsi="宋体" w:cs="Arial"/>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提供20</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2年购买</w:t>
            </w:r>
            <w:r>
              <w:rPr>
                <w:rFonts w:hint="eastAsia" w:ascii="宋体" w:hAnsi="宋体" w:cs="宋体"/>
                <w:bCs/>
                <w:color w:val="auto"/>
                <w:kern w:val="0"/>
                <w:sz w:val="21"/>
                <w:szCs w:val="21"/>
                <w:highlight w:val="none"/>
                <w:shd w:val="clear" w:color="auto" w:fill="auto"/>
              </w:rPr>
              <w:t>进口佐剂</w:t>
            </w:r>
            <w:r>
              <w:rPr>
                <w:rFonts w:hint="eastAsia" w:ascii="宋体" w:hAnsi="宋体" w:cs="宋体"/>
                <w:color w:val="auto"/>
                <w:kern w:val="0"/>
                <w:sz w:val="21"/>
                <w:szCs w:val="21"/>
                <w:highlight w:val="none"/>
                <w:shd w:val="clear" w:color="auto" w:fill="auto"/>
              </w:rPr>
              <w:t>合同及发票复印件的得</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分。承诺供货产品1</w:t>
            </w:r>
            <w:r>
              <w:rPr>
                <w:rFonts w:ascii="宋体" w:hAnsi="宋体" w:cs="宋体"/>
                <w:color w:val="auto"/>
                <w:kern w:val="0"/>
                <w:sz w:val="21"/>
                <w:szCs w:val="21"/>
                <w:highlight w:val="none"/>
                <w:shd w:val="clear" w:color="auto" w:fill="auto"/>
              </w:rPr>
              <w:t>00</w:t>
            </w:r>
            <w:r>
              <w:rPr>
                <w:rFonts w:hint="eastAsia" w:ascii="宋体" w:hAnsi="宋体" w:cs="宋体"/>
                <w:color w:val="auto"/>
                <w:kern w:val="0"/>
                <w:sz w:val="21"/>
                <w:szCs w:val="21"/>
                <w:highlight w:val="none"/>
                <w:shd w:val="clear" w:color="auto" w:fill="auto"/>
              </w:rPr>
              <w:t>%使用进口佐剂</w:t>
            </w:r>
            <w:r>
              <w:rPr>
                <w:rFonts w:hint="eastAsia" w:ascii="宋体" w:hAnsi="宋体" w:cs="宋体"/>
                <w:bCs/>
                <w:color w:val="auto"/>
                <w:kern w:val="0"/>
                <w:sz w:val="21"/>
                <w:szCs w:val="21"/>
                <w:highlight w:val="none"/>
                <w:shd w:val="clear" w:color="auto" w:fill="auto"/>
              </w:rPr>
              <w:t>的得1分。</w:t>
            </w:r>
            <w:r>
              <w:rPr>
                <w:rFonts w:hint="eastAsia" w:ascii="宋体" w:hAnsi="宋体" w:cs="Arial"/>
                <w:color w:val="auto"/>
                <w:kern w:val="0"/>
                <w:sz w:val="21"/>
                <w:szCs w:val="21"/>
                <w:highlight w:val="none"/>
                <w:shd w:val="clear" w:color="auto" w:fill="auto"/>
              </w:rPr>
              <w:t>没有不得分</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201" w:type="dxa"/>
          </w:tcPr>
          <w:p>
            <w:pPr>
              <w:rPr>
                <w:rFonts w:ascii="宋体" w:hAns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企业技术研发能力</w:t>
            </w:r>
            <w:r>
              <w:rPr>
                <w:rFonts w:hint="eastAsia" w:ascii="宋体" w:hAnsi="宋体" w:cs="Arial"/>
                <w:color w:val="auto"/>
                <w:kern w:val="0"/>
                <w:szCs w:val="21"/>
                <w:highlight w:val="none"/>
                <w:shd w:val="clear" w:color="auto" w:fill="auto"/>
              </w:rPr>
              <w:t>（满分</w:t>
            </w:r>
            <w:r>
              <w:rPr>
                <w:rFonts w:ascii="宋体" w:hAnsi="宋体" w:cs="Arial"/>
                <w:color w:val="auto"/>
                <w:kern w:val="0"/>
                <w:szCs w:val="21"/>
                <w:highlight w:val="none"/>
                <w:shd w:val="clear" w:color="auto" w:fill="auto"/>
              </w:rPr>
              <w:t>8</w:t>
            </w:r>
            <w:r>
              <w:rPr>
                <w:rFonts w:hint="eastAsia" w:ascii="宋体" w:hAnsi="宋体" w:cs="Arial"/>
                <w:color w:val="auto"/>
                <w:kern w:val="0"/>
                <w:szCs w:val="21"/>
                <w:highlight w:val="none"/>
                <w:shd w:val="clear" w:color="auto" w:fill="auto"/>
              </w:rPr>
              <w:t>分）：</w:t>
            </w:r>
          </w:p>
          <w:p>
            <w:pPr>
              <w:rPr>
                <w:rFonts w:ascii="宋体" w:hAnsi="宋体" w:cs="宋体"/>
                <w:color w:val="auto"/>
                <w:kern w:val="0"/>
                <w:szCs w:val="21"/>
                <w:highlight w:val="none"/>
                <w:shd w:val="clear" w:color="auto" w:fill="auto"/>
                <w:lang w:eastAsia="zh-Hans"/>
              </w:rPr>
            </w:pPr>
            <w:r>
              <w:rPr>
                <w:rFonts w:hint="eastAsia" w:ascii="宋体" w:hAnsi="宋体" w:cs="宋体"/>
                <w:color w:val="auto"/>
                <w:kern w:val="0"/>
                <w:szCs w:val="21"/>
                <w:highlight w:val="none"/>
                <w:shd w:val="clear" w:color="auto" w:fill="auto"/>
              </w:rPr>
              <w:t>①投标人</w:t>
            </w:r>
            <w:r>
              <w:rPr>
                <w:rFonts w:hint="eastAsia" w:ascii="宋体" w:hAnsi="宋体" w:cs="宋体"/>
                <w:color w:val="auto"/>
                <w:kern w:val="0"/>
                <w:szCs w:val="21"/>
                <w:highlight w:val="none"/>
                <w:shd w:val="clear" w:color="auto" w:fill="auto"/>
                <w:lang w:eastAsia="zh-Hans"/>
              </w:rPr>
              <w:t>获得</w:t>
            </w:r>
            <w:r>
              <w:rPr>
                <w:rFonts w:hint="eastAsia" w:ascii="宋体" w:hAnsi="宋体" w:cs="宋体"/>
                <w:color w:val="auto"/>
                <w:kern w:val="0"/>
                <w:szCs w:val="21"/>
                <w:highlight w:val="none"/>
                <w:shd w:val="clear" w:color="auto" w:fill="auto"/>
              </w:rPr>
              <w:t>“国家认定企业技术中心”得</w:t>
            </w:r>
            <w:r>
              <w:rPr>
                <w:rFonts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rPr>
              <w:t>分，没有的不得分</w:t>
            </w:r>
            <w:r>
              <w:rPr>
                <w:rFonts w:ascii="宋体" w:hAnsi="宋体" w:cs="宋体"/>
                <w:color w:val="auto"/>
                <w:kern w:val="0"/>
                <w:szCs w:val="21"/>
                <w:highlight w:val="none"/>
                <w:shd w:val="clear" w:color="auto" w:fill="auto"/>
                <w:lang w:eastAsia="zh-Hans"/>
              </w:rPr>
              <w:t>。</w:t>
            </w:r>
          </w:p>
          <w:p>
            <w:pP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②投标人</w:t>
            </w:r>
            <w:r>
              <w:rPr>
                <w:rFonts w:hint="eastAsia" w:ascii="宋体" w:hAnsi="宋体" w:cs="宋体"/>
                <w:color w:val="auto"/>
                <w:kern w:val="0"/>
                <w:szCs w:val="21"/>
                <w:highlight w:val="none"/>
                <w:shd w:val="clear" w:color="auto" w:fill="auto"/>
                <w:lang w:eastAsia="zh-Hans"/>
              </w:rPr>
              <w:t>获得“动物用生物制品技术国家地方联合工程实验室”</w:t>
            </w:r>
            <w:r>
              <w:rPr>
                <w:rFonts w:hint="eastAsia" w:ascii="宋体" w:hAnsi="宋体" w:cs="宋体"/>
                <w:color w:val="auto"/>
                <w:kern w:val="0"/>
                <w:szCs w:val="21"/>
                <w:highlight w:val="none"/>
                <w:shd w:val="clear" w:color="auto" w:fill="auto"/>
              </w:rPr>
              <w:t>得</w:t>
            </w:r>
            <w:r>
              <w:rPr>
                <w:rFonts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rPr>
              <w:t>分</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没有的不得分</w:t>
            </w:r>
            <w:r>
              <w:rPr>
                <w:rFonts w:ascii="宋体" w:hAnsi="宋体" w:cs="宋体"/>
                <w:color w:val="auto"/>
                <w:kern w:val="0"/>
                <w:szCs w:val="21"/>
                <w:highlight w:val="none"/>
                <w:shd w:val="clear" w:color="auto" w:fill="auto"/>
                <w:lang w:eastAsia="zh-Hans"/>
              </w:rPr>
              <w:t>。</w:t>
            </w:r>
          </w:p>
          <w:p>
            <w:pP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③投标疫苗由投标人自主研发，且取得相关新兽药注册证书的，得</w:t>
            </w:r>
            <w:r>
              <w:rPr>
                <w:rFonts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rPr>
              <w:t>分，没有的不得分。</w:t>
            </w:r>
          </w:p>
          <w:p>
            <w:pPr>
              <w:rPr>
                <w:rFonts w:ascii="宋体" w:hAnsi="宋体" w:cs="宋体"/>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（以上需提供证明材料，原件备查）</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201" w:type="dxa"/>
          </w:tcPr>
          <w:p>
            <w:pPr>
              <w:pStyle w:val="15"/>
              <w:pBdr>
                <w:bottom w:val="none" w:color="auto" w:sz="0" w:space="0"/>
              </w:pBdr>
              <w:jc w:val="left"/>
              <w:rPr>
                <w:rFonts w:ascii="宋体" w:hAnsi="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5、疫苗效力（满分9分）：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①</w:t>
            </w:r>
            <w:r>
              <w:rPr>
                <w:rFonts w:hint="eastAsia" w:ascii="宋体" w:hAnsi="宋体" w:cs="宋体"/>
                <w:b/>
                <w:bCs/>
                <w:color w:val="auto"/>
                <w:kern w:val="0"/>
                <w:sz w:val="21"/>
                <w:szCs w:val="21"/>
                <w:highlight w:val="none"/>
                <w:shd w:val="clear" w:color="auto" w:fill="auto"/>
              </w:rPr>
              <w:t xml:space="preserve"> </w:t>
            </w:r>
            <w:r>
              <w:rPr>
                <w:rFonts w:hint="eastAsia" w:ascii="宋体" w:hAnsi="宋体" w:cs="宋体"/>
                <w:color w:val="auto"/>
                <w:kern w:val="0"/>
                <w:sz w:val="21"/>
                <w:szCs w:val="21"/>
                <w:highlight w:val="none"/>
                <w:shd w:val="clear" w:color="auto" w:fill="auto"/>
              </w:rPr>
              <w:t>提供2022年8月1日以来连续</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个批次的批签发（共3分）：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个批次在同一月内生产的得3分；二个月内生产的得2分；半年内的得1分；超过半年以上不得分；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②计算上述</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批次疫苗的PD50平均值（满分5分）：达到6个PD50的得2分；每高一个PD50加1分，加到满分为止；</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③</w:t>
            </w:r>
            <w:r>
              <w:rPr>
                <w:rFonts w:hint="eastAsia" w:ascii="宋体" w:hAnsi="宋体" w:cs="宋体"/>
                <w:b/>
                <w:bCs/>
                <w:color w:val="auto"/>
                <w:kern w:val="0"/>
                <w:sz w:val="21"/>
                <w:szCs w:val="21"/>
                <w:highlight w:val="none"/>
                <w:shd w:val="clear" w:color="auto" w:fill="auto"/>
              </w:rPr>
              <w:t xml:space="preserve"> </w:t>
            </w:r>
            <w:r>
              <w:rPr>
                <w:rFonts w:hint="eastAsia" w:ascii="宋体" w:hAnsi="宋体" w:cs="宋体"/>
                <w:color w:val="auto"/>
                <w:kern w:val="0"/>
                <w:sz w:val="21"/>
                <w:szCs w:val="21"/>
                <w:highlight w:val="none"/>
                <w:shd w:val="clear" w:color="auto" w:fill="auto"/>
              </w:rPr>
              <w:t>PD50值的离散度（满分1分）：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上述</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个批次双组份疫苗的离散度在±1以内得1分，±2以内得0.5分，有一个批次及以上PD50值的离散度不在此范围不得分。（示例：PD50值的离散度均值为10，则</w:t>
            </w:r>
            <w:r>
              <w:rPr>
                <w:rFonts w:ascii="宋体" w:hAnsi="宋体" w:cs="宋体"/>
                <w:color w:val="auto"/>
                <w:kern w:val="0"/>
                <w:sz w:val="21"/>
                <w:szCs w:val="21"/>
                <w:highlight w:val="none"/>
                <w:shd w:val="clear" w:color="auto" w:fill="auto"/>
              </w:rPr>
              <w:t>5</w:t>
            </w:r>
            <w:r>
              <w:rPr>
                <w:rFonts w:hint="eastAsia" w:ascii="宋体" w:hAnsi="宋体" w:cs="宋体"/>
                <w:color w:val="auto"/>
                <w:kern w:val="0"/>
                <w:sz w:val="21"/>
                <w:szCs w:val="21"/>
                <w:highlight w:val="none"/>
                <w:shd w:val="clear" w:color="auto" w:fill="auto"/>
              </w:rPr>
              <w:t>个批次批签发PD50值的离散度在9～11之间的得1分，8～12之间的得0.5分，除此以外不得分；</w:t>
            </w:r>
          </w:p>
          <w:p>
            <w:pPr>
              <w:pStyle w:val="15"/>
              <w:pBdr>
                <w:bottom w:val="none" w:color="auto" w:sz="0" w:space="0"/>
              </w:pBdr>
              <w:jc w:val="left"/>
              <w:rPr>
                <w:rFonts w:ascii="宋体" w:hAnsi="宋体" w:cs="宋体"/>
                <w:b/>
                <w:bCs/>
                <w:color w:val="auto"/>
                <w:kern w:val="0"/>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（提供批签发报告复印件，原件备查）</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w:t>
            </w:r>
          </w:p>
        </w:tc>
        <w:tc>
          <w:tcPr>
            <w:tcW w:w="1448" w:type="dxa"/>
            <w:vMerge w:val="continue"/>
            <w:vAlign w:val="center"/>
          </w:tcPr>
          <w:p>
            <w:pPr>
              <w:pStyle w:val="15"/>
              <w:pBdr>
                <w:bottom w:val="none" w:color="auto" w:sz="0" w:space="0"/>
              </w:pBdr>
              <w:rPr>
                <w:rFonts w:ascii="宋体" w:hAnsi="宋体" w:cs="宋体"/>
                <w:color w:val="auto"/>
                <w:kern w:val="0"/>
                <w:sz w:val="21"/>
                <w:szCs w:val="21"/>
                <w:highlight w:val="none"/>
                <w:shd w:val="clear" w:color="auto" w:fill="auto"/>
              </w:rPr>
            </w:pPr>
          </w:p>
        </w:tc>
        <w:tc>
          <w:tcPr>
            <w:tcW w:w="6201" w:type="dxa"/>
          </w:tcPr>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6、内毒素检测（满分2分）：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提供上述2022年</w:t>
            </w:r>
            <w:r>
              <w:rPr>
                <w:rFonts w:ascii="宋体" w:hAnsi="宋体" w:cs="宋体"/>
                <w:color w:val="auto"/>
                <w:kern w:val="0"/>
                <w:sz w:val="21"/>
                <w:szCs w:val="21"/>
                <w:highlight w:val="none"/>
                <w:shd w:val="clear" w:color="auto" w:fill="auto"/>
              </w:rPr>
              <w:t>8</w:t>
            </w:r>
            <w:r>
              <w:rPr>
                <w:rFonts w:hint="eastAsia" w:ascii="宋体" w:hAnsi="宋体" w:cs="宋体"/>
                <w:color w:val="auto"/>
                <w:kern w:val="0"/>
                <w:sz w:val="21"/>
                <w:szCs w:val="21"/>
                <w:highlight w:val="none"/>
                <w:shd w:val="clear" w:color="auto" w:fill="auto"/>
              </w:rPr>
              <w:t>月1日以来连续5个批次产品内毒素检验报告单</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ascii="宋体" w:hAnsi="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rPr>
              <w:t>证明低于20EU/ml加0.5分；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2</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证明低于10EU/ml加1分；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3</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证明低于 5EU/ml加</w:t>
            </w:r>
            <w:r>
              <w:rPr>
                <w:rFonts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rPr>
              <w:t>分；</w:t>
            </w:r>
          </w:p>
          <w:p>
            <w:pPr>
              <w:pStyle w:val="15"/>
              <w:pBdr>
                <w:bottom w:val="none" w:color="auto" w:sz="0" w:space="0"/>
              </w:pBdr>
              <w:jc w:val="left"/>
              <w:rPr>
                <w:rFonts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4</w:t>
            </w:r>
            <w:r>
              <w:rPr>
                <w:rFonts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内毒素超过50EU/ml不得分；</w:t>
            </w:r>
          </w:p>
        </w:tc>
        <w:tc>
          <w:tcPr>
            <w:tcW w:w="1336" w:type="dxa"/>
            <w:vAlign w:val="center"/>
          </w:tcPr>
          <w:p>
            <w:pPr>
              <w:pStyle w:val="15"/>
              <w:pBdr>
                <w:bottom w:val="none" w:color="auto" w:sz="0" w:space="0"/>
              </w:pBdr>
              <w:rPr>
                <w:rFonts w:ascii="宋体" w:hAnsi="宋体" w:cs="宋体"/>
                <w:color w:val="auto"/>
                <w:kern w:val="0"/>
                <w:sz w:val="21"/>
                <w:szCs w:val="21"/>
                <w:highlight w:val="none"/>
                <w:shd w:val="clear" w:color="auto" w:fill="auto"/>
              </w:rPr>
            </w:pPr>
          </w:p>
        </w:tc>
      </w:tr>
    </w:tbl>
    <w:p>
      <w:pPr>
        <w:widowControl/>
        <w:ind w:firstLine="482" w:firstLineChars="200"/>
        <w:jc w:val="left"/>
        <w:textAlignment w:val="center"/>
        <w:rPr>
          <w:rFonts w:ascii="宋体" w:hAnsi="宋体" w:cs="Arial"/>
          <w:b/>
          <w:bCs/>
          <w:color w:val="auto"/>
          <w:kern w:val="0"/>
          <w:sz w:val="24"/>
          <w:szCs w:val="24"/>
          <w:highlight w:val="none"/>
          <w:shd w:val="clear" w:color="auto" w:fill="auto"/>
        </w:rPr>
      </w:pPr>
    </w:p>
    <w:p>
      <w:pPr>
        <w:widowControl/>
        <w:ind w:firstLine="482" w:firstLineChars="200"/>
        <w:jc w:val="left"/>
        <w:textAlignment w:val="center"/>
        <w:rPr>
          <w:rFonts w:ascii="宋体" w:hAnsi="宋体" w:cs="Arial"/>
          <w:b/>
          <w:bCs/>
          <w:color w:val="auto"/>
          <w:kern w:val="0"/>
          <w:sz w:val="24"/>
          <w:szCs w:val="24"/>
          <w:highlight w:val="none"/>
          <w:shd w:val="clear" w:color="auto" w:fill="auto"/>
        </w:rPr>
      </w:pPr>
    </w:p>
    <w:p>
      <w:pPr>
        <w:widowControl/>
        <w:ind w:firstLine="482" w:firstLineChars="200"/>
        <w:jc w:val="left"/>
        <w:textAlignment w:val="center"/>
        <w:rPr>
          <w:rFonts w:ascii="宋体" w:hAnsi="宋体" w:cs="宋体"/>
          <w:b/>
          <w:bCs/>
          <w:color w:val="auto"/>
          <w:sz w:val="30"/>
          <w:szCs w:val="30"/>
          <w:highlight w:val="none"/>
          <w:shd w:val="clear" w:color="auto" w:fill="auto"/>
        </w:rPr>
      </w:pPr>
      <w:r>
        <w:rPr>
          <w:rFonts w:hint="eastAsia" w:ascii="宋体" w:hAnsi="宋体" w:cs="Arial"/>
          <w:b/>
          <w:bCs/>
          <w:color w:val="auto"/>
          <w:kern w:val="0"/>
          <w:sz w:val="24"/>
          <w:szCs w:val="24"/>
          <w:highlight w:val="none"/>
          <w:shd w:val="clear" w:color="auto" w:fill="auto"/>
        </w:rPr>
        <w:t>5.2.1 投标函</w:t>
      </w:r>
      <w:r>
        <w:rPr>
          <w:rFonts w:hint="eastAsia" w:ascii="宋体" w:hAnsi="宋体" w:cs="宋体"/>
          <w:b/>
          <w:bCs/>
          <w:color w:val="auto"/>
          <w:sz w:val="30"/>
          <w:szCs w:val="30"/>
          <w:highlight w:val="none"/>
          <w:shd w:val="clear" w:color="auto" w:fill="auto"/>
        </w:rPr>
        <w:t xml:space="preserve"> </w:t>
      </w:r>
    </w:p>
    <w:p>
      <w:pPr>
        <w:jc w:val="center"/>
        <w:rPr>
          <w:b/>
          <w:bCs/>
          <w:color w:val="auto"/>
          <w:sz w:val="32"/>
          <w:szCs w:val="32"/>
          <w:highlight w:val="none"/>
          <w:shd w:val="clear" w:color="auto" w:fill="auto"/>
        </w:rPr>
      </w:pPr>
      <w:r>
        <w:rPr>
          <w:rFonts w:hint="eastAsia"/>
          <w:b/>
          <w:bCs/>
          <w:color w:val="auto"/>
          <w:sz w:val="32"/>
          <w:szCs w:val="32"/>
          <w:highlight w:val="none"/>
          <w:shd w:val="clear" w:color="auto" w:fill="auto"/>
        </w:rPr>
        <w:t>投标函</w:t>
      </w:r>
    </w:p>
    <w:p>
      <w:pPr>
        <w:widowControl/>
        <w:shd w:val="clear" w:color="auto" w:fill="FFFFFF"/>
        <w:snapToGrid w:val="0"/>
        <w:spacing w:line="384" w:lineRule="auto"/>
        <w:jc w:val="left"/>
        <w:rPr>
          <w:rFonts w:ascii="宋体" w:hAnsi="宋体" w:cs="Arial"/>
          <w:color w:val="auto"/>
          <w:kern w:val="0"/>
          <w:szCs w:val="21"/>
          <w:highlight w:val="none"/>
          <w:shd w:val="clear" w:color="auto" w:fill="auto"/>
        </w:rPr>
      </w:pPr>
    </w:p>
    <w:p>
      <w:pPr>
        <w:widowControl/>
        <w:shd w:val="clear" w:color="auto" w:fill="FFFFFF"/>
        <w:snapToGrid w:val="0"/>
        <w:spacing w:line="384" w:lineRule="auto"/>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致：</w:t>
      </w:r>
      <w:r>
        <w:rPr>
          <w:rFonts w:ascii="宋体" w:hAnsi="宋体" w:cs="Arial"/>
          <w:color w:val="auto"/>
          <w:kern w:val="0"/>
          <w:szCs w:val="21"/>
          <w:highlight w:val="none"/>
          <w:u w:val="single"/>
          <w:shd w:val="clear" w:color="auto" w:fill="auto"/>
        </w:rPr>
        <w:t xml:space="preserve">                                             </w:t>
      </w:r>
      <w:r>
        <w:rPr>
          <w:rFonts w:hint="eastAsia" w:ascii="宋体" w:hAnsi="宋体" w:cs="Arial"/>
          <w:color w:val="auto"/>
          <w:kern w:val="0"/>
          <w:szCs w:val="21"/>
          <w:highlight w:val="none"/>
          <w:shd w:val="clear" w:color="auto" w:fill="auto"/>
        </w:rPr>
        <w:t>（采购人名称）</w:t>
      </w:r>
    </w:p>
    <w:p>
      <w:pPr>
        <w:pStyle w:val="10"/>
        <w:tabs>
          <w:tab w:val="left" w:pos="5580"/>
        </w:tabs>
        <w:spacing w:line="360" w:lineRule="auto"/>
        <w:ind w:left="2" w:leftChars="1" w:firstLine="420" w:firstLineChars="200"/>
        <w:rPr>
          <w:color w:val="auto"/>
          <w:szCs w:val="21"/>
          <w:highlight w:val="none"/>
          <w:shd w:val="clear" w:color="auto" w:fill="auto"/>
        </w:rPr>
      </w:pPr>
      <w:r>
        <w:rPr>
          <w:rFonts w:hint="eastAsia"/>
          <w:color w:val="auto"/>
          <w:szCs w:val="21"/>
          <w:highlight w:val="none"/>
          <w:shd w:val="clear" w:color="auto" w:fill="auto"/>
        </w:rPr>
        <w:t>根据贵方</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w:t>
      </w:r>
      <w:r>
        <w:rPr>
          <w:rFonts w:hint="eastAsia"/>
          <w:iCs/>
          <w:color w:val="auto"/>
          <w:szCs w:val="21"/>
          <w:highlight w:val="none"/>
          <w:shd w:val="clear" w:color="auto" w:fill="auto"/>
        </w:rPr>
        <w:t>项目名称、标段号、项目编号</w:t>
      </w:r>
      <w:r>
        <w:rPr>
          <w:rFonts w:hint="eastAsia"/>
          <w:color w:val="auto"/>
          <w:szCs w:val="21"/>
          <w:highlight w:val="none"/>
          <w:shd w:val="clear" w:color="auto" w:fill="auto"/>
        </w:rPr>
        <w:t>)的投标邀请,签字代表</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w:t>
      </w:r>
      <w:r>
        <w:rPr>
          <w:rFonts w:hint="eastAsia"/>
          <w:iCs/>
          <w:color w:val="auto"/>
          <w:szCs w:val="21"/>
          <w:highlight w:val="none"/>
          <w:shd w:val="clear" w:color="auto" w:fill="auto"/>
        </w:rPr>
        <w:t>姓名、职务</w:t>
      </w:r>
      <w:r>
        <w:rPr>
          <w:rFonts w:hint="eastAsia"/>
          <w:color w:val="auto"/>
          <w:szCs w:val="21"/>
          <w:highlight w:val="none"/>
          <w:shd w:val="clear" w:color="auto" w:fill="auto"/>
        </w:rPr>
        <w:t>)经正式授权并代表投标人</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（投标人</w:t>
      </w:r>
      <w:r>
        <w:rPr>
          <w:rFonts w:hint="eastAsia"/>
          <w:iCs/>
          <w:color w:val="auto"/>
          <w:szCs w:val="21"/>
          <w:highlight w:val="none"/>
          <w:shd w:val="clear" w:color="auto" w:fill="auto"/>
        </w:rPr>
        <w:t>名称、注册地址</w:t>
      </w:r>
      <w:r>
        <w:rPr>
          <w:rFonts w:hint="eastAsia"/>
          <w:color w:val="auto"/>
          <w:szCs w:val="21"/>
          <w:highlight w:val="none"/>
          <w:shd w:val="clear" w:color="auto" w:fill="auto"/>
        </w:rPr>
        <w:t>）提交下述文件电子文档</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份。</w:t>
      </w:r>
    </w:p>
    <w:p>
      <w:pPr>
        <w:pStyle w:val="10"/>
        <w:tabs>
          <w:tab w:val="left" w:pos="5580"/>
        </w:tabs>
        <w:spacing w:line="360" w:lineRule="auto"/>
        <w:ind w:firstLine="422" w:firstLineChars="200"/>
        <w:rPr>
          <w:b/>
          <w:bCs/>
          <w:color w:val="auto"/>
          <w:szCs w:val="21"/>
          <w:highlight w:val="none"/>
          <w:shd w:val="clear" w:color="auto" w:fill="auto"/>
        </w:rPr>
      </w:pPr>
      <w:r>
        <w:rPr>
          <w:rFonts w:hint="eastAsia"/>
          <w:b/>
          <w:bCs/>
          <w:color w:val="auto"/>
          <w:szCs w:val="21"/>
          <w:highlight w:val="none"/>
          <w:shd w:val="clear" w:color="auto" w:fill="auto"/>
        </w:rPr>
        <w:t>据此，签字代表宣布同意如下：</w:t>
      </w:r>
    </w:p>
    <w:p>
      <w:pPr>
        <w:pStyle w:val="10"/>
        <w:tabs>
          <w:tab w:val="left" w:pos="5580"/>
        </w:tabs>
        <w:spacing w:line="360" w:lineRule="auto"/>
        <w:ind w:firstLine="420" w:firstLineChars="200"/>
        <w:rPr>
          <w:b/>
          <w:bCs/>
          <w:color w:val="auto"/>
          <w:szCs w:val="21"/>
          <w:highlight w:val="none"/>
          <w:shd w:val="clear" w:color="auto" w:fill="auto"/>
        </w:rPr>
      </w:pPr>
      <w:r>
        <w:rPr>
          <w:rFonts w:hint="eastAsia" w:cstheme="minorEastAsia"/>
          <w:color w:val="auto"/>
          <w:kern w:val="0"/>
          <w:szCs w:val="21"/>
          <w:highlight w:val="none"/>
          <w:shd w:val="clear" w:color="auto" w:fill="auto"/>
        </w:rPr>
        <w:t>1.本标段我方投标价格为人民币（大写）</w:t>
      </w:r>
      <w:r>
        <w:rPr>
          <w:rFonts w:hint="eastAsia" w:cstheme="minorEastAsia"/>
          <w:color w:val="auto"/>
          <w:kern w:val="0"/>
          <w:szCs w:val="21"/>
          <w:highlight w:val="none"/>
          <w:u w:val="single"/>
          <w:shd w:val="clear" w:color="auto" w:fill="auto"/>
        </w:rPr>
        <w:t xml:space="preserve">           </w:t>
      </w:r>
      <w:r>
        <w:rPr>
          <w:rFonts w:hint="eastAsia" w:cstheme="minorEastAsia"/>
          <w:color w:val="auto"/>
          <w:kern w:val="0"/>
          <w:szCs w:val="21"/>
          <w:highlight w:val="none"/>
          <w:shd w:val="clear" w:color="auto" w:fill="auto"/>
        </w:rPr>
        <w:t>元（</w:t>
      </w:r>
      <w:r>
        <w:rPr>
          <w:rFonts w:hint="eastAsia" w:cstheme="minorEastAsia"/>
          <w:color w:val="auto"/>
          <w:kern w:val="0"/>
          <w:szCs w:val="21"/>
          <w:highlight w:val="none"/>
          <w:u w:val="single"/>
          <w:shd w:val="clear" w:color="auto" w:fill="auto"/>
        </w:rPr>
        <w:t xml:space="preserve"> </w:t>
      </w:r>
      <w:r>
        <w:rPr>
          <w:rFonts w:hint="eastAsia" w:cs="宋体"/>
          <w:color w:val="auto"/>
          <w:kern w:val="0"/>
          <w:szCs w:val="21"/>
          <w:highlight w:val="none"/>
          <w:u w:val="single"/>
          <w:shd w:val="clear" w:color="auto" w:fill="auto"/>
        </w:rPr>
        <w:t>￥</w:t>
      </w:r>
      <w:r>
        <w:rPr>
          <w:rFonts w:hint="eastAsia" w:cstheme="minorEastAsia"/>
          <w:color w:val="auto"/>
          <w:kern w:val="0"/>
          <w:szCs w:val="21"/>
          <w:highlight w:val="none"/>
          <w:u w:val="single"/>
          <w:shd w:val="clear" w:color="auto" w:fill="auto"/>
        </w:rPr>
        <w:t xml:space="preserve">          </w:t>
      </w:r>
      <w:r>
        <w:rPr>
          <w:rFonts w:hint="eastAsia" w:cstheme="minorEastAsia"/>
          <w:color w:val="auto"/>
          <w:kern w:val="0"/>
          <w:szCs w:val="21"/>
          <w:highlight w:val="none"/>
          <w:shd w:val="clear" w:color="auto" w:fill="auto"/>
        </w:rPr>
        <w:t>） ，供货时间为</w:t>
      </w:r>
      <w:r>
        <w:rPr>
          <w:rFonts w:hint="eastAsia" w:cstheme="minorEastAsia"/>
          <w:color w:val="auto"/>
          <w:kern w:val="0"/>
          <w:szCs w:val="21"/>
          <w:highlight w:val="none"/>
          <w:u w:val="single"/>
          <w:shd w:val="clear" w:color="auto" w:fill="auto"/>
        </w:rPr>
        <w:t xml:space="preserve">           </w:t>
      </w:r>
      <w:r>
        <w:rPr>
          <w:rFonts w:hint="eastAsia" w:cstheme="minorEastAsia"/>
          <w:color w:val="auto"/>
          <w:kern w:val="0"/>
          <w:szCs w:val="21"/>
          <w:highlight w:val="none"/>
          <w:shd w:val="clear" w:color="auto" w:fill="auto"/>
        </w:rPr>
        <w:t>。</w:t>
      </w:r>
    </w:p>
    <w:p>
      <w:pPr>
        <w:widowControl/>
        <w:shd w:val="clear" w:color="auto" w:fill="FFFFFF"/>
        <w:snapToGrid w:val="0"/>
        <w:spacing w:line="384" w:lineRule="auto"/>
        <w:ind w:firstLine="420" w:firstLineChars="200"/>
        <w:jc w:val="left"/>
        <w:rPr>
          <w:rFonts w:ascii="宋体" w:hAnsi="宋体" w:cstheme="minorEastAsia"/>
          <w:color w:val="auto"/>
          <w:kern w:val="0"/>
          <w:szCs w:val="21"/>
          <w:highlight w:val="none"/>
          <w:shd w:val="clear" w:color="auto" w:fill="auto"/>
        </w:rPr>
      </w:pPr>
      <w:r>
        <w:rPr>
          <w:rFonts w:hint="eastAsia" w:ascii="宋体" w:hAnsi="宋体" w:cstheme="minorEastAsia"/>
          <w:color w:val="auto"/>
          <w:kern w:val="0"/>
          <w:szCs w:val="21"/>
          <w:highlight w:val="none"/>
          <w:shd w:val="clear" w:color="auto" w:fill="auto"/>
        </w:rPr>
        <w:t>2.随同本投标函提交投标保证金一份，以</w:t>
      </w:r>
      <w:r>
        <w:rPr>
          <w:rFonts w:hint="eastAsia" w:ascii="宋体" w:hAnsi="宋体" w:cstheme="minorEastAsia"/>
          <w:color w:val="auto"/>
          <w:kern w:val="0"/>
          <w:szCs w:val="21"/>
          <w:highlight w:val="none"/>
          <w:u w:val="single"/>
          <w:shd w:val="clear" w:color="auto" w:fill="auto"/>
        </w:rPr>
        <w:t xml:space="preserve">         </w:t>
      </w:r>
      <w:r>
        <w:rPr>
          <w:rFonts w:hint="eastAsia" w:ascii="宋体" w:hAnsi="宋体" w:cstheme="minorEastAsia"/>
          <w:color w:val="auto"/>
          <w:kern w:val="0"/>
          <w:szCs w:val="21"/>
          <w:highlight w:val="none"/>
          <w:shd w:val="clear" w:color="auto" w:fill="auto"/>
        </w:rPr>
        <w:t>形式出具的投标保证金，金额为人民币（大写）</w:t>
      </w:r>
      <w:r>
        <w:rPr>
          <w:rFonts w:hint="eastAsia" w:ascii="宋体" w:hAnsi="宋体" w:cstheme="minorEastAsia"/>
          <w:color w:val="auto"/>
          <w:kern w:val="0"/>
          <w:szCs w:val="21"/>
          <w:highlight w:val="none"/>
          <w:u w:val="single"/>
          <w:shd w:val="clear" w:color="auto" w:fill="auto"/>
        </w:rPr>
        <w:t xml:space="preserve">           </w:t>
      </w:r>
      <w:r>
        <w:rPr>
          <w:rFonts w:hint="eastAsia" w:ascii="宋体" w:hAnsi="宋体" w:cstheme="minorEastAsia"/>
          <w:color w:val="auto"/>
          <w:kern w:val="0"/>
          <w:szCs w:val="21"/>
          <w:highlight w:val="none"/>
          <w:shd w:val="clear" w:color="auto" w:fill="auto"/>
        </w:rPr>
        <w:t>元（</w:t>
      </w:r>
      <w:r>
        <w:rPr>
          <w:rFonts w:hint="eastAsia" w:ascii="宋体" w:hAnsi="宋体" w:cstheme="minorEastAsia"/>
          <w:color w:val="auto"/>
          <w:kern w:val="0"/>
          <w:szCs w:val="21"/>
          <w:highlight w:val="none"/>
          <w:u w:val="single"/>
          <w:shd w:val="clear" w:color="auto" w:fill="auto"/>
        </w:rPr>
        <w:t xml:space="preserve"> </w:t>
      </w:r>
      <w:r>
        <w:rPr>
          <w:rFonts w:hint="eastAsia" w:ascii="宋体" w:hAnsi="宋体" w:cs="宋体"/>
          <w:color w:val="auto"/>
          <w:kern w:val="0"/>
          <w:szCs w:val="21"/>
          <w:highlight w:val="none"/>
          <w:u w:val="single"/>
          <w:shd w:val="clear" w:color="auto" w:fill="auto"/>
        </w:rPr>
        <w:t>￥</w:t>
      </w:r>
      <w:r>
        <w:rPr>
          <w:rFonts w:hint="eastAsia" w:ascii="宋体" w:hAnsi="宋体" w:cstheme="minorEastAsia"/>
          <w:color w:val="auto"/>
          <w:kern w:val="0"/>
          <w:szCs w:val="21"/>
          <w:highlight w:val="none"/>
          <w:u w:val="single"/>
          <w:shd w:val="clear" w:color="auto" w:fill="auto"/>
        </w:rPr>
        <w:t xml:space="preserve">          </w:t>
      </w:r>
      <w:r>
        <w:rPr>
          <w:rFonts w:hint="eastAsia" w:ascii="宋体" w:hAnsi="宋体" w:cstheme="minorEastAsia"/>
          <w:color w:val="auto"/>
          <w:kern w:val="0"/>
          <w:szCs w:val="21"/>
          <w:highlight w:val="none"/>
          <w:shd w:val="clear" w:color="auto" w:fill="auto"/>
        </w:rPr>
        <w:t>） 。</w:t>
      </w:r>
    </w:p>
    <w:p>
      <w:pPr>
        <w:widowControl/>
        <w:shd w:val="clear" w:color="auto" w:fill="FFFFFF"/>
        <w:snapToGrid w:val="0"/>
        <w:spacing w:line="384" w:lineRule="auto"/>
        <w:ind w:firstLine="420" w:firstLineChars="200"/>
        <w:jc w:val="left"/>
        <w:rPr>
          <w:rFonts w:ascii="宋体" w:hAnsi="宋体" w:cstheme="minorEastAsia"/>
          <w:color w:val="auto"/>
          <w:kern w:val="0"/>
          <w:szCs w:val="21"/>
          <w:highlight w:val="none"/>
          <w:shd w:val="clear" w:color="auto" w:fill="auto"/>
        </w:rPr>
      </w:pPr>
      <w:r>
        <w:rPr>
          <w:rFonts w:hint="eastAsia" w:ascii="宋体" w:hAnsi="宋体" w:cstheme="minorEastAsia"/>
          <w:color w:val="auto"/>
          <w:kern w:val="0"/>
          <w:szCs w:val="21"/>
          <w:highlight w:val="none"/>
          <w:shd w:val="clear" w:color="auto" w:fill="auto"/>
        </w:rPr>
        <w:t>3.</w:t>
      </w:r>
      <w:r>
        <w:rPr>
          <w:rFonts w:hint="eastAsia" w:ascii="宋体" w:hAnsi="宋体" w:cstheme="minorEastAsia"/>
          <w:color w:val="auto"/>
          <w:szCs w:val="21"/>
          <w:highlight w:val="none"/>
          <w:shd w:val="clear" w:color="auto" w:fill="auto"/>
        </w:rPr>
        <w:t>我方承诺在投标有效期内不补充、修改、替代或者撤回本投标文件。</w:t>
      </w:r>
    </w:p>
    <w:p>
      <w:pPr>
        <w:widowControl/>
        <w:shd w:val="clear" w:color="auto" w:fill="FFFFFF"/>
        <w:snapToGrid w:val="0"/>
        <w:spacing w:line="384" w:lineRule="auto"/>
        <w:ind w:firstLine="420" w:firstLineChars="20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4</w:t>
      </w:r>
      <w:r>
        <w:rPr>
          <w:rFonts w:ascii="宋体" w:hAnsi="宋体" w:cs="Arial"/>
          <w:color w:val="auto"/>
          <w:kern w:val="0"/>
          <w:szCs w:val="21"/>
          <w:highlight w:val="none"/>
          <w:shd w:val="clear" w:color="auto" w:fill="auto"/>
        </w:rPr>
        <w:t>.</w:t>
      </w:r>
      <w:r>
        <w:rPr>
          <w:rFonts w:hint="eastAsia" w:ascii="宋体" w:hAnsi="宋体" w:cstheme="minorEastAsia"/>
          <w:color w:val="auto"/>
          <w:kern w:val="0"/>
          <w:szCs w:val="21"/>
          <w:highlight w:val="none"/>
          <w:shd w:val="clear" w:color="auto" w:fill="auto"/>
        </w:rPr>
        <w:t>如果我方</w:t>
      </w:r>
      <w:r>
        <w:rPr>
          <w:rFonts w:hint="eastAsia" w:ascii="宋体" w:hAnsi="宋体" w:cs="Arial"/>
          <w:color w:val="auto"/>
          <w:kern w:val="0"/>
          <w:szCs w:val="21"/>
          <w:highlight w:val="none"/>
          <w:shd w:val="clear" w:color="auto" w:fill="auto"/>
        </w:rPr>
        <w:t>中标，我方将按规定履行合同责任义务。保证在合同约定的服务周期内供货，并确保我方提供产品及服务满足招标文件的要求。</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5</w:t>
      </w:r>
      <w:r>
        <w:rPr>
          <w:rFonts w:cs="Arial"/>
          <w:color w:val="auto"/>
          <w:kern w:val="0"/>
          <w:szCs w:val="21"/>
          <w:highlight w:val="none"/>
          <w:shd w:val="clear" w:color="auto" w:fill="auto"/>
        </w:rPr>
        <w:t>.</w:t>
      </w:r>
      <w:r>
        <w:rPr>
          <w:rFonts w:hint="eastAsia"/>
          <w:color w:val="auto"/>
          <w:szCs w:val="21"/>
          <w:highlight w:val="none"/>
          <w:shd w:val="clear" w:color="auto" w:fill="auto"/>
        </w:rPr>
        <w:t>本投标文件有效期为</w:t>
      </w:r>
      <w:r>
        <w:rPr>
          <w:rFonts w:hint="eastAsia" w:cs="宋体"/>
          <w:color w:val="auto"/>
          <w:kern w:val="0"/>
          <w:szCs w:val="21"/>
          <w:highlight w:val="none"/>
          <w:shd w:val="clear" w:color="auto" w:fill="auto"/>
        </w:rPr>
        <w:t>自投标截止之日起</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个日历日。</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6</w:t>
      </w:r>
      <w:r>
        <w:rPr>
          <w:rFonts w:cs="Arial"/>
          <w:color w:val="auto"/>
          <w:kern w:val="0"/>
          <w:szCs w:val="21"/>
          <w:highlight w:val="none"/>
          <w:shd w:val="clear" w:color="auto" w:fill="auto"/>
        </w:rPr>
        <w:t>.</w:t>
      </w:r>
      <w:r>
        <w:rPr>
          <w:rFonts w:hint="eastAsia"/>
          <w:color w:val="auto"/>
          <w:szCs w:val="21"/>
          <w:highlight w:val="none"/>
          <w:shd w:val="clear" w:color="auto" w:fill="auto"/>
        </w:rPr>
        <w:t>已详细审查全部招标文件，包括所有补充通知（如果有的话），完全理解并同意放弃对这方面有不明、误解的权利。</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7</w:t>
      </w:r>
      <w:r>
        <w:rPr>
          <w:rFonts w:cs="Arial"/>
          <w:color w:val="auto"/>
          <w:kern w:val="0"/>
          <w:szCs w:val="21"/>
          <w:highlight w:val="none"/>
          <w:shd w:val="clear" w:color="auto" w:fill="auto"/>
        </w:rPr>
        <w:t>.</w:t>
      </w:r>
      <w:r>
        <w:rPr>
          <w:rFonts w:hint="eastAsia"/>
          <w:color w:val="auto"/>
          <w:szCs w:val="21"/>
          <w:highlight w:val="none"/>
          <w:shd w:val="clear" w:color="auto" w:fill="auto"/>
        </w:rPr>
        <w:t>我方不是</w:t>
      </w:r>
      <w:r>
        <w:rPr>
          <w:color w:val="auto"/>
          <w:szCs w:val="21"/>
          <w:highlight w:val="none"/>
          <w:shd w:val="clear" w:color="auto" w:fill="auto"/>
        </w:rPr>
        <w:t>为</w:t>
      </w:r>
      <w:r>
        <w:rPr>
          <w:rFonts w:hint="eastAsia"/>
          <w:color w:val="auto"/>
          <w:szCs w:val="21"/>
          <w:highlight w:val="none"/>
          <w:shd w:val="clear" w:color="auto" w:fill="auto"/>
        </w:rPr>
        <w:t>本</w:t>
      </w:r>
      <w:r>
        <w:rPr>
          <w:color w:val="auto"/>
          <w:szCs w:val="21"/>
          <w:highlight w:val="none"/>
          <w:shd w:val="clear" w:color="auto" w:fill="auto"/>
        </w:rPr>
        <w:t>项目提供整体</w:t>
      </w:r>
      <w:r>
        <w:rPr>
          <w:rFonts w:hint="eastAsia"/>
          <w:color w:val="auto"/>
          <w:szCs w:val="21"/>
          <w:highlight w:val="none"/>
          <w:shd w:val="clear" w:color="auto" w:fill="auto"/>
        </w:rPr>
        <w:t>设计</w:t>
      </w:r>
      <w:r>
        <w:rPr>
          <w:color w:val="auto"/>
          <w:szCs w:val="21"/>
          <w:highlight w:val="none"/>
          <w:shd w:val="clear" w:color="auto" w:fill="auto"/>
        </w:rPr>
        <w:t>、规范编制或者项目管理、监理、检测等服务的供应商</w:t>
      </w:r>
      <w:r>
        <w:rPr>
          <w:rFonts w:hint="eastAsia"/>
          <w:color w:val="auto"/>
          <w:szCs w:val="21"/>
          <w:highlight w:val="none"/>
          <w:shd w:val="clear" w:color="auto" w:fill="auto"/>
        </w:rPr>
        <w:t>，我方不是采购代理</w:t>
      </w:r>
      <w:r>
        <w:rPr>
          <w:color w:val="auto"/>
          <w:szCs w:val="21"/>
          <w:highlight w:val="none"/>
          <w:shd w:val="clear" w:color="auto" w:fill="auto"/>
        </w:rPr>
        <w:t>机构</w:t>
      </w:r>
      <w:r>
        <w:rPr>
          <w:rFonts w:hint="eastAsia"/>
          <w:color w:val="auto"/>
          <w:szCs w:val="21"/>
          <w:highlight w:val="none"/>
          <w:shd w:val="clear" w:color="auto" w:fill="auto"/>
        </w:rPr>
        <w:t>的附属机构。</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8</w:t>
      </w:r>
      <w:r>
        <w:rPr>
          <w:rFonts w:cs="Arial"/>
          <w:color w:val="auto"/>
          <w:kern w:val="0"/>
          <w:szCs w:val="21"/>
          <w:highlight w:val="none"/>
          <w:shd w:val="clear" w:color="auto" w:fill="auto"/>
        </w:rPr>
        <w:t>.</w:t>
      </w:r>
      <w:r>
        <w:rPr>
          <w:rFonts w:hint="eastAsia"/>
          <w:color w:val="auto"/>
          <w:szCs w:val="21"/>
          <w:highlight w:val="none"/>
          <w:shd w:val="clear" w:color="auto" w:fill="auto"/>
        </w:rPr>
        <w:t>按照招标文件的规定，在</w:t>
      </w:r>
      <w:r>
        <w:rPr>
          <w:color w:val="auto"/>
          <w:szCs w:val="21"/>
          <w:highlight w:val="none"/>
          <w:shd w:val="clear" w:color="auto" w:fill="auto"/>
        </w:rPr>
        <w:t>中标后</w:t>
      </w:r>
      <w:r>
        <w:rPr>
          <w:rFonts w:hint="eastAsia"/>
          <w:color w:val="auto"/>
          <w:szCs w:val="21"/>
          <w:highlight w:val="none"/>
          <w:shd w:val="clear" w:color="auto" w:fill="auto"/>
        </w:rPr>
        <w:t>向贵方一次性支付招标代理费。</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9</w:t>
      </w:r>
      <w:r>
        <w:rPr>
          <w:rFonts w:cs="Arial"/>
          <w:color w:val="auto"/>
          <w:kern w:val="0"/>
          <w:szCs w:val="21"/>
          <w:highlight w:val="none"/>
          <w:shd w:val="clear" w:color="auto" w:fill="auto"/>
        </w:rPr>
        <w:t>.</w:t>
      </w:r>
      <w:r>
        <w:rPr>
          <w:rFonts w:hint="eastAsia"/>
          <w:color w:val="auto"/>
          <w:szCs w:val="21"/>
          <w:highlight w:val="none"/>
          <w:shd w:val="clear" w:color="auto" w:fill="auto"/>
        </w:rPr>
        <w:t>按照贵方可能的要求，提供与投标有关的一切数据或资料，完全理解贵方不一定接受最低价的投标或收到的任何投标。</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10</w:t>
      </w:r>
      <w:r>
        <w:rPr>
          <w:rFonts w:cs="Arial"/>
          <w:color w:val="auto"/>
          <w:kern w:val="0"/>
          <w:szCs w:val="21"/>
          <w:highlight w:val="none"/>
          <w:shd w:val="clear" w:color="auto" w:fill="auto"/>
        </w:rPr>
        <w:t>.</w:t>
      </w:r>
      <w:r>
        <w:rPr>
          <w:rFonts w:hint="eastAsia"/>
          <w:color w:val="auto"/>
          <w:szCs w:val="21"/>
          <w:highlight w:val="none"/>
          <w:shd w:val="clear" w:color="auto" w:fill="auto"/>
        </w:rPr>
        <w:t>按照招标文件的规定履行合同责任和义务。</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11</w:t>
      </w:r>
      <w:r>
        <w:rPr>
          <w:rFonts w:cs="Arial"/>
          <w:color w:val="auto"/>
          <w:kern w:val="0"/>
          <w:szCs w:val="21"/>
          <w:highlight w:val="none"/>
          <w:shd w:val="clear" w:color="auto" w:fill="auto"/>
        </w:rPr>
        <w:t>.</w:t>
      </w:r>
      <w:r>
        <w:rPr>
          <w:rFonts w:hint="eastAsia"/>
          <w:color w:val="auto"/>
          <w:szCs w:val="21"/>
          <w:highlight w:val="none"/>
          <w:shd w:val="clear" w:color="auto" w:fill="auto"/>
        </w:rPr>
        <w:t>完全理解并</w:t>
      </w:r>
      <w:r>
        <w:rPr>
          <w:color w:val="auto"/>
          <w:szCs w:val="21"/>
          <w:highlight w:val="none"/>
          <w:shd w:val="clear" w:color="auto" w:fill="auto"/>
        </w:rPr>
        <w:t>无条件承担</w:t>
      </w:r>
      <w:r>
        <w:rPr>
          <w:rFonts w:hint="eastAsia"/>
          <w:color w:val="auto"/>
          <w:szCs w:val="21"/>
          <w:highlight w:val="none"/>
          <w:shd w:val="clear" w:color="auto" w:fill="auto"/>
        </w:rPr>
        <w:t>中标后</w:t>
      </w:r>
      <w:r>
        <w:rPr>
          <w:color w:val="auto"/>
          <w:szCs w:val="21"/>
          <w:highlight w:val="none"/>
          <w:shd w:val="clear" w:color="auto" w:fill="auto"/>
        </w:rPr>
        <w:t>不依法与采购人签订合同的法律后果</w:t>
      </w:r>
      <w:r>
        <w:rPr>
          <w:rFonts w:hint="eastAsia"/>
          <w:color w:val="auto"/>
          <w:szCs w:val="21"/>
          <w:highlight w:val="none"/>
          <w:shd w:val="clear" w:color="auto" w:fill="auto"/>
        </w:rPr>
        <w:t>。</w:t>
      </w:r>
    </w:p>
    <w:p>
      <w:pPr>
        <w:widowControl/>
        <w:shd w:val="clear" w:color="auto" w:fill="FFFFFF"/>
        <w:snapToGrid w:val="0"/>
        <w:spacing w:line="384" w:lineRule="auto"/>
        <w:ind w:firstLine="420" w:firstLineChars="20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12</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firstLineChars="20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13</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firstLineChars="20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14</w:t>
      </w:r>
      <w:r>
        <w:rPr>
          <w:rFonts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如我方中标，在合同签订后3个工作日内向采购代理机构提供采购合同原件一份用于采购资料备案工作，否则投标保证金将被贵方没收。</w:t>
      </w:r>
    </w:p>
    <w:p>
      <w:pPr>
        <w:pStyle w:val="10"/>
        <w:tabs>
          <w:tab w:val="left" w:pos="5580"/>
        </w:tabs>
        <w:spacing w:line="360" w:lineRule="auto"/>
        <w:ind w:firstLine="420" w:firstLineChars="200"/>
        <w:rPr>
          <w:color w:val="auto"/>
          <w:szCs w:val="21"/>
          <w:highlight w:val="none"/>
          <w:shd w:val="clear" w:color="auto" w:fill="auto"/>
        </w:rPr>
      </w:pPr>
      <w:r>
        <w:rPr>
          <w:rFonts w:hint="eastAsia" w:cs="Arial"/>
          <w:color w:val="auto"/>
          <w:kern w:val="0"/>
          <w:szCs w:val="21"/>
          <w:highlight w:val="none"/>
          <w:shd w:val="clear" w:color="auto" w:fill="auto"/>
        </w:rPr>
        <w:t>15</w:t>
      </w:r>
      <w:r>
        <w:rPr>
          <w:rFonts w:cs="Arial"/>
          <w:color w:val="auto"/>
          <w:kern w:val="0"/>
          <w:szCs w:val="21"/>
          <w:highlight w:val="none"/>
          <w:shd w:val="clear" w:color="auto" w:fill="auto"/>
        </w:rPr>
        <w:t>.</w:t>
      </w:r>
      <w:r>
        <w:rPr>
          <w:rFonts w:hint="eastAsia" w:cs="Arial"/>
          <w:color w:val="auto"/>
          <w:kern w:val="0"/>
          <w:szCs w:val="21"/>
          <w:highlight w:val="none"/>
          <w:shd w:val="clear" w:color="auto" w:fill="auto"/>
        </w:rPr>
        <w:t>我方在此声明，所递交的投标文件及有关资料内容完整、真实和准确。</w:t>
      </w:r>
    </w:p>
    <w:p>
      <w:pPr>
        <w:pStyle w:val="10"/>
        <w:tabs>
          <w:tab w:val="left" w:pos="5580"/>
        </w:tabs>
        <w:spacing w:line="360" w:lineRule="auto"/>
        <w:ind w:left="332" w:leftChars="68" w:hanging="189" w:hangingChars="90"/>
        <w:rPr>
          <w:color w:val="auto"/>
          <w:szCs w:val="21"/>
          <w:highlight w:val="none"/>
          <w:shd w:val="clear" w:color="auto" w:fill="auto"/>
        </w:rPr>
      </w:pPr>
      <w:r>
        <w:rPr>
          <w:rFonts w:hint="eastAsia"/>
          <w:color w:val="auto"/>
          <w:szCs w:val="21"/>
          <w:highlight w:val="none"/>
          <w:shd w:val="clear" w:color="auto" w:fill="auto"/>
        </w:rPr>
        <w:t xml:space="preserve">  </w:t>
      </w:r>
    </w:p>
    <w:p>
      <w:pPr>
        <w:pStyle w:val="10"/>
        <w:tabs>
          <w:tab w:val="left" w:pos="5580"/>
        </w:tabs>
        <w:spacing w:line="360" w:lineRule="auto"/>
        <w:ind w:firstLine="420" w:firstLineChars="200"/>
        <w:rPr>
          <w:color w:val="auto"/>
          <w:szCs w:val="21"/>
          <w:highlight w:val="none"/>
          <w:shd w:val="clear" w:color="auto" w:fill="auto"/>
        </w:rPr>
      </w:pPr>
      <w:r>
        <w:rPr>
          <w:rFonts w:hint="eastAsia"/>
          <w:color w:val="auto"/>
          <w:szCs w:val="21"/>
          <w:highlight w:val="none"/>
          <w:shd w:val="clear" w:color="auto" w:fill="auto"/>
        </w:rPr>
        <w:t>与本投标有关的一切正式往来信函请寄：</w:t>
      </w:r>
    </w:p>
    <w:p>
      <w:pPr>
        <w:pStyle w:val="10"/>
        <w:tabs>
          <w:tab w:val="left" w:pos="5580"/>
        </w:tabs>
        <w:spacing w:line="360" w:lineRule="auto"/>
        <w:ind w:left="1080" w:leftChars="257" w:hanging="540"/>
        <w:rPr>
          <w:color w:val="auto"/>
          <w:szCs w:val="21"/>
          <w:highlight w:val="none"/>
          <w:shd w:val="clear" w:color="auto" w:fill="auto"/>
        </w:rPr>
      </w:pPr>
      <w:r>
        <w:rPr>
          <w:rFonts w:hint="eastAsia"/>
          <w:color w:val="auto"/>
          <w:szCs w:val="21"/>
          <w:highlight w:val="none"/>
          <w:shd w:val="clear" w:color="auto" w:fill="auto"/>
        </w:rPr>
        <w:t>地址：</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left="1080" w:leftChars="257" w:hanging="540"/>
        <w:rPr>
          <w:color w:val="auto"/>
          <w:szCs w:val="21"/>
          <w:highlight w:val="none"/>
          <w:shd w:val="clear" w:color="auto" w:fill="auto"/>
        </w:rPr>
      </w:pPr>
      <w:r>
        <w:rPr>
          <w:rFonts w:hint="eastAsia"/>
          <w:color w:val="auto"/>
          <w:szCs w:val="21"/>
          <w:highlight w:val="none"/>
          <w:shd w:val="clear" w:color="auto" w:fill="auto"/>
        </w:rPr>
        <w:t>传真：</w:t>
      </w:r>
      <w:r>
        <w:rPr>
          <w:rFonts w:hint="eastAsia"/>
          <w:color w:val="auto"/>
          <w:szCs w:val="21"/>
          <w:highlight w:val="none"/>
          <w:u w:val="single"/>
          <w:shd w:val="clear" w:color="auto" w:fill="auto"/>
        </w:rPr>
        <w:t xml:space="preserve">                             </w:t>
      </w:r>
    </w:p>
    <w:p>
      <w:pPr>
        <w:pStyle w:val="10"/>
        <w:tabs>
          <w:tab w:val="left" w:pos="5580"/>
        </w:tabs>
        <w:spacing w:line="360" w:lineRule="auto"/>
        <w:ind w:left="1080" w:leftChars="257" w:hanging="540"/>
        <w:rPr>
          <w:color w:val="auto"/>
          <w:szCs w:val="21"/>
          <w:highlight w:val="none"/>
          <w:shd w:val="clear" w:color="auto" w:fill="auto"/>
        </w:rPr>
      </w:pPr>
      <w:r>
        <w:rPr>
          <w:rFonts w:hint="eastAsia"/>
          <w:color w:val="auto"/>
          <w:szCs w:val="21"/>
          <w:highlight w:val="none"/>
          <w:shd w:val="clear" w:color="auto" w:fill="auto"/>
        </w:rPr>
        <w:t>电话：</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left="1080" w:leftChars="257" w:hanging="540"/>
        <w:rPr>
          <w:b/>
          <w:color w:val="auto"/>
          <w:szCs w:val="21"/>
          <w:highlight w:val="none"/>
          <w:shd w:val="clear" w:color="auto" w:fill="auto"/>
        </w:rPr>
      </w:pPr>
      <w:r>
        <w:rPr>
          <w:rFonts w:hint="eastAsia"/>
          <w:color w:val="auto"/>
          <w:szCs w:val="21"/>
          <w:highlight w:val="none"/>
          <w:shd w:val="clear" w:color="auto" w:fill="auto"/>
        </w:rPr>
        <w:t>电子函件：</w:t>
      </w:r>
      <w:r>
        <w:rPr>
          <w:rFonts w:hint="eastAsia"/>
          <w:color w:val="auto"/>
          <w:szCs w:val="21"/>
          <w:highlight w:val="none"/>
          <w:u w:val="single"/>
          <w:shd w:val="clear" w:color="auto" w:fill="auto"/>
        </w:rPr>
        <w:t xml:space="preserve">                         </w:t>
      </w:r>
    </w:p>
    <w:p>
      <w:pPr>
        <w:spacing w:line="360" w:lineRule="auto"/>
        <w:rPr>
          <w:rFonts w:ascii="宋体" w:hAnsi="宋体" w:cs="宋体"/>
          <w:color w:val="auto"/>
          <w:szCs w:val="21"/>
          <w:highlight w:val="none"/>
          <w:shd w:val="clear" w:color="auto" w:fill="auto"/>
        </w:rPr>
      </w:pP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spacing w:line="360" w:lineRule="auto"/>
        <w:rPr>
          <w:rFonts w:ascii="宋体" w:hAnsi="宋体" w:cs="宋体"/>
          <w:color w:val="auto"/>
          <w:sz w:val="24"/>
          <w:szCs w:val="24"/>
          <w:highlight w:val="none"/>
          <w:shd w:val="clear" w:color="auto" w:fill="auto"/>
        </w:rPr>
      </w:pPr>
    </w:p>
    <w:p>
      <w:pPr>
        <w:pStyle w:val="7"/>
        <w:numPr>
          <w:ilvl w:val="0"/>
          <w:numId w:val="0"/>
        </w:numPr>
        <w:rPr>
          <w:rFonts w:ascii="宋体" w:hAnsi="宋体" w:cs="宋体"/>
          <w:color w:val="auto"/>
          <w:kern w:val="0"/>
          <w:sz w:val="24"/>
          <w:highlight w:val="none"/>
          <w:u w:val="single"/>
          <w:shd w:val="clear" w:color="auto" w:fill="auto"/>
        </w:rPr>
      </w:pPr>
    </w:p>
    <w:p>
      <w:pPr>
        <w:pStyle w:val="10"/>
        <w:tabs>
          <w:tab w:val="left" w:pos="5580"/>
        </w:tabs>
        <w:spacing w:line="360" w:lineRule="auto"/>
        <w:ind w:left="1080" w:leftChars="257" w:hanging="540"/>
        <w:rPr>
          <w:color w:val="auto"/>
          <w:sz w:val="24"/>
          <w:highlight w:val="none"/>
          <w:shd w:val="clear" w:color="auto" w:fill="auto"/>
        </w:rPr>
      </w:pPr>
    </w:p>
    <w:p>
      <w:pPr>
        <w:widowControl/>
        <w:jc w:val="center"/>
        <w:textAlignment w:val="center"/>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br w:type="page"/>
      </w:r>
    </w:p>
    <w:p>
      <w:pPr>
        <w:spacing w:line="360" w:lineRule="auto"/>
        <w:rPr>
          <w:rFonts w:ascii="宋体" w:hAnsi="宋体" w:cs="宋体"/>
          <w:b/>
          <w:bCs/>
          <w:color w:val="auto"/>
          <w:szCs w:val="30"/>
          <w:highlight w:val="none"/>
          <w:shd w:val="clear" w:color="auto" w:fill="auto"/>
        </w:rPr>
      </w:pPr>
      <w:r>
        <w:rPr>
          <w:rFonts w:hint="eastAsia" w:ascii="宋体" w:hAnsi="宋体" w:cs="Arial"/>
          <w:b/>
          <w:bCs/>
          <w:color w:val="auto"/>
          <w:kern w:val="0"/>
          <w:sz w:val="24"/>
          <w:szCs w:val="24"/>
          <w:highlight w:val="none"/>
          <w:shd w:val="clear" w:color="auto" w:fill="auto"/>
        </w:rPr>
        <w:t>5.2.2 开标一览表(报价表）</w:t>
      </w:r>
    </w:p>
    <w:p>
      <w:pPr>
        <w:spacing w:line="360" w:lineRule="auto"/>
        <w:jc w:val="center"/>
        <w:rPr>
          <w:b/>
          <w:bCs/>
          <w:color w:val="auto"/>
          <w:sz w:val="32"/>
          <w:szCs w:val="32"/>
          <w:highlight w:val="none"/>
          <w:shd w:val="clear" w:color="auto" w:fill="auto"/>
        </w:rPr>
      </w:pPr>
      <w:r>
        <w:rPr>
          <w:rFonts w:hint="eastAsia"/>
          <w:b/>
          <w:bCs/>
          <w:color w:val="auto"/>
          <w:sz w:val="32"/>
          <w:szCs w:val="32"/>
          <w:highlight w:val="none"/>
          <w:shd w:val="clear" w:color="auto" w:fill="auto"/>
        </w:rPr>
        <w:t>开标一览表（报价表）</w:t>
      </w:r>
    </w:p>
    <w:p>
      <w:pPr>
        <w:spacing w:line="360" w:lineRule="auto"/>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项目名称（标段号）：</w:t>
      </w:r>
      <w:r>
        <w:rPr>
          <w:rFonts w:hint="eastAsia" w:ascii="宋体" w:hAnsi="宋体" w:cs="宋体"/>
          <w:color w:val="auto"/>
          <w:szCs w:val="21"/>
          <w:highlight w:val="none"/>
          <w:u w:val="single"/>
          <w:shd w:val="clear" w:color="auto" w:fill="auto"/>
        </w:rPr>
        <w:t xml:space="preserve">                         </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项目编号： </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 xml:space="preserve">  </w:t>
      </w:r>
    </w:p>
    <w:tbl>
      <w:tblPr>
        <w:tblStyle w:val="21"/>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279"/>
        <w:gridCol w:w="1590"/>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pPr>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项目名称（标段号）</w:t>
            </w:r>
          </w:p>
        </w:tc>
        <w:tc>
          <w:tcPr>
            <w:tcW w:w="7911" w:type="dxa"/>
            <w:gridSpan w:val="3"/>
            <w:vAlign w:val="center"/>
          </w:tcPr>
          <w:p>
            <w:pPr>
              <w:rPr>
                <w:rFonts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Merge w:val="restart"/>
            <w:vAlign w:val="center"/>
          </w:tcPr>
          <w:p>
            <w:pPr>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w:t>
            </w:r>
          </w:p>
        </w:tc>
        <w:tc>
          <w:tcPr>
            <w:tcW w:w="7911" w:type="dxa"/>
            <w:gridSpan w:val="3"/>
            <w:vAlign w:val="center"/>
          </w:tcPr>
          <w:p>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投标单价：</w:t>
            </w:r>
          </w:p>
          <w:p>
            <w:pPr>
              <w:rPr>
                <w:rFonts w:ascii="宋体" w:hAnsi="宋体" w:cs="宋体"/>
                <w:color w:val="auto"/>
                <w:szCs w:val="21"/>
                <w:highlight w:val="none"/>
                <w:shd w:val="clear" w:color="auto" w:fill="auto"/>
              </w:rPr>
            </w:pPr>
          </w:p>
          <w:p>
            <w:pPr>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大写：</w:t>
            </w:r>
            <w:r>
              <w:rPr>
                <w:rFonts w:hint="eastAsia" w:ascii="宋体" w:hAnsi="宋体" w:cs="宋体"/>
                <w:color w:val="auto"/>
                <w:szCs w:val="21"/>
                <w:highlight w:val="none"/>
                <w:u w:val="single"/>
                <w:shd w:val="clear" w:color="auto" w:fill="auto"/>
              </w:rPr>
              <w:t xml:space="preserve">                      </w:t>
            </w:r>
          </w:p>
          <w:p>
            <w:pPr>
              <w:pStyle w:val="7"/>
              <w:numPr>
                <w:ilvl w:val="0"/>
                <w:numId w:val="0"/>
              </w:numPr>
              <w:rPr>
                <w:rFonts w:ascii="宋体" w:hAnsi="宋体" w:eastAsia="宋体" w:cs="宋体"/>
                <w:color w:val="auto"/>
                <w:sz w:val="21"/>
                <w:szCs w:val="21"/>
                <w:highlight w:val="none"/>
                <w:shd w:val="clear" w:color="auto" w:fill="auto"/>
              </w:rPr>
            </w:pPr>
          </w:p>
          <w:p>
            <w:pPr>
              <w:pStyle w:val="7"/>
              <w:numPr>
                <w:ilvl w:val="0"/>
                <w:numId w:val="0"/>
              </w:numPr>
              <w:rPr>
                <w:rFonts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小写：</w:t>
            </w:r>
            <w:r>
              <w:rPr>
                <w:rFonts w:hint="eastAsia" w:ascii="宋体" w:hAnsi="宋体" w:eastAsia="宋体" w:cs="宋体"/>
                <w:color w:val="auto"/>
                <w:sz w:val="21"/>
                <w:szCs w:val="21"/>
                <w:highlight w:val="none"/>
                <w:u w:val="single"/>
                <w:shd w:val="clear" w:color="auto" w:fill="auto"/>
              </w:rPr>
              <w:t xml:space="preserve">                      </w:t>
            </w:r>
          </w:p>
          <w:p>
            <w:pPr>
              <w:rPr>
                <w:rFonts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08" w:type="dxa"/>
            <w:vMerge w:val="continue"/>
            <w:vAlign w:val="center"/>
          </w:tcPr>
          <w:p>
            <w:pPr>
              <w:jc w:val="center"/>
              <w:rPr>
                <w:rFonts w:ascii="宋体" w:hAnsi="宋体" w:cs="宋体"/>
                <w:color w:val="auto"/>
                <w:szCs w:val="21"/>
                <w:highlight w:val="none"/>
                <w:shd w:val="clear" w:color="auto" w:fill="auto"/>
              </w:rPr>
            </w:pPr>
          </w:p>
        </w:tc>
        <w:tc>
          <w:tcPr>
            <w:tcW w:w="7911" w:type="dxa"/>
            <w:gridSpan w:val="3"/>
            <w:vAlign w:val="center"/>
          </w:tcPr>
          <w:p>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投标总价：</w:t>
            </w:r>
          </w:p>
          <w:p>
            <w:pPr>
              <w:rPr>
                <w:rFonts w:ascii="宋体" w:hAnsi="宋体" w:cs="宋体"/>
                <w:color w:val="auto"/>
                <w:szCs w:val="21"/>
                <w:highlight w:val="none"/>
                <w:shd w:val="clear" w:color="auto" w:fill="auto"/>
              </w:rPr>
            </w:pPr>
          </w:p>
          <w:p>
            <w:pPr>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大写：</w:t>
            </w:r>
            <w:r>
              <w:rPr>
                <w:rFonts w:hint="eastAsia" w:ascii="宋体" w:hAnsi="宋体" w:cs="宋体"/>
                <w:color w:val="auto"/>
                <w:szCs w:val="21"/>
                <w:highlight w:val="none"/>
                <w:u w:val="single"/>
                <w:shd w:val="clear" w:color="auto" w:fill="auto"/>
              </w:rPr>
              <w:t xml:space="preserve">                      </w:t>
            </w:r>
          </w:p>
          <w:p>
            <w:pPr>
              <w:pStyle w:val="7"/>
              <w:numPr>
                <w:ilvl w:val="0"/>
                <w:numId w:val="0"/>
              </w:numPr>
              <w:rPr>
                <w:rFonts w:ascii="宋体" w:hAnsi="宋体" w:eastAsia="宋体" w:cs="宋体"/>
                <w:color w:val="auto"/>
                <w:sz w:val="21"/>
                <w:szCs w:val="21"/>
                <w:highlight w:val="none"/>
                <w:shd w:val="clear" w:color="auto" w:fill="auto"/>
              </w:rPr>
            </w:pPr>
          </w:p>
          <w:p>
            <w:pPr>
              <w:pStyle w:val="7"/>
              <w:numPr>
                <w:ilvl w:val="0"/>
                <w:numId w:val="0"/>
              </w:numPr>
              <w:rPr>
                <w:rFonts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小写：</w:t>
            </w:r>
            <w:r>
              <w:rPr>
                <w:rFonts w:hint="eastAsia" w:ascii="宋体" w:hAnsi="宋体" w:eastAsia="宋体" w:cs="宋体"/>
                <w:color w:val="auto"/>
                <w:sz w:val="21"/>
                <w:szCs w:val="21"/>
                <w:highlight w:val="none"/>
                <w:u w:val="single"/>
                <w:shd w:val="clear" w:color="auto" w:fill="auto"/>
              </w:rPr>
              <w:t xml:space="preserve">                      </w:t>
            </w:r>
          </w:p>
          <w:p>
            <w:pPr>
              <w:pStyle w:val="7"/>
              <w:numPr>
                <w:ilvl w:val="0"/>
                <w:numId w:val="0"/>
              </w:numP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08" w:type="dxa"/>
            <w:vAlign w:val="center"/>
          </w:tcPr>
          <w:p>
            <w:pPr>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交货日期</w:t>
            </w:r>
          </w:p>
        </w:tc>
        <w:tc>
          <w:tcPr>
            <w:tcW w:w="7911" w:type="dxa"/>
            <w:gridSpan w:val="3"/>
            <w:vAlign w:val="center"/>
          </w:tcPr>
          <w:p>
            <w:pPr>
              <w:rPr>
                <w:rFonts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8" w:type="dxa"/>
            <w:vAlign w:val="center"/>
          </w:tcPr>
          <w:p>
            <w:pPr>
              <w:jc w:val="center"/>
              <w:rPr>
                <w:rFonts w:ascii="宋体" w:hAnsi="宋体" w:cs="宋体"/>
                <w:color w:val="auto"/>
                <w:szCs w:val="21"/>
                <w:highlight w:val="none"/>
                <w:shd w:val="clear" w:color="auto" w:fill="auto"/>
              </w:rPr>
            </w:pPr>
            <w:r>
              <w:rPr>
                <w:rFonts w:hint="eastAsia" w:hAnsi="宋体"/>
                <w:color w:val="auto"/>
                <w:szCs w:val="21"/>
                <w:highlight w:val="none"/>
                <w:shd w:val="clear" w:color="auto" w:fill="auto"/>
              </w:rPr>
              <w:t>投标人名称</w:t>
            </w:r>
          </w:p>
        </w:tc>
        <w:tc>
          <w:tcPr>
            <w:tcW w:w="7911" w:type="dxa"/>
            <w:gridSpan w:val="3"/>
            <w:vAlign w:val="center"/>
          </w:tcPr>
          <w:p>
            <w:pPr>
              <w:rPr>
                <w:rFonts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08" w:type="dxa"/>
            <w:vAlign w:val="center"/>
          </w:tcPr>
          <w:p>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制造国别/地区</w:t>
            </w:r>
          </w:p>
        </w:tc>
        <w:tc>
          <w:tcPr>
            <w:tcW w:w="3279" w:type="dxa"/>
            <w:vAlign w:val="center"/>
          </w:tcPr>
          <w:p>
            <w:pPr>
              <w:rPr>
                <w:rFonts w:ascii="宋体" w:hAnsi="宋体" w:cs="宋体"/>
                <w:color w:val="auto"/>
                <w:szCs w:val="21"/>
                <w:highlight w:val="none"/>
                <w:shd w:val="clear" w:color="auto" w:fill="auto"/>
              </w:rPr>
            </w:pPr>
          </w:p>
        </w:tc>
        <w:tc>
          <w:tcPr>
            <w:tcW w:w="1590" w:type="dxa"/>
            <w:vAlign w:val="center"/>
          </w:tcPr>
          <w:p>
            <w:pP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数量/计量单位</w:t>
            </w:r>
          </w:p>
        </w:tc>
        <w:tc>
          <w:tcPr>
            <w:tcW w:w="3042" w:type="dxa"/>
            <w:vAlign w:val="center"/>
          </w:tcPr>
          <w:p>
            <w:pPr>
              <w:ind w:firstLine="420" w:firstLineChars="200"/>
              <w:rPr>
                <w:rFonts w:ascii="宋体" w:hAnsi="宋体" w:cs="宋体"/>
                <w:color w:val="auto"/>
                <w:szCs w:val="21"/>
                <w:highlight w:val="none"/>
                <w:shd w:val="clear" w:color="auto" w:fill="auto"/>
              </w:rPr>
            </w:pPr>
          </w:p>
        </w:tc>
      </w:tr>
    </w:tbl>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pPr>
        <w:spacing w:line="360" w:lineRule="auto"/>
        <w:ind w:firstLine="422" w:firstLineChars="200"/>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说明：</w:t>
      </w: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1、投标报价均用人民币表示，单位为元。</w:t>
      </w:r>
    </w:p>
    <w:p>
      <w:pPr>
        <w:spacing w:line="360" w:lineRule="auto"/>
        <w:ind w:firstLine="420" w:firstLineChars="200"/>
        <w:rPr>
          <w:rFonts w:ascii="宋体" w:hAnsi="宋体" w:cs="宋体"/>
          <w:bCs/>
          <w:color w:val="auto"/>
          <w:szCs w:val="21"/>
          <w:highlight w:val="none"/>
          <w:shd w:val="clear" w:color="auto" w:fill="auto"/>
        </w:rPr>
      </w:pPr>
      <w:r>
        <w:rPr>
          <w:rFonts w:hint="eastAsia" w:ascii="宋体" w:hAnsi="宋体" w:cs="宋体"/>
          <w:color w:val="auto"/>
          <w:szCs w:val="21"/>
          <w:highlight w:val="none"/>
          <w:shd w:val="clear" w:color="auto" w:fill="auto"/>
        </w:rPr>
        <w:t>2、本项目各标段分别报价，投标人对每标段所投标产品报且只能报一个</w:t>
      </w:r>
      <w:r>
        <w:rPr>
          <w:rFonts w:hint="eastAsia" w:ascii="宋体" w:hAnsi="宋体" w:cs="宋体"/>
          <w:bCs/>
          <w:color w:val="auto"/>
          <w:szCs w:val="21"/>
          <w:highlight w:val="none"/>
          <w:shd w:val="clear" w:color="auto" w:fill="auto"/>
        </w:rPr>
        <w:t>投标价</w:t>
      </w:r>
      <w:r>
        <w:rPr>
          <w:rFonts w:hint="eastAsia" w:ascii="宋体" w:hAnsi="宋体" w:cs="宋体"/>
          <w:color w:val="auto"/>
          <w:szCs w:val="21"/>
          <w:highlight w:val="none"/>
          <w:shd w:val="clear" w:color="auto" w:fill="auto"/>
        </w:rPr>
        <w:t>，且所报价格不得高于最高限价。</w:t>
      </w:r>
    </w:p>
    <w:p>
      <w:pPr>
        <w:spacing w:line="360" w:lineRule="auto"/>
        <w:ind w:firstLine="420" w:firstLineChars="200"/>
        <w:rPr>
          <w:rFonts w:ascii="宋体" w:hAnsi="宋体" w:cs="宋体"/>
          <w:bCs/>
          <w:color w:val="auto"/>
          <w:szCs w:val="21"/>
          <w:highlight w:val="none"/>
          <w:shd w:val="clear" w:color="auto" w:fill="auto"/>
        </w:rPr>
      </w:pPr>
      <w:r>
        <w:rPr>
          <w:rFonts w:hint="eastAsia" w:ascii="宋体" w:hAnsi="宋体" w:cs="宋体"/>
          <w:color w:val="auto"/>
          <w:szCs w:val="21"/>
          <w:highlight w:val="none"/>
          <w:shd w:val="clear" w:color="auto" w:fill="auto"/>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color w:val="auto"/>
          <w:szCs w:val="21"/>
          <w:highlight w:val="none"/>
          <w:shd w:val="clear" w:color="auto" w:fill="auto"/>
        </w:rPr>
        <w:t>所有优惠均体现在投标报价中，额外标明或承诺提供其他费用或物品均不予认可。</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widowControl/>
        <w:spacing w:line="463" w:lineRule="exact"/>
        <w:ind w:right="223"/>
        <w:jc w:val="center"/>
        <w:outlineLvl w:val="1"/>
        <w:rPr>
          <w:b/>
          <w:bCs/>
          <w:color w:val="auto"/>
          <w:sz w:val="32"/>
          <w:szCs w:val="32"/>
          <w:highlight w:val="none"/>
          <w:shd w:val="clear" w:color="auto" w:fill="auto"/>
        </w:rPr>
      </w:pPr>
      <w:bookmarkStart w:id="89" w:name="_Toc12001"/>
      <w:r>
        <w:rPr>
          <w:rFonts w:hint="eastAsia"/>
          <w:b/>
          <w:bCs/>
          <w:color w:val="auto"/>
          <w:sz w:val="32"/>
          <w:szCs w:val="32"/>
          <w:highlight w:val="none"/>
          <w:shd w:val="clear" w:color="auto" w:fill="auto"/>
        </w:rPr>
        <w:t>分项报价表</w:t>
      </w:r>
      <w:bookmarkEnd w:id="89"/>
    </w:p>
    <w:p>
      <w:pPr>
        <w:widowControl/>
        <w:spacing w:line="200" w:lineRule="exact"/>
        <w:ind w:firstLine="400" w:firstLineChars="200"/>
        <w:jc w:val="left"/>
        <w:rPr>
          <w:rFonts w:ascii="宋体" w:hAnsi="宋体" w:cs="宋体"/>
          <w:color w:val="auto"/>
          <w:kern w:val="0"/>
          <w:sz w:val="20"/>
          <w:szCs w:val="20"/>
          <w:highlight w:val="none"/>
          <w:shd w:val="clear" w:color="auto" w:fill="auto"/>
        </w:rPr>
      </w:pPr>
    </w:p>
    <w:p>
      <w:pPr>
        <w:widowControl/>
        <w:spacing w:line="200" w:lineRule="exact"/>
        <w:ind w:firstLine="420" w:firstLineChars="200"/>
        <w:jc w:val="left"/>
        <w:rPr>
          <w:rFonts w:ascii="宋体" w:hAnsi="宋体" w:cs="宋体"/>
          <w:color w:val="auto"/>
          <w:szCs w:val="21"/>
          <w:highlight w:val="none"/>
          <w:shd w:val="clear" w:color="auto" w:fill="auto"/>
        </w:rPr>
      </w:pPr>
    </w:p>
    <w:p>
      <w:pPr>
        <w:spacing w:line="360" w:lineRule="auto"/>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项目名称（标段号）：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 xml:space="preserve">                    </w:t>
      </w:r>
    </w:p>
    <w:p>
      <w:pPr>
        <w:widowControl/>
        <w:spacing w:line="240" w:lineRule="exact"/>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项目编号： </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 xml:space="preserve">                                  </w:t>
      </w:r>
    </w:p>
    <w:p>
      <w:pPr>
        <w:widowControl/>
        <w:spacing w:line="500" w:lineRule="exact"/>
        <w:ind w:right="256" w:firstLine="7980" w:firstLineChars="38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单位：人民币元</w:t>
      </w:r>
    </w:p>
    <w:p>
      <w:pPr>
        <w:widowControl/>
        <w:spacing w:line="30" w:lineRule="exact"/>
        <w:ind w:firstLine="80" w:firstLineChars="200"/>
        <w:jc w:val="left"/>
        <w:rPr>
          <w:rFonts w:ascii="宋体" w:hAnsi="宋体" w:cs="宋体"/>
          <w:color w:val="auto"/>
          <w:kern w:val="0"/>
          <w:sz w:val="4"/>
          <w:szCs w:val="4"/>
          <w:highlight w:val="none"/>
          <w:shd w:val="clear" w:color="auto" w:fill="auto"/>
        </w:rPr>
      </w:pPr>
    </w:p>
    <w:tbl>
      <w:tblPr>
        <w:tblStyle w:val="20"/>
        <w:tblW w:w="9396" w:type="dxa"/>
        <w:tblInd w:w="94" w:type="dxa"/>
        <w:tblLayout w:type="fixed"/>
        <w:tblCellMar>
          <w:top w:w="0" w:type="dxa"/>
          <w:left w:w="0" w:type="dxa"/>
          <w:bottom w:w="0" w:type="dxa"/>
          <w:right w:w="0" w:type="dxa"/>
        </w:tblCellMar>
      </w:tblPr>
      <w:tblGrid>
        <w:gridCol w:w="904"/>
        <w:gridCol w:w="1619"/>
        <w:gridCol w:w="1313"/>
        <w:gridCol w:w="1150"/>
        <w:gridCol w:w="1596"/>
        <w:gridCol w:w="1581"/>
        <w:gridCol w:w="1233"/>
      </w:tblGrid>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序号</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名称</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数量</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单价（元）</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总价（元）</w:t>
            </w: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厂家</w:t>
            </w:r>
          </w:p>
        </w:tc>
      </w:tr>
      <w:tr>
        <w:tblPrEx>
          <w:tblCellMar>
            <w:top w:w="0" w:type="dxa"/>
            <w:left w:w="0" w:type="dxa"/>
            <w:bottom w:w="0" w:type="dxa"/>
            <w:right w:w="0" w:type="dxa"/>
          </w:tblCellMar>
        </w:tblPrEx>
        <w:trPr>
          <w:trHeight w:val="586"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20" w:firstLineChars="20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r>
        <w:tblPrEx>
          <w:tblCellMar>
            <w:top w:w="0" w:type="dxa"/>
            <w:left w:w="0" w:type="dxa"/>
            <w:bottom w:w="0" w:type="dxa"/>
            <w:right w:w="0" w:type="dxa"/>
          </w:tblCellMar>
        </w:tblPrEx>
        <w:trPr>
          <w:trHeight w:val="613" w:hRule="exact"/>
        </w:trPr>
        <w:tc>
          <w:tcPr>
            <w:tcW w:w="658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合计报价</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color w:val="auto"/>
                <w:sz w:val="22"/>
                <w:highlight w:val="none"/>
                <w:shd w:val="clear" w:color="auto" w:fill="auto"/>
              </w:rPr>
            </w:pPr>
          </w:p>
        </w:tc>
      </w:tr>
    </w:tbl>
    <w:p>
      <w:pPr>
        <w:widowControl/>
        <w:spacing w:line="360" w:lineRule="auto"/>
        <w:ind w:left="210" w:leftChars="100" w:firstLine="210" w:firstLineChars="10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说明：</w:t>
      </w:r>
    </w:p>
    <w:p>
      <w:pPr>
        <w:widowControl/>
        <w:spacing w:line="360" w:lineRule="auto"/>
        <w:ind w:left="210" w:leftChars="100" w:firstLine="210" w:firstLineChars="10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1、所有价格均用人民币表示，单位为元。</w:t>
      </w:r>
    </w:p>
    <w:p>
      <w:pPr>
        <w:widowControl/>
        <w:spacing w:line="360" w:lineRule="auto"/>
        <w:ind w:left="210" w:leftChars="100" w:firstLine="210" w:firstLineChars="100"/>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2、投标人对所投产品报价为对应本项目需求的全部货物及所需附件购置费（货款）、包装费、运杂费、人</w:t>
      </w:r>
    </w:p>
    <w:p>
      <w:pPr>
        <w:widowControl/>
        <w:spacing w:line="360" w:lineRule="auto"/>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工费、风险费、保险费、安装测试费、检测费、技术培训费、各种税费、利润、资料费、售后服务开支及完成项目应有的全部费用。</w:t>
      </w:r>
      <w:r>
        <w:rPr>
          <w:rFonts w:ascii="宋体" w:hAnsi="宋体" w:cs="宋体"/>
          <w:b/>
          <w:color w:val="auto"/>
          <w:szCs w:val="21"/>
          <w:highlight w:val="none"/>
          <w:shd w:val="clear" w:color="auto" w:fill="auto"/>
        </w:rPr>
        <w:t>所有优惠均体现在投标报价中，额外标明或承诺提供其他费用或物品均不予认可</w:t>
      </w:r>
      <w:r>
        <w:rPr>
          <w:rFonts w:ascii="宋体" w:hAnsi="宋体" w:cs="宋体"/>
          <w:color w:val="auto"/>
          <w:szCs w:val="21"/>
          <w:highlight w:val="none"/>
          <w:shd w:val="clear" w:color="auto" w:fill="auto"/>
        </w:rPr>
        <w:t>。</w:t>
      </w:r>
    </w:p>
    <w:p>
      <w:pPr>
        <w:widowControl/>
        <w:spacing w:line="360" w:lineRule="auto"/>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r>
        <w:rPr>
          <w:rFonts w:ascii="宋体" w:hAnsi="宋体" w:cs="宋体"/>
          <w:color w:val="auto"/>
          <w:szCs w:val="21"/>
          <w:highlight w:val="none"/>
          <w:shd w:val="clear" w:color="auto" w:fill="auto"/>
        </w:rPr>
        <w:t>3、投标人必须按此表格式中的对应栏目内容填写，若需增加栏目，请在栏目“其它”中填写，并作详细说明。 </w:t>
      </w:r>
    </w:p>
    <w:p>
      <w:pPr>
        <w:widowControl/>
        <w:spacing w:line="360" w:lineRule="auto"/>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                      </w:t>
      </w:r>
    </w:p>
    <w:p>
      <w:pPr>
        <w:widowControl/>
        <w:spacing w:line="360" w:lineRule="auto"/>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投标人名称（签章）：                       </w:t>
      </w:r>
    </w:p>
    <w:p>
      <w:pPr>
        <w:widowControl/>
        <w:spacing w:line="360" w:lineRule="auto"/>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法定代表人或其授权委托人（签字）：</w:t>
      </w:r>
    </w:p>
    <w:p>
      <w:pPr>
        <w:widowControl/>
        <w:spacing w:line="360" w:lineRule="auto"/>
        <w:jc w:val="left"/>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                        </w:t>
      </w:r>
    </w:p>
    <w:p>
      <w:pPr>
        <w:widowControl/>
        <w:spacing w:line="360" w:lineRule="auto"/>
        <w:jc w:val="left"/>
        <w:rPr>
          <w:rFonts w:ascii="宋体" w:hAnsi="宋体" w:cs="宋体"/>
          <w:color w:val="auto"/>
          <w:szCs w:val="21"/>
          <w:highlight w:val="none"/>
          <w:shd w:val="clear" w:color="auto" w:fill="auto"/>
        </w:rPr>
        <w:sectPr>
          <w:pgSz w:w="12240" w:h="15840"/>
          <w:pgMar w:top="1440" w:right="1134" w:bottom="1440" w:left="1134" w:header="851" w:footer="851" w:gutter="0"/>
          <w:cols w:space="425" w:num="1"/>
          <w:docGrid w:linePitch="299" w:charSpace="0"/>
        </w:sectPr>
      </w:pPr>
      <w:r>
        <w:rPr>
          <w:rFonts w:hint="eastAsia" w:ascii="宋体" w:hAnsi="宋体" w:cs="宋体"/>
          <w:color w:val="auto"/>
          <w:szCs w:val="21"/>
          <w:highlight w:val="none"/>
          <w:shd w:val="clear" w:color="auto" w:fill="auto"/>
        </w:rPr>
        <w:t xml:space="preserve"> </w:t>
      </w:r>
      <w:r>
        <w:rPr>
          <w:rFonts w:ascii="宋体" w:hAnsi="宋体" w:cs="宋体"/>
          <w:color w:val="auto"/>
          <w:szCs w:val="21"/>
          <w:highlight w:val="none"/>
          <w:shd w:val="clear" w:color="auto" w:fill="auto"/>
        </w:rPr>
        <w:t>日期：     年     月    日</w:t>
      </w:r>
    </w:p>
    <w:p>
      <w:pPr>
        <w:pStyle w:val="10"/>
        <w:tabs>
          <w:tab w:val="left" w:pos="5580"/>
        </w:tabs>
        <w:spacing w:line="360" w:lineRule="auto"/>
        <w:rPr>
          <w:rFonts w:cs="宋体"/>
          <w:b/>
          <w:color w:val="auto"/>
          <w:sz w:val="30"/>
          <w:szCs w:val="30"/>
          <w:highlight w:val="none"/>
          <w:shd w:val="clear" w:color="auto" w:fill="auto"/>
        </w:rPr>
      </w:pPr>
      <w:r>
        <w:rPr>
          <w:rFonts w:hint="eastAsia" w:cs="Arial"/>
          <w:b/>
          <w:bCs/>
          <w:color w:val="auto"/>
          <w:kern w:val="0"/>
          <w:sz w:val="24"/>
          <w:szCs w:val="24"/>
          <w:highlight w:val="none"/>
          <w:shd w:val="clear" w:color="auto" w:fill="auto"/>
        </w:rPr>
        <w:t>5.2.3  法定代表人资格证明书</w:t>
      </w:r>
      <w:r>
        <w:rPr>
          <w:rFonts w:hint="eastAsia" w:cs="宋体"/>
          <w:b/>
          <w:color w:val="auto"/>
          <w:sz w:val="30"/>
          <w:szCs w:val="30"/>
          <w:highlight w:val="none"/>
          <w:shd w:val="clear" w:color="auto" w:fill="auto"/>
        </w:rPr>
        <w:t xml:space="preserve"> </w:t>
      </w:r>
    </w:p>
    <w:p>
      <w:pPr>
        <w:jc w:val="center"/>
        <w:rPr>
          <w:b/>
          <w:bCs/>
          <w:color w:val="auto"/>
          <w:sz w:val="32"/>
          <w:szCs w:val="32"/>
          <w:highlight w:val="none"/>
          <w:shd w:val="clear" w:color="auto" w:fill="auto"/>
        </w:rPr>
      </w:pPr>
    </w:p>
    <w:p>
      <w:pPr>
        <w:jc w:val="center"/>
        <w:rPr>
          <w:b/>
          <w:bCs/>
          <w:color w:val="auto"/>
          <w:sz w:val="32"/>
          <w:szCs w:val="32"/>
          <w:highlight w:val="none"/>
          <w:shd w:val="clear" w:color="auto" w:fill="auto"/>
        </w:rPr>
      </w:pPr>
      <w:r>
        <w:rPr>
          <w:rFonts w:hint="eastAsia"/>
          <w:b/>
          <w:bCs/>
          <w:color w:val="auto"/>
          <w:sz w:val="32"/>
          <w:szCs w:val="32"/>
          <w:highlight w:val="none"/>
          <w:shd w:val="clear" w:color="auto" w:fill="auto"/>
        </w:rPr>
        <w:t>法定代表人身份证明书</w:t>
      </w:r>
    </w:p>
    <w:p>
      <w:pPr>
        <w:jc w:val="center"/>
        <w:rPr>
          <w:b/>
          <w:bCs/>
          <w:color w:val="auto"/>
          <w:sz w:val="32"/>
          <w:szCs w:val="32"/>
          <w:highlight w:val="none"/>
          <w:shd w:val="clear" w:color="auto" w:fill="auto"/>
        </w:rPr>
      </w:pP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单位名称：                              </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单位性质：                              </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地    址：                              </w:t>
      </w:r>
    </w:p>
    <w:p>
      <w:pPr>
        <w:widowControl/>
        <w:spacing w:line="360" w:lineRule="auto"/>
        <w:ind w:right="4305"/>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项目名称（标段号）：</w:t>
      </w:r>
    </w:p>
    <w:p>
      <w:pPr>
        <w:widowControl/>
        <w:spacing w:line="360" w:lineRule="auto"/>
        <w:ind w:right="4305"/>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项目编号：                     </w:t>
      </w:r>
    </w:p>
    <w:p>
      <w:pPr>
        <w:spacing w:line="360" w:lineRule="auto"/>
        <w:rPr>
          <w:rFonts w:ascii="宋体" w:hAnsi="宋体" w:cs="宋体"/>
          <w:color w:val="auto"/>
          <w:szCs w:val="21"/>
          <w:highlight w:val="none"/>
          <w:shd w:val="clear" w:color="auto" w:fill="auto"/>
        </w:rPr>
      </w:pP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姓名：</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性别：</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年龄：</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职务：</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系</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（投标人名称）的法定代表人。为参加本项目，签署上述的投标文件、进行合同谈判、签署合同和处理与之有关的一切事物。</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特此证明。</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附：法定代表人身份证明</w:t>
      </w:r>
    </w:p>
    <w:p>
      <w:pPr>
        <w:spacing w:line="360" w:lineRule="auto"/>
        <w:rPr>
          <w:rFonts w:ascii="宋体" w:hAnsi="宋体" w:cs="宋体"/>
          <w:color w:val="auto"/>
          <w:szCs w:val="21"/>
          <w:highlight w:val="none"/>
          <w:shd w:val="clear" w:color="auto" w:fill="auto"/>
        </w:rPr>
      </w:pP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2540</wp:posOffset>
                </wp:positionV>
                <wp:extent cx="2710180" cy="1793875"/>
                <wp:effectExtent l="12700" t="12700" r="20320" b="22225"/>
                <wp:wrapNone/>
                <wp:docPr id="10"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2pt;margin-top:0.2pt;height:141.25pt;width:213.4pt;z-index:251660288;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mc:Fallback>
        </mc:AlternateContent>
      </w: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12700" t="12700" r="20320" b="222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mc:Fallback>
        </mc:AlternateContent>
      </w:r>
    </w:p>
    <w:p>
      <w:pPr>
        <w:spacing w:line="360" w:lineRule="auto"/>
        <w:rPr>
          <w:rFonts w:ascii="宋体" w:hAnsi="宋体" w:cs="宋体"/>
          <w:color w:val="auto"/>
          <w:szCs w:val="21"/>
          <w:highlight w:val="none"/>
          <w:shd w:val="clear" w:color="auto" w:fill="auto"/>
        </w:rPr>
      </w:pPr>
    </w:p>
    <w:p>
      <w:pPr>
        <w:pStyle w:val="7"/>
        <w:numPr>
          <w:ilvl w:val="0"/>
          <w:numId w:val="0"/>
        </w:numPr>
        <w:rPr>
          <w:rFonts w:ascii="宋体" w:hAnsi="宋体" w:cs="宋体"/>
          <w:color w:val="auto"/>
          <w:sz w:val="21"/>
          <w:szCs w:val="21"/>
          <w:highlight w:val="none"/>
          <w:shd w:val="clear" w:color="auto" w:fill="auto"/>
        </w:rPr>
      </w:pPr>
    </w:p>
    <w:p>
      <w:pPr>
        <w:pStyle w:val="7"/>
        <w:numPr>
          <w:ilvl w:val="0"/>
          <w:numId w:val="0"/>
        </w:numPr>
        <w:rPr>
          <w:rFonts w:ascii="宋体" w:hAnsi="宋体" w:cs="宋体"/>
          <w:color w:val="auto"/>
          <w:sz w:val="21"/>
          <w:szCs w:val="21"/>
          <w:highlight w:val="none"/>
          <w:shd w:val="clear" w:color="auto" w:fill="auto"/>
        </w:rPr>
      </w:pPr>
    </w:p>
    <w:p>
      <w:pPr>
        <w:pStyle w:val="7"/>
        <w:numPr>
          <w:ilvl w:val="0"/>
          <w:numId w:val="0"/>
        </w:numPr>
        <w:rPr>
          <w:rFonts w:ascii="宋体" w:hAnsi="宋体" w:cs="宋体"/>
          <w:color w:val="auto"/>
          <w:sz w:val="21"/>
          <w:szCs w:val="21"/>
          <w:highlight w:val="none"/>
          <w:shd w:val="clear" w:color="auto" w:fill="auto"/>
        </w:rPr>
      </w:pPr>
    </w:p>
    <w:p>
      <w:pPr>
        <w:pStyle w:val="7"/>
        <w:numPr>
          <w:ilvl w:val="0"/>
          <w:numId w:val="0"/>
        </w:numPr>
        <w:rPr>
          <w:rFonts w:ascii="宋体" w:hAnsi="宋体" w:cs="宋体"/>
          <w:color w:val="auto"/>
          <w:sz w:val="21"/>
          <w:szCs w:val="21"/>
          <w:highlight w:val="none"/>
          <w:shd w:val="clear" w:color="auto" w:fill="auto"/>
        </w:rPr>
      </w:pPr>
    </w:p>
    <w:p>
      <w:pPr>
        <w:spacing w:line="360" w:lineRule="auto"/>
        <w:rPr>
          <w:rFonts w:ascii="宋体" w:hAnsi="宋体" w:cs="宋体"/>
          <w:color w:val="auto"/>
          <w:szCs w:val="21"/>
          <w:highlight w:val="none"/>
          <w:shd w:val="clear" w:color="auto" w:fill="auto"/>
        </w:rPr>
      </w:pPr>
    </w:p>
    <w:p>
      <w:pPr>
        <w:pStyle w:val="10"/>
        <w:tabs>
          <w:tab w:val="left" w:pos="5580"/>
        </w:tabs>
        <w:spacing w:line="360" w:lineRule="auto"/>
        <w:ind w:left="-540" w:leftChars="-257" w:firstLine="787" w:firstLineChars="375"/>
        <w:rPr>
          <w:color w:val="auto"/>
          <w:szCs w:val="21"/>
          <w:highlight w:val="none"/>
          <w:shd w:val="clear" w:color="auto" w:fill="auto"/>
        </w:rPr>
      </w:pP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pPr>
        <w:pStyle w:val="7"/>
        <w:numPr>
          <w:ilvl w:val="0"/>
          <w:numId w:val="0"/>
        </w:numPr>
        <w:rPr>
          <w:color w:val="auto"/>
          <w:sz w:val="21"/>
          <w:szCs w:val="21"/>
          <w:highlight w:val="none"/>
          <w:shd w:val="clear" w:color="auto" w:fill="auto"/>
        </w:rPr>
      </w:pPr>
    </w:p>
    <w:p>
      <w:pPr>
        <w:pStyle w:val="10"/>
        <w:tabs>
          <w:tab w:val="left" w:pos="5580"/>
        </w:tabs>
        <w:spacing w:line="360" w:lineRule="auto"/>
        <w:ind w:firstLine="3150" w:firstLineChars="15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3150" w:firstLineChars="1500"/>
        <w:rPr>
          <w:color w:val="auto"/>
          <w:szCs w:val="21"/>
          <w:highlight w:val="none"/>
          <w:u w:val="single"/>
          <w:shd w:val="clear" w:color="auto" w:fill="auto"/>
        </w:rPr>
      </w:pPr>
      <w:r>
        <w:rPr>
          <w:rFonts w:hint="eastAsia"/>
          <w:color w:val="auto"/>
          <w:szCs w:val="21"/>
          <w:highlight w:val="none"/>
          <w:shd w:val="clear" w:color="auto" w:fill="auto"/>
        </w:rPr>
        <w:t>法定代表人（签章）：</w:t>
      </w:r>
      <w:r>
        <w:rPr>
          <w:rFonts w:hint="eastAsia"/>
          <w:color w:val="auto"/>
          <w:szCs w:val="21"/>
          <w:highlight w:val="none"/>
          <w:u w:val="single"/>
          <w:shd w:val="clear" w:color="auto" w:fill="auto"/>
        </w:rPr>
        <w:t xml:space="preserve">                               </w:t>
      </w:r>
    </w:p>
    <w:p>
      <w:pPr>
        <w:spacing w:line="360" w:lineRule="auto"/>
        <w:ind w:firstLine="3150" w:firstLineChars="1500"/>
        <w:rPr>
          <w:rFonts w:hAnsi="宋体"/>
          <w:color w:val="auto"/>
          <w:szCs w:val="21"/>
          <w:highlight w:val="none"/>
          <w:u w:val="single"/>
          <w:shd w:val="clear" w:color="auto" w:fill="auto"/>
        </w:rPr>
      </w:pPr>
      <w:r>
        <w:rPr>
          <w:rFonts w:hint="eastAsia"/>
          <w:color w:val="auto"/>
          <w:szCs w:val="21"/>
          <w:highlight w:val="none"/>
          <w:shd w:val="clear" w:color="auto" w:fill="auto"/>
        </w:rPr>
        <w:t>日期</w:t>
      </w:r>
      <w:r>
        <w:rPr>
          <w:rFonts w:hint="eastAsia" w:hAnsi="宋体"/>
          <w:color w:val="auto"/>
          <w:szCs w:val="21"/>
          <w:highlight w:val="none"/>
          <w:shd w:val="clear" w:color="auto" w:fill="auto"/>
        </w:rPr>
        <w:t>：</w:t>
      </w:r>
      <w:r>
        <w:rPr>
          <w:rFonts w:hint="eastAsia" w:hAnsi="宋体"/>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hAnsi="宋体"/>
          <w:color w:val="auto"/>
          <w:szCs w:val="21"/>
          <w:highlight w:val="none"/>
          <w:u w:val="singl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br w:type="page"/>
      </w:r>
    </w:p>
    <w:p>
      <w:pPr>
        <w:rPr>
          <w:rFonts w:ascii="宋体" w:hAnsi="宋体" w:cs="Arial"/>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5.2.4.  授权委托书</w:t>
      </w:r>
      <w:r>
        <w:rPr>
          <w:rFonts w:hint="eastAsia" w:ascii="宋体" w:hAnsi="宋体" w:cs="Arial"/>
          <w:color w:val="auto"/>
          <w:kern w:val="0"/>
          <w:sz w:val="24"/>
          <w:szCs w:val="24"/>
          <w:highlight w:val="none"/>
          <w:shd w:val="clear" w:color="auto" w:fill="auto"/>
        </w:rPr>
        <w:t xml:space="preserve"> </w:t>
      </w:r>
    </w:p>
    <w:p>
      <w:pPr>
        <w:jc w:val="center"/>
        <w:rPr>
          <w:rFonts w:ascii="宋体" w:cs="Arial"/>
          <w:color w:val="auto"/>
          <w:kern w:val="0"/>
          <w:sz w:val="24"/>
          <w:szCs w:val="24"/>
          <w:highlight w:val="none"/>
          <w:shd w:val="clear" w:color="auto" w:fill="auto"/>
        </w:rPr>
      </w:pPr>
      <w:r>
        <w:rPr>
          <w:rFonts w:hint="eastAsia"/>
          <w:b/>
          <w:bCs/>
          <w:color w:val="auto"/>
          <w:sz w:val="32"/>
          <w:szCs w:val="32"/>
          <w:highlight w:val="none"/>
          <w:shd w:val="clear" w:color="auto" w:fill="auto"/>
        </w:rPr>
        <w:t>授权委托书</w:t>
      </w:r>
    </w:p>
    <w:p>
      <w:pPr>
        <w:widowControl/>
        <w:shd w:val="clear" w:color="auto" w:fill="FFFFFF"/>
        <w:snapToGrid w:val="0"/>
        <w:spacing w:line="360" w:lineRule="auto"/>
        <w:ind w:firstLine="420" w:firstLineChars="20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本授权委托书声明：注册于</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（注册地址）的</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 xml:space="preserve"> （投标人名称）的在下面签字的</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（法定代表姓名、职务），代表我单位授权在下面签字的</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（被授权人的姓名、职务）为我公司的委托代理人。委托代理人根据授权，就</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（招标项目名称、、标段号、项目编号）的投标活动，代理人在开标、评标、合同谈判过程中所签署的一切文件和处理与之有关的事务，我公司均予以承认，其法律后果由我公司承担。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代理人无转委托权，特此委托！</w:t>
      </w:r>
    </w:p>
    <w:p>
      <w:pPr>
        <w:widowControl/>
        <w:shd w:val="clear" w:color="auto" w:fill="FFFFFF"/>
        <w:snapToGrid w:val="0"/>
        <w:spacing w:line="360" w:lineRule="auto"/>
        <w:ind w:firstLine="420" w:firstLineChars="200"/>
        <w:jc w:val="left"/>
        <w:rPr>
          <w:rFonts w:ascii="宋体" w:hAnsi="宋体" w:cs="宋体"/>
          <w:color w:val="auto"/>
          <w:kern w:val="0"/>
          <w:szCs w:val="21"/>
          <w:highlight w:val="none"/>
          <w:u w:val="single"/>
          <w:shd w:val="clear" w:color="auto" w:fill="auto"/>
        </w:rPr>
      </w:pPr>
      <w:r>
        <w:rPr>
          <w:rFonts w:hint="eastAsia" w:ascii="宋体" w:hAnsi="宋体" w:cs="宋体"/>
          <w:color w:val="auto"/>
          <w:kern w:val="0"/>
          <w:szCs w:val="21"/>
          <w:highlight w:val="none"/>
          <w:shd w:val="clear" w:color="auto" w:fill="auto"/>
        </w:rPr>
        <w:t>代理人：</w:t>
      </w:r>
      <w:r>
        <w:rPr>
          <w:rFonts w:hint="eastAsia" w:ascii="宋体" w:hAnsi="宋体" w:cs="宋体"/>
          <w:i/>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性别：</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 xml:space="preserve"> 年龄：</w:t>
      </w:r>
      <w:r>
        <w:rPr>
          <w:rFonts w:hint="eastAsia" w:ascii="宋体" w:hAnsi="宋体" w:cs="宋体"/>
          <w:color w:val="auto"/>
          <w:kern w:val="0"/>
          <w:szCs w:val="21"/>
          <w:highlight w:val="none"/>
          <w:u w:val="single"/>
          <w:shd w:val="clear" w:color="auto" w:fill="auto"/>
        </w:rPr>
        <w:t xml:space="preserve">                    </w:t>
      </w:r>
    </w:p>
    <w:p>
      <w:pPr>
        <w:widowControl/>
        <w:shd w:val="clear" w:color="auto" w:fill="FFFFFF"/>
        <w:snapToGrid w:val="0"/>
        <w:spacing w:line="360" w:lineRule="auto"/>
        <w:ind w:firstLine="420" w:firstLineChars="200"/>
        <w:jc w:val="left"/>
        <w:rPr>
          <w:rFonts w:ascii="宋体" w:cs="Arial"/>
          <w:color w:val="auto"/>
          <w:kern w:val="0"/>
          <w:szCs w:val="21"/>
          <w:highlight w:val="none"/>
          <w:shd w:val="clear" w:color="auto" w:fill="auto"/>
        </w:rPr>
      </w:pPr>
      <w:r>
        <w:rPr>
          <w:rFonts w:hint="eastAsia" w:ascii="宋体" w:hAnsi="宋体" w:cs="宋体"/>
          <w:color w:val="auto"/>
          <w:kern w:val="0"/>
          <w:szCs w:val="21"/>
          <w:highlight w:val="none"/>
          <w:shd w:val="clear" w:color="auto" w:fill="auto"/>
        </w:rPr>
        <w:t>身份证号码：</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部门：</w:t>
      </w:r>
      <w:r>
        <w:rPr>
          <w:rFonts w:ascii="宋体" w:hAnsi="宋体" w:cs="Arial"/>
          <w:color w:val="auto"/>
          <w:kern w:val="0"/>
          <w:szCs w:val="21"/>
          <w:highlight w:val="none"/>
          <w:u w:val="single"/>
          <w:shd w:val="clear" w:color="auto" w:fill="auto"/>
        </w:rPr>
        <w:t xml:space="preserve">             </w:t>
      </w:r>
      <w:r>
        <w:rPr>
          <w:rFonts w:ascii="宋体" w:hAnsi="宋体" w:cs="Arial"/>
          <w:color w:val="auto"/>
          <w:kern w:val="0"/>
          <w:szCs w:val="21"/>
          <w:highlight w:val="none"/>
          <w:shd w:val="clear" w:color="auto" w:fill="auto"/>
        </w:rPr>
        <w:t xml:space="preserve"> </w:t>
      </w:r>
      <w:r>
        <w:rPr>
          <w:rFonts w:hint="eastAsia" w:ascii="宋体" w:hAnsi="宋体" w:cs="Arial"/>
          <w:color w:val="auto"/>
          <w:kern w:val="0"/>
          <w:szCs w:val="21"/>
          <w:highlight w:val="none"/>
          <w:shd w:val="clear" w:color="auto" w:fill="auto"/>
        </w:rPr>
        <w:t>职务：</w:t>
      </w:r>
      <w:r>
        <w:rPr>
          <w:rFonts w:ascii="宋体" w:hAnsi="宋体" w:cs="Arial"/>
          <w:color w:val="auto"/>
          <w:kern w:val="0"/>
          <w:szCs w:val="21"/>
          <w:highlight w:val="none"/>
          <w:u w:val="single"/>
          <w:shd w:val="clear" w:color="auto" w:fill="auto"/>
        </w:rPr>
        <w:t xml:space="preserve">                    </w:t>
      </w:r>
    </w:p>
    <w:p>
      <w:pPr>
        <w:widowControl/>
        <w:shd w:val="clear" w:color="auto" w:fill="FFFFFF"/>
        <w:snapToGrid w:val="0"/>
        <w:spacing w:line="360" w:lineRule="auto"/>
        <w:ind w:firstLine="420" w:firstLineChars="200"/>
        <w:jc w:val="left"/>
        <w:rPr>
          <w:rFonts w:asci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附：法定代表人及授权委托代理人身份证明。</w:t>
      </w:r>
    </w:p>
    <w:p>
      <w:pPr>
        <w:widowControl/>
        <w:shd w:val="clear" w:color="auto" w:fill="FFFFFF"/>
        <w:snapToGrid w:val="0"/>
        <w:spacing w:line="360" w:lineRule="auto"/>
        <w:jc w:val="left"/>
        <w:rPr>
          <w:rFonts w:ascii="宋体" w:cs="Arial"/>
          <w:color w:val="auto"/>
          <w:kern w:val="0"/>
          <w:szCs w:val="21"/>
          <w:highlight w:val="none"/>
          <w:shd w:val="clear" w:color="auto" w:fill="auto"/>
        </w:rPr>
      </w:pP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19050</wp:posOffset>
                </wp:positionV>
                <wp:extent cx="2710180" cy="1588770"/>
                <wp:effectExtent l="12700" t="12700" r="20320" b="1778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35pt;margin-top:1.5pt;height:125.1pt;width:213.4pt;z-index:251662336;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mc:Fallback>
        </mc:AlternateContent>
      </w: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10795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0.85pt;height:125.1pt;width:213.4pt;z-index:251661312;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cs="Arial"/>
          <w:color w:val="auto"/>
          <w:kern w:val="0"/>
          <w:szCs w:val="21"/>
          <w:highlight w:val="none"/>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292735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5pt;margin-top:23.05pt;height:125.1pt;width:213.4pt;z-index:251663360;v-text-anchor:middle;mso-width-relative:page;mso-height-relative:page;" filled="f" stroked="t"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mc:Fallback>
        </mc:AlternateContent>
      </w:r>
    </w:p>
    <w:p>
      <w:pPr>
        <w:pStyle w:val="10"/>
        <w:tabs>
          <w:tab w:val="left" w:pos="5580"/>
        </w:tabs>
        <w:spacing w:line="360" w:lineRule="auto"/>
        <w:ind w:firstLine="420" w:firstLineChars="200"/>
        <w:rPr>
          <w:color w:val="auto"/>
          <w:szCs w:val="21"/>
          <w:highlight w:val="none"/>
          <w:u w:val="single" w:color="FFFFFF"/>
          <w:shd w:val="clear" w:color="auto" w:fill="auto"/>
        </w:rPr>
      </w:pPr>
      <w:r>
        <w:rPr>
          <w:rFonts w:hint="eastAsia" w:ascii="仿宋" w:hAnsi="仿宋" w:eastAsia="仿宋" w:cs="仿宋"/>
          <w:color w:val="auto"/>
          <w:szCs w:val="21"/>
          <w:highlight w:val="none"/>
          <w:shd w:val="clear" w:color="auto" w:fill="auto"/>
        </w:rPr>
        <mc:AlternateContent>
          <mc:Choice Requires="wps">
            <w:drawing>
              <wp:anchor distT="0" distB="0" distL="114300" distR="114300"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fill on="f" focussize="0,0"/>
                <v:stroke weight="2pt" color="#000000" joinstyle="round"/>
                <v:imagedata o:title=""/>
                <o:lock v:ext="edit" aspectratio="f"/>
                <v:textbox>
                  <w:txbxContent>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p>
                    <w:p>
                      <w:pPr>
                        <w:pStyle w:val="42"/>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mc:Fallback>
        </mc:AlternateContent>
      </w: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pStyle w:val="10"/>
        <w:tabs>
          <w:tab w:val="left" w:pos="5580"/>
        </w:tabs>
        <w:spacing w:line="360" w:lineRule="auto"/>
        <w:ind w:firstLine="420" w:firstLineChars="200"/>
        <w:rPr>
          <w:color w:val="auto"/>
          <w:szCs w:val="21"/>
          <w:highlight w:val="none"/>
          <w:u w:val="single" w:color="FFFFFF"/>
          <w:shd w:val="clear" w:color="auto" w:fill="auto"/>
        </w:rPr>
      </w:pP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pPr>
        <w:pStyle w:val="10"/>
        <w:tabs>
          <w:tab w:val="left" w:pos="5580"/>
        </w:tabs>
        <w:spacing w:line="360" w:lineRule="auto"/>
        <w:ind w:firstLine="3150" w:firstLineChars="15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3150" w:firstLineChars="1500"/>
        <w:rPr>
          <w:color w:val="auto"/>
          <w:szCs w:val="21"/>
          <w:highlight w:val="none"/>
          <w:u w:val="single"/>
          <w:shd w:val="clear" w:color="auto" w:fill="auto"/>
        </w:rPr>
      </w:pPr>
      <w:r>
        <w:rPr>
          <w:rFonts w:hint="eastAsia"/>
          <w:color w:val="auto"/>
          <w:szCs w:val="21"/>
          <w:highlight w:val="none"/>
          <w:shd w:val="clear" w:color="auto" w:fill="auto"/>
        </w:rPr>
        <w:t>法定代表人（签章）：</w:t>
      </w:r>
      <w:r>
        <w:rPr>
          <w:rFonts w:hint="eastAsia"/>
          <w:color w:val="auto"/>
          <w:szCs w:val="21"/>
          <w:highlight w:val="none"/>
          <w:u w:val="single"/>
          <w:shd w:val="clear" w:color="auto" w:fill="auto"/>
        </w:rPr>
        <w:t xml:space="preserve">                               </w:t>
      </w:r>
    </w:p>
    <w:p>
      <w:pPr>
        <w:pStyle w:val="10"/>
        <w:tabs>
          <w:tab w:val="left" w:pos="5580"/>
        </w:tabs>
        <w:spacing w:line="360" w:lineRule="auto"/>
        <w:ind w:firstLine="3150" w:firstLineChars="1500"/>
        <w:rPr>
          <w:rFonts w:cs="宋体"/>
          <w:color w:val="auto"/>
          <w:kern w:val="0"/>
          <w:szCs w:val="21"/>
          <w:highlight w:val="none"/>
          <w:u w:val="single"/>
          <w:shd w:val="clear" w:color="auto" w:fill="auto"/>
        </w:rPr>
      </w:pP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3150" w:firstLineChars="1500"/>
        <w:rPr>
          <w:color w:val="auto"/>
          <w:szCs w:val="21"/>
          <w:highlight w:val="none"/>
          <w:u w:val="single"/>
          <w:shd w:val="clear" w:color="auto" w:fill="auto"/>
        </w:rPr>
      </w:pPr>
      <w:r>
        <w:rPr>
          <w:rFonts w:hint="eastAsia"/>
          <w:color w:val="auto"/>
          <w:szCs w:val="21"/>
          <w:highlight w:val="none"/>
          <w:shd w:val="clear" w:color="auto" w:fill="auto"/>
        </w:rPr>
        <w:t>委托日期</w:t>
      </w:r>
      <w:r>
        <w:rPr>
          <w:rFonts w:hint="eastAsia" w:hAnsi="宋体"/>
          <w:color w:val="auto"/>
          <w:szCs w:val="21"/>
          <w:highlight w:val="none"/>
          <w:shd w:val="clear" w:color="auto" w:fill="auto"/>
        </w:rPr>
        <w:t>：</w:t>
      </w:r>
      <w:r>
        <w:rPr>
          <w:rFonts w:hint="eastAsia" w:hAnsi="宋体"/>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p>
    <w:p>
      <w:pPr>
        <w:spacing w:line="360" w:lineRule="auto"/>
        <w:ind w:firstLine="3600" w:firstLineChars="1500"/>
        <w:rPr>
          <w:color w:val="auto"/>
          <w:sz w:val="24"/>
          <w:highlight w:val="none"/>
          <w:u w:val="single"/>
          <w:shd w:val="clear" w:color="auto" w:fill="auto"/>
        </w:rPr>
      </w:pPr>
    </w:p>
    <w:p>
      <w:pPr>
        <w:pStyle w:val="2"/>
        <w:rPr>
          <w:color w:val="auto"/>
          <w:highlight w:val="none"/>
          <w:shd w:val="clear" w:color="auto" w:fill="auto"/>
        </w:rPr>
      </w:pPr>
    </w:p>
    <w:p>
      <w:pPr>
        <w:pStyle w:val="3"/>
        <w:rPr>
          <w:color w:val="auto"/>
          <w:highlight w:val="none"/>
          <w:shd w:val="clear" w:color="auto" w:fill="auto"/>
        </w:rPr>
      </w:pPr>
    </w:p>
    <w:p>
      <w:pPr>
        <w:pStyle w:val="3"/>
        <w:ind w:firstLine="0"/>
        <w:rPr>
          <w:color w:val="auto"/>
          <w:highlight w:val="none"/>
          <w:shd w:val="clear" w:color="auto" w:fill="auto"/>
        </w:rPr>
      </w:pPr>
    </w:p>
    <w:p>
      <w:pPr>
        <w:spacing w:line="360" w:lineRule="auto"/>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5.2.5. 无重大违法记录的承诺书</w:t>
      </w:r>
    </w:p>
    <w:p>
      <w:pPr>
        <w:spacing w:line="360" w:lineRule="auto"/>
        <w:rPr>
          <w:rFonts w:ascii="宋体" w:hAnsi="宋体" w:cs="宋体"/>
          <w:color w:val="auto"/>
          <w:sz w:val="24"/>
          <w:szCs w:val="24"/>
          <w:highlight w:val="none"/>
          <w:shd w:val="clear" w:color="auto" w:fill="auto"/>
        </w:rPr>
      </w:pPr>
    </w:p>
    <w:p>
      <w:pPr>
        <w:spacing w:line="360" w:lineRule="auto"/>
        <w:jc w:val="center"/>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参加政府采购活动前3年内</w:t>
      </w:r>
      <w:bookmarkStart w:id="90" w:name="_Toc518923113"/>
      <w:r>
        <w:rPr>
          <w:rFonts w:hint="eastAsia" w:ascii="宋体" w:hAnsi="宋体" w:cs="宋体"/>
          <w:b/>
          <w:bCs/>
          <w:color w:val="auto"/>
          <w:sz w:val="24"/>
          <w:szCs w:val="24"/>
          <w:highlight w:val="none"/>
          <w:shd w:val="clear" w:color="auto" w:fill="auto"/>
        </w:rPr>
        <w:t>在经营活动中没有重大违法记录的承诺书</w:t>
      </w:r>
      <w:bookmarkEnd w:id="90"/>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致：（采购人）         ：</w:t>
      </w:r>
    </w:p>
    <w:p>
      <w:pPr>
        <w:spacing w:line="360" w:lineRule="auto"/>
        <w:rPr>
          <w:rFonts w:ascii="宋体" w:hAnsi="宋体" w:cs="宋体"/>
          <w:color w:val="auto"/>
          <w:szCs w:val="21"/>
          <w:highlight w:val="none"/>
          <w:shd w:val="clear" w:color="auto" w:fill="auto"/>
        </w:rPr>
      </w:pPr>
    </w:p>
    <w:p>
      <w:pPr>
        <w:spacing w:line="360" w:lineRule="auto"/>
        <w:ind w:firstLine="840" w:firstLineChars="4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我公司参与</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项目名称、标段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特此声明  </w:t>
      </w:r>
    </w:p>
    <w:p>
      <w:pPr>
        <w:spacing w:line="360" w:lineRule="auto"/>
        <w:rPr>
          <w:rFonts w:ascii="宋体" w:hAnsi="宋体" w:cs="宋体"/>
          <w:color w:val="auto"/>
          <w:szCs w:val="21"/>
          <w:highlight w:val="none"/>
          <w:shd w:val="clear" w:color="auto" w:fill="auto"/>
        </w:rPr>
      </w:pPr>
    </w:p>
    <w:p>
      <w:pPr>
        <w:spacing w:line="360" w:lineRule="auto"/>
        <w:rPr>
          <w:rFonts w:ascii="宋体" w:hAnsi="宋体" w:cs="宋体"/>
          <w:color w:val="auto"/>
          <w:szCs w:val="21"/>
          <w:highlight w:val="none"/>
          <w:shd w:val="clear" w:color="auto" w:fill="auto"/>
        </w:rPr>
      </w:pP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spacing w:line="360" w:lineRule="auto"/>
        <w:rPr>
          <w:rFonts w:ascii="宋体" w:hAnsi="宋体" w:cs="宋体"/>
          <w:color w:val="auto"/>
          <w:szCs w:val="21"/>
          <w:highlight w:val="none"/>
          <w:shd w:val="clear" w:color="auto" w:fill="auto"/>
        </w:rPr>
      </w:pPr>
    </w:p>
    <w:p>
      <w:pPr>
        <w:spacing w:line="360" w:lineRule="auto"/>
        <w:rPr>
          <w:rFonts w:ascii="宋体" w:hAnsi="宋体" w:cs="宋体"/>
          <w:color w:val="auto"/>
          <w:szCs w:val="21"/>
          <w:highlight w:val="none"/>
          <w:shd w:val="clear" w:color="auto" w:fill="auto"/>
        </w:rPr>
      </w:pP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说明：1.投标人应按照相关法规规定如实作出说明。</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2．按照招标文件的规定盖章（自然人投标的无需盖章，需要签字）。</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3.如果是联合体投标，联合体各方均需提供上述证明。</w:t>
      </w: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pStyle w:val="7"/>
        <w:numPr>
          <w:ilvl w:val="0"/>
          <w:numId w:val="0"/>
        </w:numPr>
        <w:rPr>
          <w:rFonts w:hAnsi="宋体"/>
          <w:b/>
          <w:color w:val="auto"/>
          <w:kern w:val="0"/>
          <w:sz w:val="24"/>
          <w:highlight w:val="none"/>
          <w:shd w:val="clear" w:color="auto" w:fill="auto"/>
        </w:rPr>
      </w:pPr>
    </w:p>
    <w:p>
      <w:pPr>
        <w:pStyle w:val="7"/>
        <w:numPr>
          <w:ilvl w:val="0"/>
          <w:numId w:val="0"/>
        </w:numPr>
        <w:rPr>
          <w:color w:val="auto"/>
          <w:highlight w:val="none"/>
          <w:shd w:val="clear" w:color="auto" w:fill="auto"/>
        </w:rPr>
      </w:pP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br w:type="page"/>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5.2.6. 投标人概况</w:t>
      </w:r>
    </w:p>
    <w:p>
      <w:pPr>
        <w:jc w:val="center"/>
        <w:rPr>
          <w:b/>
          <w:bCs/>
          <w:color w:val="auto"/>
          <w:sz w:val="32"/>
          <w:szCs w:val="32"/>
          <w:highlight w:val="none"/>
          <w:shd w:val="clear" w:color="auto" w:fill="auto"/>
        </w:rPr>
      </w:pPr>
      <w:bookmarkStart w:id="91" w:name="_Toc505078023"/>
      <w:r>
        <w:rPr>
          <w:rFonts w:hint="eastAsia"/>
          <w:b/>
          <w:bCs/>
          <w:color w:val="auto"/>
          <w:sz w:val="32"/>
          <w:szCs w:val="32"/>
          <w:highlight w:val="none"/>
          <w:shd w:val="clear" w:color="auto" w:fill="auto"/>
        </w:rPr>
        <w:t>投标人概况</w:t>
      </w:r>
      <w:bookmarkEnd w:id="91"/>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1、投标人名称</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2、营业执照</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3、投标人地址</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4、经营范围</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5、营业场所</w:t>
      </w:r>
    </w:p>
    <w:p>
      <w:pPr>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6、单位综合情况一览表</w:t>
      </w:r>
    </w:p>
    <w:p>
      <w:pPr>
        <w:spacing w:line="360" w:lineRule="auto"/>
        <w:rPr>
          <w:rFonts w:ascii="宋体" w:hAnsi="宋体" w:cs="宋体"/>
          <w:b/>
          <w:color w:val="auto"/>
          <w:szCs w:val="21"/>
          <w:highlight w:val="none"/>
          <w:shd w:val="clear" w:color="auto" w:fill="auto"/>
        </w:rPr>
      </w:pPr>
      <w:r>
        <w:rPr>
          <w:rFonts w:hint="eastAsia" w:ascii="宋体" w:hAnsi="宋体" w:cs="宋体"/>
          <w:color w:val="auto"/>
          <w:szCs w:val="21"/>
          <w:highlight w:val="none"/>
          <w:shd w:val="clear" w:color="auto" w:fill="auto"/>
        </w:rPr>
        <w:t>注：须附营业执照副本，兽药经营许可证或兽药生产许可证，投标产品的批准文号，投标产品生产商的《兽药GMP证书》，行贿犯罪档案查询告知函、“信用中国”网站（</w:t>
      </w:r>
      <w:r>
        <w:rPr>
          <w:color w:val="auto"/>
          <w:highlight w:val="none"/>
          <w:shd w:val="clear" w:color="auto" w:fill="auto"/>
        </w:rPr>
        <w:fldChar w:fldCharType="begin"/>
      </w:r>
      <w:r>
        <w:rPr>
          <w:color w:val="auto"/>
          <w:highlight w:val="none"/>
          <w:shd w:val="clear" w:color="auto" w:fill="auto"/>
        </w:rPr>
        <w:instrText xml:space="preserve"> HYPERLINK "http://www.creditchina.gov.cn/" \t "_blank" </w:instrText>
      </w:r>
      <w:r>
        <w:rPr>
          <w:color w:val="auto"/>
          <w:highlight w:val="none"/>
          <w:shd w:val="clear" w:color="auto" w:fill="auto"/>
        </w:rPr>
        <w:fldChar w:fldCharType="separate"/>
      </w:r>
      <w:r>
        <w:rPr>
          <w:rFonts w:hint="eastAsia" w:ascii="宋体" w:hAnsi="宋体" w:cs="宋体"/>
          <w:color w:val="auto"/>
          <w:szCs w:val="21"/>
          <w:highlight w:val="none"/>
          <w:shd w:val="clear" w:color="auto" w:fill="auto"/>
        </w:rPr>
        <w:t>www.creditchina.gov.cn</w:t>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）截图、中国政府采购网（</w:t>
      </w:r>
      <w:r>
        <w:rPr>
          <w:color w:val="auto"/>
          <w:highlight w:val="none"/>
          <w:shd w:val="clear" w:color="auto" w:fill="auto"/>
        </w:rPr>
        <w:fldChar w:fldCharType="begin"/>
      </w:r>
      <w:r>
        <w:rPr>
          <w:color w:val="auto"/>
          <w:highlight w:val="none"/>
          <w:shd w:val="clear" w:color="auto" w:fill="auto"/>
        </w:rPr>
        <w:instrText xml:space="preserve"> HYPERLINK "http://www.ccgp.gov.cn/" \t "_blank" </w:instrText>
      </w:r>
      <w:r>
        <w:rPr>
          <w:color w:val="auto"/>
          <w:highlight w:val="none"/>
          <w:shd w:val="clear" w:color="auto" w:fill="auto"/>
        </w:rPr>
        <w:fldChar w:fldCharType="separate"/>
      </w:r>
      <w:r>
        <w:rPr>
          <w:rFonts w:hint="eastAsia" w:ascii="宋体" w:hAnsi="宋体" w:cs="宋体"/>
          <w:color w:val="auto"/>
          <w:szCs w:val="21"/>
          <w:highlight w:val="none"/>
          <w:shd w:val="clear" w:color="auto" w:fill="auto"/>
        </w:rPr>
        <w:t>www.ccgp.gov.cn</w:t>
      </w:r>
      <w:r>
        <w:rPr>
          <w:rFonts w:hint="eastAsia"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rPr>
        <w:t>）截图等复印件。</w:t>
      </w:r>
      <w:r>
        <w:rPr>
          <w:rFonts w:hint="eastAsia" w:ascii="宋体" w:hAnsi="宋体" w:cs="宋体"/>
          <w:b/>
          <w:color w:val="auto"/>
          <w:szCs w:val="21"/>
          <w:highlight w:val="none"/>
          <w:shd w:val="clear" w:color="auto" w:fill="auto"/>
        </w:rPr>
        <w:t xml:space="preserve"> </w:t>
      </w:r>
    </w:p>
    <w:p>
      <w:pPr>
        <w:pStyle w:val="7"/>
        <w:numPr>
          <w:ilvl w:val="0"/>
          <w:numId w:val="0"/>
        </w:numPr>
        <w:rPr>
          <w:color w:val="auto"/>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5.2.7. 项目负责人简历表</w:t>
      </w:r>
    </w:p>
    <w:p>
      <w:pPr>
        <w:spacing w:line="360" w:lineRule="auto"/>
        <w:jc w:val="center"/>
        <w:rPr>
          <w:rFonts w:ascii="宋体"/>
          <w:b/>
          <w:bCs/>
          <w:color w:val="auto"/>
          <w:sz w:val="32"/>
          <w:szCs w:val="32"/>
          <w:highlight w:val="none"/>
          <w:shd w:val="clear" w:color="auto" w:fill="auto"/>
        </w:rPr>
      </w:pPr>
      <w:bookmarkStart w:id="92" w:name="_Toc505078024"/>
    </w:p>
    <w:p>
      <w:pPr>
        <w:spacing w:line="360" w:lineRule="auto"/>
        <w:jc w:val="center"/>
        <w:rPr>
          <w:rFonts w:ascii="宋体"/>
          <w:b/>
          <w:bCs/>
          <w:color w:val="auto"/>
          <w:sz w:val="32"/>
          <w:szCs w:val="32"/>
          <w:highlight w:val="none"/>
          <w:shd w:val="clear" w:color="auto" w:fill="auto"/>
        </w:rPr>
      </w:pPr>
      <w:r>
        <w:rPr>
          <w:rFonts w:hint="eastAsia" w:ascii="宋体"/>
          <w:b/>
          <w:bCs/>
          <w:color w:val="auto"/>
          <w:sz w:val="32"/>
          <w:szCs w:val="32"/>
          <w:highlight w:val="none"/>
          <w:shd w:val="clear" w:color="auto" w:fill="auto"/>
        </w:rPr>
        <w:t>项目负责人简历表</w:t>
      </w:r>
    </w:p>
    <w:bookmarkEnd w:id="92"/>
    <w:tbl>
      <w:tblPr>
        <w:tblStyle w:val="2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姓名</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性别</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职称</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学历</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参加工作时间</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从事项目管理工作年限</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专业</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毕业学校</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身份证号码</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在公司担任职务</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执业资格</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证书编号</w:t>
            </w:r>
          </w:p>
        </w:tc>
        <w:tc>
          <w:tcPr>
            <w:tcW w:w="2639"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固定电话</w:t>
            </w:r>
          </w:p>
        </w:tc>
        <w:tc>
          <w:tcPr>
            <w:tcW w:w="2798" w:type="dxa"/>
            <w:vAlign w:val="center"/>
          </w:tcPr>
          <w:p>
            <w:pPr>
              <w:rPr>
                <w:rFonts w:ascii="宋体" w:hAnsi="宋体" w:cs="宋体"/>
                <w:color w:val="auto"/>
                <w:highlight w:val="none"/>
                <w:shd w:val="clear" w:color="auto" w:fill="auto"/>
              </w:rPr>
            </w:pPr>
          </w:p>
        </w:tc>
        <w:tc>
          <w:tcPr>
            <w:tcW w:w="1935" w:type="dxa"/>
            <w:vAlign w:val="center"/>
          </w:tcPr>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t>手机号码</w:t>
            </w:r>
          </w:p>
        </w:tc>
        <w:tc>
          <w:tcPr>
            <w:tcW w:w="2639" w:type="dxa"/>
          </w:tcPr>
          <w:p>
            <w:pPr>
              <w:rPr>
                <w:rFonts w:ascii="宋体" w:hAnsi="宋体" w:cs="宋体"/>
                <w:color w:val="auto"/>
                <w:highlight w:val="none"/>
                <w:shd w:val="clear" w:color="auto" w:fill="auto"/>
              </w:rPr>
            </w:pPr>
          </w:p>
        </w:tc>
      </w:tr>
    </w:tbl>
    <w:p>
      <w:pPr>
        <w:spacing w:line="360" w:lineRule="auto"/>
        <w:jc w:val="left"/>
        <w:rPr>
          <w:rFonts w:ascii="宋体" w:cs="Arial"/>
          <w:color w:val="auto"/>
          <w:kern w:val="0"/>
          <w:sz w:val="24"/>
          <w:szCs w:val="24"/>
          <w:highlight w:val="none"/>
          <w:shd w:val="clear" w:color="auto" w:fill="auto"/>
        </w:rPr>
      </w:pPr>
      <w:r>
        <w:rPr>
          <w:rFonts w:hint="eastAsia" w:ascii="宋体" w:hAnsi="宋体"/>
          <w:bCs/>
          <w:color w:val="auto"/>
          <w:highlight w:val="none"/>
          <w:shd w:val="clear" w:color="auto" w:fill="auto"/>
        </w:rPr>
        <w:t>项目负责人</w:t>
      </w:r>
      <w:r>
        <w:rPr>
          <w:rFonts w:hint="eastAsia" w:ascii="宋体" w:hAnsi="宋体" w:cs="宋体"/>
          <w:color w:val="auto"/>
          <w:highlight w:val="none"/>
          <w:shd w:val="clear" w:color="auto" w:fill="auto"/>
        </w:rPr>
        <w:t>应附身份证、注册证书或职称证书、</w:t>
      </w:r>
      <w:r>
        <w:rPr>
          <w:rFonts w:hint="eastAsia" w:ascii="宋体" w:hAnsi="宋体"/>
          <w:bCs/>
          <w:color w:val="auto"/>
          <w:highlight w:val="none"/>
          <w:shd w:val="clear" w:color="auto" w:fill="auto"/>
        </w:rPr>
        <w:t>学历证书等资料</w:t>
      </w:r>
      <w:r>
        <w:rPr>
          <w:rFonts w:hint="eastAsia" w:ascii="宋体" w:hAnsi="宋体" w:cs="宋体"/>
          <w:color w:val="auto"/>
          <w:highlight w:val="none"/>
          <w:shd w:val="clear" w:color="auto" w:fill="auto"/>
        </w:rPr>
        <w:t>复印件。</w:t>
      </w:r>
    </w:p>
    <w:p>
      <w:pPr>
        <w:widowControl/>
        <w:shd w:val="clear" w:color="auto" w:fill="FFFFFF"/>
        <w:snapToGrid w:val="0"/>
        <w:spacing w:line="384" w:lineRule="auto"/>
        <w:jc w:val="left"/>
        <w:rPr>
          <w:rFonts w:ascii="宋体" w:cs="Arial"/>
          <w:color w:val="auto"/>
          <w:kern w:val="0"/>
          <w:sz w:val="24"/>
          <w:szCs w:val="24"/>
          <w:highlight w:val="none"/>
          <w:shd w:val="clear" w:color="auto" w:fill="auto"/>
        </w:rPr>
      </w:pPr>
    </w:p>
    <w:p>
      <w:pPr>
        <w:widowControl/>
        <w:shd w:val="clear" w:color="auto" w:fill="FFFFFF"/>
        <w:snapToGrid w:val="0"/>
        <w:spacing w:line="384" w:lineRule="auto"/>
        <w:jc w:val="left"/>
        <w:rPr>
          <w:rFonts w:ascii="宋体" w:cs="Arial"/>
          <w:color w:val="auto"/>
          <w:kern w:val="0"/>
          <w:sz w:val="24"/>
          <w:szCs w:val="24"/>
          <w:highlight w:val="none"/>
          <w:shd w:val="clear" w:color="auto" w:fill="auto"/>
        </w:rPr>
      </w:pPr>
    </w:p>
    <w:p>
      <w:pPr>
        <w:spacing w:line="440" w:lineRule="exact"/>
        <w:jc w:val="center"/>
        <w:outlineLvl w:val="0"/>
        <w:rPr>
          <w:rFonts w:ascii="宋体" w:cs="Arial"/>
          <w:color w:val="auto"/>
          <w:kern w:val="0"/>
          <w:sz w:val="24"/>
          <w:szCs w:val="24"/>
          <w:highlight w:val="none"/>
          <w:shd w:val="clear" w:color="auto" w:fill="auto"/>
        </w:rPr>
      </w:pPr>
    </w:p>
    <w:p>
      <w:pPr>
        <w:widowControl/>
        <w:jc w:val="center"/>
        <w:textAlignment w:val="center"/>
        <w:rPr>
          <w:rFonts w:ascii="宋体" w:hAnsi="宋体" w:cs="宋体"/>
          <w:b/>
          <w:color w:val="auto"/>
          <w:sz w:val="30"/>
          <w:szCs w:val="30"/>
          <w:highlight w:val="none"/>
          <w:shd w:val="clear" w:color="auto" w:fill="auto"/>
        </w:rPr>
      </w:pPr>
      <w:r>
        <w:rPr>
          <w:rFonts w:ascii="宋体" w:cs="Arial"/>
          <w:color w:val="auto"/>
          <w:kern w:val="0"/>
          <w:sz w:val="24"/>
          <w:szCs w:val="24"/>
          <w:highlight w:val="none"/>
          <w:shd w:val="clear" w:color="auto" w:fill="auto"/>
        </w:rPr>
        <w:br w:type="page"/>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5.2.8. 项目管理服务人员表</w:t>
      </w:r>
    </w:p>
    <w:p>
      <w:pPr>
        <w:spacing w:line="360" w:lineRule="auto"/>
        <w:jc w:val="center"/>
        <w:rPr>
          <w:rFonts w:ascii="宋体"/>
          <w:b/>
          <w:bCs/>
          <w:color w:val="auto"/>
          <w:sz w:val="32"/>
          <w:szCs w:val="32"/>
          <w:highlight w:val="none"/>
          <w:shd w:val="clear" w:color="auto" w:fill="auto"/>
        </w:rPr>
      </w:pPr>
      <w:bookmarkStart w:id="93" w:name="_Toc505078025"/>
    </w:p>
    <w:p>
      <w:pPr>
        <w:spacing w:line="360" w:lineRule="auto"/>
        <w:jc w:val="center"/>
        <w:rPr>
          <w:rFonts w:ascii="宋体"/>
          <w:b/>
          <w:bCs/>
          <w:color w:val="auto"/>
          <w:sz w:val="32"/>
          <w:szCs w:val="32"/>
          <w:highlight w:val="none"/>
          <w:shd w:val="clear" w:color="auto" w:fill="auto"/>
        </w:rPr>
      </w:pPr>
      <w:r>
        <w:rPr>
          <w:rFonts w:hint="eastAsia" w:ascii="宋体"/>
          <w:b/>
          <w:bCs/>
          <w:color w:val="auto"/>
          <w:sz w:val="32"/>
          <w:szCs w:val="32"/>
          <w:highlight w:val="none"/>
          <w:shd w:val="clear" w:color="auto" w:fill="auto"/>
        </w:rPr>
        <w:t>项目管理服务人员表</w:t>
      </w:r>
    </w:p>
    <w:bookmarkEnd w:id="93"/>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姓名</w:t>
            </w:r>
          </w:p>
        </w:tc>
        <w:tc>
          <w:tcPr>
            <w:tcW w:w="1167"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身份证号码</w:t>
            </w:r>
          </w:p>
        </w:tc>
        <w:tc>
          <w:tcPr>
            <w:tcW w:w="1140"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性别</w:t>
            </w:r>
          </w:p>
        </w:tc>
        <w:tc>
          <w:tcPr>
            <w:tcW w:w="1168"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职称</w:t>
            </w:r>
          </w:p>
        </w:tc>
        <w:tc>
          <w:tcPr>
            <w:tcW w:w="1168"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学历</w:t>
            </w:r>
          </w:p>
        </w:tc>
        <w:tc>
          <w:tcPr>
            <w:tcW w:w="1142"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专业</w:t>
            </w:r>
          </w:p>
        </w:tc>
        <w:tc>
          <w:tcPr>
            <w:tcW w:w="1168"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从事项目管理年限</w:t>
            </w:r>
          </w:p>
        </w:tc>
        <w:tc>
          <w:tcPr>
            <w:tcW w:w="1136" w:type="dxa"/>
            <w:vAlign w:val="center"/>
          </w:tcPr>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color w:val="auto"/>
                <w:highlight w:val="none"/>
                <w:shd w:val="clear" w:color="auto" w:fill="auto"/>
              </w:rPr>
            </w:pPr>
          </w:p>
        </w:tc>
        <w:tc>
          <w:tcPr>
            <w:tcW w:w="1167" w:type="dxa"/>
          </w:tcPr>
          <w:p>
            <w:pPr>
              <w:rPr>
                <w:rFonts w:ascii="宋体" w:hAnsi="宋体" w:cs="宋体"/>
                <w:color w:val="auto"/>
                <w:highlight w:val="none"/>
                <w:shd w:val="clear" w:color="auto" w:fill="auto"/>
              </w:rPr>
            </w:pPr>
          </w:p>
        </w:tc>
        <w:tc>
          <w:tcPr>
            <w:tcW w:w="1140"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42" w:type="dxa"/>
          </w:tcPr>
          <w:p>
            <w:pPr>
              <w:rPr>
                <w:rFonts w:ascii="宋体" w:hAnsi="宋体" w:cs="宋体"/>
                <w:color w:val="auto"/>
                <w:highlight w:val="none"/>
                <w:shd w:val="clear" w:color="auto" w:fill="auto"/>
              </w:rPr>
            </w:pPr>
          </w:p>
        </w:tc>
        <w:tc>
          <w:tcPr>
            <w:tcW w:w="1168" w:type="dxa"/>
          </w:tcPr>
          <w:p>
            <w:pPr>
              <w:rPr>
                <w:rFonts w:ascii="宋体" w:hAnsi="宋体" w:cs="宋体"/>
                <w:color w:val="auto"/>
                <w:highlight w:val="none"/>
                <w:shd w:val="clear" w:color="auto" w:fill="auto"/>
              </w:rPr>
            </w:pPr>
          </w:p>
        </w:tc>
        <w:tc>
          <w:tcPr>
            <w:tcW w:w="1136" w:type="dxa"/>
          </w:tcPr>
          <w:p>
            <w:pPr>
              <w:rPr>
                <w:rFonts w:ascii="宋体" w:hAnsi="宋体" w:cs="宋体"/>
                <w:color w:val="auto"/>
                <w:highlight w:val="none"/>
                <w:shd w:val="clear" w:color="auto" w:fill="auto"/>
              </w:rPr>
            </w:pPr>
          </w:p>
        </w:tc>
      </w:tr>
    </w:tbl>
    <w:p>
      <w:pPr>
        <w:ind w:firstLine="420" w:firstLineChars="200"/>
        <w:rPr>
          <w:rFonts w:ascii="宋体" w:hAnsi="宋体"/>
          <w:color w:val="auto"/>
          <w:highlight w:val="none"/>
          <w:shd w:val="clear" w:color="auto" w:fill="auto"/>
        </w:rPr>
      </w:pPr>
      <w:r>
        <w:rPr>
          <w:rFonts w:hint="eastAsia" w:ascii="宋体" w:hAnsi="宋体"/>
          <w:color w:val="auto"/>
          <w:highlight w:val="none"/>
          <w:shd w:val="clear" w:color="auto" w:fill="auto"/>
        </w:rPr>
        <w:t>1、项目管理人员应包括：项目工程师、质量管理员、材料管理员、安全管理员、计划管理员、资料员和项目项目负责人需要配备的其他关键人员。</w:t>
      </w:r>
    </w:p>
    <w:p>
      <w:pPr>
        <w:ind w:firstLine="420" w:firstLineChars="200"/>
        <w:rPr>
          <w:rFonts w:ascii="宋体" w:cs="Arial"/>
          <w:color w:val="auto"/>
          <w:kern w:val="0"/>
          <w:sz w:val="24"/>
          <w:szCs w:val="24"/>
          <w:highlight w:val="none"/>
          <w:shd w:val="clear" w:color="auto" w:fill="auto"/>
        </w:rPr>
      </w:pPr>
      <w:r>
        <w:rPr>
          <w:rFonts w:hint="eastAsia" w:ascii="宋体" w:hAnsi="宋体"/>
          <w:color w:val="auto"/>
          <w:highlight w:val="none"/>
          <w:shd w:val="clear" w:color="auto" w:fill="auto"/>
        </w:rPr>
        <w:t>2、</w:t>
      </w:r>
      <w:r>
        <w:rPr>
          <w:rFonts w:hint="eastAsia" w:ascii="宋体" w:hAnsi="宋体" w:cs="宋体"/>
          <w:color w:val="auto"/>
          <w:highlight w:val="none"/>
          <w:shd w:val="clear" w:color="auto" w:fill="auto"/>
        </w:rPr>
        <w:t>上述人员应附身份证、注册证书、职称证书、上岗证或培训证复印件。</w:t>
      </w:r>
    </w:p>
    <w:p>
      <w:pPr>
        <w:widowControl/>
        <w:shd w:val="clear" w:color="auto" w:fill="FFFFFF"/>
        <w:snapToGrid w:val="0"/>
        <w:spacing w:line="384" w:lineRule="auto"/>
        <w:jc w:val="left"/>
        <w:rPr>
          <w:rFonts w:ascii="宋体" w:cs="Arial"/>
          <w:color w:val="auto"/>
          <w:kern w:val="0"/>
          <w:sz w:val="24"/>
          <w:szCs w:val="24"/>
          <w:highlight w:val="none"/>
          <w:shd w:val="clear" w:color="auto" w:fill="auto"/>
        </w:rPr>
      </w:pPr>
    </w:p>
    <w:p>
      <w:pPr>
        <w:tabs>
          <w:tab w:val="center" w:pos="4832"/>
          <w:tab w:val="left" w:pos="7140"/>
        </w:tabs>
        <w:jc w:val="center"/>
        <w:outlineLvl w:val="1"/>
        <w:rPr>
          <w:rFonts w:ascii="宋体" w:hAnsi="宋体"/>
          <w:color w:val="auto"/>
          <w:sz w:val="24"/>
          <w:szCs w:val="24"/>
          <w:highlight w:val="none"/>
          <w:shd w:val="clear" w:color="auto" w:fill="auto"/>
        </w:rPr>
      </w:pPr>
      <w:r>
        <w:rPr>
          <w:rFonts w:ascii="宋体" w:cs="Arial"/>
          <w:color w:val="auto"/>
          <w:kern w:val="0"/>
          <w:sz w:val="24"/>
          <w:szCs w:val="24"/>
          <w:highlight w:val="none"/>
          <w:shd w:val="clear" w:color="auto" w:fill="auto"/>
        </w:rPr>
        <w:br w:type="page"/>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5.2.9. 技术条款偏离表</w:t>
      </w:r>
    </w:p>
    <w:p>
      <w:pPr>
        <w:spacing w:line="360" w:lineRule="auto"/>
        <w:jc w:val="center"/>
        <w:rPr>
          <w:rFonts w:ascii="宋体"/>
          <w:b/>
          <w:bCs/>
          <w:color w:val="auto"/>
          <w:sz w:val="32"/>
          <w:szCs w:val="32"/>
          <w:highlight w:val="none"/>
          <w:shd w:val="clear" w:color="auto" w:fill="auto"/>
        </w:rPr>
      </w:pPr>
      <w:bookmarkStart w:id="94" w:name="_Toc568"/>
      <w:bookmarkStart w:id="95" w:name="_Toc16454"/>
    </w:p>
    <w:p>
      <w:pPr>
        <w:spacing w:line="360" w:lineRule="auto"/>
        <w:jc w:val="center"/>
        <w:rPr>
          <w:rFonts w:ascii="宋体"/>
          <w:b/>
          <w:bCs/>
          <w:color w:val="auto"/>
          <w:sz w:val="32"/>
          <w:szCs w:val="32"/>
          <w:highlight w:val="none"/>
          <w:shd w:val="clear" w:color="auto" w:fill="auto"/>
        </w:rPr>
      </w:pPr>
      <w:r>
        <w:rPr>
          <w:rFonts w:hint="eastAsia" w:ascii="宋体"/>
          <w:b/>
          <w:bCs/>
          <w:color w:val="auto"/>
          <w:sz w:val="32"/>
          <w:szCs w:val="32"/>
          <w:highlight w:val="none"/>
          <w:shd w:val="clear" w:color="auto" w:fill="auto"/>
        </w:rPr>
        <w:t>技术条款偏离表</w:t>
      </w:r>
    </w:p>
    <w:p>
      <w:pPr>
        <w:widowControl/>
        <w:spacing w:line="240" w:lineRule="atLeast"/>
        <w:ind w:firstLine="630" w:firstLineChars="30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项目名称:                       招标编号:                 标段号:</w:t>
      </w:r>
    </w:p>
    <w:tbl>
      <w:tblPr>
        <w:tblStyle w:val="20"/>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910"/>
        <w:gridCol w:w="1133"/>
        <w:gridCol w:w="1133"/>
        <w:gridCol w:w="1133"/>
        <w:gridCol w:w="1133"/>
        <w:gridCol w:w="1133"/>
        <w:gridCol w:w="80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序号</w:t>
            </w:r>
          </w:p>
        </w:tc>
        <w:tc>
          <w:tcPr>
            <w:tcW w:w="1035"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名称</w:t>
            </w:r>
          </w:p>
        </w:tc>
        <w:tc>
          <w:tcPr>
            <w:tcW w:w="910"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单位</w:t>
            </w:r>
          </w:p>
        </w:tc>
        <w:tc>
          <w:tcPr>
            <w:tcW w:w="1133"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数量</w:t>
            </w:r>
          </w:p>
        </w:tc>
        <w:tc>
          <w:tcPr>
            <w:tcW w:w="1133"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厂家</w:t>
            </w:r>
          </w:p>
        </w:tc>
        <w:tc>
          <w:tcPr>
            <w:tcW w:w="1133"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招标文件条款号</w:t>
            </w:r>
          </w:p>
        </w:tc>
        <w:tc>
          <w:tcPr>
            <w:tcW w:w="1133"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招标规格</w:t>
            </w:r>
          </w:p>
        </w:tc>
        <w:tc>
          <w:tcPr>
            <w:tcW w:w="1133"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投标规格</w:t>
            </w:r>
          </w:p>
        </w:tc>
        <w:tc>
          <w:tcPr>
            <w:tcW w:w="801"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偏离</w:t>
            </w:r>
          </w:p>
        </w:tc>
        <w:tc>
          <w:tcPr>
            <w:tcW w:w="795" w:type="dxa"/>
            <w:vAlign w:val="center"/>
          </w:tcPr>
          <w:p>
            <w:pPr>
              <w:widowControl/>
              <w:spacing w:line="240" w:lineRule="atLeast"/>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035"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910"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1133"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801" w:type="dxa"/>
          </w:tcPr>
          <w:p>
            <w:pPr>
              <w:widowControl/>
              <w:spacing w:line="240" w:lineRule="atLeast"/>
              <w:ind w:left="1080" w:leftChars="257" w:hanging="540"/>
              <w:jc w:val="left"/>
              <w:rPr>
                <w:rFonts w:ascii="宋体" w:hAnsi="宋体" w:cs="宋体"/>
                <w:color w:val="auto"/>
                <w:sz w:val="24"/>
                <w:highlight w:val="none"/>
                <w:shd w:val="clear" w:color="auto" w:fill="auto"/>
              </w:rPr>
            </w:pPr>
          </w:p>
        </w:tc>
        <w:tc>
          <w:tcPr>
            <w:tcW w:w="795" w:type="dxa"/>
          </w:tcPr>
          <w:p>
            <w:pPr>
              <w:widowControl/>
              <w:spacing w:line="240" w:lineRule="atLeast"/>
              <w:ind w:left="1080" w:leftChars="257" w:hanging="540"/>
              <w:jc w:val="left"/>
              <w:rPr>
                <w:rFonts w:ascii="宋体" w:hAnsi="宋体" w:cs="宋体"/>
                <w:color w:val="auto"/>
                <w:sz w:val="24"/>
                <w:highlight w:val="none"/>
                <w:shd w:val="clear" w:color="auto" w:fill="auto"/>
              </w:rPr>
            </w:pPr>
          </w:p>
        </w:tc>
      </w:tr>
    </w:tbl>
    <w:p>
      <w:pPr>
        <w:spacing w:line="360" w:lineRule="auto"/>
        <w:ind w:firstLine="415" w:firstLineChars="198"/>
        <w:jc w:val="left"/>
        <w:rPr>
          <w:rFonts w:ascii="宋体"/>
          <w:color w:val="auto"/>
          <w:szCs w:val="21"/>
          <w:highlight w:val="none"/>
          <w:shd w:val="clear" w:color="auto" w:fill="auto"/>
        </w:rPr>
      </w:pPr>
      <w:r>
        <w:rPr>
          <w:rFonts w:hint="eastAsia" w:ascii="宋体" w:hAnsi="宋体"/>
          <w:color w:val="auto"/>
          <w:szCs w:val="21"/>
          <w:highlight w:val="none"/>
          <w:shd w:val="clear" w:color="auto" w:fill="auto"/>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color w:val="auto"/>
          <w:kern w:val="0"/>
          <w:szCs w:val="21"/>
          <w:highlight w:val="none"/>
          <w:shd w:val="clear" w:color="auto" w:fill="auto"/>
        </w:rPr>
      </w:pPr>
    </w:p>
    <w:p>
      <w:pPr>
        <w:spacing w:line="360" w:lineRule="auto"/>
        <w:rPr>
          <w:rFonts w:ascii="宋体" w:hAnsi="宋体" w:cs="宋体"/>
          <w:color w:val="auto"/>
          <w:szCs w:val="21"/>
          <w:highlight w:val="none"/>
          <w:shd w:val="clear" w:color="auto" w:fill="auto"/>
        </w:rPr>
      </w:pP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rPr>
          <w:rFonts w:ascii="宋体" w:hAnsi="宋体" w:cs="Arial"/>
          <w:b/>
          <w:bCs/>
          <w:color w:val="auto"/>
          <w:kern w:val="0"/>
          <w:sz w:val="24"/>
          <w:szCs w:val="24"/>
          <w:highlight w:val="none"/>
          <w:shd w:val="clear" w:color="auto" w:fill="auto"/>
        </w:rPr>
      </w:pP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5.2.10. 商务条款偏离表</w:t>
      </w:r>
    </w:p>
    <w:p>
      <w:pPr>
        <w:spacing w:line="360" w:lineRule="auto"/>
        <w:ind w:firstLine="643" w:firstLineChars="200"/>
        <w:jc w:val="center"/>
        <w:rPr>
          <w:rFonts w:ascii="宋体" w:hAnsi="宋体"/>
          <w:b/>
          <w:bCs/>
          <w:color w:val="auto"/>
          <w:sz w:val="32"/>
          <w:szCs w:val="32"/>
          <w:highlight w:val="none"/>
          <w:shd w:val="clear" w:color="auto" w:fill="auto"/>
        </w:rPr>
      </w:pPr>
    </w:p>
    <w:p>
      <w:pPr>
        <w:spacing w:line="360" w:lineRule="auto"/>
        <w:ind w:firstLine="643" w:firstLineChars="200"/>
        <w:jc w:val="center"/>
        <w:rPr>
          <w:rFonts w:asci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商务条款偏离表</w:t>
      </w:r>
    </w:p>
    <w:bookmarkEnd w:id="94"/>
    <w:bookmarkEnd w:id="95"/>
    <w:tbl>
      <w:tblPr>
        <w:tblStyle w:val="2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序号</w:t>
            </w:r>
          </w:p>
        </w:tc>
        <w:tc>
          <w:tcPr>
            <w:tcW w:w="2070" w:type="dxa"/>
            <w:vAlign w:val="center"/>
          </w:tcPr>
          <w:p>
            <w:pPr>
              <w:jc w:val="center"/>
              <w:rPr>
                <w:rFonts w:asci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招标文件条目号</w:t>
            </w:r>
          </w:p>
        </w:tc>
        <w:tc>
          <w:tcPr>
            <w:tcW w:w="2052" w:type="dxa"/>
            <w:vAlign w:val="center"/>
          </w:tcPr>
          <w:p>
            <w:pPr>
              <w:jc w:val="center"/>
              <w:rPr>
                <w:rFonts w:asci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招标文件的商务条款</w:t>
            </w:r>
          </w:p>
        </w:tc>
        <w:tc>
          <w:tcPr>
            <w:tcW w:w="2126" w:type="dxa"/>
            <w:vAlign w:val="center"/>
          </w:tcPr>
          <w:p>
            <w:pPr>
              <w:jc w:val="center"/>
              <w:rPr>
                <w:rFonts w:asci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投标文件的商务条款</w:t>
            </w:r>
          </w:p>
        </w:tc>
        <w:tc>
          <w:tcPr>
            <w:tcW w:w="1985" w:type="dxa"/>
            <w:vAlign w:val="center"/>
          </w:tcPr>
          <w:p>
            <w:pPr>
              <w:jc w:val="center"/>
              <w:rPr>
                <w:rFonts w:asci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投标人须知前附表第3条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投标内容</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投标人须知前附表第2条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交货期</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投标人须知前附表第2条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交货地点</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投标人须知前附表第12条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投标有效期</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投标人须知前附表第8条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投标保证金</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jc w:val="center"/>
              <w:rPr>
                <w:rFonts w:ascii="宋体" w:cs="宋体"/>
                <w:b/>
                <w:bCs/>
                <w:color w:val="auto"/>
                <w:szCs w:val="21"/>
                <w:highlight w:val="none"/>
                <w:shd w:val="clear" w:color="auto" w:fill="auto"/>
              </w:rPr>
            </w:pPr>
            <w:r>
              <w:rPr>
                <w:rFonts w:hint="eastAsia" w:ascii="宋体" w:hAnsi="宋体"/>
                <w:color w:val="auto"/>
                <w:szCs w:val="21"/>
                <w:highlight w:val="none"/>
                <w:shd w:val="clear" w:color="auto" w:fill="auto"/>
              </w:rPr>
              <w:t>投标人须知前附表第2条</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付款方式</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tcPr>
          <w:p>
            <w:pPr>
              <w:tabs>
                <w:tab w:val="center" w:pos="4832"/>
                <w:tab w:val="left" w:pos="7140"/>
              </w:tabs>
              <w:spacing w:line="360" w:lineRule="auto"/>
              <w:jc w:val="center"/>
              <w:outlineLvl w:val="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第三章投标须知第八节合同条款及格式、第四章技术标准和服务要求第三节 供货服务要求</w:t>
            </w:r>
          </w:p>
        </w:tc>
        <w:tc>
          <w:tcPr>
            <w:tcW w:w="2052" w:type="dxa"/>
            <w:vAlign w:val="center"/>
          </w:tcPr>
          <w:p>
            <w:pPr>
              <w:pStyle w:val="10"/>
              <w:jc w:val="center"/>
              <w:rPr>
                <w:color w:val="auto"/>
                <w:szCs w:val="21"/>
                <w:highlight w:val="none"/>
                <w:shd w:val="clear" w:color="auto" w:fill="auto"/>
              </w:rPr>
            </w:pPr>
            <w:r>
              <w:rPr>
                <w:rFonts w:hint="eastAsia"/>
                <w:color w:val="auto"/>
                <w:szCs w:val="21"/>
                <w:highlight w:val="none"/>
                <w:shd w:val="clear" w:color="auto" w:fill="auto"/>
              </w:rPr>
              <w:t>商务要求</w:t>
            </w: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Cs w:val="21"/>
                <w:highlight w:val="none"/>
                <w:shd w:val="clear" w:color="auto" w:fill="auto"/>
              </w:rPr>
            </w:pPr>
          </w:p>
        </w:tc>
        <w:tc>
          <w:tcPr>
            <w:tcW w:w="2070" w:type="dxa"/>
            <w:vAlign w:val="center"/>
          </w:tcPr>
          <w:p>
            <w:pPr>
              <w:tabs>
                <w:tab w:val="center" w:pos="4832"/>
                <w:tab w:val="left" w:pos="7140"/>
              </w:tabs>
              <w:spacing w:line="360" w:lineRule="auto"/>
              <w:jc w:val="center"/>
              <w:outlineLvl w:val="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其他</w:t>
            </w:r>
          </w:p>
        </w:tc>
        <w:tc>
          <w:tcPr>
            <w:tcW w:w="2052" w:type="dxa"/>
            <w:vAlign w:val="center"/>
          </w:tcPr>
          <w:p>
            <w:pPr>
              <w:pStyle w:val="10"/>
              <w:jc w:val="center"/>
              <w:rPr>
                <w:color w:val="auto"/>
                <w:szCs w:val="21"/>
                <w:highlight w:val="none"/>
                <w:shd w:val="clear" w:color="auto" w:fill="auto"/>
              </w:rPr>
            </w:pPr>
          </w:p>
        </w:tc>
        <w:tc>
          <w:tcPr>
            <w:tcW w:w="2126" w:type="dxa"/>
          </w:tcPr>
          <w:p>
            <w:pPr>
              <w:jc w:val="center"/>
              <w:rPr>
                <w:rFonts w:ascii="宋体" w:cs="宋体"/>
                <w:b/>
                <w:bCs/>
                <w:color w:val="auto"/>
                <w:szCs w:val="21"/>
                <w:highlight w:val="none"/>
                <w:shd w:val="clear" w:color="auto" w:fill="auto"/>
              </w:rPr>
            </w:pPr>
          </w:p>
        </w:tc>
        <w:tc>
          <w:tcPr>
            <w:tcW w:w="1985" w:type="dxa"/>
          </w:tcPr>
          <w:p>
            <w:pPr>
              <w:jc w:val="center"/>
              <w:rPr>
                <w:rFonts w:ascii="宋体" w:cs="宋体"/>
                <w:b/>
                <w:bCs/>
                <w:color w:val="auto"/>
                <w:szCs w:val="21"/>
                <w:highlight w:val="none"/>
                <w:shd w:val="clear" w:color="auto" w:fill="auto"/>
              </w:rPr>
            </w:pPr>
          </w:p>
        </w:tc>
      </w:tr>
    </w:tbl>
    <w:p>
      <w:pPr>
        <w:spacing w:line="360" w:lineRule="auto"/>
        <w:ind w:firstLine="420" w:firstLineChars="200"/>
        <w:jc w:val="left"/>
        <w:rPr>
          <w:rFonts w:ascii="宋体"/>
          <w:color w:val="auto"/>
          <w:szCs w:val="21"/>
          <w:highlight w:val="none"/>
          <w:shd w:val="clear" w:color="auto" w:fill="auto"/>
        </w:rPr>
      </w:pPr>
      <w:r>
        <w:rPr>
          <w:rFonts w:hint="eastAsia" w:ascii="宋体" w:hAnsi="宋体"/>
          <w:color w:val="auto"/>
          <w:szCs w:val="21"/>
          <w:highlight w:val="none"/>
          <w:shd w:val="clear" w:color="auto" w:fill="auto"/>
        </w:rPr>
        <w:t>备注：投标人商务条款有差异的，则在此表中列明实际响应的内容提要并加以说明，以便查对。无差异说明表示完全响应。</w:t>
      </w:r>
    </w:p>
    <w:p>
      <w:pPr>
        <w:spacing w:line="360" w:lineRule="auto"/>
        <w:jc w:val="left"/>
        <w:rPr>
          <w:rFonts w:ascii="宋体"/>
          <w:color w:val="auto"/>
          <w:szCs w:val="21"/>
          <w:highlight w:val="none"/>
          <w:shd w:val="clear" w:color="auto" w:fill="auto"/>
        </w:rPr>
      </w:pPr>
    </w:p>
    <w:p>
      <w:pPr>
        <w:spacing w:line="360" w:lineRule="auto"/>
        <w:rPr>
          <w:rFonts w:ascii="宋体" w:hAnsi="宋体" w:cs="宋体"/>
          <w:color w:val="auto"/>
          <w:szCs w:val="21"/>
          <w:highlight w:val="none"/>
          <w:shd w:val="clear" w:color="auto" w:fill="auto"/>
        </w:rPr>
      </w:pP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spacing w:line="360" w:lineRule="auto"/>
        <w:rPr>
          <w:rFonts w:ascii="宋体" w:hAnsi="宋体" w:cs="宋体"/>
          <w:color w:val="auto"/>
          <w:sz w:val="24"/>
          <w:szCs w:val="24"/>
          <w:highlight w:val="none"/>
          <w:shd w:val="clear" w:color="auto" w:fill="auto"/>
        </w:rPr>
      </w:pPr>
    </w:p>
    <w:p>
      <w:pPr>
        <w:pStyle w:val="4"/>
        <w:ind w:left="150" w:firstLine="0"/>
        <w:rPr>
          <w:color w:val="auto"/>
          <w:highlight w:val="none"/>
          <w:shd w:val="clear" w:color="auto" w:fill="auto"/>
        </w:rPr>
      </w:pPr>
    </w:p>
    <w:p>
      <w:pPr>
        <w:pStyle w:val="4"/>
        <w:ind w:left="150" w:firstLine="0"/>
        <w:rPr>
          <w:color w:val="auto"/>
          <w:highlight w:val="none"/>
          <w:shd w:val="clear" w:color="auto" w:fill="auto"/>
        </w:rPr>
      </w:pPr>
    </w:p>
    <w:p>
      <w:pPr>
        <w:pStyle w:val="4"/>
        <w:ind w:left="150" w:firstLine="0"/>
        <w:rPr>
          <w:color w:val="auto"/>
          <w:highlight w:val="none"/>
          <w:shd w:val="clear" w:color="auto" w:fill="auto"/>
        </w:rPr>
      </w:pPr>
    </w:p>
    <w:p>
      <w:pPr>
        <w:pStyle w:val="4"/>
        <w:ind w:left="150" w:firstLine="0"/>
        <w:rPr>
          <w:color w:val="auto"/>
          <w:highlight w:val="none"/>
          <w:shd w:val="clear" w:color="auto" w:fill="auto"/>
        </w:rPr>
      </w:pP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br w:type="page"/>
      </w:r>
      <w:r>
        <w:rPr>
          <w:rFonts w:hint="eastAsia" w:ascii="宋体" w:hAnsi="宋体" w:cs="Arial"/>
          <w:b/>
          <w:bCs/>
          <w:color w:val="auto"/>
          <w:kern w:val="0"/>
          <w:sz w:val="24"/>
          <w:szCs w:val="24"/>
          <w:highlight w:val="none"/>
          <w:shd w:val="clear" w:color="auto" w:fill="auto"/>
        </w:rPr>
        <w:t>5.2.11.  反商业贿赂书</w:t>
      </w:r>
    </w:p>
    <w:p>
      <w:pPr>
        <w:spacing w:before="120" w:beforeLines="50" w:after="120" w:afterLines="50" w:line="360" w:lineRule="auto"/>
        <w:jc w:val="center"/>
        <w:rPr>
          <w:rFonts w:ascii="宋体" w:hAnsi="宋体"/>
          <w:b/>
          <w:bCs/>
          <w:color w:val="auto"/>
          <w:sz w:val="32"/>
          <w:szCs w:val="32"/>
          <w:highlight w:val="none"/>
          <w:shd w:val="clear" w:color="auto" w:fill="auto"/>
        </w:rPr>
      </w:pPr>
    </w:p>
    <w:p>
      <w:pPr>
        <w:spacing w:before="120" w:beforeLines="50" w:after="120" w:afterLines="50" w:line="360" w:lineRule="auto"/>
        <w:jc w:val="center"/>
        <w:rPr>
          <w:rFonts w:ascii="宋体" w:hAnsi="宋体" w:cs="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反商业</w:t>
      </w:r>
      <w:r>
        <w:rPr>
          <w:rFonts w:hint="eastAsia" w:ascii="宋体" w:hAnsi="宋体" w:cs="宋体"/>
          <w:b/>
          <w:bCs/>
          <w:color w:val="auto"/>
          <w:sz w:val="32"/>
          <w:szCs w:val="32"/>
          <w:highlight w:val="none"/>
          <w:shd w:val="clear" w:color="auto" w:fill="auto"/>
        </w:rPr>
        <w:t>贿赂书</w:t>
      </w:r>
    </w:p>
    <w:p>
      <w:pPr>
        <w:pStyle w:val="4"/>
        <w:rPr>
          <w:color w:val="auto"/>
          <w:highlight w:val="none"/>
          <w:shd w:val="clear" w:color="auto" w:fill="auto"/>
        </w:rPr>
      </w:pPr>
    </w:p>
    <w:p>
      <w:pPr>
        <w:widowControl/>
        <w:spacing w:before="100" w:beforeAutospacing="1" w:after="100" w:afterAutospacing="1" w:line="360" w:lineRule="auto"/>
        <w:ind w:firstLine="420" w:firstLineChars="200"/>
        <w:jc w:val="lef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我公司承诺在</w:t>
      </w:r>
      <w:r>
        <w:rPr>
          <w:rFonts w:hint="eastAsia" w:ascii="宋体" w:hAnsi="宋体" w:cs="宋体"/>
          <w:color w:val="auto"/>
          <w:szCs w:val="21"/>
          <w:highlight w:val="none"/>
          <w:u w:val="single"/>
          <w:shd w:val="clear" w:color="auto" w:fill="auto"/>
        </w:rPr>
        <w:t xml:space="preserve">  （项目编号、项目名称、标段号）  </w:t>
      </w:r>
      <w:r>
        <w:rPr>
          <w:rFonts w:hint="eastAsia" w:ascii="宋体" w:hAnsi="宋体" w:cs="宋体"/>
          <w:color w:val="auto"/>
          <w:szCs w:val="21"/>
          <w:highlight w:val="none"/>
          <w:shd w:val="clear" w:color="auto"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630" w:firstLineChars="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p>
      <w:pPr>
        <w:pStyle w:val="10"/>
        <w:tabs>
          <w:tab w:val="left" w:pos="5580"/>
        </w:tabs>
        <w:spacing w:line="360" w:lineRule="auto"/>
        <w:ind w:firstLine="3150" w:firstLineChars="15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3150" w:firstLineChars="1500"/>
        <w:rPr>
          <w:color w:val="auto"/>
          <w:szCs w:val="21"/>
          <w:highlight w:val="none"/>
          <w:u w:val="single"/>
          <w:shd w:val="clear" w:color="auto" w:fill="auto"/>
        </w:rPr>
      </w:pPr>
      <w:r>
        <w:rPr>
          <w:rFonts w:hint="eastAsia"/>
          <w:color w:val="auto"/>
          <w:szCs w:val="21"/>
          <w:highlight w:val="none"/>
          <w:shd w:val="clear" w:color="auto" w:fill="auto"/>
        </w:rPr>
        <w:t>法定代表人（签章）：</w:t>
      </w:r>
      <w:r>
        <w:rPr>
          <w:rFonts w:hint="eastAsia"/>
          <w:color w:val="auto"/>
          <w:szCs w:val="21"/>
          <w:highlight w:val="none"/>
          <w:u w:val="single"/>
          <w:shd w:val="clear" w:color="auto" w:fill="auto"/>
        </w:rPr>
        <w:t xml:space="preserve">                               </w:t>
      </w:r>
    </w:p>
    <w:p>
      <w:pPr>
        <w:pStyle w:val="10"/>
        <w:tabs>
          <w:tab w:val="left" w:pos="5580"/>
        </w:tabs>
        <w:spacing w:line="360" w:lineRule="auto"/>
        <w:ind w:firstLine="3150" w:firstLineChars="1500"/>
        <w:rPr>
          <w:rFonts w:cs="宋体"/>
          <w:color w:val="auto"/>
          <w:kern w:val="0"/>
          <w:szCs w:val="21"/>
          <w:highlight w:val="none"/>
          <w:u w:val="single"/>
          <w:shd w:val="clear" w:color="auto" w:fill="auto"/>
        </w:rPr>
      </w:pP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3570" w:firstLineChars="1700"/>
        <w:rPr>
          <w:rFonts w:ascii="宋体" w:hAnsi="宋体" w:cs="宋体"/>
          <w:color w:val="auto"/>
          <w:szCs w:val="21"/>
          <w:highlight w:val="none"/>
          <w:shd w:val="clear" w:color="auto" w:fill="auto"/>
        </w:rPr>
      </w:pPr>
      <w:r>
        <w:rPr>
          <w:rFonts w:hint="eastAsia"/>
          <w:color w:val="auto"/>
          <w:szCs w:val="21"/>
          <w:highlight w:val="none"/>
          <w:shd w:val="clear" w:color="auto" w:fill="auto"/>
        </w:rPr>
        <w:t>日期</w:t>
      </w:r>
      <w:r>
        <w:rPr>
          <w:rFonts w:hint="eastAsia" w:hAnsi="宋体"/>
          <w:color w:val="auto"/>
          <w:szCs w:val="21"/>
          <w:highlight w:val="none"/>
          <w:shd w:val="clear" w:color="auto" w:fill="auto"/>
        </w:rPr>
        <w:t>：</w:t>
      </w:r>
      <w:r>
        <w:rPr>
          <w:rFonts w:hint="eastAsia" w:hAnsi="宋体"/>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hAnsi="宋体"/>
          <w:color w:val="auto"/>
          <w:szCs w:val="21"/>
          <w:highlight w:val="none"/>
          <w:u w:val="single"/>
          <w:shd w:val="clear" w:color="auto" w:fill="auto"/>
        </w:rPr>
        <w:t xml:space="preserve">   </w:t>
      </w:r>
    </w:p>
    <w:p>
      <w:pPr>
        <w:spacing w:line="360" w:lineRule="auto"/>
        <w:rPr>
          <w:rFonts w:ascii="宋体" w:hAnsi="宋体" w:cs="宋体"/>
          <w:color w:val="auto"/>
          <w:sz w:val="24"/>
          <w:szCs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pStyle w:val="4"/>
        <w:rPr>
          <w:rFonts w:ascii="宋体" w:hAnsi="宋体" w:cs="宋体"/>
          <w:color w:val="auto"/>
          <w:sz w:val="24"/>
          <w:highlight w:val="none"/>
          <w:shd w:val="clear" w:color="auto" w:fill="auto"/>
        </w:rPr>
      </w:pPr>
    </w:p>
    <w:p>
      <w:pPr>
        <w:widowControl/>
        <w:spacing w:line="360" w:lineRule="auto"/>
        <w:jc w:val="center"/>
        <w:textAlignment w:val="center"/>
        <w:rPr>
          <w:rFonts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 xml:space="preserve"> </w:t>
      </w:r>
    </w:p>
    <w:p>
      <w:pPr>
        <w:rPr>
          <w:rFonts w:ascii="宋体" w:hAnsi="宋体" w:cs="宋体"/>
          <w:b/>
          <w:bCs/>
          <w:color w:val="auto"/>
          <w:kern w:val="0"/>
          <w:sz w:val="24"/>
          <w:szCs w:val="24"/>
          <w:highlight w:val="none"/>
          <w:shd w:val="clear" w:color="auto" w:fill="auto"/>
        </w:rPr>
      </w:pPr>
      <w:r>
        <w:rPr>
          <w:rFonts w:hint="eastAsia" w:ascii="宋体" w:hAnsi="宋体" w:cs="宋体"/>
          <w:b/>
          <w:bCs/>
          <w:color w:val="auto"/>
          <w:kern w:val="0"/>
          <w:sz w:val="24"/>
          <w:szCs w:val="24"/>
          <w:highlight w:val="none"/>
          <w:shd w:val="clear" w:color="auto" w:fill="auto"/>
        </w:rPr>
        <w:br w:type="page"/>
      </w:r>
    </w:p>
    <w:p>
      <w:pPr>
        <w:spacing w:line="360" w:lineRule="auto"/>
        <w:rPr>
          <w:rFonts w:ascii="宋体" w:hAnsi="宋体" w:cs="宋体"/>
          <w:b/>
          <w:bCs/>
          <w:color w:val="auto"/>
          <w:sz w:val="24"/>
          <w:szCs w:val="24"/>
          <w:highlight w:val="none"/>
          <w:shd w:val="clear" w:color="auto" w:fill="auto"/>
        </w:rPr>
      </w:pPr>
      <w:r>
        <w:rPr>
          <w:rFonts w:hint="eastAsia" w:ascii="宋体" w:hAnsi="宋体" w:cs="宋体"/>
          <w:b/>
          <w:bCs/>
          <w:color w:val="auto"/>
          <w:kern w:val="0"/>
          <w:sz w:val="24"/>
          <w:szCs w:val="24"/>
          <w:highlight w:val="none"/>
          <w:shd w:val="clear" w:color="auto" w:fill="auto"/>
        </w:rPr>
        <w:t>5.2.12 中小微企业声明函</w:t>
      </w:r>
    </w:p>
    <w:p>
      <w:pPr>
        <w:widowControl/>
        <w:spacing w:before="162"/>
        <w:ind w:left="2269" w:right="2504"/>
        <w:jc w:val="center"/>
        <w:rPr>
          <w:b/>
          <w:bCs/>
          <w:color w:val="auto"/>
          <w:sz w:val="24"/>
          <w:szCs w:val="24"/>
          <w:highlight w:val="none"/>
          <w:shd w:val="clear" w:color="auto" w:fill="auto"/>
        </w:rPr>
      </w:pPr>
      <w:bookmarkStart w:id="96" w:name="_Toc37868813"/>
      <w:r>
        <w:rPr>
          <w:rFonts w:hint="eastAsia"/>
          <w:b/>
          <w:bCs/>
          <w:color w:val="auto"/>
          <w:sz w:val="24"/>
          <w:szCs w:val="24"/>
          <w:highlight w:val="none"/>
          <w:shd w:val="clear" w:color="auto" w:fill="auto"/>
        </w:rPr>
        <w:t>（一）中小企业声明函（货物）</w:t>
      </w:r>
    </w:p>
    <w:p>
      <w:pPr>
        <w:widowControl/>
        <w:jc w:val="left"/>
        <w:rPr>
          <w:rFonts w:ascii="宋体" w:hAnsi="Microsoft JhengHei" w:eastAsia="Microsoft JhengHei" w:cs="宋体"/>
          <w:b/>
          <w:color w:val="auto"/>
          <w:kern w:val="0"/>
          <w:sz w:val="20"/>
          <w:szCs w:val="21"/>
          <w:highlight w:val="none"/>
          <w:shd w:val="clear" w:color="auto" w:fill="auto"/>
        </w:rPr>
      </w:pPr>
    </w:p>
    <w:p>
      <w:pPr>
        <w:widowControl/>
        <w:spacing w:before="2"/>
        <w:jc w:val="left"/>
        <w:rPr>
          <w:rFonts w:ascii="宋体" w:hAnsi="Microsoft JhengHei" w:eastAsia="Microsoft JhengHei" w:cs="宋体"/>
          <w:b/>
          <w:color w:val="auto"/>
          <w:kern w:val="0"/>
          <w:sz w:val="24"/>
          <w:szCs w:val="21"/>
          <w:highlight w:val="none"/>
          <w:shd w:val="clear" w:color="auto" w:fill="auto"/>
        </w:rPr>
      </w:pPr>
    </w:p>
    <w:p>
      <w:pPr>
        <w:widowControl/>
        <w:spacing w:before="55" w:line="500" w:lineRule="exact"/>
        <w:ind w:left="100" w:right="355" w:firstLine="64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shd w:val="clear" w:color="auto" w:fill="auto"/>
        </w:rPr>
        <w:t xml:space="preserve">  （单位名称）  </w:t>
      </w:r>
      <w:r>
        <w:rPr>
          <w:rFonts w:hint="eastAsia" w:ascii="宋体" w:hAnsi="宋体" w:cs="宋体"/>
          <w:color w:val="auto"/>
          <w:kern w:val="0"/>
          <w:szCs w:val="21"/>
          <w:highlight w:val="none"/>
          <w:shd w:val="clear" w:color="auto" w:fill="auto"/>
        </w:rPr>
        <w:t>的</w:t>
      </w:r>
      <w:r>
        <w:rPr>
          <w:rFonts w:hint="eastAsia" w:ascii="宋体" w:hAnsi="宋体" w:cs="宋体"/>
          <w:color w:val="auto"/>
          <w:kern w:val="0"/>
          <w:szCs w:val="21"/>
          <w:highlight w:val="none"/>
          <w:u w:val="single"/>
          <w:shd w:val="clear" w:color="auto" w:fill="auto"/>
        </w:rPr>
        <w:t xml:space="preserve">  （项目名称） </w:t>
      </w:r>
      <w:r>
        <w:rPr>
          <w:rFonts w:hint="eastAsia" w:ascii="宋体" w:hAnsi="宋体" w:cs="宋体"/>
          <w:color w:val="auto"/>
          <w:kern w:val="0"/>
          <w:szCs w:val="21"/>
          <w:highlight w:val="none"/>
          <w:shd w:val="clear" w:color="auto" w:fill="auto"/>
        </w:rPr>
        <w:t>采购活动，提供的货物全部由符合政策要求的中小企业制造。相关企业（含联合体中的中小企业、签订分包意向协议的中小企业） 的具体情况如下：</w:t>
      </w:r>
    </w:p>
    <w:p>
      <w:pPr>
        <w:widowControl/>
        <w:numPr>
          <w:ilvl w:val="0"/>
          <w:numId w:val="5"/>
        </w:numPr>
        <w:tabs>
          <w:tab w:val="left" w:pos="1083"/>
          <w:tab w:val="left" w:pos="1384"/>
          <w:tab w:val="left" w:pos="4562"/>
          <w:tab w:val="left" w:pos="6803"/>
        </w:tabs>
        <w:spacing w:line="500" w:lineRule="exact"/>
        <w:ind w:right="109"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u w:val="single"/>
          <w:shd w:val="clear" w:color="auto" w:fill="auto"/>
        </w:rPr>
        <w:t xml:space="preserve"> （ 标 的 名 称 ） </w:t>
      </w:r>
      <w:r>
        <w:rPr>
          <w:rFonts w:hint="eastAsia" w:ascii="宋体" w:hAnsi="宋体" w:cs="宋体"/>
          <w:color w:val="auto"/>
          <w:kern w:val="0"/>
          <w:szCs w:val="21"/>
          <w:highlight w:val="none"/>
          <w:shd w:val="clear" w:color="auto" w:fill="auto"/>
        </w:rPr>
        <w:t>， 属 于</w:t>
      </w:r>
      <w:r>
        <w:rPr>
          <w:rFonts w:hint="eastAsia" w:ascii="宋体" w:hAnsi="宋体" w:cs="宋体"/>
          <w:color w:val="auto"/>
          <w:kern w:val="0"/>
          <w:szCs w:val="21"/>
          <w:highlight w:val="none"/>
          <w:u w:val="single"/>
          <w:shd w:val="clear" w:color="auto" w:fill="auto"/>
        </w:rPr>
        <w:t xml:space="preserve"> （ 采 购 文 件 中 明 确 的 所 属 行 业 ） </w:t>
      </w:r>
      <w:r>
        <w:rPr>
          <w:rFonts w:hint="eastAsia" w:ascii="宋体" w:hAnsi="宋体" w:cs="宋体"/>
          <w:color w:val="auto"/>
          <w:kern w:val="0"/>
          <w:szCs w:val="21"/>
          <w:highlight w:val="none"/>
          <w:shd w:val="clear" w:color="auto" w:fill="auto"/>
        </w:rPr>
        <w:t>行业；制造商为</w:t>
      </w:r>
      <w:r>
        <w:rPr>
          <w:rFonts w:hint="eastAsia" w:ascii="宋体" w:hAnsi="宋体" w:cs="宋体"/>
          <w:color w:val="auto"/>
          <w:kern w:val="0"/>
          <w:szCs w:val="21"/>
          <w:highlight w:val="none"/>
          <w:u w:val="single"/>
          <w:shd w:val="clear" w:color="auto" w:fill="auto"/>
        </w:rPr>
        <w:t>（企业名称）</w:t>
      </w:r>
      <w:r>
        <w:rPr>
          <w:rFonts w:hint="eastAsia" w:ascii="宋体" w:hAnsi="宋体" w:cs="宋体"/>
          <w:color w:val="auto"/>
          <w:kern w:val="0"/>
          <w:szCs w:val="21"/>
          <w:highlight w:val="none"/>
          <w:shd w:val="clear" w:color="auto" w:fill="auto"/>
        </w:rPr>
        <w:t>，从业人员</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人，营业收入为</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万元，资产总额为</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万元，属于</w:t>
      </w:r>
      <w:r>
        <w:rPr>
          <w:rFonts w:hint="eastAsia" w:ascii="宋体" w:hAnsi="宋体" w:cs="宋体"/>
          <w:color w:val="auto"/>
          <w:kern w:val="0"/>
          <w:szCs w:val="21"/>
          <w:highlight w:val="none"/>
          <w:u w:val="single"/>
          <w:shd w:val="clear" w:color="auto" w:fill="auto"/>
        </w:rPr>
        <w:t>（中型企业、小型企业、微型企业</w:t>
      </w:r>
      <w:r>
        <w:rPr>
          <w:rFonts w:hint="eastAsia" w:ascii="宋体" w:hAnsi="宋体" w:cs="宋体"/>
          <w:color w:val="auto"/>
          <w:kern w:val="0"/>
          <w:szCs w:val="21"/>
          <w:highlight w:val="none"/>
          <w:shd w:val="clear" w:color="auto" w:fill="auto"/>
        </w:rPr>
        <w:t>）；</w:t>
      </w:r>
    </w:p>
    <w:p>
      <w:pPr>
        <w:widowControl/>
        <w:numPr>
          <w:ilvl w:val="0"/>
          <w:numId w:val="5"/>
        </w:numPr>
        <w:tabs>
          <w:tab w:val="left" w:pos="1065"/>
          <w:tab w:val="left" w:pos="1083"/>
          <w:tab w:val="left" w:pos="4262"/>
          <w:tab w:val="left" w:pos="6477"/>
        </w:tabs>
        <w:spacing w:line="500" w:lineRule="exact"/>
        <w:ind w:right="109" w:firstLine="420" w:firstLineChars="20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u w:val="single"/>
          <w:shd w:val="clear" w:color="auto" w:fill="auto"/>
        </w:rPr>
        <w:t xml:space="preserve">   （标的名称）  </w:t>
      </w:r>
      <w:r>
        <w:rPr>
          <w:rFonts w:hint="eastAsia" w:ascii="宋体" w:hAnsi="宋体" w:cs="宋体"/>
          <w:color w:val="auto"/>
          <w:kern w:val="0"/>
          <w:szCs w:val="21"/>
          <w:highlight w:val="none"/>
          <w:shd w:val="clear" w:color="auto" w:fill="auto"/>
        </w:rPr>
        <w:t>，属于</w:t>
      </w:r>
      <w:r>
        <w:rPr>
          <w:rFonts w:hint="eastAsia" w:ascii="宋体" w:hAnsi="宋体" w:cs="宋体"/>
          <w:color w:val="auto"/>
          <w:kern w:val="0"/>
          <w:szCs w:val="21"/>
          <w:highlight w:val="none"/>
          <w:u w:val="single"/>
          <w:shd w:val="clear" w:color="auto" w:fill="auto"/>
        </w:rPr>
        <w:t>（采购文件中明确的所属行业）</w:t>
      </w:r>
      <w:r>
        <w:rPr>
          <w:rFonts w:hint="eastAsia" w:ascii="宋体" w:hAnsi="宋体" w:cs="宋体"/>
          <w:color w:val="auto"/>
          <w:kern w:val="0"/>
          <w:szCs w:val="21"/>
          <w:highlight w:val="none"/>
          <w:shd w:val="clear" w:color="auto" w:fill="auto"/>
        </w:rPr>
        <w:t>行业；制造商为</w:t>
      </w:r>
      <w:r>
        <w:rPr>
          <w:rFonts w:hint="eastAsia" w:ascii="宋体" w:hAnsi="宋体" w:cs="宋体"/>
          <w:color w:val="auto"/>
          <w:kern w:val="0"/>
          <w:szCs w:val="21"/>
          <w:highlight w:val="none"/>
          <w:u w:val="single"/>
          <w:shd w:val="clear" w:color="auto" w:fill="auto"/>
        </w:rPr>
        <w:t>（企业名称）</w:t>
      </w:r>
      <w:r>
        <w:rPr>
          <w:rFonts w:hint="eastAsia" w:ascii="宋体" w:hAnsi="宋体" w:cs="宋体"/>
          <w:color w:val="auto"/>
          <w:kern w:val="0"/>
          <w:szCs w:val="21"/>
          <w:highlight w:val="none"/>
          <w:shd w:val="clear" w:color="auto" w:fill="auto"/>
        </w:rPr>
        <w:t>，从业人员</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u w:val="single"/>
          <w:shd w:val="clear" w:color="auto" w:fill="auto"/>
        </w:rPr>
        <w:tab/>
      </w:r>
      <w:r>
        <w:rPr>
          <w:rFonts w:hint="eastAsia" w:ascii="宋体" w:hAnsi="宋体" w:cs="宋体"/>
          <w:color w:val="auto"/>
          <w:kern w:val="0"/>
          <w:szCs w:val="21"/>
          <w:highlight w:val="none"/>
          <w:shd w:val="clear" w:color="auto" w:fill="auto"/>
        </w:rPr>
        <w:t>人，营业收入为</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万元，资产总额为</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万</w:t>
      </w:r>
      <w:r>
        <w:rPr>
          <w:rFonts w:hint="eastAsia" w:ascii="宋体" w:hAnsi="宋体" w:cs="宋体"/>
          <w:color w:val="auto"/>
          <w:kern w:val="0"/>
          <w:szCs w:val="21"/>
          <w:highlight w:val="none"/>
          <w:shd w:val="clear" w:color="auto" w:fill="auto"/>
          <w:vertAlign w:val="superscript"/>
        </w:rPr>
        <w:footnoteReference w:id="0"/>
      </w:r>
      <w:r>
        <w:rPr>
          <w:rFonts w:hint="eastAsia" w:ascii="宋体" w:hAnsi="宋体" w:cs="宋体"/>
          <w:color w:val="auto"/>
          <w:kern w:val="0"/>
          <w:szCs w:val="21"/>
          <w:highlight w:val="none"/>
          <w:shd w:val="clear" w:color="auto" w:fill="auto"/>
        </w:rPr>
        <w:t>元，属于</w:t>
      </w:r>
      <w:r>
        <w:rPr>
          <w:rFonts w:hint="eastAsia" w:ascii="宋体" w:hAnsi="宋体" w:cs="宋体"/>
          <w:color w:val="auto"/>
          <w:kern w:val="0"/>
          <w:szCs w:val="21"/>
          <w:highlight w:val="none"/>
          <w:u w:val="single"/>
          <w:shd w:val="clear" w:color="auto" w:fill="auto"/>
        </w:rPr>
        <w:t>（中型企业、小型企业、微型企业）</w:t>
      </w:r>
      <w:r>
        <w:rPr>
          <w:rFonts w:hint="eastAsia" w:ascii="宋体" w:hAnsi="宋体" w:cs="宋体"/>
          <w:color w:val="auto"/>
          <w:kern w:val="0"/>
          <w:szCs w:val="21"/>
          <w:highlight w:val="none"/>
          <w:shd w:val="clear" w:color="auto" w:fill="auto"/>
        </w:rPr>
        <w:t>；</w:t>
      </w:r>
    </w:p>
    <w:p>
      <w:pPr>
        <w:widowControl/>
        <w:spacing w:line="500" w:lineRule="exact"/>
        <w:ind w:left="76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p>
    <w:p>
      <w:pPr>
        <w:widowControl/>
        <w:spacing w:before="105" w:line="500" w:lineRule="exact"/>
        <w:ind w:left="100" w:right="357" w:firstLine="645"/>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以上企业，不属于大企业的分支机构，不存在控股股东为大企业的情形，也不存在与大企业的负责人为同一人的情形。</w:t>
      </w:r>
    </w:p>
    <w:p>
      <w:pPr>
        <w:widowControl/>
        <w:spacing w:line="500" w:lineRule="exact"/>
        <w:ind w:left="100" w:right="312" w:firstLine="645"/>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本企业对上述声明内容的真实性负责。如有虚假，将依法承担相应责任。</w:t>
      </w:r>
    </w:p>
    <w:p>
      <w:pPr>
        <w:widowControl/>
        <w:spacing w:before="35" w:line="500" w:lineRule="exact"/>
        <w:ind w:left="3960" w:right="2106"/>
        <w:jc w:val="left"/>
        <w:rPr>
          <w:rFonts w:ascii="宋体" w:hAnsi="宋体" w:cs="宋体"/>
          <w:color w:val="auto"/>
          <w:kern w:val="0"/>
          <w:szCs w:val="21"/>
          <w:highlight w:val="none"/>
          <w:shd w:val="clear" w:color="auto" w:fill="auto"/>
        </w:rPr>
      </w:pPr>
    </w:p>
    <w:p>
      <w:pPr>
        <w:widowControl/>
        <w:spacing w:before="35" w:line="500" w:lineRule="exact"/>
        <w:ind w:left="3960" w:right="2106" w:firstLine="1050" w:firstLineChars="50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企业名称（盖章）：</w:t>
      </w:r>
    </w:p>
    <w:p>
      <w:pPr>
        <w:widowControl/>
        <w:spacing w:before="35" w:line="500" w:lineRule="exact"/>
        <w:ind w:left="100" w:right="2106" w:firstLine="5040" w:firstLineChars="240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日期：</w:t>
      </w:r>
    </w:p>
    <w:p>
      <w:pPr>
        <w:widowControl/>
        <w:spacing w:before="8"/>
        <w:jc w:val="left"/>
        <w:rPr>
          <w:rFonts w:ascii="宋体" w:hAnsi="宋体" w:cs="宋体"/>
          <w:color w:val="auto"/>
          <w:kern w:val="0"/>
          <w:szCs w:val="21"/>
          <w:highlight w:val="none"/>
          <w:shd w:val="clear" w:color="auto" w:fill="auto"/>
        </w:rPr>
      </w:pPr>
    </w:p>
    <w:p>
      <w:pPr>
        <w:widowControl/>
        <w:spacing w:before="8"/>
        <w:jc w:val="left"/>
        <w:rPr>
          <w:rFonts w:ascii="宋体" w:hAnsi="宋体" w:cs="宋体"/>
          <w:color w:val="auto"/>
          <w:kern w:val="0"/>
          <w:szCs w:val="21"/>
          <w:highlight w:val="none"/>
          <w:shd w:val="clear" w:color="auto" w:fill="auto"/>
        </w:rPr>
      </w:pPr>
    </w:p>
    <w:p>
      <w:pPr>
        <w:widowControl/>
        <w:spacing w:before="8"/>
        <w:jc w:val="left"/>
        <w:rPr>
          <w:rFonts w:ascii="宋体" w:hAnsi="宋体" w:cs="宋体"/>
          <w:color w:val="auto"/>
          <w:kern w:val="0"/>
          <w:szCs w:val="21"/>
          <w:highlight w:val="none"/>
          <w:shd w:val="clear" w:color="auto" w:fill="auto"/>
        </w:rPr>
      </w:pPr>
    </w:p>
    <w:p>
      <w:pPr>
        <w:widowControl/>
        <w:spacing w:before="8"/>
        <w:jc w:val="left"/>
        <w:rPr>
          <w:rFonts w:ascii="宋体" w:hAnsi="宋体" w:cs="宋体"/>
          <w:color w:val="auto"/>
          <w:kern w:val="0"/>
          <w:szCs w:val="21"/>
          <w:highlight w:val="none"/>
          <w:shd w:val="clear" w:color="auto" w:fill="auto"/>
        </w:rPr>
      </w:pPr>
    </w:p>
    <w:p>
      <w:pPr>
        <w:widowControl/>
        <w:spacing w:before="8"/>
        <w:jc w:val="left"/>
        <w:rPr>
          <w:rFonts w:ascii="宋体" w:hAnsi="宋体" w:cs="宋体"/>
          <w:color w:val="auto"/>
          <w:kern w:val="0"/>
          <w:szCs w:val="21"/>
          <w:highlight w:val="none"/>
          <w:shd w:val="clear" w:color="auto" w:fill="auto"/>
        </w:rPr>
      </w:pPr>
    </w:p>
    <w:p>
      <w:pPr>
        <w:widowControl/>
        <w:spacing w:before="94"/>
        <w:jc w:val="left"/>
        <w:rPr>
          <w:rFonts w:ascii="宋体" w:hAnsi="宋体" w:cs="宋体"/>
          <w:color w:val="auto"/>
          <w:kern w:val="0"/>
          <w:sz w:val="18"/>
          <w:szCs w:val="18"/>
          <w:highlight w:val="none"/>
          <w:shd w:val="clear" w:color="auto" w:fill="auto"/>
        </w:rPr>
      </w:pPr>
    </w:p>
    <w:p>
      <w:pPr>
        <w:widowControl/>
        <w:jc w:val="left"/>
        <w:rPr>
          <w:rFonts w:ascii="宋体" w:hAnsi="宋体" w:cs="宋体"/>
          <w:b/>
          <w:bCs/>
          <w:color w:val="auto"/>
          <w:kern w:val="0"/>
          <w:sz w:val="22"/>
          <w:highlight w:val="none"/>
          <w:shd w:val="clear" w:color="auto" w:fill="auto"/>
        </w:rPr>
      </w:pPr>
      <w:r>
        <w:rPr>
          <w:rFonts w:cs="宋体"/>
          <w:b/>
          <w:color w:val="auto"/>
          <w:kern w:val="0"/>
          <w:sz w:val="30"/>
          <w:szCs w:val="30"/>
          <w:highlight w:val="none"/>
          <w:shd w:val="clear" w:color="auto" w:fill="auto"/>
        </w:rPr>
        <w:br w:type="page"/>
      </w:r>
    </w:p>
    <w:p>
      <w:pPr>
        <w:rPr>
          <w:b/>
          <w:bCs/>
          <w:color w:val="auto"/>
          <w:sz w:val="24"/>
          <w:szCs w:val="24"/>
          <w:highlight w:val="none"/>
          <w:shd w:val="clear" w:color="auto" w:fill="auto"/>
        </w:rPr>
      </w:pPr>
      <w:bookmarkStart w:id="97" w:name="_Toc37868812"/>
    </w:p>
    <w:p>
      <w:pPr>
        <w:jc w:val="center"/>
        <w:rPr>
          <w:b/>
          <w:bCs/>
          <w:color w:val="auto"/>
          <w:sz w:val="24"/>
          <w:szCs w:val="24"/>
          <w:highlight w:val="none"/>
          <w:shd w:val="clear" w:color="auto" w:fill="auto"/>
        </w:rPr>
      </w:pPr>
    </w:p>
    <w:p>
      <w:pPr>
        <w:jc w:val="center"/>
        <w:rPr>
          <w:b/>
          <w:bCs/>
          <w:color w:val="auto"/>
          <w:sz w:val="24"/>
          <w:szCs w:val="24"/>
          <w:highlight w:val="none"/>
          <w:shd w:val="clear" w:color="auto" w:fill="auto"/>
        </w:rPr>
      </w:pPr>
    </w:p>
    <w:p>
      <w:pPr>
        <w:jc w:val="center"/>
        <w:rPr>
          <w:b/>
          <w:bCs/>
          <w:color w:val="auto"/>
          <w:sz w:val="24"/>
          <w:szCs w:val="24"/>
          <w:highlight w:val="none"/>
          <w:shd w:val="clear" w:color="auto" w:fill="auto"/>
        </w:rPr>
      </w:pPr>
      <w:r>
        <w:rPr>
          <w:rFonts w:hint="eastAsia"/>
          <w:b/>
          <w:bCs/>
          <w:color w:val="auto"/>
          <w:sz w:val="24"/>
          <w:szCs w:val="24"/>
          <w:highlight w:val="none"/>
          <w:shd w:val="clear" w:color="auto" w:fill="auto"/>
        </w:rPr>
        <w:t>（二）</w:t>
      </w:r>
      <w:r>
        <w:rPr>
          <w:b/>
          <w:bCs/>
          <w:color w:val="auto"/>
          <w:sz w:val="24"/>
          <w:szCs w:val="24"/>
          <w:highlight w:val="none"/>
          <w:shd w:val="clear" w:color="auto" w:fill="auto"/>
        </w:rPr>
        <w:t>投标人</w:t>
      </w:r>
      <w:r>
        <w:rPr>
          <w:rFonts w:hint="eastAsia"/>
          <w:b/>
          <w:bCs/>
          <w:color w:val="auto"/>
          <w:sz w:val="24"/>
          <w:szCs w:val="24"/>
          <w:highlight w:val="none"/>
          <w:shd w:val="clear" w:color="auto" w:fill="auto"/>
        </w:rPr>
        <w:t>监狱企业</w:t>
      </w:r>
      <w:r>
        <w:rPr>
          <w:b/>
          <w:bCs/>
          <w:color w:val="auto"/>
          <w:sz w:val="24"/>
          <w:szCs w:val="24"/>
          <w:highlight w:val="none"/>
          <w:shd w:val="clear" w:color="auto" w:fill="auto"/>
        </w:rPr>
        <w:t>声明函</w:t>
      </w:r>
      <w:bookmarkEnd w:id="97"/>
    </w:p>
    <w:p>
      <w:pPr>
        <w:spacing w:line="360" w:lineRule="auto"/>
        <w:ind w:left="1080" w:leftChars="257" w:hanging="540"/>
        <w:jc w:val="center"/>
        <w:rPr>
          <w:rFonts w:ascii="宋体" w:hAnsi="宋体"/>
          <w:b/>
          <w:color w:val="auto"/>
          <w:kern w:val="0"/>
          <w:sz w:val="24"/>
          <w:szCs w:val="20"/>
          <w:highlight w:val="none"/>
          <w:shd w:val="clear" w:color="auto" w:fill="auto"/>
        </w:rPr>
      </w:pPr>
    </w:p>
    <w:p>
      <w:pPr>
        <w:widowControl/>
        <w:spacing w:before="100" w:beforeAutospacing="1" w:after="100" w:afterAutospacing="1" w:line="360" w:lineRule="auto"/>
        <w:ind w:firstLine="420" w:firstLineChars="200"/>
        <w:jc w:val="left"/>
        <w:rPr>
          <w:rFonts w:ascii="宋体" w:hAnsi="宋体" w:cs="宋体"/>
          <w:color w:val="auto"/>
          <w:kern w:val="0"/>
          <w:szCs w:val="21"/>
          <w:highlight w:val="none"/>
          <w:shd w:val="clear" w:color="auto" w:fill="auto"/>
        </w:rPr>
      </w:pPr>
      <w:r>
        <w:rPr>
          <w:rFonts w:ascii="宋体" w:hAnsi="宋体" w:cs="宋体"/>
          <w:color w:val="auto"/>
          <w:kern w:val="0"/>
          <w:szCs w:val="21"/>
          <w:highlight w:val="none"/>
          <w:shd w:val="clear" w:color="auto" w:fill="auto"/>
        </w:rPr>
        <w:t>本</w:t>
      </w:r>
      <w:r>
        <w:rPr>
          <w:rFonts w:hint="eastAsia" w:ascii="宋体" w:hAnsi="宋体" w:cs="宋体"/>
          <w:color w:val="auto"/>
          <w:kern w:val="0"/>
          <w:szCs w:val="21"/>
          <w:highlight w:val="none"/>
          <w:shd w:val="clear" w:color="auto" w:fill="auto"/>
        </w:rPr>
        <w:t>企业</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单位</w:t>
      </w:r>
      <w:r>
        <w:rPr>
          <w:rFonts w:ascii="宋体" w:hAnsi="宋体" w:cs="宋体"/>
          <w:color w:val="auto"/>
          <w:kern w:val="0"/>
          <w:szCs w:val="21"/>
          <w:highlight w:val="none"/>
          <w:shd w:val="clear" w:color="auto" w:fill="auto"/>
        </w:rPr>
        <w:t>）郑重声明下</w:t>
      </w:r>
      <w:r>
        <w:rPr>
          <w:rFonts w:hint="eastAsia" w:ascii="宋体" w:hAnsi="宋体" w:cs="宋体"/>
          <w:color w:val="auto"/>
          <w:kern w:val="0"/>
          <w:szCs w:val="21"/>
          <w:highlight w:val="none"/>
          <w:shd w:val="clear" w:color="auto" w:fill="auto"/>
        </w:rPr>
        <w:t>列事项（按照</w:t>
      </w:r>
      <w:r>
        <w:rPr>
          <w:rFonts w:ascii="宋体" w:hAnsi="宋体" w:cs="宋体"/>
          <w:color w:val="auto"/>
          <w:kern w:val="0"/>
          <w:szCs w:val="21"/>
          <w:highlight w:val="none"/>
          <w:shd w:val="clear" w:color="auto" w:fill="auto"/>
        </w:rPr>
        <w:t>实际情况勾选或</w:t>
      </w:r>
      <w:r>
        <w:rPr>
          <w:rFonts w:hint="eastAsia" w:ascii="宋体" w:hAnsi="宋体" w:cs="宋体"/>
          <w:color w:val="auto"/>
          <w:kern w:val="0"/>
          <w:szCs w:val="21"/>
          <w:highlight w:val="none"/>
          <w:shd w:val="clear" w:color="auto" w:fill="auto"/>
        </w:rPr>
        <w:t>填空）：</w:t>
      </w:r>
    </w:p>
    <w:p>
      <w:pPr>
        <w:widowControl/>
        <w:spacing w:before="100" w:beforeAutospacing="1" w:after="100" w:afterAutospacing="1" w:line="360" w:lineRule="auto"/>
        <w:ind w:firstLine="420" w:firstLineChars="200"/>
        <w:jc w:val="left"/>
        <w:rPr>
          <w:rFonts w:ascii="宋体" w:hAnsi="宋体" w:cs="宋体"/>
          <w:color w:val="auto"/>
          <w:kern w:val="0"/>
          <w:szCs w:val="21"/>
          <w:highlight w:val="none"/>
          <w:shd w:val="clear" w:color="auto" w:fill="auto"/>
        </w:rPr>
      </w:pPr>
      <w:r>
        <w:rPr>
          <w:rFonts w:ascii="宋体" w:hAnsi="宋体" w:cs="宋体"/>
          <w:color w:val="auto"/>
          <w:kern w:val="0"/>
          <w:szCs w:val="21"/>
          <w:highlight w:val="none"/>
          <w:shd w:val="clear" w:color="auto" w:fill="auto"/>
        </w:rPr>
        <w:t>本</w:t>
      </w:r>
      <w:r>
        <w:rPr>
          <w:rFonts w:hint="eastAsia" w:ascii="宋体" w:hAnsi="宋体" w:cs="宋体"/>
          <w:color w:val="auto"/>
          <w:kern w:val="0"/>
          <w:szCs w:val="21"/>
          <w:highlight w:val="none"/>
          <w:shd w:val="clear" w:color="auto" w:fill="auto"/>
        </w:rPr>
        <w:t>企业（单位）为直接投标人，</w:t>
      </w:r>
      <w:r>
        <w:rPr>
          <w:rFonts w:ascii="宋体" w:hAnsi="宋体" w:cs="宋体"/>
          <w:color w:val="auto"/>
          <w:kern w:val="0"/>
          <w:szCs w:val="21"/>
          <w:highlight w:val="none"/>
          <w:shd w:val="clear" w:color="auto" w:fill="auto"/>
        </w:rPr>
        <w:t>提供本企业</w:t>
      </w:r>
      <w:r>
        <w:rPr>
          <w:rFonts w:hint="eastAsia" w:ascii="宋体" w:hAnsi="宋体" w:cs="宋体"/>
          <w:color w:val="auto"/>
          <w:kern w:val="0"/>
          <w:szCs w:val="21"/>
          <w:highlight w:val="none"/>
          <w:shd w:val="clear" w:color="auto" w:fill="auto"/>
        </w:rPr>
        <w:t>（单位）服务。</w:t>
      </w:r>
    </w:p>
    <w:p>
      <w:pPr>
        <w:widowControl/>
        <w:spacing w:before="100" w:beforeAutospacing="1" w:after="100" w:afterAutospacing="1" w:line="360" w:lineRule="auto"/>
        <w:ind w:firstLine="315" w:firstLineChars="15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r>
        <w:rPr>
          <w:rFonts w:ascii="宋体" w:hAnsi="宋体" w:cs="宋体"/>
          <w:color w:val="auto"/>
          <w:kern w:val="0"/>
          <w:szCs w:val="21"/>
          <w:highlight w:val="none"/>
          <w:shd w:val="clear" w:color="auto" w:fill="auto"/>
        </w:rPr>
        <w:t>本</w:t>
      </w:r>
      <w:r>
        <w:rPr>
          <w:rFonts w:hint="eastAsia" w:ascii="宋体" w:hAnsi="宋体" w:cs="宋体"/>
          <w:color w:val="auto"/>
          <w:kern w:val="0"/>
          <w:szCs w:val="21"/>
          <w:highlight w:val="none"/>
          <w:shd w:val="clear" w:color="auto" w:fill="auto"/>
        </w:rPr>
        <w:t>企业（单位）</w:t>
      </w:r>
      <w:r>
        <w:rPr>
          <w:rFonts w:hint="eastAsia" w:ascii="宋体" w:hAnsi="宋体" w:cs="宋体"/>
          <w:color w:val="auto"/>
          <w:kern w:val="0"/>
          <w:szCs w:val="21"/>
          <w:highlight w:val="none"/>
          <w:u w:val="single"/>
          <w:shd w:val="clear" w:color="auto" w:fill="auto"/>
        </w:rPr>
        <w:t xml:space="preserve">        </w:t>
      </w:r>
      <w:r>
        <w:rPr>
          <w:rFonts w:ascii="宋体" w:hAnsi="宋体" w:cs="宋体"/>
          <w:color w:val="auto"/>
          <w:kern w:val="0"/>
          <w:szCs w:val="21"/>
          <w:highlight w:val="none"/>
          <w:shd w:val="clear" w:color="auto" w:fill="auto"/>
        </w:rPr>
        <w:t>（请填写：</w:t>
      </w:r>
      <w:r>
        <w:rPr>
          <w:rFonts w:hint="eastAsia" w:ascii="宋体" w:hAnsi="宋体" w:cs="宋体"/>
          <w:color w:val="auto"/>
          <w:kern w:val="0"/>
          <w:szCs w:val="21"/>
          <w:highlight w:val="none"/>
          <w:shd w:val="clear" w:color="auto" w:fill="auto"/>
        </w:rPr>
        <w:t>是、不是</w:t>
      </w:r>
      <w:r>
        <w:rPr>
          <w:rFonts w:ascii="宋体" w:hAnsi="宋体" w:cs="宋体"/>
          <w:color w:val="auto"/>
          <w:kern w:val="0"/>
          <w:szCs w:val="21"/>
          <w:highlight w:val="none"/>
          <w:shd w:val="clear" w:color="auto" w:fill="auto"/>
        </w:rPr>
        <w:t>）监狱企业。</w:t>
      </w:r>
      <w:r>
        <w:rPr>
          <w:rFonts w:hint="eastAsia" w:ascii="宋体" w:hAnsi="宋体" w:cs="宋体"/>
          <w:color w:val="auto"/>
          <w:kern w:val="0"/>
          <w:szCs w:val="21"/>
          <w:highlight w:val="none"/>
          <w:shd w:val="clear" w:color="auto" w:fill="auto"/>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rPr>
        <w:t>）</w:t>
      </w:r>
      <w:r>
        <w:rPr>
          <w:rFonts w:ascii="宋体" w:hAnsi="宋体" w:cs="宋体"/>
          <w:color w:val="auto"/>
          <w:kern w:val="0"/>
          <w:szCs w:val="21"/>
          <w:highlight w:val="none"/>
          <w:shd w:val="clear" w:color="auto" w:fill="auto"/>
        </w:rPr>
        <w:t>本</w:t>
      </w:r>
      <w:r>
        <w:rPr>
          <w:rFonts w:hint="eastAsia" w:ascii="宋体" w:hAnsi="宋体" w:cs="宋体"/>
          <w:color w:val="auto"/>
          <w:kern w:val="0"/>
          <w:szCs w:val="21"/>
          <w:highlight w:val="none"/>
          <w:shd w:val="clear" w:color="auto" w:fill="auto"/>
        </w:rPr>
        <w:t>企业（单位）</w:t>
      </w:r>
      <w:r>
        <w:rPr>
          <w:rFonts w:hint="eastAsia" w:ascii="宋体" w:hAnsi="宋体" w:cs="宋体"/>
          <w:color w:val="auto"/>
          <w:kern w:val="0"/>
          <w:szCs w:val="21"/>
          <w:highlight w:val="none"/>
          <w:u w:val="single"/>
          <w:shd w:val="clear" w:color="auto" w:fill="auto"/>
        </w:rPr>
        <w:t xml:space="preserve">        </w:t>
      </w:r>
      <w:r>
        <w:rPr>
          <w:rFonts w:ascii="宋体" w:hAnsi="宋体" w:cs="宋体"/>
          <w:color w:val="auto"/>
          <w:kern w:val="0"/>
          <w:szCs w:val="21"/>
          <w:highlight w:val="none"/>
          <w:shd w:val="clear" w:color="auto" w:fill="auto"/>
        </w:rPr>
        <w:t>（请填写：</w:t>
      </w:r>
      <w:r>
        <w:rPr>
          <w:rFonts w:hint="eastAsia" w:ascii="宋体" w:hAnsi="宋体" w:cs="宋体"/>
          <w:color w:val="auto"/>
          <w:kern w:val="0"/>
          <w:szCs w:val="21"/>
          <w:highlight w:val="none"/>
          <w:shd w:val="clear" w:color="auto" w:fill="auto"/>
        </w:rPr>
        <w:t>是、不是</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为联合体一方，</w:t>
      </w:r>
      <w:r>
        <w:rPr>
          <w:rFonts w:ascii="宋体" w:hAnsi="宋体" w:cs="宋体"/>
          <w:color w:val="auto"/>
          <w:kern w:val="0"/>
          <w:szCs w:val="21"/>
          <w:highlight w:val="none"/>
          <w:shd w:val="clear" w:color="auto" w:fill="auto"/>
        </w:rPr>
        <w:t>提供本企业</w:t>
      </w:r>
      <w:r>
        <w:rPr>
          <w:rFonts w:hint="eastAsia" w:ascii="宋体" w:hAnsi="宋体" w:cs="宋体"/>
          <w:color w:val="auto"/>
          <w:kern w:val="0"/>
          <w:szCs w:val="21"/>
          <w:highlight w:val="none"/>
          <w:shd w:val="clear" w:color="auto" w:fill="auto"/>
        </w:rPr>
        <w:t>（单位）的</w:t>
      </w:r>
      <w:r>
        <w:rPr>
          <w:rFonts w:ascii="宋体" w:hAnsi="宋体" w:cs="宋体"/>
          <w:color w:val="auto"/>
          <w:kern w:val="0"/>
          <w:szCs w:val="21"/>
          <w:highlight w:val="none"/>
          <w:shd w:val="clear" w:color="auto" w:fill="auto"/>
        </w:rPr>
        <w:t>服务</w:t>
      </w:r>
      <w:r>
        <w:rPr>
          <w:rFonts w:hint="eastAsia" w:ascii="宋体" w:hAnsi="宋体" w:cs="宋体"/>
          <w:color w:val="auto"/>
          <w:kern w:val="0"/>
          <w:szCs w:val="21"/>
          <w:highlight w:val="none"/>
          <w:shd w:val="clear" w:color="auto" w:fill="auto"/>
        </w:rPr>
        <w:t>。本企业</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单位</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提供</w:t>
      </w:r>
      <w:r>
        <w:rPr>
          <w:rFonts w:ascii="宋体" w:hAnsi="宋体" w:cs="宋体"/>
          <w:color w:val="auto"/>
          <w:kern w:val="0"/>
          <w:szCs w:val="21"/>
          <w:highlight w:val="none"/>
          <w:shd w:val="clear" w:color="auto" w:fill="auto"/>
        </w:rPr>
        <w:t>协议合同金额占到</w:t>
      </w:r>
      <w:r>
        <w:rPr>
          <w:rFonts w:hint="eastAsia" w:ascii="宋体" w:hAnsi="宋体" w:cs="宋体"/>
          <w:color w:val="auto"/>
          <w:kern w:val="0"/>
          <w:szCs w:val="21"/>
          <w:highlight w:val="none"/>
          <w:shd w:val="clear" w:color="auto" w:fill="auto"/>
        </w:rPr>
        <w:t>共同投标</w:t>
      </w:r>
      <w:r>
        <w:rPr>
          <w:rFonts w:ascii="宋体" w:hAnsi="宋体" w:cs="宋体"/>
          <w:color w:val="auto"/>
          <w:kern w:val="0"/>
          <w:szCs w:val="21"/>
          <w:highlight w:val="none"/>
          <w:shd w:val="clear" w:color="auto" w:fill="auto"/>
        </w:rPr>
        <w:t>协议合同总金额</w:t>
      </w:r>
      <w:r>
        <w:rPr>
          <w:rFonts w:hint="eastAsia" w:ascii="宋体" w:hAnsi="宋体" w:cs="宋体"/>
          <w:color w:val="auto"/>
          <w:kern w:val="0"/>
          <w:szCs w:val="21"/>
          <w:highlight w:val="none"/>
          <w:shd w:val="clear" w:color="auto" w:fill="auto"/>
        </w:rPr>
        <w:t>的比例为</w:t>
      </w:r>
      <w:r>
        <w:rPr>
          <w:rFonts w:hint="eastAsia" w:ascii="宋体" w:hAnsi="宋体" w:cs="宋体"/>
          <w:color w:val="auto"/>
          <w:kern w:val="0"/>
          <w:szCs w:val="21"/>
          <w:highlight w:val="none"/>
          <w:u w:val="single"/>
          <w:shd w:val="clear" w:color="auto" w:fill="auto"/>
        </w:rPr>
        <w:t xml:space="preserve">       </w:t>
      </w:r>
      <w:r>
        <w:rPr>
          <w:rFonts w:hint="eastAsia" w:ascii="宋体" w:hAnsi="宋体" w:cs="宋体"/>
          <w:color w:val="auto"/>
          <w:kern w:val="0"/>
          <w:szCs w:val="21"/>
          <w:highlight w:val="none"/>
          <w:shd w:val="clear" w:color="auto" w:fill="auto"/>
        </w:rPr>
        <w:t>。</w:t>
      </w:r>
    </w:p>
    <w:p>
      <w:pPr>
        <w:widowControl/>
        <w:spacing w:before="100" w:beforeAutospacing="1" w:after="100" w:afterAutospacing="1" w:line="360" w:lineRule="auto"/>
        <w:jc w:val="left"/>
        <w:rPr>
          <w:rFonts w:ascii="宋体" w:hAnsi="宋体" w:cs="宋体"/>
          <w:color w:val="auto"/>
          <w:kern w:val="0"/>
          <w:szCs w:val="21"/>
          <w:highlight w:val="none"/>
          <w:shd w:val="clear" w:color="auto" w:fill="auto"/>
        </w:rPr>
      </w:pPr>
      <w:r>
        <w:rPr>
          <w:rFonts w:ascii="宋体" w:hAnsi="宋体" w:cs="宋体"/>
          <w:color w:val="auto"/>
          <w:kern w:val="0"/>
          <w:szCs w:val="21"/>
          <w:highlight w:val="none"/>
          <w:shd w:val="clear" w:color="auto" w:fill="auto"/>
        </w:rPr>
        <w:t>　　本</w:t>
      </w:r>
      <w:r>
        <w:rPr>
          <w:rFonts w:hint="eastAsia" w:ascii="宋体" w:hAnsi="宋体" w:cs="宋体"/>
          <w:color w:val="auto"/>
          <w:kern w:val="0"/>
          <w:szCs w:val="21"/>
          <w:highlight w:val="none"/>
          <w:shd w:val="clear" w:color="auto" w:fill="auto"/>
        </w:rPr>
        <w:t>企业</w:t>
      </w:r>
      <w:r>
        <w:rPr>
          <w:rFonts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rPr>
        <w:t>单位</w:t>
      </w:r>
      <w:r>
        <w:rPr>
          <w:rFonts w:ascii="宋体" w:hAnsi="宋体" w:cs="宋体"/>
          <w:color w:val="auto"/>
          <w:kern w:val="0"/>
          <w:szCs w:val="21"/>
          <w:highlight w:val="none"/>
          <w:shd w:val="clear" w:color="auto" w:fill="auto"/>
        </w:rPr>
        <w:t>）对上述声明的真实性负责。如有虚假，将依法承担相应责任。</w:t>
      </w:r>
    </w:p>
    <w:p>
      <w:pPr>
        <w:widowControl/>
        <w:spacing w:before="100" w:beforeAutospacing="1" w:after="100" w:afterAutospacing="1" w:line="360" w:lineRule="auto"/>
        <w:jc w:val="left"/>
        <w:rPr>
          <w:rFonts w:ascii="宋体" w:hAnsi="宋体" w:cs="宋体"/>
          <w:color w:val="auto"/>
          <w:kern w:val="0"/>
          <w:szCs w:val="21"/>
          <w:highlight w:val="none"/>
          <w:shd w:val="clear" w:color="auto" w:fill="auto"/>
        </w:rPr>
      </w:pPr>
    </w:p>
    <w:p>
      <w:pPr>
        <w:widowControl/>
        <w:spacing w:before="100" w:beforeAutospacing="1" w:after="100" w:afterAutospacing="1" w:line="360" w:lineRule="auto"/>
        <w:jc w:val="left"/>
        <w:rPr>
          <w:rFonts w:ascii="宋体" w:hAnsi="宋体" w:cs="宋体"/>
          <w:color w:val="auto"/>
          <w:kern w:val="0"/>
          <w:szCs w:val="21"/>
          <w:highlight w:val="none"/>
          <w:shd w:val="clear" w:color="auto" w:fill="auto"/>
        </w:rPr>
      </w:pPr>
    </w:p>
    <w:p>
      <w:pPr>
        <w:widowControl/>
        <w:spacing w:before="100" w:beforeAutospacing="1" w:after="100" w:afterAutospacing="1" w:line="360" w:lineRule="auto"/>
        <w:jc w:val="left"/>
        <w:rPr>
          <w:rFonts w:ascii="宋体" w:hAnsi="宋体" w:cs="宋体"/>
          <w:color w:val="auto"/>
          <w:kern w:val="0"/>
          <w:szCs w:val="21"/>
          <w:highlight w:val="none"/>
          <w:shd w:val="clear" w:color="auto" w:fill="auto"/>
        </w:rPr>
      </w:pPr>
    </w:p>
    <w:p>
      <w:pPr>
        <w:spacing w:line="360" w:lineRule="auto"/>
        <w:rPr>
          <w:rFonts w:ascii="宋体" w:hAnsi="宋体" w:cs="宋体"/>
          <w:color w:val="auto"/>
          <w:szCs w:val="21"/>
          <w:highlight w:val="none"/>
          <w:shd w:val="clear" w:color="auto" w:fill="auto"/>
        </w:rPr>
      </w:pPr>
      <w:r>
        <w:rPr>
          <w:rFonts w:ascii="宋体" w:hAnsi="宋体"/>
          <w:b/>
          <w:color w:val="auto"/>
          <w:kern w:val="0"/>
          <w:szCs w:val="21"/>
          <w:highlight w:val="none"/>
          <w:shd w:val="clear" w:color="auto" w:fill="auto"/>
        </w:rPr>
        <w:t>　</w:t>
      </w:r>
    </w:p>
    <w:p>
      <w:pPr>
        <w:pStyle w:val="10"/>
        <w:tabs>
          <w:tab w:val="left" w:pos="5580"/>
        </w:tabs>
        <w:spacing w:line="360" w:lineRule="auto"/>
        <w:ind w:firstLine="2730" w:firstLineChars="1300"/>
        <w:rPr>
          <w:color w:val="auto"/>
          <w:szCs w:val="21"/>
          <w:highlight w:val="none"/>
          <w:shd w:val="clear" w:color="auto" w:fill="auto"/>
        </w:rPr>
      </w:pPr>
      <w:r>
        <w:rPr>
          <w:rFonts w:hint="eastAsia"/>
          <w:color w:val="auto"/>
          <w:szCs w:val="21"/>
          <w:highlight w:val="none"/>
          <w:shd w:val="clear" w:color="auto" w:fill="auto"/>
        </w:rPr>
        <w:t>投标人（盖</w:t>
      </w:r>
      <w:r>
        <w:rPr>
          <w:color w:val="auto"/>
          <w:szCs w:val="21"/>
          <w:highlight w:val="none"/>
          <w:shd w:val="clear" w:color="auto" w:fill="auto"/>
        </w:rPr>
        <w:t>章）：</w:t>
      </w:r>
      <w:r>
        <w:rPr>
          <w:rFonts w:hint="eastAsia"/>
          <w:color w:val="auto"/>
          <w:szCs w:val="21"/>
          <w:highlight w:val="none"/>
          <w:u w:val="single"/>
          <w:shd w:val="clear" w:color="auto" w:fill="auto"/>
        </w:rPr>
        <w:t xml:space="preserve">            </w:t>
      </w:r>
      <w:r>
        <w:rPr>
          <w:color w:val="auto"/>
          <w:szCs w:val="21"/>
          <w:highlight w:val="none"/>
          <w:u w:val="single"/>
          <w:shd w:val="clear" w:color="auto" w:fill="auto"/>
        </w:rPr>
        <w:t xml:space="preserve">  </w:t>
      </w:r>
      <w:r>
        <w:rPr>
          <w:rFonts w:hint="eastAsia"/>
          <w:color w:val="auto"/>
          <w:szCs w:val="21"/>
          <w:highlight w:val="none"/>
          <w:u w:val="single"/>
          <w:shd w:val="clear" w:color="auto" w:fill="auto"/>
        </w:rPr>
        <w:t xml:space="preserve">               </w:t>
      </w:r>
      <w:r>
        <w:rPr>
          <w:rFonts w:hint="eastAsia"/>
          <w:color w:val="auto"/>
          <w:szCs w:val="21"/>
          <w:highlight w:val="none"/>
          <w:shd w:val="clear" w:color="auto" w:fill="auto"/>
        </w:rPr>
        <w:t xml:space="preserve">                    </w:t>
      </w:r>
    </w:p>
    <w:p>
      <w:pPr>
        <w:pStyle w:val="10"/>
        <w:tabs>
          <w:tab w:val="left" w:pos="5580"/>
        </w:tabs>
        <w:spacing w:line="360" w:lineRule="auto"/>
        <w:ind w:firstLine="2730" w:firstLineChars="1300"/>
        <w:rPr>
          <w:rFonts w:cs="宋体"/>
          <w:color w:val="auto"/>
          <w:kern w:val="0"/>
          <w:szCs w:val="21"/>
          <w:highlight w:val="none"/>
          <w:u w:val="single"/>
          <w:shd w:val="clear" w:color="auto" w:fill="auto"/>
        </w:rPr>
      </w:pPr>
      <w:r>
        <w:rPr>
          <w:rFonts w:hint="eastAsia"/>
          <w:color w:val="auto"/>
          <w:szCs w:val="21"/>
          <w:highlight w:val="none"/>
          <w:shd w:val="clear" w:color="auto" w:fill="auto"/>
        </w:rPr>
        <w:t>法定代表人或</w:t>
      </w:r>
      <w:r>
        <w:rPr>
          <w:rFonts w:hint="eastAsia" w:cs="宋体"/>
          <w:color w:val="auto"/>
          <w:kern w:val="0"/>
          <w:szCs w:val="21"/>
          <w:highlight w:val="none"/>
          <w:shd w:val="clear" w:color="auto" w:fill="auto"/>
        </w:rPr>
        <w:t>委托代理人</w:t>
      </w:r>
      <w:r>
        <w:rPr>
          <w:rFonts w:hint="eastAsia"/>
          <w:color w:val="auto"/>
          <w:szCs w:val="21"/>
          <w:highlight w:val="none"/>
          <w:shd w:val="clear" w:color="auto" w:fill="auto"/>
        </w:rPr>
        <w:t>（签字）</w:t>
      </w:r>
      <w:r>
        <w:rPr>
          <w:rFonts w:hint="eastAsia" w:cs="宋体"/>
          <w:color w:val="auto"/>
          <w:kern w:val="0"/>
          <w:szCs w:val="21"/>
          <w:highlight w:val="none"/>
          <w:shd w:val="clear" w:color="auto" w:fill="auto"/>
        </w:rPr>
        <w:t>：</w:t>
      </w:r>
      <w:r>
        <w:rPr>
          <w:rFonts w:hint="eastAsia" w:cs="宋体"/>
          <w:color w:val="auto"/>
          <w:kern w:val="0"/>
          <w:szCs w:val="21"/>
          <w:highlight w:val="none"/>
          <w:u w:val="single"/>
          <w:shd w:val="clear" w:color="auto" w:fill="auto"/>
        </w:rPr>
        <w:t xml:space="preserve">             </w:t>
      </w:r>
    </w:p>
    <w:p>
      <w:pPr>
        <w:spacing w:line="360" w:lineRule="auto"/>
        <w:ind w:firstLine="2730" w:firstLineChars="13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       年   月   日</w:t>
      </w:r>
    </w:p>
    <w:p>
      <w:pPr>
        <w:spacing w:line="360" w:lineRule="auto"/>
        <w:rPr>
          <w:rFonts w:ascii="宋体" w:hAnsi="宋体" w:cs="宋体"/>
          <w:color w:val="auto"/>
          <w:sz w:val="24"/>
          <w:szCs w:val="24"/>
          <w:highlight w:val="none"/>
          <w:shd w:val="clear" w:color="auto" w:fill="auto"/>
        </w:rPr>
      </w:pPr>
    </w:p>
    <w:p>
      <w:pPr>
        <w:pStyle w:val="7"/>
        <w:numPr>
          <w:ilvl w:val="0"/>
          <w:numId w:val="0"/>
        </w:numPr>
        <w:rPr>
          <w:rFonts w:ascii="宋体" w:hAnsi="宋体" w:cs="宋体"/>
          <w:color w:val="auto"/>
          <w:kern w:val="0"/>
          <w:sz w:val="24"/>
          <w:highlight w:val="none"/>
          <w:u w:val="single"/>
          <w:shd w:val="clear" w:color="auto" w:fill="auto"/>
        </w:rPr>
      </w:pPr>
    </w:p>
    <w:p>
      <w:pPr>
        <w:pStyle w:val="7"/>
        <w:numPr>
          <w:ilvl w:val="0"/>
          <w:numId w:val="0"/>
        </w:numPr>
        <w:rPr>
          <w:rFonts w:ascii="宋体" w:hAnsi="宋体" w:cs="宋体"/>
          <w:color w:val="auto"/>
          <w:kern w:val="0"/>
          <w:sz w:val="24"/>
          <w:highlight w:val="none"/>
          <w:u w:val="single"/>
          <w:shd w:val="clear" w:color="auto" w:fill="auto"/>
        </w:rPr>
      </w:pPr>
    </w:p>
    <w:p>
      <w:pPr>
        <w:rPr>
          <w:b/>
          <w:bCs/>
          <w:color w:val="auto"/>
          <w:sz w:val="24"/>
          <w:szCs w:val="24"/>
          <w:highlight w:val="none"/>
          <w:shd w:val="clear" w:color="auto" w:fill="auto"/>
        </w:rPr>
      </w:pPr>
      <w:r>
        <w:rPr>
          <w:rFonts w:hint="eastAsia"/>
          <w:b/>
          <w:bCs/>
          <w:color w:val="auto"/>
          <w:sz w:val="24"/>
          <w:szCs w:val="24"/>
          <w:highlight w:val="none"/>
          <w:shd w:val="clear" w:color="auto" w:fill="auto"/>
        </w:rPr>
        <w:br w:type="page"/>
      </w:r>
    </w:p>
    <w:p>
      <w:pPr>
        <w:jc w:val="center"/>
        <w:rPr>
          <w:b/>
          <w:bCs/>
          <w:color w:val="auto"/>
          <w:sz w:val="24"/>
          <w:szCs w:val="24"/>
          <w:highlight w:val="none"/>
          <w:shd w:val="clear" w:color="auto" w:fill="auto"/>
        </w:rPr>
      </w:pPr>
    </w:p>
    <w:p>
      <w:pPr>
        <w:jc w:val="center"/>
        <w:rPr>
          <w:b/>
          <w:bCs/>
          <w:color w:val="auto"/>
          <w:sz w:val="24"/>
          <w:szCs w:val="24"/>
          <w:highlight w:val="none"/>
          <w:shd w:val="clear" w:color="auto" w:fill="auto"/>
        </w:rPr>
      </w:pPr>
    </w:p>
    <w:p>
      <w:pPr>
        <w:jc w:val="center"/>
        <w:rPr>
          <w:b/>
          <w:bCs/>
          <w:color w:val="auto"/>
          <w:sz w:val="24"/>
          <w:szCs w:val="24"/>
          <w:highlight w:val="none"/>
          <w:shd w:val="clear" w:color="auto" w:fill="auto"/>
        </w:rPr>
      </w:pPr>
      <w:r>
        <w:rPr>
          <w:rFonts w:hint="eastAsia"/>
          <w:b/>
          <w:bCs/>
          <w:color w:val="auto"/>
          <w:sz w:val="24"/>
          <w:szCs w:val="24"/>
          <w:highlight w:val="none"/>
          <w:shd w:val="clear" w:color="auto" w:fill="auto"/>
        </w:rPr>
        <w:t>（三）残疾人福利性单位声明函</w:t>
      </w:r>
      <w:bookmarkEnd w:id="96"/>
    </w:p>
    <w:p>
      <w:pPr>
        <w:spacing w:line="360" w:lineRule="auto"/>
        <w:ind w:left="1080" w:leftChars="257" w:hanging="540"/>
        <w:jc w:val="center"/>
        <w:rPr>
          <w:rFonts w:ascii="宋体" w:hAnsi="宋体"/>
          <w:color w:val="auto"/>
          <w:kern w:val="0"/>
          <w:sz w:val="24"/>
          <w:szCs w:val="20"/>
          <w:highlight w:val="none"/>
          <w:shd w:val="clear" w:color="auto" w:fill="auto"/>
        </w:rPr>
      </w:pPr>
    </w:p>
    <w:p>
      <w:pPr>
        <w:spacing w:line="360" w:lineRule="auto"/>
        <w:ind w:firstLine="567"/>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Cs w:val="21"/>
          <w:highlight w:val="none"/>
          <w:shd w:val="clear" w:color="auto" w:fill="auto"/>
        </w:rPr>
        <w:t>（由本单位承担工程/提供服务）</w:t>
      </w:r>
      <w:r>
        <w:rPr>
          <w:rFonts w:hint="eastAsia" w:ascii="宋体" w:hAnsi="宋体"/>
          <w:color w:val="auto"/>
          <w:kern w:val="0"/>
          <w:szCs w:val="21"/>
          <w:highlight w:val="none"/>
          <w:shd w:val="clear" w:color="auto" w:fill="auto"/>
        </w:rPr>
        <w:t>，或者提供其他残疾人福利性单位制造的货物（不包括使用非残疾人福利性单位注册商标的货物）。</w:t>
      </w:r>
    </w:p>
    <w:p>
      <w:pPr>
        <w:spacing w:line="360" w:lineRule="auto"/>
        <w:ind w:left="1080" w:leftChars="257" w:hanging="540"/>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本单位对上述声明的真实性负责。如有虚假，将依法承担相应责任。</w:t>
      </w:r>
    </w:p>
    <w:p>
      <w:pPr>
        <w:spacing w:line="360" w:lineRule="auto"/>
        <w:ind w:left="1080" w:leftChars="257" w:hanging="540"/>
        <w:jc w:val="center"/>
        <w:rPr>
          <w:rFonts w:ascii="宋体" w:hAnsi="宋体"/>
          <w:color w:val="auto"/>
          <w:kern w:val="0"/>
          <w:szCs w:val="21"/>
          <w:highlight w:val="none"/>
          <w:shd w:val="clear" w:color="auto" w:fill="auto"/>
        </w:rPr>
      </w:pPr>
    </w:p>
    <w:p>
      <w:pPr>
        <w:spacing w:line="360" w:lineRule="auto"/>
        <w:ind w:left="1080" w:leftChars="257" w:hanging="540"/>
        <w:jc w:val="center"/>
        <w:rPr>
          <w:rFonts w:ascii="宋体" w:hAnsi="宋体"/>
          <w:color w:val="auto"/>
          <w:kern w:val="0"/>
          <w:szCs w:val="21"/>
          <w:highlight w:val="none"/>
          <w:shd w:val="clear" w:color="auto" w:fill="auto"/>
        </w:rPr>
      </w:pPr>
    </w:p>
    <w:p>
      <w:pPr>
        <w:spacing w:line="360" w:lineRule="auto"/>
        <w:ind w:left="1080" w:leftChars="257" w:hanging="540"/>
        <w:jc w:val="center"/>
        <w:rPr>
          <w:rFonts w:ascii="宋体" w:hAnsi="宋体"/>
          <w:color w:val="auto"/>
          <w:kern w:val="0"/>
          <w:szCs w:val="21"/>
          <w:highlight w:val="none"/>
          <w:u w:val="single"/>
          <w:shd w:val="clear" w:color="auto" w:fill="auto"/>
        </w:rPr>
      </w:pPr>
      <w:r>
        <w:rPr>
          <w:rFonts w:hint="eastAsia" w:ascii="宋体" w:hAnsi="宋体"/>
          <w:color w:val="auto"/>
          <w:kern w:val="0"/>
          <w:szCs w:val="21"/>
          <w:highlight w:val="none"/>
          <w:shd w:val="clear" w:color="auto" w:fill="auto"/>
        </w:rPr>
        <w:t xml:space="preserve">              残疾人</w:t>
      </w:r>
      <w:r>
        <w:rPr>
          <w:rFonts w:ascii="宋体" w:hAnsi="宋体"/>
          <w:color w:val="auto"/>
          <w:kern w:val="0"/>
          <w:szCs w:val="21"/>
          <w:highlight w:val="none"/>
          <w:shd w:val="clear" w:color="auto" w:fill="auto"/>
        </w:rPr>
        <w:t>福利性单位</w:t>
      </w:r>
      <w:r>
        <w:rPr>
          <w:rFonts w:hint="eastAsia" w:ascii="宋体" w:hAnsi="宋体"/>
          <w:color w:val="auto"/>
          <w:kern w:val="0"/>
          <w:szCs w:val="21"/>
          <w:highlight w:val="none"/>
          <w:shd w:val="clear" w:color="auto" w:fill="auto"/>
        </w:rPr>
        <w:t>名称（盖公章）：</w:t>
      </w:r>
      <w:r>
        <w:rPr>
          <w:rFonts w:hint="eastAsia" w:ascii="宋体" w:hAnsi="宋体"/>
          <w:color w:val="auto"/>
          <w:kern w:val="0"/>
          <w:szCs w:val="21"/>
          <w:highlight w:val="none"/>
          <w:u w:val="single"/>
          <w:shd w:val="clear" w:color="auto" w:fill="auto"/>
        </w:rPr>
        <w:t xml:space="preserve"> </w:t>
      </w:r>
      <w:r>
        <w:rPr>
          <w:rFonts w:ascii="宋体" w:hAnsi="宋体"/>
          <w:color w:val="auto"/>
          <w:kern w:val="0"/>
          <w:szCs w:val="21"/>
          <w:highlight w:val="none"/>
          <w:u w:val="single"/>
          <w:shd w:val="clear" w:color="auto" w:fill="auto"/>
        </w:rPr>
        <w:t xml:space="preserve">                 </w:t>
      </w:r>
    </w:p>
    <w:p>
      <w:pPr>
        <w:spacing w:line="360" w:lineRule="auto"/>
        <w:ind w:left="1080" w:leftChars="257" w:hanging="540"/>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 xml:space="preserve">       </w:t>
      </w:r>
      <w:r>
        <w:rPr>
          <w:rFonts w:ascii="宋体" w:hAnsi="宋体"/>
          <w:color w:val="auto"/>
          <w:kern w:val="0"/>
          <w:szCs w:val="21"/>
          <w:highlight w:val="none"/>
          <w:shd w:val="clear" w:color="auto" w:fill="auto"/>
        </w:rPr>
        <w:t xml:space="preserve">  </w:t>
      </w:r>
    </w:p>
    <w:p>
      <w:pPr>
        <w:spacing w:line="360" w:lineRule="auto"/>
        <w:ind w:left="645" w:leftChars="307" w:firstLine="3360" w:firstLineChars="1600"/>
        <w:rPr>
          <w:rFonts w:ascii="宋体" w:hAnsi="宋体"/>
          <w:color w:val="auto"/>
          <w:kern w:val="0"/>
          <w:szCs w:val="21"/>
          <w:highlight w:val="none"/>
          <w:u w:val="single"/>
          <w:shd w:val="clear" w:color="auto" w:fill="auto"/>
        </w:rPr>
      </w:pPr>
      <w:r>
        <w:rPr>
          <w:rFonts w:hint="eastAsia" w:ascii="宋体" w:hAnsi="宋体"/>
          <w:color w:val="auto"/>
          <w:kern w:val="0"/>
          <w:szCs w:val="21"/>
          <w:highlight w:val="none"/>
          <w:shd w:val="clear" w:color="auto" w:fill="auto"/>
        </w:rPr>
        <w:t>日  期：</w:t>
      </w:r>
      <w:r>
        <w:rPr>
          <w:rFonts w:ascii="宋体" w:hAnsi="宋体"/>
          <w:color w:val="auto"/>
          <w:kern w:val="0"/>
          <w:szCs w:val="21"/>
          <w:highlight w:val="none"/>
          <w:u w:val="single"/>
          <w:shd w:val="clear" w:color="auto" w:fill="auto"/>
        </w:rPr>
        <w:t xml:space="preserve">                             </w:t>
      </w: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pStyle w:val="19"/>
        <w:spacing w:line="432" w:lineRule="auto"/>
        <w:jc w:val="both"/>
        <w:rPr>
          <w:color w:val="auto"/>
          <w:highlight w:val="none"/>
          <w:shd w:val="clear" w:color="auto" w:fill="auto"/>
        </w:rPr>
      </w:pPr>
    </w:p>
    <w:p>
      <w:pPr>
        <w:jc w:val="center"/>
        <w:rPr>
          <w:b/>
          <w:bCs/>
          <w:color w:val="auto"/>
          <w:sz w:val="24"/>
          <w:szCs w:val="24"/>
          <w:highlight w:val="none"/>
          <w:shd w:val="clear" w:color="auto" w:fill="auto"/>
        </w:rPr>
      </w:pPr>
      <w:bookmarkStart w:id="98" w:name="_Toc37868814"/>
    </w:p>
    <w:p>
      <w:pPr>
        <w:jc w:val="center"/>
        <w:rPr>
          <w:b/>
          <w:bCs/>
          <w:color w:val="auto"/>
          <w:sz w:val="24"/>
          <w:szCs w:val="24"/>
          <w:highlight w:val="none"/>
          <w:shd w:val="clear" w:color="auto" w:fill="auto"/>
        </w:rPr>
      </w:pPr>
    </w:p>
    <w:bookmarkEnd w:id="98"/>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5.2.13. 资格声明（制造商、代理商或经销商）</w:t>
      </w:r>
    </w:p>
    <w:p>
      <w:pPr>
        <w:pStyle w:val="19"/>
        <w:spacing w:before="0" w:beforeAutospacing="0" w:after="0" w:afterAutospacing="0" w:line="360" w:lineRule="auto"/>
        <w:ind w:firstLine="480" w:firstLineChars="200"/>
        <w:rPr>
          <w:color w:val="auto"/>
          <w:highlight w:val="none"/>
          <w:shd w:val="clear" w:color="auto" w:fill="auto"/>
        </w:rPr>
      </w:pPr>
    </w:p>
    <w:p>
      <w:pPr>
        <w:shd w:val="clear" w:color="auto" w:fill="FFFFFF"/>
        <w:snapToGrid w:val="0"/>
        <w:spacing w:line="384" w:lineRule="auto"/>
        <w:jc w:val="center"/>
        <w:rPr>
          <w:rFonts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资格声明（制造商、代理商或经销商）</w:t>
      </w:r>
    </w:p>
    <w:p>
      <w:pPr>
        <w:shd w:val="clear" w:color="auto" w:fill="FFFFFF"/>
        <w:snapToGrid w:val="0"/>
        <w:spacing w:line="384" w:lineRule="auto"/>
        <w:rPr>
          <w:rFonts w:ascii="宋体" w:hAnsi="宋体"/>
          <w:color w:val="auto"/>
          <w:sz w:val="24"/>
          <w:szCs w:val="24"/>
          <w:highlight w:val="none"/>
          <w:shd w:val="clear" w:color="auto" w:fill="auto"/>
        </w:rPr>
      </w:pPr>
    </w:p>
    <w:p>
      <w:pPr>
        <w:shd w:val="clear" w:color="auto" w:fill="FFFFFF"/>
        <w:snapToGrid w:val="0"/>
        <w:spacing w:line="384" w:lineRule="auto"/>
        <w:rPr>
          <w:rFonts w:ascii="宋体"/>
          <w:color w:val="auto"/>
          <w:szCs w:val="21"/>
          <w:highlight w:val="none"/>
          <w:shd w:val="clear" w:color="auto" w:fill="auto"/>
        </w:rPr>
      </w:pPr>
      <w:r>
        <w:rPr>
          <w:rFonts w:hint="eastAsia" w:ascii="宋体" w:hAnsi="宋体"/>
          <w:color w:val="auto"/>
          <w:szCs w:val="21"/>
          <w:highlight w:val="none"/>
          <w:shd w:val="clear" w:color="auto" w:fill="auto"/>
        </w:rPr>
        <w:t>致：</w:t>
      </w:r>
      <w:r>
        <w:rPr>
          <w:rFonts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（采购人名称）</w:t>
      </w:r>
    </w:p>
    <w:p>
      <w:pPr>
        <w:shd w:val="clear" w:color="auto" w:fill="FFFFFF"/>
        <w:snapToGrid w:val="0"/>
        <w:spacing w:line="384" w:lineRule="auto"/>
        <w:rPr>
          <w:rFonts w:ascii="宋体"/>
          <w:color w:val="auto"/>
          <w:szCs w:val="21"/>
          <w:highlight w:val="none"/>
          <w:shd w:val="clear" w:color="auto" w:fill="auto"/>
        </w:rPr>
      </w:pPr>
    </w:p>
    <w:p>
      <w:pPr>
        <w:shd w:val="clear" w:color="auto" w:fill="FFFFFF"/>
        <w:snapToGrid w:val="0"/>
        <w:spacing w:line="384" w:lineRule="auto"/>
        <w:ind w:firstLine="420"/>
        <w:rPr>
          <w:rFonts w:ascii="宋体"/>
          <w:color w:val="auto"/>
          <w:szCs w:val="21"/>
          <w:highlight w:val="none"/>
          <w:shd w:val="clear" w:color="auto" w:fill="auto"/>
        </w:rPr>
      </w:pPr>
      <w:r>
        <w:rPr>
          <w:rFonts w:hint="eastAsia" w:ascii="宋体" w:hAnsi="宋体"/>
          <w:color w:val="auto"/>
          <w:szCs w:val="21"/>
          <w:highlight w:val="none"/>
          <w:shd w:val="clear" w:color="auto" w:fill="auto"/>
        </w:rPr>
        <w:t>为响应</w:t>
      </w:r>
      <w:r>
        <w:rPr>
          <w:rFonts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（招标项目标段名称）招标文件的要求，我方作为本次投标货物的</w:t>
      </w:r>
      <w:r>
        <w:rPr>
          <w:rFonts w:hint="eastAsia" w:ascii="宋体" w:hAnsi="宋体"/>
          <w:b/>
          <w:color w:val="auto"/>
          <w:szCs w:val="21"/>
          <w:highlight w:val="none"/>
          <w:u w:val="single"/>
          <w:shd w:val="clear" w:color="auto" w:fill="auto"/>
        </w:rPr>
        <w:t>（制造商、代理商或经销商）</w:t>
      </w:r>
      <w:r>
        <w:rPr>
          <w:rFonts w:hint="eastAsia" w:ascii="宋体" w:hAnsi="宋体"/>
          <w:color w:val="auto"/>
          <w:szCs w:val="21"/>
          <w:highlight w:val="none"/>
          <w:shd w:val="clear" w:color="auto" w:fill="auto"/>
        </w:rPr>
        <w:t>，提交如下资料和信息，并声明下述全部资料和信息是真实和准确的。</w:t>
      </w:r>
    </w:p>
    <w:p>
      <w:pPr>
        <w:shd w:val="clear" w:color="auto" w:fill="FFFFFF"/>
        <w:snapToGrid w:val="0"/>
        <w:spacing w:line="384"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1、投标人基本情况表</w:t>
      </w:r>
    </w:p>
    <w:p>
      <w:pPr>
        <w:shd w:val="clear" w:color="auto" w:fill="FFFFFF"/>
        <w:snapToGrid w:val="0"/>
        <w:spacing w:line="384"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2、投标货物生产能力说明（如有时，制造商提供）</w:t>
      </w:r>
    </w:p>
    <w:p>
      <w:pPr>
        <w:shd w:val="clear" w:color="auto" w:fill="FFFFFF"/>
        <w:snapToGrid w:val="0"/>
        <w:spacing w:line="384"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3、制造商授权书（如有时，代理商或经销商提供）</w:t>
      </w:r>
    </w:p>
    <w:p>
      <w:pPr>
        <w:shd w:val="clear" w:color="auto" w:fill="FFFFFF"/>
        <w:snapToGrid w:val="0"/>
        <w:spacing w:line="384" w:lineRule="auto"/>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4、投标人近年类似供货项目情况表</w:t>
      </w: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pStyle w:val="4"/>
        <w:ind w:firstLine="0"/>
        <w:rPr>
          <w:color w:val="auto"/>
          <w:highlight w:val="none"/>
          <w:shd w:val="clear" w:color="auto" w:fill="auto"/>
        </w:rPr>
      </w:pPr>
    </w:p>
    <w:p>
      <w:pPr>
        <w:widowControl/>
        <w:spacing w:line="360" w:lineRule="auto"/>
        <w:textAlignment w:val="center"/>
        <w:rPr>
          <w:rFonts w:ascii="宋体" w:hAnsi="宋体" w:cs="宋体"/>
          <w:b/>
          <w:color w:val="auto"/>
          <w:sz w:val="24"/>
          <w:szCs w:val="24"/>
          <w:highlight w:val="none"/>
          <w:shd w:val="clear" w:color="auto" w:fill="auto"/>
        </w:rPr>
      </w:pP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5.2.14. 投标人近年类似项目业绩情况表</w:t>
      </w:r>
    </w:p>
    <w:p>
      <w:pPr>
        <w:jc w:val="center"/>
        <w:rPr>
          <w:b/>
          <w:bCs/>
          <w:color w:val="auto"/>
          <w:sz w:val="32"/>
          <w:szCs w:val="32"/>
          <w:highlight w:val="none"/>
          <w:shd w:val="clear" w:color="auto" w:fill="auto"/>
        </w:rPr>
      </w:pPr>
    </w:p>
    <w:p>
      <w:pPr>
        <w:jc w:val="center"/>
        <w:rPr>
          <w:b/>
          <w:bCs/>
          <w:color w:val="auto"/>
          <w:sz w:val="32"/>
          <w:szCs w:val="32"/>
          <w:highlight w:val="none"/>
          <w:shd w:val="clear" w:color="auto" w:fill="auto"/>
        </w:rPr>
      </w:pPr>
      <w:r>
        <w:rPr>
          <w:rFonts w:hint="eastAsia"/>
          <w:b/>
          <w:bCs/>
          <w:color w:val="auto"/>
          <w:sz w:val="32"/>
          <w:szCs w:val="32"/>
          <w:highlight w:val="none"/>
          <w:shd w:val="clear" w:color="auto" w:fill="auto"/>
        </w:rPr>
        <w:t>投标人近年类似项目业绩情况表</w:t>
      </w:r>
    </w:p>
    <w:tbl>
      <w:tblPr>
        <w:tblStyle w:val="20"/>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项目名称</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采购人名称</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采购人地址</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采购人联系人及电话</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签约日期</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合同价格</w:t>
            </w:r>
          </w:p>
        </w:tc>
        <w:tc>
          <w:tcPr>
            <w:tcW w:w="6148" w:type="dxa"/>
            <w:vAlign w:val="center"/>
          </w:tcPr>
          <w:p>
            <w:pPr>
              <w:jc w:val="center"/>
              <w:rPr>
                <w:rFonts w:ascii="宋体"/>
                <w:color w:val="auto"/>
                <w:szCs w:val="21"/>
                <w:highlight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olor w:val="auto"/>
                <w:szCs w:val="21"/>
                <w:highlight w:val="none"/>
                <w:shd w:val="clear" w:color="auto" w:fill="auto"/>
              </w:rPr>
            </w:pPr>
            <w:r>
              <w:rPr>
                <w:rFonts w:hint="eastAsia" w:ascii="宋体" w:hAnsi="宋体"/>
                <w:color w:val="auto"/>
                <w:szCs w:val="21"/>
                <w:highlight w:val="none"/>
                <w:shd w:val="clear" w:color="auto" w:fill="auto"/>
              </w:rPr>
              <w:t>备注</w:t>
            </w:r>
          </w:p>
        </w:tc>
        <w:tc>
          <w:tcPr>
            <w:tcW w:w="6148" w:type="dxa"/>
            <w:vAlign w:val="center"/>
          </w:tcPr>
          <w:p>
            <w:pPr>
              <w:jc w:val="center"/>
              <w:rPr>
                <w:rFonts w:ascii="宋体"/>
                <w:color w:val="auto"/>
                <w:szCs w:val="21"/>
                <w:highlight w:val="none"/>
                <w:shd w:val="clear" w:color="auto" w:fill="auto"/>
              </w:rPr>
            </w:pPr>
          </w:p>
        </w:tc>
      </w:tr>
    </w:tbl>
    <w:p>
      <w:pPr>
        <w:spacing w:line="360" w:lineRule="auto"/>
        <w:jc w:val="left"/>
        <w:rPr>
          <w:rFonts w:ascii="宋体"/>
          <w:color w:val="auto"/>
          <w:szCs w:val="21"/>
          <w:highlight w:val="none"/>
          <w:shd w:val="clear" w:color="auto" w:fill="auto"/>
        </w:rPr>
      </w:pPr>
      <w:r>
        <w:rPr>
          <w:rFonts w:hint="eastAsia" w:ascii="宋体" w:hAnsi="宋体"/>
          <w:color w:val="auto"/>
          <w:szCs w:val="21"/>
          <w:highlight w:val="none"/>
          <w:shd w:val="clear" w:color="auto" w:fill="auto"/>
        </w:rPr>
        <w:t>备注：</w:t>
      </w:r>
    </w:p>
    <w:p>
      <w:pPr>
        <w:spacing w:line="360" w:lineRule="auto"/>
        <w:jc w:val="left"/>
        <w:rPr>
          <w:rFonts w:ascii="宋体"/>
          <w:color w:val="auto"/>
          <w:szCs w:val="21"/>
          <w:highlight w:val="none"/>
          <w:shd w:val="clear" w:color="auto" w:fill="auto"/>
        </w:rPr>
      </w:pPr>
      <w:r>
        <w:rPr>
          <w:rFonts w:hint="eastAsia" w:ascii="宋体"/>
          <w:color w:val="auto"/>
          <w:szCs w:val="21"/>
          <w:highlight w:val="none"/>
          <w:shd w:val="clear" w:color="auto" w:fill="auto"/>
        </w:rPr>
        <w:t>1、本表后须附类似业绩的证明资料（中标通知书及合同复印件）</w:t>
      </w:r>
    </w:p>
    <w:p>
      <w:pPr>
        <w:spacing w:line="360" w:lineRule="auto"/>
        <w:jc w:val="left"/>
        <w:rPr>
          <w:rFonts w:ascii="宋体"/>
          <w:color w:val="auto"/>
          <w:szCs w:val="21"/>
          <w:highlight w:val="none"/>
          <w:shd w:val="clear" w:color="auto" w:fill="auto"/>
        </w:rPr>
      </w:pPr>
      <w:r>
        <w:rPr>
          <w:rFonts w:hint="eastAsia" w:ascii="宋体"/>
          <w:color w:val="auto"/>
          <w:szCs w:val="21"/>
          <w:highlight w:val="none"/>
          <w:shd w:val="clear" w:color="auto" w:fill="auto"/>
        </w:rPr>
        <w:t xml:space="preserve">2、具体年份要求：2022年以来 </w:t>
      </w:r>
    </w:p>
    <w:p>
      <w:pPr>
        <w:spacing w:line="360" w:lineRule="auto"/>
        <w:jc w:val="left"/>
        <w:rPr>
          <w:rFonts w:ascii="宋体"/>
          <w:color w:val="auto"/>
          <w:szCs w:val="21"/>
          <w:highlight w:val="none"/>
          <w:shd w:val="clear" w:color="auto" w:fill="auto"/>
        </w:rPr>
      </w:pPr>
      <w:r>
        <w:rPr>
          <w:rFonts w:hint="eastAsia" w:ascii="宋体"/>
          <w:color w:val="auto"/>
          <w:szCs w:val="21"/>
          <w:highlight w:val="none"/>
          <w:shd w:val="clear" w:color="auto" w:fill="auto"/>
        </w:rPr>
        <w:t>3、每张表格只填写一个项目的信息，并注明序号。</w:t>
      </w:r>
    </w:p>
    <w:p>
      <w:pPr>
        <w:widowControl/>
        <w:shd w:val="clear" w:color="auto" w:fill="FFFFFF"/>
        <w:wordWrap w:val="0"/>
        <w:snapToGrid w:val="0"/>
        <w:jc w:val="right"/>
        <w:rPr>
          <w:rFonts w:ascii="宋体" w:cs="Arial"/>
          <w:color w:val="auto"/>
          <w:kern w:val="0"/>
          <w:sz w:val="24"/>
          <w:szCs w:val="24"/>
          <w:highlight w:val="none"/>
          <w:shd w:val="clear" w:color="auto" w:fill="auto"/>
        </w:rPr>
      </w:pPr>
      <w:r>
        <w:rPr>
          <w:rFonts w:ascii="宋体" w:hAnsi="宋体" w:cs="Arial"/>
          <w:color w:val="auto"/>
          <w:kern w:val="0"/>
          <w:sz w:val="24"/>
          <w:szCs w:val="24"/>
          <w:highlight w:val="none"/>
          <w:shd w:val="clear" w:color="auto" w:fill="auto"/>
        </w:rPr>
        <w:t xml:space="preserve"> </w:t>
      </w:r>
    </w:p>
    <w:p>
      <w:pPr>
        <w:widowControl/>
        <w:shd w:val="clear" w:color="auto" w:fill="FFFFFF"/>
        <w:snapToGrid w:val="0"/>
        <w:jc w:val="right"/>
        <w:rPr>
          <w:rFonts w:ascii="宋体" w:cs="Arial"/>
          <w:color w:val="auto"/>
          <w:kern w:val="0"/>
          <w:sz w:val="24"/>
          <w:szCs w:val="24"/>
          <w:highlight w:val="none"/>
          <w:shd w:val="clear" w:color="auto" w:fill="auto"/>
        </w:rPr>
      </w:pPr>
    </w:p>
    <w:p>
      <w:pPr>
        <w:widowControl/>
        <w:shd w:val="clear" w:color="auto" w:fill="FFFFFF"/>
        <w:snapToGrid w:val="0"/>
        <w:jc w:val="right"/>
        <w:rPr>
          <w:rFonts w:ascii="宋体" w:cs="Arial"/>
          <w:color w:val="auto"/>
          <w:kern w:val="0"/>
          <w:sz w:val="24"/>
          <w:szCs w:val="24"/>
          <w:highlight w:val="none"/>
          <w:shd w:val="clear" w:color="auto" w:fill="auto"/>
        </w:rPr>
      </w:pPr>
    </w:p>
    <w:p>
      <w:pPr>
        <w:widowControl/>
        <w:shd w:val="clear" w:color="auto" w:fill="FFFFFF"/>
        <w:snapToGrid w:val="0"/>
        <w:jc w:val="right"/>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pStyle w:val="7"/>
        <w:numPr>
          <w:ilvl w:val="0"/>
          <w:numId w:val="0"/>
        </w:numPr>
        <w:rPr>
          <w:rFonts w:ascii="宋体" w:cs="Arial"/>
          <w:color w:val="auto"/>
          <w:kern w:val="0"/>
          <w:sz w:val="24"/>
          <w:szCs w:val="24"/>
          <w:highlight w:val="none"/>
          <w:shd w:val="clear" w:color="auto" w:fill="auto"/>
        </w:rPr>
      </w:pPr>
    </w:p>
    <w:p>
      <w:pPr>
        <w:widowControl/>
        <w:jc w:val="center"/>
        <w:textAlignment w:val="center"/>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br w:type="page"/>
      </w:r>
      <w:r>
        <w:rPr>
          <w:rFonts w:hint="eastAsia" w:ascii="宋体" w:hAnsi="宋体" w:cs="Arial"/>
          <w:b/>
          <w:bCs/>
          <w:color w:val="auto"/>
          <w:kern w:val="0"/>
          <w:sz w:val="24"/>
          <w:szCs w:val="24"/>
          <w:highlight w:val="none"/>
          <w:shd w:val="clear" w:color="auto" w:fill="auto"/>
        </w:rPr>
        <w:t>5.2.15.  供货计划</w:t>
      </w:r>
    </w:p>
    <w:p>
      <w:pPr>
        <w:spacing w:line="360" w:lineRule="auto"/>
        <w:jc w:val="center"/>
        <w:rPr>
          <w:b/>
          <w:bCs/>
          <w:color w:val="auto"/>
          <w:sz w:val="32"/>
          <w:szCs w:val="32"/>
          <w:highlight w:val="none"/>
          <w:shd w:val="clear" w:color="auto" w:fill="auto"/>
        </w:rPr>
      </w:pPr>
    </w:p>
    <w:p>
      <w:pPr>
        <w:spacing w:line="360" w:lineRule="auto"/>
        <w:jc w:val="center"/>
        <w:rPr>
          <w:b/>
          <w:bCs/>
          <w:color w:val="auto"/>
          <w:sz w:val="32"/>
          <w:szCs w:val="32"/>
          <w:highlight w:val="none"/>
          <w:shd w:val="clear" w:color="auto" w:fill="auto"/>
        </w:rPr>
      </w:pPr>
      <w:r>
        <w:rPr>
          <w:rFonts w:hint="eastAsia"/>
          <w:b/>
          <w:bCs/>
          <w:color w:val="auto"/>
          <w:sz w:val="32"/>
          <w:szCs w:val="32"/>
          <w:highlight w:val="none"/>
          <w:shd w:val="clear" w:color="auto" w:fill="auto"/>
        </w:rPr>
        <w:t>供货计划</w:t>
      </w:r>
    </w:p>
    <w:p>
      <w:pPr>
        <w:spacing w:line="360" w:lineRule="auto"/>
        <w:rPr>
          <w:color w:val="auto"/>
          <w:szCs w:val="21"/>
          <w:highlight w:val="none"/>
          <w:shd w:val="clear" w:color="auto" w:fill="auto"/>
        </w:rPr>
      </w:pPr>
      <w:r>
        <w:rPr>
          <w:rFonts w:hint="eastAsia"/>
          <w:color w:val="auto"/>
          <w:szCs w:val="21"/>
          <w:highlight w:val="none"/>
          <w:shd w:val="clear" w:color="auto" w:fill="auto"/>
        </w:rPr>
        <w:t>投标人根据企业自身情况编制供货详则。</w:t>
      </w:r>
    </w:p>
    <w:p>
      <w:pPr>
        <w:widowControl/>
        <w:jc w:val="center"/>
        <w:textAlignment w:val="center"/>
        <w:rPr>
          <w:rFonts w:ascii="宋体" w:hAnsi="宋体" w:cs="宋体"/>
          <w:b/>
          <w:color w:val="auto"/>
          <w:sz w:val="30"/>
          <w:szCs w:val="30"/>
          <w:highlight w:val="none"/>
          <w:shd w:val="clear" w:color="auto" w:fill="auto"/>
        </w:rPr>
      </w:pPr>
    </w:p>
    <w:p>
      <w:pPr>
        <w:widowControl/>
        <w:jc w:val="center"/>
        <w:textAlignment w:val="center"/>
        <w:rPr>
          <w:rFonts w:ascii="宋体" w:hAnsi="宋体" w:cs="宋体"/>
          <w:b/>
          <w:color w:val="auto"/>
          <w:sz w:val="30"/>
          <w:szCs w:val="30"/>
          <w:highlight w:val="none"/>
          <w:shd w:val="clear" w:color="auto" w:fill="auto"/>
        </w:rPr>
      </w:pPr>
    </w:p>
    <w:p>
      <w:pPr>
        <w:widowControl/>
        <w:jc w:val="center"/>
        <w:textAlignment w:val="center"/>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5.2.16  服务方案</w:t>
      </w:r>
    </w:p>
    <w:p>
      <w:pPr>
        <w:pStyle w:val="10"/>
        <w:jc w:val="center"/>
        <w:rPr>
          <w:b/>
          <w:bCs/>
          <w:color w:val="auto"/>
          <w:sz w:val="32"/>
          <w:szCs w:val="32"/>
          <w:highlight w:val="none"/>
          <w:shd w:val="clear" w:color="auto" w:fill="auto"/>
        </w:rPr>
      </w:pPr>
    </w:p>
    <w:p>
      <w:pPr>
        <w:pStyle w:val="10"/>
        <w:jc w:val="center"/>
        <w:rPr>
          <w:color w:val="auto"/>
          <w:highlight w:val="none"/>
          <w:shd w:val="clear" w:color="auto" w:fill="auto"/>
        </w:rPr>
      </w:pPr>
      <w:r>
        <w:rPr>
          <w:rFonts w:hint="eastAsia"/>
          <w:b/>
          <w:bCs/>
          <w:color w:val="auto"/>
          <w:sz w:val="32"/>
          <w:szCs w:val="32"/>
          <w:highlight w:val="none"/>
          <w:shd w:val="clear" w:color="auto" w:fill="auto"/>
        </w:rPr>
        <w:t>服务方案</w:t>
      </w:r>
    </w:p>
    <w:p>
      <w:pPr>
        <w:pStyle w:val="10"/>
        <w:ind w:firstLine="420" w:firstLineChars="200"/>
        <w:rPr>
          <w:bCs/>
          <w:color w:val="auto"/>
          <w:sz w:val="24"/>
          <w:szCs w:val="24"/>
          <w:highlight w:val="none"/>
          <w:shd w:val="clear" w:color="auto" w:fill="auto"/>
        </w:rPr>
      </w:pPr>
      <w:r>
        <w:rPr>
          <w:rFonts w:hint="eastAsia" w:cs="宋体"/>
          <w:bCs/>
          <w:color w:val="auto"/>
          <w:szCs w:val="21"/>
          <w:highlight w:val="none"/>
          <w:shd w:val="clear" w:color="auto" w:fill="auto"/>
        </w:rPr>
        <w:t>投标人根据此次项目实际需求，制定具体的供货服务方案。</w:t>
      </w:r>
    </w:p>
    <w:p>
      <w:pPr>
        <w:widowControl/>
        <w:jc w:val="center"/>
        <w:textAlignment w:val="center"/>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 </w:t>
      </w:r>
    </w:p>
    <w:p>
      <w:pPr>
        <w:rPr>
          <w:rFonts w:ascii="宋体" w:hAnsi="宋体" w:cs="Arial"/>
          <w:b/>
          <w:bCs/>
          <w:color w:val="auto"/>
          <w:kern w:val="0"/>
          <w:sz w:val="24"/>
          <w:szCs w:val="24"/>
          <w:highlight w:val="none"/>
          <w:shd w:val="clear" w:color="auto" w:fill="auto"/>
        </w:rPr>
      </w:pPr>
      <w:r>
        <w:rPr>
          <w:rFonts w:hint="eastAsia" w:ascii="宋体" w:hAnsi="宋体" w:cs="Arial"/>
          <w:b/>
          <w:bCs/>
          <w:color w:val="auto"/>
          <w:kern w:val="0"/>
          <w:sz w:val="24"/>
          <w:szCs w:val="24"/>
          <w:highlight w:val="none"/>
          <w:shd w:val="clear" w:color="auto" w:fill="auto"/>
        </w:rPr>
        <w:t>5.2.17.  其他需要提交的资料</w:t>
      </w:r>
    </w:p>
    <w:p>
      <w:pPr>
        <w:pStyle w:val="2"/>
        <w:rPr>
          <w:color w:val="auto"/>
          <w:highlight w:val="none"/>
          <w:shd w:val="clear" w:color="auto" w:fill="auto"/>
        </w:rPr>
      </w:pPr>
    </w:p>
    <w:p>
      <w:pPr>
        <w:spacing w:line="360" w:lineRule="auto"/>
        <w:jc w:val="center"/>
        <w:rPr>
          <w:b/>
          <w:bCs/>
          <w:color w:val="auto"/>
          <w:sz w:val="32"/>
          <w:szCs w:val="32"/>
          <w:highlight w:val="none"/>
          <w:shd w:val="clear" w:color="auto" w:fill="auto"/>
        </w:rPr>
      </w:pPr>
      <w:r>
        <w:rPr>
          <w:rFonts w:hint="eastAsia"/>
          <w:b/>
          <w:bCs/>
          <w:color w:val="auto"/>
          <w:sz w:val="32"/>
          <w:szCs w:val="32"/>
          <w:highlight w:val="none"/>
          <w:shd w:val="clear" w:color="auto" w:fill="auto"/>
        </w:rPr>
        <w:t>其他需要提交的资料</w:t>
      </w:r>
    </w:p>
    <w:p>
      <w:pPr>
        <w:spacing w:line="360" w:lineRule="auto"/>
        <w:rPr>
          <w:color w:val="auto"/>
          <w:szCs w:val="21"/>
          <w:highlight w:val="none"/>
          <w:shd w:val="clear" w:color="auto" w:fill="auto"/>
        </w:rPr>
      </w:pPr>
      <w:r>
        <w:rPr>
          <w:rFonts w:hint="eastAsia"/>
          <w:color w:val="auto"/>
          <w:szCs w:val="21"/>
          <w:highlight w:val="none"/>
          <w:shd w:val="clear" w:color="auto" w:fill="auto"/>
        </w:rPr>
        <w:t>根据招标文件的要求和投标人认为需要提供的资料。</w:t>
      </w:r>
    </w:p>
    <w:p>
      <w:pPr>
        <w:spacing w:line="280" w:lineRule="exact"/>
        <w:rPr>
          <w:rFonts w:ascii="宋体" w:hAnsi="宋体" w:cs="Arial"/>
          <w:color w:val="auto"/>
          <w:kern w:val="0"/>
          <w:sz w:val="24"/>
          <w:szCs w:val="24"/>
          <w:highlight w:val="none"/>
          <w:shd w:val="clear" w:color="auto" w:fill="auto"/>
        </w:rPr>
      </w:pPr>
    </w:p>
    <w:p>
      <w:pPr>
        <w:rPr>
          <w:color w:val="auto"/>
          <w:highlight w:val="none"/>
          <w:shd w:val="clear" w:color="auto" w:fill="auto"/>
        </w:rPr>
      </w:pPr>
    </w:p>
    <w:p>
      <w:pPr>
        <w:spacing w:line="440" w:lineRule="exact"/>
        <w:jc w:val="center"/>
        <w:outlineLvl w:val="0"/>
        <w:rPr>
          <w:rFonts w:ascii="宋体" w:hAnsi="宋体" w:cs="宋体"/>
          <w:b/>
          <w:color w:val="auto"/>
          <w:sz w:val="24"/>
          <w:szCs w:val="24"/>
          <w:highlight w:val="none"/>
          <w:shd w:val="clear" w:color="auto" w:fill="auto"/>
        </w:rPr>
      </w:pPr>
      <w:bookmarkStart w:id="99" w:name="_Toc11547"/>
      <w:bookmarkStart w:id="100" w:name="_Toc27766"/>
      <w:r>
        <w:rPr>
          <w:rFonts w:hint="eastAsia" w:ascii="黑体" w:hAnsi="黑体" w:eastAsia="黑体" w:cs="黑体"/>
          <w:bCs/>
          <w:color w:val="auto"/>
          <w:sz w:val="32"/>
          <w:szCs w:val="32"/>
          <w:highlight w:val="none"/>
          <w:shd w:val="clear" w:color="auto" w:fill="auto"/>
        </w:rPr>
        <w:br w:type="page"/>
      </w:r>
      <w:bookmarkStart w:id="101" w:name="_Toc23695"/>
      <w:r>
        <w:rPr>
          <w:rFonts w:hint="eastAsia" w:ascii="黑体" w:hAnsi="黑体" w:eastAsia="黑体" w:cs="黑体"/>
          <w:bCs/>
          <w:color w:val="auto"/>
          <w:sz w:val="32"/>
          <w:szCs w:val="32"/>
          <w:highlight w:val="none"/>
          <w:shd w:val="clear" w:color="auto" w:fill="auto"/>
        </w:rPr>
        <w:t>第六章 补充条款</w:t>
      </w:r>
      <w:bookmarkEnd w:id="99"/>
      <w:bookmarkEnd w:id="100"/>
      <w:bookmarkEnd w:id="101"/>
    </w:p>
    <w:p>
      <w:pPr>
        <w:jc w:val="center"/>
        <w:rPr>
          <w:b/>
          <w:bCs/>
          <w:color w:val="auto"/>
          <w:highlight w:val="none"/>
          <w:shd w:val="clear" w:color="auto" w:fill="auto"/>
        </w:rPr>
      </w:pPr>
      <w:bookmarkStart w:id="102" w:name="_Toc22054"/>
      <w:bookmarkStart w:id="103" w:name="_Toc8104"/>
    </w:p>
    <w:p>
      <w:pPr>
        <w:spacing w:line="360" w:lineRule="auto"/>
        <w:rPr>
          <w:rFonts w:asciiTheme="minorEastAsia" w:hAnsiTheme="minorEastAsia" w:eastAsiaTheme="minorEastAsia" w:cstheme="minorEastAsia"/>
          <w:color w:val="auto"/>
          <w:sz w:val="24"/>
          <w:szCs w:val="24"/>
          <w:highlight w:val="none"/>
          <w:shd w:val="clear" w:color="auto" w:fill="auto"/>
        </w:rPr>
      </w:pPr>
      <w:r>
        <w:rPr>
          <w:rFonts w:hint="eastAsia" w:ascii="宋体" w:hAnsi="宋体" w:cs="宋体"/>
          <w:b/>
          <w:bCs/>
          <w:color w:val="auto"/>
          <w:highlight w:val="none"/>
          <w:shd w:val="clear" w:color="auto" w:fill="auto"/>
        </w:rPr>
        <w:t>说明：为了避免投标人邮递快递的时间，建议投标时单独携带《协议》6份</w:t>
      </w:r>
      <w:bookmarkEnd w:id="102"/>
      <w:bookmarkEnd w:id="103"/>
      <w:r>
        <w:rPr>
          <w:rFonts w:hint="eastAsia" w:asciiTheme="minorEastAsia" w:hAnsiTheme="minorEastAsia" w:eastAsiaTheme="minorEastAsia" w:cstheme="minorEastAsia"/>
          <w:color w:val="auto"/>
          <w:szCs w:val="21"/>
          <w:highlight w:val="none"/>
          <w:shd w:val="clear" w:color="auto" w:fill="auto"/>
        </w:rPr>
        <w:t>。</w:t>
      </w:r>
    </w:p>
    <w:sectPr>
      <w:headerReference r:id="rId8" w:type="default"/>
      <w:footerReference r:id="rId9" w:type="default"/>
      <w:pgSz w:w="12240" w:h="15840"/>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Segoe Print"/>
    <w:panose1 w:val="020F030202020403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r>
                      <w:rPr>
                        <w:rFonts w:hint="eastAsia"/>
                      </w:rPr>
                      <w:t xml:space="preserve"> —</w:t>
                    </w:r>
                  </w:p>
                </w:txbxContent>
              </v:textbox>
            </v:shape>
          </w:pict>
        </mc:Fallback>
      </mc:AlternateContent>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rPr>
          <w:rStyle w:val="26"/>
        </w:rPr>
        <w:footnoteRef/>
      </w:r>
      <w:r>
        <w:t xml:space="preserve"> </w:t>
      </w:r>
      <w:r>
        <w:rPr>
          <w:rFonts w:hint="eastAsia" w:ascii="宋体" w:hAnsi="宋体"/>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kern w:val="0"/>
      </w:rPr>
      <w:t>2023年度伊犁州重大动物疫病强制免疫用疫苗、常规动物疫病免疫用疫苗以及吡喹酮咀嚼片（犬驱虫药）采购项目招标文件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i/>
        <w:iCs/>
        <w:kern w:val="0"/>
      </w:rPr>
      <w:t xml:space="preserve">  </w:t>
    </w:r>
    <w:r>
      <w:rPr>
        <w:rFonts w:hint="eastAsia" w:ascii="宋体" w:hAnsi="宋体" w:cs="Arial"/>
        <w:kern w:val="0"/>
      </w:rPr>
      <w:t>伊犁州2022年动物疫病免疫疫苗（吡喹酮犬驱虫药）采购项目招标文件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F824"/>
    <w:multiLevelType w:val="singleLevel"/>
    <w:tmpl w:val="8670F824"/>
    <w:lvl w:ilvl="0" w:tentative="0">
      <w:start w:val="1"/>
      <w:numFmt w:val="chineseCounting"/>
      <w:suff w:val="space"/>
      <w:lvlText w:val="第%1部分"/>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0000000D"/>
    <w:multiLevelType w:val="multilevel"/>
    <w:tmpl w:val="0000000D"/>
    <w:lvl w:ilvl="0" w:tentative="0">
      <w:start w:val="1"/>
      <w:numFmt w:val="decimal"/>
      <w:pStyle w:val="7"/>
      <w:lvlText w:val="%1."/>
      <w:lvlJc w:val="left"/>
      <w:pPr>
        <w:tabs>
          <w:tab w:val="left" w:pos="780"/>
        </w:tabs>
        <w:ind w:left="78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53208E"/>
    <w:multiLevelType w:val="multilevel"/>
    <w:tmpl w:val="0053208E"/>
    <w:lvl w:ilvl="0" w:tentative="0">
      <w:start w:val="1"/>
      <w:numFmt w:val="decimal"/>
      <w:lvlText w:val="%1."/>
      <w:lvlJc w:val="left"/>
      <w:pPr>
        <w:ind w:left="1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96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705" w:hanging="322"/>
      </w:pPr>
      <w:rPr>
        <w:rFonts w:hint="default"/>
        <w:lang w:val="zh-CN" w:eastAsia="zh-CN" w:bidi="zh-CN"/>
      </w:rPr>
    </w:lvl>
    <w:lvl w:ilvl="4" w:tentative="0">
      <w:start w:val="0"/>
      <w:numFmt w:val="bullet"/>
      <w:lvlText w:val="•"/>
      <w:lvlJc w:val="left"/>
      <w:pPr>
        <w:ind w:left="3574" w:hanging="322"/>
      </w:pPr>
      <w:rPr>
        <w:rFonts w:hint="default"/>
        <w:lang w:val="zh-CN" w:eastAsia="zh-CN" w:bidi="zh-CN"/>
      </w:rPr>
    </w:lvl>
    <w:lvl w:ilvl="5" w:tentative="0">
      <w:start w:val="0"/>
      <w:numFmt w:val="bullet"/>
      <w:lvlText w:val="•"/>
      <w:lvlJc w:val="left"/>
      <w:pPr>
        <w:ind w:left="4443" w:hanging="322"/>
      </w:pPr>
      <w:rPr>
        <w:rFonts w:hint="default"/>
        <w:lang w:val="zh-CN" w:eastAsia="zh-CN" w:bidi="zh-CN"/>
      </w:rPr>
    </w:lvl>
    <w:lvl w:ilvl="6" w:tentative="0">
      <w:start w:val="0"/>
      <w:numFmt w:val="bullet"/>
      <w:lvlText w:val="•"/>
      <w:lvlJc w:val="left"/>
      <w:pPr>
        <w:ind w:left="5311" w:hanging="322"/>
      </w:pPr>
      <w:rPr>
        <w:rFonts w:hint="default"/>
        <w:lang w:val="zh-CN" w:eastAsia="zh-CN" w:bidi="zh-CN"/>
      </w:rPr>
    </w:lvl>
    <w:lvl w:ilvl="7" w:tentative="0">
      <w:start w:val="0"/>
      <w:numFmt w:val="bullet"/>
      <w:lvlText w:val="•"/>
      <w:lvlJc w:val="left"/>
      <w:pPr>
        <w:ind w:left="6180" w:hanging="322"/>
      </w:pPr>
      <w:rPr>
        <w:rFonts w:hint="default"/>
        <w:lang w:val="zh-CN" w:eastAsia="zh-CN" w:bidi="zh-CN"/>
      </w:rPr>
    </w:lvl>
    <w:lvl w:ilvl="8" w:tentative="0">
      <w:start w:val="0"/>
      <w:numFmt w:val="bullet"/>
      <w:lvlText w:val="•"/>
      <w:lvlJc w:val="left"/>
      <w:pPr>
        <w:ind w:left="7048" w:hanging="322"/>
      </w:pPr>
      <w:rPr>
        <w:rFonts w:hint="default"/>
        <w:lang w:val="zh-CN" w:eastAsia="zh-CN" w:bidi="zh-CN"/>
      </w:rPr>
    </w:lvl>
  </w:abstractNum>
  <w:abstractNum w:abstractNumId="4">
    <w:nsid w:val="30EE4C8E"/>
    <w:multiLevelType w:val="singleLevel"/>
    <w:tmpl w:val="30EE4C8E"/>
    <w:lvl w:ilvl="0" w:tentative="0">
      <w:start w:val="5"/>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N2Y3ZjE2NzQ0NmJkNjFjZTM3MWRmZWRmNDIwMWQifQ=="/>
  </w:docVars>
  <w:rsids>
    <w:rsidRoot w:val="00C67C9F"/>
    <w:rsid w:val="00000C4A"/>
    <w:rsid w:val="00013D02"/>
    <w:rsid w:val="00016059"/>
    <w:rsid w:val="00017B26"/>
    <w:rsid w:val="000265C9"/>
    <w:rsid w:val="0002747F"/>
    <w:rsid w:val="0004117E"/>
    <w:rsid w:val="00044121"/>
    <w:rsid w:val="000552F8"/>
    <w:rsid w:val="0007746B"/>
    <w:rsid w:val="00081F04"/>
    <w:rsid w:val="000A443F"/>
    <w:rsid w:val="000A6437"/>
    <w:rsid w:val="000B07CB"/>
    <w:rsid w:val="000B1BCA"/>
    <w:rsid w:val="000C60C4"/>
    <w:rsid w:val="000D59F6"/>
    <w:rsid w:val="000E50D9"/>
    <w:rsid w:val="000E6925"/>
    <w:rsid w:val="000E75A6"/>
    <w:rsid w:val="000F0E5F"/>
    <w:rsid w:val="000F4529"/>
    <w:rsid w:val="00101476"/>
    <w:rsid w:val="00104F0E"/>
    <w:rsid w:val="00112D53"/>
    <w:rsid w:val="0011339D"/>
    <w:rsid w:val="0011350A"/>
    <w:rsid w:val="00113FB3"/>
    <w:rsid w:val="001165BA"/>
    <w:rsid w:val="00121395"/>
    <w:rsid w:val="00123006"/>
    <w:rsid w:val="00127039"/>
    <w:rsid w:val="001465C2"/>
    <w:rsid w:val="001535FF"/>
    <w:rsid w:val="00153D3A"/>
    <w:rsid w:val="00163DC1"/>
    <w:rsid w:val="00170533"/>
    <w:rsid w:val="00171B0A"/>
    <w:rsid w:val="001978E3"/>
    <w:rsid w:val="001A04A2"/>
    <w:rsid w:val="001A1AA6"/>
    <w:rsid w:val="001A4EBD"/>
    <w:rsid w:val="001B3DEC"/>
    <w:rsid w:val="001C53DF"/>
    <w:rsid w:val="001D3EDB"/>
    <w:rsid w:val="001D42F4"/>
    <w:rsid w:val="00206FDA"/>
    <w:rsid w:val="002310EA"/>
    <w:rsid w:val="00232515"/>
    <w:rsid w:val="00235CF8"/>
    <w:rsid w:val="00250293"/>
    <w:rsid w:val="00252919"/>
    <w:rsid w:val="00255D6D"/>
    <w:rsid w:val="00277E5F"/>
    <w:rsid w:val="0029029F"/>
    <w:rsid w:val="00293A42"/>
    <w:rsid w:val="002A24D7"/>
    <w:rsid w:val="002A2B0B"/>
    <w:rsid w:val="002A6CF1"/>
    <w:rsid w:val="002A7DF1"/>
    <w:rsid w:val="002B3E2B"/>
    <w:rsid w:val="002B50E0"/>
    <w:rsid w:val="002E153D"/>
    <w:rsid w:val="002E202D"/>
    <w:rsid w:val="002E47B0"/>
    <w:rsid w:val="002F319D"/>
    <w:rsid w:val="003118A5"/>
    <w:rsid w:val="003171C7"/>
    <w:rsid w:val="003173C0"/>
    <w:rsid w:val="00324C9B"/>
    <w:rsid w:val="003260AA"/>
    <w:rsid w:val="00326CC5"/>
    <w:rsid w:val="003442AD"/>
    <w:rsid w:val="00350B53"/>
    <w:rsid w:val="00351F7B"/>
    <w:rsid w:val="003542BB"/>
    <w:rsid w:val="00362173"/>
    <w:rsid w:val="00371D8D"/>
    <w:rsid w:val="00375915"/>
    <w:rsid w:val="00376178"/>
    <w:rsid w:val="00383922"/>
    <w:rsid w:val="00383B09"/>
    <w:rsid w:val="0039376E"/>
    <w:rsid w:val="00393A6E"/>
    <w:rsid w:val="003A4D51"/>
    <w:rsid w:val="003A6F6F"/>
    <w:rsid w:val="003A6FF2"/>
    <w:rsid w:val="003B116C"/>
    <w:rsid w:val="003B1C4E"/>
    <w:rsid w:val="003B297C"/>
    <w:rsid w:val="003B58E7"/>
    <w:rsid w:val="003E051B"/>
    <w:rsid w:val="00402BCF"/>
    <w:rsid w:val="0040339D"/>
    <w:rsid w:val="00404FD1"/>
    <w:rsid w:val="004179D4"/>
    <w:rsid w:val="00425D03"/>
    <w:rsid w:val="0043502E"/>
    <w:rsid w:val="00455C42"/>
    <w:rsid w:val="00475EA6"/>
    <w:rsid w:val="004A54B8"/>
    <w:rsid w:val="004A742C"/>
    <w:rsid w:val="004A78B7"/>
    <w:rsid w:val="004B427C"/>
    <w:rsid w:val="004B5034"/>
    <w:rsid w:val="004C09D7"/>
    <w:rsid w:val="004C0EF3"/>
    <w:rsid w:val="004C3C5F"/>
    <w:rsid w:val="004C7A43"/>
    <w:rsid w:val="004E1047"/>
    <w:rsid w:val="004E18FC"/>
    <w:rsid w:val="00505BB2"/>
    <w:rsid w:val="00506508"/>
    <w:rsid w:val="00506AB0"/>
    <w:rsid w:val="0050710E"/>
    <w:rsid w:val="00511641"/>
    <w:rsid w:val="0051343F"/>
    <w:rsid w:val="005202F8"/>
    <w:rsid w:val="00526A4B"/>
    <w:rsid w:val="00546C46"/>
    <w:rsid w:val="00561451"/>
    <w:rsid w:val="00564FAF"/>
    <w:rsid w:val="00575FD2"/>
    <w:rsid w:val="00582179"/>
    <w:rsid w:val="0058407F"/>
    <w:rsid w:val="00585911"/>
    <w:rsid w:val="005B004E"/>
    <w:rsid w:val="005C37DC"/>
    <w:rsid w:val="005D6981"/>
    <w:rsid w:val="005E2009"/>
    <w:rsid w:val="005E26FE"/>
    <w:rsid w:val="005E515B"/>
    <w:rsid w:val="005F199A"/>
    <w:rsid w:val="005F2C8E"/>
    <w:rsid w:val="006017F4"/>
    <w:rsid w:val="00613FA5"/>
    <w:rsid w:val="00614DAA"/>
    <w:rsid w:val="00626CEA"/>
    <w:rsid w:val="0063062A"/>
    <w:rsid w:val="00633BB2"/>
    <w:rsid w:val="00643B3D"/>
    <w:rsid w:val="0064655B"/>
    <w:rsid w:val="00666C30"/>
    <w:rsid w:val="0067394F"/>
    <w:rsid w:val="006A2471"/>
    <w:rsid w:val="006A33A5"/>
    <w:rsid w:val="006A508E"/>
    <w:rsid w:val="006B6B64"/>
    <w:rsid w:val="006D08D3"/>
    <w:rsid w:val="006D2329"/>
    <w:rsid w:val="006D6FD6"/>
    <w:rsid w:val="006E7342"/>
    <w:rsid w:val="006F0663"/>
    <w:rsid w:val="006F0AC6"/>
    <w:rsid w:val="006F1BE4"/>
    <w:rsid w:val="0070210C"/>
    <w:rsid w:val="00710F62"/>
    <w:rsid w:val="00733382"/>
    <w:rsid w:val="007426F9"/>
    <w:rsid w:val="00742BFD"/>
    <w:rsid w:val="0074379D"/>
    <w:rsid w:val="00750AB9"/>
    <w:rsid w:val="0076121D"/>
    <w:rsid w:val="007659A6"/>
    <w:rsid w:val="00767A15"/>
    <w:rsid w:val="007714BE"/>
    <w:rsid w:val="00775DF0"/>
    <w:rsid w:val="00777C78"/>
    <w:rsid w:val="007859AB"/>
    <w:rsid w:val="007B2C24"/>
    <w:rsid w:val="007B4635"/>
    <w:rsid w:val="007C0C5E"/>
    <w:rsid w:val="007E5578"/>
    <w:rsid w:val="007F1FBD"/>
    <w:rsid w:val="007F4E3A"/>
    <w:rsid w:val="0080325F"/>
    <w:rsid w:val="00816311"/>
    <w:rsid w:val="00824C00"/>
    <w:rsid w:val="00845462"/>
    <w:rsid w:val="00846CC8"/>
    <w:rsid w:val="00852931"/>
    <w:rsid w:val="00865A74"/>
    <w:rsid w:val="00867988"/>
    <w:rsid w:val="0087098E"/>
    <w:rsid w:val="00871C15"/>
    <w:rsid w:val="008810FF"/>
    <w:rsid w:val="00883A5B"/>
    <w:rsid w:val="008924DF"/>
    <w:rsid w:val="00892AEE"/>
    <w:rsid w:val="0089319E"/>
    <w:rsid w:val="008C3092"/>
    <w:rsid w:val="008C7340"/>
    <w:rsid w:val="009123D7"/>
    <w:rsid w:val="0091268B"/>
    <w:rsid w:val="00934DE5"/>
    <w:rsid w:val="00937D63"/>
    <w:rsid w:val="00941E7F"/>
    <w:rsid w:val="00943E28"/>
    <w:rsid w:val="00944818"/>
    <w:rsid w:val="009650CE"/>
    <w:rsid w:val="00982B13"/>
    <w:rsid w:val="00986A4A"/>
    <w:rsid w:val="00990764"/>
    <w:rsid w:val="009B2D7D"/>
    <w:rsid w:val="009B3D35"/>
    <w:rsid w:val="009C07CD"/>
    <w:rsid w:val="009C2928"/>
    <w:rsid w:val="009D53E0"/>
    <w:rsid w:val="009D5FFE"/>
    <w:rsid w:val="009D79BA"/>
    <w:rsid w:val="009F471A"/>
    <w:rsid w:val="00A23C0D"/>
    <w:rsid w:val="00A35A72"/>
    <w:rsid w:val="00A40247"/>
    <w:rsid w:val="00A43AD8"/>
    <w:rsid w:val="00A52EBE"/>
    <w:rsid w:val="00A5482E"/>
    <w:rsid w:val="00A60BFE"/>
    <w:rsid w:val="00A610BD"/>
    <w:rsid w:val="00A66E20"/>
    <w:rsid w:val="00A6733A"/>
    <w:rsid w:val="00A71B60"/>
    <w:rsid w:val="00A721D8"/>
    <w:rsid w:val="00A82D66"/>
    <w:rsid w:val="00AB1178"/>
    <w:rsid w:val="00AB6E61"/>
    <w:rsid w:val="00AE081C"/>
    <w:rsid w:val="00AE4E5E"/>
    <w:rsid w:val="00AF361A"/>
    <w:rsid w:val="00AF460F"/>
    <w:rsid w:val="00B24CA1"/>
    <w:rsid w:val="00B34A1A"/>
    <w:rsid w:val="00B873FD"/>
    <w:rsid w:val="00B97C0C"/>
    <w:rsid w:val="00BB5004"/>
    <w:rsid w:val="00BC1478"/>
    <w:rsid w:val="00BC2278"/>
    <w:rsid w:val="00BC533D"/>
    <w:rsid w:val="00BC6501"/>
    <w:rsid w:val="00BC69C4"/>
    <w:rsid w:val="00BD0A5D"/>
    <w:rsid w:val="00BE795D"/>
    <w:rsid w:val="00BF4035"/>
    <w:rsid w:val="00BF69F1"/>
    <w:rsid w:val="00BF7C49"/>
    <w:rsid w:val="00C03B5B"/>
    <w:rsid w:val="00C11380"/>
    <w:rsid w:val="00C150C7"/>
    <w:rsid w:val="00C21201"/>
    <w:rsid w:val="00C22694"/>
    <w:rsid w:val="00C25662"/>
    <w:rsid w:val="00C27684"/>
    <w:rsid w:val="00C30117"/>
    <w:rsid w:val="00C4042A"/>
    <w:rsid w:val="00C649A9"/>
    <w:rsid w:val="00C66D03"/>
    <w:rsid w:val="00C67C9F"/>
    <w:rsid w:val="00C757C4"/>
    <w:rsid w:val="00C951D5"/>
    <w:rsid w:val="00CA4F5C"/>
    <w:rsid w:val="00CC0527"/>
    <w:rsid w:val="00CC67DC"/>
    <w:rsid w:val="00CD175E"/>
    <w:rsid w:val="00CE1C76"/>
    <w:rsid w:val="00CE41D5"/>
    <w:rsid w:val="00CF4EDC"/>
    <w:rsid w:val="00D0190C"/>
    <w:rsid w:val="00D040D7"/>
    <w:rsid w:val="00D1015B"/>
    <w:rsid w:val="00D160D5"/>
    <w:rsid w:val="00D20713"/>
    <w:rsid w:val="00D22F7D"/>
    <w:rsid w:val="00D27A6B"/>
    <w:rsid w:val="00D330BF"/>
    <w:rsid w:val="00D37782"/>
    <w:rsid w:val="00D44775"/>
    <w:rsid w:val="00D46B1D"/>
    <w:rsid w:val="00D62A3D"/>
    <w:rsid w:val="00D62F54"/>
    <w:rsid w:val="00D62F9D"/>
    <w:rsid w:val="00D66F99"/>
    <w:rsid w:val="00DA3D66"/>
    <w:rsid w:val="00DC58B0"/>
    <w:rsid w:val="00DD3DB4"/>
    <w:rsid w:val="00DE038F"/>
    <w:rsid w:val="00DE6FDB"/>
    <w:rsid w:val="00DF2643"/>
    <w:rsid w:val="00E00EED"/>
    <w:rsid w:val="00E011D0"/>
    <w:rsid w:val="00E218D0"/>
    <w:rsid w:val="00E24F75"/>
    <w:rsid w:val="00E272E8"/>
    <w:rsid w:val="00E400E2"/>
    <w:rsid w:val="00E52BE1"/>
    <w:rsid w:val="00E605E1"/>
    <w:rsid w:val="00E63207"/>
    <w:rsid w:val="00E6692E"/>
    <w:rsid w:val="00E70CD1"/>
    <w:rsid w:val="00E776E4"/>
    <w:rsid w:val="00E851BB"/>
    <w:rsid w:val="00E90F96"/>
    <w:rsid w:val="00E93FF5"/>
    <w:rsid w:val="00E973E4"/>
    <w:rsid w:val="00EB7A2E"/>
    <w:rsid w:val="00EC678A"/>
    <w:rsid w:val="00ED25D6"/>
    <w:rsid w:val="00F00B60"/>
    <w:rsid w:val="00F02A8D"/>
    <w:rsid w:val="00F1391A"/>
    <w:rsid w:val="00F144FE"/>
    <w:rsid w:val="00F23612"/>
    <w:rsid w:val="00F23B96"/>
    <w:rsid w:val="00F308CB"/>
    <w:rsid w:val="00F30D17"/>
    <w:rsid w:val="00F33B15"/>
    <w:rsid w:val="00F6746A"/>
    <w:rsid w:val="00F850F3"/>
    <w:rsid w:val="00FA490A"/>
    <w:rsid w:val="00FA620C"/>
    <w:rsid w:val="00FB1E72"/>
    <w:rsid w:val="00FC07BA"/>
    <w:rsid w:val="00FE0DF5"/>
    <w:rsid w:val="01106E57"/>
    <w:rsid w:val="01156984"/>
    <w:rsid w:val="01323CE1"/>
    <w:rsid w:val="01675578"/>
    <w:rsid w:val="016E2F6B"/>
    <w:rsid w:val="016F2883"/>
    <w:rsid w:val="01746304"/>
    <w:rsid w:val="017B3E79"/>
    <w:rsid w:val="017F5D69"/>
    <w:rsid w:val="01AC0DBD"/>
    <w:rsid w:val="01C26EF9"/>
    <w:rsid w:val="01CF7B30"/>
    <w:rsid w:val="01D0713C"/>
    <w:rsid w:val="01D36FDF"/>
    <w:rsid w:val="02214C05"/>
    <w:rsid w:val="0250441F"/>
    <w:rsid w:val="025232AE"/>
    <w:rsid w:val="02624F82"/>
    <w:rsid w:val="027438FD"/>
    <w:rsid w:val="027C6319"/>
    <w:rsid w:val="027D248A"/>
    <w:rsid w:val="02BF017A"/>
    <w:rsid w:val="02D05652"/>
    <w:rsid w:val="03142E6D"/>
    <w:rsid w:val="03204F67"/>
    <w:rsid w:val="0336442F"/>
    <w:rsid w:val="033C0578"/>
    <w:rsid w:val="034867F5"/>
    <w:rsid w:val="037D76E5"/>
    <w:rsid w:val="03862072"/>
    <w:rsid w:val="03AC6FB5"/>
    <w:rsid w:val="03AD0EA7"/>
    <w:rsid w:val="03B56022"/>
    <w:rsid w:val="03FC58EC"/>
    <w:rsid w:val="04087093"/>
    <w:rsid w:val="042B3F46"/>
    <w:rsid w:val="045811A3"/>
    <w:rsid w:val="04671181"/>
    <w:rsid w:val="04726EBD"/>
    <w:rsid w:val="04762336"/>
    <w:rsid w:val="047C1BC0"/>
    <w:rsid w:val="049D3B84"/>
    <w:rsid w:val="04D8063D"/>
    <w:rsid w:val="04DF34EE"/>
    <w:rsid w:val="04FC74A2"/>
    <w:rsid w:val="051F32C6"/>
    <w:rsid w:val="052F0EC2"/>
    <w:rsid w:val="05760974"/>
    <w:rsid w:val="059C24DE"/>
    <w:rsid w:val="059E270D"/>
    <w:rsid w:val="05B34A99"/>
    <w:rsid w:val="05B61068"/>
    <w:rsid w:val="05C77EFD"/>
    <w:rsid w:val="05E037A1"/>
    <w:rsid w:val="05E42351"/>
    <w:rsid w:val="05FF5386"/>
    <w:rsid w:val="060379FA"/>
    <w:rsid w:val="06257AF4"/>
    <w:rsid w:val="065339FA"/>
    <w:rsid w:val="066D40F0"/>
    <w:rsid w:val="06911475"/>
    <w:rsid w:val="06A05B53"/>
    <w:rsid w:val="06B56A05"/>
    <w:rsid w:val="06D817FA"/>
    <w:rsid w:val="06DC153A"/>
    <w:rsid w:val="06E21933"/>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AF0A47"/>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9472F"/>
    <w:rsid w:val="0A7B0640"/>
    <w:rsid w:val="0A8E01DA"/>
    <w:rsid w:val="0AAB6A92"/>
    <w:rsid w:val="0AB106BD"/>
    <w:rsid w:val="0AE2150B"/>
    <w:rsid w:val="0B1E5812"/>
    <w:rsid w:val="0B290DCA"/>
    <w:rsid w:val="0B324E4B"/>
    <w:rsid w:val="0B58174C"/>
    <w:rsid w:val="0B6866B1"/>
    <w:rsid w:val="0B6F58DE"/>
    <w:rsid w:val="0BB24931"/>
    <w:rsid w:val="0BBA37C2"/>
    <w:rsid w:val="0BBE153E"/>
    <w:rsid w:val="0C154502"/>
    <w:rsid w:val="0C2C334D"/>
    <w:rsid w:val="0C4542D5"/>
    <w:rsid w:val="0C667328"/>
    <w:rsid w:val="0C7049B7"/>
    <w:rsid w:val="0C8002E9"/>
    <w:rsid w:val="0C8F1898"/>
    <w:rsid w:val="0CC31F1E"/>
    <w:rsid w:val="0CE5606D"/>
    <w:rsid w:val="0CF54541"/>
    <w:rsid w:val="0D067720"/>
    <w:rsid w:val="0D0C3CC2"/>
    <w:rsid w:val="0D264C2F"/>
    <w:rsid w:val="0D282311"/>
    <w:rsid w:val="0D2F258C"/>
    <w:rsid w:val="0D340656"/>
    <w:rsid w:val="0D5A5F09"/>
    <w:rsid w:val="0D5F19D9"/>
    <w:rsid w:val="0D613D74"/>
    <w:rsid w:val="0D6B1C3D"/>
    <w:rsid w:val="0D8526E6"/>
    <w:rsid w:val="0D8E70CB"/>
    <w:rsid w:val="0D945DBF"/>
    <w:rsid w:val="0D963A03"/>
    <w:rsid w:val="0DB167B4"/>
    <w:rsid w:val="0DD43451"/>
    <w:rsid w:val="0E00610A"/>
    <w:rsid w:val="0E431DCF"/>
    <w:rsid w:val="0E436A73"/>
    <w:rsid w:val="0E5139F9"/>
    <w:rsid w:val="0E542C78"/>
    <w:rsid w:val="0E7E2C97"/>
    <w:rsid w:val="0EA07951"/>
    <w:rsid w:val="0EB72779"/>
    <w:rsid w:val="0EBB70C4"/>
    <w:rsid w:val="0ED415EF"/>
    <w:rsid w:val="0EDA10D3"/>
    <w:rsid w:val="0EE652FC"/>
    <w:rsid w:val="0F45459B"/>
    <w:rsid w:val="0F472617"/>
    <w:rsid w:val="0F5B3242"/>
    <w:rsid w:val="0F7435BB"/>
    <w:rsid w:val="0F831B4B"/>
    <w:rsid w:val="0F843BE6"/>
    <w:rsid w:val="0F844F80"/>
    <w:rsid w:val="0FA455C1"/>
    <w:rsid w:val="0FEB1AD9"/>
    <w:rsid w:val="0FFC7994"/>
    <w:rsid w:val="10100090"/>
    <w:rsid w:val="101C0CE5"/>
    <w:rsid w:val="103030D9"/>
    <w:rsid w:val="105A5073"/>
    <w:rsid w:val="107C2DE4"/>
    <w:rsid w:val="107F2A10"/>
    <w:rsid w:val="1081031F"/>
    <w:rsid w:val="109B3FCF"/>
    <w:rsid w:val="113F379D"/>
    <w:rsid w:val="1144473C"/>
    <w:rsid w:val="11561999"/>
    <w:rsid w:val="11A535C5"/>
    <w:rsid w:val="11BF5164"/>
    <w:rsid w:val="12101FDE"/>
    <w:rsid w:val="12175551"/>
    <w:rsid w:val="122B4ED6"/>
    <w:rsid w:val="122D1FFC"/>
    <w:rsid w:val="125735A8"/>
    <w:rsid w:val="12910975"/>
    <w:rsid w:val="12BF1302"/>
    <w:rsid w:val="12C62515"/>
    <w:rsid w:val="12D13364"/>
    <w:rsid w:val="12F37B7D"/>
    <w:rsid w:val="1305572E"/>
    <w:rsid w:val="131D31DF"/>
    <w:rsid w:val="13493743"/>
    <w:rsid w:val="137A4B8E"/>
    <w:rsid w:val="138E5777"/>
    <w:rsid w:val="13921104"/>
    <w:rsid w:val="13C86586"/>
    <w:rsid w:val="13D058DD"/>
    <w:rsid w:val="13F63697"/>
    <w:rsid w:val="13FE1599"/>
    <w:rsid w:val="1416258D"/>
    <w:rsid w:val="141E69D6"/>
    <w:rsid w:val="1480253B"/>
    <w:rsid w:val="14B972A1"/>
    <w:rsid w:val="15185746"/>
    <w:rsid w:val="151B0DE8"/>
    <w:rsid w:val="154C2C72"/>
    <w:rsid w:val="157674B2"/>
    <w:rsid w:val="15AD65AB"/>
    <w:rsid w:val="15B903FF"/>
    <w:rsid w:val="15CA22E2"/>
    <w:rsid w:val="15CE3113"/>
    <w:rsid w:val="15ED36E4"/>
    <w:rsid w:val="160E35F4"/>
    <w:rsid w:val="161552A7"/>
    <w:rsid w:val="161E3C5E"/>
    <w:rsid w:val="162C5D78"/>
    <w:rsid w:val="16337568"/>
    <w:rsid w:val="164237B1"/>
    <w:rsid w:val="167D072F"/>
    <w:rsid w:val="16A10A6C"/>
    <w:rsid w:val="16C74C50"/>
    <w:rsid w:val="16FC7116"/>
    <w:rsid w:val="1709242E"/>
    <w:rsid w:val="17173EF7"/>
    <w:rsid w:val="172E54EC"/>
    <w:rsid w:val="173E329D"/>
    <w:rsid w:val="17895948"/>
    <w:rsid w:val="17BE2ADE"/>
    <w:rsid w:val="17D03681"/>
    <w:rsid w:val="17E665A0"/>
    <w:rsid w:val="17F200CF"/>
    <w:rsid w:val="1821268E"/>
    <w:rsid w:val="18241F60"/>
    <w:rsid w:val="185B2BD4"/>
    <w:rsid w:val="189B4425"/>
    <w:rsid w:val="189B6EDC"/>
    <w:rsid w:val="18A25957"/>
    <w:rsid w:val="18F643B4"/>
    <w:rsid w:val="18F739E8"/>
    <w:rsid w:val="19147FC6"/>
    <w:rsid w:val="19293523"/>
    <w:rsid w:val="19324B06"/>
    <w:rsid w:val="198C73FE"/>
    <w:rsid w:val="1991446C"/>
    <w:rsid w:val="19B0572A"/>
    <w:rsid w:val="19B90620"/>
    <w:rsid w:val="1A3B0906"/>
    <w:rsid w:val="1A4904D7"/>
    <w:rsid w:val="1AD77FAB"/>
    <w:rsid w:val="1AEB473F"/>
    <w:rsid w:val="1AF11A33"/>
    <w:rsid w:val="1B002F23"/>
    <w:rsid w:val="1B0B2872"/>
    <w:rsid w:val="1B101DBF"/>
    <w:rsid w:val="1B431B24"/>
    <w:rsid w:val="1B5C1B76"/>
    <w:rsid w:val="1B6D7998"/>
    <w:rsid w:val="1B89698E"/>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794BEE"/>
    <w:rsid w:val="1D896722"/>
    <w:rsid w:val="1D8A5D9D"/>
    <w:rsid w:val="1D8C6352"/>
    <w:rsid w:val="1DB00EF5"/>
    <w:rsid w:val="1DB03BC0"/>
    <w:rsid w:val="1DB55A44"/>
    <w:rsid w:val="1DE55B4B"/>
    <w:rsid w:val="1DEC5119"/>
    <w:rsid w:val="1E173DC0"/>
    <w:rsid w:val="1E390D6A"/>
    <w:rsid w:val="1E411D77"/>
    <w:rsid w:val="1EB35418"/>
    <w:rsid w:val="1ECA3FF8"/>
    <w:rsid w:val="1EE66CDE"/>
    <w:rsid w:val="1F0422E7"/>
    <w:rsid w:val="1F232EC8"/>
    <w:rsid w:val="1F455F2A"/>
    <w:rsid w:val="1F6C1473"/>
    <w:rsid w:val="1F9279CD"/>
    <w:rsid w:val="1FC06F13"/>
    <w:rsid w:val="1FDF1A00"/>
    <w:rsid w:val="1FE556C1"/>
    <w:rsid w:val="20357E1D"/>
    <w:rsid w:val="203D60C2"/>
    <w:rsid w:val="20621A95"/>
    <w:rsid w:val="2089543C"/>
    <w:rsid w:val="209E23A2"/>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DE27E2"/>
    <w:rsid w:val="23E558BC"/>
    <w:rsid w:val="241C0080"/>
    <w:rsid w:val="241C7EAF"/>
    <w:rsid w:val="24245BA0"/>
    <w:rsid w:val="243E799E"/>
    <w:rsid w:val="24557229"/>
    <w:rsid w:val="24942581"/>
    <w:rsid w:val="24AA3DF1"/>
    <w:rsid w:val="24B74FEF"/>
    <w:rsid w:val="24EA7A0E"/>
    <w:rsid w:val="25296017"/>
    <w:rsid w:val="252E63EA"/>
    <w:rsid w:val="25581892"/>
    <w:rsid w:val="255B5238"/>
    <w:rsid w:val="257123C9"/>
    <w:rsid w:val="25B21AA2"/>
    <w:rsid w:val="25C16138"/>
    <w:rsid w:val="25D0323A"/>
    <w:rsid w:val="26272A0F"/>
    <w:rsid w:val="264F0C79"/>
    <w:rsid w:val="265040D3"/>
    <w:rsid w:val="268728BA"/>
    <w:rsid w:val="269E7CA7"/>
    <w:rsid w:val="26A75422"/>
    <w:rsid w:val="26BA6AF7"/>
    <w:rsid w:val="26D8294A"/>
    <w:rsid w:val="26D82DD5"/>
    <w:rsid w:val="26EB005C"/>
    <w:rsid w:val="27250246"/>
    <w:rsid w:val="275935A3"/>
    <w:rsid w:val="276C4254"/>
    <w:rsid w:val="278063CA"/>
    <w:rsid w:val="279055BE"/>
    <w:rsid w:val="27D16BFF"/>
    <w:rsid w:val="27F028AD"/>
    <w:rsid w:val="27F43717"/>
    <w:rsid w:val="27FB3EBE"/>
    <w:rsid w:val="28680229"/>
    <w:rsid w:val="287773A2"/>
    <w:rsid w:val="28AC6BA3"/>
    <w:rsid w:val="28BF0170"/>
    <w:rsid w:val="28C7226F"/>
    <w:rsid w:val="28FD74CF"/>
    <w:rsid w:val="290D08D7"/>
    <w:rsid w:val="292535BA"/>
    <w:rsid w:val="2934593E"/>
    <w:rsid w:val="29357264"/>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456A94"/>
    <w:rsid w:val="2B6255AF"/>
    <w:rsid w:val="2B683CD1"/>
    <w:rsid w:val="2B85187A"/>
    <w:rsid w:val="2B980E17"/>
    <w:rsid w:val="2BA50982"/>
    <w:rsid w:val="2BAD70C5"/>
    <w:rsid w:val="2BCD2592"/>
    <w:rsid w:val="2BE02379"/>
    <w:rsid w:val="2BFE5EF4"/>
    <w:rsid w:val="2C0954BB"/>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B6E04"/>
    <w:rsid w:val="2D2F47E1"/>
    <w:rsid w:val="2D3D4DCC"/>
    <w:rsid w:val="2D5C5ABE"/>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6F4444"/>
    <w:rsid w:val="2E871ECC"/>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0F06C49"/>
    <w:rsid w:val="310149B3"/>
    <w:rsid w:val="31073E58"/>
    <w:rsid w:val="310821F9"/>
    <w:rsid w:val="311F3C3E"/>
    <w:rsid w:val="31342A6B"/>
    <w:rsid w:val="31372458"/>
    <w:rsid w:val="314F6905"/>
    <w:rsid w:val="31565D8B"/>
    <w:rsid w:val="31BC1DAB"/>
    <w:rsid w:val="31CC10F8"/>
    <w:rsid w:val="31EC2C5D"/>
    <w:rsid w:val="31F16BA1"/>
    <w:rsid w:val="3204551A"/>
    <w:rsid w:val="320A08EE"/>
    <w:rsid w:val="322E55AD"/>
    <w:rsid w:val="32316B11"/>
    <w:rsid w:val="323B3057"/>
    <w:rsid w:val="32902485"/>
    <w:rsid w:val="32B15033"/>
    <w:rsid w:val="32C006E4"/>
    <w:rsid w:val="32C4038E"/>
    <w:rsid w:val="32DC4AA5"/>
    <w:rsid w:val="33154BA1"/>
    <w:rsid w:val="331C76A1"/>
    <w:rsid w:val="336F6231"/>
    <w:rsid w:val="337D4A67"/>
    <w:rsid w:val="337E3B25"/>
    <w:rsid w:val="33884F17"/>
    <w:rsid w:val="33B525C2"/>
    <w:rsid w:val="33D84DC7"/>
    <w:rsid w:val="34137C61"/>
    <w:rsid w:val="343B362F"/>
    <w:rsid w:val="34461F9D"/>
    <w:rsid w:val="34465BA7"/>
    <w:rsid w:val="3476000E"/>
    <w:rsid w:val="34827024"/>
    <w:rsid w:val="349037F8"/>
    <w:rsid w:val="349547C3"/>
    <w:rsid w:val="349C7FB4"/>
    <w:rsid w:val="35302754"/>
    <w:rsid w:val="353B1677"/>
    <w:rsid w:val="35604701"/>
    <w:rsid w:val="356367C8"/>
    <w:rsid w:val="3574422D"/>
    <w:rsid w:val="35971AF1"/>
    <w:rsid w:val="35AD1EA8"/>
    <w:rsid w:val="35E25229"/>
    <w:rsid w:val="35F871F3"/>
    <w:rsid w:val="36164594"/>
    <w:rsid w:val="362D39A7"/>
    <w:rsid w:val="363E48D6"/>
    <w:rsid w:val="36660C86"/>
    <w:rsid w:val="367C3368"/>
    <w:rsid w:val="36AD7624"/>
    <w:rsid w:val="373234FA"/>
    <w:rsid w:val="374372BC"/>
    <w:rsid w:val="375A24F7"/>
    <w:rsid w:val="375E6893"/>
    <w:rsid w:val="376917C0"/>
    <w:rsid w:val="37706493"/>
    <w:rsid w:val="377122F8"/>
    <w:rsid w:val="37730F13"/>
    <w:rsid w:val="377917C2"/>
    <w:rsid w:val="379209F4"/>
    <w:rsid w:val="37A903E4"/>
    <w:rsid w:val="37A95147"/>
    <w:rsid w:val="37B50A29"/>
    <w:rsid w:val="37BC5AD7"/>
    <w:rsid w:val="37BD2102"/>
    <w:rsid w:val="37C54DD6"/>
    <w:rsid w:val="37D92D67"/>
    <w:rsid w:val="37DD5071"/>
    <w:rsid w:val="37EE6761"/>
    <w:rsid w:val="37FD13F1"/>
    <w:rsid w:val="38042FDA"/>
    <w:rsid w:val="38312326"/>
    <w:rsid w:val="3867644C"/>
    <w:rsid w:val="386E71B7"/>
    <w:rsid w:val="388A37EC"/>
    <w:rsid w:val="389A37A0"/>
    <w:rsid w:val="38AE3429"/>
    <w:rsid w:val="38CB2A24"/>
    <w:rsid w:val="38D56010"/>
    <w:rsid w:val="38DB01DF"/>
    <w:rsid w:val="38E9076C"/>
    <w:rsid w:val="38F87876"/>
    <w:rsid w:val="38FC2D78"/>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2E5FCC"/>
    <w:rsid w:val="3A441736"/>
    <w:rsid w:val="3A4557BD"/>
    <w:rsid w:val="3A507090"/>
    <w:rsid w:val="3A51530F"/>
    <w:rsid w:val="3A807DDE"/>
    <w:rsid w:val="3A8706C8"/>
    <w:rsid w:val="3A955DA3"/>
    <w:rsid w:val="3A9B722D"/>
    <w:rsid w:val="3AA12683"/>
    <w:rsid w:val="3AE42A27"/>
    <w:rsid w:val="3AFF23EB"/>
    <w:rsid w:val="3B174552"/>
    <w:rsid w:val="3B4E0E3D"/>
    <w:rsid w:val="3B555025"/>
    <w:rsid w:val="3B845EA6"/>
    <w:rsid w:val="3B9F743A"/>
    <w:rsid w:val="3BAD1C48"/>
    <w:rsid w:val="3BB03962"/>
    <w:rsid w:val="3BDB2003"/>
    <w:rsid w:val="3BF34BAD"/>
    <w:rsid w:val="3C236322"/>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4366BC"/>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447EC3"/>
    <w:rsid w:val="41573F70"/>
    <w:rsid w:val="41637BB1"/>
    <w:rsid w:val="416C1EB7"/>
    <w:rsid w:val="4179482B"/>
    <w:rsid w:val="418A1810"/>
    <w:rsid w:val="419F0251"/>
    <w:rsid w:val="41EA6B56"/>
    <w:rsid w:val="420664AB"/>
    <w:rsid w:val="42551D52"/>
    <w:rsid w:val="426E1896"/>
    <w:rsid w:val="428731AA"/>
    <w:rsid w:val="42C02BBD"/>
    <w:rsid w:val="42CD1CE1"/>
    <w:rsid w:val="42F8798E"/>
    <w:rsid w:val="43017BB5"/>
    <w:rsid w:val="433C3887"/>
    <w:rsid w:val="434F7FAB"/>
    <w:rsid w:val="435D5BFA"/>
    <w:rsid w:val="43A15667"/>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71B75"/>
    <w:rsid w:val="45E317DE"/>
    <w:rsid w:val="45E3429F"/>
    <w:rsid w:val="45E9614C"/>
    <w:rsid w:val="45ED31E0"/>
    <w:rsid w:val="46161C7F"/>
    <w:rsid w:val="463026A7"/>
    <w:rsid w:val="463F7D21"/>
    <w:rsid w:val="46790A96"/>
    <w:rsid w:val="4681414C"/>
    <w:rsid w:val="46AF4380"/>
    <w:rsid w:val="46BD26B0"/>
    <w:rsid w:val="46DD0676"/>
    <w:rsid w:val="46FB3DCD"/>
    <w:rsid w:val="470D5A07"/>
    <w:rsid w:val="47222B1B"/>
    <w:rsid w:val="472342CC"/>
    <w:rsid w:val="47290AE7"/>
    <w:rsid w:val="47601C13"/>
    <w:rsid w:val="478F328D"/>
    <w:rsid w:val="479A34A1"/>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8FD5F50"/>
    <w:rsid w:val="4907057B"/>
    <w:rsid w:val="4913307D"/>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ED107B"/>
    <w:rsid w:val="4AED7796"/>
    <w:rsid w:val="4AFA30CF"/>
    <w:rsid w:val="4B1865C6"/>
    <w:rsid w:val="4B6D6ABD"/>
    <w:rsid w:val="4B7A06FF"/>
    <w:rsid w:val="4BAB3261"/>
    <w:rsid w:val="4BB636BA"/>
    <w:rsid w:val="4BBD0ABC"/>
    <w:rsid w:val="4BCA2348"/>
    <w:rsid w:val="4BFD7A97"/>
    <w:rsid w:val="4C63256E"/>
    <w:rsid w:val="4C7057D2"/>
    <w:rsid w:val="4CAA7E25"/>
    <w:rsid w:val="4CCD2F19"/>
    <w:rsid w:val="4D021D86"/>
    <w:rsid w:val="4D2F7A00"/>
    <w:rsid w:val="4D4308C0"/>
    <w:rsid w:val="4D813CFA"/>
    <w:rsid w:val="4D84763A"/>
    <w:rsid w:val="4DA8405E"/>
    <w:rsid w:val="4DC76EF1"/>
    <w:rsid w:val="4DD84F89"/>
    <w:rsid w:val="4DF04FA6"/>
    <w:rsid w:val="4E290428"/>
    <w:rsid w:val="4E6719F5"/>
    <w:rsid w:val="4E7073C0"/>
    <w:rsid w:val="4E851132"/>
    <w:rsid w:val="4EA658CB"/>
    <w:rsid w:val="4EBE41C8"/>
    <w:rsid w:val="4EE21C64"/>
    <w:rsid w:val="4F0015AD"/>
    <w:rsid w:val="4F3645E1"/>
    <w:rsid w:val="4F5A58EE"/>
    <w:rsid w:val="4F7C7BCE"/>
    <w:rsid w:val="4FA4231A"/>
    <w:rsid w:val="4FA62BB6"/>
    <w:rsid w:val="4FB66059"/>
    <w:rsid w:val="4FCD67B7"/>
    <w:rsid w:val="4FDA66A3"/>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00EE3"/>
    <w:rsid w:val="50A22EAD"/>
    <w:rsid w:val="50D343FC"/>
    <w:rsid w:val="50D4621C"/>
    <w:rsid w:val="50F153C9"/>
    <w:rsid w:val="50FA17DF"/>
    <w:rsid w:val="51056D79"/>
    <w:rsid w:val="511A3AE3"/>
    <w:rsid w:val="511F11FF"/>
    <w:rsid w:val="513678ED"/>
    <w:rsid w:val="513B51EB"/>
    <w:rsid w:val="5188636F"/>
    <w:rsid w:val="5197045D"/>
    <w:rsid w:val="51970AC5"/>
    <w:rsid w:val="51BB3923"/>
    <w:rsid w:val="51D10778"/>
    <w:rsid w:val="51EE17DC"/>
    <w:rsid w:val="521B2A92"/>
    <w:rsid w:val="521B2D82"/>
    <w:rsid w:val="52676B80"/>
    <w:rsid w:val="526B549B"/>
    <w:rsid w:val="52792BEC"/>
    <w:rsid w:val="52A76621"/>
    <w:rsid w:val="52D52A39"/>
    <w:rsid w:val="52E15F9A"/>
    <w:rsid w:val="52E8742D"/>
    <w:rsid w:val="52F2486D"/>
    <w:rsid w:val="530E6862"/>
    <w:rsid w:val="531D530A"/>
    <w:rsid w:val="532003D9"/>
    <w:rsid w:val="532066C0"/>
    <w:rsid w:val="534807CB"/>
    <w:rsid w:val="534D792A"/>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A0118"/>
    <w:rsid w:val="569D7901"/>
    <w:rsid w:val="56B43740"/>
    <w:rsid w:val="56C540F5"/>
    <w:rsid w:val="56CB31E9"/>
    <w:rsid w:val="56E1114B"/>
    <w:rsid w:val="56E76E34"/>
    <w:rsid w:val="56F47FC0"/>
    <w:rsid w:val="578247C7"/>
    <w:rsid w:val="579566CF"/>
    <w:rsid w:val="579A1AC9"/>
    <w:rsid w:val="579E14B9"/>
    <w:rsid w:val="57B30A5A"/>
    <w:rsid w:val="57BE6600"/>
    <w:rsid w:val="57DD54B1"/>
    <w:rsid w:val="581054B3"/>
    <w:rsid w:val="581126CD"/>
    <w:rsid w:val="581C482A"/>
    <w:rsid w:val="58223E7B"/>
    <w:rsid w:val="58262DCD"/>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35299B"/>
    <w:rsid w:val="5A627F0F"/>
    <w:rsid w:val="5A6C5092"/>
    <w:rsid w:val="5A9E34D8"/>
    <w:rsid w:val="5AE44379"/>
    <w:rsid w:val="5B0428BB"/>
    <w:rsid w:val="5B29547D"/>
    <w:rsid w:val="5B7D6B26"/>
    <w:rsid w:val="5B880AC3"/>
    <w:rsid w:val="5B9C6F02"/>
    <w:rsid w:val="5BA1201C"/>
    <w:rsid w:val="5BC33B7C"/>
    <w:rsid w:val="5BE03293"/>
    <w:rsid w:val="5C0B26B1"/>
    <w:rsid w:val="5C1F0533"/>
    <w:rsid w:val="5C436B5C"/>
    <w:rsid w:val="5C454781"/>
    <w:rsid w:val="5C6C4F5F"/>
    <w:rsid w:val="5C7A6F13"/>
    <w:rsid w:val="5C7B5C9C"/>
    <w:rsid w:val="5C812604"/>
    <w:rsid w:val="5C986AA2"/>
    <w:rsid w:val="5CA31920"/>
    <w:rsid w:val="5CC04A06"/>
    <w:rsid w:val="5CC50485"/>
    <w:rsid w:val="5CC5405A"/>
    <w:rsid w:val="5CFA58F8"/>
    <w:rsid w:val="5D1972E3"/>
    <w:rsid w:val="5D2F3B87"/>
    <w:rsid w:val="5D336975"/>
    <w:rsid w:val="5D3E33FD"/>
    <w:rsid w:val="5D4D6C2A"/>
    <w:rsid w:val="5D4E00D1"/>
    <w:rsid w:val="5D5E6B65"/>
    <w:rsid w:val="5D740DA8"/>
    <w:rsid w:val="5D832996"/>
    <w:rsid w:val="5D9216AD"/>
    <w:rsid w:val="5DA86797"/>
    <w:rsid w:val="5DEF5E51"/>
    <w:rsid w:val="5E3722FD"/>
    <w:rsid w:val="5E54028A"/>
    <w:rsid w:val="5E556635"/>
    <w:rsid w:val="5EAA4C4E"/>
    <w:rsid w:val="5EDA0C49"/>
    <w:rsid w:val="5EFB7879"/>
    <w:rsid w:val="5F016568"/>
    <w:rsid w:val="5F262932"/>
    <w:rsid w:val="5F3169A8"/>
    <w:rsid w:val="5F337623"/>
    <w:rsid w:val="5F5F3E3C"/>
    <w:rsid w:val="5F867D76"/>
    <w:rsid w:val="5F977DDA"/>
    <w:rsid w:val="5FB17EEA"/>
    <w:rsid w:val="5FB266B4"/>
    <w:rsid w:val="5FD32248"/>
    <w:rsid w:val="601B3175"/>
    <w:rsid w:val="6035574B"/>
    <w:rsid w:val="60507ABF"/>
    <w:rsid w:val="608E2C99"/>
    <w:rsid w:val="60D20BE4"/>
    <w:rsid w:val="60D46942"/>
    <w:rsid w:val="60D72667"/>
    <w:rsid w:val="60E049BA"/>
    <w:rsid w:val="60E60910"/>
    <w:rsid w:val="60F56EEB"/>
    <w:rsid w:val="60F82E2D"/>
    <w:rsid w:val="611B2E3D"/>
    <w:rsid w:val="613918D8"/>
    <w:rsid w:val="613A0F21"/>
    <w:rsid w:val="6167665B"/>
    <w:rsid w:val="616873AB"/>
    <w:rsid w:val="61757205"/>
    <w:rsid w:val="618025D5"/>
    <w:rsid w:val="61807082"/>
    <w:rsid w:val="619B4B27"/>
    <w:rsid w:val="61C3277F"/>
    <w:rsid w:val="61D26BB3"/>
    <w:rsid w:val="61DB038C"/>
    <w:rsid w:val="61FE5622"/>
    <w:rsid w:val="62163319"/>
    <w:rsid w:val="622203A8"/>
    <w:rsid w:val="6225234E"/>
    <w:rsid w:val="62314011"/>
    <w:rsid w:val="62486493"/>
    <w:rsid w:val="62875D3B"/>
    <w:rsid w:val="628B3739"/>
    <w:rsid w:val="62997A83"/>
    <w:rsid w:val="62B72861"/>
    <w:rsid w:val="62CA43D1"/>
    <w:rsid w:val="62F02C83"/>
    <w:rsid w:val="63125E12"/>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BA0FC0"/>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9EA1DC7"/>
    <w:rsid w:val="6A064026"/>
    <w:rsid w:val="6A075B9D"/>
    <w:rsid w:val="6A376AFA"/>
    <w:rsid w:val="6A752B2D"/>
    <w:rsid w:val="6A7F33DE"/>
    <w:rsid w:val="6A8010B0"/>
    <w:rsid w:val="6AAA31DD"/>
    <w:rsid w:val="6AAA3FB9"/>
    <w:rsid w:val="6AEB1FDF"/>
    <w:rsid w:val="6AEF0CDF"/>
    <w:rsid w:val="6AFA53B6"/>
    <w:rsid w:val="6AFD7B81"/>
    <w:rsid w:val="6B142282"/>
    <w:rsid w:val="6B4A4E86"/>
    <w:rsid w:val="6B4E1582"/>
    <w:rsid w:val="6B7554ED"/>
    <w:rsid w:val="6BB74590"/>
    <w:rsid w:val="6BC931EB"/>
    <w:rsid w:val="6BEC0F6F"/>
    <w:rsid w:val="6C0539D7"/>
    <w:rsid w:val="6C0D76BF"/>
    <w:rsid w:val="6C555FC0"/>
    <w:rsid w:val="6C845F7B"/>
    <w:rsid w:val="6C946B86"/>
    <w:rsid w:val="6C9B012D"/>
    <w:rsid w:val="6C9E23B8"/>
    <w:rsid w:val="6CFF47CB"/>
    <w:rsid w:val="6D1A278E"/>
    <w:rsid w:val="6D211372"/>
    <w:rsid w:val="6D5C3902"/>
    <w:rsid w:val="6D6828C9"/>
    <w:rsid w:val="6D7809B7"/>
    <w:rsid w:val="6D7B6216"/>
    <w:rsid w:val="6D9263B7"/>
    <w:rsid w:val="6DDC3C87"/>
    <w:rsid w:val="6E146709"/>
    <w:rsid w:val="6E1F0E5A"/>
    <w:rsid w:val="6E5B741C"/>
    <w:rsid w:val="6E6F43DE"/>
    <w:rsid w:val="6E7A265A"/>
    <w:rsid w:val="6E820922"/>
    <w:rsid w:val="6EBC0B32"/>
    <w:rsid w:val="6EC425A0"/>
    <w:rsid w:val="6EC4646B"/>
    <w:rsid w:val="6ECC195B"/>
    <w:rsid w:val="6ED125AC"/>
    <w:rsid w:val="6EEC33E9"/>
    <w:rsid w:val="6EFF21CA"/>
    <w:rsid w:val="6F085BE2"/>
    <w:rsid w:val="6FDE5F0D"/>
    <w:rsid w:val="6FE70C3C"/>
    <w:rsid w:val="6FEF23C1"/>
    <w:rsid w:val="6FF846E9"/>
    <w:rsid w:val="6FFD308C"/>
    <w:rsid w:val="70827EAC"/>
    <w:rsid w:val="70AD079D"/>
    <w:rsid w:val="70B724BA"/>
    <w:rsid w:val="70BC03E9"/>
    <w:rsid w:val="70C71B96"/>
    <w:rsid w:val="70D675A1"/>
    <w:rsid w:val="710555BA"/>
    <w:rsid w:val="712E72D6"/>
    <w:rsid w:val="71530153"/>
    <w:rsid w:val="719E1F0C"/>
    <w:rsid w:val="71CC7A99"/>
    <w:rsid w:val="71DD3C6D"/>
    <w:rsid w:val="71E37923"/>
    <w:rsid w:val="720930EC"/>
    <w:rsid w:val="721C0DA0"/>
    <w:rsid w:val="72231E4C"/>
    <w:rsid w:val="723F20D4"/>
    <w:rsid w:val="72473C79"/>
    <w:rsid w:val="726A345E"/>
    <w:rsid w:val="727227A4"/>
    <w:rsid w:val="727A07D7"/>
    <w:rsid w:val="72A1288C"/>
    <w:rsid w:val="72B45F9D"/>
    <w:rsid w:val="72F35BF0"/>
    <w:rsid w:val="7303229A"/>
    <w:rsid w:val="73174970"/>
    <w:rsid w:val="73376D58"/>
    <w:rsid w:val="73541A17"/>
    <w:rsid w:val="739E7C91"/>
    <w:rsid w:val="73A420AC"/>
    <w:rsid w:val="73A75325"/>
    <w:rsid w:val="73BE1586"/>
    <w:rsid w:val="73F02346"/>
    <w:rsid w:val="73FD1B7E"/>
    <w:rsid w:val="740F34C9"/>
    <w:rsid w:val="74157CA1"/>
    <w:rsid w:val="744E66AF"/>
    <w:rsid w:val="748C1E53"/>
    <w:rsid w:val="74A95321"/>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902A7F"/>
    <w:rsid w:val="76AF34A8"/>
    <w:rsid w:val="76B57CDA"/>
    <w:rsid w:val="76B70426"/>
    <w:rsid w:val="76BD2FA8"/>
    <w:rsid w:val="76C02FCC"/>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C5601E"/>
    <w:rsid w:val="7AFE24BC"/>
    <w:rsid w:val="7B146FC4"/>
    <w:rsid w:val="7B24292B"/>
    <w:rsid w:val="7B340F26"/>
    <w:rsid w:val="7B5968D9"/>
    <w:rsid w:val="7B6132DD"/>
    <w:rsid w:val="7B6856A4"/>
    <w:rsid w:val="7B914B60"/>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DB3462"/>
    <w:rsid w:val="7DEB404B"/>
    <w:rsid w:val="7DF25A74"/>
    <w:rsid w:val="7E116A7A"/>
    <w:rsid w:val="7EB95E49"/>
    <w:rsid w:val="7ECE0C4C"/>
    <w:rsid w:val="7F131F92"/>
    <w:rsid w:val="7F1358E8"/>
    <w:rsid w:val="7F137AAC"/>
    <w:rsid w:val="7F1979EB"/>
    <w:rsid w:val="7F2F783B"/>
    <w:rsid w:val="7F38323D"/>
    <w:rsid w:val="7F5E383E"/>
    <w:rsid w:val="7F711A52"/>
    <w:rsid w:val="7F7262A6"/>
    <w:rsid w:val="7F8C0659"/>
    <w:rsid w:val="7FEB6569"/>
    <w:rsid w:val="7FF5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6">
    <w:name w:val="toa heading"/>
    <w:basedOn w:val="1"/>
    <w:next w:val="1"/>
    <w:qFormat/>
    <w:uiPriority w:val="0"/>
    <w:pPr>
      <w:spacing w:before="120"/>
    </w:pPr>
    <w:rPr>
      <w:rFonts w:asciiTheme="majorHAnsi" w:hAnsiTheme="majorHAnsi" w:cstheme="majorBidi"/>
      <w:sz w:val="24"/>
      <w:szCs w:val="24"/>
    </w:rPr>
  </w:style>
  <w:style w:type="paragraph" w:styleId="7">
    <w:name w:val="Body Text"/>
    <w:basedOn w:val="1"/>
    <w:next w:val="8"/>
    <w:qFormat/>
    <w:uiPriority w:val="99"/>
    <w:pPr>
      <w:numPr>
        <w:ilvl w:val="0"/>
        <w:numId w:val="1"/>
      </w:numPr>
    </w:pPr>
    <w:rPr>
      <w:rFonts w:ascii="黑体" w:eastAsia="黑体"/>
      <w:sz w:val="22"/>
    </w:rPr>
  </w:style>
  <w:style w:type="paragraph" w:styleId="8">
    <w:name w:val="toc 2"/>
    <w:basedOn w:val="1"/>
    <w:next w:val="1"/>
    <w:qFormat/>
    <w:uiPriority w:val="39"/>
    <w:pPr>
      <w:ind w:left="420" w:leftChars="200"/>
    </w:pPr>
    <w:rPr>
      <w:rFonts w:ascii="Times New Roman" w:hAnsi="Times New Roman"/>
      <w:szCs w:val="24"/>
    </w:rPr>
  </w:style>
  <w:style w:type="paragraph" w:styleId="9">
    <w:name w:val="toc 3"/>
    <w:basedOn w:val="1"/>
    <w:next w:val="1"/>
    <w:qFormat/>
    <w:uiPriority w:val="39"/>
    <w:pPr>
      <w:ind w:left="840" w:leftChars="400"/>
    </w:pPr>
    <w:rPr>
      <w:rFonts w:ascii="Times New Roman" w:hAnsi="Times New Roman"/>
      <w:szCs w:val="24"/>
    </w:rPr>
  </w:style>
  <w:style w:type="paragraph" w:styleId="10">
    <w:name w:val="Plain Text"/>
    <w:basedOn w:val="1"/>
    <w:link w:val="39"/>
    <w:qFormat/>
    <w:uiPriority w:val="0"/>
    <w:rPr>
      <w:rFonts w:ascii="宋体" w:hAnsi="宋体"/>
    </w:rPr>
  </w:style>
  <w:style w:type="paragraph" w:styleId="11">
    <w:name w:val="Date"/>
    <w:basedOn w:val="1"/>
    <w:next w:val="1"/>
    <w:link w:val="44"/>
    <w:qFormat/>
    <w:uiPriority w:val="0"/>
    <w:pPr>
      <w:ind w:left="100" w:leftChars="2500"/>
    </w:pPr>
  </w:style>
  <w:style w:type="paragraph" w:styleId="12">
    <w:name w:val="Body Text Indent 2"/>
    <w:basedOn w:val="1"/>
    <w:link w:val="38"/>
    <w:qFormat/>
    <w:uiPriority w:val="0"/>
    <w:pPr>
      <w:spacing w:line="360" w:lineRule="auto"/>
      <w:ind w:firstLine="607"/>
    </w:pPr>
    <w:rPr>
      <w:rFonts w:ascii="楷体_GB2312"/>
      <w:sz w:val="28"/>
      <w:szCs w:val="28"/>
    </w:rPr>
  </w:style>
  <w:style w:type="paragraph" w:styleId="13">
    <w:name w:val="Balloon Text"/>
    <w:basedOn w:val="1"/>
    <w:link w:val="43"/>
    <w:qFormat/>
    <w:uiPriority w:val="0"/>
    <w:rPr>
      <w:sz w:val="18"/>
      <w:szCs w:val="18"/>
    </w:rPr>
  </w:style>
  <w:style w:type="paragraph" w:styleId="14">
    <w:name w:val="footer"/>
    <w:basedOn w:val="1"/>
    <w:link w:val="46"/>
    <w:qFormat/>
    <w:uiPriority w:val="99"/>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szCs w:val="24"/>
    </w:rPr>
  </w:style>
  <w:style w:type="paragraph" w:styleId="17">
    <w:name w:val="footnote text"/>
    <w:basedOn w:val="1"/>
    <w:qFormat/>
    <w:uiPriority w:val="0"/>
    <w:pPr>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0"/>
    <w:rPr>
      <w:rFonts w:cs="Times New Roman"/>
    </w:rPr>
  </w:style>
  <w:style w:type="character" w:styleId="25">
    <w:name w:val="Hyperlink"/>
    <w:basedOn w:val="22"/>
    <w:qFormat/>
    <w:uiPriority w:val="99"/>
    <w:rPr>
      <w:rFonts w:cs="Times New Roman"/>
      <w:color w:val="555555"/>
      <w:u w:val="none"/>
    </w:rPr>
  </w:style>
  <w:style w:type="character" w:styleId="26">
    <w:name w:val="footnote reference"/>
    <w:basedOn w:val="22"/>
    <w:qFormat/>
    <w:uiPriority w:val="0"/>
    <w:rPr>
      <w:vertAlign w:val="superscript"/>
    </w:rPr>
  </w:style>
  <w:style w:type="paragraph" w:styleId="27">
    <w:name w:val="List Paragraph"/>
    <w:basedOn w:val="1"/>
    <w:qFormat/>
    <w:uiPriority w:val="34"/>
    <w:pPr>
      <w:ind w:firstLine="420" w:firstLineChars="200"/>
    </w:p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30">
    <w:name w:val="font21"/>
    <w:basedOn w:val="22"/>
    <w:qFormat/>
    <w:uiPriority w:val="0"/>
    <w:rPr>
      <w:rFonts w:hint="default" w:ascii="等线" w:hAnsi="等线" w:eastAsia="等线" w:cs="等线"/>
      <w:color w:val="000000"/>
      <w:sz w:val="22"/>
      <w:szCs w:val="22"/>
      <w:u w:val="none"/>
    </w:rPr>
  </w:style>
  <w:style w:type="character" w:customStyle="1" w:styleId="31">
    <w:name w:val="font71"/>
    <w:basedOn w:val="22"/>
    <w:qFormat/>
    <w:uiPriority w:val="0"/>
    <w:rPr>
      <w:rFonts w:hint="default" w:ascii="等线" w:hAnsi="等线" w:eastAsia="等线" w:cs="等线"/>
      <w:color w:val="000000"/>
      <w:sz w:val="22"/>
      <w:szCs w:val="22"/>
      <w:u w:val="none"/>
      <w:vertAlign w:val="subscript"/>
    </w:rPr>
  </w:style>
  <w:style w:type="character" w:customStyle="1" w:styleId="32">
    <w:name w:val="font12"/>
    <w:basedOn w:val="22"/>
    <w:qFormat/>
    <w:uiPriority w:val="0"/>
    <w:rPr>
      <w:rFonts w:hint="default" w:ascii="等线" w:hAnsi="等线" w:eastAsia="等线" w:cs="等线"/>
      <w:color w:val="000000"/>
      <w:sz w:val="16"/>
      <w:szCs w:val="16"/>
      <w:u w:val="none"/>
    </w:rPr>
  </w:style>
  <w:style w:type="character" w:customStyle="1" w:styleId="33">
    <w:name w:val="font101"/>
    <w:basedOn w:val="22"/>
    <w:qFormat/>
    <w:uiPriority w:val="0"/>
    <w:rPr>
      <w:rFonts w:hint="default" w:ascii="等线" w:hAnsi="等线" w:eastAsia="等线" w:cs="等线"/>
      <w:color w:val="000000"/>
      <w:sz w:val="22"/>
      <w:szCs w:val="22"/>
      <w:u w:val="none"/>
    </w:rPr>
  </w:style>
  <w:style w:type="character" w:customStyle="1" w:styleId="34">
    <w:name w:val="font91"/>
    <w:basedOn w:val="22"/>
    <w:qFormat/>
    <w:uiPriority w:val="0"/>
    <w:rPr>
      <w:rFonts w:hint="default" w:ascii="等线" w:hAnsi="等线" w:eastAsia="等线" w:cs="等线"/>
      <w:color w:val="000000"/>
      <w:sz w:val="22"/>
      <w:szCs w:val="22"/>
      <w:u w:val="none"/>
      <w:vertAlign w:val="superscript"/>
    </w:rPr>
  </w:style>
  <w:style w:type="character" w:customStyle="1" w:styleId="35">
    <w:name w:val="font51"/>
    <w:basedOn w:val="22"/>
    <w:qFormat/>
    <w:uiPriority w:val="0"/>
    <w:rPr>
      <w:rFonts w:hint="default" w:ascii="等线" w:hAnsi="等线" w:eastAsia="等线" w:cs="等线"/>
      <w:color w:val="000000"/>
      <w:sz w:val="22"/>
      <w:szCs w:val="22"/>
      <w:u w:val="none"/>
    </w:rPr>
  </w:style>
  <w:style w:type="character" w:customStyle="1" w:styleId="36">
    <w:name w:val="font81"/>
    <w:basedOn w:val="22"/>
    <w:qFormat/>
    <w:uiPriority w:val="0"/>
    <w:rPr>
      <w:rFonts w:hint="default" w:ascii="等线" w:hAnsi="等线" w:eastAsia="等线" w:cs="等线"/>
      <w:color w:val="000000"/>
      <w:sz w:val="22"/>
      <w:szCs w:val="22"/>
      <w:u w:val="none"/>
      <w:vertAlign w:val="superscript"/>
    </w:rPr>
  </w:style>
  <w:style w:type="character" w:customStyle="1" w:styleId="37">
    <w:name w:val="font01"/>
    <w:basedOn w:val="22"/>
    <w:qFormat/>
    <w:uiPriority w:val="0"/>
    <w:rPr>
      <w:rFonts w:hint="default" w:ascii="等线" w:hAnsi="等线" w:eastAsia="等线" w:cs="等线"/>
      <w:color w:val="000000"/>
      <w:sz w:val="22"/>
      <w:szCs w:val="22"/>
      <w:u w:val="none"/>
      <w:vertAlign w:val="subscript"/>
    </w:rPr>
  </w:style>
  <w:style w:type="character" w:customStyle="1" w:styleId="38">
    <w:name w:val="正文文本缩进 2 Char"/>
    <w:basedOn w:val="22"/>
    <w:link w:val="12"/>
    <w:qFormat/>
    <w:uiPriority w:val="0"/>
    <w:rPr>
      <w:rFonts w:ascii="楷体_GB2312" w:hAnsi="Calibri"/>
      <w:kern w:val="2"/>
      <w:sz w:val="28"/>
      <w:szCs w:val="28"/>
    </w:rPr>
  </w:style>
  <w:style w:type="character" w:customStyle="1" w:styleId="39">
    <w:name w:val="纯文本 Char"/>
    <w:basedOn w:val="22"/>
    <w:link w:val="10"/>
    <w:qFormat/>
    <w:uiPriority w:val="99"/>
    <w:rPr>
      <w:rFonts w:ascii="宋体" w:hAnsi="宋体"/>
      <w:kern w:val="2"/>
      <w:sz w:val="21"/>
      <w:szCs w:val="22"/>
    </w:rPr>
  </w:style>
  <w:style w:type="character" w:customStyle="1" w:styleId="40">
    <w:name w:val="页眉 Char"/>
    <w:basedOn w:val="22"/>
    <w:link w:val="15"/>
    <w:qFormat/>
    <w:uiPriority w:val="0"/>
    <w:rPr>
      <w:rFonts w:ascii="Calibri" w:hAnsi="Calibri"/>
      <w:kern w:val="2"/>
      <w:sz w:val="18"/>
      <w:szCs w:val="18"/>
    </w:rPr>
  </w:style>
  <w:style w:type="character" w:customStyle="1" w:styleId="41">
    <w:name w:val="bookmark-item"/>
    <w:basedOn w:val="22"/>
    <w:qFormat/>
    <w:uiPriority w:val="0"/>
  </w:style>
  <w:style w:type="paragraph" w:customStyle="1" w:styleId="4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3">
    <w:name w:val="批注框文本 Char"/>
    <w:basedOn w:val="22"/>
    <w:link w:val="13"/>
    <w:qFormat/>
    <w:uiPriority w:val="0"/>
    <w:rPr>
      <w:rFonts w:ascii="Calibri" w:hAnsi="Calibri"/>
      <w:kern w:val="2"/>
      <w:sz w:val="18"/>
      <w:szCs w:val="18"/>
    </w:rPr>
  </w:style>
  <w:style w:type="character" w:customStyle="1" w:styleId="44">
    <w:name w:val="日期 Char"/>
    <w:basedOn w:val="22"/>
    <w:link w:val="11"/>
    <w:qFormat/>
    <w:uiPriority w:val="0"/>
    <w:rPr>
      <w:rFonts w:ascii="Calibri" w:hAnsi="Calibri"/>
      <w:kern w:val="2"/>
      <w:sz w:val="21"/>
      <w:szCs w:val="22"/>
    </w:rPr>
  </w:style>
  <w:style w:type="table" w:customStyle="1" w:styleId="45">
    <w:name w:val="网格型12"/>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页脚 Char"/>
    <w:basedOn w:val="22"/>
    <w:link w:val="14"/>
    <w:qFormat/>
    <w:uiPriority w:val="99"/>
    <w:rPr>
      <w:rFonts w:ascii="Calibri" w:hAnsi="Calibri"/>
      <w:kern w:val="2"/>
      <w:sz w:val="18"/>
      <w:szCs w:val="18"/>
    </w:rPr>
  </w:style>
  <w:style w:type="character" w:customStyle="1" w:styleId="47">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38519</Words>
  <Characters>41169</Characters>
  <Lines>348</Lines>
  <Paragraphs>98</Paragraphs>
  <TotalTime>33</TotalTime>
  <ScaleCrop>false</ScaleCrop>
  <LinksUpToDate>false</LinksUpToDate>
  <CharactersWithSpaces>44992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Bonjour</cp:lastModifiedBy>
  <cp:lastPrinted>2021-12-29T02:10:00Z</cp:lastPrinted>
  <dcterms:modified xsi:type="dcterms:W3CDTF">2023-02-22T04:12:10Z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080B075EBFC3404B92E267376A25164B</vt:lpwstr>
  </property>
</Properties>
</file>