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color w:val="auto"/>
          <w:sz w:val="40"/>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color w:val="auto"/>
          <w:sz w:val="48"/>
          <w:szCs w:val="48"/>
          <w:highlight w:val="none"/>
          <w:lang w:val="en-US" w:eastAsia="zh-CN"/>
        </w:rPr>
      </w:pPr>
      <w:r>
        <w:rPr>
          <w:rFonts w:hint="eastAsia" w:ascii="仿宋" w:hAnsi="仿宋" w:eastAsia="仿宋" w:cs="仿宋"/>
          <w:b/>
          <w:bCs/>
          <w:color w:val="auto"/>
          <w:sz w:val="48"/>
          <w:szCs w:val="48"/>
          <w:highlight w:val="none"/>
          <w:lang w:val="en-US" w:eastAsia="zh-CN"/>
        </w:rPr>
        <w:t xml:space="preserve"> 上阿图什镇萨依村基础设施建设及户厕整村推进建设项目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default" w:ascii="仿宋" w:hAnsi="仿宋" w:eastAsia="仿宋" w:cs="仿宋"/>
          <w:b/>
          <w:color w:val="auto"/>
          <w:kern w:val="0"/>
          <w:sz w:val="40"/>
          <w:szCs w:val="40"/>
          <w:highlight w:val="none"/>
          <w:lang w:val="en-US"/>
        </w:rPr>
      </w:pPr>
      <w:r>
        <w:rPr>
          <w:rFonts w:hint="eastAsia" w:ascii="仿宋" w:hAnsi="仿宋" w:eastAsia="仿宋" w:cs="仿宋"/>
          <w:b/>
          <w:bCs/>
          <w:color w:val="auto"/>
          <w:sz w:val="40"/>
          <w:szCs w:val="40"/>
          <w:highlight w:val="none"/>
          <w:lang w:eastAsia="zh-CN"/>
        </w:rPr>
        <w:t>项目编号：ATS</w:t>
      </w:r>
      <w:r>
        <w:rPr>
          <w:rFonts w:hint="eastAsia" w:ascii="仿宋" w:hAnsi="仿宋" w:eastAsia="仿宋" w:cs="仿宋"/>
          <w:b/>
          <w:bCs/>
          <w:color w:val="auto"/>
          <w:sz w:val="40"/>
          <w:szCs w:val="40"/>
          <w:highlight w:val="none"/>
          <w:lang w:val="en-US" w:eastAsia="zh-CN"/>
        </w:rPr>
        <w:t>CG</w:t>
      </w:r>
      <w:r>
        <w:rPr>
          <w:rFonts w:hint="eastAsia" w:ascii="仿宋" w:hAnsi="仿宋" w:eastAsia="仿宋" w:cs="仿宋"/>
          <w:b/>
          <w:bCs/>
          <w:color w:val="auto"/>
          <w:sz w:val="40"/>
          <w:szCs w:val="40"/>
          <w:highlight w:val="none"/>
          <w:lang w:eastAsia="zh-CN"/>
        </w:rPr>
        <w:t>-202</w:t>
      </w:r>
      <w:r>
        <w:rPr>
          <w:rFonts w:hint="eastAsia" w:ascii="仿宋" w:hAnsi="仿宋" w:eastAsia="仿宋" w:cs="仿宋"/>
          <w:b/>
          <w:bCs/>
          <w:color w:val="auto"/>
          <w:sz w:val="40"/>
          <w:szCs w:val="40"/>
          <w:highlight w:val="none"/>
          <w:lang w:val="en-US" w:eastAsia="zh-CN"/>
        </w:rPr>
        <w:t>3010</w:t>
      </w:r>
    </w:p>
    <w:p>
      <w:pPr>
        <w:pStyle w:val="36"/>
        <w:keepNext w:val="0"/>
        <w:keepLines w:val="0"/>
        <w:pageBreakBefore w:val="0"/>
        <w:widowControl w:val="0"/>
        <w:kinsoku/>
        <w:wordWrap/>
        <w:overflowPunct/>
        <w:topLinePunct w:val="0"/>
        <w:bidi w:val="0"/>
        <w:snapToGrid/>
        <w:spacing w:line="760" w:lineRule="exact"/>
        <w:textAlignment w:val="auto"/>
        <w:outlineLvl w:val="9"/>
        <w:rPr>
          <w:rFonts w:hint="eastAsia" w:ascii="仿宋" w:hAnsi="仿宋" w:eastAsia="仿宋" w:cs="仿宋"/>
          <w:color w:val="auto"/>
          <w:highlight w:val="none"/>
        </w:rPr>
      </w:pPr>
    </w:p>
    <w:p>
      <w:pPr>
        <w:pStyle w:val="36"/>
        <w:outlineLvl w:val="9"/>
        <w:rPr>
          <w:rFonts w:hint="eastAsia" w:ascii="仿宋" w:hAnsi="仿宋" w:eastAsia="仿宋" w:cs="仿宋"/>
          <w:color w:val="auto"/>
          <w:highlight w:val="none"/>
        </w:rPr>
      </w:pPr>
    </w:p>
    <w:p>
      <w:pPr>
        <w:pStyle w:val="36"/>
        <w:jc w:val="center"/>
        <w:outlineLvl w:val="9"/>
        <w:rPr>
          <w:rFonts w:hint="eastAsia" w:ascii="仿宋" w:hAnsi="仿宋" w:eastAsia="仿宋" w:cs="仿宋"/>
          <w:b/>
          <w:color w:val="auto"/>
          <w:sz w:val="96"/>
          <w:szCs w:val="96"/>
          <w:highlight w:val="none"/>
          <w:lang w:eastAsia="zh-CN"/>
        </w:rPr>
      </w:pPr>
      <w:r>
        <w:rPr>
          <w:rFonts w:hint="eastAsia" w:ascii="仿宋" w:hAnsi="仿宋" w:eastAsia="仿宋" w:cs="仿宋"/>
          <w:b/>
          <w:color w:val="auto"/>
          <w:sz w:val="96"/>
          <w:szCs w:val="96"/>
          <w:highlight w:val="none"/>
          <w:lang w:eastAsia="zh-CN"/>
        </w:rPr>
        <w:t>招</w:t>
      </w:r>
    </w:p>
    <w:p>
      <w:pPr>
        <w:pStyle w:val="36"/>
        <w:jc w:val="center"/>
        <w:outlineLvl w:val="9"/>
        <w:rPr>
          <w:rFonts w:hint="eastAsia" w:ascii="仿宋" w:hAnsi="仿宋" w:eastAsia="仿宋" w:cs="仿宋"/>
          <w:b/>
          <w:bCs/>
          <w:color w:val="auto"/>
          <w:sz w:val="96"/>
          <w:szCs w:val="96"/>
          <w:highlight w:val="none"/>
          <w:lang w:eastAsia="zh-CN"/>
        </w:rPr>
      </w:pPr>
      <w:r>
        <w:rPr>
          <w:rFonts w:hint="eastAsia" w:ascii="仿宋" w:hAnsi="仿宋" w:eastAsia="仿宋" w:cs="仿宋"/>
          <w:b/>
          <w:color w:val="auto"/>
          <w:sz w:val="96"/>
          <w:szCs w:val="96"/>
          <w:highlight w:val="none"/>
          <w:lang w:eastAsia="zh-CN"/>
        </w:rPr>
        <w:t>标</w:t>
      </w:r>
    </w:p>
    <w:p>
      <w:pPr>
        <w:pStyle w:val="36"/>
        <w:jc w:val="center"/>
        <w:outlineLvl w:val="9"/>
        <w:rPr>
          <w:rFonts w:hint="eastAsia" w:ascii="仿宋" w:hAnsi="仿宋" w:eastAsia="仿宋" w:cs="仿宋"/>
          <w:b/>
          <w:bCs/>
          <w:color w:val="auto"/>
          <w:sz w:val="96"/>
          <w:szCs w:val="96"/>
          <w:highlight w:val="none"/>
          <w:lang w:eastAsia="zh-CN"/>
        </w:rPr>
      </w:pPr>
      <w:r>
        <w:rPr>
          <w:rFonts w:hint="eastAsia" w:ascii="仿宋" w:hAnsi="仿宋" w:eastAsia="仿宋" w:cs="仿宋"/>
          <w:b/>
          <w:bCs/>
          <w:color w:val="auto"/>
          <w:sz w:val="96"/>
          <w:szCs w:val="96"/>
          <w:highlight w:val="none"/>
          <w:lang w:eastAsia="zh-CN"/>
        </w:rPr>
        <w:t>文</w:t>
      </w:r>
    </w:p>
    <w:p>
      <w:pPr>
        <w:pStyle w:val="36"/>
        <w:jc w:val="center"/>
        <w:outlineLvl w:val="9"/>
        <w:rPr>
          <w:rFonts w:hint="eastAsia" w:ascii="仿宋" w:hAnsi="仿宋" w:eastAsia="仿宋" w:cs="仿宋"/>
          <w:color w:val="auto"/>
          <w:sz w:val="84"/>
          <w:szCs w:val="84"/>
          <w:highlight w:val="none"/>
          <w:lang w:eastAsia="zh-CN"/>
        </w:rPr>
      </w:pPr>
      <w:r>
        <w:rPr>
          <w:rFonts w:hint="eastAsia" w:ascii="仿宋" w:hAnsi="仿宋" w:eastAsia="仿宋" w:cs="仿宋"/>
          <w:b/>
          <w:bCs/>
          <w:color w:val="auto"/>
          <w:sz w:val="96"/>
          <w:szCs w:val="96"/>
          <w:highlight w:val="none"/>
          <w:lang w:eastAsia="zh-CN"/>
        </w:rPr>
        <w:t>件</w:t>
      </w:r>
    </w:p>
    <w:p>
      <w:pPr>
        <w:pStyle w:val="36"/>
        <w:outlineLvl w:val="9"/>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outlineLvl w:val="9"/>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采购单位：</w:t>
      </w:r>
      <w:r>
        <w:rPr>
          <w:rFonts w:hint="eastAsia" w:ascii="仿宋" w:hAnsi="仿宋" w:eastAsia="仿宋" w:cs="仿宋"/>
          <w:color w:val="auto"/>
          <w:sz w:val="36"/>
          <w:szCs w:val="36"/>
          <w:highlight w:val="none"/>
          <w:lang w:eastAsia="zh-CN"/>
        </w:rPr>
        <w:t>阿图什市上阿图什镇人民政府</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outlineLvl w:val="9"/>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联 系 人：张先生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outlineLvl w:val="9"/>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联系电话：17397857302</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outlineLvl w:val="9"/>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代理机构：</w:t>
      </w:r>
      <w:r>
        <w:rPr>
          <w:rFonts w:hint="eastAsia" w:ascii="仿宋" w:hAnsi="仿宋" w:eastAsia="仿宋" w:cs="仿宋"/>
          <w:color w:val="auto"/>
          <w:sz w:val="36"/>
          <w:szCs w:val="36"/>
          <w:highlight w:val="none"/>
          <w:lang w:eastAsia="zh-CN"/>
        </w:rPr>
        <w:t>新疆天勤工程管理有限公司</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outlineLvl w:val="9"/>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联 系 人：</w:t>
      </w:r>
      <w:r>
        <w:rPr>
          <w:rFonts w:hint="eastAsia" w:ascii="仿宋" w:hAnsi="仿宋" w:eastAsia="仿宋" w:cs="仿宋"/>
          <w:color w:val="auto"/>
          <w:sz w:val="36"/>
          <w:szCs w:val="36"/>
          <w:highlight w:val="none"/>
          <w:lang w:val="en-US" w:eastAsia="zh-CN"/>
        </w:rPr>
        <w:t>王</w:t>
      </w:r>
      <w:r>
        <w:rPr>
          <w:rFonts w:hint="eastAsia" w:ascii="仿宋" w:hAnsi="仿宋" w:eastAsia="仿宋" w:cs="仿宋"/>
          <w:color w:val="auto"/>
          <w:sz w:val="36"/>
          <w:szCs w:val="36"/>
          <w:highlight w:val="none"/>
          <w:lang w:eastAsia="zh-CN"/>
        </w:rPr>
        <w:t>先生</w:t>
      </w:r>
    </w:p>
    <w:p>
      <w:pPr>
        <w:ind w:firstLine="360" w:firstLineChars="100"/>
        <w:jc w:val="both"/>
        <w:outlineLvl w:val="9"/>
        <w:rPr>
          <w:rFonts w:hint="eastAsia" w:ascii="仿宋" w:hAnsi="仿宋" w:eastAsia="仿宋" w:cs="仿宋"/>
          <w:b/>
          <w:color w:val="auto"/>
          <w:sz w:val="36"/>
          <w:szCs w:val="36"/>
          <w:highlight w:val="none"/>
        </w:rPr>
      </w:pPr>
      <w:r>
        <w:rPr>
          <w:rFonts w:hint="eastAsia" w:ascii="仿宋" w:hAnsi="仿宋" w:eastAsia="仿宋" w:cs="仿宋"/>
          <w:color w:val="auto"/>
          <w:sz w:val="36"/>
          <w:szCs w:val="36"/>
          <w:highlight w:val="none"/>
          <w:lang w:val="en-US" w:eastAsia="zh-CN"/>
        </w:rPr>
        <w:t>联系电话：13779615026</w:t>
      </w:r>
    </w:p>
    <w:p>
      <w:pPr>
        <w:jc w:val="center"/>
        <w:outlineLvl w:val="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招投标监督管理机构备案登记栏</w:t>
      </w:r>
    </w:p>
    <w:tbl>
      <w:tblPr>
        <w:tblStyle w:val="28"/>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7" w:hRule="atLeast"/>
          <w:jc w:val="center"/>
        </w:trPr>
        <w:tc>
          <w:tcPr>
            <w:tcW w:w="8460" w:type="dxa"/>
          </w:tcPr>
          <w:p>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highlight w:val="none"/>
              </w:rPr>
            </w:pPr>
          </w:p>
          <w:p>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w w:val="95"/>
                <w:sz w:val="32"/>
                <w:szCs w:val="32"/>
                <w:highlight w:val="none"/>
                <w:lang w:val="en-US" w:eastAsia="zh-CN"/>
              </w:rPr>
            </w:pPr>
            <w:r>
              <w:rPr>
                <w:rFonts w:hint="eastAsia" w:ascii="仿宋" w:hAnsi="仿宋" w:eastAsia="仿宋" w:cs="仿宋"/>
                <w:color w:val="auto"/>
                <w:sz w:val="32"/>
                <w:szCs w:val="32"/>
                <w:highlight w:val="none"/>
              </w:rPr>
              <w:t>采购单位：</w:t>
            </w:r>
            <w:r>
              <w:rPr>
                <w:rFonts w:hint="eastAsia" w:ascii="仿宋" w:hAnsi="仿宋" w:eastAsia="仿宋" w:cs="仿宋"/>
                <w:color w:val="auto"/>
                <w:sz w:val="32"/>
                <w:szCs w:val="32"/>
                <w:highlight w:val="none"/>
                <w:lang w:val="en-US" w:eastAsia="zh-CN"/>
              </w:rPr>
              <w:t xml:space="preserve">阿图什市上阿图什镇人民政府  </w:t>
            </w:r>
            <w:r>
              <w:rPr>
                <w:rFonts w:hint="eastAsia" w:ascii="仿宋" w:hAnsi="仿宋" w:eastAsia="仿宋" w:cs="仿宋"/>
                <w:color w:val="auto"/>
                <w:w w:val="95"/>
                <w:sz w:val="32"/>
                <w:szCs w:val="32"/>
                <w:highlight w:val="none"/>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outlineLvl w:val="9"/>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val="en-US" w:eastAsia="zh-CN"/>
              </w:rPr>
              <w:t xml:space="preserve"> 上阿图什镇萨依村基础设施建设及户厕整村推进建设项目</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outlineLvl w:val="9"/>
              <w:rPr>
                <w:rFonts w:hint="eastAsia" w:ascii="仿宋" w:hAnsi="仿宋" w:eastAsia="仿宋" w:cs="仿宋"/>
                <w:color w:val="auto"/>
                <w:sz w:val="32"/>
                <w:szCs w:val="32"/>
                <w:highlight w:val="none"/>
                <w:lang w:eastAsia="zh-CN"/>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outlineLvl w:val="9"/>
              <w:rPr>
                <w:rFonts w:hint="eastAsia" w:ascii="仿宋" w:hAnsi="仿宋" w:eastAsia="仿宋" w:cs="仿宋"/>
                <w:color w:val="auto"/>
                <w:sz w:val="32"/>
                <w:szCs w:val="32"/>
                <w:highlight w:val="none"/>
                <w:lang w:eastAsia="zh-CN"/>
              </w:rPr>
            </w:pPr>
          </w:p>
          <w:p>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代理机构：</w:t>
            </w:r>
            <w:r>
              <w:rPr>
                <w:rFonts w:hint="eastAsia" w:ascii="仿宋" w:hAnsi="仿宋" w:eastAsia="仿宋" w:cs="仿宋"/>
                <w:color w:val="auto"/>
                <w:sz w:val="32"/>
                <w:szCs w:val="32"/>
                <w:highlight w:val="none"/>
                <w:lang w:eastAsia="zh-CN"/>
              </w:rPr>
              <w:t>新疆天勤工程管理有限公司（盖章）</w:t>
            </w:r>
          </w:p>
          <w:p>
            <w:pPr>
              <w:jc w:val="center"/>
              <w:outlineLvl w:val="9"/>
              <w:rPr>
                <w:rFonts w:hint="eastAsia" w:ascii="仿宋" w:hAnsi="仿宋" w:eastAsia="仿宋" w:cs="仿宋"/>
                <w:color w:val="auto"/>
                <w:highlight w:val="none"/>
              </w:rPr>
            </w:pPr>
          </w:p>
          <w:p>
            <w:pPr>
              <w:jc w:val="center"/>
              <w:outlineLvl w:val="9"/>
              <w:rPr>
                <w:rFonts w:hint="eastAsia" w:ascii="仿宋" w:hAnsi="仿宋" w:eastAsia="仿宋" w:cs="仿宋"/>
                <w:color w:val="auto"/>
                <w:highlight w:val="none"/>
              </w:rPr>
            </w:pPr>
          </w:p>
          <w:p>
            <w:pPr>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日  期：20</w:t>
            </w:r>
            <w:r>
              <w:rPr>
                <w:rFonts w:hint="eastAsia" w:ascii="仿宋" w:hAnsi="仿宋" w:eastAsia="仿宋" w:cs="仿宋"/>
                <w:color w:val="auto"/>
                <w:highlight w:val="none"/>
                <w:lang w:val="en-US" w:eastAsia="zh-CN"/>
              </w:rPr>
              <w:t>23</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月</w:t>
            </w:r>
          </w:p>
          <w:p>
            <w:pPr>
              <w:outlineLvl w:val="9"/>
              <w:rPr>
                <w:rFonts w:hint="eastAsia" w:ascii="仿宋" w:hAnsi="仿宋" w:eastAsia="仿宋" w:cs="仿宋"/>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color w:val="auto"/>
          <w:sz w:val="44"/>
          <w:szCs w:val="44"/>
          <w:highlight w:val="none"/>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rPr>
          <w:rFonts w:hint="eastAsia" w:ascii="仿宋" w:hAnsi="仿宋" w:eastAsia="仿宋" w:cs="仿宋"/>
          <w:b/>
          <w:bCs/>
          <w:color w:val="auto"/>
          <w:sz w:val="44"/>
          <w:szCs w:val="44"/>
          <w:highlight w:val="none"/>
          <w:lang w:val="zh-CN"/>
        </w:rPr>
      </w:pPr>
    </w:p>
    <w:sdt>
      <w:sdtPr>
        <w:rPr>
          <w:rFonts w:ascii="宋体" w:hAnsi="宋体" w:eastAsia="宋体" w:cs="Times New Roman"/>
          <w:b/>
          <w:bCs/>
          <w:color w:val="000000"/>
          <w:spacing w:val="0"/>
          <w:w w:val="100"/>
          <w:position w:val="0"/>
          <w:sz w:val="21"/>
          <w:szCs w:val="24"/>
          <w:highlight w:val="none"/>
          <w:shd w:val="clear" w:color="auto" w:fill="auto"/>
          <w:lang w:val="en-US" w:eastAsia="en-US" w:bidi="en-US"/>
        </w:rPr>
        <w:id w:val="147477967"/>
        <w15:color w:val="DBDBDB"/>
        <w:docPartObj>
          <w:docPartGallery w:val="Table of Contents"/>
          <w:docPartUnique/>
        </w:docPartObj>
      </w:sdtPr>
      <w:sdtEndPr>
        <w:rPr>
          <w:rFonts w:hint="eastAsia" w:ascii="仿宋" w:hAnsi="仿宋" w:eastAsia="仿宋" w:cs="仿宋"/>
          <w:b/>
          <w:bCs/>
          <w:color w:val="auto"/>
          <w:spacing w:val="0"/>
          <w:w w:val="100"/>
          <w:position w:val="0"/>
          <w:sz w:val="24"/>
          <w:szCs w:val="30"/>
          <w:highlight w:val="none"/>
          <w:shd w:val="clear" w:color="auto" w:fill="auto"/>
          <w:lang w:val="en-US" w:eastAsia="en-US" w:bidi="en-US"/>
        </w:rPr>
      </w:sdtEndPr>
      <w:sdtContent>
        <w:p>
          <w:pPr>
            <w:spacing w:before="0" w:beforeLines="0" w:after="0" w:afterLines="0" w:line="240" w:lineRule="auto"/>
            <w:ind w:left="0" w:leftChars="0" w:right="0" w:rightChars="0" w:firstLine="0" w:firstLineChars="0"/>
            <w:jc w:val="center"/>
            <w:rPr>
              <w:rFonts w:ascii="宋体" w:hAnsi="宋体" w:eastAsia="宋体"/>
              <w:b/>
              <w:bCs/>
              <w:sz w:val="40"/>
              <w:szCs w:val="48"/>
              <w:highlight w:val="none"/>
            </w:rPr>
          </w:pPr>
          <w:r>
            <w:rPr>
              <w:rFonts w:ascii="宋体" w:hAnsi="宋体" w:eastAsia="宋体"/>
              <w:b/>
              <w:bCs/>
              <w:sz w:val="40"/>
              <w:szCs w:val="48"/>
              <w:highlight w:val="none"/>
            </w:rPr>
            <w:t>目</w:t>
          </w:r>
          <w:r>
            <w:rPr>
              <w:rFonts w:hint="eastAsia" w:ascii="宋体" w:hAnsi="宋体" w:eastAsia="宋体"/>
              <w:b/>
              <w:bCs/>
              <w:sz w:val="40"/>
              <w:szCs w:val="48"/>
              <w:highlight w:val="none"/>
              <w:lang w:val="en-US" w:eastAsia="zh-CN"/>
            </w:rPr>
            <w:t xml:space="preserve">  </w:t>
          </w:r>
          <w:r>
            <w:rPr>
              <w:rFonts w:ascii="宋体" w:hAnsi="宋体" w:eastAsia="宋体"/>
              <w:b/>
              <w:bCs/>
              <w:sz w:val="40"/>
              <w:szCs w:val="48"/>
              <w:highlight w:val="none"/>
            </w:rPr>
            <w:t>录</w:t>
          </w:r>
        </w:p>
        <w:p>
          <w:pPr>
            <w:pStyle w:val="36"/>
            <w:rPr>
              <w:rFonts w:ascii="宋体" w:hAnsi="宋体" w:eastAsia="宋体"/>
              <w:sz w:val="40"/>
              <w:szCs w:val="48"/>
              <w:highlight w:val="none"/>
            </w:rPr>
          </w:pPr>
        </w:p>
        <w:p>
          <w:pPr>
            <w:pStyle w:val="36"/>
            <w:rPr>
              <w:rFonts w:ascii="宋体" w:hAnsi="宋体" w:eastAsia="宋体"/>
              <w:sz w:val="40"/>
              <w:szCs w:val="48"/>
              <w:highlight w:val="none"/>
            </w:rPr>
          </w:pPr>
        </w:p>
        <w:p>
          <w:pPr>
            <w:pStyle w:val="23"/>
            <w:keepNext w:val="0"/>
            <w:keepLines w:val="0"/>
            <w:pageBreakBefore w:val="0"/>
            <w:widowControl w:val="0"/>
            <w:tabs>
              <w:tab w:val="right" w:leader="hyphen" w:pos="9746"/>
            </w:tabs>
            <w:kinsoku/>
            <w:wordWrap/>
            <w:overflowPunct/>
            <w:topLinePunct w:val="0"/>
            <w:autoSpaceDE/>
            <w:autoSpaceDN/>
            <w:bidi w:val="0"/>
            <w:adjustRightInd/>
            <w:snapToGrid/>
            <w:spacing w:line="480" w:lineRule="auto"/>
            <w:textAlignment w:val="auto"/>
            <w:rPr>
              <w:sz w:val="24"/>
              <w:szCs w:val="24"/>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"1-3"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24"/>
              <w:szCs w:val="32"/>
              <w:highlight w:val="none"/>
            </w:rPr>
            <w:fldChar w:fldCharType="begin"/>
          </w:r>
          <w:r>
            <w:rPr>
              <w:rFonts w:hint="eastAsia" w:ascii="仿宋" w:hAnsi="仿宋" w:eastAsia="仿宋" w:cs="仿宋"/>
              <w:sz w:val="24"/>
              <w:szCs w:val="32"/>
              <w:highlight w:val="none"/>
            </w:rPr>
            <w:instrText xml:space="preserve"> HYPERLINK \l _Toc28070 </w:instrText>
          </w:r>
          <w:r>
            <w:rPr>
              <w:rFonts w:hint="eastAsia" w:ascii="仿宋" w:hAnsi="仿宋" w:eastAsia="仿宋" w:cs="仿宋"/>
              <w:sz w:val="24"/>
              <w:szCs w:val="32"/>
              <w:highlight w:val="none"/>
            </w:rPr>
            <w:fldChar w:fldCharType="separate"/>
          </w:r>
          <w:r>
            <w:rPr>
              <w:rFonts w:hint="eastAsia" w:ascii="仿宋" w:hAnsi="仿宋" w:eastAsia="仿宋" w:cs="仿宋"/>
              <w:bCs/>
              <w:spacing w:val="0"/>
              <w:w w:val="100"/>
              <w:position w:val="0"/>
              <w:sz w:val="24"/>
              <w:szCs w:val="36"/>
              <w:highlight w:val="none"/>
            </w:rPr>
            <w:t>第一部分</w:t>
          </w:r>
          <w:r>
            <w:rPr>
              <w:rFonts w:hint="eastAsia" w:ascii="仿宋" w:hAnsi="仿宋" w:eastAsia="仿宋" w:cs="仿宋"/>
              <w:bCs/>
              <w:spacing w:val="0"/>
              <w:w w:val="100"/>
              <w:position w:val="0"/>
              <w:sz w:val="24"/>
              <w:szCs w:val="36"/>
              <w:highlight w:val="none"/>
              <w:lang w:val="en-US" w:eastAsia="zh-CN"/>
            </w:rPr>
            <w:t xml:space="preserve"> </w:t>
          </w:r>
          <w:r>
            <w:rPr>
              <w:rFonts w:hint="eastAsia" w:ascii="仿宋" w:hAnsi="仿宋" w:eastAsia="仿宋" w:cs="仿宋"/>
              <w:bCs/>
              <w:spacing w:val="0"/>
              <w:w w:val="100"/>
              <w:position w:val="0"/>
              <w:sz w:val="24"/>
              <w:szCs w:val="36"/>
              <w:highlight w:val="none"/>
              <w:lang w:eastAsia="zh-CN"/>
            </w:rPr>
            <w:t>招标公告</w:t>
          </w:r>
          <w:r>
            <w:rPr>
              <w:sz w:val="24"/>
              <w:szCs w:val="24"/>
              <w:highlight w:val="none"/>
            </w:rPr>
            <w:tab/>
          </w:r>
          <w:r>
            <w:rPr>
              <w:sz w:val="24"/>
              <w:szCs w:val="24"/>
              <w:highlight w:val="none"/>
            </w:rPr>
            <w:fldChar w:fldCharType="begin"/>
          </w:r>
          <w:r>
            <w:rPr>
              <w:sz w:val="24"/>
              <w:szCs w:val="24"/>
              <w:highlight w:val="none"/>
            </w:rPr>
            <w:instrText xml:space="preserve"> PAGEREF _Toc28070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32"/>
              <w:highlight w:val="none"/>
            </w:rPr>
            <w:fldChar w:fldCharType="end"/>
          </w:r>
        </w:p>
        <w:p>
          <w:pPr>
            <w:pStyle w:val="23"/>
            <w:keepNext w:val="0"/>
            <w:keepLines w:val="0"/>
            <w:pageBreakBefore w:val="0"/>
            <w:widowControl w:val="0"/>
            <w:tabs>
              <w:tab w:val="right" w:leader="hyphen" w:pos="9746"/>
            </w:tabs>
            <w:kinsoku/>
            <w:wordWrap/>
            <w:overflowPunct/>
            <w:topLinePunct w:val="0"/>
            <w:autoSpaceDE/>
            <w:autoSpaceDN/>
            <w:bidi w:val="0"/>
            <w:adjustRightInd/>
            <w:snapToGrid/>
            <w:spacing w:line="480" w:lineRule="auto"/>
            <w:textAlignment w:val="auto"/>
            <w:rPr>
              <w:sz w:val="24"/>
              <w:szCs w:val="24"/>
              <w:highlight w:val="none"/>
            </w:rPr>
          </w:pPr>
          <w:r>
            <w:rPr>
              <w:rFonts w:hint="eastAsia" w:ascii="仿宋" w:hAnsi="仿宋" w:eastAsia="仿宋" w:cs="仿宋"/>
              <w:color w:val="auto"/>
              <w:sz w:val="24"/>
              <w:szCs w:val="32"/>
              <w:highlight w:val="none"/>
            </w:rPr>
            <w:fldChar w:fldCharType="begin"/>
          </w:r>
          <w:r>
            <w:rPr>
              <w:rFonts w:hint="eastAsia" w:ascii="仿宋" w:hAnsi="仿宋" w:eastAsia="仿宋" w:cs="仿宋"/>
              <w:sz w:val="24"/>
              <w:szCs w:val="32"/>
              <w:highlight w:val="none"/>
            </w:rPr>
            <w:instrText xml:space="preserve"> HYPERLINK \l _Toc29207 </w:instrText>
          </w:r>
          <w:r>
            <w:rPr>
              <w:rFonts w:hint="eastAsia" w:ascii="仿宋" w:hAnsi="仿宋" w:eastAsia="仿宋" w:cs="仿宋"/>
              <w:sz w:val="24"/>
              <w:szCs w:val="32"/>
              <w:highlight w:val="none"/>
            </w:rPr>
            <w:fldChar w:fldCharType="separate"/>
          </w:r>
          <w:r>
            <w:rPr>
              <w:rFonts w:hint="eastAsia" w:ascii="仿宋" w:hAnsi="仿宋" w:eastAsia="仿宋" w:cs="仿宋"/>
              <w:bCs/>
              <w:spacing w:val="0"/>
              <w:w w:val="100"/>
              <w:position w:val="0"/>
              <w:sz w:val="24"/>
              <w:szCs w:val="36"/>
              <w:highlight w:val="none"/>
            </w:rPr>
            <w:t>第二部分</w:t>
          </w:r>
          <w:r>
            <w:rPr>
              <w:rFonts w:hint="eastAsia" w:ascii="仿宋" w:hAnsi="仿宋" w:eastAsia="仿宋" w:cs="仿宋"/>
              <w:bCs/>
              <w:spacing w:val="0"/>
              <w:w w:val="100"/>
              <w:position w:val="0"/>
              <w:sz w:val="24"/>
              <w:szCs w:val="36"/>
              <w:highlight w:val="none"/>
              <w:lang w:val="en-US" w:eastAsia="zh-CN"/>
            </w:rPr>
            <w:t xml:space="preserve"> </w:t>
          </w:r>
          <w:r>
            <w:rPr>
              <w:rFonts w:hint="eastAsia" w:ascii="仿宋" w:hAnsi="仿宋" w:eastAsia="仿宋" w:cs="仿宋"/>
              <w:bCs/>
              <w:spacing w:val="0"/>
              <w:w w:val="100"/>
              <w:position w:val="0"/>
              <w:sz w:val="24"/>
              <w:szCs w:val="36"/>
              <w:highlight w:val="none"/>
            </w:rPr>
            <w:t>供应商须知</w:t>
          </w:r>
          <w:r>
            <w:rPr>
              <w:sz w:val="24"/>
              <w:szCs w:val="24"/>
              <w:highlight w:val="none"/>
            </w:rPr>
            <w:tab/>
          </w:r>
          <w:r>
            <w:rPr>
              <w:rFonts w:hint="eastAsia" w:eastAsia="宋体"/>
              <w:sz w:val="24"/>
              <w:szCs w:val="24"/>
              <w:highlight w:val="none"/>
              <w:lang w:val="en-US" w:eastAsia="zh-CN"/>
            </w:rPr>
            <w:t>5</w:t>
          </w:r>
          <w:r>
            <w:rPr>
              <w:rFonts w:hint="eastAsia" w:ascii="仿宋" w:hAnsi="仿宋" w:eastAsia="仿宋" w:cs="仿宋"/>
              <w:color w:val="auto"/>
              <w:sz w:val="24"/>
              <w:szCs w:val="32"/>
              <w:highlight w:val="none"/>
            </w:rPr>
            <w:fldChar w:fldCharType="end"/>
          </w:r>
        </w:p>
        <w:p>
          <w:pPr>
            <w:pStyle w:val="19"/>
            <w:keepNext w:val="0"/>
            <w:keepLines w:val="0"/>
            <w:pageBreakBefore w:val="0"/>
            <w:widowControl w:val="0"/>
            <w:tabs>
              <w:tab w:val="right" w:leader="hyphen" w:pos="9746"/>
            </w:tabs>
            <w:kinsoku/>
            <w:wordWrap/>
            <w:overflowPunct/>
            <w:topLinePunct w:val="0"/>
            <w:autoSpaceDE/>
            <w:autoSpaceDN/>
            <w:bidi w:val="0"/>
            <w:adjustRightInd/>
            <w:snapToGrid/>
            <w:spacing w:line="480" w:lineRule="auto"/>
            <w:ind w:firstLine="480" w:firstLineChars="200"/>
            <w:textAlignment w:val="auto"/>
            <w:rPr>
              <w:sz w:val="24"/>
              <w:szCs w:val="24"/>
              <w:highlight w:val="none"/>
            </w:rPr>
          </w:pPr>
          <w:r>
            <w:rPr>
              <w:rFonts w:hint="eastAsia" w:ascii="仿宋" w:hAnsi="仿宋" w:eastAsia="仿宋" w:cs="仿宋"/>
              <w:color w:val="auto"/>
              <w:sz w:val="24"/>
              <w:szCs w:val="32"/>
              <w:highlight w:val="none"/>
            </w:rPr>
            <w:fldChar w:fldCharType="begin"/>
          </w:r>
          <w:r>
            <w:rPr>
              <w:rFonts w:hint="eastAsia" w:ascii="仿宋" w:hAnsi="仿宋" w:eastAsia="仿宋" w:cs="仿宋"/>
              <w:sz w:val="24"/>
              <w:szCs w:val="32"/>
              <w:highlight w:val="none"/>
            </w:rPr>
            <w:instrText xml:space="preserve"> HYPERLINK \l _Toc6150 </w:instrText>
          </w:r>
          <w:r>
            <w:rPr>
              <w:rFonts w:hint="eastAsia" w:ascii="仿宋" w:hAnsi="仿宋" w:eastAsia="仿宋" w:cs="仿宋"/>
              <w:sz w:val="24"/>
              <w:szCs w:val="32"/>
              <w:highlight w:val="none"/>
            </w:rPr>
            <w:fldChar w:fldCharType="separate"/>
          </w:r>
          <w:r>
            <w:rPr>
              <w:rFonts w:hint="eastAsia" w:ascii="仿宋" w:hAnsi="仿宋" w:eastAsia="仿宋" w:cs="仿宋"/>
              <w:bCs/>
              <w:sz w:val="24"/>
              <w:szCs w:val="28"/>
              <w:highlight w:val="none"/>
            </w:rPr>
            <w:t>第三</w:t>
          </w:r>
          <w:r>
            <w:rPr>
              <w:rFonts w:hint="eastAsia" w:ascii="仿宋" w:hAnsi="仿宋" w:eastAsia="仿宋" w:cs="仿宋"/>
              <w:bCs/>
              <w:sz w:val="24"/>
              <w:szCs w:val="28"/>
              <w:highlight w:val="none"/>
              <w:lang w:val="en-US" w:eastAsia="zh-CN"/>
            </w:rPr>
            <w:t>部分</w:t>
          </w:r>
          <w:r>
            <w:rPr>
              <w:rFonts w:hint="eastAsia" w:ascii="仿宋" w:hAnsi="仿宋" w:eastAsia="仿宋" w:cs="仿宋"/>
              <w:bCs/>
              <w:sz w:val="24"/>
              <w:szCs w:val="28"/>
              <w:highlight w:val="none"/>
            </w:rPr>
            <w:t xml:space="preserve">  评标办法</w:t>
          </w:r>
          <w:r>
            <w:rPr>
              <w:sz w:val="24"/>
              <w:szCs w:val="24"/>
              <w:highlight w:val="none"/>
            </w:rPr>
            <w:tab/>
          </w:r>
          <w:r>
            <w:rPr>
              <w:sz w:val="24"/>
              <w:szCs w:val="24"/>
              <w:highlight w:val="none"/>
            </w:rPr>
            <w:fldChar w:fldCharType="begin"/>
          </w:r>
          <w:r>
            <w:rPr>
              <w:sz w:val="24"/>
              <w:szCs w:val="24"/>
              <w:highlight w:val="none"/>
            </w:rPr>
            <w:instrText xml:space="preserve"> PAGEREF _Toc6150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仿宋" w:hAnsi="仿宋" w:eastAsia="仿宋" w:cs="仿宋"/>
              <w:color w:val="auto"/>
              <w:sz w:val="24"/>
              <w:szCs w:val="32"/>
              <w:highlight w:val="none"/>
            </w:rPr>
            <w:fldChar w:fldCharType="end"/>
          </w:r>
        </w:p>
        <w:p>
          <w:pPr>
            <w:pStyle w:val="19"/>
            <w:keepNext w:val="0"/>
            <w:keepLines w:val="0"/>
            <w:pageBreakBefore w:val="0"/>
            <w:widowControl w:val="0"/>
            <w:tabs>
              <w:tab w:val="right" w:leader="hyphen" w:pos="9746"/>
            </w:tabs>
            <w:kinsoku/>
            <w:wordWrap/>
            <w:overflowPunct/>
            <w:topLinePunct w:val="0"/>
            <w:autoSpaceDE/>
            <w:autoSpaceDN/>
            <w:bidi w:val="0"/>
            <w:adjustRightInd/>
            <w:snapToGrid/>
            <w:spacing w:line="480" w:lineRule="auto"/>
            <w:ind w:firstLine="480" w:firstLineChars="200"/>
            <w:textAlignment w:val="auto"/>
            <w:rPr>
              <w:sz w:val="24"/>
              <w:szCs w:val="24"/>
              <w:highlight w:val="none"/>
            </w:rPr>
          </w:pPr>
          <w:r>
            <w:rPr>
              <w:rFonts w:hint="eastAsia" w:ascii="仿宋" w:hAnsi="仿宋" w:eastAsia="仿宋" w:cs="仿宋"/>
              <w:color w:val="auto"/>
              <w:sz w:val="24"/>
              <w:szCs w:val="32"/>
              <w:highlight w:val="none"/>
            </w:rPr>
            <w:fldChar w:fldCharType="begin"/>
          </w:r>
          <w:r>
            <w:rPr>
              <w:rFonts w:hint="eastAsia" w:ascii="仿宋" w:hAnsi="仿宋" w:eastAsia="仿宋" w:cs="仿宋"/>
              <w:sz w:val="24"/>
              <w:szCs w:val="32"/>
              <w:highlight w:val="none"/>
            </w:rPr>
            <w:instrText xml:space="preserve"> HYPERLINK \l _Toc29986 </w:instrText>
          </w:r>
          <w:r>
            <w:rPr>
              <w:rFonts w:hint="eastAsia" w:ascii="仿宋" w:hAnsi="仿宋" w:eastAsia="仿宋" w:cs="仿宋"/>
              <w:sz w:val="24"/>
              <w:szCs w:val="32"/>
              <w:highlight w:val="none"/>
            </w:rPr>
            <w:fldChar w:fldCharType="separate"/>
          </w:r>
          <w:r>
            <w:rPr>
              <w:rFonts w:hint="eastAsia" w:ascii="仿宋" w:hAnsi="仿宋" w:eastAsia="仿宋" w:cs="仿宋"/>
              <w:sz w:val="24"/>
              <w:szCs w:val="28"/>
              <w:highlight w:val="none"/>
              <w:lang w:val="en-US" w:eastAsia="zh-CN"/>
            </w:rPr>
            <w:t xml:space="preserve">第四部分 </w:t>
          </w:r>
          <w:r>
            <w:rPr>
              <w:rFonts w:hint="eastAsia" w:ascii="仿宋" w:hAnsi="仿宋" w:eastAsia="仿宋" w:cs="仿宋"/>
              <w:sz w:val="24"/>
              <w:szCs w:val="28"/>
              <w:highlight w:val="none"/>
            </w:rPr>
            <w:t xml:space="preserve"> 技术规格、数量及质量要求</w:t>
          </w:r>
          <w:r>
            <w:rPr>
              <w:sz w:val="24"/>
              <w:szCs w:val="24"/>
              <w:highlight w:val="none"/>
            </w:rPr>
            <w:tab/>
          </w:r>
          <w:r>
            <w:rPr>
              <w:sz w:val="24"/>
              <w:szCs w:val="24"/>
              <w:highlight w:val="none"/>
            </w:rPr>
            <w:fldChar w:fldCharType="begin"/>
          </w:r>
          <w:r>
            <w:rPr>
              <w:sz w:val="24"/>
              <w:szCs w:val="24"/>
              <w:highlight w:val="none"/>
            </w:rPr>
            <w:instrText xml:space="preserve"> PAGEREF _Toc29986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仿宋" w:hAnsi="仿宋" w:eastAsia="仿宋" w:cs="仿宋"/>
              <w:color w:val="auto"/>
              <w:sz w:val="24"/>
              <w:szCs w:val="32"/>
              <w:highlight w:val="none"/>
            </w:rPr>
            <w:fldChar w:fldCharType="end"/>
          </w:r>
        </w:p>
        <w:p>
          <w:pPr>
            <w:pStyle w:val="19"/>
            <w:keepNext w:val="0"/>
            <w:keepLines w:val="0"/>
            <w:pageBreakBefore w:val="0"/>
            <w:widowControl w:val="0"/>
            <w:tabs>
              <w:tab w:val="right" w:leader="hyphen" w:pos="9746"/>
            </w:tabs>
            <w:kinsoku/>
            <w:wordWrap/>
            <w:overflowPunct/>
            <w:topLinePunct w:val="0"/>
            <w:autoSpaceDE/>
            <w:autoSpaceDN/>
            <w:bidi w:val="0"/>
            <w:adjustRightInd/>
            <w:snapToGrid/>
            <w:spacing w:line="480" w:lineRule="auto"/>
            <w:ind w:firstLine="480" w:firstLineChars="200"/>
            <w:textAlignment w:val="auto"/>
            <w:rPr>
              <w:sz w:val="24"/>
              <w:szCs w:val="24"/>
              <w:highlight w:val="none"/>
            </w:rPr>
          </w:pPr>
          <w:r>
            <w:rPr>
              <w:rFonts w:hint="eastAsia" w:ascii="仿宋" w:hAnsi="仿宋" w:eastAsia="仿宋" w:cs="仿宋"/>
              <w:color w:val="auto"/>
              <w:sz w:val="24"/>
              <w:szCs w:val="32"/>
              <w:highlight w:val="none"/>
            </w:rPr>
            <w:fldChar w:fldCharType="begin"/>
          </w:r>
          <w:r>
            <w:rPr>
              <w:rFonts w:hint="eastAsia" w:ascii="仿宋" w:hAnsi="仿宋" w:eastAsia="仿宋" w:cs="仿宋"/>
              <w:sz w:val="24"/>
              <w:szCs w:val="32"/>
              <w:highlight w:val="none"/>
            </w:rPr>
            <w:instrText xml:space="preserve"> HYPERLINK \l _Toc30467 </w:instrText>
          </w:r>
          <w:r>
            <w:rPr>
              <w:rFonts w:hint="eastAsia" w:ascii="仿宋" w:hAnsi="仿宋" w:eastAsia="仿宋" w:cs="仿宋"/>
              <w:sz w:val="24"/>
              <w:szCs w:val="32"/>
              <w:highlight w:val="none"/>
            </w:rPr>
            <w:fldChar w:fldCharType="separate"/>
          </w:r>
          <w:r>
            <w:rPr>
              <w:rFonts w:hint="eastAsia" w:ascii="仿宋" w:hAnsi="仿宋" w:eastAsia="仿宋" w:cs="仿宋"/>
              <w:bCs/>
              <w:sz w:val="24"/>
              <w:szCs w:val="36"/>
              <w:highlight w:val="none"/>
              <w:lang w:eastAsia="zh-CN"/>
            </w:rPr>
            <w:t>第五</w:t>
          </w:r>
          <w:r>
            <w:rPr>
              <w:rFonts w:hint="eastAsia" w:ascii="仿宋" w:hAnsi="仿宋" w:eastAsia="仿宋" w:cs="仿宋"/>
              <w:bCs/>
              <w:sz w:val="24"/>
              <w:szCs w:val="36"/>
              <w:highlight w:val="none"/>
              <w:lang w:val="en-US" w:eastAsia="zh-CN"/>
            </w:rPr>
            <w:t xml:space="preserve">部分 </w:t>
          </w:r>
          <w:r>
            <w:rPr>
              <w:rFonts w:hint="eastAsia" w:ascii="仿宋" w:hAnsi="仿宋" w:eastAsia="仿宋" w:cs="仿宋"/>
              <w:bCs/>
              <w:sz w:val="24"/>
              <w:szCs w:val="36"/>
              <w:highlight w:val="none"/>
            </w:rPr>
            <w:t>合同条款及格式</w:t>
          </w:r>
          <w:r>
            <w:rPr>
              <w:sz w:val="24"/>
              <w:szCs w:val="24"/>
              <w:highlight w:val="none"/>
            </w:rPr>
            <w:tab/>
          </w:r>
          <w:r>
            <w:rPr>
              <w:sz w:val="24"/>
              <w:szCs w:val="24"/>
              <w:highlight w:val="none"/>
            </w:rPr>
            <w:fldChar w:fldCharType="begin"/>
          </w:r>
          <w:r>
            <w:rPr>
              <w:sz w:val="24"/>
              <w:szCs w:val="24"/>
              <w:highlight w:val="none"/>
            </w:rPr>
            <w:instrText xml:space="preserve"> PAGEREF _Toc30467 \h </w:instrText>
          </w:r>
          <w:r>
            <w:rPr>
              <w:sz w:val="24"/>
              <w:szCs w:val="24"/>
              <w:highlight w:val="none"/>
            </w:rPr>
            <w:fldChar w:fldCharType="separate"/>
          </w:r>
          <w:r>
            <w:rPr>
              <w:sz w:val="24"/>
              <w:szCs w:val="24"/>
              <w:highlight w:val="none"/>
            </w:rPr>
            <w:t>57</w:t>
          </w:r>
          <w:r>
            <w:rPr>
              <w:sz w:val="24"/>
              <w:szCs w:val="24"/>
              <w:highlight w:val="none"/>
            </w:rPr>
            <w:fldChar w:fldCharType="end"/>
          </w:r>
          <w:r>
            <w:rPr>
              <w:rFonts w:hint="eastAsia" w:ascii="仿宋" w:hAnsi="仿宋" w:eastAsia="仿宋" w:cs="仿宋"/>
              <w:color w:val="auto"/>
              <w:sz w:val="24"/>
              <w:szCs w:val="32"/>
              <w:highlight w:val="none"/>
            </w:rPr>
            <w:fldChar w:fldCharType="end"/>
          </w:r>
        </w:p>
        <w:p>
          <w:pPr>
            <w:pStyle w:val="23"/>
            <w:keepNext w:val="0"/>
            <w:keepLines w:val="0"/>
            <w:pageBreakBefore w:val="0"/>
            <w:widowControl w:val="0"/>
            <w:tabs>
              <w:tab w:val="right" w:leader="hyphen" w:pos="9746"/>
            </w:tabs>
            <w:kinsoku/>
            <w:wordWrap/>
            <w:overflowPunct/>
            <w:topLinePunct w:val="0"/>
            <w:autoSpaceDE/>
            <w:autoSpaceDN/>
            <w:bidi w:val="0"/>
            <w:adjustRightInd/>
            <w:snapToGrid/>
            <w:spacing w:line="480" w:lineRule="auto"/>
            <w:textAlignment w:val="auto"/>
            <w:rPr>
              <w:highlight w:val="none"/>
            </w:rPr>
          </w:pPr>
          <w:r>
            <w:rPr>
              <w:rFonts w:hint="eastAsia" w:ascii="仿宋" w:hAnsi="仿宋" w:eastAsia="仿宋" w:cs="仿宋"/>
              <w:color w:val="auto"/>
              <w:sz w:val="24"/>
              <w:szCs w:val="32"/>
              <w:highlight w:val="none"/>
            </w:rPr>
            <w:fldChar w:fldCharType="begin"/>
          </w:r>
          <w:r>
            <w:rPr>
              <w:rFonts w:hint="eastAsia" w:ascii="仿宋" w:hAnsi="仿宋" w:eastAsia="仿宋" w:cs="仿宋"/>
              <w:sz w:val="24"/>
              <w:szCs w:val="32"/>
              <w:highlight w:val="none"/>
            </w:rPr>
            <w:instrText xml:space="preserve"> HYPERLINK \l _Toc21488 </w:instrText>
          </w:r>
          <w:r>
            <w:rPr>
              <w:rFonts w:hint="eastAsia" w:ascii="仿宋" w:hAnsi="仿宋" w:eastAsia="仿宋" w:cs="仿宋"/>
              <w:sz w:val="24"/>
              <w:szCs w:val="32"/>
              <w:highlight w:val="none"/>
            </w:rPr>
            <w:fldChar w:fldCharType="separate"/>
          </w:r>
          <w:r>
            <w:rPr>
              <w:rFonts w:hint="eastAsia" w:ascii="仿宋" w:hAnsi="仿宋" w:eastAsia="仿宋" w:cs="仿宋"/>
              <w:bCs/>
              <w:spacing w:val="0"/>
              <w:w w:val="100"/>
              <w:position w:val="0"/>
              <w:sz w:val="24"/>
              <w:szCs w:val="36"/>
              <w:highlight w:val="none"/>
            </w:rPr>
            <w:t>第</w:t>
          </w:r>
          <w:r>
            <w:rPr>
              <w:rFonts w:hint="eastAsia" w:ascii="仿宋" w:hAnsi="仿宋" w:eastAsia="仿宋" w:cs="仿宋"/>
              <w:bCs/>
              <w:spacing w:val="0"/>
              <w:w w:val="100"/>
              <w:position w:val="0"/>
              <w:sz w:val="24"/>
              <w:szCs w:val="36"/>
              <w:highlight w:val="none"/>
              <w:lang w:eastAsia="zh-CN"/>
            </w:rPr>
            <w:t>六</w:t>
          </w:r>
          <w:r>
            <w:rPr>
              <w:rFonts w:hint="eastAsia" w:ascii="仿宋" w:hAnsi="仿宋" w:eastAsia="仿宋" w:cs="仿宋"/>
              <w:bCs/>
              <w:spacing w:val="0"/>
              <w:w w:val="100"/>
              <w:position w:val="0"/>
              <w:sz w:val="24"/>
              <w:szCs w:val="36"/>
              <w:highlight w:val="none"/>
            </w:rPr>
            <w:t>部分</w:t>
          </w:r>
          <w:r>
            <w:rPr>
              <w:rFonts w:hint="eastAsia" w:ascii="仿宋" w:hAnsi="仿宋" w:eastAsia="仿宋" w:cs="仿宋"/>
              <w:bCs/>
              <w:spacing w:val="0"/>
              <w:w w:val="100"/>
              <w:position w:val="0"/>
              <w:sz w:val="24"/>
              <w:szCs w:val="36"/>
              <w:highlight w:val="none"/>
              <w:lang w:val="en-US" w:eastAsia="zh-CN"/>
            </w:rPr>
            <w:t xml:space="preserve">  </w:t>
          </w:r>
          <w:r>
            <w:rPr>
              <w:rFonts w:hint="eastAsia" w:ascii="仿宋" w:hAnsi="仿宋" w:eastAsia="仿宋" w:cs="仿宋"/>
              <w:bCs/>
              <w:spacing w:val="0"/>
              <w:w w:val="100"/>
              <w:position w:val="0"/>
              <w:sz w:val="24"/>
              <w:szCs w:val="36"/>
              <w:highlight w:val="none"/>
            </w:rPr>
            <w:t>投标文件格式</w:t>
          </w:r>
          <w:r>
            <w:rPr>
              <w:sz w:val="24"/>
              <w:szCs w:val="24"/>
              <w:highlight w:val="none"/>
            </w:rPr>
            <w:tab/>
          </w:r>
          <w:r>
            <w:rPr>
              <w:sz w:val="24"/>
              <w:szCs w:val="24"/>
              <w:highlight w:val="none"/>
            </w:rPr>
            <w:fldChar w:fldCharType="begin"/>
          </w:r>
          <w:r>
            <w:rPr>
              <w:sz w:val="24"/>
              <w:szCs w:val="24"/>
              <w:highlight w:val="none"/>
            </w:rPr>
            <w:instrText xml:space="preserve"> PAGEREF _Toc21488 \h </w:instrText>
          </w:r>
          <w:r>
            <w:rPr>
              <w:sz w:val="24"/>
              <w:szCs w:val="24"/>
              <w:highlight w:val="none"/>
            </w:rPr>
            <w:fldChar w:fldCharType="separate"/>
          </w:r>
          <w:r>
            <w:rPr>
              <w:sz w:val="24"/>
              <w:szCs w:val="24"/>
              <w:highlight w:val="none"/>
            </w:rPr>
            <w:t>63</w:t>
          </w:r>
          <w:r>
            <w:rPr>
              <w:sz w:val="24"/>
              <w:szCs w:val="24"/>
              <w:highlight w:val="none"/>
            </w:rPr>
            <w:fldChar w:fldCharType="end"/>
          </w:r>
          <w:r>
            <w:rPr>
              <w:rFonts w:hint="eastAsia" w:ascii="仿宋" w:hAnsi="仿宋" w:eastAsia="仿宋" w:cs="仿宋"/>
              <w:color w:val="auto"/>
              <w:sz w:val="24"/>
              <w:szCs w:val="32"/>
              <w:highlight w:val="none"/>
            </w:rPr>
            <w:fldChar w:fldCharType="end"/>
          </w:r>
        </w:p>
        <w:p>
          <w:pPr>
            <w:pStyle w:val="23"/>
            <w:tabs>
              <w:tab w:val="right" w:leader="hyphen" w:pos="9746"/>
            </w:tabs>
            <w:rPr>
              <w:highlight w:val="none"/>
            </w:rPr>
          </w:pPr>
        </w:p>
        <w:p>
          <w:pPr>
            <w:keepNext w:val="0"/>
            <w:keepLines w:val="0"/>
            <w:pageBreakBefore w:val="0"/>
            <w:widowControl/>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color w:val="auto"/>
              <w:sz w:val="30"/>
              <w:szCs w:val="30"/>
              <w:highlight w:val="none"/>
            </w:rPr>
          </w:pPr>
          <w:r>
            <w:rPr>
              <w:rFonts w:hint="eastAsia" w:ascii="仿宋" w:hAnsi="仿宋" w:eastAsia="仿宋" w:cs="仿宋"/>
              <w:color w:val="auto"/>
              <w:szCs w:val="32"/>
              <w:highlight w:val="none"/>
            </w:rPr>
            <w:fldChar w:fldCharType="end"/>
          </w:r>
        </w:p>
      </w:sdtContent>
    </w:sdt>
    <w:p>
      <w:pPr>
        <w:pStyle w:val="2"/>
        <w:numPr>
          <w:ilvl w:val="0"/>
          <w:numId w:val="0"/>
        </w:numPr>
        <w:ind w:leftChars="0" w:right="0" w:rightChars="0"/>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lang w:val="en-US" w:eastAsia="zh-CN"/>
        </w:rPr>
      </w:pPr>
    </w:p>
    <w:p>
      <w:pP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rPr>
      </w:pPr>
    </w:p>
    <w:p>
      <w:pPr>
        <w:pStyle w:val="39"/>
        <w:keepNext/>
        <w:keepLines/>
        <w:widowControl w:val="0"/>
        <w:shd w:val="clear" w:color="auto" w:fill="auto"/>
        <w:bidi w:val="0"/>
        <w:spacing w:before="120" w:after="300" w:line="240" w:lineRule="auto"/>
        <w:ind w:left="0" w:right="0" w:firstLine="0"/>
        <w:jc w:val="center"/>
        <w:outlineLvl w:val="9"/>
        <w:rPr>
          <w:rFonts w:hint="eastAsia" w:ascii="仿宋" w:hAnsi="仿宋" w:eastAsia="仿宋" w:cs="仿宋"/>
          <w:b/>
          <w:bCs/>
          <w:color w:val="auto"/>
          <w:spacing w:val="0"/>
          <w:w w:val="100"/>
          <w:position w:val="0"/>
          <w:sz w:val="36"/>
          <w:szCs w:val="36"/>
          <w:highlight w:val="none"/>
        </w:rPr>
        <w:sectPr>
          <w:pgSz w:w="11906" w:h="16838"/>
          <w:pgMar w:top="1440" w:right="1080" w:bottom="1440" w:left="1080" w:header="851" w:footer="992" w:gutter="0"/>
          <w:pgNumType w:fmt="decimal" w:start="1"/>
          <w:cols w:space="720" w:num="1"/>
          <w:docGrid w:type="linesAndChars" w:linePitch="312" w:charSpace="0"/>
        </w:sectPr>
      </w:pPr>
    </w:p>
    <w:p>
      <w:pPr>
        <w:pStyle w:val="39"/>
        <w:keepNext/>
        <w:keepLines/>
        <w:widowControl w:val="0"/>
        <w:shd w:val="clear" w:color="auto" w:fill="auto"/>
        <w:bidi w:val="0"/>
        <w:spacing w:before="120" w:after="300" w:line="240" w:lineRule="auto"/>
        <w:ind w:left="0" w:right="0" w:firstLine="0"/>
        <w:jc w:val="center"/>
        <w:outlineLvl w:val="0"/>
        <w:rPr>
          <w:rFonts w:hint="eastAsia" w:ascii="仿宋" w:hAnsi="仿宋" w:eastAsia="仿宋" w:cs="仿宋"/>
          <w:b/>
          <w:bCs/>
          <w:color w:val="auto"/>
          <w:sz w:val="36"/>
          <w:szCs w:val="36"/>
          <w:highlight w:val="none"/>
          <w:lang w:eastAsia="zh-CN"/>
        </w:rPr>
      </w:pPr>
      <w:bookmarkStart w:id="0" w:name="_Toc12194"/>
      <w:bookmarkStart w:id="1" w:name="_Toc28070"/>
      <w:bookmarkStart w:id="2" w:name="_Toc10738"/>
      <w:r>
        <w:rPr>
          <w:rFonts w:hint="eastAsia" w:ascii="仿宋" w:hAnsi="仿宋" w:eastAsia="仿宋" w:cs="仿宋"/>
          <w:b/>
          <w:bCs/>
          <w:color w:val="auto"/>
          <w:spacing w:val="0"/>
          <w:w w:val="100"/>
          <w:position w:val="0"/>
          <w:sz w:val="36"/>
          <w:szCs w:val="36"/>
          <w:highlight w:val="none"/>
        </w:rPr>
        <w:t>第一部分</w:t>
      </w:r>
      <w:r>
        <w:rPr>
          <w:rFonts w:hint="eastAsia" w:ascii="仿宋" w:hAnsi="仿宋" w:eastAsia="仿宋" w:cs="仿宋"/>
          <w:b/>
          <w:bCs/>
          <w:color w:val="auto"/>
          <w:spacing w:val="0"/>
          <w:w w:val="100"/>
          <w:position w:val="0"/>
          <w:sz w:val="36"/>
          <w:szCs w:val="36"/>
          <w:highlight w:val="none"/>
          <w:lang w:val="en-US" w:eastAsia="zh-CN"/>
        </w:rPr>
        <w:t xml:space="preserve"> </w:t>
      </w:r>
      <w:r>
        <w:rPr>
          <w:rFonts w:hint="eastAsia" w:ascii="仿宋" w:hAnsi="仿宋" w:eastAsia="仿宋" w:cs="仿宋"/>
          <w:b/>
          <w:bCs/>
          <w:color w:val="auto"/>
          <w:spacing w:val="0"/>
          <w:w w:val="100"/>
          <w:position w:val="0"/>
          <w:sz w:val="36"/>
          <w:szCs w:val="36"/>
          <w:highlight w:val="none"/>
          <w:lang w:eastAsia="zh-CN"/>
        </w:rPr>
        <w:t>招标公告</w:t>
      </w:r>
      <w:bookmarkEnd w:id="0"/>
      <w:bookmarkEnd w:id="1"/>
      <w:bookmarkEnd w:id="2"/>
    </w:p>
    <w:p>
      <w:pPr>
        <w:keepNext w:val="0"/>
        <w:keepLines w:val="0"/>
        <w:pageBreakBefore w:val="0"/>
        <w:shd w:val="clear" w:color="auto" w:fill="auto"/>
        <w:kinsoku/>
        <w:wordWrap/>
        <w:overflowPunct/>
        <w:topLinePunct w:val="0"/>
        <w:autoSpaceDE/>
        <w:autoSpaceDN/>
        <w:bidi w:val="0"/>
        <w:adjustRightInd w:val="0"/>
        <w:spacing w:line="120" w:lineRule="auto"/>
        <w:jc w:val="center"/>
        <w:rPr>
          <w:rFonts w:hint="eastAsia" w:ascii="仿宋" w:hAnsi="仿宋" w:eastAsia="仿宋" w:cs="仿宋"/>
          <w:b/>
          <w:color w:val="000000"/>
          <w:sz w:val="28"/>
          <w:szCs w:val="28"/>
          <w:highlight w:val="none"/>
          <w:shd w:val="clear" w:color="auto" w:fill="FFFFFF"/>
        </w:rPr>
      </w:pPr>
      <w:bookmarkStart w:id="3" w:name="_Toc28359001"/>
      <w:bookmarkStart w:id="4" w:name="_Toc35393789"/>
      <w:bookmarkStart w:id="5" w:name="_Toc29207"/>
      <w:bookmarkStart w:id="6" w:name="_Toc20056"/>
      <w:bookmarkStart w:id="7" w:name="_Toc7317"/>
      <w:r>
        <w:rPr>
          <w:rFonts w:hint="eastAsia" w:ascii="仿宋" w:hAnsi="仿宋" w:eastAsia="仿宋" w:cs="仿宋"/>
          <w:b/>
          <w:color w:val="000000"/>
          <w:sz w:val="28"/>
          <w:szCs w:val="28"/>
          <w:highlight w:val="none"/>
          <w:shd w:val="clear" w:color="auto" w:fill="FFFFFF"/>
          <w:lang w:val="en-US" w:eastAsia="zh-CN"/>
        </w:rPr>
        <w:t xml:space="preserve"> </w:t>
      </w:r>
      <w:bookmarkEnd w:id="3"/>
      <w:bookmarkEnd w:id="4"/>
      <w:r>
        <w:rPr>
          <w:rFonts w:hint="eastAsia" w:ascii="仿宋" w:hAnsi="仿宋" w:eastAsia="仿宋" w:cs="仿宋"/>
          <w:b/>
          <w:color w:val="000000"/>
          <w:sz w:val="28"/>
          <w:szCs w:val="28"/>
          <w:highlight w:val="none"/>
          <w:shd w:val="clear" w:color="auto" w:fill="FFFFFF"/>
          <w:lang w:val="en-US" w:eastAsia="zh-CN"/>
        </w:rPr>
        <w:t xml:space="preserve"> 上阿图什镇萨依村基础设施建设及户厕整村推进建设项目的</w:t>
      </w:r>
      <w:r>
        <w:rPr>
          <w:rFonts w:hint="eastAsia" w:ascii="仿宋" w:hAnsi="仿宋" w:eastAsia="仿宋" w:cs="仿宋"/>
          <w:b/>
          <w:color w:val="000000"/>
          <w:sz w:val="28"/>
          <w:szCs w:val="28"/>
          <w:highlight w:val="none"/>
          <w:shd w:val="clear" w:color="auto" w:fill="FFFFFF"/>
        </w:rPr>
        <w:t>公开招标公告</w:t>
      </w:r>
    </w:p>
    <w:p>
      <w:pPr>
        <w:pStyle w:val="37"/>
        <w:keepNext w:val="0"/>
        <w:keepLines w:val="0"/>
        <w:pageBreakBefore w:val="0"/>
        <w:shd w:val="clear" w:color="auto" w:fill="auto"/>
        <w:kinsoku/>
        <w:wordWrap/>
        <w:overflowPunct/>
        <w:topLinePunct w:val="0"/>
        <w:autoSpaceDE/>
        <w:autoSpaceDN/>
        <w:bidi w:val="0"/>
        <w:spacing w:line="120" w:lineRule="auto"/>
        <w:rPr>
          <w:rFonts w:hint="eastAsia" w:ascii="宋体" w:hAnsi="宋体" w:eastAsia="宋体" w:cs="宋体"/>
          <w:color w:val="000000"/>
          <w:sz w:val="18"/>
          <w:szCs w:val="18"/>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textAlignment w:val="auto"/>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ind w:firstLine="420" w:firstLineChars="200"/>
        <w:textAlignment w:val="auto"/>
        <w:rPr>
          <w:rFonts w:hint="eastAsia" w:ascii="仿宋" w:hAnsi="仿宋" w:eastAsia="仿宋" w:cs="仿宋"/>
          <w:i w:val="0"/>
          <w:iCs w:val="0"/>
          <w:caps w:val="0"/>
          <w:color w:val="000000"/>
          <w:spacing w:val="0"/>
          <w:sz w:val="24"/>
          <w:szCs w:val="24"/>
          <w:highlight w:val="none"/>
          <w:u w:val="none"/>
          <w:lang w:val="en-US" w:eastAsia="zh-CN"/>
        </w:rPr>
      </w:pPr>
      <w:r>
        <w:rPr>
          <w:rFonts w:hint="eastAsia" w:ascii="仿宋" w:hAnsi="仿宋" w:eastAsia="仿宋" w:cs="仿宋"/>
          <w:i w:val="0"/>
          <w:iCs w:val="0"/>
          <w:caps w:val="0"/>
          <w:color w:val="000000"/>
          <w:spacing w:val="0"/>
          <w:sz w:val="21"/>
          <w:szCs w:val="21"/>
          <w:lang w:eastAsia="zh-CN"/>
        </w:rPr>
        <w:t xml:space="preserve"> </w:t>
      </w:r>
      <w:r>
        <w:rPr>
          <w:rFonts w:hint="eastAsia" w:ascii="仿宋" w:hAnsi="仿宋" w:eastAsia="仿宋" w:cs="仿宋"/>
          <w:i w:val="0"/>
          <w:iCs w:val="0"/>
          <w:caps w:val="0"/>
          <w:color w:val="000000"/>
          <w:spacing w:val="0"/>
          <w:sz w:val="24"/>
          <w:szCs w:val="24"/>
          <w:lang w:eastAsia="zh-CN"/>
        </w:rPr>
        <w:t xml:space="preserve"> 上阿图什镇萨依村基础设施建设及户厕整村推进建设项目招标项目的潜在投标人应在供应商登陆政采云平台http://www.zcygov.cn/，在线申请获取招标文件（登录政府采购云平台 → 项目采购 → 获取招标文件→申请，审核通过后可下载招标文件，如有操作性问题，可与政采云在线客服进行咨询，咨询电话：95763）。获取招标文件，并于2023年03月20日 10:30（北京时间）前递交投标文件。</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b/>
          <w:bCs/>
          <w:color w:val="auto"/>
          <w:sz w:val="24"/>
          <w:szCs w:val="24"/>
          <w:highlight w:val="none"/>
          <w:lang w:val="en-US" w:eastAsia="zh-CN"/>
        </w:rPr>
      </w:pPr>
      <w:bookmarkStart w:id="96" w:name="_GoBack"/>
      <w:bookmarkEnd w:id="96"/>
      <w:r>
        <w:rPr>
          <w:rFonts w:hint="eastAsia" w:ascii="仿宋" w:hAnsi="仿宋" w:eastAsia="仿宋" w:cs="仿宋"/>
          <w:b/>
          <w:bCs/>
          <w:color w:val="auto"/>
          <w:sz w:val="24"/>
          <w:szCs w:val="24"/>
          <w:highlight w:val="none"/>
          <w:lang w:val="en-US" w:eastAsia="zh-CN"/>
        </w:rPr>
        <w:t>一、项目基本情况</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项目编号：ATSCG-2023010</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 上阿图什镇萨依村基础设施建设及户厕整村推进建设项目</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采购方式：公开招标</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预算金额（元）：4000000</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最高限价（元）：4000000</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 上阿图什镇萨依村基础设施建设及户厕整村推进建设项目</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数量:800</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预算金额（元）:4000000</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简要规格描述或项目基本概况介绍、用途：对萨依村800户进行户厕改造（具体详见采购清单或招标文件）。</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备注：</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合同履约期限：标项 1，自签订合同之日起180个日历日完成供货及安装。</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本项目（否）接受联合体投标。</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二、申请人的资格要求：</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2.落实政府采购政策需满足的资格要求：标项1：供应商为中小企业</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【标项1】</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（1）具有有效的三证合一营业执照副本；</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（2）具有授权委托书及被委托人身份证（法人提供法人证明书及法人身份证）；</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企业需提供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三、获取招标文件</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时间：2023年2月28日至2023年 3月9日，每天上午10:00至14:00，下午16:00至19:30（北京时间，法定节假日除外）</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地点：供应商登陆政采云平台http://www.zcygov.cn/，在线申请获取招标文件（登录政府采购云平台 → 项目采购 → 获取招标文件→申请，审核通过后可下载招标文件，如有操作性问题，可与政采云在线客服进行咨询，咨询电话：95763）。</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方式：（1）线上获取（登录政府采购云平台 → 项目采购 → 获取招标文件→ 申请，审核通过后可下载招标文件）。本次招标不提供纸质版招标文件。（2）供应商获取招标文件前应注册成为政府采购云平台正式供应商。</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售价（元）：0</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四、提交投标文件截止时间、开标时间和地点</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提交投标文件截止时间：2023年3月20日 10:30（北京时间）</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投标地点：政府采购云平台（www.zcygov.cn）</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开标时间：2023年3月20日 10:30（北京时间）</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开标地点：政府采购云平台（www.zcygov.cn）</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五、公告期限</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六、其他补充事宜</w:t>
      </w:r>
    </w:p>
    <w:p>
      <w:pPr>
        <w:keepNext w:val="0"/>
        <w:keepLines w:val="0"/>
        <w:pageBreakBefore w:val="0"/>
        <w:widowControl w:val="0"/>
        <w:shd w:val="clear" w:color="auto" w:fill="auto"/>
        <w:kinsoku/>
        <w:overflowPunct/>
        <w:topLinePunct w:val="0"/>
        <w:autoSpaceDE/>
        <w:autoSpaceDN/>
        <w:bidi w:val="0"/>
        <w:adjustRightInd/>
        <w:snapToGrid/>
        <w:spacing w:line="46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shd w:val="clear" w:color="auto" w:fill="auto"/>
        <w:kinsoku/>
        <w:overflowPunct/>
        <w:topLinePunct w:val="0"/>
        <w:autoSpaceDE/>
        <w:autoSpaceDN/>
        <w:bidi w:val="0"/>
        <w:adjustRightInd/>
        <w:snapToGrid/>
        <w:spacing w:line="46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overflowPunct/>
        <w:topLinePunct w:val="0"/>
        <w:autoSpaceDE/>
        <w:autoSpaceDN/>
        <w:bidi w:val="0"/>
        <w:adjustRightInd/>
        <w:snapToGrid/>
        <w:spacing w:line="46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overflowPunct/>
        <w:topLinePunct w:val="0"/>
        <w:autoSpaceDE/>
        <w:autoSpaceDN/>
        <w:bidi w:val="0"/>
        <w:adjustRightInd/>
        <w:snapToGrid/>
        <w:spacing w:line="46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 进行咨询。</w:t>
      </w:r>
    </w:p>
    <w:p>
      <w:pPr>
        <w:keepNext w:val="0"/>
        <w:keepLines w:val="0"/>
        <w:pageBreakBefore w:val="0"/>
        <w:widowControl w:val="0"/>
        <w:shd w:val="clear" w:color="auto" w:fill="auto"/>
        <w:kinsoku/>
        <w:overflowPunct/>
        <w:topLinePunct w:val="0"/>
        <w:autoSpaceDE/>
        <w:autoSpaceDN/>
        <w:bidi w:val="0"/>
        <w:adjustRightInd/>
        <w:snapToGrid/>
        <w:spacing w:line="46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val="0"/>
        <w:overflowPunct/>
        <w:topLinePunct w:val="0"/>
        <w:autoSpaceDE/>
        <w:autoSpaceDN/>
        <w:bidi w:val="0"/>
        <w:adjustRightInd/>
        <w:snapToGrid/>
        <w:spacing w:line="46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7.为了保证开评标顺利进行，政采云线上开标功能完全实现，供应商开标所使用的电脑设备须具有视频及语音功能。</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特别提示：</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outlineLvl w:val="9"/>
        <w:rPr>
          <w:rFonts w:hint="eastAsia"/>
          <w:lang w:val="en-US" w:eastAsia="zh-CN"/>
        </w:rPr>
      </w:pPr>
      <w:r>
        <w:rPr>
          <w:rFonts w:hint="eastAsia" w:ascii="仿宋" w:hAnsi="仿宋" w:eastAsia="仿宋" w:cs="仿宋"/>
          <w:color w:val="auto"/>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b/>
          <w:bCs/>
          <w:color w:val="auto"/>
          <w:sz w:val="24"/>
          <w:szCs w:val="24"/>
          <w:highlight w:val="none"/>
          <w:lang w:val="en-US" w:eastAsia="zh-CN"/>
        </w:rPr>
      </w:pP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七、对本次采购提出询问，请按以下方式联系</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1.采购人信息</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称：阿图什市上阿图什镇人民政府</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址：阿图什市上阿图什镇</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联系方式：17397857302</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2.采购代理机构信息</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称：新疆天勤工程管理有限公司</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址：克州阿图什市迎宾路80号三楼</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联系方式：13779615026</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ab/>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3.项目联系方式</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项目联系人：王先生</w:t>
      </w: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电 话：13779615026</w:t>
      </w:r>
    </w:p>
    <w:p>
      <w:pPr>
        <w:keepNext w:val="0"/>
        <w:keepLines w:val="0"/>
        <w:pageBreakBefore w:val="0"/>
        <w:widowControl w:val="0"/>
        <w:kinsoku/>
        <w:overflowPunct/>
        <w:topLinePunct w:val="0"/>
        <w:bidi w:val="0"/>
        <w:snapToGrid/>
        <w:spacing w:line="500" w:lineRule="exact"/>
        <w:textAlignment w:val="auto"/>
      </w:pPr>
    </w:p>
    <w:p>
      <w:pPr>
        <w:keepNext w:val="0"/>
        <w:keepLines w:val="0"/>
        <w:pageBreakBefore w:val="0"/>
        <w:widowControl w:val="0"/>
        <w:shd w:val="clear" w:color="auto" w:fill="auto"/>
        <w:kinsoku/>
        <w:overflowPunct/>
        <w:topLinePunct w:val="0"/>
        <w:bidi w:val="0"/>
        <w:snapToGrid/>
        <w:spacing w:line="500" w:lineRule="exact"/>
        <w:jc w:val="left"/>
        <w:textAlignment w:val="auto"/>
        <w:outlineLvl w:val="9"/>
        <w:rPr>
          <w:rFonts w:hint="eastAsia" w:ascii="仿宋" w:hAnsi="仿宋" w:eastAsia="仿宋" w:cs="仿宋"/>
          <w:color w:val="auto"/>
          <w:sz w:val="24"/>
          <w:szCs w:val="24"/>
          <w:lang w:val="en-US" w:eastAsia="zh-CN"/>
        </w:rPr>
      </w:pPr>
    </w:p>
    <w:p>
      <w:pPr>
        <w:keepNext w:val="0"/>
        <w:keepLines w:val="0"/>
        <w:pageBreakBefore w:val="0"/>
        <w:widowControl w:val="0"/>
        <w:kinsoku/>
        <w:overflowPunct/>
        <w:topLinePunct w:val="0"/>
        <w:bidi w:val="0"/>
        <w:snapToGrid/>
        <w:spacing w:line="500" w:lineRule="exact"/>
        <w:textAlignment w:val="auto"/>
      </w:pPr>
    </w:p>
    <w:p>
      <w:pPr>
        <w:shd w:val="clear" w:color="auto" w:fill="auto"/>
        <w:spacing w:line="360" w:lineRule="auto"/>
        <w:jc w:val="left"/>
        <w:outlineLvl w:val="9"/>
        <w:rPr>
          <w:rFonts w:hint="eastAsia" w:ascii="仿宋" w:hAnsi="仿宋" w:eastAsia="仿宋" w:cs="仿宋"/>
          <w:color w:val="auto"/>
          <w:sz w:val="24"/>
          <w:szCs w:val="24"/>
          <w:lang w:val="en-US" w:eastAsia="zh-CN"/>
        </w:rPr>
      </w:pPr>
    </w:p>
    <w:p/>
    <w:p/>
    <w:p>
      <w:pPr>
        <w:rPr>
          <w:rFonts w:hint="eastAsia" w:ascii="宋体" w:hAnsi="宋体" w:eastAsia="宋体" w:cs="宋体"/>
          <w:b/>
          <w:bCs/>
          <w:i w:val="0"/>
          <w:iCs w:val="0"/>
          <w:caps w:val="0"/>
          <w:color w:val="333333"/>
          <w:spacing w:val="0"/>
          <w:sz w:val="24"/>
          <w:szCs w:val="24"/>
        </w:rPr>
      </w:pPr>
    </w:p>
    <w:p>
      <w:pPr>
        <w:rPr>
          <w:rFonts w:hint="eastAsia" w:ascii="仿宋" w:hAnsi="仿宋" w:eastAsia="仿宋" w:cs="仿宋"/>
          <w:b/>
          <w:bCs/>
          <w:color w:val="auto"/>
          <w:spacing w:val="0"/>
          <w:w w:val="100"/>
          <w:position w:val="0"/>
          <w:sz w:val="36"/>
          <w:szCs w:val="36"/>
          <w:highlight w:val="none"/>
        </w:rPr>
      </w:pPr>
      <w:r>
        <w:rPr>
          <w:rFonts w:hint="eastAsia" w:ascii="仿宋" w:hAnsi="仿宋" w:eastAsia="仿宋" w:cs="仿宋"/>
          <w:b/>
          <w:bCs/>
          <w:color w:val="auto"/>
          <w:spacing w:val="0"/>
          <w:w w:val="100"/>
          <w:position w:val="0"/>
          <w:sz w:val="36"/>
          <w:szCs w:val="36"/>
          <w:highlight w:val="none"/>
        </w:rPr>
        <w:br w:type="page"/>
      </w:r>
    </w:p>
    <w:p>
      <w:pPr>
        <w:pStyle w:val="39"/>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center"/>
        <w:textAlignment w:val="auto"/>
        <w:outlineLvl w:val="9"/>
        <w:rPr>
          <w:rFonts w:hint="eastAsia" w:ascii="仿宋" w:hAnsi="仿宋" w:eastAsia="仿宋" w:cs="仿宋"/>
          <w:b/>
          <w:bCs/>
          <w:color w:val="auto"/>
          <w:sz w:val="36"/>
          <w:szCs w:val="36"/>
          <w:highlight w:val="none"/>
        </w:rPr>
      </w:pPr>
      <w:r>
        <w:rPr>
          <w:rFonts w:hint="eastAsia" w:ascii="仿宋" w:hAnsi="仿宋" w:eastAsia="仿宋" w:cs="仿宋"/>
          <w:b/>
          <w:bCs/>
          <w:color w:val="auto"/>
          <w:spacing w:val="0"/>
          <w:w w:val="100"/>
          <w:position w:val="0"/>
          <w:sz w:val="36"/>
          <w:szCs w:val="36"/>
          <w:highlight w:val="none"/>
        </w:rPr>
        <w:t>第二部分</w:t>
      </w:r>
      <w:r>
        <w:rPr>
          <w:rFonts w:hint="eastAsia" w:ascii="仿宋" w:hAnsi="仿宋" w:eastAsia="仿宋" w:cs="仿宋"/>
          <w:b/>
          <w:bCs/>
          <w:color w:val="auto"/>
          <w:spacing w:val="0"/>
          <w:w w:val="100"/>
          <w:position w:val="0"/>
          <w:sz w:val="36"/>
          <w:szCs w:val="36"/>
          <w:highlight w:val="none"/>
          <w:lang w:val="en-US" w:eastAsia="zh-CN"/>
        </w:rPr>
        <w:t xml:space="preserve"> </w:t>
      </w:r>
      <w:r>
        <w:rPr>
          <w:rFonts w:hint="eastAsia" w:ascii="仿宋" w:hAnsi="仿宋" w:eastAsia="仿宋" w:cs="仿宋"/>
          <w:b/>
          <w:bCs/>
          <w:color w:val="auto"/>
          <w:spacing w:val="0"/>
          <w:w w:val="100"/>
          <w:position w:val="0"/>
          <w:sz w:val="36"/>
          <w:szCs w:val="36"/>
          <w:highlight w:val="none"/>
        </w:rPr>
        <w:t>供应商须知</w:t>
      </w:r>
      <w:bookmarkEnd w:id="5"/>
      <w:bookmarkEnd w:id="6"/>
      <w:bookmarkEnd w:id="7"/>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outlineLvl w:val="9"/>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lang w:eastAsia="zh-CN"/>
        </w:rPr>
        <w:t>供应商</w:t>
      </w:r>
      <w:r>
        <w:rPr>
          <w:rFonts w:hint="eastAsia" w:ascii="仿宋" w:hAnsi="仿宋" w:eastAsia="仿宋" w:cs="仿宋"/>
          <w:b/>
          <w:bCs/>
          <w:color w:val="auto"/>
          <w:spacing w:val="0"/>
          <w:w w:val="100"/>
          <w:position w:val="0"/>
          <w:sz w:val="24"/>
          <w:szCs w:val="24"/>
          <w:highlight w:val="none"/>
        </w:rPr>
        <w:t>须知前附表</w:t>
      </w:r>
    </w:p>
    <w:tbl>
      <w:tblPr>
        <w:tblStyle w:val="27"/>
        <w:tblW w:w="10156" w:type="dxa"/>
        <w:jc w:val="center"/>
        <w:tblLayout w:type="fixed"/>
        <w:tblCellMar>
          <w:top w:w="0" w:type="dxa"/>
          <w:left w:w="108" w:type="dxa"/>
          <w:bottom w:w="0" w:type="dxa"/>
          <w:right w:w="108" w:type="dxa"/>
        </w:tblCellMar>
      </w:tblPr>
      <w:tblGrid>
        <w:gridCol w:w="468"/>
        <w:gridCol w:w="2192"/>
        <w:gridCol w:w="7496"/>
      </w:tblGrid>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 号</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名  称</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编  列  内  容</w:t>
            </w:r>
          </w:p>
        </w:tc>
      </w:tr>
      <w:tr>
        <w:tblPrEx>
          <w:tblCellMar>
            <w:top w:w="0" w:type="dxa"/>
            <w:left w:w="108" w:type="dxa"/>
            <w:bottom w:w="0" w:type="dxa"/>
            <w:right w:w="108" w:type="dxa"/>
          </w:tblCellMar>
        </w:tblPrEx>
        <w:trPr>
          <w:trHeight w:val="816" w:hRule="atLeast"/>
          <w:jc w:val="center"/>
        </w:trPr>
        <w:tc>
          <w:tcPr>
            <w:tcW w:w="468"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w:t>
            </w:r>
          </w:p>
        </w:tc>
        <w:tc>
          <w:tcPr>
            <w:tcW w:w="219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p>
          <w:p>
            <w:pPr>
              <w:shd w:val="clear" w:color="auto" w:fill="auto"/>
              <w:spacing w:line="360" w:lineRule="auto"/>
              <w:jc w:val="center"/>
              <w:outlineLvl w:val="9"/>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t>项目编号</w:t>
            </w:r>
          </w:p>
          <w:p>
            <w:pPr>
              <w:shd w:val="clear" w:color="auto" w:fill="auto"/>
              <w:spacing w:line="360" w:lineRule="auto"/>
              <w:jc w:val="center"/>
              <w:outlineLvl w:val="9"/>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t>项目内容</w:t>
            </w:r>
          </w:p>
          <w:p>
            <w:pPr>
              <w:shd w:val="clear" w:color="auto" w:fill="auto"/>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合同期限</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 上阿图什镇萨依村基础设施建设及户厕整村推进建设项目</w:t>
            </w:r>
          </w:p>
        </w:tc>
      </w:tr>
      <w:tr>
        <w:tblPrEx>
          <w:tblCellMar>
            <w:top w:w="0" w:type="dxa"/>
            <w:left w:w="108" w:type="dxa"/>
            <w:bottom w:w="0" w:type="dxa"/>
            <w:right w:w="108" w:type="dxa"/>
          </w:tblCellMar>
        </w:tblPrEx>
        <w:trPr>
          <w:trHeight w:val="816" w:hRule="atLeast"/>
          <w:jc w:val="center"/>
        </w:trPr>
        <w:tc>
          <w:tcPr>
            <w:tcW w:w="468" w:type="dxa"/>
            <w:vMerge w:val="continue"/>
            <w:tcBorders>
              <w:left w:val="single" w:color="auto" w:sz="4" w:space="0"/>
              <w:right w:val="single" w:color="auto" w:sz="4" w:space="0"/>
            </w:tcBorders>
            <w:noWrap w:val="0"/>
            <w:vAlign w:val="center"/>
          </w:tcPr>
          <w:p>
            <w:pPr>
              <w:shd w:val="clear" w:color="auto" w:fill="auto"/>
              <w:spacing w:line="360" w:lineRule="auto"/>
              <w:jc w:val="left"/>
              <w:outlineLvl w:val="9"/>
            </w:pPr>
          </w:p>
        </w:tc>
        <w:tc>
          <w:tcPr>
            <w:tcW w:w="2192" w:type="dxa"/>
            <w:vMerge w:val="continue"/>
            <w:tcBorders>
              <w:left w:val="single" w:color="auto" w:sz="4" w:space="0"/>
              <w:right w:val="single" w:color="auto" w:sz="4" w:space="0"/>
            </w:tcBorders>
            <w:noWrap w:val="0"/>
            <w:vAlign w:val="center"/>
          </w:tcPr>
          <w:p>
            <w:pPr>
              <w:shd w:val="clear" w:color="auto" w:fill="auto"/>
              <w:spacing w:line="360" w:lineRule="auto"/>
              <w:jc w:val="left"/>
              <w:outlineLvl w:val="9"/>
            </w:pP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项目编号：ATSCG-2023010</w:t>
            </w:r>
          </w:p>
        </w:tc>
      </w:tr>
      <w:tr>
        <w:tblPrEx>
          <w:tblCellMar>
            <w:top w:w="0" w:type="dxa"/>
            <w:left w:w="108" w:type="dxa"/>
            <w:bottom w:w="0" w:type="dxa"/>
            <w:right w:w="108" w:type="dxa"/>
          </w:tblCellMar>
        </w:tblPrEx>
        <w:trPr>
          <w:trHeight w:val="816" w:hRule="atLeast"/>
          <w:jc w:val="center"/>
        </w:trPr>
        <w:tc>
          <w:tcPr>
            <w:tcW w:w="468" w:type="dxa"/>
            <w:vMerge w:val="continue"/>
            <w:tcBorders>
              <w:left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p>
        </w:tc>
        <w:tc>
          <w:tcPr>
            <w:tcW w:w="2192" w:type="dxa"/>
            <w:vMerge w:val="continue"/>
            <w:tcBorders>
              <w:left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项目内容：对萨依村800户进行户厕改造（具体详见采购清单或招标文件）。</w:t>
            </w:r>
          </w:p>
        </w:tc>
      </w:tr>
      <w:tr>
        <w:tblPrEx>
          <w:tblCellMar>
            <w:top w:w="0" w:type="dxa"/>
            <w:left w:w="108" w:type="dxa"/>
            <w:bottom w:w="0" w:type="dxa"/>
            <w:right w:w="108" w:type="dxa"/>
          </w:tblCellMar>
        </w:tblPrEx>
        <w:trPr>
          <w:trHeight w:val="816" w:hRule="atLeast"/>
          <w:jc w:val="center"/>
        </w:trPr>
        <w:tc>
          <w:tcPr>
            <w:tcW w:w="468"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p>
        </w:tc>
        <w:tc>
          <w:tcPr>
            <w:tcW w:w="219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合同期限：自签订合同之日起180个日历日完成供货及安装。</w:t>
            </w:r>
          </w:p>
          <w:p>
            <w:pPr>
              <w:shd w:val="clear" w:color="auto" w:fill="auto"/>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具体时间按照甲乙双方合同约定执行 。</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采购人信息</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称：阿图什市上阿图什镇人民政府</w:t>
            </w:r>
          </w:p>
          <w:p>
            <w:pPr>
              <w:shd w:val="clear" w:color="auto" w:fill="auto"/>
              <w:spacing w:line="360" w:lineRule="auto"/>
              <w:jc w:val="left"/>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联系人：张先生       电  话：17397857302</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称：新疆天勤工程管理有限公司</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地  址：克州阿图什市迎宾路80号三楼 </w:t>
            </w:r>
          </w:p>
          <w:p>
            <w:pPr>
              <w:shd w:val="clear" w:color="auto" w:fill="auto"/>
              <w:spacing w:line="360" w:lineRule="auto"/>
              <w:jc w:val="left"/>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联系人：王</w:t>
            </w:r>
            <w:r>
              <w:rPr>
                <w:rFonts w:hint="eastAsia" w:ascii="仿宋" w:hAnsi="仿宋" w:eastAsia="仿宋" w:cs="仿宋"/>
                <w:b w:val="0"/>
                <w:color w:val="auto"/>
                <w:kern w:val="2"/>
                <w:sz w:val="24"/>
                <w:szCs w:val="24"/>
                <w:highlight w:val="none"/>
                <w:lang w:val="en-US" w:eastAsia="zh-CN" w:bidi="ar-SA"/>
              </w:rPr>
              <w:t>先生</w:t>
            </w:r>
            <w:r>
              <w:rPr>
                <w:rFonts w:hint="eastAsia" w:ascii="仿宋" w:hAnsi="仿宋" w:eastAsia="仿宋" w:cs="仿宋"/>
                <w:b w:val="0"/>
                <w:bCs w:val="0"/>
                <w:color w:val="auto"/>
                <w:sz w:val="24"/>
                <w:szCs w:val="24"/>
                <w:highlight w:val="none"/>
                <w:lang w:val="en-US" w:eastAsia="zh-CN"/>
              </w:rPr>
              <w:t xml:space="preserve">       电  话：13779615026</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实施地点</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阿图什市上阿图什镇萨依村</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资格要求</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1.满足《中华人民共和国政府采购法》第二十二条规定；</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2.落实政府采购政策需满足的资格要求：标项1：供应商为中小企业</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3.本项目的特定资格要求：</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（1）具有有效的三证合一营业执照副本；</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（2）具有授权委托书及被委托人身份证（法人提供法人证明书及法人身份证）；</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投标企业需提供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4.本项目不接受联合体投标；</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资金来源</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2023年财政资金</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付款方式</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Times New Roman" w:hAnsi="Times New Roman" w:eastAsia="仿宋" w:cs="Times New Roman"/>
                <w:b w:val="0"/>
                <w:bCs/>
                <w:szCs w:val="21"/>
                <w:highlight w:val="none"/>
              </w:rPr>
              <w:t>合同签订后，一次性支付合同价的30%作为预付款，</w:t>
            </w:r>
            <w:r>
              <w:rPr>
                <w:rFonts w:hint="eastAsia" w:ascii="Times New Roman" w:hAnsi="Times New Roman" w:eastAsia="仿宋" w:cs="Times New Roman"/>
                <w:b w:val="0"/>
                <w:bCs/>
                <w:szCs w:val="21"/>
                <w:highlight w:val="none"/>
                <w:lang w:eastAsia="zh-CN"/>
              </w:rPr>
              <w:t>项目</w:t>
            </w:r>
            <w:r>
              <w:rPr>
                <w:rFonts w:hint="eastAsia" w:ascii="Times New Roman" w:hAnsi="Times New Roman" w:eastAsia="仿宋" w:cs="Times New Roman"/>
                <w:b w:val="0"/>
                <w:bCs/>
                <w:szCs w:val="21"/>
                <w:highlight w:val="none"/>
              </w:rPr>
              <w:t>进度达到60%支付30%，验收</w:t>
            </w:r>
            <w:r>
              <w:rPr>
                <w:rFonts w:hint="eastAsia" w:ascii="Times New Roman" w:hAnsi="Times New Roman" w:eastAsia="仿宋" w:cs="Times New Roman"/>
                <w:b w:val="0"/>
                <w:bCs/>
                <w:szCs w:val="21"/>
                <w:highlight w:val="none"/>
                <w:lang w:eastAsia="zh-CN"/>
              </w:rPr>
              <w:t>合格后支付</w:t>
            </w:r>
            <w:r>
              <w:rPr>
                <w:rFonts w:hint="eastAsia" w:eastAsia="仿宋" w:cs="Times New Roman"/>
                <w:b w:val="0"/>
                <w:bCs/>
                <w:szCs w:val="21"/>
                <w:highlight w:val="none"/>
                <w:lang w:val="en-US" w:eastAsia="zh-CN"/>
              </w:rPr>
              <w:t>合同</w:t>
            </w:r>
            <w:r>
              <w:rPr>
                <w:rFonts w:hint="eastAsia" w:ascii="Times New Roman" w:hAnsi="Times New Roman" w:eastAsia="仿宋" w:cs="Times New Roman"/>
                <w:b w:val="0"/>
                <w:bCs/>
                <w:szCs w:val="21"/>
                <w:highlight w:val="none"/>
                <w:lang w:eastAsia="zh-CN"/>
              </w:rPr>
              <w:t>总价的</w:t>
            </w:r>
            <w:r>
              <w:rPr>
                <w:rFonts w:hint="eastAsia" w:ascii="Times New Roman" w:hAnsi="Times New Roman" w:eastAsia="仿宋" w:cs="Times New Roman"/>
                <w:b w:val="0"/>
                <w:bCs/>
                <w:szCs w:val="21"/>
                <w:highlight w:val="none"/>
                <w:lang w:val="en-US" w:eastAsia="zh-CN"/>
              </w:rPr>
              <w:t>100</w:t>
            </w:r>
            <w:r>
              <w:rPr>
                <w:rFonts w:hint="eastAsia" w:ascii="Times New Roman" w:hAnsi="Times New Roman" w:eastAsia="仿宋" w:cs="Times New Roman"/>
                <w:b w:val="0"/>
                <w:bCs/>
                <w:szCs w:val="21"/>
                <w:highlight w:val="none"/>
                <w:lang w:eastAsia="zh-CN"/>
              </w:rPr>
              <w:t>%。</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8</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招标方式</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公开招标(本项目采用网上电子招投标)  </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9</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供应商信用查询</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1、查询渠道：信用中国（网址：http://www.creditchina.gov.cn）、中国政府采购网(网址：http://www.ccgp.gov.cn）。</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2、截止时点：开标后评标前。</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3、信用信息查询记录和证据留存的具体方式：由采购组织机构在规定查询时间内打印信用信息查询记录并归入项目档案。</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是否接受联合体投标</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■不接受</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□接  受</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11</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 （开标时间）</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截止时间：2023年3月20日10时30分（北京时间）</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12</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投标有效期</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60 天</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13</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投标保证金要求：</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投标保证金交纳方式：投标保证金应当以支票、汇票、本票、网上银行支付或者金融机构、担保机构出具的保函等非现金形式交纳。</w:t>
            </w:r>
          </w:p>
          <w:p>
            <w:pPr>
              <w:shd w:val="clear" w:color="auto" w:fill="auto"/>
              <w:spacing w:line="360" w:lineRule="auto"/>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投标保证金的金额：</w:t>
            </w:r>
            <w:r>
              <w:rPr>
                <w:rFonts w:hint="eastAsia" w:ascii="仿宋" w:hAnsi="仿宋" w:eastAsia="仿宋" w:cs="仿宋"/>
                <w:b/>
                <w:bCs/>
                <w:color w:val="auto"/>
                <w:sz w:val="24"/>
                <w:szCs w:val="24"/>
                <w:highlight w:val="none"/>
                <w:lang w:val="en-US" w:eastAsia="zh-CN"/>
              </w:rPr>
              <w:t>65000元；（陆万伍仟元整）</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投标保证金缴纳要求：1、投标保证金以电汇、网银等转账形式提交的，应在投标截止时间</w:t>
            </w:r>
            <w:r>
              <w:rPr>
                <w:rFonts w:hint="eastAsia" w:ascii="仿宋" w:hAnsi="仿宋" w:eastAsia="仿宋" w:cs="仿宋"/>
                <w:b/>
                <w:bCs/>
                <w:color w:val="auto"/>
                <w:sz w:val="24"/>
                <w:szCs w:val="24"/>
                <w:highlight w:val="none"/>
                <w:lang w:val="en-US" w:eastAsia="zh-CN"/>
              </w:rPr>
              <w:t>2023年03月20日 10:30</w:t>
            </w:r>
            <w:r>
              <w:rPr>
                <w:rFonts w:hint="eastAsia" w:ascii="仿宋" w:hAnsi="仿宋" w:eastAsia="仿宋" w:cs="仿宋"/>
                <w:b w:val="0"/>
                <w:bCs w:val="0"/>
                <w:color w:val="auto"/>
                <w:sz w:val="24"/>
                <w:szCs w:val="24"/>
                <w:highlight w:val="none"/>
                <w:lang w:val="en-US" w:eastAsia="zh-CN"/>
              </w:rPr>
              <w:t>（北京时间）前以总公司的基本账户一次性汇入指定账户（以到账时间为准），不接受现金及任何个人汇款。确认到账后，手持汇款银行电子回单及基本账户信息/开户许可证复印件（两份）；（一份加盖上企业公章，另一份无需盖章留有空白），到阿图什市政务服务和公共资源交易中心财务室核查缴纳情况，缴纳成功的由阿图什市政务服务和公共资源交易中心财务室在企业携带的银行回单上加盖财务章专用章，作为该项目投标保证金的缴纳依据。</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2、其他特殊情况处理：有效投标保证金成功交纳后，截止开标时间，供应商无正当理由不参加该项目投标且不递交弃标函，投标保证金不予退还。</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户名：阿图什市政务服务和公共资源交易中心</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账号：30456301040005267</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行名：中国农业银行阿图什市天山分理处</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行号：103893045636</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联系人：祝女士</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电话：0908-4222076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1、缴纳时必须写清楚某某项目投标保证金,在核查投标保证金时请统一用A4纸打印银行回单。2、投标保证金退还（招投标结束中标结果公示后）：</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①、投标企业：待开标完成后，3至5个工作日以内政资中心财务人员将收取的项目投标保证金按投标企业基本户退回。②、中标企业：需提供已签订合同复印件一份（并携带合同原件，由中心工作人员核对后退还）。                            </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是否允许递交备选投标方案</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■不允许</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□允  许</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招标文件领取</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时间：2023年 02 月 28日至2023年03月09日，</w:t>
            </w:r>
            <w:r>
              <w:rPr>
                <w:rFonts w:hint="eastAsia" w:ascii="仿宋" w:hAnsi="仿宋" w:eastAsia="仿宋" w:cs="仿宋"/>
                <w:b w:val="0"/>
                <w:bCs w:val="0"/>
                <w:color w:val="auto"/>
                <w:sz w:val="24"/>
                <w:szCs w:val="24"/>
                <w:highlight w:val="none"/>
                <w:lang w:val="en-US" w:eastAsia="zh-CN"/>
              </w:rPr>
              <w:t>每天上午10:00至14:00，下午16:00至19：30（北京时间，节假日除外）</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方式：（1）线上获取（登录政府采购云平台 → 项目采购 → 获取招标文件 → 申请，审核通过后可下载招标文件 ）。本次招标不提供纸质版招标文件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（2）供应商获取招标文件前应注册成为政府采购云平台正式供应商。</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投标文件形式</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电子投标文件包括“电子加密投标文件”和“备份投标文件”，在投标文件编制完成后同时生成。</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1、“电子加密投标文件”是指通过“政采云电子交易客户端”完成投标文件编制后生成并加密的数据电文形式的投标文件。</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4069"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17</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投标文件份数及要求</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1、一份电子加密标书（“.jmbs”格式），一份备份标书文件（“.bfbs”格式）。</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2、每份电子投标文件应包括资格证明文件和商务及技术文件两部分。</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bCs/>
                <w:color w:val="auto"/>
                <w:sz w:val="24"/>
                <w:szCs w:val="24"/>
                <w:highlight w:val="none"/>
                <w:lang w:val="en-US" w:eastAsia="zh-CN"/>
              </w:rPr>
              <w:t>待开标结束后，各投标企业请于2023年03月27日19:30前提供纸质投标文件肆份并承诺与纸质投标文件内容一致的承诺书至新疆天勤工程管理有限公司（克州阿图什市迎宾路80号三楼）。投标人可采用邮寄方式提供纸质版投标文件（收件地址：克州阿图什市迎宾路80号三楼，收件人：王先生，电话：18104746080），费用自行承担。</w:t>
            </w:r>
          </w:p>
        </w:tc>
      </w:tr>
      <w:tr>
        <w:tblPrEx>
          <w:tblCellMar>
            <w:top w:w="0" w:type="dxa"/>
            <w:left w:w="108" w:type="dxa"/>
            <w:bottom w:w="0" w:type="dxa"/>
            <w:right w:w="108" w:type="dxa"/>
          </w:tblCellMar>
        </w:tblPrEx>
        <w:trPr>
          <w:trHeight w:val="57" w:hRule="atLeast"/>
          <w:jc w:val="center"/>
        </w:trPr>
        <w:tc>
          <w:tcPr>
            <w:tcW w:w="468"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w:t>
            </w:r>
          </w:p>
        </w:tc>
        <w:tc>
          <w:tcPr>
            <w:tcW w:w="219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投标文件的上传和递交</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a.供应商未能在投标截止时间前成功上传电子加密投标文件的投标无效。</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b.供应商成功上传电子加密投标文件后，可自行打印投标文件接收回执。</w:t>
            </w:r>
          </w:p>
        </w:tc>
      </w:tr>
      <w:tr>
        <w:tblPrEx>
          <w:tblCellMar>
            <w:top w:w="0" w:type="dxa"/>
            <w:left w:w="108" w:type="dxa"/>
            <w:bottom w:w="0" w:type="dxa"/>
            <w:right w:w="108" w:type="dxa"/>
          </w:tblCellMar>
        </w:tblPrEx>
        <w:trPr>
          <w:trHeight w:val="57" w:hRule="atLeast"/>
          <w:jc w:val="center"/>
        </w:trPr>
        <w:tc>
          <w:tcPr>
            <w:tcW w:w="468"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p>
        </w:tc>
        <w:tc>
          <w:tcPr>
            <w:tcW w:w="219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7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highlight w:val="none"/>
                <w:u w:val="single"/>
                <w:lang w:val="en-US" w:bidi="zh-CN"/>
              </w:rPr>
              <w:t>820740061@qq.com</w:t>
            </w:r>
            <w:r>
              <w:rPr>
                <w:rStyle w:val="31"/>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val="en-US" w:bidi="zh-CN"/>
              </w:rPr>
              <w:t>王</w:t>
            </w:r>
            <w:r>
              <w:rPr>
                <w:rFonts w:hint="eastAsia" w:ascii="仿宋" w:hAnsi="仿宋" w:eastAsia="仿宋" w:cs="仿宋"/>
                <w:color w:val="auto"/>
                <w:sz w:val="24"/>
                <w:szCs w:val="24"/>
                <w:highlight w:val="none"/>
                <w:u w:val="single"/>
                <w:lang w:bidi="zh-CN"/>
              </w:rPr>
              <w:t>先生</w:t>
            </w:r>
            <w:r>
              <w:rPr>
                <w:rStyle w:val="31"/>
                <w:rFonts w:hint="eastAsia" w:ascii="仿宋" w:hAnsi="仿宋" w:eastAsia="仿宋" w:cs="仿宋"/>
                <w:color w:val="auto"/>
                <w:sz w:val="24"/>
                <w:szCs w:val="24"/>
                <w:highlight w:val="none"/>
                <w:u w:val="single"/>
                <w:lang w:bidi="zh-CN"/>
              </w:rPr>
              <w:t>，电话：</w:t>
            </w:r>
            <w:r>
              <w:rPr>
                <w:rStyle w:val="31"/>
                <w:rFonts w:hint="eastAsia" w:ascii="仿宋" w:hAnsi="仿宋" w:eastAsia="仿宋" w:cs="仿宋"/>
                <w:color w:val="auto"/>
                <w:sz w:val="24"/>
                <w:szCs w:val="24"/>
                <w:highlight w:val="none"/>
                <w:u w:val="single"/>
                <w:lang w:val="en-US" w:bidi="zh-CN"/>
              </w:rPr>
              <w:t xml:space="preserve">18104746080 </w:t>
            </w:r>
            <w:r>
              <w:rPr>
                <w:rFonts w:hint="eastAsia" w:ascii="仿宋" w:hAnsi="仿宋" w:eastAsia="仿宋" w:cs="仿宋"/>
                <w:b w:val="0"/>
                <w:bCs w:val="0"/>
                <w:color w:val="auto"/>
                <w:sz w:val="24"/>
                <w:szCs w:val="24"/>
                <w:highlight w:val="none"/>
                <w:lang w:val="en-US" w:eastAsia="zh-CN"/>
              </w:rPr>
              <w:t>），“备份投标文件”由供应商自愿提供，招标文件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19</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评标委员会的组建</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评标委员会由招标人依法组建；</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评标专家确定方式：专家评委由招标人在开标前从政采云专家库中随机抽取</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是否授权评标委员会确定中标候选人</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en-US" w:eastAsia="zh-CN"/>
              </w:rPr>
              <w:t>是，评标委员会推荐3名中标候选人。</w:t>
            </w:r>
            <w:r>
              <w:rPr>
                <w:rFonts w:hint="eastAsia" w:ascii="仿宋" w:hAnsi="仿宋" w:eastAsia="仿宋" w:cs="仿宋"/>
                <w:b w:val="0"/>
                <w:bCs w:val="0"/>
                <w:color w:val="auto"/>
                <w:sz w:val="24"/>
                <w:szCs w:val="24"/>
                <w:highlight w:val="none"/>
                <w:lang w:val="en-US" w:eastAsia="zh-CN"/>
              </w:rPr>
              <w:tab/>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递交投标文件地点</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投标截止时间：2023年 03月20日10时30分（北京时间）</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投标地点：</w:t>
            </w:r>
            <w:r>
              <w:rPr>
                <w:rFonts w:hint="eastAsia" w:ascii="仿宋" w:hAnsi="仿宋" w:eastAsia="仿宋" w:cs="仿宋"/>
                <w:color w:val="auto"/>
                <w:sz w:val="24"/>
                <w:szCs w:val="24"/>
                <w:highlight w:val="none"/>
                <w:lang w:val="en-US" w:eastAsia="zh-CN"/>
              </w:rPr>
              <w:t>政府采购云平台（www.zcygov.cn）</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22</w:t>
            </w:r>
          </w:p>
        </w:tc>
        <w:tc>
          <w:tcPr>
            <w:tcW w:w="2192"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开标时间和地点</w:t>
            </w:r>
          </w:p>
        </w:tc>
        <w:tc>
          <w:tcPr>
            <w:tcW w:w="7496"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开标时间：2023年 03月20日10时30分（北京时间）</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开标地点：</w:t>
            </w:r>
            <w:r>
              <w:rPr>
                <w:rFonts w:hint="eastAsia" w:ascii="仿宋" w:hAnsi="仿宋" w:eastAsia="仿宋" w:cs="仿宋"/>
                <w:color w:val="auto"/>
                <w:sz w:val="24"/>
                <w:szCs w:val="24"/>
                <w:highlight w:val="none"/>
                <w:lang w:val="en-US" w:eastAsia="zh-CN"/>
              </w:rPr>
              <w:t>政府采购云平台（www.zcygov.cn）</w:t>
            </w:r>
            <w:r>
              <w:rPr>
                <w:rFonts w:hint="eastAsia" w:ascii="仿宋" w:hAnsi="仿宋" w:eastAsia="仿宋" w:cs="仿宋"/>
                <w:b w:val="0"/>
                <w:bCs w:val="0"/>
                <w:color w:val="auto"/>
                <w:sz w:val="24"/>
                <w:szCs w:val="24"/>
                <w:highlight w:val="none"/>
                <w:lang w:val="en-US" w:eastAsia="zh-CN"/>
              </w:rPr>
              <w:t xml:space="preserve">       </w:t>
            </w:r>
          </w:p>
        </w:tc>
      </w:tr>
      <w:tr>
        <w:tblPrEx>
          <w:tblCellMar>
            <w:top w:w="0" w:type="dxa"/>
            <w:left w:w="108" w:type="dxa"/>
            <w:bottom w:w="0" w:type="dxa"/>
            <w:right w:w="108" w:type="dxa"/>
          </w:tblCellMar>
        </w:tblPrEx>
        <w:trPr>
          <w:trHeight w:val="57" w:hRule="atLeast"/>
          <w:jc w:val="center"/>
        </w:trPr>
        <w:tc>
          <w:tcPr>
            <w:tcW w:w="468"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w:t>
            </w:r>
          </w:p>
        </w:tc>
        <w:tc>
          <w:tcPr>
            <w:tcW w:w="219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重要说明</w:t>
            </w:r>
          </w:p>
        </w:tc>
        <w:tc>
          <w:tcPr>
            <w:tcW w:w="7496"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b w:val="0"/>
                <w:bCs w:val="0"/>
                <w:color w:val="auto"/>
                <w:sz w:val="24"/>
                <w:szCs w:val="24"/>
                <w:highlight w:val="none"/>
                <w:lang w:val="en-US"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57" w:hRule="atLeast"/>
          <w:jc w:val="center"/>
        </w:trPr>
        <w:tc>
          <w:tcPr>
            <w:tcW w:w="468"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219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1、电子招投标情况说明：</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（1）电子招投标：本项目以数据电文形式，依托“政府采购云平台（www.zcygov.cn）”进行招投标活动。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（3）招标文件的获取：使用账号登录或者短信验证码或者使用CA登录政采云平台；进入“项目采购”应用，在获取招标文件 菜单中选择项目，获取招标文件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（4）投标文件的制作：在“政采云电子交易客户端”中完成“填写基本信息”、“导入投标文件”、“标书关联”、“标书检查”、“电子签名”、“生成电子标书”等操作。</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（5）投标文件的传输递交：供应商在投标截止时间前将加密的投标文件上传至政府采购云平台，还可以在投标截止时间前以电子邮件方式提供备份投标文件1份（接收人邮箱：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highlight w:val="none"/>
                <w:u w:val="single"/>
                <w:lang w:val="en-US" w:bidi="zh-CN"/>
              </w:rPr>
              <w:t>820740061@qq.com</w:t>
            </w:r>
            <w:r>
              <w:rPr>
                <w:rStyle w:val="31"/>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val="en-US" w:bidi="zh-CN"/>
              </w:rPr>
              <w:t>王</w:t>
            </w:r>
            <w:r>
              <w:rPr>
                <w:rFonts w:hint="eastAsia" w:ascii="仿宋" w:hAnsi="仿宋" w:eastAsia="仿宋" w:cs="仿宋"/>
                <w:color w:val="auto"/>
                <w:sz w:val="24"/>
                <w:szCs w:val="24"/>
                <w:highlight w:val="none"/>
                <w:u w:val="single"/>
                <w:lang w:bidi="zh-CN"/>
              </w:rPr>
              <w:t>先生</w:t>
            </w:r>
            <w:r>
              <w:rPr>
                <w:rStyle w:val="31"/>
                <w:rFonts w:hint="eastAsia" w:ascii="仿宋" w:hAnsi="仿宋" w:eastAsia="仿宋" w:cs="仿宋"/>
                <w:color w:val="auto"/>
                <w:sz w:val="24"/>
                <w:szCs w:val="24"/>
                <w:highlight w:val="none"/>
                <w:u w:val="single"/>
                <w:lang w:bidi="zh-CN"/>
              </w:rPr>
              <w:t>，电话：</w:t>
            </w:r>
            <w:r>
              <w:rPr>
                <w:rStyle w:val="31"/>
                <w:rFonts w:hint="eastAsia" w:ascii="仿宋" w:hAnsi="仿宋" w:eastAsia="仿宋" w:cs="仿宋"/>
                <w:color w:val="auto"/>
                <w:sz w:val="24"/>
                <w:szCs w:val="24"/>
                <w:highlight w:val="none"/>
                <w:u w:val="single"/>
                <w:lang w:val="en-US" w:bidi="zh-CN"/>
              </w:rPr>
              <w:t>18104746080</w:t>
            </w:r>
            <w:r>
              <w:rPr>
                <w:rFonts w:hint="eastAsia" w:ascii="仿宋" w:hAnsi="仿宋" w:eastAsia="仿宋" w:cs="仿宋"/>
                <w:color w:val="auto"/>
                <w:sz w:val="24"/>
                <w:szCs w:val="24"/>
                <w:highlight w:val="none"/>
                <w:lang w:bidi="zh-CN"/>
              </w:rPr>
              <w:t>）</w:t>
            </w:r>
            <w:r>
              <w:rPr>
                <w:rFonts w:hint="eastAsia" w:ascii="仿宋" w:hAnsi="仿宋" w:eastAsia="仿宋" w:cs="仿宋"/>
                <w:b w:val="0"/>
                <w:bCs w:val="0"/>
                <w:color w:val="auto"/>
                <w:sz w:val="24"/>
                <w:szCs w:val="24"/>
                <w:highlight w:val="none"/>
                <w:lang w:val="en-US" w:eastAsia="zh-CN"/>
              </w:rPr>
              <w:t>，备份投标文件可以打包压缩并加密，压缩包命名为“XX单位备份投标文件”，加密密码由供应商自行保管（“备份投标文件”由供应商自愿提供，招标文件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（7）具体操作指南：详见政采云平台“服务中心-帮助文档-项目采购-操作流程-电子招投标-政府采购项目电子交易管理操作指南-供应商”。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（8）供应商在进行上述操作时，如遇技术问题可登录政采云（https://</w:t>
            </w:r>
            <w:r>
              <w:rPr>
                <w:rFonts w:hint="eastAsia" w:ascii="仿宋" w:hAnsi="仿宋" w:eastAsia="仿宋" w:cs="仿宋"/>
                <w:b w:val="0"/>
                <w:bCs w:val="0"/>
                <w:color w:val="auto"/>
                <w:sz w:val="24"/>
                <w:szCs w:val="24"/>
                <w:highlight w:val="none"/>
                <w:lang w:val="en-US" w:eastAsia="zh-CN"/>
              </w:rPr>
              <w:fldChar w:fldCharType="begin"/>
            </w:r>
            <w:r>
              <w:rPr>
                <w:rFonts w:hint="eastAsia" w:ascii="仿宋" w:hAnsi="仿宋" w:eastAsia="仿宋" w:cs="仿宋"/>
                <w:b w:val="0"/>
                <w:bCs w:val="0"/>
                <w:color w:val="auto"/>
                <w:sz w:val="24"/>
                <w:szCs w:val="24"/>
                <w:highlight w:val="none"/>
                <w:lang w:val="en-US" w:eastAsia="zh-CN"/>
              </w:rPr>
              <w:instrText xml:space="preserve">HYPERLINK "http://www.zcygov.cn/" \h</w:instrText>
            </w:r>
            <w:r>
              <w:rPr>
                <w:rFonts w:hint="eastAsia" w:ascii="仿宋" w:hAnsi="仿宋" w:eastAsia="仿宋" w:cs="仿宋"/>
                <w:b w:val="0"/>
                <w:bCs w:val="0"/>
                <w:color w:val="auto"/>
                <w:sz w:val="24"/>
                <w:szCs w:val="24"/>
                <w:highlight w:val="none"/>
                <w:lang w:val="en-US" w:eastAsia="zh-CN"/>
              </w:rPr>
              <w:fldChar w:fldCharType="separate"/>
            </w:r>
            <w:r>
              <w:rPr>
                <w:rFonts w:hint="eastAsia" w:ascii="仿宋" w:hAnsi="仿宋" w:eastAsia="仿宋" w:cs="仿宋"/>
                <w:b w:val="0"/>
                <w:bCs w:val="0"/>
                <w:color w:val="auto"/>
                <w:sz w:val="24"/>
                <w:szCs w:val="24"/>
                <w:highlight w:val="none"/>
                <w:lang w:val="en-US" w:eastAsia="zh-CN"/>
              </w:rPr>
              <w:t>www.zcygov.cn/</w:t>
            </w:r>
            <w:r>
              <w:rPr>
                <w:rFonts w:hint="eastAsia" w:ascii="仿宋" w:hAnsi="仿宋" w:eastAsia="仿宋" w:cs="仿宋"/>
                <w:b w:val="0"/>
                <w:bCs w:val="0"/>
                <w:color w:val="auto"/>
                <w:sz w:val="24"/>
                <w:szCs w:val="24"/>
                <w:highlight w:val="none"/>
                <w:lang w:val="en-US" w:eastAsia="zh-CN"/>
              </w:rPr>
              <w:fldChar w:fldCharType="end"/>
            </w:r>
            <w:r>
              <w:rPr>
                <w:rFonts w:hint="eastAsia" w:ascii="仿宋" w:hAnsi="仿宋" w:eastAsia="仿宋" w:cs="仿宋"/>
                <w:b w:val="0"/>
                <w:bCs w:val="0"/>
                <w:color w:val="auto"/>
                <w:sz w:val="24"/>
                <w:szCs w:val="24"/>
                <w:highlight w:val="none"/>
                <w:lang w:val="en-US" w:eastAsia="zh-CN"/>
              </w:rPr>
              <w:t>），点击右侧咨询小采，获取采小蜜智能服务管家帮助，或拨打政采云服务热线 95763 获取热线服务帮助。</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温馨提醒：供应商应提前上传，以便在上传时遇到技术问题，有充足的时间请教平台的技术人员。</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中标候选人公示媒介</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克州公共资源交易网、新疆政府采购网，公示期为一个工作日。</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25</w:t>
            </w:r>
          </w:p>
        </w:tc>
        <w:tc>
          <w:tcPr>
            <w:tcW w:w="9688"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招标代理服务费</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9688"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招标代理服务收费标准( 费 率)</w:t>
            </w:r>
          </w:p>
          <w:tbl>
            <w:tblPr>
              <w:tblStyle w:val="27"/>
              <w:tblpPr w:leftFromText="180" w:rightFromText="180" w:vertAnchor="text" w:horzAnchor="page" w:tblpXSpec="center" w:tblpY="19"/>
              <w:tblOverlap w:val="never"/>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433"/>
              <w:gridCol w:w="144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中标金额</w:t>
                  </w:r>
                </w:p>
              </w:tc>
              <w:tc>
                <w:tcPr>
                  <w:tcW w:w="1530" w:type="dxa"/>
                  <w:noWrap w:val="0"/>
                  <w:vAlign w:val="center"/>
                </w:tcPr>
                <w:p>
                  <w:pPr>
                    <w:shd w:val="clear" w:color="auto" w:fill="auto"/>
                    <w:spacing w:line="360" w:lineRule="auto"/>
                    <w:ind w:firstLine="240" w:firstLineChars="100"/>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货物招标</w:t>
                  </w:r>
                </w:p>
              </w:tc>
              <w:tc>
                <w:tcPr>
                  <w:tcW w:w="1433" w:type="dxa"/>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服务招标</w:t>
                  </w:r>
                </w:p>
              </w:tc>
              <w:tc>
                <w:tcPr>
                  <w:tcW w:w="1446" w:type="dxa"/>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工程招标</w:t>
                  </w:r>
                </w:p>
              </w:tc>
              <w:tc>
                <w:tcPr>
                  <w:tcW w:w="1144" w:type="dxa"/>
                  <w:noWrap w:val="0"/>
                  <w:vAlign w:val="center"/>
                </w:tcPr>
                <w:p>
                  <w:pPr>
                    <w:shd w:val="clear" w:color="auto" w:fill="auto"/>
                    <w:tabs>
                      <w:tab w:val="left" w:pos="317"/>
                    </w:tabs>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16"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100万元以下</w:t>
                  </w:r>
                </w:p>
              </w:tc>
              <w:tc>
                <w:tcPr>
                  <w:tcW w:w="1530"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w:t>
                  </w:r>
                </w:p>
              </w:tc>
              <w:tc>
                <w:tcPr>
                  <w:tcW w:w="1433"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w:t>
                  </w:r>
                </w:p>
              </w:tc>
              <w:tc>
                <w:tcPr>
                  <w:tcW w:w="1446"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c>
                <w:tcPr>
                  <w:tcW w:w="1144"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16"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100～500万元</w:t>
                  </w:r>
                </w:p>
              </w:tc>
              <w:tc>
                <w:tcPr>
                  <w:tcW w:w="1530"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w:t>
                  </w:r>
                </w:p>
              </w:tc>
              <w:tc>
                <w:tcPr>
                  <w:tcW w:w="1433"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0.8%</w:t>
                  </w:r>
                </w:p>
              </w:tc>
              <w:tc>
                <w:tcPr>
                  <w:tcW w:w="1446"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0.7%</w:t>
                  </w:r>
                </w:p>
              </w:tc>
              <w:tc>
                <w:tcPr>
                  <w:tcW w:w="1144"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500～1000万元</w:t>
                  </w:r>
                </w:p>
              </w:tc>
              <w:tc>
                <w:tcPr>
                  <w:tcW w:w="1530"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0.8%</w:t>
                  </w:r>
                </w:p>
              </w:tc>
              <w:tc>
                <w:tcPr>
                  <w:tcW w:w="1433"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0.45%</w:t>
                  </w:r>
                </w:p>
              </w:tc>
              <w:tc>
                <w:tcPr>
                  <w:tcW w:w="1446"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0.55%</w:t>
                  </w:r>
                </w:p>
              </w:tc>
              <w:tc>
                <w:tcPr>
                  <w:tcW w:w="1144"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1000～5000万元</w:t>
                  </w:r>
                </w:p>
              </w:tc>
              <w:tc>
                <w:tcPr>
                  <w:tcW w:w="1530"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0.5%</w:t>
                  </w:r>
                </w:p>
              </w:tc>
              <w:tc>
                <w:tcPr>
                  <w:tcW w:w="1433"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0.25%</w:t>
                  </w:r>
                </w:p>
              </w:tc>
              <w:tc>
                <w:tcPr>
                  <w:tcW w:w="1446"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0.35%</w:t>
                  </w:r>
                </w:p>
              </w:tc>
              <w:tc>
                <w:tcPr>
                  <w:tcW w:w="1144" w:type="dxa"/>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r>
          </w:tbl>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p>
          <w:p>
            <w:pPr>
              <w:numPr>
                <w:ilvl w:val="0"/>
                <w:numId w:val="2"/>
              </w:numPr>
              <w:shd w:val="clear" w:color="auto" w:fill="auto"/>
              <w:spacing w:line="360" w:lineRule="auto"/>
              <w:ind w:left="320" w:leftChars="0" w:firstLine="0" w:firstLineChars="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按本表费率计算的收费为招标代理服务全过程的收费基准价格，单独提供编制招标文件（有标底的含标底）服务的，可按规定标准的30％计收。</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2、招标代理服务收费按差额定率累进法计算。例如：某工程招标代理业务中标金额为6000万元，计算招标代理服务费额如下：</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100万元×1.0％＝1万元</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（500－100）万元×0.7％＝2.8万元</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（1000－500）万元×0.55％＝2.75万元</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（5000－1000）万元×0.35％＝14万元</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（6000－5000）万元×0.2％＝2万元</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合计收费＝1＋2.8＋2.75＋14＋2＝22.55(万元)</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26</w:t>
            </w:r>
          </w:p>
        </w:tc>
        <w:tc>
          <w:tcPr>
            <w:tcW w:w="9688"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评标办法：本项目采用综合评分法</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27</w:t>
            </w:r>
          </w:p>
        </w:tc>
        <w:tc>
          <w:tcPr>
            <w:tcW w:w="9688"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不管投标结果如何，投标人均应承担自己投标所需一切费用。</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28</w:t>
            </w:r>
          </w:p>
        </w:tc>
        <w:tc>
          <w:tcPr>
            <w:tcW w:w="9688"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本次招标预算价：4000000.00元；（招标预算价即最高限价，投标报价超过采购预算价的按废标处理）</w:t>
            </w:r>
          </w:p>
        </w:tc>
      </w:tr>
      <w:tr>
        <w:tblPrEx>
          <w:tblCellMar>
            <w:top w:w="0" w:type="dxa"/>
            <w:left w:w="108" w:type="dxa"/>
            <w:bottom w:w="0" w:type="dxa"/>
            <w:right w:w="108" w:type="dxa"/>
          </w:tblCellMar>
        </w:tblPrEx>
        <w:trPr>
          <w:trHeight w:val="3840" w:hRule="atLeast"/>
          <w:jc w:val="center"/>
        </w:trPr>
        <w:tc>
          <w:tcPr>
            <w:tcW w:w="468"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29</w:t>
            </w:r>
          </w:p>
        </w:tc>
        <w:tc>
          <w:tcPr>
            <w:tcW w:w="219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中小微企业政策文件</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w:t>
            </w:r>
          </w:p>
        </w:tc>
      </w:tr>
      <w:tr>
        <w:tblPrEx>
          <w:tblCellMar>
            <w:top w:w="0" w:type="dxa"/>
            <w:left w:w="108" w:type="dxa"/>
            <w:bottom w:w="0" w:type="dxa"/>
            <w:right w:w="108" w:type="dxa"/>
          </w:tblCellMar>
        </w:tblPrEx>
        <w:trPr>
          <w:trHeight w:val="57" w:hRule="atLeast"/>
          <w:jc w:val="center"/>
        </w:trPr>
        <w:tc>
          <w:tcPr>
            <w:tcW w:w="468" w:type="dxa"/>
            <w:vMerge w:val="continue"/>
            <w:tcBorders>
              <w:left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p>
        </w:tc>
        <w:tc>
          <w:tcPr>
            <w:tcW w:w="2192" w:type="dxa"/>
            <w:vMerge w:val="continue"/>
            <w:tcBorders>
              <w:left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57" w:hRule="atLeast"/>
          <w:jc w:val="center"/>
        </w:trPr>
        <w:tc>
          <w:tcPr>
            <w:tcW w:w="468"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p>
        </w:tc>
        <w:tc>
          <w:tcPr>
            <w:tcW w:w="219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57" w:hRule="atLeast"/>
          <w:jc w:val="center"/>
        </w:trPr>
        <w:tc>
          <w:tcPr>
            <w:tcW w:w="468"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30</w:t>
            </w:r>
          </w:p>
        </w:tc>
        <w:tc>
          <w:tcPr>
            <w:tcW w:w="219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中小微企业政策文件说明</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《政府采购促进中小企业发展管理办法》（财库[2020]46号）新财购 〔2022〕22号</w:t>
            </w:r>
          </w:p>
          <w:p>
            <w:pPr>
              <w:shd w:val="clear" w:color="auto" w:fill="auto"/>
              <w:spacing w:line="360" w:lineRule="auto"/>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本项目对属于小型和微型企业的投标人的投标报价给予10%的扣除，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57" w:hRule="atLeast"/>
          <w:jc w:val="center"/>
        </w:trPr>
        <w:tc>
          <w:tcPr>
            <w:tcW w:w="468"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p>
        </w:tc>
        <w:tc>
          <w:tcPr>
            <w:tcW w:w="219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（2）不符合上述适用情形的投标人无需提供上述声明函件。</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本采购项目所属行业</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本采购项目所属行业：工业</w:t>
            </w:r>
          </w:p>
        </w:tc>
      </w:tr>
      <w:tr>
        <w:tblPrEx>
          <w:tblCellMar>
            <w:top w:w="0" w:type="dxa"/>
            <w:left w:w="108" w:type="dxa"/>
            <w:bottom w:w="0" w:type="dxa"/>
            <w:right w:w="108" w:type="dxa"/>
          </w:tblCellMar>
        </w:tblPrEx>
        <w:trPr>
          <w:trHeight w:val="57"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32</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ind w:firstLine="240" w:firstLineChars="100"/>
              <w:jc w:val="both"/>
              <w:outlineLvl w:val="9"/>
              <w:rPr>
                <w:rFonts w:hint="eastAsia" w:ascii="仿宋" w:hAnsi="仿宋" w:eastAsia="仿宋" w:cs="仿宋"/>
                <w:b w:val="0"/>
                <w:bCs w:val="0"/>
                <w:color w:val="auto"/>
                <w:sz w:val="24"/>
                <w:szCs w:val="24"/>
                <w:highlight w:val="none"/>
              </w:rPr>
            </w:pPr>
          </w:p>
          <w:p>
            <w:pPr>
              <w:shd w:val="clear" w:color="auto" w:fill="auto"/>
              <w:spacing w:line="360" w:lineRule="auto"/>
              <w:jc w:val="both"/>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履约保证金</w:t>
            </w:r>
          </w:p>
          <w:p>
            <w:pPr>
              <w:shd w:val="clear" w:color="auto" w:fill="auto"/>
              <w:spacing w:line="360" w:lineRule="auto"/>
              <w:jc w:val="both"/>
              <w:outlineLvl w:val="9"/>
              <w:rPr>
                <w:rFonts w:hint="eastAsia" w:ascii="仿宋" w:hAnsi="仿宋" w:eastAsia="仿宋" w:cs="仿宋"/>
                <w:b w:val="0"/>
                <w:bCs w:val="0"/>
                <w:color w:val="auto"/>
                <w:sz w:val="24"/>
                <w:szCs w:val="24"/>
                <w:highlight w:val="none"/>
                <w:lang w:val="en-US" w:eastAsia="zh-CN"/>
              </w:rPr>
            </w:pPr>
          </w:p>
        </w:tc>
        <w:tc>
          <w:tcPr>
            <w:tcW w:w="749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zh-CN"/>
              </w:rPr>
              <w:t>中标人</w:t>
            </w:r>
            <w:r>
              <w:rPr>
                <w:rFonts w:hint="eastAsia" w:ascii="仿宋" w:hAnsi="仿宋" w:eastAsia="仿宋" w:cs="仿宋"/>
                <w:b w:val="0"/>
                <w:bCs w:val="0"/>
                <w:color w:val="auto"/>
                <w:sz w:val="24"/>
                <w:szCs w:val="24"/>
                <w:highlight w:val="none"/>
              </w:rPr>
              <w:t>应在领取《</w:t>
            </w:r>
            <w:r>
              <w:rPr>
                <w:rFonts w:hint="eastAsia" w:ascii="仿宋" w:hAnsi="仿宋" w:eastAsia="仿宋" w:cs="仿宋"/>
                <w:b w:val="0"/>
                <w:bCs w:val="0"/>
                <w:color w:val="auto"/>
                <w:sz w:val="24"/>
                <w:szCs w:val="24"/>
                <w:highlight w:val="none"/>
                <w:lang w:val="zh-CN"/>
              </w:rPr>
              <w:t>中标通知书</w:t>
            </w:r>
            <w:r>
              <w:rPr>
                <w:rFonts w:hint="eastAsia" w:ascii="仿宋" w:hAnsi="仿宋" w:eastAsia="仿宋" w:cs="仿宋"/>
                <w:b w:val="0"/>
                <w:bCs w:val="0"/>
                <w:color w:val="auto"/>
                <w:sz w:val="24"/>
                <w:szCs w:val="24"/>
                <w:highlight w:val="none"/>
              </w:rPr>
              <w:t>》后的十个日历日内，办理履约保证金，</w:t>
            </w:r>
            <w:r>
              <w:rPr>
                <w:rFonts w:hint="eastAsia" w:ascii="仿宋" w:hAnsi="仿宋" w:eastAsia="仿宋" w:cs="仿宋"/>
                <w:b w:val="0"/>
                <w:bCs w:val="0"/>
                <w:color w:val="auto"/>
                <w:sz w:val="24"/>
                <w:szCs w:val="24"/>
                <w:highlight w:val="none"/>
                <w:lang w:val="zh-CN"/>
              </w:rPr>
              <w:t>金额不超过合同总价的10%，</w:t>
            </w:r>
            <w:r>
              <w:rPr>
                <w:rFonts w:hint="eastAsia" w:ascii="仿宋" w:hAnsi="仿宋" w:eastAsia="仿宋" w:cs="仿宋"/>
                <w:b w:val="0"/>
                <w:bCs w:val="0"/>
                <w:color w:val="auto"/>
                <w:sz w:val="24"/>
                <w:szCs w:val="24"/>
                <w:highlight w:val="none"/>
              </w:rPr>
              <w:t>否则招标人可取消</w:t>
            </w:r>
            <w:r>
              <w:rPr>
                <w:rFonts w:hint="eastAsia" w:ascii="仿宋" w:hAnsi="仿宋" w:eastAsia="仿宋" w:cs="仿宋"/>
                <w:b w:val="0"/>
                <w:bCs w:val="0"/>
                <w:color w:val="auto"/>
                <w:sz w:val="24"/>
                <w:szCs w:val="24"/>
                <w:highlight w:val="none"/>
                <w:lang w:val="zh-CN"/>
              </w:rPr>
              <w:t>中标人</w:t>
            </w:r>
            <w:r>
              <w:rPr>
                <w:rFonts w:hint="eastAsia" w:ascii="仿宋" w:hAnsi="仿宋" w:eastAsia="仿宋" w:cs="仿宋"/>
                <w:b w:val="0"/>
                <w:bCs w:val="0"/>
                <w:color w:val="auto"/>
                <w:sz w:val="24"/>
                <w:szCs w:val="24"/>
                <w:highlight w:val="none"/>
              </w:rPr>
              <w:t>的</w:t>
            </w:r>
            <w:r>
              <w:rPr>
                <w:rFonts w:hint="eastAsia" w:ascii="仿宋" w:hAnsi="仿宋" w:eastAsia="仿宋" w:cs="仿宋"/>
                <w:b w:val="0"/>
                <w:bCs w:val="0"/>
                <w:color w:val="auto"/>
                <w:sz w:val="24"/>
                <w:szCs w:val="24"/>
                <w:highlight w:val="none"/>
                <w:lang w:val="zh-CN"/>
              </w:rPr>
              <w:t>中标</w:t>
            </w:r>
            <w:r>
              <w:rPr>
                <w:rFonts w:hint="eastAsia" w:ascii="仿宋" w:hAnsi="仿宋" w:eastAsia="仿宋" w:cs="仿宋"/>
                <w:b w:val="0"/>
                <w:bCs w:val="0"/>
                <w:color w:val="auto"/>
                <w:sz w:val="24"/>
                <w:szCs w:val="24"/>
                <w:highlight w:val="none"/>
              </w:rPr>
              <w:t>资格，并没收其投标保证金</w:t>
            </w:r>
            <w:r>
              <w:rPr>
                <w:rFonts w:hint="eastAsia" w:ascii="仿宋" w:hAnsi="仿宋" w:eastAsia="仿宋" w:cs="仿宋"/>
                <w:b w:val="0"/>
                <w:bCs w:val="0"/>
                <w:color w:val="auto"/>
                <w:sz w:val="24"/>
                <w:szCs w:val="24"/>
                <w:highlight w:val="none"/>
                <w:lang w:eastAsia="zh-CN"/>
              </w:rPr>
              <w:t>。</w:t>
            </w:r>
          </w:p>
        </w:tc>
      </w:tr>
      <w:tr>
        <w:tblPrEx>
          <w:tblCellMar>
            <w:top w:w="0" w:type="dxa"/>
            <w:left w:w="108" w:type="dxa"/>
            <w:bottom w:w="0" w:type="dxa"/>
            <w:right w:w="108" w:type="dxa"/>
          </w:tblCellMar>
        </w:tblPrEx>
        <w:trPr>
          <w:trHeight w:val="57" w:hRule="atLeast"/>
          <w:jc w:val="center"/>
        </w:trPr>
        <w:tc>
          <w:tcPr>
            <w:tcW w:w="266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rPr>
              <w:t>备注</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着重提醒各投标人注意，并认真查看招标文件中的每一个条款及要求，因误读招标文件而造成的后果，招标人概不负责。</w:t>
            </w:r>
          </w:p>
          <w:p>
            <w:pPr>
              <w:spacing w:line="360" w:lineRule="auto"/>
              <w:outlineLvl w:val="9"/>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t>2、投标人使用相同IP地址的，一经发现，相关部门将进一步核实，查实后按串通投标处理。</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为保证本项目质量，良好的售后服务，最低报价不作为中标的唯一依据。</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采购人若发现</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候选供应商在投标过程中提供虚假证明文件，故意隐瞒公司不良信誉和财务状况，以及其他可能对合同圆满履行造成风险的因素等，则按规定取消其</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资格，监管部门依法进行处理。</w:t>
            </w:r>
          </w:p>
          <w:p>
            <w:pPr>
              <w:spacing w:line="360" w:lineRule="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其它：</w:t>
            </w:r>
          </w:p>
          <w:p>
            <w:pPr>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（1）投标企业严格遵守国家的法律法规及招标纪律，无违法违纪及商业贿赂行为。</w:t>
            </w:r>
          </w:p>
          <w:p>
            <w:pPr>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（2）不管投标结果如何，供应商均应自行承担投标所需一切费用。</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（3）供应商应以书面形式保证中标后由本公司组织实施，不得以任何理由将项目转包给其他机构。</w:t>
            </w:r>
          </w:p>
          <w:p>
            <w:pPr>
              <w:shd w:val="clear" w:color="auto" w:fill="auto"/>
              <w:spacing w:line="360" w:lineRule="auto"/>
              <w:ind w:left="0" w:leftChars="0" w:right="0" w:rightChars="0" w:firstLine="0" w:firstLineChars="0"/>
              <w:jc w:val="left"/>
              <w:outlineLvl w:val="9"/>
              <w:rPr>
                <w:rFonts w:hint="eastAsia" w:ascii="仿宋" w:hAnsi="仿宋" w:eastAsia="仿宋" w:cs="仿宋"/>
                <w:b w:val="0"/>
                <w:bCs w:val="0"/>
                <w:color w:val="auto"/>
                <w:spacing w:val="0"/>
                <w:w w:val="100"/>
                <w:position w:val="0"/>
                <w:sz w:val="24"/>
                <w:szCs w:val="24"/>
                <w:highlight w:val="none"/>
                <w:shd w:val="clear" w:color="auto" w:fill="auto"/>
                <w:lang w:val="en-US" w:eastAsia="en-US" w:bidi="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中如出现前后不一致情况，均以前附表内容为准。</w:t>
            </w:r>
          </w:p>
        </w:tc>
      </w:tr>
    </w:tbl>
    <w:p>
      <w:pPr>
        <w:pageBreakBefore/>
        <w:shd w:val="clear" w:color="auto" w:fill="auto"/>
        <w:spacing w:before="312" w:beforeLines="100" w:after="312" w:afterLines="100" w:line="440" w:lineRule="exact"/>
        <w:jc w:val="center"/>
        <w:outlineLvl w:val="9"/>
        <w:rPr>
          <w:rFonts w:hint="eastAsia" w:ascii="仿宋" w:hAnsi="仿宋" w:eastAsia="仿宋" w:cs="仿宋"/>
          <w:b/>
          <w:color w:val="auto"/>
          <w:sz w:val="28"/>
          <w:szCs w:val="32"/>
          <w:highlight w:val="none"/>
        </w:rPr>
      </w:pPr>
      <w:r>
        <w:rPr>
          <w:rFonts w:hint="eastAsia" w:ascii="仿宋" w:hAnsi="仿宋" w:eastAsia="仿宋" w:cs="仿宋"/>
          <w:b/>
          <w:color w:val="auto"/>
          <w:sz w:val="28"/>
          <w:szCs w:val="28"/>
          <w:highlight w:val="none"/>
        </w:rPr>
        <w:t>二、投标人须知</w:t>
      </w:r>
    </w:p>
    <w:p>
      <w:pPr>
        <w:shd w:val="clear" w:color="auto" w:fill="auto"/>
        <w:spacing w:line="440" w:lineRule="exact"/>
        <w:jc w:val="center"/>
        <w:outlineLvl w:val="9"/>
        <w:rPr>
          <w:rFonts w:hint="eastAsia" w:ascii="仿宋" w:hAnsi="仿宋" w:eastAsia="仿宋" w:cs="仿宋"/>
          <w:color w:val="auto"/>
          <w:sz w:val="28"/>
          <w:szCs w:val="28"/>
          <w:highlight w:val="none"/>
        </w:rPr>
      </w:pPr>
      <w:bookmarkStart w:id="8"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8"/>
    </w:p>
    <w:p>
      <w:pPr>
        <w:shd w:val="clear" w:color="auto" w:fill="auto"/>
        <w:snapToGrid w:val="0"/>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1.项目概况</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1.1本次招标采购项目名称：见投标人须知前附表。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项目编号：见投标人须知前附表。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招标人：见投标人须知前附表。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实施（施工）日期</w:t>
      </w:r>
      <w:r>
        <w:rPr>
          <w:rFonts w:hint="eastAsia" w:ascii="仿宋" w:hAnsi="仿宋" w:eastAsia="仿宋" w:cs="仿宋"/>
          <w:color w:val="auto"/>
          <w:szCs w:val="21"/>
          <w:highlight w:val="none"/>
        </w:rPr>
        <w:t>：见投标人须知前附表。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实施（施工）</w:t>
      </w:r>
      <w:r>
        <w:rPr>
          <w:rFonts w:hint="eastAsia" w:ascii="仿宋" w:hAnsi="仿宋" w:eastAsia="仿宋" w:cs="仿宋"/>
          <w:color w:val="auto"/>
          <w:szCs w:val="21"/>
          <w:highlight w:val="none"/>
        </w:rPr>
        <w:t>地点：见投标人须知前附表。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1.2招标人及联系人: 见投标人须知前附表。</w:t>
      </w:r>
    </w:p>
    <w:p>
      <w:pPr>
        <w:shd w:val="clear" w:color="auto" w:fill="auto"/>
        <w:snapToGrid w:val="0"/>
        <w:spacing w:line="440" w:lineRule="exact"/>
        <w:ind w:firstLine="600" w:firstLineChars="250"/>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代理机构及联系人: 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1.3资金来源：见投标人须知前附表。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1.4本项目预算：见投标人须知前附表。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1.5本项目控制价：见投标人须知前附表。</w:t>
      </w:r>
    </w:p>
    <w:p>
      <w:pPr>
        <w:shd w:val="clear" w:color="auto" w:fill="auto"/>
        <w:snapToGrid w:val="0"/>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2.招标范围：</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2.1 采购内容：见投标人须知前附表。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3.1本项目划分：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rPr>
        <w:t>个包</w:t>
      </w:r>
      <w:r>
        <w:rPr>
          <w:rFonts w:hint="eastAsia" w:ascii="仿宋" w:hAnsi="仿宋" w:eastAsia="仿宋" w:cs="仿宋"/>
          <w:color w:val="auto"/>
          <w:kern w:val="0"/>
          <w:szCs w:val="21"/>
          <w:highlight w:val="none"/>
        </w:rPr>
        <w:t>。</w:t>
      </w:r>
    </w:p>
    <w:p>
      <w:pPr>
        <w:shd w:val="clear" w:color="auto" w:fill="auto"/>
        <w:snapToGrid w:val="0"/>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4.招标方式：</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4.1本项目招标方式：见投标人须知前附表。</w:t>
      </w:r>
    </w:p>
    <w:p>
      <w:pPr>
        <w:shd w:val="clear" w:color="auto" w:fill="auto"/>
        <w:snapToGrid w:val="0"/>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5.计价方式：</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5.1本次招标项目合同采用</w:t>
      </w:r>
      <w:r>
        <w:rPr>
          <w:rFonts w:hint="eastAsia" w:ascii="仿宋" w:hAnsi="仿宋" w:eastAsia="仿宋" w:cs="仿宋"/>
          <w:color w:val="auto"/>
          <w:szCs w:val="21"/>
          <w:highlight w:val="none"/>
          <w:u w:val="single"/>
        </w:rPr>
        <w:t xml:space="preserve">   固定单价 。</w:t>
      </w:r>
    </w:p>
    <w:p>
      <w:pPr>
        <w:shd w:val="clear" w:color="auto" w:fill="auto"/>
        <w:snapToGrid w:val="0"/>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6.评标办法：</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6.1本次招标评标采用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综合评分</w:t>
      </w:r>
      <w:r>
        <w:rPr>
          <w:rFonts w:hint="eastAsia" w:ascii="仿宋" w:hAnsi="仿宋" w:eastAsia="仿宋" w:cs="仿宋"/>
          <w:color w:val="auto"/>
          <w:szCs w:val="21"/>
          <w:highlight w:val="none"/>
          <w:u w:val="single"/>
        </w:rPr>
        <w:t xml:space="preserve">法 </w:t>
      </w:r>
      <w:r>
        <w:rPr>
          <w:rFonts w:hint="eastAsia" w:ascii="仿宋" w:hAnsi="仿宋" w:eastAsia="仿宋" w:cs="仿宋"/>
          <w:color w:val="auto"/>
          <w:szCs w:val="21"/>
          <w:highlight w:val="none"/>
        </w:rPr>
        <w:t>（详见第三章评标办法）</w:t>
      </w:r>
    </w:p>
    <w:p>
      <w:pPr>
        <w:shd w:val="clear" w:color="auto" w:fill="auto"/>
        <w:snapToGrid w:val="0"/>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7.投标人资格：</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投标费用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8.1投标人准备和参加投标活动发生的费用自理。</w:t>
      </w:r>
    </w:p>
    <w:p>
      <w:pPr>
        <w:shd w:val="clear" w:color="auto" w:fill="auto"/>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w:t>
      </w:r>
      <w:bookmarkStart w:id="9" w:name="_Toc144974507"/>
      <w:bookmarkStart w:id="10" w:name="_Toc296602429"/>
      <w:bookmarkStart w:id="11" w:name="_Toc152042315"/>
      <w:bookmarkStart w:id="12" w:name="_Toc247527563"/>
      <w:bookmarkStart w:id="13" w:name="_Toc247513962"/>
      <w:bookmarkStart w:id="14" w:name="_Toc152045539"/>
      <w:bookmarkStart w:id="15" w:name="_Toc247592876"/>
      <w:r>
        <w:rPr>
          <w:rFonts w:hint="eastAsia" w:ascii="仿宋" w:hAnsi="仿宋" w:eastAsia="仿宋" w:cs="仿宋"/>
          <w:b/>
          <w:color w:val="auto"/>
          <w:szCs w:val="21"/>
          <w:highlight w:val="none"/>
        </w:rPr>
        <w:t xml:space="preserve"> 踏勘现场</w:t>
      </w:r>
      <w:bookmarkEnd w:id="9"/>
      <w:bookmarkEnd w:id="10"/>
      <w:bookmarkEnd w:id="11"/>
      <w:bookmarkEnd w:id="12"/>
      <w:bookmarkEnd w:id="13"/>
      <w:bookmarkEnd w:id="14"/>
      <w:bookmarkEnd w:id="15"/>
    </w:p>
    <w:p>
      <w:pPr>
        <w:shd w:val="clear" w:color="auto" w:fill="auto"/>
        <w:spacing w:line="440" w:lineRule="exact"/>
        <w:ind w:firstLine="468" w:firstLineChars="195"/>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投标人须知前附表规定组织踏勘现场的，招标人按投标人须知前附表规定的时间、地点组织投标人踏勘项目现场。</w:t>
      </w:r>
      <w:r>
        <w:rPr>
          <w:rFonts w:hint="eastAsia" w:ascii="仿宋" w:hAnsi="仿宋" w:eastAsia="仿宋" w:cs="仿宋"/>
          <w:color w:val="auto"/>
          <w:szCs w:val="21"/>
          <w:highlight w:val="none"/>
          <w:lang w:eastAsia="zh-CN"/>
        </w:rPr>
        <w:t>如需踏勘现场，</w:t>
      </w:r>
      <w:r>
        <w:rPr>
          <w:rFonts w:hint="eastAsia" w:ascii="仿宋" w:hAnsi="仿宋" w:eastAsia="仿宋" w:cs="仿宋"/>
          <w:color w:val="auto"/>
          <w:highlight w:val="none"/>
          <w:lang w:eastAsia="zh-CN"/>
        </w:rPr>
        <w:t>投标人自行踏勘现场的，可咨询本项目采购人或采购代理机构联系人。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rPr>
        <w:t xml:space="preserve"> </w:t>
      </w:r>
    </w:p>
    <w:p>
      <w:pPr>
        <w:shd w:val="clear" w:color="auto" w:fill="auto"/>
        <w:spacing w:line="440" w:lineRule="exact"/>
        <w:ind w:firstLine="468" w:firstLineChars="195"/>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9.2 投标人踏勘现场发生的费用自理。</w:t>
      </w:r>
    </w:p>
    <w:p>
      <w:pPr>
        <w:shd w:val="clear" w:color="auto" w:fill="auto"/>
        <w:spacing w:line="440" w:lineRule="exact"/>
        <w:ind w:firstLine="468" w:firstLineChars="195"/>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除招标人的原因外，投标人自行负责在踏勘现场中所发生的人员伤亡和财产损失。</w:t>
      </w:r>
    </w:p>
    <w:p>
      <w:pPr>
        <w:shd w:val="clear" w:color="auto" w:fill="auto"/>
        <w:spacing w:line="440" w:lineRule="exact"/>
        <w:ind w:firstLine="468" w:firstLineChars="195"/>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9.4 招标人在踏勘现场中介绍的场地和相关的周边环境情况，供投标人在编制投标文件时参考，招标人不对投标人据此作出的判断和决策负责。</w:t>
      </w:r>
      <w:bookmarkStart w:id="16" w:name="_Toc152045540"/>
      <w:bookmarkStart w:id="17" w:name="_Toc247592877"/>
      <w:bookmarkStart w:id="18" w:name="_Toc152042316"/>
      <w:bookmarkStart w:id="19" w:name="_Toc247513963"/>
      <w:bookmarkStart w:id="20" w:name="_Toc144974508"/>
      <w:bookmarkStart w:id="21" w:name="_Toc296602430"/>
      <w:bookmarkStart w:id="22" w:name="_Toc247527564"/>
    </w:p>
    <w:p>
      <w:pPr>
        <w:shd w:val="clear" w:color="auto" w:fill="auto"/>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投标预备会</w:t>
      </w:r>
      <w:bookmarkEnd w:id="16"/>
      <w:bookmarkEnd w:id="17"/>
      <w:bookmarkEnd w:id="18"/>
      <w:bookmarkEnd w:id="19"/>
      <w:bookmarkEnd w:id="20"/>
      <w:bookmarkEnd w:id="21"/>
      <w:bookmarkEnd w:id="22"/>
    </w:p>
    <w:p>
      <w:pPr>
        <w:shd w:val="clear" w:color="auto" w:fill="auto"/>
        <w:spacing w:line="440" w:lineRule="exact"/>
        <w:ind w:firstLine="468" w:firstLineChars="195"/>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10.2投标人应在投标人须知前附表规定的时间前，将提出的问题送达招标人，以便招标人澄清。</w:t>
      </w:r>
    </w:p>
    <w:p>
      <w:pPr>
        <w:shd w:val="clear" w:color="auto" w:fill="auto"/>
        <w:spacing w:line="440" w:lineRule="exact"/>
        <w:ind w:firstLine="468" w:firstLineChars="195"/>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10.3招标人在投标人须知前附表规定的时间，将对投标人所提的问题进行澄清。该澄清内容为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w:t>
      </w:r>
    </w:p>
    <w:p>
      <w:pPr>
        <w:shd w:val="clear" w:color="auto" w:fill="auto"/>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联合投标</w:t>
      </w:r>
    </w:p>
    <w:p>
      <w:pPr>
        <w:shd w:val="clear" w:color="auto" w:fill="auto"/>
        <w:spacing w:line="440" w:lineRule="exact"/>
        <w:ind w:firstLine="468" w:firstLineChars="195"/>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联合体应当确定其中一个单位为投标的全权代表，负责参加投标的一切事务，并承担投标及履约中应承担的全部责任与义务。</w:t>
      </w:r>
    </w:p>
    <w:p>
      <w:pPr>
        <w:pStyle w:val="11"/>
        <w:shd w:val="clear" w:color="auto" w:fill="auto"/>
        <w:spacing w:after="0" w:line="400" w:lineRule="exact"/>
        <w:ind w:left="0" w:leftChars="0" w:firstLine="484" w:firstLineChars="202"/>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outlineLvl w:val="9"/>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12.招标代理费</w:t>
      </w:r>
      <w:r>
        <w:rPr>
          <w:rFonts w:hint="eastAsia" w:ascii="仿宋" w:hAnsi="仿宋" w:eastAsia="仿宋" w:cs="仿宋"/>
          <w:b/>
          <w:color w:val="auto"/>
          <w:szCs w:val="21"/>
          <w:highlight w:val="none"/>
          <w:lang w:eastAsia="zh-CN"/>
        </w:rPr>
        <w:t>：参照投标人须知前附表</w:t>
      </w:r>
    </w:p>
    <w:p>
      <w:pPr>
        <w:shd w:val="clear" w:color="auto" w:fill="auto"/>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13.投标人应注意的事项</w:t>
      </w:r>
    </w:p>
    <w:p>
      <w:pPr>
        <w:shd w:val="clear" w:color="auto" w:fill="auto"/>
        <w:spacing w:line="440" w:lineRule="exact"/>
        <w:ind w:firstLine="480" w:firstLineChars="200"/>
        <w:outlineLvl w:val="9"/>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13.1投标人一旦按规定缴纳了投标保证金并参加投标，即被认为接受了本</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文件中的所有条件和规定。投标人必须严格按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 xml:space="preserve"> 投标人对采购内容中规定的技术参数、规格等要求必须完全响应或优于</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中的要求。</w:t>
      </w:r>
    </w:p>
    <w:p>
      <w:pPr>
        <w:shd w:val="clear" w:color="auto" w:fill="auto"/>
        <w:spacing w:line="440" w:lineRule="exact"/>
        <w:ind w:firstLine="470" w:firstLineChars="196"/>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所有投标人的投标保证金都应在</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规定的投标保证金缴纳截止日期前缴纳。</w:t>
      </w:r>
    </w:p>
    <w:p>
      <w:pPr>
        <w:shd w:val="clear" w:color="auto" w:fill="auto"/>
        <w:spacing w:line="440" w:lineRule="exact"/>
        <w:ind w:firstLine="470" w:firstLineChars="196"/>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单位负责人为同一人或者存在直接控股、管理关系的不同供应商，不得参加同一合同项下的政府采购活动。</w:t>
      </w:r>
      <w:r>
        <w:rPr>
          <w:rFonts w:hint="eastAsia" w:ascii="仿宋" w:hAnsi="仿宋" w:eastAsia="仿宋" w:cs="仿宋"/>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本项目只接受</w:t>
      </w:r>
      <w:r>
        <w:rPr>
          <w:rFonts w:hint="eastAsia" w:ascii="仿宋" w:hAnsi="仿宋" w:eastAsia="仿宋" w:cs="仿宋"/>
          <w:color w:val="auto"/>
          <w:szCs w:val="21"/>
          <w:highlight w:val="none"/>
        </w:rPr>
        <w:t>成为新疆维吾尔自治区政府采购网正式注册入库并完成CA数字证书申领供应商</w:t>
      </w:r>
      <w:r>
        <w:rPr>
          <w:rFonts w:hint="eastAsia" w:ascii="仿宋" w:hAnsi="仿宋" w:eastAsia="仿宋" w:cs="仿宋"/>
          <w:color w:val="auto"/>
          <w:szCs w:val="21"/>
          <w:highlight w:val="none"/>
          <w:lang w:eastAsia="zh-CN"/>
        </w:rPr>
        <w:t>参与投标</w:t>
      </w:r>
      <w:r>
        <w:rPr>
          <w:rFonts w:hint="eastAsia" w:ascii="仿宋" w:hAnsi="仿宋" w:eastAsia="仿宋" w:cs="仿宋"/>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（1）国家对本次投标货物和服务的生产、安装调试、验收、维修等有关法律、法规及行业管理标准；</w:t>
      </w:r>
    </w:p>
    <w:p>
      <w:pPr>
        <w:shd w:val="clear" w:color="auto" w:fill="auto"/>
        <w:spacing w:line="400" w:lineRule="exact"/>
        <w:ind w:firstLine="360" w:firstLineChars="150"/>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eastAsia="zh-CN"/>
        </w:rPr>
        <w:t>本地区</w:t>
      </w:r>
      <w:r>
        <w:rPr>
          <w:rFonts w:hint="eastAsia" w:ascii="仿宋" w:hAnsi="仿宋" w:eastAsia="仿宋" w:cs="仿宋"/>
          <w:bCs/>
          <w:color w:val="auto"/>
          <w:szCs w:val="21"/>
          <w:highlight w:val="none"/>
        </w:rPr>
        <w:t>有关管理部门的相关规定；</w:t>
      </w:r>
    </w:p>
    <w:p>
      <w:pPr>
        <w:shd w:val="clear" w:color="auto" w:fill="auto"/>
        <w:spacing w:line="400" w:lineRule="exact"/>
        <w:ind w:firstLine="360" w:firstLineChars="150"/>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（3）招标人的相关场地情况、基础建设、电力供应情况及相关设计标准。</w:t>
      </w:r>
    </w:p>
    <w:p>
      <w:pPr>
        <w:shd w:val="clear" w:color="auto" w:fill="auto"/>
        <w:spacing w:line="400" w:lineRule="exact"/>
        <w:ind w:firstLine="360" w:firstLineChars="150"/>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不再对上述情况进行描述。</w:t>
      </w:r>
    </w:p>
    <w:p>
      <w:pPr>
        <w:shd w:val="clear" w:color="auto" w:fill="auto"/>
        <w:spacing w:before="312" w:beforeLines="100" w:after="312" w:afterLines="100" w:line="440" w:lineRule="exact"/>
        <w:jc w:val="center"/>
        <w:outlineLvl w:val="9"/>
        <w:rPr>
          <w:rFonts w:hint="eastAsia" w:ascii="仿宋" w:hAnsi="仿宋" w:eastAsia="仿宋" w:cs="仿宋"/>
          <w:b/>
          <w:color w:val="auto"/>
          <w:sz w:val="28"/>
          <w:szCs w:val="28"/>
          <w:highlight w:val="none"/>
          <w:lang w:eastAsia="zh-CN"/>
        </w:rPr>
      </w:pPr>
      <w:bookmarkStart w:id="23" w:name="_Toc469495725"/>
      <w:r>
        <w:rPr>
          <w:rFonts w:hint="eastAsia" w:ascii="仿宋" w:hAnsi="仿宋" w:eastAsia="仿宋" w:cs="仿宋"/>
          <w:b/>
          <w:color w:val="auto"/>
          <w:sz w:val="28"/>
          <w:szCs w:val="28"/>
          <w:highlight w:val="none"/>
        </w:rPr>
        <w:t>（二）</w:t>
      </w:r>
      <w:bookmarkEnd w:id="23"/>
      <w:r>
        <w:rPr>
          <w:rFonts w:hint="eastAsia" w:ascii="仿宋" w:hAnsi="仿宋" w:eastAsia="仿宋" w:cs="仿宋"/>
          <w:b/>
          <w:color w:val="auto"/>
          <w:sz w:val="28"/>
          <w:szCs w:val="28"/>
          <w:highlight w:val="none"/>
          <w:lang w:eastAsia="zh-CN"/>
        </w:rPr>
        <w:t>招标文件</w:t>
      </w:r>
    </w:p>
    <w:p>
      <w:pPr>
        <w:shd w:val="clear" w:color="auto" w:fill="auto"/>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15.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的编制依据</w:t>
      </w:r>
    </w:p>
    <w:p>
      <w:pPr>
        <w:shd w:val="clear" w:color="auto" w:fill="auto"/>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根据《中华人民共和国政府采购法》、《政府采购货物和服务招标投标管理办法》和《中华人民共和国合同法》</w:t>
      </w:r>
      <w:r>
        <w:rPr>
          <w:rFonts w:hint="eastAsia" w:ascii="仿宋" w:hAnsi="仿宋" w:eastAsia="仿宋" w:cs="仿宋"/>
          <w:color w:val="auto"/>
          <w:spacing w:val="-2"/>
          <w:szCs w:val="21"/>
          <w:highlight w:val="none"/>
        </w:rPr>
        <w:t>等相关法律法规和规章及部、省、市级规范性文件的规定，编制本</w:t>
      </w:r>
      <w:r>
        <w:rPr>
          <w:rFonts w:hint="eastAsia" w:ascii="仿宋" w:hAnsi="仿宋" w:eastAsia="仿宋" w:cs="仿宋"/>
          <w:color w:val="auto"/>
          <w:spacing w:val="-2"/>
          <w:szCs w:val="21"/>
          <w:highlight w:val="none"/>
          <w:lang w:eastAsia="zh-CN"/>
        </w:rPr>
        <w:t>采购文件</w:t>
      </w:r>
      <w:r>
        <w:rPr>
          <w:rFonts w:hint="eastAsia" w:ascii="仿宋" w:hAnsi="仿宋" w:eastAsia="仿宋" w:cs="仿宋"/>
          <w:color w:val="auto"/>
          <w:spacing w:val="-2"/>
          <w:szCs w:val="21"/>
          <w:highlight w:val="none"/>
        </w:rPr>
        <w:t>。</w:t>
      </w:r>
    </w:p>
    <w:p>
      <w:pPr>
        <w:shd w:val="clear" w:color="auto" w:fill="auto"/>
        <w:spacing w:line="440" w:lineRule="exact"/>
        <w:ind w:firstLine="480" w:firstLineChars="20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16.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的组成</w:t>
      </w:r>
    </w:p>
    <w:p>
      <w:pPr>
        <w:shd w:val="clear" w:color="auto" w:fill="auto"/>
        <w:spacing w:line="44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16.1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包括内容：</w:t>
      </w:r>
    </w:p>
    <w:p>
      <w:pPr>
        <w:shd w:val="clear" w:color="auto" w:fill="auto"/>
        <w:spacing w:line="440" w:lineRule="exact"/>
        <w:ind w:firstLine="1680" w:firstLineChars="7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第一章  </w:t>
      </w:r>
      <w:r>
        <w:rPr>
          <w:rFonts w:hint="eastAsia" w:ascii="仿宋" w:hAnsi="仿宋" w:eastAsia="仿宋" w:cs="仿宋"/>
          <w:color w:val="auto"/>
          <w:szCs w:val="21"/>
          <w:highlight w:val="none"/>
          <w:lang w:eastAsia="zh-CN"/>
        </w:rPr>
        <w:t>招标</w:t>
      </w:r>
      <w:r>
        <w:rPr>
          <w:rFonts w:hint="eastAsia" w:ascii="仿宋" w:hAnsi="仿宋" w:eastAsia="仿宋" w:cs="仿宋"/>
          <w:color w:val="auto"/>
          <w:szCs w:val="21"/>
          <w:highlight w:val="none"/>
        </w:rPr>
        <w:t>公告</w:t>
      </w:r>
    </w:p>
    <w:p>
      <w:pPr>
        <w:shd w:val="clear" w:color="auto" w:fill="auto"/>
        <w:spacing w:line="440" w:lineRule="exact"/>
        <w:ind w:firstLine="1680" w:firstLineChars="7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供应商须知</w:t>
      </w:r>
    </w:p>
    <w:p>
      <w:pPr>
        <w:shd w:val="clear" w:color="auto" w:fill="auto"/>
        <w:spacing w:line="440" w:lineRule="exact"/>
        <w:ind w:firstLine="1680" w:firstLineChars="7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评标办法</w:t>
      </w:r>
    </w:p>
    <w:p>
      <w:pPr>
        <w:shd w:val="clear" w:color="auto" w:fill="auto"/>
        <w:spacing w:line="440" w:lineRule="exact"/>
        <w:ind w:firstLine="1680" w:firstLineChars="7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第四章  </w:t>
      </w:r>
      <w:r>
        <w:rPr>
          <w:rFonts w:hint="eastAsia" w:ascii="仿宋" w:hAnsi="仿宋" w:eastAsia="仿宋" w:cs="仿宋"/>
          <w:color w:val="auto"/>
          <w:szCs w:val="21"/>
          <w:highlight w:val="none"/>
          <w:lang w:eastAsia="zh-CN"/>
        </w:rPr>
        <w:t>技术规格数量及质量要求</w:t>
      </w:r>
    </w:p>
    <w:p>
      <w:pPr>
        <w:shd w:val="clear" w:color="auto" w:fill="auto"/>
        <w:spacing w:line="440" w:lineRule="exact"/>
        <w:ind w:firstLine="1680" w:firstLineChars="7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第五章  </w:t>
      </w:r>
      <w:r>
        <w:rPr>
          <w:rFonts w:hint="eastAsia" w:ascii="仿宋" w:hAnsi="仿宋" w:eastAsia="仿宋" w:cs="仿宋"/>
          <w:color w:val="auto"/>
          <w:szCs w:val="21"/>
          <w:highlight w:val="none"/>
          <w:lang w:eastAsia="zh-CN"/>
        </w:rPr>
        <w:t>合同（参考）</w:t>
      </w:r>
    </w:p>
    <w:p>
      <w:pPr>
        <w:spacing w:line="440" w:lineRule="exact"/>
        <w:ind w:firstLine="1680" w:firstLineChars="7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 xml:space="preserve">第六章  </w:t>
      </w:r>
      <w:r>
        <w:rPr>
          <w:rFonts w:hint="eastAsia" w:ascii="仿宋" w:hAnsi="仿宋" w:eastAsia="仿宋" w:cs="仿宋"/>
          <w:color w:val="auto"/>
          <w:szCs w:val="21"/>
          <w:highlight w:val="none"/>
          <w:lang w:val="en-US" w:eastAsia="zh-CN"/>
        </w:rPr>
        <w:t>投标文件格式</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第七章  招标单位、招标代理机构对本文件的确认</w:t>
      </w:r>
    </w:p>
    <w:p>
      <w:pPr>
        <w:shd w:val="clear" w:color="auto" w:fill="auto"/>
        <w:spacing w:line="440" w:lineRule="exac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16.2 除16.1内容外，招标答疑亦为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的组成部分，对招标人和投标人起约束作用。</w:t>
      </w:r>
    </w:p>
    <w:p>
      <w:pPr>
        <w:pStyle w:val="14"/>
        <w:shd w:val="clear" w:color="auto" w:fill="auto"/>
        <w:wordWrap w:val="0"/>
        <w:spacing w:line="400" w:lineRule="exact"/>
        <w:outlineLvl w:val="9"/>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rPr>
        <w:t xml:space="preserve">   16.3</w:t>
      </w:r>
      <w:r>
        <w:rPr>
          <w:rFonts w:hint="eastAsia" w:ascii="仿宋" w:hAnsi="仿宋" w:eastAsia="仿宋" w:cs="仿宋"/>
          <w:color w:val="auto"/>
          <w:szCs w:val="21"/>
          <w:highlight w:val="none"/>
          <w:u w:val="none" w:color="auto"/>
        </w:rPr>
        <w:t>投标人应仔细阅读和检查</w:t>
      </w:r>
      <w:r>
        <w:rPr>
          <w:rFonts w:hint="eastAsia" w:ascii="仿宋" w:hAnsi="仿宋" w:eastAsia="仿宋" w:cs="仿宋"/>
          <w:color w:val="auto"/>
          <w:szCs w:val="21"/>
          <w:highlight w:val="none"/>
          <w:u w:val="none" w:color="auto"/>
          <w:lang w:eastAsia="zh-CN"/>
        </w:rPr>
        <w:t>采购文件</w:t>
      </w:r>
      <w:r>
        <w:rPr>
          <w:rFonts w:hint="eastAsia" w:ascii="仿宋" w:hAnsi="仿宋" w:eastAsia="仿宋" w:cs="仿宋"/>
          <w:color w:val="auto"/>
          <w:szCs w:val="21"/>
          <w:highlight w:val="none"/>
          <w:u w:val="none" w:color="auto"/>
        </w:rPr>
        <w:t>的全部内容。如发现缺页或附件不全，应及时向招标人提出，以便补齐。如有疑问，投标人应在</w:t>
      </w:r>
      <w:r>
        <w:rPr>
          <w:rFonts w:hint="eastAsia" w:ascii="仿宋" w:hAnsi="仿宋" w:eastAsia="仿宋" w:cs="仿宋"/>
          <w:color w:val="auto"/>
          <w:szCs w:val="21"/>
          <w:highlight w:val="none"/>
        </w:rPr>
        <w:t>以书面形式一次性向采购人和采购代理机构提出同一环节的质疑</w:t>
      </w:r>
      <w:r>
        <w:rPr>
          <w:rFonts w:hint="eastAsia" w:ascii="仿宋" w:hAnsi="仿宋" w:eastAsia="仿宋" w:cs="仿宋"/>
          <w:color w:val="auto"/>
          <w:szCs w:val="21"/>
          <w:highlight w:val="none"/>
          <w:u w:val="none" w:color="auto"/>
        </w:rPr>
        <w:t>。</w:t>
      </w:r>
    </w:p>
    <w:p>
      <w:pPr>
        <w:shd w:val="clear" w:color="auto" w:fill="auto"/>
        <w:wordWrap w:val="0"/>
        <w:spacing w:line="440" w:lineRule="exac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的澄清将在</w:t>
      </w:r>
      <w:r>
        <w:rPr>
          <w:rFonts w:hint="eastAsia" w:ascii="仿宋" w:hAnsi="仿宋" w:eastAsia="仿宋" w:cs="仿宋"/>
          <w:color w:val="auto"/>
          <w:szCs w:val="21"/>
          <w:highlight w:val="none"/>
          <w:lang w:eastAsia="zh-CN"/>
        </w:rPr>
        <w:t>政采云平台“更正公告”栏目予以公告</w:t>
      </w:r>
      <w:r>
        <w:rPr>
          <w:rFonts w:hint="eastAsia" w:ascii="仿宋" w:hAnsi="仿宋" w:eastAsia="仿宋" w:cs="仿宋"/>
          <w:color w:val="auto"/>
          <w:szCs w:val="21"/>
          <w:highlight w:val="none"/>
        </w:rPr>
        <w:t>，但不指明澄清问题的来源。如果澄清内容影响投标文件编制的，将相应延长投标截止时间。</w:t>
      </w:r>
    </w:p>
    <w:p>
      <w:pPr>
        <w:shd w:val="clear" w:color="auto" w:fill="auto"/>
        <w:spacing w:line="440" w:lineRule="exact"/>
        <w:ind w:firstLine="480" w:firstLineChars="200"/>
        <w:outlineLvl w:val="9"/>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17. </w:t>
      </w:r>
      <w:r>
        <w:rPr>
          <w:rFonts w:hint="eastAsia" w:ascii="仿宋" w:hAnsi="仿宋" w:eastAsia="仿宋" w:cs="仿宋"/>
          <w:b/>
          <w:bCs/>
          <w:color w:val="auto"/>
          <w:szCs w:val="21"/>
          <w:highlight w:val="none"/>
          <w:lang w:eastAsia="zh-CN"/>
        </w:rPr>
        <w:t>采购文件</w:t>
      </w:r>
      <w:r>
        <w:rPr>
          <w:rFonts w:hint="eastAsia" w:ascii="仿宋" w:hAnsi="仿宋" w:eastAsia="仿宋" w:cs="仿宋"/>
          <w:b/>
          <w:bCs/>
          <w:color w:val="auto"/>
          <w:szCs w:val="21"/>
          <w:highlight w:val="none"/>
        </w:rPr>
        <w:t>的修改、补充、解释</w:t>
      </w:r>
    </w:p>
    <w:p>
      <w:pPr>
        <w:shd w:val="clear" w:color="auto" w:fill="auto"/>
        <w:wordWrap w:val="0"/>
        <w:spacing w:line="400" w:lineRule="exact"/>
        <w:ind w:firstLine="360" w:firstLineChars="15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发出后，招标人在规定的投标截止时间前可对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进行必要的修改和补充，并以</w:t>
      </w:r>
      <w:r>
        <w:rPr>
          <w:rFonts w:hint="eastAsia" w:ascii="仿宋" w:hAnsi="仿宋" w:eastAsia="仿宋" w:cs="仿宋"/>
          <w:color w:val="auto"/>
          <w:szCs w:val="21"/>
          <w:highlight w:val="none"/>
          <w:lang w:eastAsia="zh-CN"/>
        </w:rPr>
        <w:t>更正</w:t>
      </w:r>
      <w:r>
        <w:rPr>
          <w:rFonts w:hint="eastAsia" w:ascii="仿宋" w:hAnsi="仿宋" w:eastAsia="仿宋" w:cs="仿宋"/>
          <w:color w:val="auto"/>
          <w:szCs w:val="21"/>
          <w:highlight w:val="none"/>
        </w:rPr>
        <w:t>公告形式在</w:t>
      </w:r>
      <w:r>
        <w:rPr>
          <w:rFonts w:hint="eastAsia" w:ascii="仿宋" w:hAnsi="仿宋" w:eastAsia="仿宋" w:cs="仿宋"/>
          <w:color w:val="auto"/>
          <w:szCs w:val="21"/>
          <w:highlight w:val="none"/>
          <w:lang w:eastAsia="zh-CN"/>
        </w:rPr>
        <w:t>政采云平台</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更正公告</w:t>
      </w:r>
      <w:r>
        <w:rPr>
          <w:rFonts w:hint="eastAsia" w:ascii="仿宋" w:hAnsi="仿宋" w:eastAsia="仿宋" w:cs="仿宋"/>
          <w:color w:val="auto"/>
          <w:szCs w:val="21"/>
          <w:highlight w:val="none"/>
        </w:rPr>
        <w:t>”栏目予以公告，请各位投标人注意查看有关澄清内容，如不及时查看造成后果由投标人自负。</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的修改、补充等内容作为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的组成部分，具有约束作用。</w:t>
      </w:r>
    </w:p>
    <w:p>
      <w:pPr>
        <w:shd w:val="clear" w:color="auto" w:fill="auto"/>
        <w:wordWrap w:val="0"/>
        <w:spacing w:line="400" w:lineRule="exact"/>
        <w:ind w:firstLine="360" w:firstLineChars="15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outlineLvl w:val="9"/>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供应商在规定的时间内未对采购文件提出疑问、质疑或要求澄清的，将视其为无异议。</w:t>
      </w:r>
    </w:p>
    <w:p>
      <w:pPr>
        <w:shd w:val="clear" w:color="auto" w:fill="auto"/>
        <w:spacing w:line="400" w:lineRule="exact"/>
        <w:ind w:firstLine="480" w:firstLineChars="200"/>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的解释</w:t>
      </w:r>
    </w:p>
    <w:p>
      <w:pPr>
        <w:shd w:val="clear" w:color="auto" w:fill="auto"/>
        <w:spacing w:line="40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由招标人（或其委托的招标代理机构）负责解释。</w:t>
      </w:r>
    </w:p>
    <w:p>
      <w:pPr>
        <w:shd w:val="clear" w:color="auto" w:fill="auto"/>
        <w:spacing w:line="400" w:lineRule="exact"/>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18.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的发出</w:t>
      </w:r>
    </w:p>
    <w:p>
      <w:pPr>
        <w:shd w:val="clear" w:color="auto" w:fill="auto"/>
        <w:spacing w:line="400" w:lineRule="exact"/>
        <w:ind w:firstLine="360" w:firstLineChars="15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18.1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的澄清、修改、补充及招标答疑等均应报</w:t>
      </w:r>
      <w:r>
        <w:rPr>
          <w:rFonts w:hint="eastAsia" w:ascii="仿宋" w:hAnsi="仿宋" w:eastAsia="仿宋" w:cs="仿宋"/>
          <w:color w:val="auto"/>
          <w:szCs w:val="21"/>
          <w:highlight w:val="none"/>
          <w:lang w:eastAsia="zh-CN"/>
        </w:rPr>
        <w:t>相关部门</w:t>
      </w:r>
      <w:r>
        <w:rPr>
          <w:rFonts w:hint="eastAsia" w:ascii="仿宋" w:hAnsi="仿宋" w:eastAsia="仿宋" w:cs="仿宋"/>
          <w:color w:val="auto"/>
          <w:szCs w:val="21"/>
          <w:highlight w:val="none"/>
        </w:rPr>
        <w:t>备案后，方可发出。</w:t>
      </w:r>
    </w:p>
    <w:p>
      <w:pPr>
        <w:shd w:val="clear" w:color="auto" w:fill="auto"/>
        <w:spacing w:line="440" w:lineRule="exact"/>
        <w:ind w:firstLine="319" w:firstLineChars="133"/>
        <w:outlineLvl w:val="9"/>
        <w:rPr>
          <w:rFonts w:hint="eastAsia" w:ascii="仿宋" w:hAnsi="仿宋" w:eastAsia="仿宋" w:cs="仿宋"/>
          <w:color w:val="auto"/>
          <w:szCs w:val="21"/>
          <w:highlight w:val="none"/>
        </w:rPr>
      </w:pPr>
      <w:bookmarkStart w:id="24" w:name="_Toc469495726"/>
      <w:r>
        <w:rPr>
          <w:rFonts w:hint="eastAsia" w:ascii="仿宋" w:hAnsi="仿宋" w:eastAsia="仿宋" w:cs="仿宋"/>
          <w:b/>
          <w:color w:val="auto"/>
          <w:szCs w:val="21"/>
          <w:highlight w:val="none"/>
        </w:rPr>
        <w:t xml:space="preserve">19. </w:t>
      </w:r>
      <w:r>
        <w:rPr>
          <w:rFonts w:hint="eastAsia" w:ascii="仿宋" w:hAnsi="仿宋" w:eastAsia="仿宋" w:cs="仿宋"/>
          <w:color w:val="auto"/>
          <w:szCs w:val="21"/>
          <w:highlight w:val="none"/>
        </w:rPr>
        <w:t>凡需要设置样品情形时，必须明确是否需要随样品提交检测报告，并明确检测机构的要求、检测内容、</w:t>
      </w:r>
      <w:r>
        <w:rPr>
          <w:rFonts w:hint="eastAsia" w:ascii="仿宋" w:hAnsi="仿宋" w:eastAsia="仿宋" w:cs="仿宋"/>
          <w:b w:val="0"/>
          <w:bCs w:val="0"/>
          <w:color w:val="auto"/>
          <w:szCs w:val="21"/>
          <w:highlight w:val="none"/>
        </w:rPr>
        <w:t>中标样品封存</w:t>
      </w:r>
      <w:r>
        <w:rPr>
          <w:rFonts w:hint="eastAsia" w:ascii="仿宋" w:hAnsi="仿宋" w:eastAsia="仿宋" w:cs="仿宋"/>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根据项目需求按上述要求自行描述）</w:t>
      </w:r>
    </w:p>
    <w:p>
      <w:pPr>
        <w:shd w:val="clear" w:color="auto" w:fill="auto"/>
        <w:spacing w:before="312" w:beforeLines="100" w:after="312" w:afterLines="100" w:line="440" w:lineRule="exact"/>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24"/>
    </w:p>
    <w:p>
      <w:pPr>
        <w:shd w:val="clear" w:color="auto" w:fill="auto"/>
        <w:spacing w:line="440" w:lineRule="exact"/>
        <w:ind w:firstLine="348" w:firstLineChars="145"/>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投标的语言及度量衡单位</w:t>
      </w:r>
    </w:p>
    <w:p>
      <w:pPr>
        <w:shd w:val="clear" w:color="auto" w:fill="auto"/>
        <w:spacing w:line="440" w:lineRule="exact"/>
        <w:ind w:firstLine="324" w:firstLineChars="135"/>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20.2除</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中另有规定外，投标书所使用的度量衡均须采用法定计量单位。</w:t>
      </w:r>
    </w:p>
    <w:p>
      <w:pPr>
        <w:shd w:val="clear" w:color="auto" w:fill="auto"/>
        <w:spacing w:line="400" w:lineRule="exact"/>
        <w:ind w:firstLine="235" w:firstLineChars="98"/>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21. 投标文件的组成</w:t>
      </w:r>
    </w:p>
    <w:p>
      <w:pPr>
        <w:shd w:val="clear" w:color="auto" w:fill="auto"/>
        <w:spacing w:line="400" w:lineRule="exact"/>
        <w:ind w:firstLine="48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资格证明文件和商务及技术文件两部分。</w:t>
      </w:r>
    </w:p>
    <w:p>
      <w:pPr>
        <w:shd w:val="clear" w:color="auto" w:fill="auto"/>
        <w:spacing w:line="440" w:lineRule="exact"/>
        <w:ind w:firstLine="352" w:firstLineChars="147"/>
        <w:outlineLvl w:val="9"/>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352"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2、法定代表人资格证明书</w:t>
      </w:r>
    </w:p>
    <w:p>
      <w:pPr>
        <w:shd w:val="clear" w:color="auto" w:fill="auto"/>
        <w:spacing w:line="440" w:lineRule="exact"/>
        <w:ind w:firstLine="352"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3、法定代表人授权书</w:t>
      </w:r>
    </w:p>
    <w:p>
      <w:pPr>
        <w:shd w:val="clear" w:color="auto" w:fill="auto"/>
        <w:spacing w:line="440" w:lineRule="exact"/>
        <w:ind w:firstLine="352"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4、投标保证金收据或投标担保函；</w:t>
      </w:r>
    </w:p>
    <w:p>
      <w:pPr>
        <w:shd w:val="clear" w:color="auto" w:fill="auto"/>
        <w:spacing w:line="440" w:lineRule="exact"/>
        <w:ind w:firstLine="352"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5、具有良好的商业信誉和健全的财务会计制度的证明文件；</w:t>
      </w:r>
    </w:p>
    <w:p>
      <w:pPr>
        <w:shd w:val="clear" w:color="auto" w:fill="auto"/>
        <w:spacing w:line="440" w:lineRule="exact"/>
        <w:ind w:firstLine="352"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6、社会保障资金的缴纳记录；</w:t>
      </w:r>
    </w:p>
    <w:p>
      <w:pPr>
        <w:shd w:val="clear" w:color="auto" w:fill="auto"/>
        <w:spacing w:line="440" w:lineRule="exact"/>
        <w:ind w:firstLine="352"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7、参加政府采购活动前3年内在经营活动中没有重大违法记录的书面声明;</w:t>
      </w:r>
    </w:p>
    <w:p>
      <w:pPr>
        <w:shd w:val="clear" w:color="auto" w:fill="auto"/>
        <w:spacing w:line="440" w:lineRule="exact"/>
        <w:ind w:firstLine="352"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440" w:lineRule="exact"/>
        <w:ind w:firstLine="352"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9、投标人须知资料表要求的其他资格证明文件;</w:t>
      </w:r>
    </w:p>
    <w:p>
      <w:pPr>
        <w:shd w:val="clear" w:color="auto" w:fill="auto"/>
        <w:spacing w:line="440" w:lineRule="exact"/>
        <w:ind w:firstLine="352" w:firstLineChars="147"/>
        <w:outlineLvl w:val="9"/>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21.2</w:t>
      </w:r>
      <w:r>
        <w:rPr>
          <w:rFonts w:hint="eastAsia" w:ascii="仿宋" w:hAnsi="仿宋" w:eastAsia="仿宋" w:cs="仿宋"/>
          <w:b/>
          <w:color w:val="auto"/>
          <w:szCs w:val="21"/>
          <w:highlight w:val="none"/>
          <w:lang w:val="en-US" w:eastAsia="zh-CN"/>
        </w:rPr>
        <w:t xml:space="preserve"> 商务及技术文件</w:t>
      </w:r>
      <w:r>
        <w:rPr>
          <w:rFonts w:hint="eastAsia" w:ascii="仿宋" w:hAnsi="仿宋" w:eastAsia="仿宋" w:cs="仿宋"/>
          <w:b/>
          <w:color w:val="auto"/>
          <w:szCs w:val="21"/>
          <w:highlight w:val="none"/>
          <w:lang w:eastAsia="zh-CN"/>
        </w:rPr>
        <w:t>（包括但不限于）</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1、投标函</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2、开标一览表</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3、货物说明一览表</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4、投标分项报价表</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5、技术规格偏离表</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6、商务条款偏离表</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7、供应商基本情况表</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8、近三年（2019年1月1日至今）类似项目业绩表</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9、中小企业声明函(货物)</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10、《残疾人福利性单位声明函》</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11、评分标准和细则中技术部分证明材料</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12、评分标准和细则中技术部分证明材料（格式自拟）</w:t>
      </w:r>
    </w:p>
    <w:p>
      <w:pPr>
        <w:shd w:val="clear" w:color="auto" w:fill="auto"/>
        <w:spacing w:line="400" w:lineRule="exact"/>
        <w:ind w:firstLine="477" w:firstLineChars="199"/>
        <w:outlineLvl w:val="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13、供应商认为有必要提供的其他证明材料（格式自拟）</w:t>
      </w:r>
    </w:p>
    <w:p>
      <w:pPr>
        <w:shd w:val="clear" w:color="auto" w:fill="auto"/>
        <w:spacing w:line="400" w:lineRule="exact"/>
        <w:ind w:firstLine="477" w:firstLineChars="199"/>
        <w:outlineLvl w:val="9"/>
        <w:rPr>
          <w:rFonts w:hint="eastAsia" w:ascii="仿宋" w:hAnsi="仿宋" w:eastAsia="仿宋" w:cs="仿宋"/>
          <w:color w:val="auto"/>
          <w:szCs w:val="21"/>
          <w:highlight w:val="none"/>
          <w:lang w:eastAsia="zh-CN"/>
        </w:rPr>
      </w:pPr>
      <w:r>
        <w:rPr>
          <w:rFonts w:hint="eastAsia" w:ascii="仿宋" w:hAnsi="仿宋" w:eastAsia="仿宋" w:cs="仿宋"/>
          <w:b/>
          <w:color w:val="auto"/>
          <w:kern w:val="0"/>
          <w:szCs w:val="21"/>
          <w:highlight w:val="none"/>
          <w:u w:val="single"/>
        </w:rPr>
        <w:t>注：以上材料须</w:t>
      </w:r>
      <w:r>
        <w:rPr>
          <w:rFonts w:hint="eastAsia" w:ascii="仿宋" w:hAnsi="仿宋" w:eastAsia="仿宋" w:cs="仿宋"/>
          <w:b/>
          <w:color w:val="auto"/>
          <w:kern w:val="0"/>
          <w:szCs w:val="21"/>
          <w:highlight w:val="none"/>
          <w:u w:val="single"/>
          <w:lang w:eastAsia="zh-CN"/>
        </w:rPr>
        <w:t>逐页</w:t>
      </w:r>
      <w:r>
        <w:rPr>
          <w:rFonts w:hint="eastAsia" w:ascii="仿宋" w:hAnsi="仿宋" w:eastAsia="仿宋" w:cs="仿宋"/>
          <w:b/>
          <w:color w:val="auto"/>
          <w:kern w:val="0"/>
          <w:szCs w:val="21"/>
          <w:highlight w:val="none"/>
          <w:u w:val="single"/>
        </w:rPr>
        <w:t>加盖单位公章</w:t>
      </w:r>
      <w:r>
        <w:rPr>
          <w:rFonts w:hint="eastAsia" w:ascii="仿宋" w:hAnsi="仿宋" w:eastAsia="仿宋" w:cs="仿宋"/>
          <w:b/>
          <w:color w:val="auto"/>
          <w:kern w:val="0"/>
          <w:szCs w:val="21"/>
          <w:highlight w:val="none"/>
          <w:u w:val="single"/>
          <w:lang w:eastAsia="zh-CN"/>
        </w:rPr>
        <w:t>。</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21.3投标文件的要求</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（2）投标文件格式应按本采购文件第六章格式要求编制，不得对采购文件格式进行增删更改，否则按无效标处理。</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（3）对采购文件格式可更改的例外情况：采购文件第六章附件格式要求中明确规定表格中行数不够用时可按相同格式增加行数，其他一切内容和格式不得更改。 </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（4）投标文件为电子投标文件，电子投标文件按“政采云供应商项目采购-电子招投标操作指南”及本采购文件要求制作、加密传输。</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（5）投标文件未在投标截止时间前完成传输的，视为投标文件撤回；投标文件未按时解密也未提供备份投标文件的，亦视为投标文件撤回。</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22</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b/>
          <w:color w:val="000000" w:themeColor="text1"/>
          <w:szCs w:val="21"/>
          <w:lang w:eastAsia="zh-CN"/>
          <w14:textFill>
            <w14:solidFill>
              <w14:schemeClr w14:val="tx1"/>
            </w14:solidFill>
          </w14:textFill>
        </w:rPr>
        <w:t>投标报价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22.1投标报价文件中的单价和总价全部采用人民币表示。</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22.2投标报价表上应清楚地标明供应商拟提供货物的名称、型号、生产厂家、数量、单价和总价。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22.3供应商只允许有一个方案、一个报价。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22.4供应商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22.5投标报价的价格是货物交货地验收价格，其总价即为履行合同的固定总价。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22.6技术要求中规定的安装、调试和培训费用应包括在投标价格中。投标文件报价为含税价，招标人不再为此次招标支付任何费用。</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22.7投标报价应由法定代表人或被授权人签署。</w:t>
      </w:r>
    </w:p>
    <w:p>
      <w:pPr>
        <w:spacing w:line="44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22.8</w:t>
      </w:r>
      <w:r>
        <w:rPr>
          <w:rFonts w:hint="eastAsia" w:ascii="仿宋" w:hAnsi="仿宋" w:eastAsia="仿宋" w:cs="仿宋"/>
          <w:b/>
          <w:color w:val="000000" w:themeColor="text1"/>
          <w:szCs w:val="21"/>
          <w:lang w:eastAsia="zh-CN"/>
          <w14:textFill>
            <w14:solidFill>
              <w14:schemeClr w14:val="tx1"/>
            </w14:solidFill>
          </w14:textFill>
        </w:rPr>
        <w:t>供应商投标总报价，不得高于本次招标设置的最高限价，</w:t>
      </w:r>
      <w:r>
        <w:rPr>
          <w:rFonts w:hint="eastAsia" w:ascii="仿宋" w:hAnsi="仿宋" w:eastAsia="仿宋" w:cs="仿宋"/>
          <w:b/>
          <w:bCs/>
          <w:color w:val="000000" w:themeColor="text1"/>
          <w:szCs w:val="21"/>
          <w:lang w:eastAsia="zh-CN"/>
          <w14:textFill>
            <w14:solidFill>
              <w14:schemeClr w14:val="tx1"/>
            </w14:solidFill>
          </w14:textFill>
        </w:rPr>
        <w:t>否则将作为无效投标处理。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22.10总投标价中不得包含采购文件要求以外的内容，否则，在评标时不予核减，但在授予合同时，招标人有权将这部分价格从其中标价格中扣除。</w:t>
      </w:r>
    </w:p>
    <w:p>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22.12供应商不得对从第三方采购货物的随机备品、备件另行收费，否则在计算评标价时这部分费用将不予扣除，在授予合同时将从中标价格中扣除该部分费用。</w:t>
      </w:r>
    </w:p>
    <w:p>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22.13供应商应根据货物的技术状况列出随机备品备件的清单和数量，并将该备品备件价格计入总投标价，若所提供的产品无需备件，则应在投标文件中说明；无论供应商在报价中列明随机备品备件的数量及价格多少，在质保期内招标人均无需为维护维修保养所需的专用工具和备品备件另行支付费用。</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23. 投标有效期</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23.1 除供应商须知前附表另有规定外，投标有效期为60天。</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23.2在投标有效期内，供应商撤销或修改其投标文件的，应承担采购文件和法律规定的责任。</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pPr>
        <w:spacing w:line="440" w:lineRule="exact"/>
        <w:ind w:firstLine="460" w:firstLineChars="192"/>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24. 投标保证金</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24.1供应商须知前附表规定递交投标保证金的，供应商在递交投标文件的同时，应按供应商须知前附表规定的金额、担保形式和第六章“投标文件格式”规定的投标保证金格式递交投标保证金，并作为其投标文件的组成部分。供应商不按要求提交投标保证金的，评标委员会将否决其投标。</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24.2自中标通知书发出之日起5个工作日内退还未中标供应商的投标保证金，自政府采购合同签订之日起5个工作日内退还中标人的投标保证金。</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24.3有下列情形之一的，投标保证金将不予退还： </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（1）供应商在规定的投标有效期内撤回或修改其投标文件；</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（2）中标通知书发出后三十天内，中标人无正当理由拒签合同协议书或未按采购文件规定提交履约担保。</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（3）提供虚假材料谋取中标的；</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（4）经查实属于陪标、串通投标的等。</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bookmarkStart w:id="25" w:name="_Toc469495727"/>
      <w:r>
        <w:rPr>
          <w:rFonts w:hint="eastAsia" w:ascii="仿宋" w:hAnsi="仿宋" w:eastAsia="仿宋" w:cs="仿宋"/>
          <w:color w:val="000000" w:themeColor="text1"/>
          <w:szCs w:val="21"/>
          <w:lang w:eastAsia="zh-CN"/>
          <w14:textFill>
            <w14:solidFill>
              <w14:schemeClr w14:val="tx1"/>
            </w14:solidFill>
          </w14:textFill>
        </w:rPr>
        <w:t>24.4投标保证金按供应商须知前附表第24条规定执行。</w:t>
      </w:r>
    </w:p>
    <w:p>
      <w:pPr>
        <w:pStyle w:val="3"/>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（四）</w:t>
      </w:r>
      <w:bookmarkEnd w:id="25"/>
      <w:r>
        <w:rPr>
          <w:rFonts w:hint="eastAsia" w:ascii="仿宋" w:hAnsi="仿宋" w:eastAsia="仿宋" w:cs="仿宋"/>
          <w:color w:val="000000" w:themeColor="text1"/>
          <w:sz w:val="28"/>
          <w:szCs w:val="28"/>
          <w:lang w:eastAsia="zh-CN"/>
          <w14:textFill>
            <w14:solidFill>
              <w14:schemeClr w14:val="tx1"/>
            </w14:solidFill>
          </w14:textFill>
        </w:rPr>
        <w:t>投标文件的制作、上传及递交要求</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25.投标文件的制作要求</w:t>
      </w:r>
    </w:p>
    <w:p>
      <w:pPr>
        <w:pStyle w:val="8"/>
        <w:snapToGrid w:val="0"/>
        <w:spacing w:line="360" w:lineRule="auto"/>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8"/>
        <w:snapToGrid w:val="0"/>
        <w:spacing w:line="360" w:lineRule="auto"/>
        <w:ind w:firstLine="480" w:firstLineChars="200"/>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8"/>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备份电子投标文件：通过“政采云”平台电子投标工具制作投标文件所产生的备份文件。</w:t>
      </w:r>
    </w:p>
    <w:p>
      <w:pPr>
        <w:pStyle w:val="8"/>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（2）供应商应对所提供的全部资料的真实性、有效性承担法律责任，电子投标文件中所须加盖公章部分均采用CA签章。</w:t>
      </w:r>
    </w:p>
    <w:p>
      <w:pPr>
        <w:pStyle w:val="8"/>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（3）投标文件以及供应商与采购组织机构就有关投标事宜的所有来往函电，均应以中文汉语书写。除签章、盖章、专用名称等特殊情形外，以中文汉语以外的文字表述的投标文件视同未提供。</w:t>
      </w:r>
    </w:p>
    <w:p>
      <w:pPr>
        <w:pStyle w:val="8"/>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pPr>
        <w:pStyle w:val="8"/>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（5）若供应商不按采购文件的要求提供资格审查材料，其风险由供应商自行承担。</w:t>
      </w:r>
    </w:p>
    <w:p>
      <w:pPr>
        <w:pStyle w:val="8"/>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（6）与本次投标无关的内容请不要制作在内，确保投标文件有针对性、简洁明了。</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26.投标文件的上传</w:t>
      </w:r>
    </w:p>
    <w:p>
      <w:pPr>
        <w:pStyle w:val="8"/>
        <w:snapToGrid w:val="0"/>
        <w:spacing w:line="360" w:lineRule="auto"/>
        <w:rPr>
          <w:rFonts w:ascii="仿宋" w:hAnsi="仿宋" w:eastAsia="仿宋" w:cs="仿宋"/>
          <w:b/>
          <w:bCs/>
          <w:color w:val="000000" w:themeColor="text1"/>
          <w:szCs w:val="24"/>
          <w:lang w:eastAsia="zh-CN"/>
          <w14:textFill>
            <w14:solidFill>
              <w14:schemeClr w14:val="tx1"/>
            </w14:solidFill>
          </w14:textFill>
        </w:rPr>
      </w:pPr>
      <w:r>
        <w:rPr>
          <w:rFonts w:hint="eastAsia" w:ascii="仿宋" w:hAnsi="仿宋" w:eastAsia="仿宋" w:cs="仿宋"/>
          <w:b/>
          <w:bCs/>
          <w:color w:val="000000" w:themeColor="text1"/>
          <w:szCs w:val="24"/>
          <w:lang w:eastAsia="zh-CN"/>
          <w14:textFill>
            <w14:solidFill>
              <w14:schemeClr w14:val="tx1"/>
            </w14:solidFill>
          </w14:textFill>
        </w:rPr>
        <w:t>（1）</w:t>
      </w:r>
      <w:r>
        <w:rPr>
          <w:rFonts w:hint="eastAsia" w:ascii="仿宋" w:hAnsi="仿宋" w:eastAsia="仿宋" w:cs="仿宋"/>
          <w:b/>
          <w:bCs/>
          <w:color w:val="000000" w:themeColor="text1"/>
          <w:szCs w:val="24"/>
          <w:lang w:eastAsia="zh-CN" w:bidi="zh-CN"/>
          <w14:textFill>
            <w14:solidFill>
              <w14:schemeClr w14:val="tx1"/>
            </w14:solidFill>
          </w14:textFill>
        </w:rPr>
        <w:t>电子加密投标文件（“.jmbs”格式）</w:t>
      </w:r>
      <w:r>
        <w:rPr>
          <w:rFonts w:hint="eastAsia" w:ascii="仿宋" w:hAnsi="仿宋" w:eastAsia="仿宋" w:cs="仿宋"/>
          <w:b/>
          <w:bCs/>
          <w:color w:val="000000" w:themeColor="text1"/>
          <w:szCs w:val="24"/>
          <w:lang w:eastAsia="zh-CN"/>
          <w14:textFill>
            <w14:solidFill>
              <w14:schemeClr w14:val="tx1"/>
            </w14:solidFill>
          </w14:textFill>
        </w:rPr>
        <w:t>：</w:t>
      </w:r>
    </w:p>
    <w:p>
      <w:pPr>
        <w:pStyle w:val="8"/>
        <w:snapToGrid w:val="0"/>
        <w:spacing w:line="360" w:lineRule="auto"/>
        <w:ind w:firstLine="600" w:firstLineChars="250"/>
        <w:rPr>
          <w:rFonts w:ascii="仿宋" w:hAnsi="仿宋" w:eastAsia="仿宋" w:cs="仿宋"/>
          <w:bCs/>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a.</w:t>
      </w:r>
      <w:r>
        <w:rPr>
          <w:rFonts w:hint="eastAsia" w:ascii="仿宋" w:hAnsi="仿宋" w:eastAsia="仿宋" w:cs="仿宋"/>
          <w:bCs/>
          <w:color w:val="000000" w:themeColor="text1"/>
          <w:szCs w:val="24"/>
          <w:lang w:eastAsia="zh-CN"/>
          <w14:textFill>
            <w14:solidFill>
              <w14:schemeClr w14:val="tx1"/>
            </w14:solidFill>
          </w14:textFill>
        </w:rPr>
        <w:t xml:space="preserve"> </w:t>
      </w:r>
      <w:r>
        <w:rPr>
          <w:rFonts w:hint="eastAsia" w:ascii="仿宋" w:hAnsi="仿宋" w:eastAsia="仿宋" w:cs="仿宋"/>
          <w:bCs/>
          <w:color w:val="000000" w:themeColor="text1"/>
          <w:szCs w:val="24"/>
          <w:lang w:eastAsia="zh-CN" w:bidi="zh-CN"/>
          <w14:textFill>
            <w14:solidFill>
              <w14:schemeClr w14:val="tx1"/>
            </w14:solidFill>
          </w14:textFill>
        </w:rPr>
        <w:t>供应商应在投标截止时间前将电子加密投标文件成功上传递交至新疆政府采购云平台，否则投标无效；</w:t>
      </w:r>
    </w:p>
    <w:p>
      <w:pPr>
        <w:pStyle w:val="8"/>
        <w:snapToGrid w:val="0"/>
        <w:spacing w:line="360" w:lineRule="auto"/>
        <w:ind w:firstLine="600" w:firstLineChars="25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b.供应商成功上传电子加密投标文件后，可自行打印投标文件接收回执。</w:t>
      </w:r>
    </w:p>
    <w:p>
      <w:pPr>
        <w:pStyle w:val="8"/>
        <w:snapToGrid w:val="0"/>
        <w:spacing w:line="360" w:lineRule="auto"/>
        <w:rPr>
          <w:rFonts w:ascii="仿宋" w:hAnsi="仿宋" w:eastAsia="仿宋" w:cs="仿宋"/>
          <w:b/>
          <w:bCs/>
          <w:color w:val="000000" w:themeColor="text1"/>
          <w:szCs w:val="24"/>
          <w:lang w:eastAsia="zh-CN" w:bidi="zh-CN"/>
          <w14:textFill>
            <w14:solidFill>
              <w14:schemeClr w14:val="tx1"/>
            </w14:solidFill>
          </w14:textFill>
        </w:rPr>
      </w:pPr>
      <w:r>
        <w:rPr>
          <w:rFonts w:hint="eastAsia" w:ascii="仿宋" w:hAnsi="仿宋" w:eastAsia="仿宋" w:cs="仿宋"/>
          <w:b/>
          <w:bCs/>
          <w:color w:val="000000" w:themeColor="text1"/>
          <w:szCs w:val="24"/>
          <w:lang w:eastAsia="zh-CN"/>
          <w14:textFill>
            <w14:solidFill>
              <w14:schemeClr w14:val="tx1"/>
            </w14:solidFill>
          </w14:textFill>
        </w:rPr>
        <w:t>（2）</w:t>
      </w:r>
      <w:r>
        <w:rPr>
          <w:rFonts w:hint="eastAsia" w:ascii="仿宋" w:hAnsi="仿宋" w:eastAsia="仿宋" w:cs="仿宋"/>
          <w:b/>
          <w:bCs/>
          <w:color w:val="000000" w:themeColor="text1"/>
          <w:szCs w:val="24"/>
          <w:lang w:eastAsia="zh-CN" w:bidi="zh-CN"/>
          <w14:textFill>
            <w14:solidFill>
              <w14:schemeClr w14:val="tx1"/>
            </w14:solidFill>
          </w14:textFill>
        </w:rPr>
        <w:t>备份投标文件（“.bfbs”格式）：</w:t>
      </w:r>
    </w:p>
    <w:p>
      <w:pPr>
        <w:pStyle w:val="8"/>
        <w:snapToGrid w:val="0"/>
        <w:spacing w:line="360" w:lineRule="auto"/>
        <w:ind w:firstLine="600" w:firstLineChars="250"/>
        <w:rPr>
          <w:rFonts w:ascii="仿宋" w:hAnsi="仿宋" w:eastAsia="仿宋" w:cs="仿宋"/>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Cs w:val="24"/>
          <w:lang w:eastAsia="zh-CN" w:bidi="zh-CN"/>
          <w14:textFill>
            <w14:solidFill>
              <w14:schemeClr w14:val="tx1"/>
            </w14:solidFill>
          </w14:textFill>
        </w:rPr>
        <w:t>“备份投标文件”以投标截止时间前指定接收邮箱最终收到的文件为准，逾期或未按要求提供的视为未提供，建议供应商提前1日办理邮件提供事宜（</w:t>
      </w:r>
      <w:r>
        <w:rPr>
          <w:rFonts w:hint="eastAsia" w:ascii="仿宋" w:hAnsi="仿宋" w:eastAsia="仿宋" w:cs="仿宋"/>
          <w:color w:val="auto"/>
          <w:sz w:val="24"/>
          <w:szCs w:val="24"/>
          <w:highlight w:val="none"/>
          <w:lang w:bidi="zh-CN"/>
        </w:rPr>
        <w:t>接收人邮箱：</w:t>
      </w:r>
      <w:r>
        <w:rPr>
          <w:rFonts w:hint="eastAsia" w:ascii="仿宋" w:hAnsi="仿宋" w:eastAsia="仿宋" w:cs="仿宋"/>
          <w:color w:val="auto"/>
          <w:sz w:val="24"/>
          <w:szCs w:val="24"/>
          <w:highlight w:val="none"/>
          <w:u w:val="single"/>
          <w:lang w:val="en-US" w:bidi="zh-CN"/>
        </w:rPr>
        <w:t>820740061@qq.com</w:t>
      </w:r>
      <w:r>
        <w:rPr>
          <w:rStyle w:val="31"/>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val="en-US" w:bidi="zh-CN"/>
        </w:rPr>
        <w:t>王</w:t>
      </w:r>
      <w:r>
        <w:rPr>
          <w:rFonts w:hint="eastAsia" w:ascii="仿宋" w:hAnsi="仿宋" w:eastAsia="仿宋" w:cs="仿宋"/>
          <w:color w:val="auto"/>
          <w:sz w:val="24"/>
          <w:szCs w:val="24"/>
          <w:highlight w:val="none"/>
          <w:u w:val="single"/>
          <w:lang w:bidi="zh-CN"/>
        </w:rPr>
        <w:t>先生</w:t>
      </w:r>
      <w:r>
        <w:rPr>
          <w:rStyle w:val="31"/>
          <w:rFonts w:hint="eastAsia" w:ascii="仿宋" w:hAnsi="仿宋" w:eastAsia="仿宋" w:cs="仿宋"/>
          <w:color w:val="auto"/>
          <w:sz w:val="24"/>
          <w:szCs w:val="24"/>
          <w:highlight w:val="none"/>
          <w:u w:val="single"/>
          <w:lang w:bidi="zh-CN"/>
        </w:rPr>
        <w:t>，电话：</w:t>
      </w:r>
      <w:r>
        <w:rPr>
          <w:rStyle w:val="31"/>
          <w:rFonts w:hint="eastAsia" w:ascii="仿宋" w:hAnsi="仿宋" w:eastAsia="仿宋" w:cs="仿宋"/>
          <w:color w:val="auto"/>
          <w:sz w:val="24"/>
          <w:szCs w:val="24"/>
          <w:highlight w:val="none"/>
          <w:u w:val="single"/>
          <w:lang w:val="en-US" w:bidi="zh-CN"/>
        </w:rPr>
        <w:t>18104746080</w:t>
      </w:r>
      <w:r>
        <w:rPr>
          <w:rFonts w:hint="eastAsia" w:ascii="仿宋" w:hAnsi="仿宋" w:eastAsia="仿宋" w:cs="仿宋"/>
          <w:color w:val="000000" w:themeColor="text1"/>
          <w:szCs w:val="24"/>
          <w:lang w:eastAsia="zh-CN" w:bidi="zh-CN"/>
          <w14:textFill>
            <w14:solidFill>
              <w14:schemeClr w14:val="tx1"/>
            </w14:solidFill>
          </w14:textFill>
        </w:rPr>
        <w:t>）；</w:t>
      </w:r>
    </w:p>
    <w:p>
      <w:pPr>
        <w:pStyle w:val="8"/>
        <w:snapToGrid w:val="0"/>
        <w:spacing w:line="360" w:lineRule="auto"/>
        <w:ind w:firstLine="600" w:firstLineChars="250"/>
        <w:rPr>
          <w:rFonts w:ascii="仿宋" w:hAnsi="仿宋" w:eastAsia="仿宋" w:cs="仿宋"/>
          <w:bCs/>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27.</w:t>
      </w:r>
      <w:r>
        <w:rPr>
          <w:rFonts w:hint="eastAsia" w:ascii="仿宋" w:hAnsi="仿宋" w:eastAsia="仿宋" w:cs="仿宋"/>
          <w:b/>
          <w:color w:val="000000" w:themeColor="text1"/>
          <w:lang w:eastAsia="zh-CN"/>
          <w14:textFill>
            <w14:solidFill>
              <w14:schemeClr w14:val="tx1"/>
            </w14:solidFill>
          </w14:textFill>
        </w:rPr>
        <w:t>投标文件的递交要求</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（3）如有特殊情况，采购组织机构延长截止时间和开标时间，采购组织机构和供应商的权利和义务将受到新的截止时间和开标时间的约束。</w:t>
      </w:r>
    </w:p>
    <w:p>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28．投标文件的补充、修改与撤回</w:t>
      </w:r>
    </w:p>
    <w:p>
      <w:pPr>
        <w:tabs>
          <w:tab w:val="left" w:pos="960"/>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6" w:name="_Toc469495728"/>
    </w:p>
    <w:p>
      <w:pPr>
        <w:tabs>
          <w:tab w:val="left" w:pos="960"/>
          <w:tab w:val="left" w:pos="1418"/>
        </w:tabs>
        <w:autoSpaceDE w:val="0"/>
        <w:autoSpaceDN w:val="0"/>
        <w:adjustRightInd w:val="0"/>
        <w:snapToGrid w:val="0"/>
        <w:spacing w:line="360" w:lineRule="auto"/>
        <w:ind w:firstLine="560" w:firstLineChars="200"/>
        <w:jc w:val="center"/>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（五）开标、评标和定标</w:t>
      </w:r>
      <w:bookmarkEnd w:id="26"/>
    </w:p>
    <w:p>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29. 开标</w:t>
      </w:r>
    </w:p>
    <w:p>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bookmarkStart w:id="27" w:name="_Toc73975822"/>
      <w:r>
        <w:rPr>
          <w:rFonts w:hint="eastAsia" w:ascii="仿宋" w:hAnsi="仿宋" w:eastAsia="仿宋" w:cs="仿宋"/>
          <w:b/>
          <w:bCs/>
          <w:color w:val="000000" w:themeColor="text1"/>
          <w:lang w:eastAsia="zh-CN"/>
          <w14:textFill>
            <w14:solidFill>
              <w14:schemeClr w14:val="tx1"/>
            </w14:solidFill>
          </w14:textFill>
        </w:rPr>
        <w:t>29.1开标邀请</w:t>
      </w:r>
      <w:bookmarkEnd w:id="27"/>
    </w:p>
    <w:p>
      <w:pPr>
        <w:pStyle w:val="14"/>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（1）开标准备：本项目开标的准备工作由采购组织机构负责落实，开标过程由采购组织机构负责记录；</w:t>
      </w:r>
    </w:p>
    <w:p>
      <w:pPr>
        <w:pStyle w:val="14"/>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（2）开标主持:本项目开标由采购人或者采购代理机构主持；</w:t>
      </w:r>
    </w:p>
    <w:p>
      <w:pPr>
        <w:pStyle w:val="14"/>
        <w:snapToGrid w:val="0"/>
        <w:spacing w:line="360" w:lineRule="auto"/>
        <w:ind w:firstLine="480" w:firstLineChars="20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（3）</w:t>
      </w:r>
      <w:r>
        <w:rPr>
          <w:rFonts w:hint="eastAsia" w:ascii="仿宋" w:hAnsi="仿宋" w:eastAsia="仿宋" w:cs="仿宋"/>
          <w:color w:val="000000" w:themeColor="text1"/>
          <w:szCs w:val="24"/>
          <w14:textFill>
            <w14:solidFill>
              <w14:schemeClr w14:val="tx1"/>
            </w14:solidFill>
          </w14:textFill>
        </w:rPr>
        <w:t>开标邀请：本项目采用电子交易，采购组织机构将按照采购文件规定的时间通过“</w:t>
      </w:r>
      <w:r>
        <w:rPr>
          <w:rFonts w:hint="eastAsia" w:ascii="仿宋" w:hAnsi="仿宋" w:eastAsia="仿宋" w:cs="仿宋"/>
          <w:color w:val="000000" w:themeColor="text1"/>
          <w:szCs w:val="24"/>
          <w:lang w:eastAsia="zh-CN"/>
          <w14:textFill>
            <w14:solidFill>
              <w14:schemeClr w14:val="tx1"/>
            </w14:solidFill>
          </w14:textFill>
        </w:rPr>
        <w:t>新疆</w:t>
      </w:r>
      <w:r>
        <w:rPr>
          <w:rFonts w:hint="eastAsia" w:ascii="仿宋" w:hAnsi="仿宋" w:eastAsia="仿宋" w:cs="仿宋"/>
          <w:color w:val="000000" w:themeColor="text1"/>
          <w:szCs w:val="24"/>
          <w14:textFill>
            <w14:solidFill>
              <w14:schemeClr w14:val="tx1"/>
            </w14:solidFill>
          </w14:textFill>
        </w:rPr>
        <w:t>政府采购云平台，网址：</w:t>
      </w:r>
      <w:r>
        <w:fldChar w:fldCharType="begin"/>
      </w:r>
      <w:r>
        <w:instrText xml:space="preserve"> HYPERLINK "http://www.zcygov.cn" </w:instrText>
      </w:r>
      <w:r>
        <w:fldChar w:fldCharType="separate"/>
      </w:r>
      <w:r>
        <w:rPr>
          <w:rStyle w:val="31"/>
          <w:rFonts w:hint="eastAsia" w:ascii="仿宋" w:hAnsi="仿宋" w:eastAsia="仿宋" w:cs="仿宋"/>
          <w:color w:val="000000" w:themeColor="text1"/>
          <w:szCs w:val="24"/>
          <w:u w:val="none"/>
          <w14:textFill>
            <w14:solidFill>
              <w14:schemeClr w14:val="tx1"/>
            </w14:solidFill>
          </w14:textFill>
        </w:rPr>
        <w:t>www.zcygov.cn</w:t>
      </w:r>
      <w:r>
        <w:rPr>
          <w:rStyle w:val="31"/>
          <w:rFonts w:hint="eastAsia" w:ascii="仿宋" w:hAnsi="仿宋" w:eastAsia="仿宋" w:cs="仿宋"/>
          <w:color w:val="000000" w:themeColor="text1"/>
          <w:szCs w:val="24"/>
          <w:u w:val="none"/>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t>”组织开标、开启投标响应文件，所有供应商均应当准时在线参加。</w:t>
      </w:r>
    </w:p>
    <w:p>
      <w:pPr>
        <w:pStyle w:val="14"/>
        <w:snapToGrid w:val="0"/>
        <w:spacing w:line="360" w:lineRule="auto"/>
        <w:ind w:firstLine="480" w:firstLineChars="200"/>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80" w:firstLineChars="200"/>
        <w:outlineLvl w:val="2"/>
        <w:rPr>
          <w:rFonts w:ascii="仿宋" w:hAnsi="仿宋" w:eastAsia="仿宋" w:cs="仿宋"/>
          <w:b/>
          <w:color w:val="000000" w:themeColor="text1"/>
          <w:lang w:eastAsia="zh-CN"/>
          <w14:textFill>
            <w14:solidFill>
              <w14:schemeClr w14:val="tx1"/>
            </w14:solidFill>
          </w14:textFill>
        </w:rPr>
      </w:pPr>
      <w:bookmarkStart w:id="28" w:name="_Toc73975823"/>
      <w:r>
        <w:rPr>
          <w:rFonts w:hint="eastAsia" w:ascii="仿宋" w:hAnsi="仿宋" w:eastAsia="仿宋" w:cs="仿宋"/>
          <w:b/>
          <w:color w:val="000000" w:themeColor="text1"/>
          <w:lang w:eastAsia="zh-CN"/>
          <w14:textFill>
            <w14:solidFill>
              <w14:schemeClr w14:val="tx1"/>
            </w14:solidFill>
          </w14:textFill>
        </w:rPr>
        <w:t>29.2</w:t>
      </w:r>
      <w:r>
        <w:rPr>
          <w:rFonts w:hint="eastAsia" w:ascii="仿宋" w:hAnsi="仿宋" w:eastAsia="仿宋" w:cs="仿宋"/>
          <w:b/>
          <w:bCs/>
          <w:color w:val="000000" w:themeColor="text1"/>
          <w:lang w:eastAsia="zh-CN"/>
          <w14:textFill>
            <w14:solidFill>
              <w14:schemeClr w14:val="tx1"/>
            </w14:solidFill>
          </w14:textFill>
        </w:rPr>
        <w:t>开标程序（先资格、商务技术后报价）</w:t>
      </w:r>
      <w:bookmarkEnd w:id="28"/>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（1）开标时间到后，主持人宣布开标会议开始。</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（2）投标文件解密（</w:t>
      </w:r>
      <w:r>
        <w:rPr>
          <w:rFonts w:hint="eastAsia" w:ascii="仿宋" w:hAnsi="仿宋" w:eastAsia="仿宋" w:cs="仿宋"/>
          <w:b/>
          <w:color w:val="000000" w:themeColor="text1"/>
          <w:lang w:eastAsia="zh-CN"/>
          <w14:textFill>
            <w14:solidFill>
              <w14:schemeClr w14:val="tx1"/>
            </w14:solidFill>
          </w14:textFill>
        </w:rPr>
        <w:t>解密规定见《供应商须知前附表》</w:t>
      </w:r>
      <w:r>
        <w:rPr>
          <w:rFonts w:hint="eastAsia" w:ascii="仿宋" w:hAnsi="仿宋" w:eastAsia="仿宋" w:cs="仿宋"/>
          <w:color w:val="000000" w:themeColor="text1"/>
          <w:lang w:eastAsia="zh-CN"/>
          <w14:textFill>
            <w14:solidFill>
              <w14:schemeClr w14:val="tx1"/>
            </w14:solidFill>
          </w14:textFill>
        </w:rPr>
        <w:t>）。</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（3）投标文件解密异常情况处理（</w:t>
      </w:r>
      <w:r>
        <w:rPr>
          <w:rFonts w:hint="eastAsia" w:ascii="仿宋" w:hAnsi="仿宋" w:eastAsia="仿宋" w:cs="仿宋"/>
          <w:b/>
          <w:color w:val="000000" w:themeColor="text1"/>
          <w:lang w:eastAsia="zh-CN"/>
          <w14:textFill>
            <w14:solidFill>
              <w14:schemeClr w14:val="tx1"/>
            </w14:solidFill>
          </w14:textFill>
        </w:rPr>
        <w:t>处理办法见《供应商须知前附表》</w:t>
      </w:r>
      <w:r>
        <w:rPr>
          <w:rFonts w:hint="eastAsia" w:ascii="仿宋" w:hAnsi="仿宋" w:eastAsia="仿宋" w:cs="仿宋"/>
          <w:color w:val="000000" w:themeColor="text1"/>
          <w:lang w:eastAsia="zh-CN"/>
          <w14:textFill>
            <w14:solidFill>
              <w14:schemeClr w14:val="tx1"/>
            </w14:solidFill>
          </w14:textFill>
        </w:rPr>
        <w:t>）。</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（4）公布投标文件解密情况（投标文件成功解密的供应商名单等信息），组织签署</w:t>
      </w:r>
      <w:r>
        <w:rPr>
          <w:rFonts w:hint="eastAsia" w:ascii="仿宋" w:hAnsi="仿宋" w:eastAsia="仿宋" w:cs="仿宋"/>
          <w:b/>
          <w:bCs/>
          <w:color w:val="000000" w:themeColor="text1"/>
          <w:lang w:eastAsia="zh-CN"/>
          <w14:textFill>
            <w14:solidFill>
              <w14:schemeClr w14:val="tx1"/>
            </w14:solidFill>
          </w14:textFill>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000000" w:themeColor="text1"/>
          <w:lang w:val="en-US" w:eastAsia="zh-CN"/>
          <w14:textFill>
            <w14:solidFill>
              <w14:schemeClr w14:val="tx1"/>
            </w14:solidFill>
          </w14:textFill>
        </w:rPr>
        <w:t>820740061</w:t>
      </w:r>
      <w:r>
        <w:rPr>
          <w:rFonts w:hint="eastAsia" w:ascii="仿宋" w:hAnsi="仿宋" w:eastAsia="仿宋" w:cs="仿宋"/>
          <w:b/>
          <w:bCs/>
          <w:color w:val="000000" w:themeColor="text1"/>
          <w:lang w:eastAsia="zh-CN"/>
          <w14:textFill>
            <w14:solidFill>
              <w14:schemeClr w14:val="tx1"/>
            </w14:solidFill>
          </w14:textFill>
        </w:rPr>
        <w:t>@qq.com ，逾期发送或未发送的视为无异议</w:t>
      </w:r>
      <w:r>
        <w:rPr>
          <w:rFonts w:hint="eastAsia" w:ascii="仿宋" w:hAnsi="仿宋" w:eastAsia="仿宋" w:cs="仿宋"/>
          <w:color w:val="000000" w:themeColor="text1"/>
          <w:lang w:eastAsia="zh-CN"/>
          <w14:textFill>
            <w14:solidFill>
              <w14:schemeClr w14:val="tx1"/>
            </w14:solidFill>
          </w14:textFill>
        </w:rPr>
        <w:t>。</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（6）商务技术评审结束后，主持人公布商务技术评审无效投标供应商名单和商务技术评审有效投标供应商名单及其商务技术得分情况。商务技术评审无效的供应商，其报价不再进入评审。</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（7）开启有效投标供应商的报价，公布开标一览表有关内容，</w:t>
      </w:r>
      <w:r>
        <w:rPr>
          <w:rFonts w:hint="eastAsia" w:ascii="仿宋" w:hAnsi="仿宋" w:eastAsia="仿宋" w:cs="仿宋"/>
          <w:color w:val="000000" w:themeColor="text1"/>
          <w:lang w:eastAsia="zh-CN" w:bidi="zh-CN"/>
          <w14:textFill>
            <w14:solidFill>
              <w14:schemeClr w14:val="tx1"/>
            </w14:solidFill>
          </w14:textFill>
        </w:rPr>
        <w:t>并【开启签章时段】，供应商对开标记录进行在线签章确认（不予确认的应说明理由，否则视为无异议）</w:t>
      </w:r>
      <w:r>
        <w:rPr>
          <w:rFonts w:hint="eastAsia" w:ascii="仿宋" w:hAnsi="仿宋" w:eastAsia="仿宋" w:cs="仿宋"/>
          <w:color w:val="000000" w:themeColor="text1"/>
          <w:lang w:eastAsia="zh-CN"/>
          <w14:textFill>
            <w14:solidFill>
              <w14:schemeClr w14:val="tx1"/>
            </w14:solidFill>
          </w14:textFill>
        </w:rPr>
        <w:t>。开标结束后，由评标委员会对报价的合理性、准确性等进行审查核实。</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（8）评审结束后，采购代理机构在系统上公布评审结果。</w:t>
      </w:r>
    </w:p>
    <w:p>
      <w:pPr>
        <w:snapToGrid w:val="0"/>
        <w:spacing w:line="360" w:lineRule="auto"/>
        <w:ind w:left="48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特别情况说明：</w:t>
      </w:r>
    </w:p>
    <w:p>
      <w:pPr>
        <w:snapToGrid w:val="0"/>
        <w:spacing w:line="360" w:lineRule="auto"/>
        <w:ind w:firstLine="424" w:firstLineChars="177"/>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（1）本项目采用电子交易，如遇“新疆政府采购云平台”电子化开标或评审程序调整的，按调整后程序执行。</w:t>
      </w:r>
    </w:p>
    <w:p>
      <w:pPr>
        <w:snapToGrid w:val="0"/>
        <w:spacing w:line="360" w:lineRule="auto"/>
        <w:ind w:firstLine="424" w:firstLineChars="177"/>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000000" w:themeColor="text1"/>
          <w:u w:val="single"/>
          <w:lang w:eastAsia="zh-CN"/>
          <w14:textFill>
            <w14:solidFill>
              <w14:schemeClr w14:val="tx1"/>
            </w14:solidFill>
          </w14:textFill>
        </w:rPr>
        <w:t>请供应商保证办理投标事宜人员电话畅通、网络在线，签章或盖章确认的时间为20分钟。如未及时签章或盖章确认的，视为无异议</w:t>
      </w:r>
      <w:r>
        <w:rPr>
          <w:rFonts w:hint="eastAsia" w:ascii="仿宋" w:hAnsi="仿宋" w:eastAsia="仿宋" w:cs="仿宋"/>
          <w:b/>
          <w:color w:val="000000" w:themeColor="text1"/>
          <w:lang w:eastAsia="zh-CN"/>
          <w14:textFill>
            <w14:solidFill>
              <w14:schemeClr w14:val="tx1"/>
            </w14:solidFill>
          </w14:textFill>
        </w:rPr>
        <w:t>。</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29.3 投标供应商资格审查：</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w:t>
      </w:r>
      <w:r>
        <w:rPr>
          <w:rFonts w:hint="eastAsia" w:ascii="仿宋" w:hAnsi="仿宋" w:eastAsia="仿宋" w:cs="仿宋"/>
          <w:bCs/>
          <w:color w:val="000000" w:themeColor="text1"/>
          <w:lang w:eastAsia="zh-CN"/>
          <w14:textFill>
            <w14:solidFill>
              <w14:schemeClr w14:val="tx1"/>
            </w14:solidFill>
          </w14:textFill>
        </w:rPr>
        <w:t>开标（标书信息开启）后，采购人或采购代理机构或</w:t>
      </w:r>
      <w:r>
        <w:rPr>
          <w:rFonts w:hint="eastAsia" w:ascii="仿宋" w:hAnsi="仿宋" w:eastAsia="仿宋" w:cs="仿宋"/>
          <w:color w:val="000000" w:themeColor="text1"/>
          <w:lang w:eastAsia="zh-CN"/>
          <w14:textFill>
            <w14:solidFill>
              <w14:schemeClr w14:val="tx1"/>
            </w14:solidFill>
          </w14:textFill>
        </w:rPr>
        <w:t>评审小组</w:t>
      </w:r>
      <w:r>
        <w:rPr>
          <w:rFonts w:hint="eastAsia" w:ascii="仿宋" w:hAnsi="仿宋" w:eastAsia="仿宋" w:cs="仿宋"/>
          <w:bCs/>
          <w:color w:val="000000" w:themeColor="text1"/>
          <w:lang w:eastAsia="zh-CN"/>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lang w:eastAsia="zh-CN"/>
          <w14:textFill>
            <w14:solidFill>
              <w14:schemeClr w14:val="tx1"/>
            </w14:solidFill>
          </w14:textFill>
        </w:rPr>
        <w:t>采购人或采购代理机构</w:t>
      </w:r>
      <w:r>
        <w:rPr>
          <w:rFonts w:hint="eastAsia" w:ascii="仿宋" w:hAnsi="仿宋" w:eastAsia="仿宋" w:cs="仿宋"/>
          <w:bCs/>
          <w:color w:val="000000" w:themeColor="text1"/>
          <w:lang w:eastAsia="zh-CN"/>
          <w14:textFill>
            <w14:solidFill>
              <w14:schemeClr w14:val="tx1"/>
            </w14:solidFill>
          </w14:textFill>
        </w:rPr>
        <w:t>或</w:t>
      </w:r>
      <w:r>
        <w:rPr>
          <w:rFonts w:hint="eastAsia" w:ascii="仿宋" w:hAnsi="仿宋" w:eastAsia="仿宋" w:cs="仿宋"/>
          <w:color w:val="000000" w:themeColor="text1"/>
          <w:lang w:eastAsia="zh-CN"/>
          <w14:textFill>
            <w14:solidFill>
              <w14:schemeClr w14:val="tx1"/>
            </w14:solidFill>
          </w14:textFill>
        </w:rPr>
        <w:t>评审小组对投标供应商所提交的资格证明材料仅负审核的责任。如发现投标供应商所提交的资格证明材料不合法或与事实不符，采购人可取消其中标资格并追究投标供应商的法律责任。</w:t>
      </w:r>
    </w:p>
    <w:p>
      <w:pPr>
        <w:pStyle w:val="8"/>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8"/>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（3）供应商信用记录查询与使用：见《供应商须知前附表》。</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30.评审工作的组织</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 评标委员会的组建</w:t>
      </w:r>
    </w:p>
    <w:p>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31.1评标委员会由采购人或采购代理机构依法组建，成员由采购人代表1人和评审专家4人，成员人数为5人，其中评审专家不少于成员总数的三分之二。</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31.2评审专家从新疆政府采购云平台专家库中通过随机方式抽取产生。评标委员会成员名单在采购结果公告前保密。</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32.评标委员会的职责</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32.1审查、评价投标文件是否符合采购文件的商务、技术等实质性要求。</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32.2要求供应商对投标文件有关事项作出澄清或者说明。</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32.3对投标文件进行比较和评价。</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32.4确定中标候选人名单，以及根据采购人委托直接确定中标人。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32.5向采购人、采购代理机构或者有关部门报告评审中发现的违法行为。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 评标原则</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33.1评标委员会将遵循公平、公正、科学的原则，对供应商提交的投标文件进行综合评审，评标委员会按照采购文件规定的评标细则进行评分。</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33.2客观公正对待所有供应商，对所有投标评价均采用相同的程序和标准。 </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33.3评标委员会成员对需要共同认定的事项存在争议的，按照少数服从多数的原则作出结论。持不同意见的评标委员会成员应当在评审报告上签署不同意见及理由，否则视为同意评审报告。</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34. 评委纪律</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35.评标程序</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35.1 在评审专家中推选评标委员会组长，采购人代表不得担任评标委员会组长。</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35.3 评审人员对符合资格的供应商的投标文件的有效性、符合性、完整性和响应程度进行审查，确定是否对采购文件作出实质性响应。</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35.4 评审人员按采购文件规定的评审方法和评审标准，依法独立对供应商投标文件进行评估、比较，并给予评价或打分，不受任何单位和个人的干预。</w:t>
      </w:r>
    </w:p>
    <w:p>
      <w:pPr>
        <w:widowControl/>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综合评分法货物项目的价格分值占总分值</w:t>
      </w:r>
      <w:r>
        <w:rPr>
          <w:rFonts w:hint="eastAsia" w:ascii="仿宋" w:hAnsi="仿宋" w:eastAsia="仿宋" w:cs="仿宋"/>
          <w:color w:val="auto"/>
          <w:szCs w:val="21"/>
          <w:lang w:eastAsia="zh-CN"/>
        </w:rPr>
        <w:t>的比重(即权值)为</w:t>
      </w: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0</w:t>
      </w:r>
      <w:r>
        <w:rPr>
          <w:rFonts w:hint="eastAsia" w:ascii="仿宋" w:hAnsi="仿宋" w:eastAsia="仿宋" w:cs="仿宋"/>
          <w:b/>
          <w:bCs/>
          <w:color w:val="auto"/>
          <w:szCs w:val="21"/>
          <w:lang w:eastAsia="zh-CN"/>
        </w:rPr>
        <w:t>％</w:t>
      </w:r>
      <w:r>
        <w:rPr>
          <w:rFonts w:hint="eastAsia" w:ascii="仿宋" w:hAnsi="仿宋" w:eastAsia="仿宋" w:cs="仿宋"/>
          <w:color w:val="auto"/>
          <w:szCs w:val="21"/>
          <w:lang w:eastAsia="zh-CN"/>
        </w:rPr>
        <w:t>，</w:t>
      </w:r>
      <w:r>
        <w:rPr>
          <w:rFonts w:hint="eastAsia" w:ascii="仿宋" w:hAnsi="仿宋" w:eastAsia="仿宋" w:cs="仿宋"/>
          <w:color w:val="000000" w:themeColor="text1"/>
          <w:szCs w:val="21"/>
          <w:lang w:eastAsia="zh-CN"/>
          <w14:textFill>
            <w14:solidFill>
              <w14:schemeClr w14:val="tx1"/>
            </w14:solidFill>
          </w14:textFill>
        </w:rPr>
        <w:t>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综合评分法中的价格分统一采用低价优先法计算，即满足招标文件要求且最后报价最低的供应商的价格为招标基准价，其价格分为满分。其他供应商的价格分统一按照下列公式计算：</w:t>
      </w:r>
    </w:p>
    <w:p>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投标报价得分=（基准价/投标报价）×价格权值×100</w:t>
      </w:r>
    </w:p>
    <w:p>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项目评审过程中，不得去掉最后报价中的最高报价和最低报价。</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35.7 评标委员会根据评审汇总情况和采购文件规定确定中标候选供应商排序名单。</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35.8 起草评审报告，所有评审人员须在评审报告上签章确认，对自己的评审意见承担法律责任。 </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35.9 采购组织机构对评标委员会评审专家进行评价。</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35.10 修改评审结果</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评标结果汇总完成后，除下列情形外，任何人不得修改评标结果：</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（1）分值汇总计算错误的；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（2）分项评分超出评分标准范围的；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（3）评标委员会成员对客观评审因素评分不一致的；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（4）经评标委员会认定评分畸高、畸低的。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36．澄清、说明或补正的形式</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lang w:eastAsia="zh-CN"/>
          <w14:textFill>
            <w14:solidFill>
              <w14:schemeClr w14:val="tx1"/>
            </w14:solidFill>
          </w14:textFill>
        </w:rPr>
        <w:t>投标供应商澄清、说明或补正时间为20分钟</w:t>
      </w:r>
      <w:r>
        <w:rPr>
          <w:rFonts w:hint="eastAsia" w:ascii="仿宋" w:hAnsi="仿宋" w:eastAsia="仿宋" w:cs="仿宋"/>
          <w:color w:val="000000" w:themeColor="text1"/>
          <w:szCs w:val="21"/>
          <w:lang w:eastAsia="zh-CN"/>
          <w14:textFill>
            <w14:solidFill>
              <w14:schemeClr w14:val="tx1"/>
            </w14:solidFill>
          </w14:textFill>
        </w:rPr>
        <w:t>。</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37．错误修正的原则</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投标文件报价出现前后不一致的，除采购文件另有规定外，按照下列规定修正：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37.1 投标函中表述的内容与报价表中不一致的，以报价表为准；报价表中的内容与报价明细表不一致的，以报价表为准；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37.2 投标文件中的大写金额和小写金额不一致的，以大写金额为准；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37.3 单价金额小数点或者百分比有明显错位的，以开标一览表的总价为准，并修改单价；</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37.4 总价金额与按单价汇总金额不一致的，以单价金额计算结果为准；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37.5 若用文字表示的数值与用数字表示的数值不一致，以文字表示的数值为准；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37.7 对不同文字文本投标文件的解释发生异议的，以中文文本为准；</w:t>
      </w:r>
    </w:p>
    <w:p>
      <w:pPr>
        <w:spacing w:line="440" w:lineRule="exact"/>
        <w:ind w:firstLine="240" w:firstLineChars="1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lang w:eastAsia="zh-CN"/>
          <w14:textFill>
            <w14:solidFill>
              <w14:schemeClr w14:val="tx1"/>
            </w14:solidFill>
          </w14:textFill>
        </w:rPr>
        <w:t>修正应当采用电子询标的形式，并加盖公章（电子印章）。</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38．无效投标文件</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有下列情形之一的，投标文件按无效标处理：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 报名的供应商与参加投标的供应商发生实质性变更的且未提供有效证明的；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38.2 供应商提交两份或两份以上内容不同的投标文件，未声明哪一份有效的；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38.3 投标文件非供应商法定代表人签署的，未提供或提供无效的法定代表人授权书；</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38.4 未按招标文件规定装订；</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38.5 投标文件内容未按招标文件规定签章或盖章的；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38.7 供应商未按招标文件变更通知更改投标文件的；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38.8 《开标一览表》和《投标分项报价表》内容不完整且不接受修正意见或字迹不能辨认的或未提供；</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38.9 标项投标报价超过招标文件规定的预算金额或最高限价</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38.10 因供应商原因编制错误造成经评标委员会修正后的报价达到或超过投标报价的0.5%；</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38.11 供应商的报价明显低于其他通过符合性审查供应商的报价，有可能影响产品质量或者不能诚信履约的，且在规定时间内不能合理说明原因并提供证明材料的；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38.12 未实质性响应招标文件中条款要求的投标文件；</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38.13 不符合招标范围、技术规格、技术标准的要求无法满足采购人使用要求；</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38.14 投标文件附有采购人不能接受的条款；</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38.15 投标文件中提供了赠品或者与本项目采购无关的其他商品、服务；</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38.16 投标文件中承诺的投标有效期少于招标文件中载明的投标有效期；</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38.17供应商串通投标，妨碍其他供应商的竞争行为，损害采购人或者其他供应商的合法权益；</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38.18违反国家及政府部门相关法律、法规、文件规定或经评标委员会认定的其他属于重大偏离；</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39．废标</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39.1 符合招标文件规定废标情形的；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39.2 出现影响采购公正的违法、违规行为的；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39.3 供应商的报价均超过了采购预算（或最高限价），采购人不能支付的;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39.4 因重大变故，采购任务取消的。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40．突发情况处理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（1）电子交易平台发生故障而无法登录访问的； </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（2）电子交易平台应用或数据库出现错误，不能进行正常操作的；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（3）电子交易平台发现严重安全漏洞，有潜在泄密危险的；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（4）病毒发作导致不能进行正常操作的； </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（5）其他无法保证电子交易的公平、公正和安全的情况。</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（1）短时间内能消除不可抗力因素的，采购代理机构或评审小组在消除不可抗力因素后继续组织电子交易活动； </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napToGrid w:val="0"/>
        <w:spacing w:line="360" w:lineRule="exact"/>
        <w:ind w:firstLine="421"/>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41. 定标</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bookmarkStart w:id="29" w:name="_Toc469495729"/>
      <w:r>
        <w:rPr>
          <w:rFonts w:hint="eastAsia" w:ascii="仿宋" w:hAnsi="仿宋" w:eastAsia="仿宋" w:cs="仿宋"/>
          <w:color w:val="000000" w:themeColor="text1"/>
          <w:szCs w:val="21"/>
          <w:lang w:eastAsia="zh-CN"/>
          <w14:textFill>
            <w14:solidFill>
              <w14:schemeClr w14:val="tx1"/>
            </w14:solidFill>
          </w14:textFill>
        </w:rPr>
        <w:t>41.1采购结果确认（确定中标供应商）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（1）采购代理机构将在评审结束后2个工作日内将评审报告送采购人。</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pacing w:line="440" w:lineRule="exact"/>
        <w:ind w:firstLine="240" w:firstLineChars="1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lang w:eastAsia="zh-CN"/>
          <w14:textFill>
            <w14:solidFill>
              <w14:schemeClr w14:val="tx1"/>
            </w14:solidFill>
          </w14:textFill>
        </w:rPr>
        <w:t>克州公共资源交易网、新疆政府采购网（www.zjzfcg.gov.cn）上公告采购结果，中标公告期限为1个工作日。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 中标通知书</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42.1在中标通知书发出前，招标人将中标侯选人的情况在克州公共资源交易中心网、新疆政府采购网予以公示，</w:t>
      </w:r>
      <w:r>
        <w:rPr>
          <w:rFonts w:hint="eastAsia" w:ascii="仿宋" w:hAnsi="仿宋" w:eastAsia="仿宋" w:cs="仿宋"/>
          <w:b/>
          <w:bCs/>
          <w:color w:val="000000" w:themeColor="text1"/>
          <w:szCs w:val="21"/>
          <w:lang w:eastAsia="zh-CN"/>
          <w14:textFill>
            <w14:solidFill>
              <w14:schemeClr w14:val="tx1"/>
            </w14:solidFill>
          </w14:textFill>
        </w:rPr>
        <w:t>公示期为一个工作日。待公示期结束后，</w:t>
      </w:r>
      <w:r>
        <w:rPr>
          <w:rFonts w:hint="eastAsia" w:ascii="仿宋" w:hAnsi="仿宋" w:eastAsia="仿宋" w:cs="仿宋"/>
          <w:color w:val="000000" w:themeColor="text1"/>
          <w:szCs w:val="21"/>
          <w:lang w:eastAsia="zh-CN"/>
          <w14:textFill>
            <w14:solidFill>
              <w14:schemeClr w14:val="tx1"/>
            </w14:solidFill>
          </w14:textFill>
        </w:rPr>
        <w:t>采购组织机构向中标人发出中标通知书。</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pacing w:beforeLines="50" w:line="440" w:lineRule="exact"/>
        <w:jc w:val="center"/>
        <w:outlineLvl w:val="2"/>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（六）合同的授予</w:t>
      </w:r>
      <w:bookmarkEnd w:id="29"/>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bookmarkStart w:id="30" w:name="_Toc73975842"/>
      <w:bookmarkStart w:id="31" w:name="_Toc469495730"/>
      <w:r>
        <w:rPr>
          <w:rFonts w:hint="eastAsia" w:ascii="仿宋" w:hAnsi="仿宋" w:eastAsia="仿宋" w:cs="仿宋"/>
          <w:color w:val="000000" w:themeColor="text1"/>
          <w:szCs w:val="21"/>
          <w:lang w:eastAsia="zh-CN"/>
          <w14:textFill>
            <w14:solidFill>
              <w14:schemeClr w14:val="tx1"/>
            </w14:solidFill>
          </w14:textFill>
        </w:rPr>
        <w:t>43．履约保证金</w:t>
      </w:r>
      <w:bookmarkEnd w:id="30"/>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43.1 中标供应商在签订合同后10个工作日内向采购人缴纳不超过中</w:t>
      </w:r>
      <w:r>
        <w:rPr>
          <w:rFonts w:hint="eastAsia" w:ascii="仿宋" w:hAnsi="仿宋" w:eastAsia="仿宋" w:cs="仿宋"/>
          <w:color w:val="auto"/>
          <w:szCs w:val="21"/>
          <w:lang w:eastAsia="zh-CN"/>
        </w:rPr>
        <w:t>标价10%的</w:t>
      </w:r>
      <w:r>
        <w:rPr>
          <w:rFonts w:hint="eastAsia" w:ascii="仿宋" w:hAnsi="仿宋" w:eastAsia="仿宋" w:cs="仿宋"/>
          <w:color w:val="000000" w:themeColor="text1"/>
          <w:szCs w:val="21"/>
          <w:lang w:eastAsia="zh-CN"/>
          <w14:textFill>
            <w14:solidFill>
              <w14:schemeClr w14:val="tx1"/>
            </w14:solidFill>
          </w14:textFill>
        </w:rPr>
        <w:t>履约保证金（鼓励以银行、保险公司出具的履约保函形式提交；若以电汇、银行转账方式提交的，必须转到采购人的指定账户）。</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43.2 签订合同后，如中标供应商不按合同约定履约的，履约保证金不予退还，履约保证金不足以赔偿损失的，按实际损失赔偿。</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bookmarkStart w:id="32" w:name="_Toc73975843"/>
      <w:r>
        <w:rPr>
          <w:rFonts w:hint="eastAsia" w:ascii="仿宋" w:hAnsi="仿宋" w:eastAsia="仿宋" w:cs="仿宋"/>
          <w:color w:val="000000" w:themeColor="text1"/>
          <w:szCs w:val="21"/>
          <w:lang w:eastAsia="zh-CN"/>
          <w14:textFill>
            <w14:solidFill>
              <w14:schemeClr w14:val="tx1"/>
            </w14:solidFill>
          </w14:textFill>
        </w:rPr>
        <w:t>44．签订合同及公告</w:t>
      </w:r>
      <w:bookmarkEnd w:id="32"/>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44.1采购人在中标通知书发出之日起30日内与中标供应商签订合同。</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44.2中标供应商拖延、拒签合同的,取消中标资格。</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44.4采购人应当自政府采购合同签订之日起2个工作日内，在省级以上财政部门指定的政府采购信息发布媒体及相关网站上公告。</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44.5采购人应当自政府采购合同签订之日起7个工作日内，将政府采购合同副本报同级人民政府财政部门备案以及采购代理机构存档。</w:t>
      </w:r>
    </w:p>
    <w:p>
      <w:pPr>
        <w:adjustRightInd w:val="0"/>
        <w:snapToGrid w:val="0"/>
        <w:spacing w:line="440" w:lineRule="exact"/>
        <w:jc w:val="center"/>
        <w:outlineLvl w:val="2"/>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（七）纪律和监督</w:t>
      </w:r>
      <w:bookmarkEnd w:id="31"/>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45. 对招标人的纪律要求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 xml:space="preserve">45.1招标人不得泄漏招标投标活动中应当保密的情况和资料，不得与供应商串通损害国家利益，社会公共利益或者他人合法权益。 </w:t>
      </w:r>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46. 对供应商的纪律要求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46.1供应商不得相互串通投标或者与招标人串通投标，不得向招标人或者评标委员会成员行贿谋取中标，不得以他人名义投标或者以其他方式弄虚作假骗取中标；供应商不得以任何方式干扰、影响评标工作。</w:t>
      </w:r>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47. 对评标委员会成员的纪律要求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 xml:space="preserve">47.2在评标活动中，评标委员会成员不得擅离职守，影响评标程序正常进行，不得使用第三章“评标办法”没有规定的评审因素和标准进行评标。 </w:t>
      </w:r>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48. 对与评标活动有关的工作人员的纪律要求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Lines="50" w:afterLines="50" w:line="320" w:lineRule="exact"/>
        <w:jc w:val="center"/>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（八）质疑与投诉</w:t>
      </w:r>
    </w:p>
    <w:p>
      <w:pPr>
        <w:spacing w:line="36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49．质疑和投诉</w:t>
      </w:r>
    </w:p>
    <w:p>
      <w:pPr>
        <w:spacing w:line="36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36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（一）对可以质疑的采购文件提出质疑的，为收到采购文件之日或者采购文件公告期限届满之日；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（二）对采购过程提出质疑的，为各采购程序环节结束之日；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（三）对中标或者成交结果提出质疑的，为中标或者成交结果公告期限届满之日。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49.5供应商有下列情形之一的，采购代理机构将报告阿克陶县财政局，将其列入不良行为记录名单：</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（一）一年内三次以上质疑均查无实据的；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（二）捏造事实或者提供虚假质疑材料的。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（三）以非法手段取得证明材料。证据来源的合法性存在明显疑问，质疑人无法证明其取得方式合法的，视为以非法手段取得证明材料。</w:t>
      </w:r>
    </w:p>
    <w:p>
      <w:pPr>
        <w:spacing w:line="360" w:lineRule="exact"/>
        <w:jc w:val="center"/>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pStyle w:val="37"/>
        <w:rPr>
          <w:rFonts w:ascii="仿宋" w:hAnsi="仿宋" w:eastAsia="仿宋" w:cs="仿宋"/>
          <w:color w:val="000000" w:themeColor="text1"/>
          <w:sz w:val="30"/>
          <w:szCs w:val="30"/>
          <w:lang w:eastAsia="zh-CN"/>
          <w14:textFill>
            <w14:solidFill>
              <w14:schemeClr w14:val="tx1"/>
            </w14:solidFill>
          </w14:textFill>
        </w:rPr>
      </w:pPr>
    </w:p>
    <w:p>
      <w:pPr>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附件：</w:t>
      </w:r>
    </w:p>
    <w:p>
      <w:pPr>
        <w:jc w:val="center"/>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政府采购投诉书（范本）、质疑函范本</w:t>
      </w:r>
    </w:p>
    <w:p>
      <w:pPr>
        <w:spacing w:line="400" w:lineRule="exact"/>
        <w:jc w:val="center"/>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政府采购投诉书（范本）</w:t>
      </w:r>
    </w:p>
    <w:p>
      <w:pPr>
        <w:spacing w:line="400" w:lineRule="exact"/>
        <w:rPr>
          <w:rFonts w:ascii="仿宋" w:hAnsi="仿宋" w:eastAsia="仿宋" w:cs="仿宋"/>
          <w:color w:val="000000" w:themeColor="text1"/>
          <w:lang w:eastAsia="zh-CN"/>
          <w14:textFill>
            <w14:solidFill>
              <w14:schemeClr w14:val="tx1"/>
            </w14:solidFill>
          </w14:textFill>
        </w:rPr>
      </w:pP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法定代表人：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地址：</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电话：</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委托代理人姓名：</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职务：</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住址：</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联系电话：</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被投诉人：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法定代表人：</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地址：</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电话：</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我公司参加了</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年 </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日被投诉人组织的</w:t>
      </w:r>
      <w:r>
        <w:rPr>
          <w:rFonts w:hint="eastAsia" w:ascii="仿宋" w:hAnsi="仿宋" w:eastAsia="仿宋" w:cs="仿宋"/>
          <w:color w:val="000000" w:themeColor="text1"/>
          <w:u w:val="single"/>
          <w:lang w:eastAsia="zh-CN"/>
          <w14:textFill>
            <w14:solidFill>
              <w14:schemeClr w14:val="tx1"/>
            </w14:solidFill>
          </w14:textFill>
        </w:rPr>
        <w:t>（采购人）（项目名称）（项目编号）</w:t>
      </w:r>
      <w:r>
        <w:rPr>
          <w:rFonts w:hint="eastAsia" w:ascii="仿宋" w:hAnsi="仿宋" w:eastAsia="仿宋" w:cs="仿宋"/>
          <w:color w:val="000000" w:themeColor="text1"/>
          <w:lang w:eastAsia="zh-CN"/>
          <w14:textFill>
            <w14:solidFill>
              <w14:schemeClr w14:val="tx1"/>
            </w14:solidFill>
          </w14:textFill>
        </w:rPr>
        <w:t>的采购活动，我公司认为该项目的</w:t>
      </w:r>
      <w:r>
        <w:rPr>
          <w:rFonts w:hint="eastAsia" w:ascii="仿宋" w:hAnsi="仿宋" w:eastAsia="仿宋" w:cs="仿宋"/>
          <w:color w:val="000000" w:themeColor="text1"/>
          <w:u w:val="single"/>
          <w:lang w:eastAsia="zh-CN"/>
          <w14:textFill>
            <w14:solidFill>
              <w14:schemeClr w14:val="tx1"/>
            </w14:solidFill>
          </w14:textFill>
        </w:rPr>
        <w:t>（采购文件/采购过程/中标（中标）结果）</w:t>
      </w:r>
      <w:r>
        <w:rPr>
          <w:rFonts w:hint="eastAsia" w:ascii="仿宋" w:hAnsi="仿宋" w:eastAsia="仿宋" w:cs="仿宋"/>
          <w:color w:val="000000" w:themeColor="text1"/>
          <w:lang w:eastAsia="zh-CN"/>
          <w14:textFill>
            <w14:solidFill>
              <w14:schemeClr w14:val="tx1"/>
            </w14:solidFill>
          </w14:textFill>
        </w:rPr>
        <w:t>损害了我公司权益，对此，我公司于</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日向</w:t>
      </w:r>
      <w:r>
        <w:rPr>
          <w:rFonts w:hint="eastAsia" w:ascii="仿宋" w:hAnsi="仿宋" w:eastAsia="仿宋" w:cs="仿宋"/>
          <w:color w:val="000000" w:themeColor="text1"/>
          <w:u w:val="single"/>
          <w:lang w:eastAsia="zh-CN"/>
          <w14:textFill>
            <w14:solidFill>
              <w14:schemeClr w14:val="tx1"/>
            </w14:solidFill>
          </w14:textFill>
        </w:rPr>
        <w:t>（采购人或者政府采购代理机构）</w:t>
      </w:r>
      <w:r>
        <w:rPr>
          <w:rFonts w:hint="eastAsia" w:ascii="仿宋" w:hAnsi="仿宋" w:eastAsia="仿宋" w:cs="仿宋"/>
          <w:color w:val="000000" w:themeColor="text1"/>
          <w:lang w:eastAsia="zh-CN"/>
          <w14:textFill>
            <w14:solidFill>
              <w14:schemeClr w14:val="tx1"/>
            </w14:solidFill>
          </w14:textFill>
        </w:rPr>
        <w:t>提出了质疑，</w:t>
      </w:r>
      <w:r>
        <w:rPr>
          <w:rFonts w:hint="eastAsia" w:ascii="仿宋" w:hAnsi="仿宋" w:eastAsia="仿宋" w:cs="仿宋"/>
          <w:color w:val="000000" w:themeColor="text1"/>
          <w:u w:val="single"/>
          <w:lang w:eastAsia="zh-CN"/>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lang w:eastAsia="zh-CN"/>
          <w14:textFill>
            <w14:solidFill>
              <w14:schemeClr w14:val="tx1"/>
            </w14:solidFill>
          </w14:textFill>
        </w:rPr>
        <w:t>，现向贵机关提起投诉：</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w:t>
      </w:r>
      <w:r>
        <w:rPr>
          <w:rFonts w:hint="eastAsia" w:ascii="仿宋" w:hAnsi="仿宋" w:eastAsia="仿宋" w:cs="仿宋"/>
          <w:color w:val="000000" w:themeColor="text1"/>
          <w:u w:val="single"/>
          <w:lang w:eastAsia="zh-CN"/>
          <w14:textFill>
            <w14:solidFill>
              <w14:schemeClr w14:val="tx1"/>
            </w14:solidFill>
          </w14:textFill>
        </w:rPr>
        <w:t>具体的投诉事项及事实依据；</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w:t>
      </w:r>
      <w:r>
        <w:rPr>
          <w:rFonts w:hint="eastAsia" w:ascii="仿宋" w:hAnsi="仿宋" w:eastAsia="仿宋" w:cs="仿宋"/>
          <w:color w:val="000000" w:themeColor="text1"/>
          <w:u w:val="single"/>
          <w:lang w:eastAsia="zh-CN"/>
          <w14:textFill>
            <w14:solidFill>
              <w14:schemeClr w14:val="tx1"/>
            </w14:solidFill>
          </w14:textFill>
        </w:rPr>
        <w:t>质疑和质疑答复情况简要描述；</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w:t>
      </w:r>
      <w:r>
        <w:rPr>
          <w:rFonts w:hint="eastAsia" w:ascii="仿宋" w:hAnsi="仿宋" w:eastAsia="仿宋" w:cs="仿宋"/>
          <w:color w:val="000000" w:themeColor="text1"/>
          <w:u w:val="single"/>
          <w:lang w:eastAsia="zh-CN"/>
          <w14:textFill>
            <w14:solidFill>
              <w14:schemeClr w14:val="tx1"/>
            </w14:solidFill>
          </w14:textFill>
        </w:rPr>
        <w:t>投诉请求。</w:t>
      </w:r>
    </w:p>
    <w:p>
      <w:p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附件：</w:t>
      </w:r>
    </w:p>
    <w:p>
      <w:p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1.质疑书和质疑答复书；</w:t>
      </w:r>
    </w:p>
    <w:p>
      <w:p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2.证据材料（需注明证据来源），证人的姓名、住址和联系方式等；</w:t>
      </w:r>
    </w:p>
    <w:p>
      <w:p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3.营业执照；</w:t>
      </w:r>
    </w:p>
    <w:p>
      <w:p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4.法定代表人身份证明函</w:t>
      </w:r>
    </w:p>
    <w:p>
      <w:p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5.法定代表人授权委托书（包含法定代表人和委托代理人的身份证复印件）；</w:t>
      </w:r>
    </w:p>
    <w:p>
      <w:p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6.政府采购监管部门认为应当提供的其它材料。</w:t>
      </w:r>
    </w:p>
    <w:p>
      <w:pPr>
        <w:spacing w:line="400" w:lineRule="exact"/>
        <w:jc w:val="center"/>
        <w:rPr>
          <w:rFonts w:ascii="仿宋" w:hAnsi="仿宋" w:eastAsia="仿宋" w:cs="仿宋"/>
          <w:color w:val="000000" w:themeColor="text1"/>
          <w:lang w:eastAsia="zh-CN"/>
          <w14:textFill>
            <w14:solidFill>
              <w14:schemeClr w14:val="tx1"/>
            </w14:solidFill>
          </w14:textFill>
        </w:rPr>
      </w:pPr>
    </w:p>
    <w:p>
      <w:pPr>
        <w:spacing w:line="400" w:lineRule="exact"/>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投诉供应商：（盖章）</w:t>
      </w:r>
    </w:p>
    <w:p>
      <w:p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法定代表人（或主要负责人）：（签章）</w:t>
      </w:r>
    </w:p>
    <w:p>
      <w:pPr>
        <w:spacing w:line="400" w:lineRule="exact"/>
        <w:ind w:firstLine="3840" w:firstLineChars="16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日</w:t>
      </w:r>
    </w:p>
    <w:p>
      <w:pPr>
        <w:spacing w:line="400" w:lineRule="exact"/>
        <w:rPr>
          <w:rFonts w:ascii="仿宋" w:hAnsi="仿宋" w:eastAsia="仿宋" w:cs="仿宋"/>
          <w:color w:val="000000" w:themeColor="text1"/>
          <w:lang w:eastAsia="zh-CN"/>
          <w14:textFill>
            <w14:solidFill>
              <w14:schemeClr w14:val="tx1"/>
            </w14:solidFill>
          </w14:textFill>
        </w:rPr>
      </w:pPr>
    </w:p>
    <w:p>
      <w:pPr>
        <w:spacing w:line="400" w:lineRule="exact"/>
        <w:jc w:val="righ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本投诉书正本叁份，副本</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份并附电子文档。</w:t>
      </w:r>
    </w:p>
    <w:p>
      <w:pPr>
        <w:jc w:val="both"/>
        <w:outlineLvl w:val="0"/>
        <w:rPr>
          <w:rFonts w:ascii="仿宋" w:hAnsi="仿宋" w:eastAsia="仿宋" w:cs="仿宋"/>
          <w:b/>
          <w:bCs/>
          <w:color w:val="000000" w:themeColor="text1"/>
          <w:lang w:eastAsia="zh-CN"/>
          <w14:textFill>
            <w14:solidFill>
              <w14:schemeClr w14:val="tx1"/>
            </w14:solidFill>
          </w14:textFill>
        </w:rPr>
      </w:pPr>
      <w:bookmarkStart w:id="33" w:name="_Toc17515"/>
    </w:p>
    <w:p>
      <w:pPr>
        <w:ind w:left="5783" w:hanging="5760" w:hangingChars="1800"/>
        <w:jc w:val="center"/>
        <w:outlineLvl w:val="0"/>
        <w:rPr>
          <w:rFonts w:ascii="仿宋" w:hAnsi="仿宋" w:eastAsia="仿宋" w:cs="仿宋"/>
          <w:b/>
          <w:bCs/>
          <w:color w:val="000000" w:themeColor="text1"/>
          <w:sz w:val="32"/>
          <w:szCs w:val="32"/>
          <w:lang w:eastAsia="zh-CN"/>
          <w14:textFill>
            <w14:solidFill>
              <w14:schemeClr w14:val="tx1"/>
            </w14:solidFill>
          </w14:textFill>
        </w:rPr>
      </w:pPr>
    </w:p>
    <w:p>
      <w:pPr>
        <w:ind w:left="5783" w:hanging="5760" w:hangingChars="1800"/>
        <w:jc w:val="center"/>
        <w:outlineLvl w:val="0"/>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投诉相关说明</w:t>
      </w:r>
      <w:bookmarkEnd w:id="33"/>
    </w:p>
    <w:p>
      <w:pPr>
        <w:widowControl/>
        <w:spacing w:line="400" w:lineRule="exact"/>
        <w:ind w:firstLine="42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投诉人应当满足《政府采购法》、《政府采购法实施条例》和《政府采购供应商投诉处理办法》的相关规定。</w:t>
      </w:r>
    </w:p>
    <w:p>
      <w:pPr>
        <w:numPr>
          <w:ilvl w:val="0"/>
          <w:numId w:val="3"/>
        </w:numPr>
        <w:spacing w:line="400" w:lineRule="exact"/>
        <w:ind w:left="4089" w:leftChars="304" w:hanging="3360" w:hangingChars="1600"/>
        <w:outlineLvl w:val="0"/>
        <w:rPr>
          <w:rFonts w:ascii="仿宋" w:hAnsi="仿宋" w:eastAsia="仿宋" w:cs="仿宋"/>
          <w:b/>
          <w:bCs/>
          <w:color w:val="000000" w:themeColor="text1"/>
          <w:sz w:val="21"/>
          <w:szCs w:val="21"/>
          <w14:textFill>
            <w14:solidFill>
              <w14:schemeClr w14:val="tx1"/>
            </w14:solidFill>
          </w14:textFill>
        </w:rPr>
      </w:pPr>
      <w:bookmarkStart w:id="34" w:name="_Toc11499"/>
      <w:r>
        <w:rPr>
          <w:rFonts w:hint="eastAsia" w:ascii="仿宋" w:hAnsi="仿宋" w:eastAsia="仿宋" w:cs="仿宋"/>
          <w:b/>
          <w:bCs/>
          <w:color w:val="000000" w:themeColor="text1"/>
          <w:sz w:val="21"/>
          <w:szCs w:val="21"/>
          <w14:textFill>
            <w14:solidFill>
              <w14:schemeClr w14:val="tx1"/>
            </w14:solidFill>
          </w14:textFill>
        </w:rPr>
        <w:t>质疑前置及时间要求</w:t>
      </w:r>
      <w:bookmarkEnd w:id="34"/>
    </w:p>
    <w:p>
      <w:pPr>
        <w:widowControl/>
        <w:spacing w:line="400" w:lineRule="exact"/>
        <w:ind w:firstLine="420"/>
        <w:rPr>
          <w:rFonts w:ascii="仿宋" w:hAnsi="仿宋" w:eastAsia="仿宋" w:cs="仿宋"/>
          <w:color w:val="000000" w:themeColor="text1"/>
          <w:shd w:val="clear" w:color="auto" w:fill="FFFFFF"/>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《中华人民共和国政府采购法》</w:t>
      </w:r>
      <w:r>
        <w:rPr>
          <w:rFonts w:hint="eastAsia" w:ascii="仿宋" w:hAnsi="仿宋" w:eastAsia="仿宋" w:cs="仿宋"/>
          <w:color w:val="000000" w:themeColor="text1"/>
          <w:shd w:val="clear" w:color="auto" w:fill="FFFFFF"/>
          <w:lang w:eastAsia="zh-CN"/>
          <w14:textFill>
            <w14:solidFill>
              <w14:schemeClr w14:val="tx1"/>
            </w14:solidFill>
          </w14:textFill>
        </w:rPr>
        <w:t>第五十一条：供应商对政府采购活动事项有疑问的，可以向采购人提出询问，采购人应当及时作出答复，但答复的内容不得涉及商业秘密。</w:t>
      </w:r>
    </w:p>
    <w:p>
      <w:pPr>
        <w:widowControl/>
        <w:spacing w:line="400" w:lineRule="exact"/>
        <w:ind w:firstLine="42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hd w:val="clear" w:color="auto" w:fill="FFFFFF"/>
          <w:lang w:eastAsia="zh-CN"/>
          <w14:textFill>
            <w14:solidFill>
              <w14:schemeClr w14:val="tx1"/>
            </w14:solidFill>
          </w14:textFill>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rPr>
          <w:rFonts w:ascii="仿宋" w:hAnsi="仿宋" w:eastAsia="仿宋" w:cs="仿宋"/>
          <w:color w:val="000000" w:themeColor="text1"/>
          <w:shd w:val="clear" w:color="auto" w:fill="FFFFFF"/>
          <w:lang w:eastAsia="zh-CN"/>
          <w14:textFill>
            <w14:solidFill>
              <w14:schemeClr w14:val="tx1"/>
            </w14:solidFill>
          </w14:textFill>
        </w:rPr>
      </w:pPr>
      <w:r>
        <w:rPr>
          <w:rFonts w:hint="eastAsia" w:ascii="仿宋" w:hAnsi="仿宋" w:eastAsia="仿宋" w:cs="仿宋"/>
          <w:color w:val="000000" w:themeColor="text1"/>
          <w:shd w:val="clear" w:color="auto" w:fill="FFFFFF"/>
          <w:lang w:eastAsia="zh-CN"/>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rPr>
          <w:rFonts w:ascii="仿宋" w:hAnsi="仿宋" w:eastAsia="仿宋" w:cs="仿宋"/>
          <w:color w:val="000000" w:themeColor="text1"/>
          <w:shd w:val="clear" w:color="auto" w:fill="FFFFFF"/>
          <w:lang w:eastAsia="zh-CN"/>
          <w14:textFill>
            <w14:solidFill>
              <w14:schemeClr w14:val="tx1"/>
            </w14:solidFill>
          </w14:textFill>
        </w:rPr>
      </w:pPr>
      <w:r>
        <w:rPr>
          <w:rFonts w:hint="eastAsia" w:ascii="仿宋" w:hAnsi="仿宋" w:eastAsia="仿宋" w:cs="仿宋"/>
          <w:color w:val="000000" w:themeColor="text1"/>
          <w:shd w:val="clear" w:color="auto" w:fill="FFFFFF"/>
          <w:lang w:eastAsia="zh-CN"/>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hd w:val="clear" w:color="auto" w:fill="FFFFFF"/>
          <w:lang w:eastAsia="zh-CN"/>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spacing w:line="400" w:lineRule="exact"/>
        <w:ind w:left="3780" w:hanging="3780" w:hangingChars="1800"/>
        <w:outlineLvl w:val="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w:t>
      </w:r>
      <w:r>
        <w:rPr>
          <w:rFonts w:hint="eastAsia" w:ascii="仿宋" w:hAnsi="仿宋" w:eastAsia="仿宋" w:cs="仿宋"/>
          <w:b/>
          <w:bCs/>
          <w:color w:val="000000" w:themeColor="text1"/>
          <w:sz w:val="21"/>
          <w:szCs w:val="21"/>
          <w:lang w:eastAsia="zh-CN"/>
          <w14:textFill>
            <w14:solidFill>
              <w14:schemeClr w14:val="tx1"/>
            </w14:solidFill>
          </w14:textFill>
        </w:rPr>
        <w:t xml:space="preserve">   </w:t>
      </w:r>
      <w:bookmarkStart w:id="35" w:name="_Toc13508"/>
      <w:r>
        <w:rPr>
          <w:rFonts w:hint="eastAsia" w:ascii="仿宋" w:hAnsi="仿宋" w:eastAsia="仿宋" w:cs="仿宋"/>
          <w:b/>
          <w:bCs/>
          <w:color w:val="000000" w:themeColor="text1"/>
          <w:sz w:val="21"/>
          <w:szCs w:val="21"/>
          <w:lang w:eastAsia="zh-CN"/>
          <w14:textFill>
            <w14:solidFill>
              <w14:schemeClr w14:val="tx1"/>
            </w14:solidFill>
          </w14:textFill>
        </w:rPr>
        <w:t>二、书面方式</w:t>
      </w:r>
      <w:bookmarkEnd w:id="35"/>
    </w:p>
    <w:p>
      <w:pPr>
        <w:spacing w:line="400" w:lineRule="exact"/>
        <w:ind w:left="3780" w:hanging="3780" w:hangingChars="18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政府采购供应商投诉处理办法》第八条：投诉人投诉</w:t>
      </w:r>
    </w:p>
    <w:p>
      <w:p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时，应当提交投诉书，并按照被投诉人以及与投诉事项有关的供应商数量提供投诉书的副本。</w:t>
      </w:r>
    </w:p>
    <w:p>
      <w:pPr>
        <w:spacing w:line="400" w:lineRule="exact"/>
        <w:ind w:left="4320" w:hanging="4320" w:hangingChars="18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投诉书应当包括下列主要内容：</w:t>
      </w:r>
    </w:p>
    <w:p>
      <w:pPr>
        <w:numPr>
          <w:ilvl w:val="0"/>
          <w:numId w:val="4"/>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投诉人和被投诉人的名称、地址、电话等；</w:t>
      </w:r>
    </w:p>
    <w:p>
      <w:pPr>
        <w:numPr>
          <w:ilvl w:val="0"/>
          <w:numId w:val="4"/>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具体的投诉事项及事实依据；</w:t>
      </w:r>
    </w:p>
    <w:p>
      <w:pPr>
        <w:numPr>
          <w:ilvl w:val="0"/>
          <w:numId w:val="4"/>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质疑和质疑答复情况及相关证明材料；</w:t>
      </w:r>
    </w:p>
    <w:p>
      <w:pPr>
        <w:numPr>
          <w:ilvl w:val="0"/>
          <w:numId w:val="4"/>
        </w:numPr>
        <w:spacing w:line="40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提起投诉的日期。</w:t>
      </w:r>
    </w:p>
    <w:p>
      <w:pPr>
        <w:spacing w:line="400" w:lineRule="exact"/>
        <w:ind w:firstLine="645"/>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投诉书应当署名。投诉人为自然人，应当由本人签章；投诉人为法人或者其他组织的，应当由法定代表人或者主要负责人签章并加盖公章。</w:t>
      </w:r>
    </w:p>
    <w:p>
      <w:pPr>
        <w:spacing w:line="400" w:lineRule="exact"/>
        <w:ind w:firstLine="645"/>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《政府采购供应商投诉处理办法》第十条：投诉人提起投诉应当符合下列条件：</w:t>
      </w:r>
    </w:p>
    <w:p>
      <w:pPr>
        <w:numPr>
          <w:ilvl w:val="0"/>
          <w:numId w:val="5"/>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投诉人是参与所投诉政府采购活动的供应商；</w:t>
      </w:r>
    </w:p>
    <w:p>
      <w:pPr>
        <w:numPr>
          <w:ilvl w:val="0"/>
          <w:numId w:val="5"/>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提起投诉诉前已依法进行质疑；</w:t>
      </w:r>
    </w:p>
    <w:p>
      <w:pPr>
        <w:numPr>
          <w:ilvl w:val="0"/>
          <w:numId w:val="5"/>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投诉书内容符合本办法的规定；</w:t>
      </w:r>
    </w:p>
    <w:p>
      <w:pPr>
        <w:numPr>
          <w:ilvl w:val="0"/>
          <w:numId w:val="5"/>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在投诉有效期内提起投诉；</w:t>
      </w:r>
    </w:p>
    <w:p>
      <w:pPr>
        <w:numPr>
          <w:ilvl w:val="0"/>
          <w:numId w:val="5"/>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属于本级财政部门管辖；</w:t>
      </w:r>
    </w:p>
    <w:p>
      <w:pPr>
        <w:numPr>
          <w:ilvl w:val="0"/>
          <w:numId w:val="5"/>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同一投诉事项未经财政部门投诉处理；</w:t>
      </w:r>
    </w:p>
    <w:p>
      <w:pPr>
        <w:numPr>
          <w:ilvl w:val="0"/>
          <w:numId w:val="5"/>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国务院财政部门规定的其他条件。</w:t>
      </w:r>
    </w:p>
    <w:p>
      <w:pPr>
        <w:spacing w:line="400" w:lineRule="exact"/>
        <w:ind w:left="4320" w:hanging="4320" w:hangingChars="18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p>
    <w:p>
      <w:pPr>
        <w:outlineLvl w:val="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b/>
          <w:bCs/>
          <w:color w:val="000000" w:themeColor="text1"/>
          <w:lang w:eastAsia="zh-CN"/>
          <w14:textFill>
            <w14:solidFill>
              <w14:schemeClr w14:val="tx1"/>
            </w14:solidFill>
          </w14:textFill>
        </w:rPr>
        <w:t xml:space="preserve">   </w:t>
      </w:r>
      <w:bookmarkStart w:id="36" w:name="_Toc5978"/>
      <w:r>
        <w:rPr>
          <w:rFonts w:hint="eastAsia" w:ascii="仿宋" w:hAnsi="仿宋" w:eastAsia="仿宋" w:cs="仿宋"/>
          <w:b/>
          <w:bCs/>
          <w:color w:val="000000" w:themeColor="text1"/>
          <w:lang w:eastAsia="zh-CN"/>
          <w14:textFill>
            <w14:solidFill>
              <w14:schemeClr w14:val="tx1"/>
            </w14:solidFill>
          </w14:textFill>
        </w:rPr>
        <w:t>三、虚假、恶意投诉法律责任</w:t>
      </w:r>
      <w:bookmarkEnd w:id="36"/>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（一）1年内3次以上投诉均查无实据的；</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（二）捏造事实或者提供虚假投诉材料的。</w:t>
      </w:r>
    </w:p>
    <w:p>
      <w:pPr>
        <w:spacing w:line="400" w:lineRule="exact"/>
        <w:rPr>
          <w:rFonts w:ascii="仿宋" w:hAnsi="仿宋" w:eastAsia="仿宋" w:cs="仿宋"/>
          <w:color w:val="000000" w:themeColor="text1"/>
          <w:sz w:val="21"/>
          <w:szCs w:val="21"/>
          <w:lang w:eastAsia="zh-CN"/>
          <w14:textFill>
            <w14:solidFill>
              <w14:schemeClr w14:val="tx1"/>
            </w14:solidFill>
          </w14:textFill>
        </w:rPr>
      </w:pPr>
    </w:p>
    <w:p>
      <w:pPr>
        <w:spacing w:line="400" w:lineRule="exact"/>
        <w:rPr>
          <w:rFonts w:ascii="仿宋" w:hAnsi="仿宋" w:eastAsia="仿宋" w:cs="仿宋"/>
          <w:color w:val="000000" w:themeColor="text1"/>
          <w:sz w:val="21"/>
          <w:szCs w:val="21"/>
          <w:lang w:eastAsia="zh-CN"/>
          <w14:textFill>
            <w14:solidFill>
              <w14:schemeClr w14:val="tx1"/>
            </w14:solidFill>
          </w14:textFill>
        </w:rPr>
      </w:pPr>
    </w:p>
    <w:p>
      <w:pPr>
        <w:jc w:val="both"/>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递交投诉书地址：</w:t>
      </w:r>
      <w:r>
        <w:rPr>
          <w:rFonts w:hint="eastAsia" w:ascii="仿宋" w:hAnsi="仿宋" w:eastAsia="仿宋" w:cs="仿宋"/>
          <w:color w:val="000000" w:themeColor="text1"/>
          <w:lang w:val="en-US" w:eastAsia="zh-CN"/>
          <w14:textFill>
            <w14:solidFill>
              <w14:schemeClr w14:val="tx1"/>
            </w14:solidFill>
          </w14:textFill>
        </w:rPr>
        <w:t>阿图什市</w:t>
      </w:r>
      <w:r>
        <w:rPr>
          <w:rFonts w:hint="eastAsia" w:ascii="仿宋" w:hAnsi="仿宋" w:eastAsia="仿宋" w:cs="仿宋"/>
          <w:color w:val="000000" w:themeColor="text1"/>
          <w:lang w:eastAsia="zh-CN"/>
          <w14:textFill>
            <w14:solidFill>
              <w14:schemeClr w14:val="tx1"/>
            </w14:solidFill>
          </w14:textFill>
        </w:rPr>
        <w:t>政府采购办监管办公室</w:t>
      </w:r>
    </w:p>
    <w:p>
      <w:pPr>
        <w:jc w:val="right"/>
        <w:rPr>
          <w:rFonts w:ascii="仿宋" w:hAnsi="仿宋" w:eastAsia="仿宋" w:cs="仿宋"/>
          <w:color w:val="000000" w:themeColor="text1"/>
          <w:sz w:val="32"/>
          <w:szCs w:val="32"/>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pStyle w:val="37"/>
        <w:rPr>
          <w:rFonts w:ascii="仿宋" w:hAnsi="仿宋" w:eastAsia="仿宋" w:cs="仿宋"/>
          <w:b/>
          <w:bCs/>
          <w:color w:val="000000" w:themeColor="text1"/>
          <w:sz w:val="44"/>
          <w:szCs w:val="44"/>
          <w:lang w:eastAsia="zh-CN"/>
          <w14:textFill>
            <w14:solidFill>
              <w14:schemeClr w14:val="tx1"/>
            </w14:solidFill>
          </w14:textFill>
        </w:rPr>
      </w:pPr>
    </w:p>
    <w:p>
      <w:pPr>
        <w:pStyle w:val="37"/>
        <w:rPr>
          <w:rFonts w:ascii="仿宋" w:hAnsi="仿宋" w:eastAsia="仿宋" w:cs="仿宋"/>
          <w:b/>
          <w:bCs/>
          <w:color w:val="000000" w:themeColor="text1"/>
          <w:sz w:val="44"/>
          <w:szCs w:val="44"/>
          <w:lang w:eastAsia="zh-CN"/>
          <w14:textFill>
            <w14:solidFill>
              <w14:schemeClr w14:val="tx1"/>
            </w14:solidFill>
          </w14:textFill>
        </w:rPr>
      </w:pPr>
    </w:p>
    <w:p>
      <w:pPr>
        <w:pStyle w:val="37"/>
        <w:rPr>
          <w:rFonts w:ascii="仿宋" w:hAnsi="仿宋" w:eastAsia="仿宋" w:cs="仿宋"/>
          <w:b/>
          <w:bCs/>
          <w:color w:val="000000" w:themeColor="text1"/>
          <w:sz w:val="44"/>
          <w:szCs w:val="44"/>
          <w:lang w:eastAsia="zh-CN"/>
          <w14:textFill>
            <w14:solidFill>
              <w14:schemeClr w14:val="tx1"/>
            </w14:solidFill>
          </w14:textFill>
        </w:rPr>
      </w:pPr>
    </w:p>
    <w:p>
      <w:pPr>
        <w:spacing w:line="540" w:lineRule="exact"/>
        <w:jc w:val="both"/>
        <w:outlineLvl w:val="0"/>
        <w:rPr>
          <w:rFonts w:ascii="仿宋" w:hAnsi="仿宋" w:eastAsia="仿宋" w:cs="仿宋"/>
          <w:b/>
          <w:bCs/>
          <w:color w:val="000000" w:themeColor="text1"/>
          <w:sz w:val="44"/>
          <w:szCs w:val="44"/>
          <w:lang w:eastAsia="zh-CN"/>
          <w14:textFill>
            <w14:solidFill>
              <w14:schemeClr w14:val="tx1"/>
            </w14:solidFill>
          </w14:textFill>
        </w:rPr>
      </w:pPr>
      <w:bookmarkStart w:id="37" w:name="_Toc1697"/>
    </w:p>
    <w:p>
      <w:pPr>
        <w:spacing w:line="540" w:lineRule="exact"/>
        <w:jc w:val="both"/>
        <w:outlineLvl w:val="0"/>
        <w:rPr>
          <w:rFonts w:ascii="仿宋" w:hAnsi="仿宋" w:eastAsia="仿宋" w:cs="仿宋"/>
          <w:b/>
          <w:bCs/>
          <w:color w:val="000000" w:themeColor="text1"/>
          <w:sz w:val="32"/>
          <w:szCs w:val="32"/>
          <w:lang w:eastAsia="zh-CN"/>
          <w14:textFill>
            <w14:solidFill>
              <w14:schemeClr w14:val="tx1"/>
            </w14:solidFill>
          </w14:textFill>
        </w:rPr>
      </w:pPr>
    </w:p>
    <w:p>
      <w:pPr>
        <w:spacing w:line="540" w:lineRule="exact"/>
        <w:jc w:val="center"/>
        <w:outlineLvl w:val="0"/>
        <w:rPr>
          <w:rFonts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质疑函范本</w:t>
      </w:r>
      <w:bookmarkEnd w:id="37"/>
    </w:p>
    <w:p>
      <w:pPr>
        <w:adjustRightInd w:val="0"/>
        <w:snapToGrid w:val="0"/>
        <w:spacing w:beforeLines="100" w:line="540" w:lineRule="exact"/>
        <w:ind w:firstLine="480" w:firstLineChars="200"/>
        <w:outlineLvl w:val="0"/>
        <w:rPr>
          <w:rFonts w:ascii="仿宋" w:hAnsi="仿宋" w:eastAsia="仿宋" w:cs="仿宋"/>
          <w:bCs/>
          <w:color w:val="000000" w:themeColor="text1"/>
          <w:lang w:eastAsia="zh-CN"/>
          <w14:textFill>
            <w14:solidFill>
              <w14:schemeClr w14:val="tx1"/>
            </w14:solidFill>
          </w14:textFill>
        </w:rPr>
      </w:pPr>
      <w:bookmarkStart w:id="38" w:name="_Toc9061"/>
      <w:r>
        <w:rPr>
          <w:rFonts w:hint="eastAsia" w:ascii="仿宋" w:hAnsi="仿宋" w:eastAsia="仿宋" w:cs="仿宋"/>
          <w:bCs/>
          <w:color w:val="000000" w:themeColor="text1"/>
          <w:lang w:eastAsia="zh-CN"/>
          <w14:textFill>
            <w14:solidFill>
              <w14:schemeClr w14:val="tx1"/>
            </w14:solidFill>
          </w14:textFill>
        </w:rPr>
        <w:t>一、质疑供应商基本信息</w:t>
      </w:r>
      <w:bookmarkEnd w:id="38"/>
    </w:p>
    <w:p>
      <w:pPr>
        <w:adjustRightInd w:val="0"/>
        <w:snapToGrid w:val="0"/>
        <w:spacing w:line="540" w:lineRule="exact"/>
        <w:ind w:firstLine="480" w:firstLineChars="200"/>
        <w:rPr>
          <w:rFonts w:ascii="仿宋" w:hAnsi="仿宋" w:eastAsia="仿宋" w:cs="仿宋"/>
          <w:color w:val="000000" w:themeColor="text1"/>
          <w:u w:val="dotted"/>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质疑供应商：</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地址：</w:t>
      </w:r>
      <w:r>
        <w:rPr>
          <w:rFonts w:hint="eastAsia" w:ascii="仿宋" w:hAnsi="仿宋" w:eastAsia="仿宋" w:cs="仿宋"/>
          <w:color w:val="000000" w:themeColor="text1"/>
          <w:u w:val="dotted"/>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邮编：</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联系人：</w:t>
      </w:r>
      <w:r>
        <w:rPr>
          <w:rFonts w:hint="eastAsia" w:ascii="仿宋" w:hAnsi="仿宋" w:eastAsia="仿宋" w:cs="仿宋"/>
          <w:color w:val="000000" w:themeColor="text1"/>
          <w:u w:val="dotted"/>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联系电话：</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授权代表：</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联系电话：</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地址： </w:t>
      </w:r>
      <w:r>
        <w:rPr>
          <w:rFonts w:hint="eastAsia" w:ascii="仿宋" w:hAnsi="仿宋" w:eastAsia="仿宋" w:cs="仿宋"/>
          <w:color w:val="000000" w:themeColor="text1"/>
          <w:u w:val="dotted"/>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邮编：</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outlineLvl w:val="0"/>
        <w:rPr>
          <w:rFonts w:ascii="仿宋" w:hAnsi="仿宋" w:eastAsia="仿宋" w:cs="仿宋"/>
          <w:bCs/>
          <w:color w:val="000000" w:themeColor="text1"/>
          <w:lang w:eastAsia="zh-CN"/>
          <w14:textFill>
            <w14:solidFill>
              <w14:schemeClr w14:val="tx1"/>
            </w14:solidFill>
          </w14:textFill>
        </w:rPr>
      </w:pPr>
      <w:bookmarkStart w:id="39" w:name="_Toc15938"/>
      <w:r>
        <w:rPr>
          <w:rFonts w:hint="eastAsia" w:ascii="仿宋" w:hAnsi="仿宋" w:eastAsia="仿宋" w:cs="仿宋"/>
          <w:bCs/>
          <w:color w:val="000000" w:themeColor="text1"/>
          <w:lang w:eastAsia="zh-CN"/>
          <w14:textFill>
            <w14:solidFill>
              <w14:schemeClr w14:val="tx1"/>
            </w14:solidFill>
          </w14:textFill>
        </w:rPr>
        <w:t>二、质疑项目基本情况</w:t>
      </w:r>
      <w:bookmarkEnd w:id="39"/>
    </w:p>
    <w:p>
      <w:pPr>
        <w:adjustRightInd w:val="0"/>
        <w:snapToGrid w:val="0"/>
        <w:spacing w:line="54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质疑项目的名称：</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质疑项目的编号：</w:t>
      </w:r>
      <w:r>
        <w:rPr>
          <w:rFonts w:hint="eastAsia" w:ascii="仿宋" w:hAnsi="仿宋" w:eastAsia="仿宋" w:cs="仿宋"/>
          <w:color w:val="000000" w:themeColor="text1"/>
          <w:u w:val="dotted"/>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包号：</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采购人名称：</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采购文件获取日期：</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outlineLvl w:val="0"/>
        <w:rPr>
          <w:rFonts w:ascii="仿宋" w:hAnsi="仿宋" w:eastAsia="仿宋" w:cs="仿宋"/>
          <w:bCs/>
          <w:color w:val="000000" w:themeColor="text1"/>
          <w:lang w:eastAsia="zh-CN"/>
          <w14:textFill>
            <w14:solidFill>
              <w14:schemeClr w14:val="tx1"/>
            </w14:solidFill>
          </w14:textFill>
        </w:rPr>
      </w:pPr>
      <w:bookmarkStart w:id="40" w:name="_Toc18271"/>
      <w:r>
        <w:rPr>
          <w:rFonts w:hint="eastAsia" w:ascii="仿宋" w:hAnsi="仿宋" w:eastAsia="仿宋" w:cs="仿宋"/>
          <w:bCs/>
          <w:color w:val="000000" w:themeColor="text1"/>
          <w:lang w:eastAsia="zh-CN"/>
          <w14:textFill>
            <w14:solidFill>
              <w14:schemeClr w14:val="tx1"/>
            </w14:solidFill>
          </w14:textFill>
        </w:rPr>
        <w:t>三、质疑事项具体内容</w:t>
      </w:r>
      <w:bookmarkEnd w:id="40"/>
    </w:p>
    <w:p>
      <w:pPr>
        <w:adjustRightInd w:val="0"/>
        <w:snapToGrid w:val="0"/>
        <w:spacing w:line="540" w:lineRule="exact"/>
        <w:ind w:firstLine="480" w:firstLineChars="200"/>
        <w:rPr>
          <w:rFonts w:ascii="仿宋" w:hAnsi="仿宋" w:eastAsia="仿宋" w:cs="仿宋"/>
          <w:color w:val="000000" w:themeColor="text1"/>
          <w:u w:val="dotted"/>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质疑事项1：</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事实依据：</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法律依据：</w:t>
      </w:r>
      <w:r>
        <w:rPr>
          <w:rFonts w:hint="eastAsia" w:ascii="仿宋" w:hAnsi="仿宋" w:eastAsia="仿宋" w:cs="仿宋"/>
          <w:color w:val="000000" w:themeColor="text1"/>
          <w:u w:val="dotted"/>
          <w:lang w:eastAsia="zh-CN"/>
          <w14:textFill>
            <w14:solidFill>
              <w14:schemeClr w14:val="tx1"/>
            </w14:solidFill>
          </w14:textFill>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质疑事项2</w:t>
      </w:r>
    </w:p>
    <w:p>
      <w:pPr>
        <w:adjustRightInd w:val="0"/>
        <w:snapToGrid w:val="0"/>
        <w:spacing w:line="54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w:t>
      </w:r>
    </w:p>
    <w:p>
      <w:pPr>
        <w:adjustRightInd w:val="0"/>
        <w:snapToGrid w:val="0"/>
        <w:spacing w:line="540" w:lineRule="exact"/>
        <w:ind w:firstLine="480" w:firstLineChars="200"/>
        <w:outlineLvl w:val="0"/>
        <w:rPr>
          <w:rFonts w:ascii="仿宋" w:hAnsi="仿宋" w:eastAsia="仿宋" w:cs="仿宋"/>
          <w:bCs/>
          <w:color w:val="000000" w:themeColor="text1"/>
          <w:lang w:eastAsia="zh-CN"/>
          <w14:textFill>
            <w14:solidFill>
              <w14:schemeClr w14:val="tx1"/>
            </w14:solidFill>
          </w14:textFill>
        </w:rPr>
      </w:pPr>
      <w:bookmarkStart w:id="41" w:name="_Toc22365"/>
      <w:r>
        <w:rPr>
          <w:rFonts w:hint="eastAsia" w:ascii="仿宋" w:hAnsi="仿宋" w:eastAsia="仿宋" w:cs="仿宋"/>
          <w:bCs/>
          <w:color w:val="000000" w:themeColor="text1"/>
          <w:lang w:eastAsia="zh-CN"/>
          <w14:textFill>
            <w14:solidFill>
              <w14:schemeClr w14:val="tx1"/>
            </w14:solidFill>
          </w14:textFill>
        </w:rPr>
        <w:t>四、与质疑事项相关的质疑请求</w:t>
      </w:r>
      <w:bookmarkEnd w:id="41"/>
    </w:p>
    <w:p>
      <w:pPr>
        <w:adjustRightInd w:val="0"/>
        <w:snapToGrid w:val="0"/>
        <w:spacing w:line="540" w:lineRule="exact"/>
        <w:ind w:firstLine="480" w:firstLineChars="200"/>
        <w:rPr>
          <w:rFonts w:ascii="仿宋" w:hAnsi="仿宋" w:eastAsia="仿宋" w:cs="仿宋"/>
          <w:color w:val="000000" w:themeColor="text1"/>
          <w:u w:val="dotted"/>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请求：</w:t>
      </w:r>
      <w:r>
        <w:rPr>
          <w:rFonts w:hint="eastAsia" w:ascii="仿宋" w:hAnsi="仿宋" w:eastAsia="仿宋" w:cs="仿宋"/>
          <w:color w:val="000000" w:themeColor="text1"/>
          <w:u w:val="dotted"/>
          <w:lang w:eastAsia="zh-CN"/>
          <w14:textFill>
            <w14:solidFill>
              <w14:schemeClr w14:val="tx1"/>
            </w14:solidFill>
          </w14:textFill>
        </w:rPr>
        <w:t xml:space="preserve">                                               </w:t>
      </w:r>
    </w:p>
    <w:p>
      <w:pPr>
        <w:spacing w:line="54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签章(签章)：                   公章：                      </w:t>
      </w:r>
    </w:p>
    <w:p>
      <w:pPr>
        <w:spacing w:line="540" w:lineRule="exact"/>
        <w:ind w:firstLine="480"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日期：    </w:t>
      </w:r>
    </w:p>
    <w:p>
      <w:pPr>
        <w:spacing w:line="540" w:lineRule="exact"/>
        <w:ind w:firstLine="420" w:firstLineChars="200"/>
        <w:rPr>
          <w:rFonts w:ascii="仿宋" w:hAnsi="仿宋" w:eastAsia="仿宋" w:cs="仿宋"/>
          <w:b/>
          <w:bCs/>
          <w:color w:val="000000" w:themeColor="text1"/>
          <w:sz w:val="21"/>
          <w:szCs w:val="21"/>
          <w:lang w:eastAsia="zh-CN"/>
          <w14:textFill>
            <w14:solidFill>
              <w14:schemeClr w14:val="tx1"/>
            </w14:solidFill>
          </w14:textFill>
        </w:rPr>
      </w:pPr>
    </w:p>
    <w:p>
      <w:pPr>
        <w:pageBreakBefore/>
        <w:spacing w:line="440" w:lineRule="exact"/>
        <w:jc w:val="center"/>
        <w:outlineLvl w:val="0"/>
        <w:rPr>
          <w:rFonts w:ascii="仿宋" w:hAnsi="仿宋" w:eastAsia="仿宋" w:cs="仿宋"/>
          <w:b/>
          <w:bCs/>
          <w:color w:val="000000" w:themeColor="text1"/>
          <w:sz w:val="30"/>
          <w:szCs w:val="30"/>
          <w:lang w:eastAsia="zh-CN"/>
          <w14:textFill>
            <w14:solidFill>
              <w14:schemeClr w14:val="tx1"/>
            </w14:solidFill>
          </w14:textFill>
        </w:rPr>
      </w:pPr>
      <w:bookmarkStart w:id="42" w:name="_Toc469495731"/>
      <w:r>
        <w:rPr>
          <w:rFonts w:hint="eastAsia" w:ascii="仿宋" w:hAnsi="仿宋" w:eastAsia="仿宋" w:cs="仿宋"/>
          <w:b/>
          <w:bCs/>
          <w:color w:val="000000" w:themeColor="text1"/>
          <w:sz w:val="30"/>
          <w:szCs w:val="30"/>
          <w:lang w:eastAsia="zh-CN"/>
          <w14:textFill>
            <w14:solidFill>
              <w14:schemeClr w14:val="tx1"/>
            </w14:solidFill>
          </w14:textFill>
        </w:rPr>
        <w:t>第三部分  评标办法</w:t>
      </w:r>
      <w:bookmarkEnd w:id="42"/>
    </w:p>
    <w:p>
      <w:pPr>
        <w:jc w:val="center"/>
        <w:outlineLvl w:val="1"/>
        <w:rPr>
          <w:rFonts w:ascii="仿宋" w:hAnsi="仿宋" w:eastAsia="仿宋" w:cs="仿宋"/>
          <w:b/>
          <w:color w:val="000000" w:themeColor="text1"/>
          <w:sz w:val="28"/>
          <w:szCs w:val="28"/>
          <w:lang w:eastAsia="zh-CN"/>
          <w14:textFill>
            <w14:solidFill>
              <w14:schemeClr w14:val="tx1"/>
            </w14:solidFill>
          </w14:textFill>
        </w:rPr>
      </w:pPr>
      <w:bookmarkStart w:id="43" w:name="_Toc362983802"/>
      <w:bookmarkStart w:id="44" w:name="_Toc469495733"/>
      <w:bookmarkStart w:id="45" w:name="_Toc267320058"/>
      <w:bookmarkStart w:id="46" w:name="_Toc363135205"/>
      <w:r>
        <w:rPr>
          <w:rFonts w:hint="eastAsia" w:ascii="仿宋" w:hAnsi="仿宋" w:eastAsia="仿宋" w:cs="仿宋"/>
          <w:b/>
          <w:color w:val="000000" w:themeColor="text1"/>
          <w:sz w:val="28"/>
          <w:szCs w:val="28"/>
          <w:lang w:eastAsia="zh-CN"/>
          <w14:textFill>
            <w14:solidFill>
              <w14:schemeClr w14:val="tx1"/>
            </w14:solidFill>
          </w14:textFill>
        </w:rPr>
        <w:t>一  总  则</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1、一般规定</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1.1本项目的招标按照《中华人民共和国政府采购法》、《政府采购货物和服务招标投标管理办法》及政府采购的有关规定进行。</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1.2评标必须遵循邀请、公平、公正、诚实信用的原则。</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1.3招标代理机构组织招标、开标、评标工作，全过程接受政府采购有关部门的监督、管理和指导。</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1.4评标按照</w:t>
      </w:r>
      <w:r>
        <w:rPr>
          <w:rFonts w:hint="eastAsia" w:ascii="仿宋" w:hAnsi="仿宋" w:eastAsia="仿宋" w:cs="仿宋"/>
          <w:color w:val="000000" w:themeColor="text1"/>
          <w:szCs w:val="21"/>
          <w:lang w:val="en-US" w:eastAsia="zh-CN"/>
          <w14:textFill>
            <w14:solidFill>
              <w14:schemeClr w14:val="tx1"/>
            </w14:solidFill>
          </w14:textFill>
        </w:rPr>
        <w:t>招标</w:t>
      </w:r>
      <w:r>
        <w:rPr>
          <w:rFonts w:hint="eastAsia" w:ascii="仿宋" w:hAnsi="仿宋" w:eastAsia="仿宋" w:cs="仿宋"/>
          <w:color w:val="000000" w:themeColor="text1"/>
          <w:szCs w:val="21"/>
          <w:lang w:eastAsia="zh-CN"/>
          <w14:textFill>
            <w14:solidFill>
              <w14:schemeClr w14:val="tx1"/>
            </w14:solidFill>
          </w14:textFill>
        </w:rPr>
        <w:t>文件规定的内容进行，采取综合比较和分项打分相结合的评标方法（综合评分法），避免纯技术或纯经济的倾向。</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1.5本办法的评标对象是指供应商按照招标文件要求提供的有效投标文件，包括供应商应评标委员会要求对原投标文件作出的正式书面澄清文件。</w:t>
      </w:r>
    </w:p>
    <w:p>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2、评标组织机构的组成</w:t>
      </w:r>
    </w:p>
    <w:p>
      <w:pPr>
        <w:widowControl/>
        <w:spacing w:line="440" w:lineRule="exact"/>
        <w:ind w:firstLine="48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2.1</w:t>
      </w:r>
      <w:r>
        <w:rPr>
          <w:rFonts w:hint="eastAsia" w:ascii="仿宋" w:hAnsi="仿宋" w:eastAsia="仿宋" w:cs="仿宋"/>
          <w:color w:val="000000" w:themeColor="text1"/>
          <w:spacing w:val="-2"/>
          <w:lang w:eastAsia="zh-CN"/>
          <w14:textFill>
            <w14:solidFill>
              <w14:schemeClr w14:val="tx1"/>
            </w14:solidFill>
          </w14:textFill>
        </w:rPr>
        <w:t xml:space="preserve"> 评标委员会由采购人代表1人和有关技术、经济等方面的专家4人组成，成员人数为</w:t>
      </w:r>
      <w:r>
        <w:rPr>
          <w:rFonts w:hint="eastAsia" w:ascii="仿宋" w:hAnsi="仿宋" w:eastAsia="仿宋" w:cs="仿宋"/>
          <w:b/>
          <w:bCs/>
          <w:color w:val="000000" w:themeColor="text1"/>
          <w:spacing w:val="-2"/>
          <w:lang w:eastAsia="zh-CN"/>
          <w14:textFill>
            <w14:solidFill>
              <w14:schemeClr w14:val="tx1"/>
            </w14:solidFill>
          </w14:textFill>
        </w:rPr>
        <w:t>5人</w:t>
      </w:r>
      <w:r>
        <w:rPr>
          <w:rFonts w:hint="eastAsia" w:ascii="仿宋" w:hAnsi="仿宋" w:eastAsia="仿宋" w:cs="仿宋"/>
          <w:color w:val="000000" w:themeColor="text1"/>
          <w:spacing w:val="-2"/>
          <w:lang w:eastAsia="zh-CN"/>
          <w14:textFill>
            <w14:solidFill>
              <w14:schemeClr w14:val="tx1"/>
            </w14:solidFill>
          </w14:textFill>
        </w:rPr>
        <w:t>。</w:t>
      </w:r>
      <w:r>
        <w:rPr>
          <w:rFonts w:hint="eastAsia" w:ascii="仿宋" w:hAnsi="仿宋" w:eastAsia="仿宋" w:cs="仿宋"/>
          <w:color w:val="000000" w:themeColor="text1"/>
          <w:szCs w:val="21"/>
          <w:lang w:eastAsia="zh-CN" w:bidi="ar-SA"/>
          <w14:textFill>
            <w14:solidFill>
              <w14:schemeClr w14:val="tx1"/>
            </w14:solidFill>
          </w14:textFill>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2.2评标工作组由招标人及有关专家组成，由评标委员会确认，并接受其领导。</w:t>
      </w:r>
    </w:p>
    <w:p>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2.3评标委员会应相对独立工作，负责评标、撰写技术、商务评标报告。采购代理机构负责评标过程中资料的保管、发放、回收，整理、汇总评标资料。</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3、评标委员会职责</w:t>
      </w:r>
    </w:p>
    <w:p>
      <w:pPr>
        <w:pStyle w:val="45"/>
        <w:spacing w:before="0" w:beforeAutospacing="0" w:after="0" w:afterAutospacing="0" w:line="440" w:lineRule="exact"/>
        <w:ind w:firstLine="612" w:firstLineChars="25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3.1审查投标文件是否符合招标文件要求，并作出评价；</w:t>
      </w:r>
    </w:p>
    <w:p>
      <w:pPr>
        <w:pStyle w:val="45"/>
        <w:spacing w:before="0" w:beforeAutospacing="0" w:after="0" w:afterAutospacing="0" w:line="440" w:lineRule="exact"/>
        <w:ind w:firstLine="612" w:firstLineChars="25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3.2要求供应商对投标文件有关事项作出解释或者澄清；</w:t>
      </w:r>
    </w:p>
    <w:p>
      <w:pPr>
        <w:pStyle w:val="45"/>
        <w:spacing w:before="0" w:beforeAutospacing="0" w:after="0" w:afterAutospacing="0" w:line="440" w:lineRule="exact"/>
        <w:ind w:firstLine="612" w:firstLineChars="25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3.3推荐中标候选人名单；</w:t>
      </w:r>
    </w:p>
    <w:p>
      <w:pPr>
        <w:pStyle w:val="45"/>
        <w:spacing w:before="0" w:beforeAutospacing="0" w:after="0" w:afterAutospacing="0" w:line="440" w:lineRule="exact"/>
        <w:ind w:firstLine="612" w:firstLineChars="25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3.4向招标人、招标代理机构或者有关部门报告非法干预评标工作的行为。</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4、评标委员会义务</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4.1遵纪守法，客观、公正、廉洁地履行职责；</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4.2按照招标文件规定的评标方法和评标标准进行评标，对评审意见承担个人责任；</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4.3对评标过程和结果，以及供应商的商业秘密保密；</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4.4参与评标报告的起草；</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4.5配合有关部门的投诉处理工作；</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4.6配合招标人、招标代理机构答复投标供应商提出的质疑。</w:t>
      </w:r>
    </w:p>
    <w:p>
      <w:pPr>
        <w:tabs>
          <w:tab w:val="left" w:pos="1547"/>
        </w:tabs>
        <w:spacing w:line="440" w:lineRule="exact"/>
        <w:ind w:firstLine="612" w:firstLineChars="255"/>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 评标程序</w:t>
      </w:r>
    </w:p>
    <w:p>
      <w:pPr>
        <w:pStyle w:val="24"/>
        <w:tabs>
          <w:tab w:val="left" w:pos="720"/>
          <w:tab w:val="clear" w:pos="0"/>
        </w:tabs>
        <w:spacing w:line="440" w:lineRule="exact"/>
        <w:ind w:firstLine="612" w:firstLineChars="255"/>
        <w:rPr>
          <w:rFonts w:ascii="仿宋" w:hAnsi="仿宋" w:eastAsia="仿宋" w:cs="仿宋"/>
          <w:bCs/>
          <w:color w:val="000000" w:themeColor="text1"/>
          <w:szCs w:val="21"/>
          <w:lang w:eastAsia="zh-CN" w:bidi="ar-SA"/>
          <w14:textFill>
            <w14:solidFill>
              <w14:schemeClr w14:val="tx1"/>
            </w14:solidFill>
          </w14:textFill>
        </w:rPr>
      </w:pPr>
      <w:r>
        <w:rPr>
          <w:rFonts w:hint="eastAsia" w:ascii="仿宋" w:hAnsi="仿宋" w:eastAsia="仿宋" w:cs="仿宋"/>
          <w:bCs/>
          <w:color w:val="000000" w:themeColor="text1"/>
          <w:szCs w:val="21"/>
          <w:lang w:eastAsia="zh-CN" w:bidi="ar-SA"/>
          <w14:textFill>
            <w14:solidFill>
              <w14:schemeClr w14:val="tx1"/>
            </w14:solidFill>
          </w14:textFill>
        </w:rPr>
        <w:t>5.1本次评标首先由评标委员会对供应商的投标文件进行初审，对未能通过初审的投标文件作无效标处理；</w:t>
      </w:r>
    </w:p>
    <w:p>
      <w:pPr>
        <w:tabs>
          <w:tab w:val="left" w:pos="720"/>
        </w:tabs>
        <w:spacing w:line="440" w:lineRule="exact"/>
        <w:ind w:firstLine="612" w:firstLineChars="255"/>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5.2对通过初审的供应商的投标文件进行详细的比较和评价。如需要，进行必要的澄清工作；</w:t>
      </w:r>
    </w:p>
    <w:p>
      <w:pPr>
        <w:widowControl/>
        <w:spacing w:line="360" w:lineRule="exact"/>
        <w:ind w:firstLine="482"/>
        <w:rPr>
          <w:rFonts w:hint="eastAsia"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5.3依据评分标准以及各项权值，各位评委单独就每个供应商的投标文件进行价格、技术、</w:t>
      </w:r>
      <w:r>
        <w:fldChar w:fldCharType="begin"/>
      </w:r>
      <w:r>
        <w:instrText xml:space="preserve"> HYPERLINK "http://zhidao.baidu.com/search?word=%E8%B4%A2%E5%8A%A1%E7%8A%B6%E5%86%B5&amp;fr=qb_search_exp&amp;ie=utf8&amp;eid_gfrom=151" </w:instrText>
      </w:r>
      <w:r>
        <w:fldChar w:fldCharType="separate"/>
      </w:r>
      <w:r>
        <w:rPr>
          <w:rFonts w:hint="eastAsia" w:ascii="仿宋" w:hAnsi="仿宋" w:eastAsia="仿宋" w:cs="仿宋"/>
          <w:color w:val="000000" w:themeColor="text1"/>
          <w:szCs w:val="21"/>
          <w:lang w:eastAsia="zh-CN" w:bidi="ar-SA"/>
          <w14:textFill>
            <w14:solidFill>
              <w14:schemeClr w14:val="tx1"/>
            </w14:solidFill>
          </w14:textFill>
        </w:rPr>
        <w:t>财务状况</w:t>
      </w:r>
      <w:r>
        <w:rPr>
          <w:rFonts w:hint="eastAsia" w:ascii="仿宋" w:hAnsi="仿宋" w:eastAsia="仿宋" w:cs="仿宋"/>
          <w:color w:val="000000" w:themeColor="text1"/>
          <w:szCs w:val="21"/>
          <w:lang w:eastAsia="zh-CN" w:bidi="ar-SA"/>
          <w14:textFill>
            <w14:solidFill>
              <w14:schemeClr w14:val="tx1"/>
            </w14:solidFill>
          </w14:textFill>
        </w:rPr>
        <w:fldChar w:fldCharType="end"/>
      </w:r>
      <w:r>
        <w:rPr>
          <w:rFonts w:hint="eastAsia" w:ascii="仿宋" w:hAnsi="仿宋" w:eastAsia="仿宋" w:cs="仿宋"/>
          <w:color w:val="000000" w:themeColor="text1"/>
          <w:szCs w:val="21"/>
          <w:lang w:eastAsia="zh-CN"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pPr>
        <w:jc w:val="center"/>
        <w:outlineLvl w:val="1"/>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二  投标文件初审</w:t>
      </w:r>
      <w:bookmarkEnd w:id="43"/>
      <w:bookmarkEnd w:id="44"/>
    </w:p>
    <w:p>
      <w:pPr>
        <w:spacing w:line="40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6.资格性审查:</w:t>
      </w:r>
    </w:p>
    <w:p>
      <w:pPr>
        <w:spacing w:line="400" w:lineRule="exact"/>
        <w:ind w:firstLine="352" w:firstLineChars="147"/>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.1评审细则</w:t>
      </w:r>
    </w:p>
    <w:tbl>
      <w:tblPr>
        <w:tblStyle w:val="2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560"/>
        <w:gridCol w:w="7040"/>
        <w:gridCol w:w="534"/>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33" w:type="dxa"/>
            <w:vMerge w:val="restart"/>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项目</w:t>
            </w:r>
          </w:p>
        </w:tc>
        <w:tc>
          <w:tcPr>
            <w:tcW w:w="7600" w:type="dxa"/>
            <w:gridSpan w:val="2"/>
            <w:vMerge w:val="restart"/>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评审内容</w:t>
            </w:r>
          </w:p>
        </w:tc>
        <w:tc>
          <w:tcPr>
            <w:tcW w:w="1147" w:type="dxa"/>
            <w:gridSpan w:val="2"/>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33" w:type="dxa"/>
            <w:vMerge w:val="continue"/>
            <w:vAlign w:val="center"/>
          </w:tcPr>
          <w:p>
            <w:pPr>
              <w:rPr>
                <w:rFonts w:ascii="仿宋" w:hAnsi="仿宋" w:eastAsia="仿宋" w:cs="仿宋"/>
                <w:color w:val="000000" w:themeColor="text1"/>
                <w:sz w:val="18"/>
                <w:szCs w:val="21"/>
                <w14:textFill>
                  <w14:solidFill>
                    <w14:schemeClr w14:val="tx1"/>
                  </w14:solidFill>
                </w14:textFill>
              </w:rPr>
            </w:pPr>
          </w:p>
        </w:tc>
        <w:tc>
          <w:tcPr>
            <w:tcW w:w="7600" w:type="dxa"/>
            <w:gridSpan w:val="2"/>
            <w:vMerge w:val="continue"/>
          </w:tcPr>
          <w:p>
            <w:pPr>
              <w:rPr>
                <w:rFonts w:ascii="仿宋" w:hAnsi="仿宋" w:eastAsia="仿宋" w:cs="仿宋"/>
                <w:color w:val="000000" w:themeColor="text1"/>
                <w:sz w:val="18"/>
                <w:szCs w:val="21"/>
                <w14:textFill>
                  <w14:solidFill>
                    <w14:schemeClr w14:val="tx1"/>
                  </w14:solidFill>
                </w14:textFill>
              </w:rPr>
            </w:pPr>
          </w:p>
        </w:tc>
        <w:tc>
          <w:tcPr>
            <w:tcW w:w="534" w:type="dxa"/>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是</w:t>
            </w:r>
          </w:p>
        </w:tc>
        <w:tc>
          <w:tcPr>
            <w:tcW w:w="613" w:type="dxa"/>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3" w:type="dxa"/>
            <w:vMerge w:val="restart"/>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审</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查</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标</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准</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(适</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用</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于</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资</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格</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后</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审)</w:t>
            </w:r>
          </w:p>
        </w:tc>
        <w:tc>
          <w:tcPr>
            <w:tcW w:w="56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7040" w:type="dxa"/>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（三证合一）营业执照</w:t>
            </w:r>
          </w:p>
        </w:tc>
        <w:tc>
          <w:tcPr>
            <w:tcW w:w="534" w:type="dxa"/>
          </w:tcPr>
          <w:p>
            <w:pPr>
              <w:rPr>
                <w:rFonts w:ascii="仿宋" w:hAnsi="仿宋" w:eastAsia="仿宋" w:cs="仿宋"/>
                <w:color w:val="000000" w:themeColor="text1"/>
                <w:szCs w:val="21"/>
                <w:lang w:eastAsia="zh-CN"/>
                <w14:textFill>
                  <w14:solidFill>
                    <w14:schemeClr w14:val="tx1"/>
                  </w14:solidFill>
                </w14:textFill>
              </w:rPr>
            </w:pPr>
          </w:p>
        </w:tc>
        <w:tc>
          <w:tcPr>
            <w:tcW w:w="613"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33"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60"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w:t>
            </w:r>
          </w:p>
        </w:tc>
        <w:tc>
          <w:tcPr>
            <w:tcW w:w="7040" w:type="dxa"/>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法定代表人投标需提供法定代表人资格证明书，委托代理人投标需提供法定代表人授权委托书</w:t>
            </w:r>
          </w:p>
        </w:tc>
        <w:tc>
          <w:tcPr>
            <w:tcW w:w="534" w:type="dxa"/>
          </w:tcPr>
          <w:p>
            <w:pPr>
              <w:rPr>
                <w:rFonts w:ascii="仿宋" w:hAnsi="仿宋" w:eastAsia="仿宋" w:cs="仿宋"/>
                <w:color w:val="000000" w:themeColor="text1"/>
                <w:szCs w:val="21"/>
                <w:lang w:eastAsia="zh-CN"/>
                <w14:textFill>
                  <w14:solidFill>
                    <w14:schemeClr w14:val="tx1"/>
                  </w14:solidFill>
                </w14:textFill>
              </w:rPr>
            </w:pPr>
          </w:p>
        </w:tc>
        <w:tc>
          <w:tcPr>
            <w:tcW w:w="613"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33"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60"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w:t>
            </w:r>
          </w:p>
        </w:tc>
        <w:tc>
          <w:tcPr>
            <w:tcW w:w="7040" w:type="dxa"/>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“信用中国”网站（http://www.creditchina.gov.cn/）、“中国政府采购网”网站（http://www.ccgp.gov.cn）无违法违规行为的查询记录（提供查询结果网页截图并加盖供应商公章）</w:t>
            </w:r>
          </w:p>
        </w:tc>
        <w:tc>
          <w:tcPr>
            <w:tcW w:w="534" w:type="dxa"/>
          </w:tcPr>
          <w:p>
            <w:pPr>
              <w:rPr>
                <w:rFonts w:ascii="仿宋" w:hAnsi="仿宋" w:eastAsia="仿宋" w:cs="仿宋"/>
                <w:color w:val="000000" w:themeColor="text1"/>
                <w:szCs w:val="21"/>
                <w:lang w:eastAsia="zh-CN"/>
                <w14:textFill>
                  <w14:solidFill>
                    <w14:schemeClr w14:val="tx1"/>
                  </w14:solidFill>
                </w14:textFill>
              </w:rPr>
            </w:pPr>
          </w:p>
        </w:tc>
        <w:tc>
          <w:tcPr>
            <w:tcW w:w="613"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33"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60"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w:t>
            </w:r>
          </w:p>
        </w:tc>
        <w:tc>
          <w:tcPr>
            <w:tcW w:w="7040" w:type="dxa"/>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投标保证金收据或保函等票据</w:t>
            </w:r>
          </w:p>
        </w:tc>
        <w:tc>
          <w:tcPr>
            <w:tcW w:w="534" w:type="dxa"/>
          </w:tcPr>
          <w:p>
            <w:pPr>
              <w:rPr>
                <w:rFonts w:ascii="仿宋" w:hAnsi="仿宋" w:eastAsia="仿宋" w:cs="仿宋"/>
                <w:color w:val="000000" w:themeColor="text1"/>
                <w:szCs w:val="21"/>
                <w:lang w:eastAsia="zh-CN"/>
                <w14:textFill>
                  <w14:solidFill>
                    <w14:schemeClr w14:val="tx1"/>
                  </w14:solidFill>
                </w14:textFill>
              </w:rPr>
            </w:pPr>
          </w:p>
        </w:tc>
        <w:tc>
          <w:tcPr>
            <w:tcW w:w="613"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33"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60" w:type="dxa"/>
            <w:vAlign w:val="center"/>
          </w:tcPr>
          <w:p>
            <w:pPr>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w:t>
            </w:r>
          </w:p>
        </w:tc>
        <w:tc>
          <w:tcPr>
            <w:tcW w:w="7040" w:type="dxa"/>
            <w:vAlign w:val="center"/>
          </w:tcPr>
          <w:p>
            <w:pPr>
              <w:widowControl/>
              <w:textAlignment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供应商为中小企业（</w:t>
            </w:r>
            <w:r>
              <w:rPr>
                <w:rFonts w:hint="eastAsia" w:ascii="仿宋" w:hAnsi="仿宋" w:eastAsia="仿宋" w:cs="仿宋"/>
                <w:color w:val="000000" w:themeColor="text1"/>
                <w:lang w:val="en-US" w:eastAsia="zh-CN"/>
                <w14:textFill>
                  <w14:solidFill>
                    <w14:schemeClr w14:val="tx1"/>
                  </w14:solidFill>
                </w14:textFill>
              </w:rPr>
              <w:t>须提供为中小企业声明函</w:t>
            </w:r>
            <w:r>
              <w:rPr>
                <w:rFonts w:hint="eastAsia" w:ascii="仿宋" w:hAnsi="仿宋" w:eastAsia="仿宋" w:cs="仿宋"/>
                <w:color w:val="000000" w:themeColor="text1"/>
                <w:lang w:eastAsia="zh-CN"/>
                <w14:textFill>
                  <w14:solidFill>
                    <w14:schemeClr w14:val="tx1"/>
                  </w14:solidFill>
                </w14:textFill>
              </w:rPr>
              <w:t>）</w:t>
            </w:r>
          </w:p>
        </w:tc>
        <w:tc>
          <w:tcPr>
            <w:tcW w:w="534" w:type="dxa"/>
          </w:tcPr>
          <w:p>
            <w:pPr>
              <w:rPr>
                <w:rFonts w:ascii="仿宋" w:hAnsi="仿宋" w:eastAsia="仿宋" w:cs="仿宋"/>
                <w:color w:val="000000" w:themeColor="text1"/>
                <w:szCs w:val="21"/>
                <w:lang w:eastAsia="zh-CN"/>
                <w14:textFill>
                  <w14:solidFill>
                    <w14:schemeClr w14:val="tx1"/>
                  </w14:solidFill>
                </w14:textFill>
              </w:rPr>
            </w:pPr>
          </w:p>
        </w:tc>
        <w:tc>
          <w:tcPr>
            <w:tcW w:w="613"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33" w:type="dxa"/>
            <w:vMerge w:val="continue"/>
            <w:vAlign w:val="center"/>
          </w:tcPr>
          <w:p>
            <w:pPr>
              <w:jc w:val="center"/>
              <w:rPr>
                <w:rFonts w:ascii="仿宋" w:hAnsi="仿宋" w:eastAsia="仿宋" w:cs="仿宋"/>
                <w:color w:val="000000" w:themeColor="text1"/>
                <w:szCs w:val="21"/>
                <w:lang w:eastAsia="zh-CN"/>
                <w14:textFill>
                  <w14:solidFill>
                    <w14:schemeClr w14:val="tx1"/>
                  </w14:solidFill>
                </w14:textFill>
              </w:rPr>
            </w:pPr>
          </w:p>
        </w:tc>
        <w:tc>
          <w:tcPr>
            <w:tcW w:w="560" w:type="dxa"/>
          </w:tcPr>
          <w:p>
            <w:pPr>
              <w:spacing w:line="440" w:lineRule="exact"/>
              <w:rPr>
                <w:rFonts w:ascii="仿宋" w:hAnsi="仿宋" w:eastAsia="仿宋" w:cs="仿宋"/>
                <w:color w:val="000000" w:themeColor="text1"/>
                <w:szCs w:val="21"/>
                <w:lang w:eastAsia="zh-CN"/>
                <w14:textFill>
                  <w14:solidFill>
                    <w14:schemeClr w14:val="tx1"/>
                  </w14:solidFill>
                </w14:textFill>
              </w:rPr>
            </w:pPr>
          </w:p>
        </w:tc>
        <w:tc>
          <w:tcPr>
            <w:tcW w:w="7040" w:type="dxa"/>
          </w:tcPr>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结论：是否通过评审（须填写通过或不通过）</w:t>
            </w:r>
          </w:p>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注：如有一项不合格，作废标处理。</w:t>
            </w:r>
          </w:p>
        </w:tc>
        <w:tc>
          <w:tcPr>
            <w:tcW w:w="1147" w:type="dxa"/>
            <w:gridSpan w:val="2"/>
          </w:tcPr>
          <w:p>
            <w:pPr>
              <w:rPr>
                <w:rFonts w:ascii="仿宋" w:hAnsi="仿宋" w:eastAsia="仿宋" w:cs="仿宋"/>
                <w:color w:val="000000" w:themeColor="text1"/>
                <w:szCs w:val="21"/>
                <w:lang w:eastAsia="zh-CN"/>
                <w14:textFill>
                  <w14:solidFill>
                    <w14:schemeClr w14:val="tx1"/>
                  </w14:solidFill>
                </w14:textFill>
              </w:rPr>
            </w:pPr>
          </w:p>
        </w:tc>
      </w:tr>
    </w:tbl>
    <w:p>
      <w:pPr>
        <w:spacing w:line="400" w:lineRule="exact"/>
        <w:ind w:firstLine="578" w:firstLineChars="241"/>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6.2如评标专家在检验电子标书过程中，如果由于供应商自身原因导致评标专家无法查看并检验电子标书中以上相关资料的，否决其投标。即使投标单位将原件携带至现场的，同样按无效投标处理。</w:t>
      </w:r>
    </w:p>
    <w:p>
      <w:pPr>
        <w:spacing w:beforeLines="50" w:line="440" w:lineRule="exact"/>
        <w:ind w:firstLine="352" w:firstLineChars="147"/>
        <w:rPr>
          <w:rFonts w:hint="eastAsia" w:ascii="仿宋" w:hAnsi="仿宋" w:eastAsia="仿宋" w:cs="仿宋"/>
          <w:b/>
          <w:color w:val="000000" w:themeColor="text1"/>
          <w:szCs w:val="21"/>
          <w:lang w:eastAsia="zh-CN"/>
          <w14:textFill>
            <w14:solidFill>
              <w14:schemeClr w14:val="tx1"/>
            </w14:solidFill>
          </w14:textFill>
        </w:rPr>
      </w:pPr>
    </w:p>
    <w:p>
      <w:pPr>
        <w:spacing w:beforeLines="50" w:line="440" w:lineRule="exact"/>
        <w:ind w:firstLine="352" w:firstLineChars="147"/>
        <w:rPr>
          <w:rFonts w:hint="eastAsia" w:ascii="仿宋" w:hAnsi="仿宋" w:eastAsia="仿宋" w:cs="仿宋"/>
          <w:b/>
          <w:color w:val="000000" w:themeColor="text1"/>
          <w:szCs w:val="21"/>
          <w:lang w:eastAsia="zh-CN"/>
          <w14:textFill>
            <w14:solidFill>
              <w14:schemeClr w14:val="tx1"/>
            </w14:solidFill>
          </w14:textFill>
        </w:rPr>
      </w:pPr>
    </w:p>
    <w:p>
      <w:pPr>
        <w:spacing w:beforeLines="50" w:line="440" w:lineRule="exact"/>
        <w:ind w:firstLine="352" w:firstLineChars="147"/>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7</w:t>
      </w:r>
      <w:r>
        <w:rPr>
          <w:rFonts w:hint="eastAsia" w:ascii="仿宋" w:hAnsi="仿宋" w:eastAsia="仿宋" w:cs="仿宋"/>
          <w:b/>
          <w:color w:val="000000" w:themeColor="text1"/>
          <w:szCs w:val="21"/>
          <w14:textFill>
            <w14:solidFill>
              <w14:schemeClr w14:val="tx1"/>
            </w14:solidFill>
          </w14:textFill>
        </w:rPr>
        <w:t>.符合性审查</w:t>
      </w:r>
    </w:p>
    <w:p>
      <w:pPr>
        <w:spacing w:line="440" w:lineRule="exact"/>
        <w:ind w:firstLine="360" w:firstLineChars="1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w:t>
      </w:r>
      <w:r>
        <w:rPr>
          <w:rFonts w:hint="eastAsia" w:ascii="仿宋" w:hAnsi="仿宋" w:eastAsia="仿宋" w:cs="仿宋"/>
          <w:color w:val="000000" w:themeColor="text1"/>
          <w:szCs w:val="21"/>
          <w14:textFill>
            <w14:solidFill>
              <w14:schemeClr w14:val="tx1"/>
            </w14:solidFill>
          </w14:textFill>
        </w:rPr>
        <w:t>．1评审细则</w:t>
      </w:r>
    </w:p>
    <w:tbl>
      <w:tblPr>
        <w:tblStyle w:val="27"/>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项目</w:t>
            </w:r>
          </w:p>
        </w:tc>
        <w:tc>
          <w:tcPr>
            <w:tcW w:w="6975" w:type="dxa"/>
            <w:gridSpan w:val="2"/>
            <w:vMerge w:val="restart"/>
            <w:tcBorders>
              <w:top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评审内容</w:t>
            </w:r>
          </w:p>
        </w:tc>
        <w:tc>
          <w:tcPr>
            <w:tcW w:w="1366" w:type="dxa"/>
            <w:gridSpan w:val="2"/>
            <w:tcBorders>
              <w:top w:val="single" w:color="auto" w:sz="4" w:space="0"/>
              <w:right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pPr>
              <w:rPr>
                <w:rFonts w:ascii="仿宋" w:hAnsi="仿宋" w:eastAsia="仿宋" w:cs="仿宋"/>
                <w:color w:val="000000" w:themeColor="text1"/>
                <w14:textFill>
                  <w14:solidFill>
                    <w14:schemeClr w14:val="tx1"/>
                  </w14:solidFill>
                </w14:textFill>
              </w:rPr>
            </w:pPr>
          </w:p>
        </w:tc>
        <w:tc>
          <w:tcPr>
            <w:tcW w:w="6975" w:type="dxa"/>
            <w:gridSpan w:val="2"/>
            <w:vMerge w:val="continue"/>
            <w:tcBorders>
              <w:bottom w:val="single" w:color="auto" w:sz="4" w:space="0"/>
            </w:tcBorders>
          </w:tcPr>
          <w:p>
            <w:pPr>
              <w:rPr>
                <w:rFonts w:ascii="仿宋" w:hAnsi="仿宋" w:eastAsia="仿宋" w:cs="仿宋"/>
                <w:color w:val="000000" w:themeColor="text1"/>
                <w14:textFill>
                  <w14:solidFill>
                    <w14:schemeClr w14:val="tx1"/>
                  </w14:solidFill>
                </w14:textFill>
              </w:rPr>
            </w:pPr>
          </w:p>
        </w:tc>
        <w:tc>
          <w:tcPr>
            <w:tcW w:w="749" w:type="dxa"/>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是</w:t>
            </w:r>
          </w:p>
        </w:tc>
        <w:tc>
          <w:tcPr>
            <w:tcW w:w="617" w:type="dxa"/>
            <w:tcBorders>
              <w:right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审</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查</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标</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准</w:t>
            </w:r>
          </w:p>
        </w:tc>
        <w:tc>
          <w:tcPr>
            <w:tcW w:w="597"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6378" w:type="dxa"/>
            <w:tcBorders>
              <w:top w:val="single" w:color="auto" w:sz="4" w:space="0"/>
              <w:left w:val="single" w:color="auto" w:sz="4" w:space="0"/>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由政府立项核准、审批的采购项目, 投标报价不得高于设定的采购预算价的。</w:t>
            </w:r>
          </w:p>
        </w:tc>
        <w:tc>
          <w:tcPr>
            <w:tcW w:w="749" w:type="dxa"/>
            <w:tcBorders>
              <w:left w:val="single" w:color="auto" w:sz="4" w:space="0"/>
              <w:right w:val="single" w:color="auto" w:sz="4" w:space="0"/>
            </w:tcBorders>
          </w:tcPr>
          <w:p>
            <w:pPr>
              <w:jc w:val="center"/>
              <w:rPr>
                <w:rFonts w:ascii="仿宋" w:hAnsi="仿宋" w:eastAsia="仿宋" w:cs="仿宋"/>
                <w:b/>
                <w:color w:val="000000" w:themeColor="text1"/>
                <w:szCs w:val="21"/>
                <w:lang w:eastAsia="zh-CN"/>
                <w14:textFill>
                  <w14:solidFill>
                    <w14:schemeClr w14:val="tx1"/>
                  </w14:solidFill>
                </w14:textFill>
              </w:rPr>
            </w:pPr>
          </w:p>
        </w:tc>
        <w:tc>
          <w:tcPr>
            <w:tcW w:w="617" w:type="dxa"/>
            <w:tcBorders>
              <w:left w:val="single" w:color="auto" w:sz="4" w:space="0"/>
              <w:right w:val="single" w:color="auto" w:sz="4" w:space="0"/>
            </w:tcBorders>
          </w:tcPr>
          <w:p>
            <w:pPr>
              <w:jc w:val="center"/>
              <w:rPr>
                <w:rFonts w:ascii="仿宋" w:hAnsi="仿宋" w:eastAsia="仿宋" w:cs="仿宋"/>
                <w:b/>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法定代表人身份证明及授权委托书有效，且符合招标文件规定的格式。</w:t>
            </w:r>
          </w:p>
        </w:tc>
        <w:tc>
          <w:tcPr>
            <w:tcW w:w="749"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6378" w:type="dxa"/>
            <w:tcBorders>
              <w:top w:val="single" w:color="auto" w:sz="4" w:space="0"/>
              <w:left w:val="single" w:color="auto" w:sz="4" w:space="0"/>
              <w:right w:val="single" w:color="auto" w:sz="4" w:space="0"/>
            </w:tcBorders>
            <w:vAlign w:val="center"/>
          </w:tcPr>
          <w:p>
            <w:pPr>
              <w:widowControl/>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只有一个方案投标。</w:t>
            </w:r>
          </w:p>
        </w:tc>
        <w:tc>
          <w:tcPr>
            <w:tcW w:w="749" w:type="dxa"/>
            <w:tcBorders>
              <w:left w:val="single" w:color="auto" w:sz="4" w:space="0"/>
            </w:tcBorders>
          </w:tcPr>
          <w:p>
            <w:pPr>
              <w:rPr>
                <w:rFonts w:ascii="仿宋" w:hAnsi="仿宋" w:eastAsia="仿宋" w:cs="仿宋"/>
                <w:color w:val="000000" w:themeColor="text1"/>
                <w:szCs w:val="21"/>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14:textFill>
                  <w14:solidFill>
                    <w14:schemeClr w14:val="tx1"/>
                  </w14:solidFill>
                </w14:textFill>
              </w:rPr>
            </w:pPr>
          </w:p>
        </w:tc>
        <w:tc>
          <w:tcPr>
            <w:tcW w:w="597" w:type="dxa"/>
            <w:tcBorders>
              <w:lef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w:t>
            </w:r>
          </w:p>
        </w:tc>
        <w:tc>
          <w:tcPr>
            <w:tcW w:w="6378" w:type="dxa"/>
            <w:tcBorders>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投标文件内容齐全、无遗漏。</w:t>
            </w:r>
          </w:p>
        </w:tc>
        <w:tc>
          <w:tcPr>
            <w:tcW w:w="749"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left w:val="single" w:color="auto" w:sz="4" w:space="0"/>
              <w:bottom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6378" w:type="dxa"/>
            <w:tcBorders>
              <w:bottom w:val="single" w:color="auto" w:sz="4" w:space="0"/>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投标文件按照规定在应由企业法人或法人授权代表在所有规定签章处逐一签署及加盖单位公章的。</w:t>
            </w:r>
          </w:p>
        </w:tc>
        <w:tc>
          <w:tcPr>
            <w:tcW w:w="749" w:type="dxa"/>
            <w:tcBorders>
              <w:left w:val="single" w:color="auto" w:sz="4" w:space="0"/>
              <w:bottom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firstLine="0" w:firstLineChars="0"/>
              <w:textAlignment w:val="center"/>
              <w:rPr>
                <w:rFonts w:ascii="仿宋" w:hAnsi="仿宋" w:eastAsia="仿宋" w:cs="仿宋"/>
                <w:color w:val="000000" w:themeColor="text1"/>
                <w:spacing w:val="0"/>
                <w:w w:val="100"/>
                <w:position w:val="0"/>
                <w:sz w:val="24"/>
                <w:szCs w:val="24"/>
                <w:shd w:val="clear" w:color="auto" w:fill="auto"/>
                <w:lang w:val="en-US" w:eastAsia="zh-CN" w:bidi="en-US"/>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完成期限满足招标文件要求。</w:t>
            </w:r>
          </w:p>
        </w:tc>
        <w:tc>
          <w:tcPr>
            <w:tcW w:w="749"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left w:val="single" w:color="auto" w:sz="4" w:space="0"/>
            </w:tcBorders>
            <w:vAlign w:val="center"/>
          </w:tcPr>
          <w:p>
            <w:pPr>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7</w:t>
            </w:r>
          </w:p>
        </w:tc>
        <w:tc>
          <w:tcPr>
            <w:tcW w:w="6378" w:type="dxa"/>
            <w:tcBorders>
              <w:right w:val="single" w:color="auto" w:sz="4" w:space="0"/>
            </w:tcBorders>
            <w:vAlign w:val="center"/>
          </w:tcPr>
          <w:p>
            <w:pPr>
              <w:widowControl/>
              <w:ind w:left="0" w:leftChars="0" w:right="0" w:rightChars="0" w:firstLine="0" w:firstLineChars="0"/>
              <w:textAlignment w:val="center"/>
              <w:rPr>
                <w:rFonts w:ascii="仿宋" w:hAnsi="仿宋" w:eastAsia="仿宋" w:cs="仿宋"/>
                <w:color w:val="000000" w:themeColor="text1"/>
                <w:spacing w:val="0"/>
                <w:w w:val="100"/>
                <w:position w:val="0"/>
                <w:sz w:val="24"/>
                <w:szCs w:val="24"/>
                <w:shd w:val="clear" w:color="auto" w:fill="auto"/>
                <w:lang w:val="en-US" w:eastAsia="zh-CN" w:bidi="en-US"/>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投标有效期满足招标文件要求。</w:t>
            </w:r>
          </w:p>
        </w:tc>
        <w:tc>
          <w:tcPr>
            <w:tcW w:w="749"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left w:val="single" w:color="auto" w:sz="4" w:space="0"/>
            </w:tcBorders>
            <w:vAlign w:val="center"/>
          </w:tcPr>
          <w:p>
            <w:pPr>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8</w:t>
            </w:r>
          </w:p>
        </w:tc>
        <w:tc>
          <w:tcPr>
            <w:tcW w:w="6378" w:type="dxa"/>
            <w:tcBorders>
              <w:right w:val="single" w:color="auto" w:sz="4" w:space="0"/>
            </w:tcBorders>
            <w:vAlign w:val="center"/>
          </w:tcPr>
          <w:p>
            <w:pPr>
              <w:widowControl/>
              <w:ind w:left="0" w:leftChars="0" w:right="0" w:rightChars="0" w:firstLine="0" w:firstLineChars="0"/>
              <w:textAlignment w:val="center"/>
              <w:rPr>
                <w:rFonts w:ascii="仿宋" w:hAnsi="仿宋" w:eastAsia="仿宋" w:cs="仿宋"/>
                <w:color w:val="000000" w:themeColor="text1"/>
                <w:spacing w:val="0"/>
                <w:w w:val="100"/>
                <w:position w:val="0"/>
                <w:sz w:val="24"/>
                <w:szCs w:val="24"/>
                <w:shd w:val="clear" w:color="auto" w:fill="auto"/>
                <w:lang w:val="en-US" w:eastAsia="zh-CN" w:bidi="en-US"/>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供应商详细地址、联系人、电话</w:t>
            </w:r>
          </w:p>
        </w:tc>
        <w:tc>
          <w:tcPr>
            <w:tcW w:w="749"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left w:val="single" w:color="auto" w:sz="4" w:space="0"/>
            </w:tcBorders>
            <w:vAlign w:val="center"/>
          </w:tcPr>
          <w:p>
            <w:pPr>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9</w:t>
            </w:r>
          </w:p>
        </w:tc>
        <w:tc>
          <w:tcPr>
            <w:tcW w:w="6378" w:type="dxa"/>
            <w:tcBorders>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符合法律、法规和招标文件中规定的其他实质性要求。</w:t>
            </w:r>
          </w:p>
        </w:tc>
        <w:tc>
          <w:tcPr>
            <w:tcW w:w="749"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lang w:eastAsia="zh-CN"/>
                <w14:textFill>
                  <w14:solidFill>
                    <w14:schemeClr w14:val="tx1"/>
                  </w14:solidFill>
                </w14:textFill>
              </w:rPr>
            </w:pPr>
          </w:p>
        </w:tc>
        <w:tc>
          <w:tcPr>
            <w:tcW w:w="6975" w:type="dxa"/>
            <w:gridSpan w:val="2"/>
            <w:tcBorders>
              <w:left w:val="single" w:color="auto" w:sz="4" w:space="0"/>
              <w:bottom w:val="single" w:color="auto" w:sz="4" w:space="0"/>
              <w:right w:val="single" w:color="auto" w:sz="4" w:space="0"/>
            </w:tcBorders>
          </w:tcPr>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结论：是否通过评审（须填写通过或不通过）</w:t>
            </w:r>
          </w:p>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注：如有一项不合格，作废标处理。</w:t>
            </w:r>
          </w:p>
        </w:tc>
        <w:tc>
          <w:tcPr>
            <w:tcW w:w="1366" w:type="dxa"/>
            <w:gridSpan w:val="2"/>
            <w:tcBorders>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bl>
    <w:p>
      <w:pPr>
        <w:rPr>
          <w:rFonts w:ascii="仿宋" w:hAnsi="仿宋" w:eastAsia="仿宋" w:cs="仿宋"/>
          <w:color w:val="000000" w:themeColor="text1"/>
          <w:lang w:eastAsia="zh-CN"/>
          <w14:textFill>
            <w14:solidFill>
              <w14:schemeClr w14:val="tx1"/>
            </w14:solidFill>
          </w14:textFill>
        </w:rPr>
      </w:pPr>
    </w:p>
    <w:p>
      <w:pPr>
        <w:spacing w:line="400" w:lineRule="exact"/>
        <w:ind w:firstLine="578" w:firstLineChars="241"/>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7.2评委会判定投标文件的响应性只根据投标文件本身的内容，而不寻求外部的证据，但投标有不真实不正确的内容时除外。</w:t>
      </w:r>
    </w:p>
    <w:p>
      <w:pPr>
        <w:spacing w:line="400" w:lineRule="exact"/>
        <w:ind w:firstLine="578" w:firstLineChars="241"/>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7.3如果投标文件实质上没有响应采购文件的要求，评委会将予以拒绝，供应商不得通过修正或撤销不符合要求的偏离或保留，而使其投标成为实质上响应的投标。</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7.4供应商可在现场20分钟内对评标委员会的评审结论提出异议，评标委员会根据采购文件及有关规定对供应商的异议进行复议</w:t>
      </w:r>
    </w:p>
    <w:p>
      <w:pPr>
        <w:spacing w:line="400" w:lineRule="exact"/>
        <w:ind w:firstLine="600" w:firstLineChars="2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7.5只有通过初审的供应商才能进入下一步评标程序。</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pPr>
        <w:spacing w:beforeLines="50" w:line="400" w:lineRule="exact"/>
        <w:jc w:val="center"/>
        <w:outlineLvl w:val="1"/>
        <w:rPr>
          <w:rFonts w:ascii="仿宋" w:hAnsi="仿宋" w:eastAsia="仿宋" w:cs="仿宋"/>
          <w:b/>
          <w:color w:val="000000" w:themeColor="text1"/>
          <w:lang w:eastAsia="zh-CN"/>
          <w14:textFill>
            <w14:solidFill>
              <w14:schemeClr w14:val="tx1"/>
            </w14:solidFill>
          </w14:textFill>
        </w:rPr>
      </w:pPr>
      <w:bookmarkStart w:id="47" w:name="_Toc362983803"/>
      <w:bookmarkStart w:id="48" w:name="_Toc469495734"/>
      <w:r>
        <w:rPr>
          <w:rFonts w:hint="eastAsia" w:ascii="仿宋" w:hAnsi="仿宋" w:eastAsia="仿宋" w:cs="仿宋"/>
          <w:b/>
          <w:color w:val="000000" w:themeColor="text1"/>
          <w:lang w:eastAsia="zh-CN"/>
          <w14:textFill>
            <w14:solidFill>
              <w14:schemeClr w14:val="tx1"/>
            </w14:solidFill>
          </w14:textFill>
        </w:rPr>
        <w:t xml:space="preserve">三 </w:t>
      </w:r>
      <w:r>
        <w:rPr>
          <w:rFonts w:hint="eastAsia" w:ascii="仿宋" w:hAnsi="仿宋" w:eastAsia="仿宋" w:cs="仿宋"/>
          <w:b/>
          <w:color w:val="000000" w:themeColor="text1"/>
          <w:sz w:val="28"/>
          <w:szCs w:val="28"/>
          <w:lang w:eastAsia="zh-CN"/>
          <w14:textFill>
            <w14:solidFill>
              <w14:schemeClr w14:val="tx1"/>
            </w14:solidFill>
          </w14:textFill>
        </w:rPr>
        <w:t xml:space="preserve"> </w:t>
      </w:r>
      <w:r>
        <w:rPr>
          <w:rFonts w:hint="eastAsia" w:ascii="仿宋" w:hAnsi="仿宋" w:eastAsia="仿宋" w:cs="仿宋"/>
          <w:b/>
          <w:color w:val="000000" w:themeColor="text1"/>
          <w:lang w:eastAsia="zh-CN"/>
          <w14:textFill>
            <w14:solidFill>
              <w14:schemeClr w14:val="tx1"/>
            </w14:solidFill>
          </w14:textFill>
        </w:rPr>
        <w:t>投标文件的澄清和补正</w:t>
      </w:r>
      <w:bookmarkEnd w:id="47"/>
      <w:bookmarkEnd w:id="48"/>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8．澄清、说明或补正的形式</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9．错误修正的原则</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投标文件报价出现前后不一致的，除采购文件另有规定外，按照下列规定修正：</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9.1 投标函中表述的内容与报价表中不一致的，以报价表为准；报价表中的内容与报价明细表不一致的，以报价表为准；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9.2 投标文件中的大写金额和小写金额不一致的，以大写金额为准；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9.3 单价金额小数点或者百分比有明显错位的，以开标一览表的总价为准，并修改单价；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9.4 总价金额与按单价汇总金额不一致的，以单价金额计算结果为准；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9.5 若用文字表示的数值与用数字表示的数值不一致，以文字表示的数值为准；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9.7 对不同文字文本投标文件的解释发生异议的，以中文文本为准；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pacing w:line="400" w:lineRule="exact"/>
        <w:jc w:val="center"/>
        <w:outlineLvl w:val="1"/>
        <w:rPr>
          <w:rFonts w:ascii="仿宋" w:hAnsi="仿宋" w:eastAsia="仿宋" w:cs="仿宋"/>
          <w:b/>
          <w:color w:val="000000" w:themeColor="text1"/>
          <w:lang w:eastAsia="zh-CN"/>
          <w14:textFill>
            <w14:solidFill>
              <w14:schemeClr w14:val="tx1"/>
            </w14:solidFill>
          </w14:textFill>
        </w:rPr>
      </w:pPr>
      <w:bookmarkStart w:id="49" w:name="_Toc469495735"/>
      <w:r>
        <w:rPr>
          <w:rFonts w:hint="eastAsia" w:ascii="仿宋" w:hAnsi="仿宋" w:eastAsia="仿宋" w:cs="仿宋"/>
          <w:b/>
          <w:color w:val="000000" w:themeColor="text1"/>
          <w:lang w:eastAsia="zh-CN"/>
          <w14:textFill>
            <w14:solidFill>
              <w14:schemeClr w14:val="tx1"/>
            </w14:solidFill>
          </w14:textFill>
        </w:rPr>
        <w:t>四 比较与评价</w:t>
      </w:r>
      <w:bookmarkEnd w:id="49"/>
    </w:p>
    <w:p>
      <w:pPr>
        <w:tabs>
          <w:tab w:val="left" w:pos="720"/>
        </w:tabs>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bookmarkStart w:id="50" w:name="_Toc469495736"/>
      <w:bookmarkStart w:id="51" w:name="_Toc362983805"/>
      <w:r>
        <w:rPr>
          <w:rFonts w:hint="eastAsia" w:ascii="仿宋" w:hAnsi="仿宋" w:eastAsia="仿宋" w:cs="仿宋"/>
          <w:color w:val="000000" w:themeColor="text1"/>
          <w:szCs w:val="21"/>
          <w:lang w:eastAsia="zh-CN" w:bidi="ar-SA"/>
          <w14:textFill>
            <w14:solidFill>
              <w14:schemeClr w14:val="tx1"/>
            </w14:solidFill>
          </w14:textFill>
        </w:rPr>
        <w:t>10.1评标委员会按招标文件中规定的评标方法和标准，对资格性检查和符合性检查合格的投标文件进行商务和技术评估、综合比较与评价。</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10.2评标委员会根据商务和技术评估的结果，采用综合评分法，分别对投标文件的商务、技术、价格等内容进行打分。其中，商务评估、技术评估、价格评估的评分权值（详见附件1）。</w:t>
      </w:r>
    </w:p>
    <w:p>
      <w:pPr>
        <w:spacing w:line="440" w:lineRule="exact"/>
        <w:ind w:firstLine="480" w:firstLineChars="200"/>
        <w:rPr>
          <w:rFonts w:ascii="仿宋" w:hAnsi="仿宋" w:eastAsia="仿宋" w:cs="仿宋"/>
          <w:bCs/>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w:t>
      </w:r>
      <w:r>
        <w:rPr>
          <w:rFonts w:hint="eastAsia" w:ascii="仿宋" w:hAnsi="仿宋" w:eastAsia="仿宋" w:cs="仿宋"/>
          <w:bCs/>
          <w:color w:val="000000" w:themeColor="text1"/>
          <w:szCs w:val="21"/>
          <w:lang w:eastAsia="zh-CN" w:bidi="ar-SA"/>
          <w14:textFill>
            <w14:solidFill>
              <w14:schemeClr w14:val="tx1"/>
            </w14:solidFill>
          </w14:textFill>
        </w:rPr>
        <w:t>2.1评委打分办法</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bCs/>
          <w:color w:val="000000" w:themeColor="text1"/>
          <w:szCs w:val="21"/>
          <w:lang w:eastAsia="zh-CN" w:bidi="ar-SA"/>
          <w14:textFill>
            <w14:solidFill>
              <w14:schemeClr w14:val="tx1"/>
            </w14:solidFill>
          </w14:textFill>
        </w:rPr>
        <w:t>（1）</w:t>
      </w:r>
      <w:r>
        <w:rPr>
          <w:rFonts w:hint="eastAsia" w:ascii="仿宋" w:hAnsi="仿宋" w:eastAsia="仿宋" w:cs="仿宋"/>
          <w:color w:val="000000" w:themeColor="text1"/>
          <w:szCs w:val="21"/>
          <w:lang w:eastAsia="zh-CN" w:bidi="ar-SA"/>
          <w14:textFill>
            <w14:solidFill>
              <w14:schemeClr w14:val="tx1"/>
            </w14:solidFill>
          </w14:textFill>
        </w:rPr>
        <w:t>参加评分的评委应尽力体现客观、实事求是，避免学派偏见和个人偏好。</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（2）衡量、对比的依据，应以招标文件、投标文件、提供的正式试验数据、质询澄清中的文字为准，口头回答和收集的资料只作为参考。</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（3）评分主要是为比较各供应商的价格、商务和技术综合排序。</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（4）评委打分采取记名形式。</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（5）各评委根据提供的技术打分表</w:t>
      </w:r>
      <w:r>
        <w:rPr>
          <w:rFonts w:hint="eastAsia" w:ascii="仿宋" w:hAnsi="仿宋" w:eastAsia="仿宋" w:cs="仿宋"/>
          <w:b/>
          <w:bCs/>
          <w:color w:val="000000" w:themeColor="text1"/>
          <w:szCs w:val="21"/>
          <w:lang w:eastAsia="zh-CN" w:bidi="ar-SA"/>
          <w14:textFill>
            <w14:solidFill>
              <w14:schemeClr w14:val="tx1"/>
            </w14:solidFill>
          </w14:textFill>
        </w:rPr>
        <w:t>独立</w:t>
      </w:r>
      <w:r>
        <w:rPr>
          <w:rFonts w:hint="eastAsia" w:ascii="仿宋" w:hAnsi="仿宋" w:eastAsia="仿宋" w:cs="仿宋"/>
          <w:color w:val="000000" w:themeColor="text1"/>
          <w:szCs w:val="21"/>
          <w:lang w:eastAsia="zh-CN" w:bidi="ar-SA"/>
          <w14:textFill>
            <w14:solidFill>
              <w14:schemeClr w14:val="tx1"/>
            </w14:solidFill>
          </w14:textFill>
        </w:rPr>
        <w:t>自主打分，任何人不得要求评委统一打分或统一确定等次顺序。</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（6）对打分表中的每项条款，各评委应根据投标文件、澄清材料、招标文件要求，按满足的程度给供应商打分。</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（7）评分程序</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1)就供应商的投标文件对照整理出商务、技术评标因素对比表、偏差表，并在经过校核的基础上逐项打分。</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2)各评委独立完成打分后，将评分表交给代理机构，由代理机构组织进行分数统计。</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3)最终汇总表中各供应商得分应为评委打分的算术平均值。</w:t>
      </w:r>
    </w:p>
    <w:p>
      <w:pPr>
        <w:pStyle w:val="8"/>
        <w:jc w:val="left"/>
        <w:rPr>
          <w:rFonts w:hint="eastAsia"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（8）评分标准和细则（综合评分法评分标准）</w:t>
      </w:r>
    </w:p>
    <w:p>
      <w:pPr>
        <w:pStyle w:val="8"/>
        <w:jc w:val="cente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评分标准</w:t>
      </w:r>
    </w:p>
    <w:tbl>
      <w:tblPr>
        <w:tblStyle w:val="2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2184"/>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34" w:type="dxa"/>
            <w:noWrap w:val="0"/>
            <w:vAlign w:val="center"/>
          </w:tcPr>
          <w:p>
            <w:pPr>
              <w:spacing w:line="44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评分因素</w:t>
            </w:r>
          </w:p>
        </w:tc>
        <w:tc>
          <w:tcPr>
            <w:tcW w:w="2184" w:type="dxa"/>
            <w:noWrap w:val="0"/>
            <w:vAlign w:val="center"/>
          </w:tcPr>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分值</w:t>
            </w:r>
          </w:p>
        </w:tc>
        <w:tc>
          <w:tcPr>
            <w:tcW w:w="5780" w:type="dxa"/>
            <w:noWrap w:val="0"/>
            <w:vAlign w:val="center"/>
          </w:tcPr>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234" w:type="dxa"/>
            <w:noWrap w:val="0"/>
            <w:vAlign w:val="center"/>
          </w:tcPr>
          <w:p>
            <w:pPr>
              <w:spacing w:line="44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报价得分</w:t>
            </w:r>
          </w:p>
          <w:p>
            <w:pPr>
              <w:spacing w:line="44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w:t>
            </w:r>
            <w:r>
              <w:rPr>
                <w:rFonts w:hint="eastAsia" w:ascii="仿宋" w:hAnsi="仿宋" w:eastAsia="仿宋" w:cs="仿宋"/>
                <w:color w:val="auto"/>
                <w:szCs w:val="21"/>
                <w:lang w:val="en-US" w:eastAsia="zh-CN" w:bidi="ar-SA"/>
              </w:rPr>
              <w:t>30</w:t>
            </w:r>
            <w:r>
              <w:rPr>
                <w:rFonts w:hint="eastAsia" w:ascii="仿宋" w:hAnsi="仿宋" w:eastAsia="仿宋" w:cs="仿宋"/>
                <w:color w:val="auto"/>
                <w:szCs w:val="21"/>
                <w:lang w:eastAsia="zh-CN" w:bidi="ar-SA"/>
              </w:rPr>
              <w:t>分）</w:t>
            </w:r>
          </w:p>
        </w:tc>
        <w:tc>
          <w:tcPr>
            <w:tcW w:w="2184" w:type="dxa"/>
            <w:noWrap w:val="0"/>
            <w:vAlign w:val="center"/>
          </w:tcPr>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val="en-US" w:eastAsia="zh-CN" w:bidi="ar-SA"/>
              </w:rPr>
              <w:t>30</w:t>
            </w:r>
            <w:r>
              <w:rPr>
                <w:rFonts w:hint="eastAsia" w:ascii="仿宋" w:hAnsi="仿宋" w:eastAsia="仿宋" w:cs="仿宋"/>
                <w:color w:val="auto"/>
                <w:szCs w:val="21"/>
                <w:lang w:eastAsia="zh-CN" w:bidi="ar-SA"/>
              </w:rPr>
              <w:t>分</w:t>
            </w:r>
          </w:p>
        </w:tc>
        <w:tc>
          <w:tcPr>
            <w:tcW w:w="5780" w:type="dxa"/>
            <w:noWrap w:val="0"/>
            <w:vAlign w:val="top"/>
          </w:tcPr>
          <w:p>
            <w:pPr>
              <w:spacing w:line="44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价格分应当采用低价优先法计算，满足招标文件要求且报价最低的为评审基准价，价格得分=（评审基准价/投标报价）×价格权值*100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34" w:type="dxa"/>
            <w:vMerge w:val="restart"/>
            <w:noWrap w:val="0"/>
            <w:vAlign w:val="center"/>
          </w:tcPr>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商务技术部分</w:t>
            </w:r>
          </w:p>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w:t>
            </w:r>
            <w:r>
              <w:rPr>
                <w:rFonts w:hint="eastAsia" w:ascii="仿宋" w:hAnsi="仿宋" w:eastAsia="仿宋" w:cs="仿宋"/>
                <w:color w:val="auto"/>
                <w:szCs w:val="21"/>
                <w:lang w:val="en-US" w:eastAsia="zh-CN" w:bidi="ar-SA"/>
              </w:rPr>
              <w:t>70</w:t>
            </w:r>
            <w:r>
              <w:rPr>
                <w:rFonts w:hint="eastAsia" w:ascii="仿宋" w:hAnsi="仿宋" w:eastAsia="仿宋" w:cs="仿宋"/>
                <w:color w:val="auto"/>
                <w:szCs w:val="21"/>
                <w:lang w:eastAsia="zh-CN" w:bidi="ar-SA"/>
              </w:rPr>
              <w:t>分）</w:t>
            </w:r>
          </w:p>
          <w:p>
            <w:pPr>
              <w:spacing w:line="440" w:lineRule="exact"/>
              <w:ind w:firstLine="616" w:firstLineChars="257"/>
              <w:jc w:val="center"/>
              <w:rPr>
                <w:rFonts w:ascii="仿宋" w:hAnsi="仿宋" w:eastAsia="仿宋" w:cs="仿宋"/>
                <w:color w:val="auto"/>
                <w:szCs w:val="21"/>
                <w:lang w:eastAsia="zh-CN" w:bidi="ar-SA"/>
              </w:rPr>
            </w:pPr>
          </w:p>
          <w:p>
            <w:pPr>
              <w:spacing w:line="440" w:lineRule="exact"/>
              <w:ind w:firstLine="616" w:firstLineChars="257"/>
              <w:jc w:val="center"/>
              <w:rPr>
                <w:rFonts w:ascii="仿宋" w:hAnsi="仿宋" w:eastAsia="仿宋" w:cs="仿宋"/>
                <w:color w:val="auto"/>
                <w:szCs w:val="21"/>
                <w:lang w:eastAsia="zh-CN" w:bidi="ar-SA"/>
              </w:rPr>
            </w:pPr>
          </w:p>
        </w:tc>
        <w:tc>
          <w:tcPr>
            <w:tcW w:w="2184" w:type="dxa"/>
            <w:noWrap w:val="0"/>
            <w:vAlign w:val="center"/>
          </w:tcPr>
          <w:p>
            <w:pPr>
              <w:spacing w:line="440" w:lineRule="exact"/>
              <w:jc w:val="center"/>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施工方案</w:t>
            </w:r>
          </w:p>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w:t>
            </w:r>
            <w:r>
              <w:rPr>
                <w:rFonts w:hint="eastAsia" w:ascii="仿宋" w:hAnsi="仿宋" w:eastAsia="仿宋" w:cs="仿宋"/>
                <w:color w:val="auto"/>
                <w:szCs w:val="21"/>
                <w:lang w:val="en-US" w:eastAsia="zh-CN" w:bidi="ar-SA"/>
              </w:rPr>
              <w:t>5分</w:t>
            </w:r>
            <w:r>
              <w:rPr>
                <w:rFonts w:hint="eastAsia" w:ascii="仿宋" w:hAnsi="仿宋" w:eastAsia="仿宋" w:cs="仿宋"/>
                <w:color w:val="auto"/>
                <w:szCs w:val="21"/>
                <w:lang w:eastAsia="zh-CN" w:bidi="ar-SA"/>
              </w:rPr>
              <w:t>）</w:t>
            </w:r>
          </w:p>
        </w:tc>
        <w:tc>
          <w:tcPr>
            <w:tcW w:w="5780" w:type="dxa"/>
            <w:noWrap w:val="0"/>
            <w:vAlign w:val="top"/>
          </w:tcPr>
          <w:p>
            <w:pPr>
              <w:widowControl/>
              <w:spacing w:line="36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施工方案的针对性、重点、难点施工把握的准确性。好得</w:t>
            </w:r>
            <w:r>
              <w:rPr>
                <w:rFonts w:hint="eastAsia" w:ascii="仿宋" w:hAnsi="仿宋" w:eastAsia="仿宋" w:cs="仿宋"/>
                <w:color w:val="auto"/>
                <w:szCs w:val="21"/>
                <w:lang w:val="en-US" w:eastAsia="zh-CN" w:bidi="ar-SA"/>
              </w:rPr>
              <w:t>4-</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5</w:t>
            </w:r>
            <w:r>
              <w:rPr>
                <w:rFonts w:hint="eastAsia" w:ascii="仿宋" w:hAnsi="仿宋" w:eastAsia="仿宋" w:cs="仿宋"/>
                <w:color w:val="auto"/>
                <w:szCs w:val="21"/>
                <w:lang w:eastAsia="zh-CN" w:bidi="ar-SA"/>
              </w:rPr>
              <w:t>分、较好得</w:t>
            </w:r>
            <w:r>
              <w:rPr>
                <w:rFonts w:hint="eastAsia" w:ascii="仿宋" w:hAnsi="仿宋" w:eastAsia="仿宋" w:cs="仿宋"/>
                <w:color w:val="auto"/>
                <w:szCs w:val="21"/>
                <w:lang w:val="en-US" w:eastAsia="zh-CN" w:bidi="ar-SA"/>
              </w:rPr>
              <w:t>2-</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3</w:t>
            </w:r>
            <w:r>
              <w:rPr>
                <w:rFonts w:hint="eastAsia" w:ascii="仿宋" w:hAnsi="仿宋" w:eastAsia="仿宋" w:cs="仿宋"/>
                <w:color w:val="auto"/>
                <w:szCs w:val="21"/>
                <w:lang w:eastAsia="zh-CN" w:bidi="ar-SA"/>
              </w:rPr>
              <w:t xml:space="preserve"> 分、一般得 1 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34" w:type="dxa"/>
            <w:vMerge w:val="continue"/>
            <w:noWrap w:val="0"/>
            <w:vAlign w:val="center"/>
          </w:tcPr>
          <w:p>
            <w:pPr>
              <w:spacing w:line="440" w:lineRule="exact"/>
              <w:ind w:firstLine="616" w:firstLineChars="257"/>
              <w:jc w:val="center"/>
              <w:rPr>
                <w:rFonts w:ascii="仿宋" w:hAnsi="仿宋" w:eastAsia="仿宋" w:cs="仿宋"/>
                <w:color w:val="auto"/>
                <w:szCs w:val="21"/>
                <w:lang w:eastAsia="zh-CN" w:bidi="ar-SA"/>
              </w:rPr>
            </w:pPr>
          </w:p>
        </w:tc>
        <w:tc>
          <w:tcPr>
            <w:tcW w:w="2184" w:type="dxa"/>
            <w:noWrap w:val="0"/>
            <w:vAlign w:val="center"/>
          </w:tcPr>
          <w:p>
            <w:pPr>
              <w:spacing w:line="440" w:lineRule="exact"/>
              <w:jc w:val="center"/>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安全措施</w:t>
            </w:r>
          </w:p>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w:t>
            </w:r>
            <w:r>
              <w:rPr>
                <w:rFonts w:hint="eastAsia" w:ascii="仿宋" w:hAnsi="仿宋" w:eastAsia="仿宋" w:cs="仿宋"/>
                <w:color w:val="auto"/>
                <w:szCs w:val="21"/>
                <w:lang w:val="en-US" w:eastAsia="zh-CN" w:bidi="ar-SA"/>
              </w:rPr>
              <w:t>5分</w:t>
            </w:r>
            <w:r>
              <w:rPr>
                <w:rFonts w:hint="eastAsia" w:ascii="仿宋" w:hAnsi="仿宋" w:eastAsia="仿宋" w:cs="仿宋"/>
                <w:color w:val="auto"/>
                <w:szCs w:val="21"/>
                <w:lang w:eastAsia="zh-CN" w:bidi="ar-SA"/>
              </w:rPr>
              <w:t>）</w:t>
            </w:r>
          </w:p>
        </w:tc>
        <w:tc>
          <w:tcPr>
            <w:tcW w:w="5780" w:type="dxa"/>
            <w:noWrap w:val="0"/>
            <w:vAlign w:val="top"/>
          </w:tcPr>
          <w:p>
            <w:pPr>
              <w:widowControl/>
              <w:spacing w:line="36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安全措施的完善性，项目技术方案和组织措施对应的安全管理措施的全面性与可行性。好得</w:t>
            </w:r>
            <w:r>
              <w:rPr>
                <w:rFonts w:hint="eastAsia" w:ascii="仿宋" w:hAnsi="仿宋" w:eastAsia="仿宋" w:cs="仿宋"/>
                <w:color w:val="auto"/>
                <w:szCs w:val="21"/>
                <w:lang w:val="en-US" w:eastAsia="zh-CN" w:bidi="ar-SA"/>
              </w:rPr>
              <w:t>4-</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5</w:t>
            </w:r>
            <w:r>
              <w:rPr>
                <w:rFonts w:hint="eastAsia" w:ascii="仿宋" w:hAnsi="仿宋" w:eastAsia="仿宋" w:cs="仿宋"/>
                <w:color w:val="auto"/>
                <w:szCs w:val="21"/>
                <w:lang w:eastAsia="zh-CN" w:bidi="ar-SA"/>
              </w:rPr>
              <w:t>分、较好得</w:t>
            </w:r>
            <w:r>
              <w:rPr>
                <w:rFonts w:hint="eastAsia" w:ascii="仿宋" w:hAnsi="仿宋" w:eastAsia="仿宋" w:cs="仿宋"/>
                <w:color w:val="auto"/>
                <w:szCs w:val="21"/>
                <w:lang w:val="en-US" w:eastAsia="zh-CN" w:bidi="ar-SA"/>
              </w:rPr>
              <w:t>2-</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3</w:t>
            </w:r>
            <w:r>
              <w:rPr>
                <w:rFonts w:hint="eastAsia" w:ascii="仿宋" w:hAnsi="仿宋" w:eastAsia="仿宋" w:cs="仿宋"/>
                <w:color w:val="auto"/>
                <w:szCs w:val="21"/>
                <w:lang w:eastAsia="zh-CN" w:bidi="ar-SA"/>
              </w:rPr>
              <w:t xml:space="preserve"> 分、一般得 1 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234" w:type="dxa"/>
            <w:vMerge w:val="continue"/>
            <w:noWrap w:val="0"/>
            <w:vAlign w:val="center"/>
          </w:tcPr>
          <w:p>
            <w:pPr>
              <w:spacing w:line="440" w:lineRule="exact"/>
              <w:ind w:firstLine="616" w:firstLineChars="257"/>
              <w:jc w:val="center"/>
              <w:rPr>
                <w:rFonts w:ascii="仿宋" w:hAnsi="仿宋" w:eastAsia="仿宋" w:cs="仿宋"/>
                <w:color w:val="auto"/>
                <w:szCs w:val="21"/>
                <w:lang w:eastAsia="zh-CN" w:bidi="ar-SA"/>
              </w:rPr>
            </w:pPr>
          </w:p>
        </w:tc>
        <w:tc>
          <w:tcPr>
            <w:tcW w:w="2184" w:type="dxa"/>
            <w:noWrap w:val="0"/>
            <w:vAlign w:val="center"/>
          </w:tcPr>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质量保证体系及措施、质量通病及预防措施（</w:t>
            </w:r>
            <w:r>
              <w:rPr>
                <w:rFonts w:hint="eastAsia" w:ascii="仿宋" w:hAnsi="仿宋" w:eastAsia="仿宋" w:cs="仿宋"/>
                <w:color w:val="auto"/>
                <w:szCs w:val="21"/>
                <w:lang w:val="en-US" w:eastAsia="zh-CN" w:bidi="ar-SA"/>
              </w:rPr>
              <w:t>5分</w:t>
            </w:r>
            <w:r>
              <w:rPr>
                <w:rFonts w:hint="eastAsia" w:ascii="仿宋" w:hAnsi="仿宋" w:eastAsia="仿宋" w:cs="仿宋"/>
                <w:color w:val="auto"/>
                <w:szCs w:val="21"/>
                <w:lang w:eastAsia="zh-CN" w:bidi="ar-SA"/>
              </w:rPr>
              <w:t>）</w:t>
            </w:r>
          </w:p>
        </w:tc>
        <w:tc>
          <w:tcPr>
            <w:tcW w:w="5780" w:type="dxa"/>
            <w:noWrap w:val="0"/>
            <w:vAlign w:val="top"/>
          </w:tcPr>
          <w:p>
            <w:pPr>
              <w:widowControl/>
              <w:spacing w:line="36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保证体系的完整性、全面性与可行性。好得</w:t>
            </w:r>
            <w:r>
              <w:rPr>
                <w:rFonts w:hint="eastAsia" w:ascii="仿宋" w:hAnsi="仿宋" w:eastAsia="仿宋" w:cs="仿宋"/>
                <w:color w:val="auto"/>
                <w:szCs w:val="21"/>
                <w:lang w:val="en-US" w:eastAsia="zh-CN" w:bidi="ar-SA"/>
              </w:rPr>
              <w:t>4-</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5</w:t>
            </w:r>
            <w:r>
              <w:rPr>
                <w:rFonts w:hint="eastAsia" w:ascii="仿宋" w:hAnsi="仿宋" w:eastAsia="仿宋" w:cs="仿宋"/>
                <w:color w:val="auto"/>
                <w:szCs w:val="21"/>
                <w:lang w:eastAsia="zh-CN" w:bidi="ar-SA"/>
              </w:rPr>
              <w:t>分、较好得</w:t>
            </w:r>
            <w:r>
              <w:rPr>
                <w:rFonts w:hint="eastAsia" w:ascii="仿宋" w:hAnsi="仿宋" w:eastAsia="仿宋" w:cs="仿宋"/>
                <w:color w:val="auto"/>
                <w:szCs w:val="21"/>
                <w:lang w:val="en-US" w:eastAsia="zh-CN" w:bidi="ar-SA"/>
              </w:rPr>
              <w:t>2-</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3</w:t>
            </w:r>
            <w:r>
              <w:rPr>
                <w:rFonts w:hint="eastAsia" w:ascii="仿宋" w:hAnsi="仿宋" w:eastAsia="仿宋" w:cs="仿宋"/>
                <w:color w:val="auto"/>
                <w:szCs w:val="21"/>
                <w:lang w:eastAsia="zh-CN" w:bidi="ar-SA"/>
              </w:rPr>
              <w:t xml:space="preserve"> 分、一般得 1 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234" w:type="dxa"/>
            <w:vMerge w:val="continue"/>
            <w:noWrap w:val="0"/>
            <w:vAlign w:val="center"/>
          </w:tcPr>
          <w:p>
            <w:pPr>
              <w:spacing w:line="440" w:lineRule="exact"/>
              <w:ind w:firstLine="616" w:firstLineChars="257"/>
              <w:jc w:val="center"/>
              <w:rPr>
                <w:rFonts w:ascii="仿宋" w:hAnsi="仿宋" w:eastAsia="仿宋" w:cs="仿宋"/>
                <w:color w:val="auto"/>
                <w:szCs w:val="21"/>
                <w:lang w:eastAsia="zh-CN" w:bidi="ar-SA"/>
              </w:rPr>
            </w:pPr>
          </w:p>
        </w:tc>
        <w:tc>
          <w:tcPr>
            <w:tcW w:w="2184" w:type="dxa"/>
            <w:noWrap w:val="0"/>
            <w:vAlign w:val="center"/>
          </w:tcPr>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文明施工及环保措施（</w:t>
            </w:r>
            <w:r>
              <w:rPr>
                <w:rFonts w:hint="eastAsia" w:ascii="仿宋" w:hAnsi="仿宋" w:eastAsia="仿宋" w:cs="仿宋"/>
                <w:color w:val="auto"/>
                <w:szCs w:val="21"/>
                <w:lang w:val="en-US" w:eastAsia="zh-CN" w:bidi="ar-SA"/>
              </w:rPr>
              <w:t>5分</w:t>
            </w:r>
            <w:r>
              <w:rPr>
                <w:rFonts w:hint="eastAsia" w:ascii="仿宋" w:hAnsi="仿宋" w:eastAsia="仿宋" w:cs="仿宋"/>
                <w:color w:val="auto"/>
                <w:szCs w:val="21"/>
                <w:lang w:eastAsia="zh-CN" w:bidi="ar-SA"/>
              </w:rPr>
              <w:t>）</w:t>
            </w:r>
          </w:p>
        </w:tc>
        <w:tc>
          <w:tcPr>
            <w:tcW w:w="5780" w:type="dxa"/>
            <w:noWrap w:val="0"/>
            <w:vAlign w:val="top"/>
          </w:tcPr>
          <w:p>
            <w:pPr>
              <w:widowControl/>
              <w:spacing w:line="36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措施的合理性、全面性。好得</w:t>
            </w:r>
            <w:r>
              <w:rPr>
                <w:rFonts w:hint="eastAsia" w:ascii="仿宋" w:hAnsi="仿宋" w:eastAsia="仿宋" w:cs="仿宋"/>
                <w:color w:val="auto"/>
                <w:szCs w:val="21"/>
                <w:lang w:val="en-US" w:eastAsia="zh-CN" w:bidi="ar-SA"/>
              </w:rPr>
              <w:t>4-</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5</w:t>
            </w:r>
            <w:r>
              <w:rPr>
                <w:rFonts w:hint="eastAsia" w:ascii="仿宋" w:hAnsi="仿宋" w:eastAsia="仿宋" w:cs="仿宋"/>
                <w:color w:val="auto"/>
                <w:szCs w:val="21"/>
                <w:lang w:eastAsia="zh-CN" w:bidi="ar-SA"/>
              </w:rPr>
              <w:t>分、较好得</w:t>
            </w:r>
            <w:r>
              <w:rPr>
                <w:rFonts w:hint="eastAsia" w:ascii="仿宋" w:hAnsi="仿宋" w:eastAsia="仿宋" w:cs="仿宋"/>
                <w:color w:val="auto"/>
                <w:szCs w:val="21"/>
                <w:lang w:val="en-US" w:eastAsia="zh-CN" w:bidi="ar-SA"/>
              </w:rPr>
              <w:t>2-</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3</w:t>
            </w:r>
            <w:r>
              <w:rPr>
                <w:rFonts w:hint="eastAsia" w:ascii="仿宋" w:hAnsi="仿宋" w:eastAsia="仿宋" w:cs="仿宋"/>
                <w:color w:val="auto"/>
                <w:szCs w:val="21"/>
                <w:lang w:eastAsia="zh-CN" w:bidi="ar-SA"/>
              </w:rPr>
              <w:t xml:space="preserve"> 分、一般得 1 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234" w:type="dxa"/>
            <w:vMerge w:val="continue"/>
            <w:noWrap w:val="0"/>
            <w:vAlign w:val="center"/>
          </w:tcPr>
          <w:p>
            <w:pPr>
              <w:spacing w:line="440" w:lineRule="exact"/>
              <w:ind w:firstLine="616" w:firstLineChars="257"/>
              <w:jc w:val="center"/>
              <w:rPr>
                <w:rFonts w:ascii="仿宋" w:hAnsi="仿宋" w:eastAsia="仿宋" w:cs="仿宋"/>
                <w:color w:val="auto"/>
                <w:szCs w:val="21"/>
                <w:lang w:eastAsia="zh-CN" w:bidi="ar-SA"/>
              </w:rPr>
            </w:pPr>
          </w:p>
        </w:tc>
        <w:tc>
          <w:tcPr>
            <w:tcW w:w="2184" w:type="dxa"/>
            <w:noWrap w:val="0"/>
            <w:vAlign w:val="center"/>
          </w:tcPr>
          <w:p>
            <w:pPr>
              <w:spacing w:line="440" w:lineRule="exact"/>
              <w:jc w:val="center"/>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劳动力计划（</w:t>
            </w:r>
            <w:r>
              <w:rPr>
                <w:rFonts w:hint="eastAsia" w:ascii="仿宋" w:hAnsi="仿宋" w:eastAsia="仿宋" w:cs="仿宋"/>
                <w:color w:val="auto"/>
                <w:szCs w:val="21"/>
                <w:lang w:val="en-US" w:eastAsia="zh-CN" w:bidi="ar-SA"/>
              </w:rPr>
              <w:t>5分</w:t>
            </w:r>
            <w:r>
              <w:rPr>
                <w:rFonts w:hint="eastAsia" w:ascii="仿宋" w:hAnsi="仿宋" w:eastAsia="仿宋" w:cs="仿宋"/>
                <w:color w:val="auto"/>
                <w:szCs w:val="21"/>
                <w:lang w:eastAsia="zh-CN" w:bidi="ar-SA"/>
              </w:rPr>
              <w:t>）</w:t>
            </w:r>
          </w:p>
        </w:tc>
        <w:tc>
          <w:tcPr>
            <w:tcW w:w="5780" w:type="dxa"/>
            <w:noWrap w:val="0"/>
            <w:vAlign w:val="top"/>
          </w:tcPr>
          <w:p>
            <w:pPr>
              <w:widowControl/>
              <w:spacing w:line="360" w:lineRule="exact"/>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劳动力计划的合理性、全面性。好得</w:t>
            </w:r>
            <w:r>
              <w:rPr>
                <w:rFonts w:hint="eastAsia" w:ascii="仿宋" w:hAnsi="仿宋" w:eastAsia="仿宋" w:cs="仿宋"/>
                <w:color w:val="auto"/>
                <w:szCs w:val="21"/>
                <w:lang w:val="en-US" w:eastAsia="zh-CN" w:bidi="ar-SA"/>
              </w:rPr>
              <w:t>4-</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5</w:t>
            </w:r>
            <w:r>
              <w:rPr>
                <w:rFonts w:hint="eastAsia" w:ascii="仿宋" w:hAnsi="仿宋" w:eastAsia="仿宋" w:cs="仿宋"/>
                <w:color w:val="auto"/>
                <w:szCs w:val="21"/>
                <w:lang w:eastAsia="zh-CN" w:bidi="ar-SA"/>
              </w:rPr>
              <w:t>分、较好得</w:t>
            </w:r>
            <w:r>
              <w:rPr>
                <w:rFonts w:hint="eastAsia" w:ascii="仿宋" w:hAnsi="仿宋" w:eastAsia="仿宋" w:cs="仿宋"/>
                <w:color w:val="auto"/>
                <w:szCs w:val="21"/>
                <w:lang w:val="en-US" w:eastAsia="zh-CN" w:bidi="ar-SA"/>
              </w:rPr>
              <w:t>2-</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3</w:t>
            </w:r>
            <w:r>
              <w:rPr>
                <w:rFonts w:hint="eastAsia" w:ascii="仿宋" w:hAnsi="仿宋" w:eastAsia="仿宋" w:cs="仿宋"/>
                <w:color w:val="auto"/>
                <w:szCs w:val="21"/>
                <w:lang w:eastAsia="zh-CN" w:bidi="ar-SA"/>
              </w:rPr>
              <w:t xml:space="preserve"> 分、一般得 1 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234" w:type="dxa"/>
            <w:vMerge w:val="continue"/>
            <w:noWrap w:val="0"/>
            <w:vAlign w:val="center"/>
          </w:tcPr>
          <w:p>
            <w:pPr>
              <w:spacing w:line="440" w:lineRule="exact"/>
              <w:ind w:firstLine="616" w:firstLineChars="257"/>
              <w:jc w:val="center"/>
              <w:rPr>
                <w:rFonts w:ascii="仿宋" w:hAnsi="仿宋" w:eastAsia="仿宋" w:cs="仿宋"/>
                <w:color w:val="auto"/>
                <w:szCs w:val="21"/>
                <w:lang w:eastAsia="zh-CN" w:bidi="ar-SA"/>
              </w:rPr>
            </w:pPr>
          </w:p>
        </w:tc>
        <w:tc>
          <w:tcPr>
            <w:tcW w:w="2184" w:type="dxa"/>
            <w:noWrap w:val="0"/>
            <w:vAlign w:val="center"/>
          </w:tcPr>
          <w:p>
            <w:pPr>
              <w:spacing w:line="440" w:lineRule="exact"/>
              <w:jc w:val="center"/>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主要材料采购计划和主要材料的管理措施（</w:t>
            </w:r>
            <w:r>
              <w:rPr>
                <w:rFonts w:hint="eastAsia" w:ascii="仿宋" w:hAnsi="仿宋" w:eastAsia="仿宋" w:cs="仿宋"/>
                <w:color w:val="auto"/>
                <w:szCs w:val="21"/>
                <w:lang w:val="en-US" w:eastAsia="zh-CN" w:bidi="ar-SA"/>
              </w:rPr>
              <w:t>5分</w:t>
            </w:r>
            <w:r>
              <w:rPr>
                <w:rFonts w:hint="eastAsia" w:ascii="仿宋" w:hAnsi="仿宋" w:eastAsia="仿宋" w:cs="仿宋"/>
                <w:color w:val="auto"/>
                <w:szCs w:val="21"/>
                <w:lang w:eastAsia="zh-CN" w:bidi="ar-SA"/>
              </w:rPr>
              <w:t>）</w:t>
            </w:r>
          </w:p>
        </w:tc>
        <w:tc>
          <w:tcPr>
            <w:tcW w:w="5780" w:type="dxa"/>
            <w:noWrap w:val="0"/>
            <w:vAlign w:val="top"/>
          </w:tcPr>
          <w:p>
            <w:pPr>
              <w:widowControl/>
              <w:spacing w:line="360" w:lineRule="exact"/>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主要材料采购计划和主要材料的管理措施的合理性。好得</w:t>
            </w:r>
            <w:r>
              <w:rPr>
                <w:rFonts w:hint="eastAsia" w:ascii="仿宋" w:hAnsi="仿宋" w:eastAsia="仿宋" w:cs="仿宋"/>
                <w:color w:val="auto"/>
                <w:szCs w:val="21"/>
                <w:lang w:val="en-US" w:eastAsia="zh-CN" w:bidi="ar-SA"/>
              </w:rPr>
              <w:t>4-</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5</w:t>
            </w:r>
            <w:r>
              <w:rPr>
                <w:rFonts w:hint="eastAsia" w:ascii="仿宋" w:hAnsi="仿宋" w:eastAsia="仿宋" w:cs="仿宋"/>
                <w:color w:val="auto"/>
                <w:szCs w:val="21"/>
                <w:lang w:eastAsia="zh-CN" w:bidi="ar-SA"/>
              </w:rPr>
              <w:t>分、较好得</w:t>
            </w:r>
            <w:r>
              <w:rPr>
                <w:rFonts w:hint="eastAsia" w:ascii="仿宋" w:hAnsi="仿宋" w:eastAsia="仿宋" w:cs="仿宋"/>
                <w:color w:val="auto"/>
                <w:szCs w:val="21"/>
                <w:lang w:val="en-US" w:eastAsia="zh-CN" w:bidi="ar-SA"/>
              </w:rPr>
              <w:t>2-</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3</w:t>
            </w:r>
            <w:r>
              <w:rPr>
                <w:rFonts w:hint="eastAsia" w:ascii="仿宋" w:hAnsi="仿宋" w:eastAsia="仿宋" w:cs="仿宋"/>
                <w:color w:val="auto"/>
                <w:szCs w:val="21"/>
                <w:lang w:eastAsia="zh-CN" w:bidi="ar-SA"/>
              </w:rPr>
              <w:t xml:space="preserve"> 分、一般得 1 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234" w:type="dxa"/>
            <w:vMerge w:val="continue"/>
            <w:noWrap w:val="0"/>
            <w:vAlign w:val="center"/>
          </w:tcPr>
          <w:p>
            <w:pPr>
              <w:spacing w:line="440" w:lineRule="exact"/>
              <w:ind w:firstLine="616" w:firstLineChars="257"/>
              <w:jc w:val="center"/>
              <w:rPr>
                <w:rFonts w:ascii="仿宋" w:hAnsi="仿宋" w:eastAsia="仿宋" w:cs="仿宋"/>
                <w:color w:val="auto"/>
                <w:szCs w:val="21"/>
                <w:lang w:eastAsia="zh-CN" w:bidi="ar-SA"/>
              </w:rPr>
            </w:pPr>
          </w:p>
        </w:tc>
        <w:tc>
          <w:tcPr>
            <w:tcW w:w="2184" w:type="dxa"/>
            <w:noWrap w:val="0"/>
            <w:vAlign w:val="center"/>
          </w:tcPr>
          <w:p>
            <w:pPr>
              <w:spacing w:line="440" w:lineRule="exact"/>
              <w:jc w:val="center"/>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完工期（</w:t>
            </w:r>
            <w:r>
              <w:rPr>
                <w:rFonts w:hint="eastAsia" w:ascii="仿宋" w:hAnsi="仿宋" w:eastAsia="仿宋" w:cs="仿宋"/>
                <w:color w:val="auto"/>
                <w:szCs w:val="21"/>
                <w:lang w:val="en-US" w:eastAsia="zh-CN" w:bidi="ar-SA"/>
              </w:rPr>
              <w:t>10分</w:t>
            </w:r>
            <w:r>
              <w:rPr>
                <w:rFonts w:hint="eastAsia" w:ascii="仿宋" w:hAnsi="仿宋" w:eastAsia="仿宋" w:cs="仿宋"/>
                <w:color w:val="auto"/>
                <w:szCs w:val="21"/>
                <w:lang w:eastAsia="zh-CN" w:bidi="ar-SA"/>
              </w:rPr>
              <w:t>）</w:t>
            </w:r>
          </w:p>
        </w:tc>
        <w:tc>
          <w:tcPr>
            <w:tcW w:w="5780" w:type="dxa"/>
            <w:noWrap w:val="0"/>
            <w:vAlign w:val="top"/>
          </w:tcPr>
          <w:p>
            <w:pPr>
              <w:widowControl/>
              <w:spacing w:line="360" w:lineRule="exact"/>
              <w:rPr>
                <w:rFonts w:hint="default" w:ascii="仿宋" w:hAnsi="仿宋" w:eastAsia="仿宋" w:cs="仿宋"/>
                <w:color w:val="auto"/>
                <w:szCs w:val="21"/>
                <w:lang w:val="en-US" w:eastAsia="zh-CN" w:bidi="ar-SA"/>
              </w:rPr>
            </w:pPr>
            <w:r>
              <w:rPr>
                <w:rFonts w:hint="eastAsia" w:ascii="仿宋" w:hAnsi="仿宋" w:eastAsia="仿宋" w:cs="仿宋"/>
                <w:color w:val="auto"/>
                <w:szCs w:val="21"/>
                <w:lang w:eastAsia="zh-CN" w:bidi="ar-SA"/>
              </w:rPr>
              <w:t>在招标文件要求的完工期上，每提前一天完工得</w:t>
            </w:r>
            <w:r>
              <w:rPr>
                <w:rFonts w:hint="eastAsia" w:ascii="仿宋" w:hAnsi="仿宋" w:eastAsia="仿宋" w:cs="仿宋"/>
                <w:color w:val="auto"/>
                <w:szCs w:val="21"/>
                <w:lang w:val="en-US" w:eastAsia="zh-CN" w:bidi="ar-SA"/>
              </w:rPr>
              <w:t>1分，最高得10分。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234" w:type="dxa"/>
            <w:vMerge w:val="continue"/>
            <w:noWrap w:val="0"/>
            <w:vAlign w:val="center"/>
          </w:tcPr>
          <w:p>
            <w:pPr>
              <w:spacing w:line="440" w:lineRule="exact"/>
              <w:ind w:firstLine="616" w:firstLineChars="257"/>
              <w:jc w:val="center"/>
              <w:rPr>
                <w:rFonts w:ascii="仿宋" w:hAnsi="仿宋" w:eastAsia="仿宋" w:cs="仿宋"/>
                <w:color w:val="auto"/>
                <w:szCs w:val="21"/>
                <w:lang w:eastAsia="zh-CN" w:bidi="ar-SA"/>
              </w:rPr>
            </w:pPr>
          </w:p>
        </w:tc>
        <w:tc>
          <w:tcPr>
            <w:tcW w:w="2184" w:type="dxa"/>
            <w:noWrap w:val="0"/>
            <w:vAlign w:val="center"/>
          </w:tcPr>
          <w:p>
            <w:pPr>
              <w:spacing w:line="440" w:lineRule="exact"/>
              <w:jc w:val="center"/>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与相关部门、监理单位及周边居民的配合措施（</w:t>
            </w:r>
            <w:r>
              <w:rPr>
                <w:rFonts w:hint="eastAsia" w:ascii="仿宋" w:hAnsi="仿宋" w:eastAsia="仿宋" w:cs="仿宋"/>
                <w:color w:val="auto"/>
                <w:szCs w:val="21"/>
                <w:lang w:val="en-US" w:eastAsia="zh-CN" w:bidi="ar-SA"/>
              </w:rPr>
              <w:t>5分</w:t>
            </w:r>
            <w:r>
              <w:rPr>
                <w:rFonts w:hint="eastAsia" w:ascii="仿宋" w:hAnsi="仿宋" w:eastAsia="仿宋" w:cs="仿宋"/>
                <w:color w:val="auto"/>
                <w:szCs w:val="21"/>
                <w:lang w:eastAsia="zh-CN" w:bidi="ar-SA"/>
              </w:rPr>
              <w:t>）</w:t>
            </w:r>
          </w:p>
        </w:tc>
        <w:tc>
          <w:tcPr>
            <w:tcW w:w="5780" w:type="dxa"/>
            <w:noWrap w:val="0"/>
            <w:vAlign w:val="top"/>
          </w:tcPr>
          <w:p>
            <w:pPr>
              <w:widowControl/>
              <w:spacing w:line="360" w:lineRule="exact"/>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与相关部门、监理单位及周边居民的配合：措施的合理性、全面性。好得</w:t>
            </w:r>
            <w:r>
              <w:rPr>
                <w:rFonts w:hint="eastAsia" w:ascii="仿宋" w:hAnsi="仿宋" w:eastAsia="仿宋" w:cs="仿宋"/>
                <w:color w:val="auto"/>
                <w:szCs w:val="21"/>
                <w:lang w:val="en-US" w:eastAsia="zh-CN" w:bidi="ar-SA"/>
              </w:rPr>
              <w:t>4-</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5</w:t>
            </w:r>
            <w:r>
              <w:rPr>
                <w:rFonts w:hint="eastAsia" w:ascii="仿宋" w:hAnsi="仿宋" w:eastAsia="仿宋" w:cs="仿宋"/>
                <w:color w:val="auto"/>
                <w:szCs w:val="21"/>
                <w:lang w:eastAsia="zh-CN" w:bidi="ar-SA"/>
              </w:rPr>
              <w:t>分、较好得</w:t>
            </w:r>
            <w:r>
              <w:rPr>
                <w:rFonts w:hint="eastAsia" w:ascii="仿宋" w:hAnsi="仿宋" w:eastAsia="仿宋" w:cs="仿宋"/>
                <w:color w:val="auto"/>
                <w:szCs w:val="21"/>
                <w:lang w:val="en-US" w:eastAsia="zh-CN" w:bidi="ar-SA"/>
              </w:rPr>
              <w:t>2-</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3</w:t>
            </w:r>
            <w:r>
              <w:rPr>
                <w:rFonts w:hint="eastAsia" w:ascii="仿宋" w:hAnsi="仿宋" w:eastAsia="仿宋" w:cs="仿宋"/>
                <w:color w:val="auto"/>
                <w:szCs w:val="21"/>
                <w:lang w:eastAsia="zh-CN" w:bidi="ar-SA"/>
              </w:rPr>
              <w:t xml:space="preserve"> 分、一般得 1 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234" w:type="dxa"/>
            <w:vMerge w:val="continue"/>
            <w:noWrap w:val="0"/>
            <w:vAlign w:val="center"/>
          </w:tcPr>
          <w:p>
            <w:pPr>
              <w:spacing w:line="440" w:lineRule="exact"/>
              <w:ind w:firstLine="616" w:firstLineChars="257"/>
              <w:jc w:val="center"/>
              <w:rPr>
                <w:rFonts w:ascii="仿宋" w:hAnsi="仿宋" w:eastAsia="仿宋" w:cs="仿宋"/>
                <w:color w:val="auto"/>
                <w:szCs w:val="21"/>
                <w:lang w:eastAsia="zh-CN" w:bidi="ar-SA"/>
              </w:rPr>
            </w:pPr>
          </w:p>
        </w:tc>
        <w:tc>
          <w:tcPr>
            <w:tcW w:w="2184" w:type="dxa"/>
            <w:noWrap w:val="0"/>
            <w:vAlign w:val="center"/>
          </w:tcPr>
          <w:p>
            <w:pPr>
              <w:widowControl/>
              <w:shd w:val="clear" w:color="auto" w:fill="auto"/>
              <w:spacing w:line="360" w:lineRule="exact"/>
              <w:rPr>
                <w:rFonts w:hint="eastAsia" w:ascii="仿宋" w:hAnsi="仿宋" w:eastAsia="仿宋" w:cs="仿宋"/>
                <w:color w:val="auto"/>
                <w:szCs w:val="21"/>
                <w:lang w:eastAsia="zh-CN" w:bidi="ar-SA"/>
              </w:rPr>
            </w:pPr>
            <w:r>
              <w:rPr>
                <w:rFonts w:hint="eastAsia" w:ascii="仿宋" w:hAnsi="仿宋" w:eastAsia="仿宋" w:cs="仿宋"/>
                <w:color w:val="auto"/>
                <w:szCs w:val="21"/>
                <w:lang w:val="zh-CN" w:eastAsia="zh-CN" w:bidi="ar-SA"/>
              </w:rPr>
              <w:t>质量管理措施（</w:t>
            </w:r>
            <w:r>
              <w:rPr>
                <w:rFonts w:hint="eastAsia" w:ascii="仿宋" w:hAnsi="仿宋" w:eastAsia="仿宋" w:cs="仿宋"/>
                <w:color w:val="auto"/>
                <w:szCs w:val="21"/>
                <w:lang w:val="en-US" w:eastAsia="zh-CN" w:bidi="ar-SA"/>
              </w:rPr>
              <w:t>5分</w:t>
            </w:r>
            <w:r>
              <w:rPr>
                <w:rFonts w:hint="eastAsia" w:ascii="仿宋" w:hAnsi="仿宋" w:eastAsia="仿宋" w:cs="仿宋"/>
                <w:color w:val="auto"/>
                <w:szCs w:val="21"/>
                <w:lang w:val="zh-CN" w:eastAsia="zh-CN" w:bidi="ar-SA"/>
              </w:rPr>
              <w:t>）</w:t>
            </w:r>
          </w:p>
        </w:tc>
        <w:tc>
          <w:tcPr>
            <w:tcW w:w="5780" w:type="dxa"/>
            <w:noWrap w:val="0"/>
            <w:vAlign w:val="center"/>
          </w:tcPr>
          <w:p>
            <w:pPr>
              <w:widowControl/>
              <w:shd w:val="clear" w:color="auto" w:fill="auto"/>
              <w:spacing w:line="360" w:lineRule="exact"/>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工艺、质量控制措施、质量检测方法，</w:t>
            </w:r>
            <w:r>
              <w:rPr>
                <w:rFonts w:hint="eastAsia" w:ascii="仿宋" w:hAnsi="仿宋" w:eastAsia="仿宋" w:cs="仿宋"/>
                <w:color w:val="auto"/>
                <w:szCs w:val="21"/>
                <w:lang w:val="zh-CN" w:eastAsia="zh-CN" w:bidi="ar-SA"/>
              </w:rPr>
              <w:t>由评委横向对比后综合打分，最高分</w:t>
            </w:r>
            <w:r>
              <w:rPr>
                <w:rFonts w:hint="eastAsia" w:ascii="仿宋" w:hAnsi="仿宋" w:eastAsia="仿宋" w:cs="仿宋"/>
                <w:color w:val="auto"/>
                <w:szCs w:val="21"/>
                <w:lang w:val="en-US" w:eastAsia="zh-CN" w:bidi="ar-SA"/>
              </w:rPr>
              <w:t>得5</w:t>
            </w:r>
            <w:r>
              <w:rPr>
                <w:rFonts w:hint="eastAsia" w:ascii="仿宋" w:hAnsi="仿宋" w:eastAsia="仿宋" w:cs="仿宋"/>
                <w:color w:val="auto"/>
                <w:szCs w:val="21"/>
                <w:lang w:eastAsia="zh-CN" w:bidi="ar-SA"/>
              </w:rPr>
              <w:t>分。好得</w:t>
            </w:r>
            <w:r>
              <w:rPr>
                <w:rFonts w:hint="eastAsia" w:ascii="仿宋" w:hAnsi="仿宋" w:eastAsia="仿宋" w:cs="仿宋"/>
                <w:color w:val="auto"/>
                <w:szCs w:val="21"/>
                <w:lang w:val="en-US" w:eastAsia="zh-CN" w:bidi="ar-SA"/>
              </w:rPr>
              <w:t>4-</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5</w:t>
            </w:r>
            <w:r>
              <w:rPr>
                <w:rFonts w:hint="eastAsia" w:ascii="仿宋" w:hAnsi="仿宋" w:eastAsia="仿宋" w:cs="仿宋"/>
                <w:color w:val="auto"/>
                <w:szCs w:val="21"/>
                <w:lang w:eastAsia="zh-CN" w:bidi="ar-SA"/>
              </w:rPr>
              <w:t>分、较好得</w:t>
            </w:r>
            <w:r>
              <w:rPr>
                <w:rFonts w:hint="eastAsia" w:ascii="仿宋" w:hAnsi="仿宋" w:eastAsia="仿宋" w:cs="仿宋"/>
                <w:color w:val="auto"/>
                <w:szCs w:val="21"/>
                <w:lang w:val="en-US" w:eastAsia="zh-CN" w:bidi="ar-SA"/>
              </w:rPr>
              <w:t>2-</w:t>
            </w:r>
            <w:r>
              <w:rPr>
                <w:rFonts w:hint="eastAsia" w:ascii="仿宋" w:hAnsi="仿宋" w:eastAsia="仿宋" w:cs="仿宋"/>
                <w:color w:val="auto"/>
                <w:szCs w:val="21"/>
                <w:lang w:eastAsia="zh-CN" w:bidi="ar-SA"/>
              </w:rPr>
              <w:t xml:space="preserve"> </w:t>
            </w:r>
            <w:r>
              <w:rPr>
                <w:rFonts w:hint="eastAsia" w:ascii="仿宋" w:hAnsi="仿宋" w:eastAsia="仿宋" w:cs="仿宋"/>
                <w:color w:val="auto"/>
                <w:szCs w:val="21"/>
                <w:lang w:val="en-US" w:eastAsia="zh-CN" w:bidi="ar-SA"/>
              </w:rPr>
              <w:t>3</w:t>
            </w:r>
            <w:r>
              <w:rPr>
                <w:rFonts w:hint="eastAsia" w:ascii="仿宋" w:hAnsi="仿宋" w:eastAsia="仿宋" w:cs="仿宋"/>
                <w:color w:val="auto"/>
                <w:szCs w:val="21"/>
                <w:lang w:eastAsia="zh-CN" w:bidi="ar-SA"/>
              </w:rPr>
              <w:t xml:space="preserve"> 分、一般得 1 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234" w:type="dxa"/>
            <w:vMerge w:val="continue"/>
            <w:noWrap w:val="0"/>
            <w:vAlign w:val="center"/>
          </w:tcPr>
          <w:p>
            <w:pPr>
              <w:spacing w:line="440" w:lineRule="exact"/>
              <w:ind w:firstLine="616" w:firstLineChars="257"/>
              <w:rPr>
                <w:rFonts w:ascii="仿宋" w:hAnsi="仿宋" w:eastAsia="仿宋" w:cs="仿宋"/>
                <w:color w:val="auto"/>
                <w:szCs w:val="21"/>
                <w:lang w:eastAsia="zh-CN" w:bidi="ar-SA"/>
              </w:rPr>
            </w:pPr>
          </w:p>
        </w:tc>
        <w:tc>
          <w:tcPr>
            <w:tcW w:w="218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售后服务</w:t>
            </w:r>
          </w:p>
          <w:p>
            <w:pPr>
              <w:spacing w:line="440" w:lineRule="exact"/>
              <w:jc w:val="center"/>
              <w:rPr>
                <w:rFonts w:hint="eastAsia" w:ascii="仿宋" w:hAnsi="仿宋" w:eastAsia="仿宋" w:cs="仿宋"/>
                <w:color w:val="auto"/>
                <w:szCs w:val="21"/>
                <w:lang w:eastAsia="zh-CN" w:bidi="ar-SA"/>
              </w:rPr>
            </w:pPr>
            <w:r>
              <w:rPr>
                <w:rFonts w:hint="eastAsia" w:ascii="仿宋" w:hAnsi="仿宋" w:eastAsia="仿宋" w:cs="仿宋"/>
                <w:color w:val="auto"/>
                <w:kern w:val="2"/>
                <w:sz w:val="24"/>
                <w:szCs w:val="24"/>
                <w:highlight w:val="none"/>
                <w:lang w:val="en-US" w:eastAsia="zh-CN" w:bidi="ar-SA"/>
              </w:rPr>
              <w:t>（10分）</w:t>
            </w:r>
          </w:p>
        </w:tc>
        <w:tc>
          <w:tcPr>
            <w:tcW w:w="57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各供应商应提供详细的售后服务方案、服务体系、服务范围以及故障解决方案、响应时间、应急处理方案、专业技术人员保障、售后服务电话等。评标委员会将根据各供应商提供的资料，从全面性、可操作性等进行打分。满分10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1、总体售后服务方案计划及服务时效：优的得4-6分；一般1-3分；不提供不得分。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color w:val="auto"/>
                <w:lang w:eastAsia="zh-CN"/>
              </w:rPr>
            </w:pPr>
            <w:r>
              <w:rPr>
                <w:rFonts w:hint="eastAsia" w:ascii="仿宋" w:hAnsi="仿宋" w:eastAsia="仿宋" w:cs="仿宋"/>
                <w:b w:val="0"/>
                <w:bCs w:val="0"/>
                <w:color w:val="auto"/>
                <w:kern w:val="2"/>
                <w:sz w:val="24"/>
                <w:szCs w:val="24"/>
                <w:highlight w:val="none"/>
                <w:lang w:val="en-US" w:eastAsia="zh-CN" w:bidi="ar-SA"/>
              </w:rPr>
              <w:t>2、项目进度安排合理，便于整体布局；进度安排分工明确，职责分工清晰，能够保证项目的高质量和按计划完成：优的得3-4分；一般1-2分；不提供不得分。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234" w:type="dxa"/>
            <w:noWrap w:val="0"/>
            <w:vAlign w:val="center"/>
          </w:tcPr>
          <w:p>
            <w:pPr>
              <w:spacing w:line="440" w:lineRule="exact"/>
              <w:ind w:firstLine="616" w:firstLineChars="257"/>
              <w:rPr>
                <w:rFonts w:ascii="仿宋" w:hAnsi="仿宋" w:eastAsia="仿宋" w:cs="仿宋"/>
                <w:color w:val="auto"/>
                <w:szCs w:val="21"/>
                <w:lang w:eastAsia="zh-CN" w:bidi="ar-SA"/>
              </w:rPr>
            </w:pPr>
          </w:p>
        </w:tc>
        <w:tc>
          <w:tcPr>
            <w:tcW w:w="2184" w:type="dxa"/>
            <w:noWrap w:val="0"/>
            <w:vAlign w:val="center"/>
          </w:tcPr>
          <w:p>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本地化服务（5 分）</w:t>
            </w:r>
          </w:p>
        </w:tc>
        <w:tc>
          <w:tcPr>
            <w:tcW w:w="57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本地化服务，供应商可以提供本地化服务的得 5 分，提供工商注册证明资料或自有办公用房房产证或办公用房租赁合同。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234" w:type="dxa"/>
            <w:noWrap w:val="0"/>
            <w:vAlign w:val="center"/>
          </w:tcPr>
          <w:p>
            <w:pPr>
              <w:spacing w:line="440" w:lineRule="exact"/>
              <w:ind w:firstLine="616" w:firstLineChars="257"/>
              <w:rPr>
                <w:rFonts w:ascii="仿宋" w:hAnsi="仿宋" w:eastAsia="仿宋" w:cs="仿宋"/>
                <w:color w:val="auto"/>
                <w:szCs w:val="21"/>
                <w:lang w:eastAsia="zh-CN" w:bidi="ar-SA"/>
              </w:rPr>
            </w:pPr>
          </w:p>
        </w:tc>
        <w:tc>
          <w:tcPr>
            <w:tcW w:w="2184" w:type="dxa"/>
            <w:noWrap w:val="0"/>
            <w:vAlign w:val="center"/>
          </w:tcPr>
          <w:p>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施工进度（5分）</w:t>
            </w:r>
          </w:p>
        </w:tc>
        <w:tc>
          <w:tcPr>
            <w:tcW w:w="57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由评审小组根据供应商提供的施工进度方案进行评价，满分 5 分。方案优秀，可操作性强得4-5 分，方案良好，可操作性较强得2- 3 分,方案一般，可操作性一般得 1 分，未提供不得分。</w:t>
            </w:r>
          </w:p>
        </w:tc>
      </w:tr>
    </w:tbl>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如评标专家在检验电子标书过程中，如果由于供应商自身原因导致评标专家无法查看并检验电子标书中以上相关资料的，否决其投标。即使投标单位将原件携带至现场的，同样按无效投标处理。</w:t>
      </w:r>
    </w:p>
    <w:p>
      <w:pPr>
        <w:pStyle w:val="48"/>
        <w:tabs>
          <w:tab w:val="left" w:pos="1701"/>
        </w:tabs>
        <w:spacing w:line="440" w:lineRule="exact"/>
        <w:ind w:left="0"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10.2.2价格评分方法</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满足招标文件技术要求且投标价格最低的投标报价为评标基准价，其价格分为满分。其他供应商的价格分别按照下列公式计算： 投标报价得分=（评标基准价/投标报价）×价格权重。</w:t>
      </w:r>
    </w:p>
    <w:p>
      <w:pPr>
        <w:spacing w:beforeLines="50" w:line="400" w:lineRule="exact"/>
        <w:jc w:val="center"/>
        <w:outlineLvl w:val="1"/>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五  推荐中标候选人</w:t>
      </w:r>
      <w:bookmarkEnd w:id="50"/>
      <w:bookmarkEnd w:id="51"/>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11.1评标委员会推荐3名中标候选人，并标明排序。</w:t>
      </w:r>
    </w:p>
    <w:p>
      <w:pPr>
        <w:spacing w:line="400" w:lineRule="exact"/>
        <w:ind w:firstLine="470" w:firstLineChars="196"/>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11.2如出现报价相同情况，则由招标人现场抽签确定中标候选人排名顺序。</w:t>
      </w:r>
    </w:p>
    <w:bookmarkEnd w:id="45"/>
    <w:p>
      <w:pPr>
        <w:snapToGrid w:val="0"/>
        <w:spacing w:line="40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12.无效投标条款</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12.1投标文件有下列情形之一的,其投标文件拒收:</w:t>
      </w:r>
    </w:p>
    <w:p>
      <w:pPr>
        <w:snapToGrid w:val="0"/>
        <w:spacing w:line="400" w:lineRule="exact"/>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r>
        <w:rPr>
          <w:rFonts w:hint="eastAsia" w:ascii="仿宋" w:hAnsi="仿宋" w:eastAsia="仿宋" w:cs="仿宋"/>
          <w:b/>
          <w:bCs/>
          <w:color w:val="000000" w:themeColor="text1"/>
          <w:szCs w:val="21"/>
          <w:lang w:eastAsia="zh-CN"/>
          <w14:textFill>
            <w14:solidFill>
              <w14:schemeClr w14:val="tx1"/>
            </w14:solidFill>
          </w14:textFill>
        </w:rPr>
        <w:t xml:space="preserve"> (1) 未在开标截止时间前通过网上招标投标系统递交有效电子投标文件的，开标系统不予接收。</w:t>
      </w:r>
    </w:p>
    <w:p>
      <w:pPr>
        <w:snapToGrid w:val="0"/>
        <w:spacing w:line="400" w:lineRule="exact"/>
        <w:ind w:firstLine="480" w:firstLineChars="2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（2）</w:t>
      </w:r>
      <w:r>
        <w:rPr>
          <w:rFonts w:hint="eastAsia" w:ascii="仿宋" w:hAnsi="仿宋" w:eastAsia="仿宋" w:cs="仿宋"/>
          <w:b/>
          <w:color w:val="000000" w:themeColor="text1"/>
          <w:szCs w:val="21"/>
          <w:lang w:eastAsia="zh-CN"/>
          <w14:textFill>
            <w14:solidFill>
              <w14:schemeClr w14:val="tx1"/>
            </w14:solidFill>
          </w14:textFill>
        </w:rPr>
        <w:t>所有供应商应在规定时间里完成投标文件的解密工作</w:t>
      </w:r>
      <w:r>
        <w:rPr>
          <w:rFonts w:hint="eastAsia" w:ascii="仿宋" w:hAnsi="仿宋" w:eastAsia="仿宋" w:cs="仿宋"/>
          <w:b/>
          <w:bCs/>
          <w:color w:val="000000" w:themeColor="text1"/>
          <w:szCs w:val="21"/>
          <w:lang w:eastAsia="zh-CN"/>
          <w14:textFill>
            <w14:solidFill>
              <w14:schemeClr w14:val="tx1"/>
            </w14:solidFill>
          </w14:textFill>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lang w:eastAsia="zh-CN"/>
          <w14:textFill>
            <w14:solidFill>
              <w14:schemeClr w14:val="tx1"/>
            </w14:solidFill>
          </w14:textFill>
        </w:rPr>
        <w:t>，因系统原因未能成功解密的投标文件，可导入备份投标文件。备份投标文件也无法导入的，则投标文件被否决。</w:t>
      </w:r>
    </w:p>
    <w:p>
      <w:pPr>
        <w:snapToGrid w:val="0"/>
        <w:spacing w:line="4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12.2供应商有下列情形之一的,资格审查后其投标作无效投标处理：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(2)供应商为本项目提供招标代理服务的；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(3)供应商与在本项目代理机构存在相互任职或工作的；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(4)投标保证金未按规定要求缴纳的；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(5)评标专家无法查看并检验电子标书中相关资料的；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(6)供应商超出营业范围投标的；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(7)联合体投标未提交联合体协议的；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(8)被暂停营业的；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(9)被暂停或取消投标资格的；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(10)财产被接管或冻结的；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(11)供应商单位负责人为同一人或者存在控股、管理关系的不同单位的；</w:t>
      </w:r>
    </w:p>
    <w:p>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（12）供应商基本资格条件和特定资格条件中有一项及以上不符合要求的；</w:t>
      </w:r>
    </w:p>
    <w:p>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（13）供应商使用相同的MAC地址进行报名的；</w:t>
      </w:r>
    </w:p>
    <w:p>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（14）其它情形，经评标委员会委提出按无效投标处理，并经公共资源交易监督部门核准的；</w:t>
      </w:r>
    </w:p>
    <w:p>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（15）供应商使用相同IP地址报名的，一经发现，监管部门将进一步核实，查实后按串通投标处理；</w:t>
      </w:r>
    </w:p>
    <w:p>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（16）采购文件规定的其它无效投标情形。</w:t>
      </w:r>
    </w:p>
    <w:p>
      <w:pPr>
        <w:snapToGrid w:val="0"/>
        <w:spacing w:line="4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12.3 供应商有下列情形之一的,符合性审查后其投标按无效投标处理：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 投标文件签章、盖章不全，经评标委员会一致认定对开评标内容有实质性影响并经监督部门核准的；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(2)未按规定的格式填写，实质性内容不全或关键字迹模糊、无法辨认; 经监督部门核准的；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(4)同一供应商提交两个以上不同的投标文件或者投标报价，但采购文件规定提交备选方案的除外；</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(3)投标文件没有对采购文件的实质性要求和条件作出响应;</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(4)投标报价超出规定的投标限价或公布的采购预算的；注：供应商的投标报价各项单价均不得高于招标文件给定的单价最高限价，否则，其投标文件将按无效投标处理。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(5)不按评标委员会要求澄清、说明或补正的，或者评标委员会根据采购文件的规定对采购文件的计算错误进行修正后，供应商不接受修正的投标报价的。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（6）其它情形，经评标委员会委提出按无效投标处理，并经公共资源交易监督部门核准的；</w:t>
      </w:r>
    </w:p>
    <w:p>
      <w:pPr>
        <w:widowControl/>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w:t>
      </w:r>
      <w:r>
        <w:rPr>
          <w:rFonts w:hint="eastAsia" w:ascii="仿宋" w:hAnsi="仿宋" w:eastAsia="仿宋" w:cs="仿宋"/>
          <w:color w:val="000000" w:themeColor="text1"/>
          <w:szCs w:val="21"/>
          <w:shd w:val="clear" w:color="auto" w:fill="FFFFFF"/>
          <w:lang w:eastAsia="zh-CN"/>
          <w14:textFill>
            <w14:solidFill>
              <w14:schemeClr w14:val="tx1"/>
            </w14:solidFill>
          </w14:textFill>
        </w:rPr>
        <w:t>未按照招标文件的规定提交投标保证金的；</w:t>
      </w:r>
    </w:p>
    <w:p>
      <w:pPr>
        <w:widowControl/>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w:t>
      </w:r>
      <w:r>
        <w:rPr>
          <w:rFonts w:hint="eastAsia" w:ascii="仿宋" w:hAnsi="仿宋" w:eastAsia="仿宋" w:cs="仿宋"/>
          <w:color w:val="000000" w:themeColor="text1"/>
          <w:szCs w:val="21"/>
          <w:shd w:val="clear" w:color="auto" w:fill="FFFFFF"/>
          <w:lang w:eastAsia="zh-CN"/>
          <w14:textFill>
            <w14:solidFill>
              <w14:schemeClr w14:val="tx1"/>
            </w14:solidFill>
          </w14:textFill>
        </w:rPr>
        <w:t>投标文件含有采购人不能接受的附加条件的;</w:t>
      </w:r>
    </w:p>
    <w:p>
      <w:pPr>
        <w:tabs>
          <w:tab w:val="left" w:pos="1123"/>
        </w:tabs>
        <w:snapToGrid w:val="0"/>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（9）采购文件规定的其它无效投标情形。</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12.4 供应商有下列情形之一的, 详细评审后其投标按无效投标处理：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(1)投标产品不符合必须强制执行的国家标准的；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(2)供应商有串通投标、弄虚作假、行贿等违法行为；</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(3)投标文件含有违反国家法律、法规的内容，或附有招标人不能接受的条件的；</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（4）在同一项目（或同一标段）中有多个供应商有效投标报价接近最高限价，且评标委员会认为报价出现异常的，可以宣布其投标无效；</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（5）报价明显低于其他供应商，且不能证明报价合理性的投标无效；</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（6）拒不确认评标委员会评审修正的投标无效；</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（7）其它情形，经评标委员会委提出按无效投标处理，并经公共资源交易监督部门核准的；</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（8）采购文件规定的其它无效投标情形。</w:t>
      </w:r>
    </w:p>
    <w:p>
      <w:pPr>
        <w:pageBreakBefore/>
        <w:spacing w:line="360" w:lineRule="auto"/>
        <w:jc w:val="center"/>
        <w:outlineLvl w:val="0"/>
        <w:rPr>
          <w:rFonts w:ascii="仿宋" w:hAnsi="仿宋" w:eastAsia="仿宋" w:cs="仿宋"/>
          <w:b/>
          <w:color w:val="000000" w:themeColor="text1"/>
          <w:sz w:val="32"/>
          <w:szCs w:val="32"/>
          <w:lang w:eastAsia="zh-CN"/>
          <w14:textFill>
            <w14:solidFill>
              <w14:schemeClr w14:val="tx1"/>
            </w14:solidFill>
          </w14:textFill>
        </w:rPr>
        <w:sectPr>
          <w:footerReference r:id="rId7" w:type="default"/>
          <w:pgSz w:w="11906" w:h="16838"/>
          <w:pgMar w:top="1134" w:right="1080" w:bottom="1440" w:left="1080" w:header="851" w:footer="992" w:gutter="0"/>
          <w:pgNumType w:fmt="decimal" w:start="1"/>
          <w:cols w:space="720" w:num="1"/>
          <w:docGrid w:type="linesAndChars" w:linePitch="312" w:charSpace="0"/>
        </w:sectPr>
      </w:pPr>
      <w:bookmarkStart w:id="52" w:name="_Toc469495737"/>
      <w:bookmarkStart w:id="53" w:name="OLE_LINK4"/>
    </w:p>
    <w:p>
      <w:pPr>
        <w:pageBreakBefore/>
        <w:spacing w:line="440" w:lineRule="exact"/>
        <w:jc w:val="center"/>
        <w:outlineLvl w:val="0"/>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 xml:space="preserve">第四部分 </w:t>
      </w:r>
      <w:bookmarkEnd w:id="46"/>
      <w:bookmarkEnd w:id="52"/>
      <w:r>
        <w:rPr>
          <w:rFonts w:hint="eastAsia" w:ascii="仿宋" w:hAnsi="仿宋" w:eastAsia="仿宋" w:cs="仿宋"/>
          <w:b/>
          <w:color w:val="auto"/>
          <w:sz w:val="32"/>
          <w:szCs w:val="32"/>
          <w:lang w:eastAsia="zh-CN"/>
        </w:rPr>
        <w:t>技术规格、数量及质量要求</w:t>
      </w:r>
    </w:p>
    <w:p>
      <w:pPr>
        <w:pStyle w:val="3"/>
        <w:pageBreakBefore w:val="0"/>
        <w:tabs>
          <w:tab w:val="left" w:pos="0"/>
        </w:tabs>
        <w:kinsoku/>
        <w:wordWrap/>
        <w:overflowPunct/>
        <w:topLinePunct w:val="0"/>
        <w:bidi w:val="0"/>
        <w:spacing w:line="327" w:lineRule="auto"/>
        <w:jc w:val="left"/>
        <w:textAlignment w:val="auto"/>
        <w:rPr>
          <w:rFonts w:hint="eastAsia" w:ascii="仿宋" w:hAnsi="仿宋" w:eastAsia="仿宋" w:cs="仿宋"/>
          <w:color w:val="auto"/>
          <w:kern w:val="0"/>
          <w:sz w:val="28"/>
          <w:szCs w:val="28"/>
          <w:lang w:eastAsia="zh-CN"/>
        </w:rPr>
      </w:pPr>
      <w:bookmarkStart w:id="54" w:name="_Toc267320052"/>
      <w:bookmarkStart w:id="55" w:name="_Toc340225294"/>
      <w:r>
        <w:rPr>
          <w:rFonts w:hint="eastAsia" w:ascii="仿宋" w:hAnsi="仿宋" w:eastAsia="仿宋" w:cs="仿宋"/>
          <w:color w:val="auto"/>
          <w:kern w:val="0"/>
          <w:sz w:val="28"/>
          <w:szCs w:val="28"/>
          <w:lang w:eastAsia="zh-CN"/>
        </w:rPr>
        <w:t>一、技术参数</w:t>
      </w:r>
    </w:p>
    <w:p>
      <w:pPr>
        <w:shd w:val="clear" w:color="auto" w:fill="auto"/>
        <w:spacing w:line="360" w:lineRule="auto"/>
        <w:ind w:firstLine="364" w:firstLineChars="150"/>
        <w:jc w:val="center"/>
        <w:outlineLvl w:val="9"/>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上阿图什镇萨依村基础设施建设及户厕整村推进建设项目采购清单及参数</w:t>
      </w:r>
    </w:p>
    <w:p>
      <w:pPr>
        <w:pStyle w:val="2"/>
        <w:numPr>
          <w:ilvl w:val="0"/>
          <w:numId w:val="0"/>
        </w:numPr>
        <w:ind w:leftChars="0" w:right="0" w:rightChars="0"/>
        <w:rPr>
          <w:rFonts w:hint="eastAsia"/>
        </w:rPr>
      </w:pPr>
    </w:p>
    <w:tbl>
      <w:tblPr>
        <w:tblStyle w:val="2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936"/>
        <w:gridCol w:w="2639"/>
        <w:gridCol w:w="696"/>
        <w:gridCol w:w="696"/>
        <w:gridCol w:w="1416"/>
        <w:gridCol w:w="1416"/>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名称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参数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单价（元）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金额（元）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化粪池</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对萨依村800户进行户厕改造：5m³，玻璃钢（三格式化粪池），三格式分格容积为2:1:3，壁厚大于等于7mm，每户所安装化粪池条件不同，包含开挖、回填、安装等，配备抽粪泵、管道等配套附属设施。</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800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tLeast"/>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tLeast"/>
              <w:jc w:val="center"/>
              <w:rPr>
                <w:rFonts w:hint="eastAsia" w:ascii="仿宋" w:hAnsi="仿宋" w:eastAsia="仿宋" w:cs="仿宋"/>
                <w:i w:val="0"/>
                <w:iCs w:val="0"/>
                <w:color w:val="auto"/>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tLeast"/>
              <w:jc w:val="center"/>
              <w:rPr>
                <w:rFonts w:hint="eastAsia" w:ascii="仿宋" w:hAnsi="仿宋" w:eastAsia="仿宋" w:cs="仿宋"/>
                <w:i w:val="0"/>
                <w:iCs w:val="0"/>
                <w:color w:val="auto"/>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tLeast"/>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合计（元）：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tLeast"/>
              <w:jc w:val="left"/>
              <w:rPr>
                <w:rFonts w:hint="eastAsia" w:ascii="仿宋" w:hAnsi="仿宋" w:eastAsia="仿宋" w:cs="仿宋"/>
                <w:i w:val="0"/>
                <w:iCs w:val="0"/>
                <w:color w:val="auto"/>
                <w:sz w:val="24"/>
                <w:szCs w:val="24"/>
                <w:u w:val="none"/>
              </w:rPr>
            </w:pPr>
          </w:p>
        </w:tc>
      </w:tr>
    </w:tbl>
    <w:p/>
    <w:p>
      <w:pPr>
        <w:rPr>
          <w:rFonts w:hint="eastAsia"/>
          <w:lang w:eastAsia="zh-CN"/>
        </w:rPr>
      </w:pPr>
    </w:p>
    <w:p>
      <w:pPr>
        <w:spacing w:line="360" w:lineRule="auto"/>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商务要求：</w:t>
      </w:r>
    </w:p>
    <w:p>
      <w:pPr>
        <w:numPr>
          <w:ilvl w:val="0"/>
          <w:numId w:val="6"/>
        </w:numPr>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完工期：</w:t>
      </w:r>
      <w:r>
        <w:rPr>
          <w:rFonts w:hint="eastAsia" w:ascii="仿宋" w:hAnsi="仿宋" w:eastAsia="仿宋" w:cs="仿宋"/>
          <w:color w:val="auto"/>
          <w:lang w:eastAsia="zh-CN"/>
        </w:rPr>
        <w:t>自签订合同后</w:t>
      </w:r>
      <w:r>
        <w:rPr>
          <w:rFonts w:hint="eastAsia" w:ascii="仿宋" w:hAnsi="仿宋" w:eastAsia="仿宋" w:cs="仿宋"/>
          <w:color w:val="auto"/>
          <w:lang w:val="en-US" w:eastAsia="zh-CN"/>
        </w:rPr>
        <w:t>180</w:t>
      </w:r>
      <w:r>
        <w:rPr>
          <w:rFonts w:hint="eastAsia" w:ascii="仿宋" w:hAnsi="仿宋" w:eastAsia="仿宋" w:cs="仿宋"/>
          <w:color w:val="auto"/>
          <w:lang w:eastAsia="zh-CN"/>
        </w:rPr>
        <w:t>天内完工及供货安装、调试完毕并配合采购人完成验收工作。</w:t>
      </w:r>
    </w:p>
    <w:p>
      <w:pPr>
        <w:spacing w:line="360" w:lineRule="auto"/>
        <w:ind w:left="486" w:leftChars="200"/>
        <w:rPr>
          <w:rFonts w:ascii="仿宋" w:hAnsi="仿宋" w:eastAsia="仿宋" w:cs="仿宋"/>
          <w:color w:val="auto"/>
          <w:lang w:eastAsia="zh-CN"/>
        </w:rPr>
      </w:pPr>
      <w:r>
        <w:rPr>
          <w:rFonts w:hint="eastAsia" w:ascii="仿宋" w:hAnsi="仿宋" w:eastAsia="仿宋" w:cs="仿宋"/>
          <w:b/>
          <w:bCs/>
          <w:color w:val="auto"/>
          <w:lang w:eastAsia="zh-CN"/>
        </w:rPr>
        <w:t>（二）实施地点</w:t>
      </w:r>
      <w:r>
        <w:rPr>
          <w:rFonts w:hint="eastAsia" w:ascii="仿宋" w:hAnsi="仿宋" w:eastAsia="仿宋" w:cs="仿宋"/>
          <w:color w:val="auto"/>
          <w:lang w:eastAsia="zh-CN"/>
        </w:rPr>
        <w:t xml:space="preserve"> ：阿图什市上阿图什镇萨依村</w:t>
      </w:r>
    </w:p>
    <w:p>
      <w:pPr>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（三）报价要求</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本次报价为人民币报价，投标报价应包括：货物本身价格、保险费用、培训费、养护费、</w:t>
      </w:r>
      <w:r>
        <w:rPr>
          <w:rFonts w:hint="eastAsia" w:ascii="仿宋" w:hAnsi="仿宋" w:eastAsia="仿宋" w:cs="仿宋"/>
          <w:i w:val="0"/>
          <w:iCs w:val="0"/>
          <w:color w:val="auto"/>
          <w:kern w:val="0"/>
          <w:sz w:val="24"/>
          <w:szCs w:val="24"/>
          <w:u w:val="none"/>
          <w:lang w:val="en-US" w:eastAsia="zh-CN" w:bidi="ar"/>
        </w:rPr>
        <w:t>开挖</w:t>
      </w:r>
      <w:r>
        <w:rPr>
          <w:rFonts w:hint="eastAsia" w:ascii="仿宋" w:hAnsi="仿宋" w:eastAsia="仿宋" w:cs="仿宋"/>
          <w:color w:val="auto"/>
          <w:lang w:eastAsia="zh-CN"/>
        </w:rPr>
        <w:t>费</w:t>
      </w:r>
      <w:r>
        <w:rPr>
          <w:rFonts w:hint="eastAsia" w:ascii="仿宋" w:hAnsi="仿宋" w:eastAsia="仿宋" w:cs="仿宋"/>
          <w:i w:val="0"/>
          <w:iCs w:val="0"/>
          <w:color w:val="auto"/>
          <w:kern w:val="0"/>
          <w:sz w:val="24"/>
          <w:szCs w:val="24"/>
          <w:u w:val="none"/>
          <w:lang w:val="en-US" w:eastAsia="zh-CN" w:bidi="ar"/>
        </w:rPr>
        <w:t>、回填</w:t>
      </w:r>
      <w:r>
        <w:rPr>
          <w:rFonts w:hint="eastAsia" w:ascii="仿宋" w:hAnsi="仿宋" w:eastAsia="仿宋" w:cs="仿宋"/>
          <w:color w:val="auto"/>
          <w:lang w:eastAsia="zh-CN"/>
        </w:rPr>
        <w:t>费</w:t>
      </w:r>
      <w:r>
        <w:rPr>
          <w:rFonts w:hint="eastAsia" w:ascii="仿宋" w:hAnsi="仿宋" w:eastAsia="仿宋" w:cs="仿宋"/>
          <w:i w:val="0"/>
          <w:iCs w:val="0"/>
          <w:color w:val="auto"/>
          <w:kern w:val="0"/>
          <w:sz w:val="24"/>
          <w:szCs w:val="24"/>
          <w:u w:val="none"/>
          <w:lang w:val="en-US" w:eastAsia="zh-CN" w:bidi="ar"/>
        </w:rPr>
        <w:t>、安装</w:t>
      </w:r>
      <w:r>
        <w:rPr>
          <w:rFonts w:hint="eastAsia" w:ascii="仿宋" w:hAnsi="仿宋" w:eastAsia="仿宋" w:cs="仿宋"/>
          <w:color w:val="auto"/>
          <w:lang w:eastAsia="zh-CN"/>
        </w:rPr>
        <w:t>费</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color w:val="auto"/>
          <w:lang w:eastAsia="zh-CN"/>
        </w:rPr>
        <w:t>包装费、运输费用、二次搬运费、装卸费、损耗、税金费用、自检费、人工费、其他配件费及验收合格前和质保期内发生的一切费用、应当提供的伴随服务/售后服务费用。</w:t>
      </w:r>
    </w:p>
    <w:p>
      <w:pPr>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（四）质保要求</w:t>
      </w:r>
    </w:p>
    <w:p>
      <w:pPr>
        <w:spacing w:line="360" w:lineRule="auto"/>
        <w:ind w:firstLine="729" w:firstLineChars="3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1、本项目设备质保期为3年。</w:t>
      </w:r>
    </w:p>
    <w:p>
      <w:pPr>
        <w:spacing w:line="360" w:lineRule="auto"/>
        <w:ind w:firstLine="486"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 xml:space="preserve">  2、乙方应保证所提供的货物是全新、未使用过的原装合格正品，并完全符合国家标准和行业的相关标准。</w:t>
      </w:r>
    </w:p>
    <w:p>
      <w:pPr>
        <w:spacing w:line="360" w:lineRule="auto"/>
        <w:ind w:firstLine="243" w:firstLineChars="1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（五）售后服务、理赔、质量技术及验收保证的承诺</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1、售后服务</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1.1产品质量：在合同期内，甲方正常使用乙方所供产品而出现质量问题时，乙方负责。产品使用：甲方在使用乙方所供产品中出现问题需乙方解决时，乙方应无偿解决（退换货）。</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1.2质保期内，当采购人遇到使用及技术问题电话咨询不能解决的，须在12小时内到达现场进行处理。    </w:t>
      </w:r>
    </w:p>
    <w:p>
      <w:pPr>
        <w:spacing w:line="360" w:lineRule="auto"/>
        <w:ind w:firstLine="486" w:firstLineChars="200"/>
        <w:rPr>
          <w:rFonts w:ascii="仿宋" w:hAnsi="仿宋" w:eastAsia="仿宋" w:cs="仿宋"/>
          <w:b w:val="0"/>
          <w:bCs w:val="0"/>
          <w:color w:val="auto"/>
          <w:lang w:eastAsia="zh-CN"/>
        </w:rPr>
      </w:pPr>
      <w:r>
        <w:rPr>
          <w:rFonts w:hint="eastAsia" w:ascii="仿宋" w:hAnsi="仿宋" w:eastAsia="仿宋" w:cs="仿宋"/>
          <w:b w:val="0"/>
          <w:bCs w:val="0"/>
          <w:color w:val="auto"/>
          <w:lang w:eastAsia="zh-CN"/>
        </w:rPr>
        <w:t>1.3质保期内，设备出现故障，须在4小时内响应，</w:t>
      </w:r>
      <w:r>
        <w:rPr>
          <w:rFonts w:hint="eastAsia" w:ascii="仿宋" w:hAnsi="仿宋" w:eastAsia="仿宋" w:cs="仿宋"/>
          <w:b w:val="0"/>
          <w:bCs w:val="0"/>
          <w:color w:val="auto"/>
          <w:lang w:val="en-US" w:eastAsia="zh-CN"/>
        </w:rPr>
        <w:t>48</w:t>
      </w:r>
      <w:r>
        <w:rPr>
          <w:rFonts w:hint="eastAsia" w:ascii="仿宋" w:hAnsi="仿宋" w:eastAsia="仿宋" w:cs="仿宋"/>
          <w:b w:val="0"/>
          <w:bCs w:val="0"/>
          <w:color w:val="auto"/>
          <w:lang w:eastAsia="zh-CN"/>
        </w:rPr>
        <w:t>小时内到达现场，一般故障8小时内修复，较大故障24小时内解决问题。每年提供不少于4次回访。</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lang w:eastAsia="zh-CN"/>
          <w14:textFill>
            <w14:solidFill>
              <w14:schemeClr w14:val="tx1"/>
            </w14:solidFill>
          </w14:textFill>
        </w:rPr>
        <w:t>、设备到场后，供应商需至少派1名工程师现场指导安装调试。</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lang w:eastAsia="zh-CN"/>
          <w14:textFill>
            <w14:solidFill>
              <w14:schemeClr w14:val="tx1"/>
            </w14:solidFill>
          </w14:textFill>
        </w:rPr>
        <w:t>、质保期过后，供应商应同样提供免费电话咨询服务，并应承诺提供该产品上门维护服务。</w:t>
      </w:r>
    </w:p>
    <w:p>
      <w:pPr>
        <w:spacing w:line="360" w:lineRule="auto"/>
        <w:ind w:firstLine="486"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（六）验收</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1、供应商提供的产品为全新未使用且符合相关法律法规要求的合格产品；</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2、供应商提供的产品需与投标文件、合同规定内容完全一致，且满足采购方提出的采购需求。</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3、供应商提供的产品需经采购人验收小组验收，进行试验检测，按照</w:t>
      </w:r>
      <w:r>
        <w:rPr>
          <w:rFonts w:hint="eastAsia" w:ascii="仿宋" w:hAnsi="仿宋" w:eastAsia="仿宋" w:cs="仿宋"/>
          <w:color w:val="000000" w:themeColor="text1"/>
          <w:lang w:val="en-US" w:eastAsia="zh-CN"/>
          <w14:textFill>
            <w14:solidFill>
              <w14:schemeClr w14:val="tx1"/>
            </w14:solidFill>
          </w14:textFill>
        </w:rPr>
        <w:t>相应的要求</w:t>
      </w:r>
      <w:r>
        <w:rPr>
          <w:rFonts w:hint="eastAsia" w:ascii="仿宋" w:hAnsi="仿宋" w:eastAsia="仿宋" w:cs="仿宋"/>
          <w:color w:val="000000" w:themeColor="text1"/>
          <w:lang w:eastAsia="zh-CN"/>
          <w14:textFill>
            <w14:solidFill>
              <w14:schemeClr w14:val="tx1"/>
            </w14:solidFill>
          </w14:textFill>
        </w:rPr>
        <w:t>逐项进行测试，测试结果应满足相关要求，试验通过并满足要求为验收合格。</w:t>
      </w:r>
    </w:p>
    <w:p>
      <w:pPr>
        <w:spacing w:line="440" w:lineRule="exact"/>
        <w:ind w:firstLine="356" w:firstLineChars="147"/>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（七）付款方式</w:t>
      </w:r>
    </w:p>
    <w:p>
      <w:pPr>
        <w:spacing w:line="360" w:lineRule="auto"/>
        <w:ind w:firstLine="486" w:firstLineChars="200"/>
        <w:rPr>
          <w:rFonts w:hint="eastAsia"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合同签订后，一次性支付合同价的30%作为预付款，项目进度达到60%支付30%，验收合格后支付合同总价的100%。</w:t>
      </w:r>
    </w:p>
    <w:p>
      <w:pPr>
        <w:spacing w:line="360" w:lineRule="auto"/>
        <w:ind w:firstLine="486"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（八）知识产权</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采购人在中华人民共和国境内使用供应商提供的货物及服务时免受第三方提出的侵犯其专利权或其它知识产权的起诉。如果第三方提出侵权指控，中标人应承担由此而引起的一切法律责任和费用。</w:t>
      </w:r>
    </w:p>
    <w:bookmarkEnd w:id="53"/>
    <w:bookmarkEnd w:id="54"/>
    <w:bookmarkEnd w:id="55"/>
    <w:p>
      <w:pPr>
        <w:spacing w:line="360" w:lineRule="auto"/>
        <w:ind w:firstLine="486" w:firstLineChars="200"/>
        <w:rPr>
          <w:rFonts w:ascii="仿宋" w:hAnsi="仿宋" w:eastAsia="仿宋" w:cs="仿宋"/>
          <w:b/>
          <w:bCs/>
          <w:color w:val="000000" w:themeColor="text1"/>
          <w:lang w:eastAsia="zh-CN"/>
          <w14:textFill>
            <w14:solidFill>
              <w14:schemeClr w14:val="tx1"/>
            </w14:solidFill>
          </w14:textFill>
        </w:rPr>
      </w:pPr>
      <w:bookmarkStart w:id="56" w:name="_Toc20832"/>
      <w:bookmarkStart w:id="57" w:name="_Toc7598"/>
      <w:bookmarkStart w:id="58" w:name="_Toc12239"/>
      <w:bookmarkStart w:id="59" w:name="_Toc12840_WPSOffice_Level1"/>
      <w:bookmarkStart w:id="60" w:name="_Toc439255252"/>
      <w:bookmarkStart w:id="61" w:name="_Toc267320054"/>
      <w:bookmarkStart w:id="62" w:name="_Toc469495740"/>
      <w:r>
        <w:rPr>
          <w:rFonts w:hint="eastAsia" w:ascii="仿宋" w:hAnsi="仿宋" w:eastAsia="仿宋" w:cs="仿宋"/>
          <w:b/>
          <w:bCs/>
          <w:color w:val="000000" w:themeColor="text1"/>
          <w:lang w:eastAsia="zh-CN"/>
          <w14:textFill>
            <w14:solidFill>
              <w14:schemeClr w14:val="tx1"/>
            </w14:solidFill>
          </w14:textFill>
        </w:rPr>
        <w:t>（九）其他</w:t>
      </w:r>
      <w:bookmarkEnd w:id="56"/>
      <w:bookmarkEnd w:id="57"/>
      <w:bookmarkEnd w:id="58"/>
    </w:p>
    <w:bookmarkEnd w:id="59"/>
    <w:bookmarkEnd w:id="60"/>
    <w:bookmarkEnd w:id="61"/>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1、供应商必须在投标文件中对以上条款和服务承诺明确列出，承诺内容必须达到本篇及招标文件其他条款的要求。</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2、中标人与采购人签订《协议》后，须与用户方签订《货物采购供应合同》（包括供货范围、需求数量、单价等），明确具体供货数量、供货时间、送达地点等内容。</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3、其他未尽事宜由供需双方在采购合同中详细约定。</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 若供应商不能按招标文件规定的完工期正常完工，采购方有权终止采购合同，并将相关情况上报给采购计划主管部门，取消其中标资格。</w:t>
      </w:r>
    </w:p>
    <w:p>
      <w:pPr>
        <w:spacing w:line="360" w:lineRule="auto"/>
        <w:ind w:firstLine="486" w:firstLineChars="2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w:t>
      </w:r>
      <w:r>
        <w:rPr>
          <w:rFonts w:hint="eastAsia" w:ascii="仿宋" w:hAnsi="仿宋" w:eastAsia="仿宋" w:cs="仿宋"/>
          <w:color w:val="000000" w:themeColor="text1"/>
          <w:kern w:val="2"/>
          <w:lang w:eastAsia="zh-CN" w:bidi="ar-SA"/>
          <w14:textFill>
            <w14:solidFill>
              <w14:schemeClr w14:val="tx1"/>
            </w14:solidFill>
          </w14:textFill>
        </w:rPr>
        <w:t>其他未尽事宜由供需双方在采购合同中详细约定。</w:t>
      </w:r>
      <w:bookmarkEnd w:id="62"/>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both"/>
        <w:outlineLvl w:val="1"/>
        <w:rPr>
          <w:rFonts w:hint="eastAsia" w:ascii="仿宋" w:hAnsi="仿宋" w:eastAsia="仿宋" w:cs="仿宋"/>
          <w:b/>
          <w:color w:val="000000" w:themeColor="text1"/>
          <w:sz w:val="30"/>
          <w:szCs w:val="30"/>
          <w:lang w:eastAsia="zh-CN"/>
          <w14:textFill>
            <w14:solidFill>
              <w14:schemeClr w14:val="tx1"/>
            </w14:solidFill>
          </w14:textFill>
        </w:rPr>
      </w:pPr>
    </w:p>
    <w:p>
      <w:pPr>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br w:type="page"/>
      </w:r>
    </w:p>
    <w:p>
      <w:pPr>
        <w:spacing w:line="480" w:lineRule="exact"/>
        <w:jc w:val="center"/>
        <w:outlineLvl w:val="1"/>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第五部分 合同条款及格式</w:t>
      </w:r>
      <w:bookmarkStart w:id="63" w:name="_Toc20669"/>
    </w:p>
    <w:p>
      <w:pPr>
        <w:spacing w:line="480" w:lineRule="exact"/>
        <w:jc w:val="center"/>
        <w:outlineLvl w:val="1"/>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（本合同为合同样稿，最终稿由供需双方协商后确定）</w:t>
      </w:r>
      <w:bookmarkEnd w:id="63"/>
    </w:p>
    <w:p>
      <w:pPr>
        <w:keepNext w:val="0"/>
        <w:keepLines w:val="0"/>
        <w:pageBreakBefore w:val="0"/>
        <w:widowControl/>
        <w:numPr>
          <w:ilvl w:val="0"/>
          <w:numId w:val="7"/>
        </w:numPr>
        <w:kinsoku/>
        <w:wordWrap/>
        <w:overflowPunct/>
        <w:topLinePunct w:val="0"/>
        <w:autoSpaceDE/>
        <w:autoSpaceDN/>
        <w:bidi w:val="0"/>
        <w:adjustRightInd/>
        <w:snapToGrid/>
        <w:spacing w:line="440" w:lineRule="exact"/>
        <w:jc w:val="center"/>
        <w:textAlignment w:val="baseline"/>
        <w:outlineLvl w:val="1"/>
        <w:rPr>
          <w:rFonts w:ascii="宋体"/>
          <w:color w:val="000000" w:themeColor="text1"/>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 </w:t>
      </w:r>
      <w:bookmarkStart w:id="64" w:name="_Toc469495741"/>
      <w:r>
        <w:rPr>
          <w:rFonts w:hint="eastAsia" w:ascii="仿宋" w:hAnsi="仿宋" w:eastAsia="仿宋" w:cs="仿宋"/>
          <w:b/>
          <w:color w:val="000000" w:themeColor="text1"/>
          <w:sz w:val="30"/>
          <w:szCs w:val="30"/>
          <w14:textFill>
            <w14:solidFill>
              <w14:schemeClr w14:val="tx1"/>
            </w14:solidFill>
          </w14:textFill>
        </w:rPr>
        <w:t>合同协议书</w:t>
      </w:r>
      <w:bookmarkEnd w:id="64"/>
      <w:r>
        <w:rPr>
          <w:rFonts w:hint="eastAsia" w:ascii="仿宋" w:hAnsi="仿宋" w:eastAsia="仿宋" w:cs="仿宋"/>
          <w:b/>
          <w:color w:val="000000" w:themeColor="text1"/>
          <w:sz w:val="30"/>
          <w:szCs w:val="30"/>
          <w:lang w:eastAsia="zh-CN"/>
          <w14:textFill>
            <w14:solidFill>
              <w14:schemeClr w14:val="tx1"/>
            </w14:solidFill>
          </w14:textFill>
        </w:rPr>
        <w:t xml:space="preserve">      </w:t>
      </w:r>
      <w:r>
        <w:rPr>
          <w:rFonts w:hint="eastAsia" w:ascii="仿宋" w:hAnsi="仿宋" w:eastAsia="仿宋" w:cs="仿宋"/>
          <w:b/>
          <w:color w:val="000000" w:themeColor="text1"/>
          <w:sz w:val="32"/>
          <w:szCs w:val="32"/>
          <w14:textFill>
            <w14:solidFill>
              <w14:schemeClr w14:val="tx1"/>
            </w14:solidFill>
          </w14:textFill>
        </w:rPr>
        <w:t>合同名称</w:t>
      </w:r>
      <w:r>
        <w:rPr>
          <w:rFonts w:hint="eastAsia" w:ascii="仿宋" w:hAnsi="仿宋" w:eastAsia="仿宋" w:cs="仿宋"/>
          <w:b/>
          <w:color w:val="000000" w:themeColor="text1"/>
          <w14:textFill>
            <w14:solidFill>
              <w14:schemeClr w14:val="tx1"/>
            </w14:solidFill>
          </w14:textFill>
        </w:rPr>
        <w:t xml:space="preserve"> </w:t>
      </w:r>
      <w:r>
        <w:rPr>
          <w:rFonts w:hint="eastAsia" w:ascii="宋体"/>
          <w:b/>
          <w:color w:val="000000" w:themeColor="text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440" w:lineRule="exact"/>
        <w:jc w:val="both"/>
        <w:textAlignment w:val="baseline"/>
        <w:outlineLvl w:val="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编号</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000000" w:themeColor="text1"/>
          <w14:textFill>
            <w14:solidFill>
              <w14:schemeClr w14:val="tx1"/>
            </w14:solidFill>
          </w14:textFill>
        </w:rPr>
      </w:pPr>
      <w:bookmarkStart w:id="65" w:name="_Toc144974578"/>
      <w:bookmarkStart w:id="66" w:name="_Toc152045610"/>
      <w:bookmarkStart w:id="67" w:name="_Toc152042388"/>
      <w:bookmarkStart w:id="68" w:name="_Toc296602498"/>
      <w:bookmarkStart w:id="69" w:name="_Toc247085768"/>
      <w:bookmarkStart w:id="70" w:name="_Toc179632628"/>
      <w:bookmarkStart w:id="71" w:name="_Toc246996253"/>
      <w:bookmarkStart w:id="72" w:name="_Toc246996996"/>
      <w:bookmarkStart w:id="73" w:name="_Toc469495742"/>
      <w:r>
        <w:rPr>
          <w:rFonts w:hint="eastAsia" w:ascii="仿宋" w:hAnsi="仿宋" w:eastAsia="仿宋" w:cs="仿宋"/>
          <w:color w:val="000000" w:themeColor="text1"/>
          <w14:textFill>
            <w14:solidFill>
              <w14:schemeClr w14:val="tx1"/>
            </w14:solidFill>
          </w14:textFill>
        </w:rPr>
        <w:t>买    方：                                   卖    方：</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    话：                                   电    话：</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住    所：                                   住    所：                       </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u w:val="single"/>
          <w:lang w:eastAsia="zh-CN"/>
          <w14:textFill>
            <w14:solidFill>
              <w14:schemeClr w14:val="tx1"/>
            </w14:solidFill>
          </w14:textFill>
        </w:rPr>
        <w:t>（买方）</w:t>
      </w:r>
      <w:r>
        <w:rPr>
          <w:rFonts w:hint="eastAsia" w:ascii="仿宋" w:hAnsi="仿宋" w:eastAsia="仿宋" w:cs="仿宋"/>
          <w:color w:val="000000" w:themeColor="text1"/>
          <w:lang w:eastAsia="zh-CN"/>
          <w14:textFill>
            <w14:solidFill>
              <w14:schemeClr w14:val="tx1"/>
            </w14:solidFill>
          </w14:textFill>
        </w:rPr>
        <w:t>的</w:t>
      </w:r>
      <w:r>
        <w:rPr>
          <w:rFonts w:hint="eastAsia" w:ascii="仿宋" w:hAnsi="仿宋" w:eastAsia="仿宋" w:cs="仿宋"/>
          <w:color w:val="000000" w:themeColor="text1"/>
          <w:u w:val="single"/>
          <w:lang w:eastAsia="zh-CN"/>
          <w14:textFill>
            <w14:solidFill>
              <w14:schemeClr w14:val="tx1"/>
            </w14:solidFill>
          </w14:textFill>
        </w:rPr>
        <w:t>（项目名称）</w:t>
      </w:r>
      <w:r>
        <w:rPr>
          <w:rFonts w:hint="eastAsia" w:ascii="仿宋" w:hAnsi="仿宋" w:eastAsia="仿宋" w:cs="仿宋"/>
          <w:color w:val="000000" w:themeColor="text1"/>
          <w:lang w:eastAsia="zh-CN"/>
          <w14:textFill>
            <w14:solidFill>
              <w14:schemeClr w14:val="tx1"/>
            </w14:solidFill>
          </w14:textFill>
        </w:rPr>
        <w:t>中所需</w:t>
      </w:r>
      <w:r>
        <w:rPr>
          <w:rFonts w:hint="eastAsia" w:ascii="仿宋" w:hAnsi="仿宋" w:eastAsia="仿宋" w:cs="仿宋"/>
          <w:color w:val="000000" w:themeColor="text1"/>
          <w:u w:val="single"/>
          <w:lang w:eastAsia="zh-CN"/>
          <w14:textFill>
            <w14:solidFill>
              <w14:schemeClr w14:val="tx1"/>
            </w14:solidFill>
          </w14:textFill>
        </w:rPr>
        <w:t>（产品名称）</w:t>
      </w:r>
      <w:r>
        <w:rPr>
          <w:rFonts w:hint="eastAsia" w:ascii="仿宋" w:hAnsi="仿宋" w:eastAsia="仿宋" w:cs="仿宋"/>
          <w:color w:val="000000" w:themeColor="text1"/>
          <w:lang w:eastAsia="zh-CN"/>
          <w14:textFill>
            <w14:solidFill>
              <w14:schemeClr w14:val="tx1"/>
            </w14:solidFill>
          </w14:textFill>
        </w:rPr>
        <w:t xml:space="preserve"> 经公开招标，确定</w:t>
      </w:r>
      <w:r>
        <w:rPr>
          <w:rFonts w:hint="eastAsia" w:ascii="仿宋" w:hAnsi="仿宋" w:eastAsia="仿宋" w:cs="仿宋"/>
          <w:color w:val="000000" w:themeColor="text1"/>
          <w:u w:val="single"/>
          <w:lang w:eastAsia="zh-CN"/>
          <w14:textFill>
            <w14:solidFill>
              <w14:schemeClr w14:val="tx1"/>
            </w14:solidFill>
          </w14:textFill>
        </w:rPr>
        <w:t>（卖方）</w:t>
      </w:r>
      <w:r>
        <w:rPr>
          <w:rFonts w:hint="eastAsia" w:ascii="仿宋" w:hAnsi="仿宋" w:eastAsia="仿宋" w:cs="仿宋"/>
          <w:color w:val="000000" w:themeColor="text1"/>
          <w:lang w:eastAsia="zh-CN"/>
          <w14:textFill>
            <w14:solidFill>
              <w14:schemeClr w14:val="tx1"/>
            </w14:solidFill>
          </w14:textFill>
        </w:rPr>
        <w:t>为中标人。按照中华人民共和国合同法的规定，买卖双方同意按照下述的条款和条件，签署本合同。</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1、本合同文件</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下列每一文件均应作为合同的组成部分进行阅读和解释：</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（1）采购文件（2）投标文件（3）中标通知书</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（4）经双方确认进入合同的其它文件、补充条款或说明</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2、采购标的、数量、质量要求</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3、合同总价</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合同总价为 </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元人民币。</w:t>
      </w:r>
    </w:p>
    <w:p>
      <w:pPr>
        <w:numPr>
          <w:ilvl w:val="0"/>
          <w:numId w:val="8"/>
        </w:numPr>
        <w:spacing w:line="360" w:lineRule="auto"/>
        <w:ind w:firstLine="486" w:firstLineChars="200"/>
        <w:rPr>
          <w:rFonts w:hint="eastAsia" w:ascii="仿宋" w:hAnsi="仿宋" w:eastAsia="仿宋" w:cs="仿宋"/>
          <w:b/>
          <w:bCs/>
          <w:color w:val="auto"/>
          <w:lang w:eastAsia="zh-CN"/>
        </w:rPr>
      </w:pPr>
      <w:r>
        <w:rPr>
          <w:rFonts w:hint="eastAsia" w:ascii="仿宋" w:hAnsi="仿宋" w:eastAsia="仿宋" w:cs="仿宋"/>
          <w:color w:val="auto"/>
          <w:lang w:eastAsia="zh-CN"/>
        </w:rPr>
        <w:t>付款方式</w:t>
      </w:r>
      <w:r>
        <w:rPr>
          <w:rFonts w:hint="eastAsia" w:ascii="仿宋" w:hAnsi="仿宋" w:eastAsia="仿宋" w:cs="仿宋"/>
          <w:b/>
          <w:bCs/>
          <w:color w:val="auto"/>
          <w:lang w:eastAsia="zh-CN"/>
        </w:rPr>
        <w:t>：合同签订后，一次性支付合同价的30%作为预付款，项目进度达到60%支付30%，验收合格后支付合同总价的100%。</w:t>
      </w:r>
    </w:p>
    <w:p>
      <w:pPr>
        <w:numPr>
          <w:ilvl w:val="0"/>
          <w:numId w:val="8"/>
        </w:num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合同供货（服务）期限及地点和方式</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6、验收要求及违约责任</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7、违约责任及解决争议方法</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8、合同的生效</w:t>
      </w:r>
    </w:p>
    <w:p>
      <w:pPr>
        <w:pStyle w:val="11"/>
        <w:spacing w:after="0" w:line="42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合同经双方授权代表签署，买卖双方加盖印章之后生效。</w:t>
      </w:r>
    </w:p>
    <w:p>
      <w:pPr>
        <w:pStyle w:val="11"/>
        <w:spacing w:after="0" w:line="42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本合同一式     份，双方各执     份。</w:t>
      </w:r>
    </w:p>
    <w:p>
      <w:pPr>
        <w:pStyle w:val="11"/>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买  方：                            卖  方：</w:t>
      </w:r>
    </w:p>
    <w:p>
      <w:pPr>
        <w:pStyle w:val="11"/>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名  称：（盖章）                    名  称：（盖章）</w:t>
      </w:r>
    </w:p>
    <w:p>
      <w:pPr>
        <w:pStyle w:val="11"/>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法定代表人（或委托代理人签章）：    法定代表人（或委托代理人签章）：</w:t>
      </w:r>
    </w:p>
    <w:p>
      <w:pPr>
        <w:pStyle w:val="11"/>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地    址：                          地    址：</w:t>
      </w:r>
    </w:p>
    <w:p>
      <w:pPr>
        <w:pStyle w:val="11"/>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邮政编码：                          邮政编码：</w:t>
      </w:r>
    </w:p>
    <w:p>
      <w:pPr>
        <w:pStyle w:val="11"/>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电    话：                          电    话：</w:t>
      </w:r>
    </w:p>
    <w:p>
      <w:pPr>
        <w:pStyle w:val="11"/>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开户银行：                          开户银行：</w:t>
      </w:r>
    </w:p>
    <w:p>
      <w:pPr>
        <w:pStyle w:val="11"/>
        <w:spacing w:after="0" w:line="360" w:lineRule="exact"/>
        <w:ind w:left="0" w:leftChars="0" w:firstLine="486" w:firstLineChars="2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帐    号：                          帐    号：</w:t>
      </w:r>
    </w:p>
    <w:p>
      <w:pPr>
        <w:pStyle w:val="11"/>
        <w:spacing w:after="0" w:line="420" w:lineRule="exact"/>
        <w:ind w:left="0" w:leftChars="0" w:firstLine="606" w:firstLineChars="200"/>
        <w:jc w:val="center"/>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二  合同条款</w:t>
      </w:r>
      <w:bookmarkEnd w:id="65"/>
      <w:bookmarkEnd w:id="66"/>
      <w:bookmarkEnd w:id="67"/>
      <w:bookmarkEnd w:id="68"/>
      <w:bookmarkEnd w:id="69"/>
      <w:bookmarkEnd w:id="70"/>
      <w:bookmarkEnd w:id="71"/>
      <w:bookmarkEnd w:id="72"/>
      <w:bookmarkEnd w:id="73"/>
    </w:p>
    <w:p>
      <w:pPr>
        <w:spacing w:line="440" w:lineRule="exact"/>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一.合同文件</w:t>
      </w:r>
    </w:p>
    <w:p>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1、合同文件适用法律</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适用于合同文件的法律是中华人民共和国现行法律、法规及招标人所在地的地方性法规。</w:t>
      </w:r>
    </w:p>
    <w:p>
      <w:pPr>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2、合同文件组成和解释顺序</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(1)合同文件的组成和解释顺序如下：</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&lt;1&gt;合同的主要条款；</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&lt;2&gt;合同的一般性条款；</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&lt;3&gt;洽商、变更等明确双方权利义务的纪要、协议；</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&lt;4&gt;中标通知书、投标文件和采购文件；</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&lt;5&gt;有关图纸、标准、规范和其它有关技术资料、技术要求。</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&lt;6&gt;合同的主要条款的效力优于合同的一般性条款的效力。</w:t>
      </w:r>
    </w:p>
    <w:p>
      <w:pPr>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3、合同文件使用文字</w:t>
      </w:r>
    </w:p>
    <w:p>
      <w:pPr>
        <w:pStyle w:val="8"/>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(1)合同文件使用中文书写、解释和说明。</w:t>
      </w:r>
    </w:p>
    <w:p>
      <w:pPr>
        <w:pStyle w:val="8"/>
        <w:overflowPunct w:val="0"/>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(2)合同文件使用技术性条款约定的为国家标准和规范；国家没有相应标准、规范时，可使用行业标准、规范。非标货物应按约定的技术性条款的标准和规范。 </w:t>
      </w:r>
    </w:p>
    <w:p>
      <w:pPr>
        <w:spacing w:line="440" w:lineRule="exact"/>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二.标的物的一般条款</w:t>
      </w:r>
    </w:p>
    <w:p>
      <w:pPr>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4、完整物权</w:t>
      </w:r>
    </w:p>
    <w:p>
      <w:pPr>
        <w:tabs>
          <w:tab w:val="left" w:pos="660"/>
        </w:tabs>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对于出卖的标的物，卖方应当拥有完整物权，并且卖方负有保证第三人不得向买方主张任何权利（包括知识产权）的义务。</w:t>
      </w:r>
    </w:p>
    <w:p>
      <w:pPr>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5、质量保证</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8"/>
        <w:tabs>
          <w:tab w:val="left" w:pos="900"/>
        </w:tabs>
        <w:overflowPunct w:val="0"/>
        <w:spacing w:line="440" w:lineRule="exact"/>
        <w:rPr>
          <w:rFonts w:cs="宋体"/>
          <w:color w:val="000000" w:themeColor="text1"/>
          <w:sz w:val="21"/>
          <w:szCs w:val="21"/>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cs="宋体"/>
          <w:color w:val="000000" w:themeColor="text1"/>
          <w:sz w:val="21"/>
          <w:szCs w:val="21"/>
          <w:u w:color="000000"/>
          <w:lang w:eastAsia="zh-CN"/>
          <w14:textFill>
            <w14:solidFill>
              <w14:schemeClr w14:val="tx1"/>
            </w14:solidFill>
          </w14:textFill>
        </w:rPr>
        <w:t>外）。</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6、包装</w:t>
      </w:r>
    </w:p>
    <w:p>
      <w:pPr>
        <w:pStyle w:val="8"/>
        <w:tabs>
          <w:tab w:val="left" w:pos="900"/>
        </w:tabs>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7、伴随服务</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(1)卖方除应履行按期按量交付合格标的物的义务之外，还应提供下列服务：</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&lt;1&gt;标的物的现场安装或指导安装、启动、调试、监督（如果必须安装、调试的话）；</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&lt;2&gt;提供标的物组装和一般维修所必须的工具；</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&lt;3&gt;在合同规定的期限内对所提供标的物实行运行监督、维修服务的前提条件是该服务并不能免除卖方在质量保证期内所承担的义务；</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&lt;4&gt;对买方技术人员的技术指导或培训。</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(2)除合同另有规定之外，伴随服务的费用均已含在合同价款中，买方不再另行进行支付。</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三.标的物的交付、检验和验收</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8、标的物的交付</w:t>
      </w:r>
    </w:p>
    <w:p>
      <w:pPr>
        <w:pStyle w:val="8"/>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(1)标的物的所有权自标的物交付时转移。</w:t>
      </w:r>
    </w:p>
    <w:p>
      <w:pPr>
        <w:pStyle w:val="8"/>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(2)卖方应当按照约定的期限和约定的地点交付符合采购文件要求的标的物。</w:t>
      </w:r>
    </w:p>
    <w:p>
      <w:pPr>
        <w:pStyle w:val="8"/>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(3)卖方应当按照约定或者交易习惯向招标人交付提取标的物单证以外的有关单证和资料。</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9、检验和验收</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(2)买方根据合同规定的内容和验收标准进行验收，经检验无误后出具验收合格证明，该证明作为最终付款所需文件的组成部分。</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(3)验收期限自标的物交付之日起三十天内。特殊情况需延长的，双方应在合同条款中约定。</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四.对标的物提出异议的时间和办法</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10、对标的物提出异议的时间和办法 </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(1)买方在验收过程中，应当于双方约定的检验期间内将标的物的数量或质量不符合约定的情形及处理方式以书面形式通知卖方。</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(2)如买方在验收期满后既不出具验收合格证明又未提出书面异议的视为卖方所交标的物符合合同规定。</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(3)卖方应在收到买方书面异议后七天内负责处理问题，否则将视为默认买方提出的异议和处理意见。</w:t>
      </w:r>
    </w:p>
    <w:p>
      <w:pPr>
        <w:spacing w:line="440" w:lineRule="exact"/>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五.合同价款和支付</w:t>
      </w:r>
    </w:p>
    <w:p>
      <w:pPr>
        <w:spacing w:line="44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11、合同价款和支付</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(1)本合同的结算货币为人民币，单位元。</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(2)卖方应按照双方签订的合同规定交货并在合同主要条款规定的期限内持下列单据结算货款：</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&lt;1&gt;合格的销售发票；</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&lt;2&gt;买方盖章签收后的送货回单和验收合格证明。</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(3)买方应按合同主要条款规定的期限和方式付款。</w:t>
      </w:r>
    </w:p>
    <w:p>
      <w:pPr>
        <w:pStyle w:val="8"/>
        <w:tabs>
          <w:tab w:val="left" w:pos="540"/>
        </w:tabs>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(4)根据现行税法对买方征收的与本合同有关的一切税费均由买方承担；根据现行税法对卖方征收的与本合同有关的一切税费均由卖方承担。</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六.违约责任</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12、违约责任</w:t>
      </w:r>
    </w:p>
    <w:p>
      <w:pPr>
        <w:pStyle w:val="8"/>
        <w:spacing w:line="440" w:lineRule="exact"/>
        <w:ind w:firstLine="486" w:firstLineChars="200"/>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合同一方不履行合同义务或者履行合同义务不符合约定的，应当承担继续履行、采取补救措施或者赔偿损失等违约责任。</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13、买方违约责任</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(1)在合同生效后，买方要求退货的，应向卖方偿付合同总价款的5%，作为违约金，违约金不足以补偿损失的，卖方有权要求甲方补足。</w:t>
      </w:r>
    </w:p>
    <w:p>
      <w:pPr>
        <w:pStyle w:val="8"/>
        <w:overflowPunct w:val="0"/>
        <w:spacing w:line="440" w:lineRule="exact"/>
        <w:ind w:right="-386" w:rightChars="-159"/>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(2)买方逾期付款的应按照逾期付款金额的每天万分之四支付逾期付款违约金。</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(3)买方违反合同规定，拒绝接收卖方交付的符合采购文件要求的合格标的物，应当承担卖方由此造成的损失。</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14、卖方违约责任</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(1)卖方不能交货（逾期超过五天视为不能交货），或交货不合格从而影响买方按期正常使用的，应向买方偿付合同总价款5%的违约金，违约金不足以补偿损失的，买方有权要求卖方补足。</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(2)卖方逾期交货的，应在发货前与买方和政府采购管理部门协商，买方仍需求的，卖方应立即发货并应按照逾期交货部分货款的每天万分之四支付逾期交货违约金，同时承担买方因此遭致的损失费用。</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15、不可抗力</w:t>
      </w:r>
    </w:p>
    <w:p>
      <w:pPr>
        <w:pStyle w:val="8"/>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(1)因水灾、火灾、地震、战争等不可抗力不能履行合同的，根据不可抗力的影响，部分或者全部免除责任。但合同一方迟延履行后发生不可抗力的，不能免除责任。</w:t>
      </w:r>
    </w:p>
    <w:p>
      <w:pPr>
        <w:pStyle w:val="8"/>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(2)合同一方因不可抗力不能履行合同的，应当及时通知对方，以减轻可能给对方造成的损失，并应当在合理期限内提供证明。</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七.索赔</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16、索赔</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(1)买方有权根据当地产品质量检验机构或其它有权威部门出具的检验证书向卖方提出索赔。</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(2)在本合同规定的检验期和质量保证期内，如果卖方对买方提出的索赔或差异有责任，则卖方应按买方同意的下列一种或多种方式解决索赔事宜：</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&lt;2&gt;根据标的物的低劣程度、损坏程度以及甲方遭受损失的数额，经双方协商确定降低标的物的价格；</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(4)买方提出索赔的书面材料应报当地政府采购管理部门备案。卖方同意的索赔方案应报当地政府采购管理部门审核。</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八.履约保证金</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17、履约保证金</w:t>
      </w:r>
    </w:p>
    <w:p>
      <w:pPr>
        <w:pStyle w:val="8"/>
        <w:overflowPunct w:val="0"/>
        <w:spacing w:line="440" w:lineRule="exact"/>
        <w:ind w:firstLine="607" w:firstLineChars="250"/>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(1)卖方应在本合同签订时，按采购文件的约定提供相应的履约保证金，保证金的有效期应不低于合同有效期。</w:t>
      </w:r>
    </w:p>
    <w:p>
      <w:pPr>
        <w:pStyle w:val="8"/>
        <w:overflowPunct w:val="0"/>
        <w:spacing w:line="440" w:lineRule="exact"/>
        <w:ind w:right="-386" w:rightChars="-159"/>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(2)如果卖方未能履行合同规定的任何义务，买方有权从履约保证金中取得补偿。</w:t>
      </w:r>
    </w:p>
    <w:p>
      <w:pPr>
        <w:pStyle w:val="8"/>
        <w:overflowPunct w:val="0"/>
        <w:spacing w:line="440" w:lineRule="exact"/>
        <w:ind w:right="-1010" w:rightChars="-416"/>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(3)履约保证金（无息）将在卖方履行完合同义务，买方支付合同价款的五天内</w:t>
      </w:r>
    </w:p>
    <w:p>
      <w:pPr>
        <w:pStyle w:val="8"/>
        <w:overflowPunct w:val="0"/>
        <w:spacing w:line="440" w:lineRule="exact"/>
        <w:ind w:right="-1010" w:rightChars="-416" w:firstLine="0"/>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退回。</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九.合同的解除和转让</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18、合同的解除</w:t>
      </w:r>
    </w:p>
    <w:p>
      <w:pPr>
        <w:pStyle w:val="8"/>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(1)买方和卖方协商一致，可以解除合同。</w:t>
      </w:r>
    </w:p>
    <w:p>
      <w:pPr>
        <w:pStyle w:val="8"/>
        <w:spacing w:line="440" w:lineRule="exact"/>
        <w:rPr>
          <w:rFonts w:ascii="仿宋" w:hAnsi="仿宋" w:eastAsia="仿宋" w:cs="仿宋"/>
          <w:color w:val="000000" w:themeColor="text1"/>
          <w:szCs w:val="24"/>
          <w:u w:color="000000"/>
          <w14:textFill>
            <w14:solidFill>
              <w14:schemeClr w14:val="tx1"/>
            </w14:solidFill>
          </w14:textFill>
        </w:rPr>
      </w:pPr>
      <w:r>
        <w:rPr>
          <w:rFonts w:hint="eastAsia" w:ascii="仿宋" w:hAnsi="仿宋" w:eastAsia="仿宋" w:cs="仿宋"/>
          <w:color w:val="000000" w:themeColor="text1"/>
          <w:szCs w:val="24"/>
          <w:u w:color="000000"/>
          <w14:textFill>
            <w14:solidFill>
              <w14:schemeClr w14:val="tx1"/>
            </w14:solidFill>
          </w14:textFill>
        </w:rPr>
        <w:t>(2)有下列情形之一，合同一方可以解除合同：</w:t>
      </w:r>
    </w:p>
    <w:p>
      <w:pPr>
        <w:pStyle w:val="8"/>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&lt;1&gt;因不可抗力致使不能实现合同目的，未受不可抗力影响的一方有权解除合同；</w:t>
      </w:r>
    </w:p>
    <w:p>
      <w:pPr>
        <w:pStyle w:val="8"/>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&lt;2&gt;因合同一方违约导致合同不能履行，另一方有权解除合同。</w:t>
      </w:r>
    </w:p>
    <w:p>
      <w:pPr>
        <w:pStyle w:val="8"/>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(3)有权解除合同的一方，应当在违约事实或不可抗力发生之后三十天内书面通知对方以主张解除合同，合同在书面通知到达对方时解除。</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19、合同的转让</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合同的部分和全部都不得转让。</w:t>
      </w:r>
    </w:p>
    <w:p>
      <w:pPr>
        <w:spacing w:line="440" w:lineRule="exact"/>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十.合同的生效</w:t>
      </w:r>
    </w:p>
    <w:p>
      <w:pPr>
        <w:spacing w:line="44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合同的生效</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本合同在双方签字盖章并在招标人收到中标人提交的履约保证金后，经招标采购管理部门备案后生效。</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十一. 争议解决</w:t>
      </w:r>
    </w:p>
    <w:p>
      <w:pPr>
        <w:spacing w:line="440" w:lineRule="exact"/>
        <w:ind w:firstLine="243" w:firstLineChars="1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21、争议解决</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 xml:space="preserve"> 买卖双方因合同发生争议，进行调解，协商不成，可选择：</w:t>
      </w:r>
    </w:p>
    <w:p>
      <w:pPr>
        <w:pStyle w:val="8"/>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(1)双方同时申请仲裁；</w:t>
      </w:r>
    </w:p>
    <w:p>
      <w:pPr>
        <w:pStyle w:val="8"/>
        <w:tabs>
          <w:tab w:val="left" w:pos="900"/>
        </w:tabs>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(2)向买方所在地人民法院提起诉讼。</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十二 .附则</w:t>
      </w:r>
    </w:p>
    <w:p>
      <w:pPr>
        <w:spacing w:line="440" w:lineRule="exact"/>
        <w:ind w:firstLine="243" w:firstLineChars="1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22、合同份数。</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 xml:space="preserve"> 本合同一式陆份，买卖双方各执二份，招标代理机构一份，招标采购管理部门一份。</w:t>
      </w:r>
    </w:p>
    <w:p>
      <w:pPr>
        <w:spacing w:line="440" w:lineRule="exact"/>
        <w:ind w:firstLine="243" w:firstLineChars="1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23、未尽事宜</w:t>
      </w:r>
    </w:p>
    <w:p>
      <w:pPr>
        <w:spacing w:line="440" w:lineRule="exact"/>
        <w:ind w:firstLine="607" w:firstLineChars="250"/>
        <w:rPr>
          <w:rFonts w:ascii="宋体" w:cs="宋体"/>
          <w:color w:val="000000" w:themeColor="text1"/>
          <w:szCs w:val="2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本合同未尽事宜应按《中华人民共和国政府采购法》、《中华人民共和国合同法》、《中华人民共和国产品质量法》之规定解释。</w:t>
      </w:r>
    </w:p>
    <w:p>
      <w:pPr>
        <w:pStyle w:val="2"/>
        <w:numPr>
          <w:ilvl w:val="0"/>
          <w:numId w:val="0"/>
        </w:numPr>
        <w:rPr>
          <w:rFonts w:ascii="仿宋" w:hAnsi="仿宋" w:eastAsia="仿宋" w:cs="仿宋"/>
          <w:color w:val="000000" w:themeColor="text1"/>
          <w:sz w:val="24"/>
          <w:lang w:eastAsia="zh-CN"/>
          <w14:textFill>
            <w14:solidFill>
              <w14:schemeClr w14:val="tx1"/>
            </w14:solidFill>
          </w14:textFill>
        </w:rPr>
      </w:pPr>
    </w:p>
    <w:p>
      <w:pPr>
        <w:rPr>
          <w:rFonts w:ascii="仿宋" w:hAnsi="仿宋" w:eastAsia="仿宋" w:cs="仿宋"/>
          <w:b/>
          <w:bCs/>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br w:type="page"/>
      </w:r>
    </w:p>
    <w:p>
      <w:pPr>
        <w:pStyle w:val="39"/>
        <w:keepNext/>
        <w:keepLines/>
        <w:spacing w:before="0" w:after="116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w:t>
      </w:r>
      <w:r>
        <w:rPr>
          <w:rFonts w:hint="eastAsia" w:ascii="仿宋" w:hAnsi="仿宋" w:eastAsia="仿宋" w:cs="仿宋"/>
          <w:b/>
          <w:bCs/>
          <w:color w:val="000000" w:themeColor="text1"/>
          <w:lang w:eastAsia="zh-CN"/>
          <w14:textFill>
            <w14:solidFill>
              <w14:schemeClr w14:val="tx1"/>
            </w14:solidFill>
          </w14:textFill>
        </w:rPr>
        <w:t>六</w:t>
      </w:r>
      <w:r>
        <w:rPr>
          <w:rFonts w:hint="eastAsia" w:ascii="仿宋" w:hAnsi="仿宋" w:eastAsia="仿宋" w:cs="仿宋"/>
          <w:b/>
          <w:bCs/>
          <w:color w:val="000000" w:themeColor="text1"/>
          <w14:textFill>
            <w14:solidFill>
              <w14:schemeClr w14:val="tx1"/>
            </w14:solidFill>
          </w14:textFill>
        </w:rPr>
        <w:t>部分</w:t>
      </w:r>
      <w:r>
        <w:rPr>
          <w:rFonts w:hint="eastAsia" w:ascii="仿宋" w:hAnsi="仿宋" w:eastAsia="仿宋" w:cs="仿宋"/>
          <w:b/>
          <w:bCs/>
          <w:color w:val="000000" w:themeColor="text1"/>
          <w:lang w:val="en-US" w:eastAsia="zh-CN"/>
          <w14:textFill>
            <w14:solidFill>
              <w14:schemeClr w14:val="tx1"/>
            </w14:solidFill>
          </w14:textFill>
        </w:rPr>
        <w:t xml:space="preserve">  </w:t>
      </w:r>
      <w:r>
        <w:rPr>
          <w:rFonts w:hint="eastAsia" w:ascii="仿宋" w:hAnsi="仿宋" w:eastAsia="仿宋" w:cs="仿宋"/>
          <w:b/>
          <w:bCs/>
          <w:color w:val="000000" w:themeColor="text1"/>
          <w14:textFill>
            <w14:solidFill>
              <w14:schemeClr w14:val="tx1"/>
            </w14:solidFill>
          </w14:textFill>
        </w:rPr>
        <w:t>投标文件格式</w:t>
      </w:r>
    </w:p>
    <w:p>
      <w:pPr>
        <w:adjustRightInd w:val="0"/>
        <w:snapToGrid w:val="0"/>
        <w:spacing w:line="360" w:lineRule="auto"/>
        <w:ind w:left="602" w:right="70" w:hanging="602"/>
        <w:jc w:val="right"/>
        <w:rPr>
          <w:rFonts w:ascii="仿宋" w:hAnsi="仿宋" w:eastAsia="仿宋" w:cs="仿宋"/>
          <w:b/>
          <w:bCs/>
          <w:color w:val="000000" w:themeColor="text1"/>
          <w:sz w:val="28"/>
          <w:szCs w:val="28"/>
          <w:bdr w:val="single" w:color="auto" w:sz="4" w:space="0"/>
          <w:lang w:eastAsia="zh-CN"/>
          <w14:textFill>
            <w14:solidFill>
              <w14:schemeClr w14:val="tx1"/>
            </w14:solidFill>
          </w14:textFill>
        </w:rPr>
      </w:pPr>
      <w:bookmarkStart w:id="74" w:name="bookmark196"/>
      <w:r>
        <w:rPr>
          <w:rFonts w:hint="eastAsia" w:ascii="仿宋" w:hAnsi="仿宋" w:eastAsia="仿宋" w:cs="仿宋"/>
          <w:b/>
          <w:bCs/>
          <w:color w:val="000000" w:themeColor="text1"/>
          <w:sz w:val="28"/>
          <w:szCs w:val="28"/>
          <w:bdr w:val="single" w:color="auto" w:sz="4" w:space="0"/>
          <w:lang w:eastAsia="zh-CN"/>
          <w14:textFill>
            <w14:solidFill>
              <w14:schemeClr w14:val="tx1"/>
            </w14:solidFill>
          </w14:textFill>
        </w:rPr>
        <w:t>正/副 本</w:t>
      </w:r>
    </w:p>
    <w:p>
      <w:pPr>
        <w:adjustRightInd w:val="0"/>
        <w:snapToGrid w:val="0"/>
        <w:spacing w:line="360" w:lineRule="auto"/>
        <w:jc w:val="center"/>
        <w:rPr>
          <w:rFonts w:ascii="仿宋" w:hAnsi="仿宋" w:eastAsia="仿宋" w:cs="仿宋"/>
          <w:b/>
          <w:caps/>
          <w:color w:val="000000" w:themeColor="text1"/>
          <w:lang w:eastAsia="zh-CN"/>
          <w14:textFill>
            <w14:solidFill>
              <w14:schemeClr w14:val="tx1"/>
            </w14:solidFill>
          </w14:textFill>
        </w:rPr>
      </w:pPr>
    </w:p>
    <w:p>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caps/>
          <w:color w:val="000000" w:themeColor="text1"/>
          <w:sz w:val="32"/>
          <w:szCs w:val="32"/>
          <w:lang w:eastAsia="zh-CN"/>
          <w14:textFill>
            <w14:solidFill>
              <w14:schemeClr w14:val="tx1"/>
            </w14:solidFill>
          </w14:textFill>
        </w:rPr>
        <w:t>（项目名称）</w:t>
      </w:r>
    </w:p>
    <w:p>
      <w:pPr>
        <w:adjustRightInd w:val="0"/>
        <w:snapToGrid w:val="0"/>
        <w:spacing w:line="360" w:lineRule="auto"/>
        <w:jc w:val="both"/>
        <w:rPr>
          <w:rFonts w:ascii="仿宋" w:hAnsi="仿宋" w:eastAsia="仿宋" w:cs="仿宋"/>
          <w:bCs/>
          <w:color w:val="000000" w:themeColor="text1"/>
          <w:sz w:val="32"/>
          <w:szCs w:val="32"/>
          <w:lang w:eastAsia="zh-CN"/>
          <w14:textFill>
            <w14:solidFill>
              <w14:schemeClr w14:val="tx1"/>
            </w14:solidFill>
          </w14:textFill>
        </w:rPr>
      </w:pPr>
    </w:p>
    <w:p>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p>
    <w:p>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center"/>
        <w:rPr>
          <w:rFonts w:ascii="仿宋" w:hAnsi="仿宋" w:eastAsia="仿宋" w:cs="仿宋"/>
          <w:bCs/>
          <w:color w:val="000000" w:themeColor="text1"/>
          <w:sz w:val="32"/>
          <w:szCs w:val="32"/>
          <w:lang w:eastAsia="zh-CN"/>
          <w14:textFill>
            <w14:solidFill>
              <w14:schemeClr w14:val="tx1"/>
            </w14:solidFill>
          </w14:textFill>
        </w:rPr>
      </w:pPr>
    </w:p>
    <w:p>
      <w:pPr>
        <w:adjustRightInd w:val="0"/>
        <w:snapToGrid w:val="0"/>
        <w:spacing w:line="360" w:lineRule="auto"/>
        <w:jc w:val="both"/>
        <w:rPr>
          <w:rFonts w:ascii="仿宋" w:hAnsi="仿宋" w:eastAsia="仿宋" w:cs="仿宋"/>
          <w:bCs/>
          <w:color w:val="000000" w:themeColor="text1"/>
          <w:sz w:val="32"/>
          <w:szCs w:val="32"/>
          <w:lang w:eastAsia="zh-CN"/>
          <w14:textFill>
            <w14:solidFill>
              <w14:schemeClr w14:val="tx1"/>
            </w14:solidFill>
          </w14:textFill>
        </w:rPr>
      </w:pP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0"/>
          <w:kern w:val="0"/>
          <w:sz w:val="28"/>
          <w:szCs w:val="28"/>
          <w:fitText w:val="2810" w:id="359538926"/>
          <w:lang w:eastAsia="zh-CN"/>
          <w14:textFill>
            <w14:solidFill>
              <w14:schemeClr w14:val="tx1"/>
            </w14:solidFill>
          </w14:textFill>
        </w:rPr>
        <w:t>供应商名称（公章）：</w:t>
      </w: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339373352"/>
          <w:lang w:eastAsia="zh-CN"/>
          <w14:textFill>
            <w14:solidFill>
              <w14:schemeClr w14:val="tx1"/>
            </w14:solidFill>
          </w14:textFill>
        </w:rPr>
        <w:t>法定代表人（签章或盖章）</w:t>
      </w:r>
      <w:r>
        <w:rPr>
          <w:rFonts w:hint="eastAsia" w:ascii="仿宋" w:hAnsi="仿宋" w:eastAsia="仿宋" w:cs="仿宋"/>
          <w:b/>
          <w:caps/>
          <w:color w:val="000000" w:themeColor="text1"/>
          <w:spacing w:val="-1"/>
          <w:w w:val="77"/>
          <w:kern w:val="0"/>
          <w:sz w:val="28"/>
          <w:szCs w:val="28"/>
          <w:fitText w:val="2810" w:id="339373352"/>
          <w:lang w:eastAsia="zh-CN"/>
          <w14:textFill>
            <w14:solidFill>
              <w14:schemeClr w14:val="tx1"/>
            </w14:solidFill>
          </w14:textFill>
        </w:rPr>
        <w:t>：</w:t>
      </w: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113"/>
          <w:kern w:val="0"/>
          <w:sz w:val="28"/>
          <w:szCs w:val="28"/>
          <w:fitText w:val="2810" w:id="1122003574"/>
          <w:lang w:eastAsia="zh-CN"/>
          <w14:textFill>
            <w14:solidFill>
              <w14:schemeClr w14:val="tx1"/>
            </w14:solidFill>
          </w14:textFill>
        </w:rPr>
        <w:t>供应商地址</w:t>
      </w:r>
      <w:r>
        <w:rPr>
          <w:rFonts w:hint="eastAsia" w:ascii="仿宋" w:hAnsi="仿宋" w:eastAsia="仿宋" w:cs="仿宋"/>
          <w:b/>
          <w:caps/>
          <w:color w:val="000000" w:themeColor="text1"/>
          <w:spacing w:val="0"/>
          <w:kern w:val="0"/>
          <w:sz w:val="28"/>
          <w:szCs w:val="28"/>
          <w:fitText w:val="2810" w:id="1122003574"/>
          <w:lang w:eastAsia="zh-CN"/>
          <w14:textFill>
            <w14:solidFill>
              <w14:schemeClr w14:val="tx1"/>
            </w14:solidFill>
          </w14:textFill>
        </w:rPr>
        <w:t>：</w:t>
      </w: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782381047"/>
          <w:lang w:eastAsia="zh-CN"/>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782381047"/>
          <w:lang w:eastAsia="zh-CN"/>
          <w14:textFill>
            <w14:solidFill>
              <w14:schemeClr w14:val="tx1"/>
            </w14:solidFill>
          </w14:textFill>
        </w:rPr>
        <w:t>：</w:t>
      </w: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p>
    <w:p>
      <w:pPr>
        <w:adjustRightInd w:val="0"/>
        <w:snapToGrid w:val="0"/>
        <w:spacing w:line="360" w:lineRule="auto"/>
        <w:ind w:right="-155" w:rightChars="-64"/>
        <w:rPr>
          <w:rFonts w:ascii="仿宋" w:hAnsi="仿宋" w:eastAsia="仿宋" w:cs="仿宋"/>
          <w:b/>
          <w:caps/>
          <w:color w:val="000000" w:themeColor="text1"/>
          <w:sz w:val="28"/>
          <w:szCs w:val="28"/>
          <w:lang w:eastAsia="zh-CN"/>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1445930497"/>
          <w:lang w:eastAsia="zh-CN"/>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1445930497"/>
          <w:lang w:eastAsia="zh-CN"/>
          <w14:textFill>
            <w14:solidFill>
              <w14:schemeClr w14:val="tx1"/>
            </w14:solidFill>
          </w14:textFill>
        </w:rPr>
        <w:t>：</w:t>
      </w:r>
    </w:p>
    <w:p>
      <w:pPr>
        <w:adjustRightInd w:val="0"/>
        <w:snapToGrid w:val="0"/>
        <w:spacing w:line="360" w:lineRule="auto"/>
        <w:jc w:val="center"/>
        <w:rPr>
          <w:rFonts w:ascii="仿宋" w:hAnsi="仿宋" w:eastAsia="仿宋" w:cs="仿宋"/>
          <w:b/>
          <w:caps/>
          <w:color w:val="000000" w:themeColor="text1"/>
          <w:sz w:val="28"/>
          <w:szCs w:val="28"/>
          <w:lang w:eastAsia="zh-CN"/>
          <w14:textFill>
            <w14:solidFill>
              <w14:schemeClr w14:val="tx1"/>
            </w14:solidFill>
          </w14:textFill>
        </w:rPr>
      </w:pPr>
    </w:p>
    <w:p>
      <w:pPr>
        <w:adjustRightInd w:val="0"/>
        <w:snapToGrid w:val="0"/>
        <w:spacing w:line="360" w:lineRule="auto"/>
        <w:jc w:val="center"/>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_</w:t>
      </w:r>
      <w:r>
        <w:rPr>
          <w:rFonts w:hint="eastAsia" w:ascii="仿宋" w:hAnsi="仿宋" w:eastAsia="仿宋" w:cs="仿宋"/>
          <w:b/>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_年__</w:t>
      </w:r>
      <w:r>
        <w:rPr>
          <w:rFonts w:hint="eastAsia" w:ascii="仿宋" w:hAnsi="仿宋" w:eastAsia="仿宋" w:cs="仿宋"/>
          <w:b/>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_月__</w:t>
      </w:r>
      <w:r>
        <w:rPr>
          <w:rFonts w:hint="eastAsia" w:ascii="仿宋" w:hAnsi="仿宋" w:eastAsia="仿宋" w:cs="仿宋"/>
          <w:b/>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_日</w:t>
      </w:r>
    </w:p>
    <w:p>
      <w:pPr>
        <w:pStyle w:val="41"/>
        <w:spacing w:after="340" w:line="240" w:lineRule="auto"/>
        <w:ind w:firstLine="0"/>
        <w:rPr>
          <w:rFonts w:ascii="仿宋" w:hAnsi="仿宋" w:eastAsia="仿宋" w:cs="仿宋"/>
          <w:color w:val="000000" w:themeColor="text1"/>
          <w14:textFill>
            <w14:solidFill>
              <w14:schemeClr w14:val="tx1"/>
            </w14:solidFill>
          </w14:textFill>
        </w:rPr>
      </w:pPr>
    </w:p>
    <w:bookmarkEnd w:id="74"/>
    <w:p>
      <w:pPr>
        <w:pStyle w:val="4"/>
        <w:spacing w:line="240" w:lineRule="atLeast"/>
        <w:rPr>
          <w:rFonts w:ascii="仿宋" w:hAnsi="仿宋" w:eastAsia="仿宋" w:cs="仿宋"/>
          <w:bCs/>
          <w:color w:val="000000" w:themeColor="text1"/>
          <w:sz w:val="24"/>
          <w:lang w:eastAsia="zh-CN"/>
          <w14:textFill>
            <w14:solidFill>
              <w14:schemeClr w14:val="tx1"/>
            </w14:solidFill>
          </w14:textFill>
        </w:rPr>
      </w:pPr>
      <w:bookmarkStart w:id="75" w:name="_Toc18694"/>
      <w:bookmarkStart w:id="76" w:name="_Toc8919"/>
      <w:bookmarkStart w:id="77" w:name="_Toc18974"/>
      <w:bookmarkStart w:id="78" w:name="_Toc515647803"/>
    </w:p>
    <w:p>
      <w:pPr>
        <w:pStyle w:val="4"/>
        <w:spacing w:line="240" w:lineRule="atLeas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第一部分 资格证明文件</w:t>
      </w:r>
      <w:bookmarkEnd w:id="75"/>
      <w:bookmarkEnd w:id="76"/>
      <w:bookmarkEnd w:id="77"/>
      <w:bookmarkEnd w:id="78"/>
    </w:p>
    <w:p>
      <w:pPr>
        <w:spacing w:line="240" w:lineRule="atLeast"/>
        <w:ind w:left="717" w:hanging="716" w:hangingChars="295"/>
        <w:jc w:val="center"/>
        <w:rPr>
          <w:rFonts w:ascii="仿宋" w:hAnsi="仿宋" w:eastAsia="仿宋" w:cs="仿宋"/>
          <w:color w:val="000000" w:themeColor="text1"/>
          <w:lang w:eastAsia="zh-CN"/>
          <w14:textFill>
            <w14:solidFill>
              <w14:schemeClr w14:val="tx1"/>
            </w14:solidFill>
          </w14:textFill>
        </w:rPr>
      </w:pPr>
    </w:p>
    <w:p>
      <w:pPr>
        <w:shd w:val="clear" w:color="auto" w:fill="auto"/>
        <w:spacing w:line="440" w:lineRule="exact"/>
        <w:ind w:firstLine="420" w:firstLineChars="0"/>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356"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2、法定代表人资格证明书</w:t>
      </w:r>
    </w:p>
    <w:p>
      <w:pPr>
        <w:shd w:val="clear" w:color="auto" w:fill="auto"/>
        <w:spacing w:line="440" w:lineRule="exact"/>
        <w:ind w:firstLine="356"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3、法定代表人授权书</w:t>
      </w:r>
    </w:p>
    <w:p>
      <w:pPr>
        <w:shd w:val="clear" w:color="auto" w:fill="auto"/>
        <w:spacing w:line="440" w:lineRule="exact"/>
        <w:ind w:firstLine="356"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4、投标保证金收据或投标担保函；</w:t>
      </w:r>
    </w:p>
    <w:p>
      <w:pPr>
        <w:shd w:val="clear" w:color="auto" w:fill="auto"/>
        <w:spacing w:line="440" w:lineRule="exact"/>
        <w:ind w:firstLine="356"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5、具有良好的商业信誉和健全的财务会计制度的证明文件；</w:t>
      </w:r>
    </w:p>
    <w:p>
      <w:pPr>
        <w:shd w:val="clear" w:color="auto" w:fill="auto"/>
        <w:spacing w:line="440" w:lineRule="exact"/>
        <w:ind w:firstLine="356"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6、社会保障资金的缴纳记录；</w:t>
      </w:r>
    </w:p>
    <w:p>
      <w:pPr>
        <w:shd w:val="clear" w:color="auto" w:fill="auto"/>
        <w:spacing w:line="440" w:lineRule="exact"/>
        <w:ind w:firstLine="356"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7、参加政府采购活动前3年内在经营活动中没有重大违法记录的书面声明;</w:t>
      </w:r>
    </w:p>
    <w:p>
      <w:pPr>
        <w:shd w:val="clear" w:color="auto" w:fill="auto"/>
        <w:spacing w:line="440" w:lineRule="exact"/>
        <w:ind w:firstLine="356"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440" w:lineRule="exact"/>
        <w:ind w:firstLine="356" w:firstLineChars="147"/>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9、投标人须知资料表要求的其他资格证明文件;</w:t>
      </w:r>
    </w:p>
    <w:p>
      <w:pPr>
        <w:pStyle w:val="2"/>
        <w:numPr>
          <w:ilvl w:val="0"/>
          <w:numId w:val="0"/>
        </w:numPr>
        <w:kinsoku w:val="0"/>
        <w:overflowPunct w:val="0"/>
        <w:spacing w:before="130" w:line="355" w:lineRule="auto"/>
        <w:ind w:left="480" w:right="7"/>
        <w:jc w:val="center"/>
        <w:rPr>
          <w:rFonts w:ascii="仿宋" w:hAnsi="仿宋" w:eastAsia="仿宋" w:cs="仿宋"/>
          <w:b/>
          <w:bCs/>
          <w:color w:val="000000" w:themeColor="text1"/>
          <w:sz w:val="36"/>
          <w:szCs w:val="36"/>
          <w:lang w:eastAsia="zh-CN"/>
          <w14:textFill>
            <w14:solidFill>
              <w14:schemeClr w14:val="tx1"/>
            </w14:solidFill>
          </w14:textFill>
        </w:rPr>
      </w:pPr>
    </w:p>
    <w:p>
      <w:pPr>
        <w:pStyle w:val="2"/>
        <w:numPr>
          <w:ilvl w:val="0"/>
          <w:numId w:val="0"/>
        </w:numPr>
        <w:kinsoku w:val="0"/>
        <w:overflowPunct w:val="0"/>
        <w:spacing w:before="130" w:line="355" w:lineRule="auto"/>
        <w:ind w:left="480" w:right="7"/>
        <w:jc w:val="center"/>
        <w:rPr>
          <w:rFonts w:ascii="仿宋" w:hAnsi="仿宋" w:eastAsia="仿宋" w:cs="仿宋"/>
          <w:b/>
          <w:bCs/>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2"/>
        <w:numPr>
          <w:ilvl w:val="0"/>
          <w:numId w:val="0"/>
        </w:numPr>
        <w:kinsoku w:val="0"/>
        <w:overflowPunct w:val="0"/>
        <w:spacing w:before="34" w:line="440" w:lineRule="exact"/>
        <w:ind w:right="126"/>
        <w:jc w:val="both"/>
        <w:rPr>
          <w:rFonts w:ascii="仿宋" w:hAnsi="仿宋" w:eastAsia="仿宋" w:cs="仿宋"/>
          <w:b/>
          <w:bCs/>
          <w:color w:val="000000" w:themeColor="text1"/>
          <w:sz w:val="36"/>
          <w:szCs w:val="36"/>
          <w:lang w:eastAsia="zh-CN"/>
          <w14:textFill>
            <w14:solidFill>
              <w14:schemeClr w14:val="tx1"/>
            </w14:solidFill>
          </w14:textFill>
        </w:rPr>
      </w:pPr>
    </w:p>
    <w:p>
      <w:pPr>
        <w:pStyle w:val="34"/>
        <w:rPr>
          <w:lang w:eastAsia="zh-CN"/>
        </w:rPr>
      </w:pPr>
    </w:p>
    <w:p>
      <w:pPr>
        <w:pStyle w:val="2"/>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bookmarkStart w:id="79" w:name="_Toc515647805"/>
      <w:bookmarkStart w:id="80" w:name="_Toc29899"/>
      <w:bookmarkStart w:id="81" w:name="_Toc4844"/>
      <w:bookmarkStart w:id="82" w:name="_Toc17577"/>
      <w:r>
        <w:rPr>
          <w:rFonts w:hint="eastAsia" w:ascii="仿宋" w:hAnsi="仿宋" w:eastAsia="仿宋" w:cs="仿宋"/>
          <w:b/>
          <w:bCs/>
          <w:color w:val="000000" w:themeColor="text1"/>
          <w:sz w:val="36"/>
          <w:szCs w:val="36"/>
          <w:lang w:eastAsia="zh-CN"/>
          <w14:textFill>
            <w14:solidFill>
              <w14:schemeClr w14:val="tx1"/>
            </w14:solidFill>
          </w14:textFill>
        </w:rPr>
        <w:t>1、 法人或者非法人组织的营业执照等证明文件</w:t>
      </w:r>
      <w:bookmarkEnd w:id="79"/>
      <w:bookmarkStart w:id="83" w:name="_Toc515647806"/>
      <w:r>
        <w:rPr>
          <w:rFonts w:hint="eastAsia" w:ascii="仿宋" w:hAnsi="仿宋" w:eastAsia="仿宋" w:cs="仿宋"/>
          <w:b/>
          <w:bCs/>
          <w:color w:val="000000" w:themeColor="text1"/>
          <w:sz w:val="36"/>
          <w:szCs w:val="36"/>
          <w:lang w:eastAsia="zh-CN"/>
          <w14:textFill>
            <w14:solidFill>
              <w14:schemeClr w14:val="tx1"/>
            </w14:solidFill>
          </w14:textFill>
        </w:rPr>
        <w:t>或自然人的身份证明</w:t>
      </w:r>
      <w:bookmarkEnd w:id="80"/>
      <w:bookmarkEnd w:id="81"/>
      <w:bookmarkEnd w:id="82"/>
      <w:bookmarkEnd w:id="83"/>
    </w:p>
    <w:p>
      <w:pPr>
        <w:pStyle w:val="14"/>
        <w:tabs>
          <w:tab w:val="left" w:pos="5580"/>
        </w:tabs>
        <w:spacing w:line="400" w:lineRule="exact"/>
        <w:ind w:left="1164" w:leftChars="257" w:hanging="540"/>
        <w:jc w:val="center"/>
        <w:rPr>
          <w:rFonts w:ascii="仿宋" w:hAnsi="仿宋" w:eastAsia="仿宋" w:cs="仿宋"/>
          <w:b/>
          <w:color w:val="000000" w:themeColor="text1"/>
          <w:lang w:eastAsia="zh-CN"/>
          <w14:textFill>
            <w14:solidFill>
              <w14:schemeClr w14:val="tx1"/>
            </w14:solidFill>
          </w14:textFill>
        </w:rPr>
      </w:pPr>
    </w:p>
    <w:p>
      <w:pPr>
        <w:pStyle w:val="14"/>
        <w:tabs>
          <w:tab w:val="left" w:pos="5580"/>
        </w:tabs>
        <w:spacing w:line="400" w:lineRule="exact"/>
        <w:ind w:left="1164" w:leftChars="257" w:hanging="540"/>
        <w:rPr>
          <w:rFonts w:ascii="仿宋" w:hAnsi="仿宋" w:eastAsia="仿宋" w:cs="仿宋"/>
          <w:b/>
          <w:color w:val="000000" w:themeColor="text1"/>
          <w:lang w:eastAsia="zh-CN"/>
          <w14:textFill>
            <w14:solidFill>
              <w14:schemeClr w14:val="tx1"/>
            </w14:solidFill>
          </w14:textFill>
        </w:rPr>
      </w:pPr>
    </w:p>
    <w:p>
      <w:pPr>
        <w:pStyle w:val="14"/>
        <w:tabs>
          <w:tab w:val="left" w:pos="5580"/>
        </w:tabs>
        <w:spacing w:line="400" w:lineRule="exact"/>
        <w:ind w:left="1164" w:leftChars="257" w:hanging="540"/>
        <w:rPr>
          <w:rFonts w:ascii="仿宋" w:hAnsi="仿宋" w:eastAsia="仿宋" w:cs="仿宋"/>
          <w:b/>
          <w:color w:val="000000" w:themeColor="text1"/>
          <w:lang w:eastAsia="zh-CN"/>
          <w14:textFill>
            <w14:solidFill>
              <w14:schemeClr w14:val="tx1"/>
            </w14:solidFill>
          </w14:textFill>
        </w:rPr>
      </w:pPr>
    </w:p>
    <w:p>
      <w:pPr>
        <w:pStyle w:val="14"/>
        <w:tabs>
          <w:tab w:val="left" w:pos="5580"/>
        </w:tabs>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说明：1.提供有效的营业执照等证明文件复印件，复印件上应加盖本单位章。</w:t>
      </w:r>
    </w:p>
    <w:p>
      <w:pPr>
        <w:pStyle w:val="14"/>
        <w:tabs>
          <w:tab w:val="left" w:pos="5580"/>
        </w:tabs>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2.供应商为自然人的，应提供身份证明的复印件。</w:t>
      </w:r>
    </w:p>
    <w:p>
      <w:pPr>
        <w:pStyle w:val="2"/>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pStyle w:val="2"/>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pStyle w:val="2"/>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pStyle w:val="2"/>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pStyle w:val="2"/>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pStyle w:val="2"/>
        <w:numPr>
          <w:ilvl w:val="0"/>
          <w:numId w:val="0"/>
        </w:numPr>
        <w:kinsoku w:val="0"/>
        <w:overflowPunct w:val="0"/>
        <w:spacing w:before="34" w:line="440" w:lineRule="exact"/>
        <w:ind w:right="126"/>
        <w:jc w:val="both"/>
        <w:rPr>
          <w:rFonts w:ascii="仿宋" w:hAnsi="仿宋" w:eastAsia="仿宋" w:cs="仿宋"/>
          <w:b/>
          <w:bCs/>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37"/>
        <w:rPr>
          <w:rFonts w:ascii="仿宋" w:hAnsi="仿宋" w:eastAsia="仿宋" w:cs="仿宋"/>
          <w:b/>
          <w:bCs/>
          <w:color w:val="000000" w:themeColor="text1"/>
          <w:sz w:val="36"/>
          <w:szCs w:val="36"/>
          <w:lang w:eastAsia="zh-CN"/>
          <w14:textFill>
            <w14:solidFill>
              <w14:schemeClr w14:val="tx1"/>
            </w14:solidFill>
          </w14:textFill>
        </w:rPr>
      </w:pPr>
    </w:p>
    <w:p>
      <w:pPr>
        <w:pStyle w:val="2"/>
        <w:numPr>
          <w:ilvl w:val="0"/>
          <w:numId w:val="0"/>
        </w:numPr>
        <w:kinsoku w:val="0"/>
        <w:overflowPunct w:val="0"/>
        <w:spacing w:before="34" w:line="440" w:lineRule="exact"/>
        <w:ind w:left="480" w:right="126"/>
        <w:jc w:val="center"/>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2、法定代表人身份证明</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投标单位名称：</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单位性质：</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地址：</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成立时间：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日</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经营期限：</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姓名：</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性别：</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年龄：</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职务：</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身份证号码：</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系</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（投标单位名称）的法定代表人。</w:t>
      </w:r>
    </w:p>
    <w:p>
      <w:pPr>
        <w:spacing w:line="420" w:lineRule="exact"/>
        <w:ind w:firstLine="972" w:firstLineChars="4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特此证明。</w:t>
      </w:r>
    </w:p>
    <w:p>
      <w:pPr>
        <w:pStyle w:val="2"/>
        <w:numPr>
          <w:ilvl w:val="0"/>
          <w:numId w:val="0"/>
        </w:numPr>
        <w:kinsoku w:val="0"/>
        <w:overflowPunct w:val="0"/>
        <w:rPr>
          <w:rFonts w:ascii="仿宋" w:hAnsi="仿宋" w:eastAsia="仿宋" w:cs="仿宋"/>
          <w:color w:val="000000" w:themeColor="text1"/>
          <w:sz w:val="20"/>
          <w:szCs w:val="20"/>
          <w14:textFill>
            <w14:solidFill>
              <w14:schemeClr w14:val="tx1"/>
            </w14:solidFill>
          </w14:textFill>
        </w:rPr>
      </w:pPr>
      <w:r>
        <w:rPr>
          <w:sz w:val="25"/>
        </w:rPr>
        <mc:AlternateContent>
          <mc:Choice Requires="wps">
            <w:drawing>
              <wp:anchor distT="0" distB="0" distL="114300" distR="114300" simplePos="0" relativeHeight="251659264" behindDoc="0" locked="0" layoutInCell="1" allowOverlap="1">
                <wp:simplePos x="0" y="0"/>
                <wp:positionH relativeFrom="column">
                  <wp:posOffset>2991485</wp:posOffset>
                </wp:positionH>
                <wp:positionV relativeFrom="paragraph">
                  <wp:posOffset>194945</wp:posOffset>
                </wp:positionV>
                <wp:extent cx="2363470" cy="1403350"/>
                <wp:effectExtent l="5080" t="4445" r="8890" b="9525"/>
                <wp:wrapSquare wrapText="bothSides"/>
                <wp:docPr id="5" name="圆角矩形 5"/>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txbxContent>
                      </wps:txbx>
                      <wps:bodyPr upright="1"/>
                    </wps:wsp>
                  </a:graphicData>
                </a:graphic>
              </wp:anchor>
            </w:drawing>
          </mc:Choice>
          <mc:Fallback>
            <w:pict>
              <v:roundrect id="_x0000_s1026" o:spid="_x0000_s1026" o:spt="2" style="position:absolute;left:0pt;margin-left:235.55pt;margin-top:15.35pt;height:110.5pt;width:186.1pt;mso-wrap-distance-bottom:0pt;mso-wrap-distance-left:9pt;mso-wrap-distance-right:9pt;mso-wrap-distance-top:0pt;z-index:251659264;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BksNIaJAIAAFcEAAAOAAAAAAAAAAEAIAAAACYBAABkcnMvZTJvRG9jLnhtbFBLBQYAAAAABgAG&#10;AFkBAAC8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txbxContent>
                </v:textbox>
                <w10:wrap type="square"/>
              </v:roundrect>
            </w:pict>
          </mc:Fallback>
        </mc:AlternateContent>
      </w:r>
    </w:p>
    <w:p>
      <w:pPr>
        <w:pStyle w:val="2"/>
        <w:numPr>
          <w:ilvl w:val="0"/>
          <w:numId w:val="0"/>
        </w:numPr>
        <w:kinsoku w:val="0"/>
        <w:overflowPunct w:val="0"/>
        <w:spacing w:before="7"/>
        <w:rPr>
          <w:rFonts w:ascii="仿宋" w:hAnsi="仿宋" w:eastAsia="仿宋" w:cs="仿宋"/>
          <w:color w:val="000000" w:themeColor="text1"/>
          <w:sz w:val="25"/>
          <w:szCs w:val="25"/>
          <w14:textFill>
            <w14:solidFill>
              <w14:schemeClr w14:val="tx1"/>
            </w14:solidFill>
          </w14:textFill>
        </w:rPr>
      </w:pPr>
      <w:r>
        <w:rPr>
          <w:sz w:val="25"/>
        </w:rPr>
        <mc:AlternateContent>
          <mc:Choice Requires="wps">
            <w:drawing>
              <wp:anchor distT="0" distB="0" distL="114300" distR="114300" simplePos="0" relativeHeight="251663360" behindDoc="1" locked="0" layoutInCell="1" allowOverlap="1">
                <wp:simplePos x="0" y="0"/>
                <wp:positionH relativeFrom="column">
                  <wp:posOffset>336550</wp:posOffset>
                </wp:positionH>
                <wp:positionV relativeFrom="paragraph">
                  <wp:posOffset>17145</wp:posOffset>
                </wp:positionV>
                <wp:extent cx="2371725" cy="1403350"/>
                <wp:effectExtent l="5080" t="5080" r="15875" b="8890"/>
                <wp:wrapTight wrapText="bothSides">
                  <wp:wrapPolygon>
                    <wp:start x="925" y="-78"/>
                    <wp:lineTo x="-46" y="1564"/>
                    <wp:lineTo x="-46" y="20329"/>
                    <wp:lineTo x="1064" y="21502"/>
                    <wp:lineTo x="20357" y="21502"/>
                    <wp:lineTo x="21467" y="20329"/>
                    <wp:lineTo x="21467" y="1095"/>
                    <wp:lineTo x="20495" y="-78"/>
                    <wp:lineTo x="925" y="-78"/>
                  </wp:wrapPolygon>
                </wp:wrapTight>
                <wp:docPr id="7" name="圆角矩形 7"/>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wps:txbx>
                      <wps:bodyPr upright="1"/>
                    </wps:wsp>
                  </a:graphicData>
                </a:graphic>
              </wp:anchor>
            </w:drawing>
          </mc:Choice>
          <mc:Fallback>
            <w:pict>
              <v:roundrect id="_x0000_s1026" o:spid="_x0000_s1026" o:spt="2" style="position:absolute;left:0pt;margin-left:26.5pt;margin-top:1.35pt;height:110.5pt;width:186.75pt;mso-wrap-distance-left:9pt;mso-wrap-distance-right:9pt;z-index:-251653120;mso-width-relative:page;mso-height-relative:page;" fillcolor="#FFFFFF" filled="t" stroked="t" coordsize="21600,21600" wrapcoords="925 -78 -46 1564 -46 20329 1064 21502 20357 21502 21467 20329 21467 1095 20495 -78 925 -78"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dq3CjV&#10;AAAACAEAAA8AAAAAAAAAAQAgAAAAIgAAAGRycy9kb3ducmV2LnhtbFBLAQIUABQAAAAIAIdO4kCQ&#10;DQGFIwIAAFcEAAAOAAAAAAAAAAEAIAAAACQBAABkcnMvZTJvRG9jLnhtbFBLBQYAAAAABgAGAFkB&#10;AAC5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v:textbox>
                <w10:wrap type="tight"/>
              </v:roundrect>
            </w:pict>
          </mc:Fallback>
        </mc:AlternateContent>
      </w:r>
    </w:p>
    <w:p>
      <w:pPr>
        <w:pStyle w:val="2"/>
        <w:numPr>
          <w:ilvl w:val="0"/>
          <w:numId w:val="0"/>
        </w:numPr>
        <w:kinsoku w:val="0"/>
        <w:overflowPunct w:val="0"/>
        <w:spacing w:line="200" w:lineRule="atLeast"/>
        <w:rPr>
          <w:rFonts w:ascii="仿宋" w:hAnsi="仿宋" w:eastAsia="仿宋" w:cs="仿宋"/>
          <w:color w:val="000000" w:themeColor="text1"/>
          <w:sz w:val="20"/>
          <w:szCs w:val="20"/>
          <w14:textFill>
            <w14:solidFill>
              <w14:schemeClr w14:val="tx1"/>
            </w14:solidFill>
          </w14:textFill>
        </w:rPr>
      </w:pPr>
    </w:p>
    <w:p>
      <w:pPr>
        <w:wordWrap w:val="0"/>
        <w:spacing w:line="420" w:lineRule="exact"/>
        <w:ind w:firstLine="486" w:firstLineChars="200"/>
        <w:jc w:val="right"/>
        <w:rPr>
          <w:rFonts w:ascii="仿宋" w:hAnsi="仿宋" w:eastAsia="仿宋" w:cs="仿宋"/>
          <w:color w:val="000000" w:themeColor="text1"/>
          <w14:textFill>
            <w14:solidFill>
              <w14:schemeClr w14:val="tx1"/>
            </w14:solidFill>
          </w14:textFill>
        </w:rPr>
      </w:pPr>
    </w:p>
    <w:p>
      <w:pPr>
        <w:pStyle w:val="2"/>
        <w:numPr>
          <w:ilvl w:val="0"/>
          <w:numId w:val="0"/>
        </w:numPr>
        <w:kinsoku w:val="0"/>
        <w:overflowPunct w:val="0"/>
        <w:spacing w:before="34" w:line="357" w:lineRule="auto"/>
        <w:ind w:right="126"/>
        <w:jc w:val="both"/>
        <w:rPr>
          <w:rFonts w:ascii="仿宋" w:hAnsi="仿宋" w:eastAsia="仿宋" w:cs="仿宋"/>
          <w:color w:val="000000" w:themeColor="text1"/>
          <w:lang w:eastAsia="zh-CN"/>
          <w14:textFill>
            <w14:solidFill>
              <w14:schemeClr w14:val="tx1"/>
            </w14:solidFill>
          </w14:textFill>
        </w:rPr>
      </w:pPr>
    </w:p>
    <w:p>
      <w:pPr>
        <w:pStyle w:val="2"/>
        <w:numPr>
          <w:ilvl w:val="0"/>
          <w:numId w:val="0"/>
        </w:numPr>
        <w:kinsoku w:val="0"/>
        <w:overflowPunct w:val="0"/>
        <w:spacing w:before="34" w:line="357" w:lineRule="auto"/>
        <w:ind w:right="126"/>
        <w:jc w:val="both"/>
        <w:rPr>
          <w:rFonts w:hint="eastAsia" w:ascii="仿宋" w:hAnsi="仿宋" w:eastAsia="仿宋" w:cs="仿宋"/>
          <w:color w:val="000000" w:themeColor="text1"/>
          <w:sz w:val="24"/>
          <w:lang w:eastAsia="zh-CN"/>
          <w14:textFill>
            <w14:solidFill>
              <w14:schemeClr w14:val="tx1"/>
            </w14:solidFill>
          </w14:textFill>
        </w:rPr>
      </w:pPr>
    </w:p>
    <w:p>
      <w:pPr>
        <w:pStyle w:val="2"/>
        <w:numPr>
          <w:ilvl w:val="0"/>
          <w:numId w:val="0"/>
        </w:numPr>
        <w:kinsoku w:val="0"/>
        <w:overflowPunct w:val="0"/>
        <w:spacing w:before="34" w:line="357" w:lineRule="auto"/>
        <w:ind w:right="126"/>
        <w:jc w:val="both"/>
        <w:rPr>
          <w:rFonts w:hint="eastAsia" w:ascii="仿宋" w:hAnsi="仿宋" w:eastAsia="仿宋" w:cs="仿宋"/>
          <w:color w:val="000000" w:themeColor="text1"/>
          <w:sz w:val="24"/>
          <w:lang w:eastAsia="zh-CN"/>
          <w14:textFill>
            <w14:solidFill>
              <w14:schemeClr w14:val="tx1"/>
            </w14:solidFill>
          </w14:textFill>
        </w:rPr>
      </w:pPr>
    </w:p>
    <w:p>
      <w:pPr>
        <w:pStyle w:val="2"/>
        <w:numPr>
          <w:ilvl w:val="0"/>
          <w:numId w:val="0"/>
        </w:numPr>
        <w:kinsoku w:val="0"/>
        <w:overflowPunct w:val="0"/>
        <w:spacing w:before="34" w:line="357" w:lineRule="auto"/>
        <w:ind w:right="126"/>
        <w:jc w:val="both"/>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投标单位名称：                       （公章）</w:t>
      </w:r>
    </w:p>
    <w:p>
      <w:pPr>
        <w:pStyle w:val="2"/>
        <w:numPr>
          <w:ilvl w:val="0"/>
          <w:numId w:val="0"/>
        </w:numPr>
        <w:kinsoku w:val="0"/>
        <w:overflowPunct w:val="0"/>
        <w:spacing w:before="34" w:line="357" w:lineRule="auto"/>
        <w:ind w:right="126"/>
        <w:jc w:val="both"/>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法定代表人（签字或盖章）：           </w:t>
      </w:r>
      <w:r>
        <w:rPr>
          <w:rFonts w:hint="eastAsia" w:ascii="仿宋" w:hAnsi="仿宋" w:eastAsia="仿宋" w:cs="仿宋"/>
          <w:color w:val="000000" w:themeColor="text1"/>
          <w:lang w:eastAsia="zh-CN"/>
          <w14:textFill>
            <w14:solidFill>
              <w14:schemeClr w14:val="tx1"/>
            </w14:solidFill>
          </w14:textFill>
        </w:rPr>
        <w:t xml:space="preserve">      </w:t>
      </w:r>
    </w:p>
    <w:p>
      <w:pPr>
        <w:pStyle w:val="2"/>
        <w:numPr>
          <w:ilvl w:val="0"/>
          <w:numId w:val="0"/>
        </w:numPr>
        <w:kinsoku w:val="0"/>
        <w:overflowPunct w:val="0"/>
        <w:spacing w:before="34" w:line="357" w:lineRule="auto"/>
        <w:ind w:right="126"/>
        <w:jc w:val="both"/>
        <w:rPr>
          <w:rFonts w:ascii="仿宋" w:hAnsi="仿宋" w:eastAsia="仿宋" w:cs="仿宋"/>
          <w:color w:val="000000" w:themeColor="text1"/>
          <w:lang w:eastAsia="zh-CN"/>
          <w14:textFill>
            <w14:solidFill>
              <w14:schemeClr w14:val="tx1"/>
            </w14:solidFill>
          </w14:textFill>
        </w:rPr>
      </w:pPr>
    </w:p>
    <w:p>
      <w:pPr>
        <w:pStyle w:val="2"/>
        <w:numPr>
          <w:ilvl w:val="0"/>
          <w:numId w:val="0"/>
        </w:numPr>
        <w:kinsoku w:val="0"/>
        <w:overflowPunct w:val="0"/>
        <w:spacing w:before="34" w:line="357" w:lineRule="auto"/>
        <w:ind w:right="126"/>
        <w:jc w:val="both"/>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    日  期：   年  月  日</w:t>
      </w:r>
    </w:p>
    <w:p>
      <w:pPr>
        <w:pStyle w:val="2"/>
        <w:numPr>
          <w:ilvl w:val="0"/>
          <w:numId w:val="0"/>
        </w:numPr>
        <w:kinsoku w:val="0"/>
        <w:overflowPunct w:val="0"/>
        <w:spacing w:before="34" w:line="357" w:lineRule="auto"/>
        <w:ind w:left="480" w:right="126"/>
        <w:jc w:val="center"/>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r>
        <w:rPr>
          <w:rFonts w:hint="eastAsia" w:ascii="仿宋" w:hAnsi="仿宋" w:eastAsia="仿宋" w:cs="仿宋"/>
          <w:b/>
          <w:bCs/>
          <w:color w:val="000000" w:themeColor="text1"/>
          <w:sz w:val="36"/>
          <w:szCs w:val="36"/>
          <w:lang w:eastAsia="zh-CN"/>
          <w14:textFill>
            <w14:solidFill>
              <w14:schemeClr w14:val="tx1"/>
            </w14:solidFill>
          </w14:textFill>
        </w:rPr>
        <w:t>3、授权委托书</w:t>
      </w:r>
    </w:p>
    <w:p>
      <w:pPr>
        <w:spacing w:line="42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致：采购人名称 </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本授权书声明：注册于</w:t>
      </w:r>
      <w:r>
        <w:rPr>
          <w:rFonts w:hint="eastAsia" w:ascii="仿宋" w:hAnsi="仿宋" w:eastAsia="仿宋" w:cs="仿宋"/>
          <w:color w:val="000000" w:themeColor="text1"/>
          <w:u w:val="single"/>
          <w:lang w:eastAsia="zh-CN"/>
          <w14:textFill>
            <w14:solidFill>
              <w14:schemeClr w14:val="tx1"/>
            </w14:solidFill>
          </w14:textFill>
        </w:rPr>
        <w:t>（供应商地址）</w:t>
      </w:r>
      <w:r>
        <w:rPr>
          <w:rFonts w:hint="eastAsia" w:ascii="仿宋" w:hAnsi="仿宋" w:eastAsia="仿宋" w:cs="仿宋"/>
          <w:color w:val="000000" w:themeColor="text1"/>
          <w:lang w:eastAsia="zh-CN"/>
          <w14:textFill>
            <w14:solidFill>
              <w14:schemeClr w14:val="tx1"/>
            </w14:solidFill>
          </w14:textFill>
        </w:rPr>
        <w:t>的</w:t>
      </w:r>
      <w:r>
        <w:rPr>
          <w:rFonts w:hint="eastAsia" w:ascii="仿宋" w:hAnsi="仿宋" w:eastAsia="仿宋" w:cs="仿宋"/>
          <w:color w:val="000000" w:themeColor="text1"/>
          <w:u w:val="single"/>
          <w:lang w:eastAsia="zh-CN"/>
          <w14:textFill>
            <w14:solidFill>
              <w14:schemeClr w14:val="tx1"/>
            </w14:solidFill>
          </w14:textFill>
        </w:rPr>
        <w:t>（供应商名称）</w:t>
      </w:r>
      <w:r>
        <w:rPr>
          <w:rFonts w:hint="eastAsia" w:ascii="仿宋" w:hAnsi="仿宋" w:eastAsia="仿宋" w:cs="仿宋"/>
          <w:color w:val="000000" w:themeColor="text1"/>
          <w:lang w:eastAsia="zh-CN"/>
          <w14:textFill>
            <w14:solidFill>
              <w14:schemeClr w14:val="tx1"/>
            </w14:solidFill>
          </w14:textFill>
        </w:rPr>
        <w:t>法定代表人（负责人）</w:t>
      </w:r>
      <w:r>
        <w:rPr>
          <w:rFonts w:hint="eastAsia" w:ascii="仿宋" w:hAnsi="仿宋" w:eastAsia="仿宋" w:cs="仿宋"/>
          <w:color w:val="000000" w:themeColor="text1"/>
          <w:u w:val="single"/>
          <w:lang w:eastAsia="zh-CN"/>
          <w14:textFill>
            <w14:solidFill>
              <w14:schemeClr w14:val="tx1"/>
            </w14:solidFill>
          </w14:textFill>
        </w:rPr>
        <w:t>姓名、职务或职称）</w:t>
      </w:r>
      <w:r>
        <w:rPr>
          <w:rFonts w:hint="eastAsia" w:ascii="仿宋" w:hAnsi="仿宋" w:eastAsia="仿宋" w:cs="仿宋"/>
          <w:color w:val="000000" w:themeColor="text1"/>
          <w:lang w:eastAsia="zh-CN"/>
          <w14:textFill>
            <w14:solidFill>
              <w14:schemeClr w14:val="tx1"/>
            </w14:solidFill>
          </w14:textFill>
        </w:rPr>
        <w:t>代表本公司授权</w:t>
      </w:r>
      <w:r>
        <w:rPr>
          <w:rFonts w:hint="eastAsia" w:ascii="仿宋" w:hAnsi="仿宋" w:eastAsia="仿宋" w:cs="仿宋"/>
          <w:color w:val="000000" w:themeColor="text1"/>
          <w:u w:val="single"/>
          <w:lang w:eastAsia="zh-CN"/>
          <w14:textFill>
            <w14:solidFill>
              <w14:schemeClr w14:val="tx1"/>
            </w14:solidFill>
          </w14:textFill>
        </w:rPr>
        <w:t>（姓名）</w:t>
      </w:r>
      <w:r>
        <w:rPr>
          <w:rFonts w:hint="eastAsia" w:ascii="仿宋" w:hAnsi="仿宋" w:eastAsia="仿宋" w:cs="仿宋"/>
          <w:color w:val="000000" w:themeColor="text1"/>
          <w:lang w:eastAsia="zh-CN"/>
          <w14:textFill>
            <w14:solidFill>
              <w14:schemeClr w14:val="tx1"/>
            </w14:solidFill>
          </w14:textFill>
        </w:rPr>
        <w:t>为本单位的合法代理人，参与贵方组织的</w:t>
      </w:r>
      <w:r>
        <w:rPr>
          <w:rFonts w:hint="eastAsia" w:ascii="仿宋" w:hAnsi="仿宋" w:eastAsia="仿宋" w:cs="仿宋"/>
          <w:color w:val="000000" w:themeColor="text1"/>
          <w:u w:val="single"/>
          <w:lang w:eastAsia="zh-CN"/>
          <w14:textFill>
            <w14:solidFill>
              <w14:schemeClr w14:val="tx1"/>
            </w14:solidFill>
          </w14:textFill>
        </w:rPr>
        <w:t>（项目名称及项目编号）</w:t>
      </w:r>
      <w:r>
        <w:rPr>
          <w:rFonts w:hint="eastAsia" w:ascii="仿宋" w:hAnsi="仿宋" w:eastAsia="仿宋" w:cs="仿宋"/>
          <w:color w:val="000000" w:themeColor="text1"/>
          <w:lang w:eastAsia="zh-CN"/>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2"/>
        <w:tabs>
          <w:tab w:val="left" w:pos="780"/>
        </w:tabs>
        <w:kinsoku w:val="0"/>
        <w:overflowPunct w:val="0"/>
        <w:adjustRightInd w:val="0"/>
        <w:snapToGrid w:val="0"/>
        <w:spacing w:before="12"/>
        <w:rPr>
          <w:rFonts w:ascii="仿宋" w:hAnsi="仿宋" w:eastAsia="仿宋" w:cs="仿宋"/>
          <w:color w:val="000000" w:themeColor="text1"/>
          <w:sz w:val="4"/>
          <w:szCs w:val="4"/>
          <w:lang w:eastAsia="zh-CN"/>
          <w14:textFill>
            <w14:solidFill>
              <w14:schemeClr w14:val="tx1"/>
            </w14:solidFill>
          </w14:textFill>
        </w:rPr>
      </w:pPr>
    </w:p>
    <w:p>
      <w:pPr>
        <w:pStyle w:val="2"/>
        <w:numPr>
          <w:ilvl w:val="0"/>
          <w:numId w:val="0"/>
        </w:numPr>
        <w:kinsoku w:val="0"/>
        <w:overflowPunct w:val="0"/>
        <w:adjustRightInd w:val="0"/>
        <w:snapToGrid w:val="0"/>
        <w:spacing w:line="200" w:lineRule="atLeast"/>
        <w:ind w:right="1931" w:rightChars="795"/>
        <w:jc w:val="both"/>
        <w:rPr>
          <w:rFonts w:ascii="仿宋" w:hAnsi="仿宋" w:eastAsia="仿宋" w:cs="仿宋"/>
          <w:color w:val="000000" w:themeColor="text1"/>
          <w:sz w:val="18"/>
          <w:szCs w:val="20"/>
          <w14:textFill>
            <w14:solidFill>
              <w14:schemeClr w14:val="tx1"/>
            </w14:solidFill>
          </w14:textFill>
        </w:rPr>
      </w:pPr>
      <w:r>
        <w:rPr>
          <w:sz w:val="18"/>
        </w:rPr>
        <mc:AlternateContent>
          <mc:Choice Requires="wps">
            <w:drawing>
              <wp:anchor distT="0" distB="0" distL="114300" distR="114300" simplePos="0" relativeHeight="251662336" behindDoc="0" locked="0" layoutInCell="1" allowOverlap="1">
                <wp:simplePos x="0" y="0"/>
                <wp:positionH relativeFrom="column">
                  <wp:posOffset>252730</wp:posOffset>
                </wp:positionH>
                <wp:positionV relativeFrom="paragraph">
                  <wp:posOffset>1524635</wp:posOffset>
                </wp:positionV>
                <wp:extent cx="2348230" cy="1367155"/>
                <wp:effectExtent l="4445" t="4445" r="9525" b="15240"/>
                <wp:wrapSquare wrapText="bothSides"/>
                <wp:docPr id="4" name="圆角矩形 4"/>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wps:txbx>
                      <wps:bodyPr upright="1"/>
                    </wps:wsp>
                  </a:graphicData>
                </a:graphic>
              </wp:anchor>
            </w:drawing>
          </mc:Choice>
          <mc:Fallback>
            <w:pict>
              <v:roundrect id="_x0000_s1026" o:spid="_x0000_s1026" o:spt="2" style="position:absolute;left:0pt;margin-left:19.9pt;margin-top:120.05pt;height:107.65pt;width:184.9pt;mso-wrap-distance-bottom:0pt;mso-wrap-distance-left:9pt;mso-wrap-distance-right:9pt;mso-wrap-distance-top:0pt;z-index:251662336;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onz&#10;itcAAAAKAQAADwAAAAAAAAABACAAAAAiAAAAZHJzL2Rvd25yZXYueG1sUEsBAhQAFAAAAAgAh07i&#10;QMsFvoMjAgAAVwQAAA4AAAAAAAAAAQAgAAAAJgEAAGRycy9lMm9Eb2MueG1sUEsFBgAAAAAGAAYA&#10;WQEAALsFA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v:textbox>
                <w10:wrap type="square"/>
              </v:roundrect>
            </w:pict>
          </mc:Fallback>
        </mc:AlternateContent>
      </w:r>
      <w:r>
        <w:rPr>
          <w:rFonts w:hint="default"/>
          <w:sz w:val="18"/>
          <w:lang w:val="en-US"/>
        </w:rPr>
        <mc:AlternateContent>
          <mc:Choice Requires="wps">
            <w:drawing>
              <wp:anchor distT="0" distB="0" distL="114300" distR="114300" simplePos="0" relativeHeight="251660288" behindDoc="1" locked="0" layoutInCell="1" allowOverlap="1">
                <wp:simplePos x="0" y="0"/>
                <wp:positionH relativeFrom="column">
                  <wp:posOffset>214630</wp:posOffset>
                </wp:positionH>
                <wp:positionV relativeFrom="paragraph">
                  <wp:posOffset>62865</wp:posOffset>
                </wp:positionV>
                <wp:extent cx="2378075" cy="1367155"/>
                <wp:effectExtent l="4445" t="4445" r="10160" b="15240"/>
                <wp:wrapTight wrapText="bothSides">
                  <wp:wrapPolygon>
                    <wp:start x="929" y="-70"/>
                    <wp:lineTo x="-40" y="1134"/>
                    <wp:lineTo x="-40" y="19915"/>
                    <wp:lineTo x="790" y="21359"/>
                    <wp:lineTo x="20585" y="21359"/>
                    <wp:lineTo x="20862" y="21359"/>
                    <wp:lineTo x="21554" y="19674"/>
                    <wp:lineTo x="21554" y="1615"/>
                    <wp:lineTo x="20585" y="-70"/>
                    <wp:lineTo x="929" y="-70"/>
                  </wp:wrapPolygon>
                </wp:wrapTight>
                <wp:docPr id="2" name="圆角矩形 2"/>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pPr>
                              <w:rPr>
                                <w:rFonts w:hint="eastAsia"/>
                                <w:lang w:val="en-US" w:eastAsia="zh-CN"/>
                              </w:rPr>
                            </w:pPr>
                          </w:p>
                        </w:txbxContent>
                      </wps:txbx>
                      <wps:bodyPr upright="1"/>
                    </wps:wsp>
                  </a:graphicData>
                </a:graphic>
              </wp:anchor>
            </w:drawing>
          </mc:Choice>
          <mc:Fallback>
            <w:pict>
              <v:roundrect id="_x0000_s1026" o:spid="_x0000_s1026" o:spt="2" style="position:absolute;left:0pt;margin-left:16.9pt;margin-top:4.95pt;height:107.65pt;width:187.25pt;mso-wrap-distance-left:9pt;mso-wrap-distance-right:9pt;z-index:-251656192;mso-width-relative:page;mso-height-relative:page;" fillcolor="#FFFFFF" filled="t" stroked="t" coordsize="21600,21600" wrapcoords="929 -70 -40 1134 -40 19915 790 21359 20585 21359 20862 21359 21554 19674 21554 1615 20585 -70 929 -70"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AZ&#10;f/beIwIAAFcEAAAOAAAAAAAAAAEAIAAAACQBAABkcnMvZTJvRG9jLnhtbFBLBQYAAAAABgAGAFkB&#10;AAC5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pPr>
                        <w:rPr>
                          <w:rFonts w:hint="eastAsia"/>
                          <w:lang w:val="en-US" w:eastAsia="zh-CN"/>
                        </w:rPr>
                      </w:pPr>
                    </w:p>
                  </w:txbxContent>
                </v:textbox>
                <w10:wrap type="tight"/>
              </v:roundrect>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5240"/>
                <wp:wrapSquare wrapText="bothSides"/>
                <wp:docPr id="6" name="圆角矩形 6"/>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wps:txbx>
                      <wps:bodyPr upright="1"/>
                    </wps:wsp>
                  </a:graphicData>
                </a:graphic>
              </wp:anchor>
            </w:drawing>
          </mc:Choice>
          <mc:Fallback>
            <w:pict>
              <v:roundrect id="_x0000_s1026" o:spid="_x0000_s1026" o:spt="2" style="position:absolute;left:0pt;margin-left:229.95pt;margin-top:120.05pt;height:107.65pt;width:184.35pt;mso-wrap-distance-bottom:0pt;mso-wrap-distance-left:9pt;mso-wrap-distance-right:9pt;mso-wrap-distance-top:0pt;z-index:251663360;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c4/TNCMCAABXBAAADgAAAAAAAAABACAAAAAlAQAAZHJzL2Uyb0RvYy54bWxQSwUGAAAAAAYABgBZ&#10;AQAAugU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v:textbox>
                <w10:wrap type="square"/>
              </v:roundrect>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2902585</wp:posOffset>
                </wp:positionH>
                <wp:positionV relativeFrom="paragraph">
                  <wp:posOffset>41275</wp:posOffset>
                </wp:positionV>
                <wp:extent cx="2327275" cy="1367155"/>
                <wp:effectExtent l="4445" t="4445" r="15240" b="15240"/>
                <wp:wrapSquare wrapText="bothSides"/>
                <wp:docPr id="3" name="圆角矩形 3"/>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txbxContent>
                      </wps:txbx>
                      <wps:bodyPr upright="1"/>
                    </wps:wsp>
                  </a:graphicData>
                </a:graphic>
              </wp:anchor>
            </w:drawing>
          </mc:Choice>
          <mc:Fallback>
            <w:pict>
              <v:roundrect id="_x0000_s1026" o:spid="_x0000_s1026" o:spt="2" style="position:absolute;left:0pt;margin-left:228.55pt;margin-top:3.25pt;height:107.65pt;width:183.25pt;mso-wrap-distance-bottom:0pt;mso-wrap-distance-left:9pt;mso-wrap-distance-right:9pt;mso-wrap-distance-top:0pt;z-index:251661312;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S+tgtUA&#10;AAAJAQAADwAAAAAAAAABACAAAAAiAAAAZHJzL2Rvd25yZXYueG1sUEsBAhQAFAAAAAgAh07iQMe/&#10;NPsiAgAAVwQAAA4AAAAAAAAAAQAgAAAAJAEAAGRycy9lMm9Eb2MueG1sUEsFBgAAAAAGAAYAWQEA&#10;ALgFA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txbxContent>
                </v:textbox>
                <w10:wrap type="square"/>
              </v:roundrect>
            </w:pict>
          </mc:Fallback>
        </mc:AlternateContent>
      </w:r>
    </w:p>
    <w:p>
      <w:pPr>
        <w:pStyle w:val="2"/>
        <w:numPr>
          <w:ilvl w:val="0"/>
          <w:numId w:val="0"/>
        </w:numPr>
        <w:kinsoku w:val="0"/>
        <w:overflowPunct w:val="0"/>
        <w:adjustRightInd w:val="0"/>
        <w:snapToGrid w:val="0"/>
        <w:spacing w:line="200" w:lineRule="atLeast"/>
        <w:rPr>
          <w:rFonts w:ascii="仿宋" w:hAnsi="仿宋" w:eastAsia="仿宋" w:cs="仿宋"/>
          <w:color w:val="000000" w:themeColor="text1"/>
          <w:sz w:val="18"/>
          <w:szCs w:val="20"/>
          <w14:textFill>
            <w14:solidFill>
              <w14:schemeClr w14:val="tx1"/>
            </w14:solidFill>
          </w14:textFill>
        </w:rPr>
      </w:pPr>
    </w:p>
    <w:p>
      <w:pPr>
        <w:rPr>
          <w:rFonts w:ascii="仿宋" w:hAnsi="仿宋" w:eastAsia="仿宋" w:cs="仿宋"/>
          <w:color w:val="000000" w:themeColor="text1"/>
          <w:sz w:val="18"/>
          <w:szCs w:val="20"/>
          <w14:textFill>
            <w14:solidFill>
              <w14:schemeClr w14:val="tx1"/>
            </w14:solidFill>
          </w14:textFill>
        </w:rPr>
      </w:pPr>
    </w:p>
    <w:p>
      <w:pPr>
        <w:pStyle w:val="37"/>
        <w:rPr>
          <w:rFonts w:ascii="仿宋" w:hAnsi="仿宋" w:eastAsia="仿宋" w:cs="仿宋"/>
          <w:color w:val="000000" w:themeColor="text1"/>
          <w:sz w:val="18"/>
          <w:szCs w:val="20"/>
          <w14:textFill>
            <w14:solidFill>
              <w14:schemeClr w14:val="tx1"/>
            </w14:solidFill>
          </w14:textFill>
        </w:rPr>
      </w:pPr>
    </w:p>
    <w:p>
      <w:pPr>
        <w:pStyle w:val="37"/>
        <w:rPr>
          <w:rFonts w:ascii="仿宋" w:hAnsi="仿宋" w:eastAsia="仿宋" w:cs="仿宋"/>
          <w:color w:val="000000" w:themeColor="text1"/>
          <w:sz w:val="18"/>
          <w:szCs w:val="20"/>
          <w14:textFill>
            <w14:solidFill>
              <w14:schemeClr w14:val="tx1"/>
            </w14:solidFill>
          </w14:textFill>
        </w:rPr>
      </w:pPr>
    </w:p>
    <w:p>
      <w:pPr>
        <w:pStyle w:val="37"/>
        <w:rPr>
          <w:rFonts w:ascii="仿宋" w:hAnsi="仿宋" w:eastAsia="仿宋" w:cs="仿宋"/>
          <w:color w:val="000000" w:themeColor="text1"/>
          <w:sz w:val="18"/>
          <w:szCs w:val="20"/>
          <w14:textFill>
            <w14:solidFill>
              <w14:schemeClr w14:val="tx1"/>
            </w14:solidFill>
          </w14:textFill>
        </w:rPr>
      </w:pPr>
    </w:p>
    <w:p>
      <w:pPr>
        <w:pStyle w:val="37"/>
        <w:rPr>
          <w:rFonts w:ascii="仿宋" w:hAnsi="仿宋" w:eastAsia="仿宋" w:cs="仿宋"/>
          <w:color w:val="000000" w:themeColor="text1"/>
          <w:sz w:val="18"/>
          <w:szCs w:val="20"/>
          <w14:textFill>
            <w14:solidFill>
              <w14:schemeClr w14:val="tx1"/>
            </w14:solidFill>
          </w14:textFill>
        </w:rPr>
      </w:pPr>
    </w:p>
    <w:p>
      <w:pPr>
        <w:pStyle w:val="2"/>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000000" w:themeColor="text1"/>
          <w:sz w:val="24"/>
          <w:lang w:eastAsia="zh-CN"/>
          <w14:textFill>
            <w14:solidFill>
              <w14:schemeClr w14:val="tx1"/>
            </w14:solidFill>
          </w14:textFill>
        </w:rPr>
      </w:pPr>
    </w:p>
    <w:p>
      <w:pPr>
        <w:pStyle w:val="2"/>
        <w:numPr>
          <w:ilvl w:val="0"/>
          <w:numId w:val="0"/>
        </w:numPr>
        <w:tabs>
          <w:tab w:val="left" w:pos="5295"/>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被授权代表（签章）：          供应商法定代表人（签章）：</w:t>
      </w:r>
    </w:p>
    <w:p>
      <w:pPr>
        <w:pStyle w:val="2"/>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职</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务：</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职</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务：</w:t>
      </w:r>
    </w:p>
    <w:p>
      <w:pPr>
        <w:pStyle w:val="2"/>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电</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话：</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电</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话：</w:t>
      </w:r>
    </w:p>
    <w:p>
      <w:pPr>
        <w:pStyle w:val="2"/>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（盖章）</w:t>
      </w:r>
    </w:p>
    <w:p>
      <w:pPr>
        <w:pStyle w:val="2"/>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000000" w:themeColor="text1"/>
          <w:sz w:val="20"/>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 日期：</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年</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 xml:space="preserve">日 </w:t>
      </w:r>
      <w:r>
        <w:rPr>
          <w:rFonts w:hint="eastAsia" w:ascii="仿宋" w:hAnsi="仿宋" w:eastAsia="仿宋" w:cs="仿宋"/>
          <w:color w:val="000000" w:themeColor="text1"/>
          <w:sz w:val="20"/>
          <w:lang w:eastAsia="zh-CN"/>
          <w14:textFill>
            <w14:solidFill>
              <w14:schemeClr w14:val="tx1"/>
            </w14:solidFill>
          </w14:textFill>
        </w:rPr>
        <w:t xml:space="preserve">               </w:t>
      </w:r>
    </w:p>
    <w:p>
      <w:pPr>
        <w:pStyle w:val="37"/>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p>
    <w:p>
      <w:pPr>
        <w:pStyle w:val="4"/>
        <w:numPr>
          <w:ilvl w:val="0"/>
          <w:numId w:val="0"/>
        </w:numPr>
        <w:shd w:val="clear" w:color="auto" w:fill="auto"/>
        <w:spacing w:line="240" w:lineRule="atLeast"/>
        <w:ind w:right="0" w:rightChars="0"/>
        <w:jc w:val="center"/>
        <w:rPr>
          <w:rFonts w:ascii="仿宋" w:hAnsi="仿宋" w:eastAsia="仿宋" w:cs="仿宋"/>
          <w:bCs/>
          <w:color w:val="000000" w:themeColor="text1"/>
          <w:sz w:val="36"/>
          <w:szCs w:val="36"/>
          <w:lang w:eastAsia="zh-CN"/>
          <w14:textFill>
            <w14:solidFill>
              <w14:schemeClr w14:val="tx1"/>
            </w14:solidFill>
          </w14:textFill>
        </w:rPr>
      </w:pPr>
      <w:r>
        <w:rPr>
          <w:rFonts w:hint="eastAsia" w:ascii="仿宋" w:hAnsi="仿宋" w:eastAsia="仿宋" w:cs="仿宋"/>
          <w:bCs/>
          <w:color w:val="000000" w:themeColor="text1"/>
          <w:sz w:val="36"/>
          <w:szCs w:val="36"/>
          <w:lang w:val="en-US" w:eastAsia="zh-CN"/>
          <w14:textFill>
            <w14:solidFill>
              <w14:schemeClr w14:val="tx1"/>
            </w14:solidFill>
          </w14:textFill>
        </w:rPr>
        <w:t>4</w:t>
      </w:r>
      <w:r>
        <w:rPr>
          <w:rFonts w:hint="eastAsia" w:ascii="仿宋" w:hAnsi="仿宋" w:eastAsia="仿宋" w:cs="仿宋"/>
          <w:bCs/>
          <w:color w:val="000000" w:themeColor="text1"/>
          <w:sz w:val="36"/>
          <w:szCs w:val="36"/>
          <w:lang w:eastAsia="zh-CN"/>
          <w14:textFill>
            <w14:solidFill>
              <w14:schemeClr w14:val="tx1"/>
            </w14:solidFill>
          </w14:textFill>
        </w:rPr>
        <w:t>、投标保证金缴纳</w:t>
      </w:r>
      <w:r>
        <w:rPr>
          <w:rFonts w:hint="eastAsia" w:ascii="仿宋" w:hAnsi="仿宋" w:eastAsia="仿宋" w:cs="仿宋"/>
          <w:color w:val="000000" w:themeColor="text1"/>
          <w:sz w:val="32"/>
          <w:szCs w:val="22"/>
          <w:lang w:val="en-US" w:eastAsia="zh-CN"/>
          <w14:textFill>
            <w14:solidFill>
              <w14:schemeClr w14:val="tx1"/>
            </w14:solidFill>
          </w14:textFill>
        </w:rPr>
        <w:t>凭证</w:t>
      </w:r>
      <w:r>
        <w:rPr>
          <w:rFonts w:hint="eastAsia" w:ascii="仿宋" w:hAnsi="仿宋" w:eastAsia="仿宋" w:cs="仿宋"/>
          <w:bCs/>
          <w:color w:val="000000" w:themeColor="text1"/>
          <w:sz w:val="36"/>
          <w:szCs w:val="36"/>
          <w:lang w:eastAsia="zh-CN"/>
          <w14:textFill>
            <w14:solidFill>
              <w14:schemeClr w14:val="tx1"/>
            </w14:solidFill>
          </w14:textFill>
        </w:rPr>
        <w:t>或投标担保函</w:t>
      </w:r>
    </w:p>
    <w:p>
      <w:pPr>
        <w:ind w:firstLine="486" w:firstLineChars="200"/>
        <w:rPr>
          <w:rFonts w:ascii="仿宋" w:hAnsi="仿宋" w:eastAsia="仿宋" w:cs="仿宋"/>
          <w:color w:val="000000" w:themeColor="text1"/>
          <w:lang w:eastAsia="zh-CN"/>
          <w14:textFill>
            <w14:solidFill>
              <w14:schemeClr w14:val="tx1"/>
            </w14:solidFill>
          </w14:textFill>
        </w:rPr>
      </w:pPr>
      <w:bookmarkStart w:id="84" w:name="_Toc494296665"/>
      <w:bookmarkStart w:id="85" w:name="_Toc494296991"/>
    </w:p>
    <w:bookmarkEnd w:id="84"/>
    <w:bookmarkEnd w:id="85"/>
    <w:p>
      <w:pPr>
        <w:pStyle w:val="8"/>
        <w:rPr>
          <w:rFonts w:ascii="仿宋" w:hAnsi="仿宋" w:eastAsia="仿宋" w:cs="仿宋"/>
          <w:color w:val="000000" w:themeColor="text1"/>
          <w:lang w:eastAsia="zh-CN"/>
          <w14:textFill>
            <w14:solidFill>
              <w14:schemeClr w14:val="tx1"/>
            </w14:solidFill>
          </w14:textFill>
        </w:rPr>
      </w:pPr>
    </w:p>
    <w:tbl>
      <w:tblPr>
        <w:tblStyle w:val="2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000000" w:themeColor="text1"/>
                <w:sz w:val="30"/>
                <w:szCs w:val="30"/>
                <w:lang w:eastAsia="zh-CN"/>
                <w14:textFill>
                  <w14:solidFill>
                    <w14:schemeClr w14:val="tx1"/>
                  </w14:solidFill>
                </w14:textFill>
              </w:rPr>
            </w:pPr>
          </w:p>
          <w:p>
            <w:pPr>
              <w:jc w:val="center"/>
              <w:rPr>
                <w:rFonts w:ascii="仿宋" w:hAnsi="仿宋" w:eastAsia="仿宋" w:cs="仿宋"/>
                <w:b/>
                <w:bCs/>
                <w:color w:val="000000" w:themeColor="text1"/>
                <w:sz w:val="30"/>
                <w:szCs w:val="30"/>
                <w:lang w:eastAsia="zh-CN"/>
                <w14:textFill>
                  <w14:solidFill>
                    <w14:schemeClr w14:val="tx1"/>
                  </w14:solidFill>
                </w14:textFill>
              </w:rPr>
            </w:pPr>
          </w:p>
          <w:p>
            <w:pPr>
              <w:jc w:val="center"/>
              <w:rPr>
                <w:rFonts w:ascii="仿宋" w:hAnsi="仿宋" w:eastAsia="仿宋" w:cs="仿宋"/>
                <w:b/>
                <w:bCs/>
                <w:color w:val="000000" w:themeColor="text1"/>
                <w:sz w:val="30"/>
                <w:szCs w:val="30"/>
                <w:lang w:eastAsia="zh-CN"/>
                <w14:textFill>
                  <w14:solidFill>
                    <w14:schemeClr w14:val="tx1"/>
                  </w14:solidFill>
                </w14:textFill>
              </w:rPr>
            </w:pPr>
          </w:p>
          <w:p>
            <w:pPr>
              <w:jc w:val="center"/>
              <w:rPr>
                <w:rFonts w:ascii="仿宋" w:hAnsi="仿宋" w:eastAsia="仿宋" w:cs="仿宋"/>
                <w:b/>
                <w:bCs/>
                <w:color w:val="000000" w:themeColor="text1"/>
                <w:sz w:val="30"/>
                <w:szCs w:val="30"/>
                <w:lang w:eastAsia="zh-CN"/>
                <w14:textFill>
                  <w14:solidFill>
                    <w14:schemeClr w14:val="tx1"/>
                  </w14:solidFill>
                </w14:textFill>
              </w:rPr>
            </w:pPr>
          </w:p>
          <w:p>
            <w:pPr>
              <w:jc w:val="cente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投标保证金收据</w:t>
            </w:r>
          </w:p>
        </w:tc>
      </w:tr>
    </w:tbl>
    <w:p>
      <w:pPr>
        <w:pStyle w:val="8"/>
        <w:rPr>
          <w:rFonts w:ascii="仿宋" w:hAnsi="仿宋" w:eastAsia="仿宋" w:cs="仿宋"/>
          <w:color w:val="000000" w:themeColor="text1"/>
          <w14:textFill>
            <w14:solidFill>
              <w14:schemeClr w14:val="tx1"/>
            </w14:solidFill>
          </w14:textFill>
        </w:rPr>
      </w:pPr>
    </w:p>
    <w:p>
      <w:pPr>
        <w:spacing w:line="240" w:lineRule="atLeast"/>
        <w:ind w:left="1164" w:leftChars="257" w:hanging="540"/>
        <w:jc w:val="center"/>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p>
    <w:tbl>
      <w:tblPr>
        <w:tblStyle w:val="2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000000" w:themeColor="text1"/>
                <w:sz w:val="30"/>
                <w:szCs w:val="30"/>
                <w14:textFill>
                  <w14:solidFill>
                    <w14:schemeClr w14:val="tx1"/>
                  </w14:solidFill>
                </w14:textFill>
              </w:rPr>
            </w:pPr>
          </w:p>
          <w:p>
            <w:pPr>
              <w:jc w:val="center"/>
              <w:rPr>
                <w:rFonts w:ascii="仿宋" w:hAnsi="仿宋" w:eastAsia="仿宋" w:cs="仿宋"/>
                <w:b/>
                <w:bCs/>
                <w:color w:val="000000" w:themeColor="text1"/>
                <w:sz w:val="30"/>
                <w:szCs w:val="30"/>
                <w14:textFill>
                  <w14:solidFill>
                    <w14:schemeClr w14:val="tx1"/>
                  </w14:solidFill>
                </w14:textFill>
              </w:rPr>
            </w:pPr>
          </w:p>
          <w:p>
            <w:pPr>
              <w:jc w:val="center"/>
              <w:rPr>
                <w:rFonts w:ascii="仿宋" w:hAnsi="仿宋" w:eastAsia="仿宋" w:cs="仿宋"/>
                <w:b/>
                <w:bCs/>
                <w:color w:val="000000" w:themeColor="text1"/>
                <w:sz w:val="30"/>
                <w:szCs w:val="30"/>
                <w14:textFill>
                  <w14:solidFill>
                    <w14:schemeClr w14:val="tx1"/>
                  </w14:solidFill>
                </w14:textFill>
              </w:rPr>
            </w:pPr>
          </w:p>
          <w:p>
            <w:pPr>
              <w:jc w:val="center"/>
              <w:rPr>
                <w:rFonts w:ascii="仿宋" w:hAnsi="仿宋" w:eastAsia="仿宋" w:cs="仿宋"/>
                <w:b/>
                <w:bCs/>
                <w:color w:val="000000" w:themeColor="text1"/>
                <w:sz w:val="30"/>
                <w:szCs w:val="30"/>
                <w14:textFill>
                  <w14:solidFill>
                    <w14:schemeClr w14:val="tx1"/>
                  </w14:solidFill>
                </w14:textFill>
              </w:rPr>
            </w:pPr>
          </w:p>
          <w:p>
            <w:pPr>
              <w:jc w:val="center"/>
              <w:rPr>
                <w:rFonts w:ascii="仿宋" w:hAnsi="仿宋" w:eastAsia="仿宋" w:cs="仿宋"/>
                <w:b/>
                <w:bCs/>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打款凭证</w:t>
            </w:r>
          </w:p>
        </w:tc>
      </w:tr>
    </w:tbl>
    <w:p>
      <w:pPr>
        <w:pStyle w:val="8"/>
        <w:rPr>
          <w:rFonts w:ascii="仿宋" w:hAnsi="仿宋" w:eastAsia="仿宋" w:cs="仿宋"/>
          <w:color w:val="000000" w:themeColor="text1"/>
          <w14:textFill>
            <w14:solidFill>
              <w14:schemeClr w14:val="tx1"/>
            </w14:solidFill>
          </w14:textFill>
        </w:rPr>
      </w:pPr>
    </w:p>
    <w:p>
      <w:pPr>
        <w:pStyle w:val="8"/>
        <w:rPr>
          <w:rFonts w:ascii="仿宋" w:hAnsi="仿宋" w:eastAsia="仿宋" w:cs="仿宋"/>
          <w:color w:val="000000" w:themeColor="text1"/>
          <w14:textFill>
            <w14:solidFill>
              <w14:schemeClr w14:val="tx1"/>
            </w14:solidFill>
          </w14:textFill>
        </w:rPr>
      </w:pPr>
    </w:p>
    <w:p>
      <w:pPr>
        <w:pStyle w:val="8"/>
        <w:rPr>
          <w:rFonts w:ascii="仿宋" w:hAnsi="仿宋" w:eastAsia="仿宋" w:cs="仿宋"/>
          <w:color w:val="000000" w:themeColor="text1"/>
          <w14:textFill>
            <w14:solidFill>
              <w14:schemeClr w14:val="tx1"/>
            </w14:solidFill>
          </w14:textFill>
        </w:rPr>
      </w:pPr>
    </w:p>
    <w:p>
      <w:pPr>
        <w:pStyle w:val="8"/>
        <w:rPr>
          <w:rFonts w:ascii="仿宋" w:hAnsi="仿宋" w:eastAsia="仿宋" w:cs="仿宋"/>
          <w:color w:val="000000" w:themeColor="text1"/>
          <w14:textFill>
            <w14:solidFill>
              <w14:schemeClr w14:val="tx1"/>
            </w14:solidFill>
          </w14:textFill>
        </w:rPr>
      </w:pPr>
    </w:p>
    <w:p>
      <w:pPr>
        <w:pStyle w:val="8"/>
        <w:rPr>
          <w:rFonts w:ascii="仿宋" w:hAnsi="仿宋" w:eastAsia="仿宋" w:cs="仿宋"/>
          <w:color w:val="000000" w:themeColor="text1"/>
          <w14:textFill>
            <w14:solidFill>
              <w14:schemeClr w14:val="tx1"/>
            </w14:solidFill>
          </w14:textFill>
        </w:rPr>
      </w:pPr>
    </w:p>
    <w:p>
      <w:pPr>
        <w:pStyle w:val="8"/>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pStyle w:val="5"/>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spacing w:line="360" w:lineRule="auto"/>
        <w:jc w:val="both"/>
        <w:rPr>
          <w:rFonts w:ascii="仿宋" w:hAnsi="仿宋" w:eastAsia="仿宋" w:cs="仿宋"/>
          <w:b/>
          <w:bCs/>
          <w:color w:val="000000" w:themeColor="text1"/>
          <w:sz w:val="28"/>
          <w:szCs w:val="28"/>
          <w:lang w:eastAsia="zh-CN"/>
          <w14:textFill>
            <w14:solidFill>
              <w14:schemeClr w14:val="tx1"/>
            </w14:solidFill>
          </w14:textFill>
        </w:rPr>
      </w:pPr>
    </w:p>
    <w:p>
      <w:pPr>
        <w:spacing w:line="360" w:lineRule="auto"/>
        <w:jc w:val="center"/>
        <w:rPr>
          <w:rFonts w:hint="eastAsia" w:ascii="仿宋" w:hAnsi="仿宋" w:eastAsia="仿宋" w:cs="仿宋"/>
          <w:b/>
          <w:bCs/>
          <w:color w:val="000000" w:themeColor="text1"/>
          <w:sz w:val="28"/>
          <w:szCs w:val="28"/>
          <w:lang w:eastAsia="zh-CN"/>
          <w14:textFill>
            <w14:solidFill>
              <w14:schemeClr w14:val="tx1"/>
            </w14:solidFill>
          </w14:textFill>
        </w:rPr>
      </w:pPr>
    </w:p>
    <w:p>
      <w:pPr>
        <w:spacing w:line="360" w:lineRule="auto"/>
        <w:jc w:val="center"/>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政府采购投标担保函 （项目用）</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编号：</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（采购人或采购代理机构）：</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鉴于</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（以下简称“供应商”）拟参加编号为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的</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一、保证责任的情形及保证金额</w:t>
      </w:r>
    </w:p>
    <w:p>
      <w:pPr>
        <w:spacing w:line="360" w:lineRule="auto"/>
        <w:ind w:firstLine="243" w:firstLineChars="1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（一）在供应商出现下列情形之一时，我方承担保证责任：</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1．中标后供应商无正当理由不与采购人或者采购代理机构签订《政府采购合同》；</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2．询价通知书规定的供应商应当缴纳保证金的其他情形。</w:t>
      </w:r>
    </w:p>
    <w:p>
      <w:pPr>
        <w:spacing w:line="360" w:lineRule="auto"/>
        <w:ind w:firstLine="243" w:firstLineChars="1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（二）我方承担保证责任的最高金额为人民币</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元（大写</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），即本项目的投标保证金金额。</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二、保证的方式及保证期间</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我方保证的方式为：连带责任保证。</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我方的保证期间为：自本保函生效之日起</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个月止。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三、承担保证责任的程序</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2．我方在收到索赔通知及相关证明材料后，在</w:t>
      </w:r>
      <w:r>
        <w:rPr>
          <w:rFonts w:hint="eastAsia" w:ascii="仿宋" w:hAnsi="仿宋" w:eastAsia="仿宋" w:cs="仿宋"/>
          <w:color w:val="000000" w:themeColor="text1"/>
          <w:u w:val="single"/>
          <w:lang w:eastAsia="zh-CN"/>
          <w14:textFill>
            <w14:solidFill>
              <w14:schemeClr w14:val="tx1"/>
            </w14:solidFill>
          </w14:textFill>
        </w:rPr>
        <w:t>　　　</w:t>
      </w:r>
      <w:r>
        <w:rPr>
          <w:rFonts w:hint="eastAsia" w:ascii="仿宋" w:hAnsi="仿宋" w:eastAsia="仿宋" w:cs="仿宋"/>
          <w:color w:val="000000" w:themeColor="text1"/>
          <w:lang w:eastAsia="zh-CN"/>
          <w14:textFill>
            <w14:solidFill>
              <w14:schemeClr w14:val="tx1"/>
            </w14:solidFill>
          </w14:textFill>
        </w:rPr>
        <w:t>个工作日内进行审查，符合应承担保证责任情形的，我方应按照你方的要求代供应商向你方支付投标保证金。</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四、保证责任的终止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1．保证期间届满你方未向我方书面主张保证责任的，自保证期间届满次日起，我方保证责任自动终止。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2．我方按照本保函向你贵方履行了保证责任后，自我方向你贵方支付款项（支付款项从我方账户划出）之日起，保证责任终止。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3．按照法律法规的规定或出现我方保证责任终止的其它情形的，我方在本保函项下的保证责任亦终止。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五、免责条款</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1．依照法律规定或你方与供应商的另行约定，全部或者部分免除供应商投标保证金义务时，我方亦免除相应的保证责任。</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2．因你方原因致使供应商发生本保函第一条第（一）款约定情形的，我方不承担保证责任。</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3．因不可抗力造成供应商发生本保函第一条约定情形的，我方不承担保证责任。</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4．你方或其他有权机关对询价通知书进行任何澄清或修改，加重我方保证责任的，我方对加重部分不承担保证责任，但该澄清或修改经我方事先书面同意的除外。</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六、争议的解决</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因本保函发生的纠纷，由你我双方协商解决，协商不成的，通过诉讼程序解决，诉讼管辖地法院为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法院。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七、保函的生效</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本保函自我方加盖公章之日起生效。</w:t>
      </w:r>
    </w:p>
    <w:p>
      <w:pPr>
        <w:spacing w:line="360" w:lineRule="auto"/>
        <w:ind w:firstLine="6439" w:firstLineChars="2650"/>
        <w:rPr>
          <w:rFonts w:ascii="仿宋" w:hAnsi="仿宋" w:eastAsia="仿宋" w:cs="仿宋"/>
          <w:color w:val="000000" w:themeColor="text1"/>
          <w:lang w:eastAsia="zh-CN"/>
          <w14:textFill>
            <w14:solidFill>
              <w14:schemeClr w14:val="tx1"/>
            </w14:solidFill>
          </w14:textFill>
        </w:rPr>
      </w:pPr>
    </w:p>
    <w:p>
      <w:pPr>
        <w:spacing w:line="360" w:lineRule="auto"/>
        <w:ind w:firstLine="6439" w:firstLineChars="2650"/>
        <w:rPr>
          <w:rFonts w:ascii="仿宋" w:hAnsi="仿宋" w:eastAsia="仿宋" w:cs="仿宋"/>
          <w:color w:val="000000" w:themeColor="text1"/>
          <w:lang w:eastAsia="zh-CN"/>
          <w14:textFill>
            <w14:solidFill>
              <w14:schemeClr w14:val="tx1"/>
            </w14:solidFill>
          </w14:textFill>
        </w:rPr>
      </w:pPr>
    </w:p>
    <w:p>
      <w:pPr>
        <w:spacing w:line="360" w:lineRule="auto"/>
        <w:ind w:firstLine="6439" w:firstLineChars="265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保证人：（公章）</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p>
    <w:p>
      <w:pPr>
        <w:spacing w:line="360" w:lineRule="auto"/>
        <w:ind w:firstLine="6318" w:firstLineChars="2600"/>
        <w:rPr>
          <w:rFonts w:ascii="仿宋" w:hAnsi="仿宋" w:eastAsia="仿宋" w:cs="仿宋"/>
          <w:color w:val="000000" w:themeColor="text1"/>
          <w:lang w:eastAsia="zh-CN"/>
          <w14:textFill>
            <w14:solidFill>
              <w14:schemeClr w14:val="tx1"/>
            </w14:solidFill>
          </w14:textFill>
        </w:rPr>
        <w:sectPr>
          <w:headerReference r:id="rId8" w:type="default"/>
          <w:pgSz w:w="11905" w:h="16838"/>
          <w:pgMar w:top="1440" w:right="1417" w:bottom="1440" w:left="1417" w:header="850" w:footer="992" w:gutter="0"/>
          <w:pgNumType w:fmt="decimal"/>
          <w:cols w:space="0" w:num="1"/>
          <w:docGrid w:type="linesAndChars" w:linePitch="325" w:charSpace="635"/>
        </w:sectPr>
      </w:pPr>
      <w:r>
        <w:rPr>
          <w:rFonts w:hint="eastAsia" w:ascii="仿宋" w:hAnsi="仿宋" w:eastAsia="仿宋" w:cs="仿宋"/>
          <w:color w:val="000000" w:themeColor="text1"/>
          <w:lang w:eastAsia="zh-CN"/>
          <w14:textFill>
            <w14:solidFill>
              <w14:schemeClr w14:val="tx1"/>
            </w14:solidFill>
          </w14:textFill>
        </w:rPr>
        <w:t>年     月      日</w:t>
      </w:r>
    </w:p>
    <w:p>
      <w:pPr>
        <w:pStyle w:val="4"/>
        <w:numPr>
          <w:ilvl w:val="0"/>
          <w:numId w:val="0"/>
        </w:numPr>
        <w:shd w:val="clear" w:color="auto" w:fill="auto"/>
        <w:spacing w:line="240" w:lineRule="atLeast"/>
        <w:ind w:right="0" w:rightChars="0"/>
        <w:jc w:val="center"/>
        <w:rPr>
          <w:rFonts w:hint="eastAsia" w:ascii="仿宋" w:hAnsi="仿宋" w:eastAsia="仿宋" w:cs="仿宋"/>
          <w:color w:val="000000" w:themeColor="text1"/>
          <w:sz w:val="32"/>
          <w:szCs w:val="22"/>
          <w:lang w:val="en-US" w:eastAsia="zh-CN"/>
          <w14:textFill>
            <w14:solidFill>
              <w14:schemeClr w14:val="tx1"/>
            </w14:solidFill>
          </w14:textFill>
        </w:rPr>
      </w:pPr>
      <w:r>
        <w:rPr>
          <w:rFonts w:hint="eastAsia" w:ascii="仿宋" w:hAnsi="仿宋" w:eastAsia="仿宋" w:cs="仿宋"/>
          <w:color w:val="000000" w:themeColor="text1"/>
          <w:sz w:val="32"/>
          <w:szCs w:val="22"/>
          <w:lang w:val="en-US" w:eastAsia="zh-CN"/>
          <w14:textFill>
            <w14:solidFill>
              <w14:schemeClr w14:val="tx1"/>
            </w14:solidFill>
          </w14:textFill>
        </w:rPr>
        <w:t>5、具有良好的商业信誉和健全的财务会计制度的证明文件；</w:t>
      </w:r>
    </w:p>
    <w:p>
      <w:pPr>
        <w:shd w:val="clear" w:color="auto" w:fill="auto"/>
        <w:spacing w:line="400" w:lineRule="exact"/>
        <w:ind w:firstLine="426" w:firstLineChars="200"/>
        <w:rPr>
          <w:rFonts w:hint="eastAsia" w:ascii="仿宋" w:hAnsi="仿宋" w:eastAsia="仿宋" w:cs="仿宋"/>
          <w:b/>
          <w:bCs/>
          <w:color w:val="000000" w:themeColor="text1"/>
          <w:sz w:val="21"/>
          <w:szCs w:val="21"/>
          <w:lang w:eastAsia="zh-CN"/>
          <w14:textFill>
            <w14:solidFill>
              <w14:schemeClr w14:val="tx1"/>
            </w14:solidFill>
          </w14:textFill>
        </w:rPr>
      </w:pPr>
      <w:bookmarkStart w:id="86" w:name="_Toc7755"/>
    </w:p>
    <w:p>
      <w:pPr>
        <w:shd w:val="clear" w:color="auto" w:fill="auto"/>
        <w:spacing w:line="400" w:lineRule="exact"/>
        <w:ind w:firstLine="426" w:firstLineChars="200"/>
        <w:rPr>
          <w:rFonts w:hint="eastAsia" w:ascii="仿宋" w:hAnsi="仿宋" w:eastAsia="仿宋" w:cs="仿宋"/>
          <w:b/>
          <w:bCs/>
          <w:color w:val="000000" w:themeColor="text1"/>
          <w:sz w:val="21"/>
          <w:szCs w:val="21"/>
          <w:lang w:eastAsia="zh-CN"/>
          <w14:textFill>
            <w14:solidFill>
              <w14:schemeClr w14:val="tx1"/>
            </w14:solidFill>
          </w14:textFill>
        </w:rPr>
      </w:pPr>
    </w:p>
    <w:p>
      <w:pPr>
        <w:shd w:val="clear" w:color="auto" w:fill="auto"/>
        <w:spacing w:line="400" w:lineRule="exact"/>
        <w:ind w:firstLine="426" w:firstLineChars="200"/>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说明：</w:t>
      </w:r>
      <w:bookmarkEnd w:id="86"/>
      <w:bookmarkStart w:id="87" w:name="_Toc19679"/>
      <w:r>
        <w:rPr>
          <w:rFonts w:hint="eastAsia" w:ascii="仿宋" w:hAnsi="仿宋" w:eastAsia="仿宋" w:cs="仿宋"/>
          <w:b/>
          <w:bCs/>
          <w:color w:val="000000" w:themeColor="text1"/>
          <w:sz w:val="21"/>
          <w:szCs w:val="21"/>
          <w:lang w:eastAsia="zh-CN"/>
          <w14:textFill>
            <w14:solidFill>
              <w14:schemeClr w14:val="tx1"/>
            </w14:solidFill>
          </w14:textFill>
        </w:rPr>
        <w:t>1、如提供本单位上年度经会计师事务所出具的审计报告复印件须加盖本单位章。</w:t>
      </w:r>
      <w:bookmarkEnd w:id="87"/>
    </w:p>
    <w:p>
      <w:pPr>
        <w:shd w:val="clear" w:color="auto" w:fill="auto"/>
        <w:spacing w:line="400" w:lineRule="exact"/>
        <w:ind w:firstLine="426" w:firstLineChars="200"/>
        <w:rPr>
          <w:rFonts w:hint="eastAsia" w:ascii="仿宋" w:hAnsi="仿宋" w:eastAsia="仿宋" w:cs="仿宋"/>
          <w:b/>
          <w:bCs/>
          <w:color w:val="000000" w:themeColor="text1"/>
          <w:sz w:val="21"/>
          <w:szCs w:val="21"/>
          <w:lang w:eastAsia="zh-CN"/>
          <w14:textFill>
            <w14:solidFill>
              <w14:schemeClr w14:val="tx1"/>
            </w14:solidFill>
          </w14:textFill>
        </w:rPr>
      </w:pPr>
      <w:bookmarkStart w:id="88" w:name="_Toc23932"/>
      <w:r>
        <w:rPr>
          <w:rFonts w:hint="eastAsia" w:ascii="仿宋" w:hAnsi="仿宋" w:eastAsia="仿宋" w:cs="仿宋"/>
          <w:b/>
          <w:bCs/>
          <w:color w:val="000000" w:themeColor="text1"/>
          <w:sz w:val="21"/>
          <w:szCs w:val="21"/>
          <w:lang w:eastAsia="zh-CN"/>
          <w14:textFill>
            <w14:solidFill>
              <w14:schemeClr w14:val="tx1"/>
            </w14:solidFill>
          </w14:textFill>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bookmarkEnd w:id="88"/>
    </w:p>
    <w:p>
      <w:pPr>
        <w:shd w:val="clear" w:color="auto" w:fill="auto"/>
        <w:spacing w:line="400" w:lineRule="exact"/>
        <w:ind w:firstLine="426" w:firstLineChars="200"/>
        <w:rPr>
          <w:rFonts w:hint="eastAsia"/>
          <w:sz w:val="21"/>
          <w:szCs w:val="21"/>
          <w:lang w:val="en-US" w:eastAsia="zh-CN"/>
        </w:rPr>
      </w:pPr>
      <w:r>
        <w:rPr>
          <w:rFonts w:hint="eastAsia" w:ascii="仿宋" w:hAnsi="仿宋" w:eastAsia="仿宋" w:cs="仿宋"/>
          <w:b/>
          <w:bCs/>
          <w:color w:val="000000" w:themeColor="text1"/>
          <w:sz w:val="21"/>
          <w:szCs w:val="21"/>
          <w:lang w:eastAsia="zh-CN"/>
          <w14:textFill>
            <w14:solidFill>
              <w14:schemeClr w14:val="tx1"/>
            </w14:solidFill>
          </w14:textFill>
        </w:rPr>
        <w:t>3、（本项目不接受联合体投标）如果是联合体投标，联合体各方均需提供上述证明</w:t>
      </w:r>
    </w:p>
    <w:p>
      <w:pPr>
        <w:rPr>
          <w:rFonts w:hint="eastAsia"/>
          <w:lang w:val="en-US" w:eastAsia="zh-CN"/>
        </w:rPr>
      </w:pPr>
    </w:p>
    <w:p>
      <w:pPr>
        <w:rPr>
          <w:rFonts w:hint="eastAsia" w:ascii="仿宋" w:hAnsi="仿宋" w:eastAsia="仿宋" w:cs="仿宋"/>
          <w:color w:val="000000" w:themeColor="text1"/>
          <w:sz w:val="32"/>
          <w:szCs w:val="22"/>
          <w:lang w:val="en-US" w:eastAsia="zh-CN"/>
          <w14:textFill>
            <w14:solidFill>
              <w14:schemeClr w14:val="tx1"/>
            </w14:solidFill>
          </w14:textFill>
        </w:rPr>
      </w:pPr>
      <w:r>
        <w:rPr>
          <w:rFonts w:hint="eastAsia" w:ascii="仿宋" w:hAnsi="仿宋" w:eastAsia="仿宋" w:cs="仿宋"/>
          <w:color w:val="000000" w:themeColor="text1"/>
          <w:sz w:val="32"/>
          <w:szCs w:val="22"/>
          <w:lang w:val="en-US" w:eastAsia="zh-CN"/>
          <w14:textFill>
            <w14:solidFill>
              <w14:schemeClr w14:val="tx1"/>
            </w14:solidFill>
          </w14:textFill>
        </w:rPr>
        <w:br w:type="page"/>
      </w:r>
    </w:p>
    <w:p>
      <w:pPr>
        <w:pStyle w:val="4"/>
        <w:numPr>
          <w:ilvl w:val="0"/>
          <w:numId w:val="8"/>
        </w:numPr>
        <w:shd w:val="clear" w:color="auto" w:fill="auto"/>
        <w:spacing w:line="240" w:lineRule="atLeast"/>
        <w:ind w:left="0" w:leftChars="0" w:right="0" w:rightChars="0" w:firstLine="646" w:firstLineChars="200"/>
        <w:jc w:val="center"/>
        <w:rPr>
          <w:rFonts w:hint="eastAsia" w:ascii="仿宋" w:hAnsi="仿宋" w:eastAsia="仿宋" w:cs="仿宋"/>
          <w:color w:val="000000" w:themeColor="text1"/>
          <w:sz w:val="32"/>
          <w:szCs w:val="22"/>
          <w:lang w:val="en-US" w:eastAsia="zh-CN"/>
          <w14:textFill>
            <w14:solidFill>
              <w14:schemeClr w14:val="tx1"/>
            </w14:solidFill>
          </w14:textFill>
        </w:rPr>
      </w:pPr>
      <w:r>
        <w:rPr>
          <w:rFonts w:hint="eastAsia" w:ascii="仿宋" w:hAnsi="仿宋" w:eastAsia="仿宋" w:cs="仿宋"/>
          <w:color w:val="000000" w:themeColor="text1"/>
          <w:sz w:val="32"/>
          <w:szCs w:val="22"/>
          <w:lang w:val="en-US" w:eastAsia="zh-CN"/>
          <w14:textFill>
            <w14:solidFill>
              <w14:schemeClr w14:val="tx1"/>
            </w14:solidFill>
          </w14:textFill>
        </w:rPr>
        <w:t>社会保障资金的缴纳记录；</w:t>
      </w:r>
    </w:p>
    <w:p>
      <w:pPr>
        <w:numPr>
          <w:ilvl w:val="0"/>
          <w:numId w:val="0"/>
        </w:numPr>
        <w:ind w:leftChars="200" w:right="0" w:rightChars="0"/>
        <w:rPr>
          <w:rFonts w:hint="eastAsia"/>
          <w:lang w:val="en-US" w:eastAsia="zh-CN"/>
        </w:rPr>
      </w:pPr>
    </w:p>
    <w:p>
      <w:pPr>
        <w:pStyle w:val="2"/>
        <w:numPr>
          <w:ilvl w:val="0"/>
          <w:numId w:val="0"/>
        </w:numPr>
        <w:ind w:leftChars="0" w:right="0" w:rightChars="0"/>
        <w:rPr>
          <w:rFonts w:hint="eastAsia"/>
          <w:lang w:val="en-US" w:eastAsia="zh-CN"/>
        </w:rPr>
      </w:pPr>
    </w:p>
    <w:p>
      <w:pPr>
        <w:spacing w:line="400" w:lineRule="exact"/>
        <w:ind w:firstLine="486"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说明：复印件上应加盖本单位章</w:t>
      </w:r>
    </w:p>
    <w:p>
      <w:pPr>
        <w:pStyle w:val="37"/>
        <w:ind w:firstLine="0"/>
        <w:rPr>
          <w:rFonts w:ascii="仿宋" w:hAnsi="仿宋" w:eastAsia="仿宋" w:cs="仿宋"/>
          <w:color w:val="000000" w:themeColor="text1"/>
          <w:lang w:eastAsia="zh-CN"/>
          <w14:textFill>
            <w14:solidFill>
              <w14:schemeClr w14:val="tx1"/>
            </w14:solidFill>
          </w14:textFill>
        </w:rPr>
      </w:pPr>
    </w:p>
    <w:p>
      <w:pPr>
        <w:pStyle w:val="37"/>
        <w:rPr>
          <w:rFonts w:ascii="仿宋" w:hAnsi="仿宋" w:eastAsia="仿宋" w:cs="仿宋"/>
          <w:color w:val="000000" w:themeColor="text1"/>
          <w:lang w:eastAsia="zh-CN"/>
          <w14:textFill>
            <w14:solidFill>
              <w14:schemeClr w14:val="tx1"/>
            </w14:solidFill>
          </w14:textFill>
        </w:rPr>
      </w:pPr>
    </w:p>
    <w:p>
      <w:pPr>
        <w:pStyle w:val="37"/>
        <w:rPr>
          <w:rFonts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sz w:val="32"/>
          <w:szCs w:val="22"/>
          <w:lang w:val="en-US" w:eastAsia="zh-CN"/>
          <w14:textFill>
            <w14:solidFill>
              <w14:schemeClr w14:val="tx1"/>
            </w14:solidFill>
          </w14:textFill>
        </w:rPr>
      </w:pPr>
      <w:r>
        <w:rPr>
          <w:rFonts w:hint="eastAsia" w:ascii="仿宋" w:hAnsi="仿宋" w:eastAsia="仿宋" w:cs="仿宋"/>
          <w:color w:val="000000" w:themeColor="text1"/>
          <w:sz w:val="32"/>
          <w:szCs w:val="22"/>
          <w:lang w:val="en-US" w:eastAsia="zh-CN"/>
          <w14:textFill>
            <w14:solidFill>
              <w14:schemeClr w14:val="tx1"/>
            </w14:solidFill>
          </w14:textFill>
        </w:rPr>
        <w:br w:type="page"/>
      </w:r>
    </w:p>
    <w:p>
      <w:pPr>
        <w:pStyle w:val="4"/>
        <w:numPr>
          <w:ilvl w:val="0"/>
          <w:numId w:val="0"/>
        </w:numPr>
        <w:shd w:val="clear" w:color="auto" w:fill="auto"/>
        <w:spacing w:line="240" w:lineRule="atLeast"/>
        <w:ind w:right="0" w:rightChars="0"/>
        <w:jc w:val="center"/>
        <w:rPr>
          <w:rFonts w:hint="eastAsia" w:ascii="仿宋" w:hAnsi="仿宋" w:eastAsia="仿宋" w:cs="仿宋"/>
          <w:color w:val="000000" w:themeColor="text1"/>
          <w:sz w:val="32"/>
          <w:szCs w:val="22"/>
          <w:lang w:val="en-US" w:eastAsia="zh-CN"/>
          <w14:textFill>
            <w14:solidFill>
              <w14:schemeClr w14:val="tx1"/>
            </w14:solidFill>
          </w14:textFill>
        </w:rPr>
      </w:pPr>
      <w:r>
        <w:rPr>
          <w:rFonts w:hint="eastAsia" w:ascii="仿宋" w:hAnsi="仿宋" w:eastAsia="仿宋" w:cs="仿宋"/>
          <w:color w:val="000000" w:themeColor="text1"/>
          <w:sz w:val="32"/>
          <w:szCs w:val="22"/>
          <w:lang w:val="en-US" w:eastAsia="zh-CN"/>
          <w14:textFill>
            <w14:solidFill>
              <w14:schemeClr w14:val="tx1"/>
            </w14:solidFill>
          </w14:textFill>
        </w:rPr>
        <w:t>7、参加政府采购活动前3年内</w:t>
      </w:r>
      <w:bookmarkStart w:id="89" w:name="_Toc1137"/>
      <w:bookmarkStart w:id="90" w:name="_Toc515647812"/>
      <w:bookmarkStart w:id="91" w:name="_Toc6008"/>
      <w:r>
        <w:rPr>
          <w:rFonts w:hint="eastAsia" w:ascii="仿宋" w:hAnsi="仿宋" w:eastAsia="仿宋" w:cs="仿宋"/>
          <w:color w:val="000000" w:themeColor="text1"/>
          <w:sz w:val="32"/>
          <w:szCs w:val="22"/>
          <w:lang w:val="en-US" w:eastAsia="zh-CN"/>
          <w14:textFill>
            <w14:solidFill>
              <w14:schemeClr w14:val="tx1"/>
            </w14:solidFill>
          </w14:textFill>
        </w:rPr>
        <w:t>在经营活动中没有重大违法记录的书面声明</w:t>
      </w:r>
      <w:bookmarkEnd w:id="89"/>
      <w:bookmarkEnd w:id="90"/>
      <w:bookmarkEnd w:id="91"/>
    </w:p>
    <w:p>
      <w:pPr>
        <w:pStyle w:val="4"/>
        <w:numPr>
          <w:ilvl w:val="0"/>
          <w:numId w:val="0"/>
        </w:numPr>
        <w:shd w:val="clear" w:color="auto" w:fill="auto"/>
        <w:spacing w:line="240" w:lineRule="atLeast"/>
        <w:ind w:right="0" w:rightChars="0"/>
        <w:jc w:val="both"/>
        <w:rPr>
          <w:rFonts w:hint="eastAsia" w:ascii="仿宋" w:hAnsi="仿宋" w:eastAsia="仿宋" w:cs="仿宋"/>
          <w:color w:val="000000" w:themeColor="text1"/>
          <w:sz w:val="32"/>
          <w:szCs w:val="22"/>
          <w:lang w:val="en-US" w:eastAsia="zh-CN"/>
          <w14:textFill>
            <w14:solidFill>
              <w14:schemeClr w14:val="tx1"/>
            </w14:solidFill>
          </w14:textFill>
        </w:rPr>
      </w:pPr>
    </w:p>
    <w:p>
      <w:pPr>
        <w:pStyle w:val="14"/>
        <w:tabs>
          <w:tab w:val="left" w:pos="5580"/>
        </w:tabs>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p>
      <w:pPr>
        <w:pStyle w:val="14"/>
        <w:tabs>
          <w:tab w:val="left" w:pos="5580"/>
        </w:tabs>
        <w:spacing w:line="360" w:lineRule="auto"/>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说明：1.供应商应按照相关法规规定如实作出说明。</w:t>
      </w:r>
    </w:p>
    <w:p>
      <w:pPr>
        <w:pStyle w:val="14"/>
        <w:tabs>
          <w:tab w:val="left" w:pos="5580"/>
        </w:tabs>
        <w:spacing w:line="360" w:lineRule="auto"/>
        <w:ind w:left="746" w:leftChars="307" w:firstLine="607" w:firstLineChars="25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2．按照招标文件的规定加盖单位章（自然人投标的无需盖章，需要签字）。</w:t>
      </w:r>
    </w:p>
    <w:p>
      <w:pPr>
        <w:pStyle w:val="14"/>
        <w:tabs>
          <w:tab w:val="left" w:pos="5580"/>
        </w:tabs>
        <w:spacing w:line="360" w:lineRule="auto"/>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p>
    <w:p>
      <w:pPr>
        <w:pStyle w:val="4"/>
        <w:numPr>
          <w:ilvl w:val="0"/>
          <w:numId w:val="0"/>
        </w:numPr>
        <w:shd w:val="clear" w:color="auto" w:fill="auto"/>
        <w:spacing w:line="240" w:lineRule="atLeast"/>
        <w:ind w:right="0" w:rightChars="0"/>
        <w:jc w:val="left"/>
        <w:rPr>
          <w:rFonts w:hint="eastAsia" w:ascii="仿宋" w:hAnsi="仿宋" w:eastAsia="仿宋" w:cs="仿宋"/>
          <w:color w:val="000000" w:themeColor="text1"/>
          <w:sz w:val="32"/>
          <w:szCs w:val="22"/>
          <w:lang w:val="en-US" w:eastAsia="zh-CN"/>
          <w14:textFill>
            <w14:solidFill>
              <w14:schemeClr w14:val="tx1"/>
            </w14:solidFill>
          </w14:textFill>
        </w:rPr>
      </w:pPr>
      <w:r>
        <w:rPr>
          <w:rFonts w:hint="eastAsia" w:ascii="仿宋" w:hAnsi="仿宋" w:eastAsia="仿宋" w:cs="仿宋"/>
          <w:color w:val="000000" w:themeColor="text1"/>
          <w:sz w:val="32"/>
          <w:szCs w:val="22"/>
          <w:lang w:val="en-US" w:eastAsia="zh-CN"/>
          <w14:textFill>
            <w14:solidFill>
              <w14:schemeClr w14:val="tx1"/>
            </w14:solidFill>
          </w14:textFill>
        </w:rPr>
        <w:t>8、参加采购活动前三年内，在经营活动中没有重大违法记录，供应商须提供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pStyle w:val="37"/>
        <w:ind w:firstLine="0"/>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spacing w:line="400" w:lineRule="exact"/>
        <w:ind w:firstLine="486" w:firstLineChars="200"/>
        <w:rPr>
          <w:rFonts w:ascii="仿宋" w:hAnsi="仿宋" w:eastAsia="仿宋" w:cs="仿宋"/>
          <w:b/>
          <w:bCs/>
          <w:color w:val="000000" w:themeColor="text1"/>
          <w:lang w:eastAsia="zh-CN"/>
          <w14:textFill>
            <w14:solidFill>
              <w14:schemeClr w14:val="tx1"/>
            </w14:solidFill>
          </w14:textFill>
        </w:rPr>
      </w:pPr>
    </w:p>
    <w:p>
      <w:pPr>
        <w:pStyle w:val="4"/>
        <w:numPr>
          <w:ilvl w:val="0"/>
          <w:numId w:val="0"/>
        </w:numPr>
        <w:shd w:val="clear" w:color="auto" w:fill="auto"/>
        <w:spacing w:line="240" w:lineRule="atLeast"/>
        <w:ind w:right="0" w:rightChars="0"/>
        <w:jc w:val="both"/>
        <w:rPr>
          <w:rFonts w:hint="eastAsia" w:ascii="仿宋" w:hAnsi="仿宋" w:eastAsia="仿宋" w:cs="仿宋"/>
          <w:color w:val="000000" w:themeColor="text1"/>
          <w:sz w:val="32"/>
          <w:szCs w:val="22"/>
          <w:lang w:val="en-US" w:eastAsia="zh-CN"/>
          <w14:textFill>
            <w14:solidFill>
              <w14:schemeClr w14:val="tx1"/>
            </w14:solidFill>
          </w14:textFill>
        </w:rPr>
      </w:pPr>
      <w:r>
        <w:rPr>
          <w:rFonts w:hint="eastAsia" w:ascii="仿宋" w:hAnsi="仿宋" w:eastAsia="仿宋" w:cs="仿宋"/>
          <w:color w:val="000000" w:themeColor="text1"/>
          <w:sz w:val="32"/>
          <w:szCs w:val="22"/>
          <w:lang w:val="en-US" w:eastAsia="zh-CN"/>
          <w14:textFill>
            <w14:solidFill>
              <w14:schemeClr w14:val="tx1"/>
            </w14:solidFill>
          </w14:textFill>
        </w:rPr>
        <w:t>9、</w:t>
      </w:r>
      <w:bookmarkStart w:id="92" w:name="_Toc11180"/>
      <w:bookmarkStart w:id="93" w:name="_Toc515647816"/>
      <w:bookmarkStart w:id="94" w:name="_Toc5695"/>
      <w:bookmarkStart w:id="95" w:name="_Toc22967"/>
      <w:r>
        <w:rPr>
          <w:rFonts w:hint="eastAsia" w:ascii="仿宋" w:hAnsi="仿宋" w:eastAsia="仿宋" w:cs="仿宋"/>
          <w:color w:val="000000" w:themeColor="text1"/>
          <w:sz w:val="32"/>
          <w:szCs w:val="22"/>
          <w:lang w:val="en-US" w:eastAsia="zh-CN"/>
          <w14:textFill>
            <w14:solidFill>
              <w14:schemeClr w14:val="tx1"/>
            </w14:solidFill>
          </w14:textFill>
        </w:rPr>
        <w:t>投标人须知资料表要求的其他资格证明文件;</w:t>
      </w:r>
    </w:p>
    <w:p>
      <w:pPr>
        <w:pStyle w:val="5"/>
        <w:rPr>
          <w:rFonts w:hint="eastAsia" w:ascii="仿宋" w:hAnsi="仿宋" w:eastAsia="仿宋" w:cs="仿宋"/>
          <w:color w:val="000000" w:themeColor="text1"/>
          <w:sz w:val="32"/>
          <w:szCs w:val="32"/>
          <w:lang w:eastAsia="zh-CN"/>
          <w14:textFill>
            <w14:solidFill>
              <w14:schemeClr w14:val="tx1"/>
            </w14:solidFill>
          </w14:textFill>
        </w:rPr>
      </w:pPr>
    </w:p>
    <w:p>
      <w:pPr>
        <w:rPr>
          <w:rFonts w:hint="eastAsia"/>
          <w:lang w:eastAsia="zh-CN"/>
        </w:rPr>
      </w:pPr>
    </w:p>
    <w:p>
      <w:pP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br w:type="page"/>
      </w:r>
    </w:p>
    <w:p>
      <w:pPr>
        <w:pStyle w:val="3"/>
        <w:spacing w:before="40" w:after="40" w:line="579" w:lineRule="auto"/>
        <w:jc w:val="center"/>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第二部分  商务及技术文件</w:t>
      </w:r>
      <w:bookmarkEnd w:id="92"/>
      <w:bookmarkEnd w:id="93"/>
      <w:bookmarkEnd w:id="94"/>
      <w:bookmarkEnd w:id="95"/>
    </w:p>
    <w:p>
      <w:pPr>
        <w:pStyle w:val="14"/>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1、投标函</w:t>
      </w:r>
    </w:p>
    <w:p>
      <w:pPr>
        <w:pStyle w:val="14"/>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2、开标一览表</w:t>
      </w:r>
    </w:p>
    <w:p>
      <w:pPr>
        <w:pStyle w:val="14"/>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3、货物说明一览表</w:t>
      </w:r>
    </w:p>
    <w:p>
      <w:pPr>
        <w:pStyle w:val="14"/>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4、投标分项报价表</w:t>
      </w:r>
    </w:p>
    <w:p>
      <w:pPr>
        <w:pStyle w:val="14"/>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5、技术规格偏离表</w:t>
      </w:r>
    </w:p>
    <w:p>
      <w:pPr>
        <w:pStyle w:val="14"/>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6、商务条款偏离表</w:t>
      </w:r>
    </w:p>
    <w:p>
      <w:pPr>
        <w:pStyle w:val="14"/>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7、供应商基本情况表</w:t>
      </w:r>
    </w:p>
    <w:p>
      <w:pPr>
        <w:pStyle w:val="14"/>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8、近三年（2019年1月1日至今）类似项目业绩表</w:t>
      </w:r>
    </w:p>
    <w:p>
      <w:pPr>
        <w:pStyle w:val="14"/>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9、中小企业声明函(货物)</w:t>
      </w:r>
    </w:p>
    <w:p>
      <w:pPr>
        <w:pStyle w:val="14"/>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10、《残疾人福利性单位声明函》</w:t>
      </w:r>
    </w:p>
    <w:p>
      <w:pPr>
        <w:pStyle w:val="14"/>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11、评分标准和细则中技术部分证明材料</w:t>
      </w:r>
    </w:p>
    <w:p>
      <w:pPr>
        <w:pStyle w:val="14"/>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12、评分标准和细则中技术部分证明材料（格式自拟）</w:t>
      </w:r>
    </w:p>
    <w:p>
      <w:pPr>
        <w:pStyle w:val="14"/>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13、供应商认为有必要提供的其他证明材料（格式自拟）</w:t>
      </w:r>
    </w:p>
    <w:p>
      <w:pPr>
        <w:pStyle w:val="14"/>
        <w:tabs>
          <w:tab w:val="left" w:pos="5580"/>
        </w:tabs>
        <w:spacing w:line="400" w:lineRule="exact"/>
        <w:ind w:left="648" w:leftChars="267"/>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p>
    <w:p>
      <w:pPr>
        <w:pStyle w:val="2"/>
        <w:numPr>
          <w:ilvl w:val="0"/>
          <w:numId w:val="0"/>
        </w:numPr>
        <w:kinsoku w:val="0"/>
        <w:overflowPunct w:val="0"/>
        <w:spacing w:before="130" w:line="355" w:lineRule="auto"/>
        <w:ind w:left="480" w:right="7"/>
        <w:jc w:val="center"/>
        <w:rPr>
          <w:rFonts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1、投标函</w:t>
      </w:r>
    </w:p>
    <w:p>
      <w:pPr>
        <w:spacing w:line="440" w:lineRule="exact"/>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致：</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为响应你方组织的</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项目的招标[项目编号为：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]，我方愿参与投标。</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我方确认收到贵方提供的</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招标文件的全部内容。</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u w:val="single"/>
          <w:lang w:eastAsia="zh-CN"/>
          <w14:textFill>
            <w14:solidFill>
              <w14:schemeClr w14:val="tx1"/>
            </w14:solidFill>
          </w14:textFill>
        </w:rPr>
        <w:t xml:space="preserve">      (供应商名称)      </w:t>
      </w:r>
      <w:r>
        <w:rPr>
          <w:rFonts w:hint="eastAsia" w:ascii="仿宋" w:hAnsi="仿宋" w:eastAsia="仿宋" w:cs="仿宋"/>
          <w:color w:val="000000" w:themeColor="text1"/>
          <w:lang w:eastAsia="zh-CN"/>
          <w14:textFill>
            <w14:solidFill>
              <w14:schemeClr w14:val="tx1"/>
            </w14:solidFill>
          </w14:textFill>
        </w:rPr>
        <w:t>作为供应商正式授权</w:t>
      </w:r>
      <w:r>
        <w:rPr>
          <w:rFonts w:hint="eastAsia" w:ascii="仿宋" w:hAnsi="仿宋" w:eastAsia="仿宋" w:cs="仿宋"/>
          <w:color w:val="000000" w:themeColor="text1"/>
          <w:u w:val="single"/>
          <w:lang w:eastAsia="zh-CN"/>
          <w14:textFill>
            <w14:solidFill>
              <w14:schemeClr w14:val="tx1"/>
            </w14:solidFill>
          </w14:textFill>
        </w:rPr>
        <w:t xml:space="preserve">  (授权代表全名, 职务)  </w:t>
      </w:r>
      <w:r>
        <w:rPr>
          <w:rFonts w:hint="eastAsia" w:ascii="仿宋" w:hAnsi="仿宋" w:eastAsia="仿宋" w:cs="仿宋"/>
          <w:color w:val="000000" w:themeColor="text1"/>
          <w:lang w:eastAsia="zh-CN"/>
          <w14:textFill>
            <w14:solidFill>
              <w14:schemeClr w14:val="tx1"/>
            </w14:solidFill>
          </w14:textFill>
        </w:rPr>
        <w:t>代表我方全权处理有关本报价的一切事宜。</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我方已完全明白招标文件的所有条款要求，并申明如下：</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（一）按招标文件提供的全部货物与相关服务的投标总价详见《报价一览表》。</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（二）本投标文件的有效期为投标截止时间起</w:t>
      </w:r>
      <w:r>
        <w:rPr>
          <w:rFonts w:hint="eastAsia" w:ascii="仿宋" w:hAnsi="仿宋" w:eastAsia="仿宋" w:cs="仿宋"/>
          <w:color w:val="000000" w:themeColor="text1"/>
          <w:u w:val="single"/>
          <w:lang w:eastAsia="zh-CN"/>
          <w14:textFill>
            <w14:solidFill>
              <w14:schemeClr w14:val="tx1"/>
            </w14:solidFill>
          </w14:textFill>
        </w:rPr>
        <w:t>60</w:t>
      </w:r>
      <w:r>
        <w:rPr>
          <w:rFonts w:hint="eastAsia" w:ascii="仿宋" w:hAnsi="仿宋" w:eastAsia="仿宋" w:cs="仿宋"/>
          <w:color w:val="000000" w:themeColor="text1"/>
          <w:lang w:eastAsia="zh-CN"/>
          <w14:textFill>
            <w14:solidFill>
              <w14:schemeClr w14:val="tx1"/>
            </w14:solidFill>
          </w14:textFill>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（三）我方同意按照贵方可能提出的要求而提供与投标有关的任何其它数据、信息或资料。</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（四）我方理解贵方不一定接受最低投标价或任何贵方可能收到的投标。</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（五）我方如果中标，将保证履行招标文件及其澄清、修改文件（如果有）中的全部责任和义务，按质、按量、按期完成《招标内容》及《合同书》中的全部任务。</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（六）如我方被授予合同，我方承诺支付就本次招标应支付或将支付的中标服务费（详见按招标文件要求格式填写的《中标服务费支付承诺书》）。</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（七）我方作为在法律、财务和运作上独立于采购人、招标代理机构的供应商，在此保证所提交的所有文件和全部说明是真实的和正确的。</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（八）我方投标报价已包含应向知识产权所有权人支付的所有相关税费，并保证采购人在中国使用我方提供的货物时，如有第三方提出侵犯其知识产权主张的，责任由我方承担。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（九）我方与其他供应商不存在单位负责人为同一人或者存在直接控股、管理关系。</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（十）我方承诺未为本项目提供整体设计、规范编制或者项目管理、监理、检测等服务。</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（十一）我方具备《政府采购法》第二十二条规定的条件，承诺如下：</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（1）我方已依法缴纳了各项税费及社会保险费用，如有需要，可随时向采购人提供近三个月内的相关缴费证明，以便核查。</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（2）我方已依法建立健全的财务会计制度，如有需要，可随时向采购人提供相关的证明材料，以便核查。</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（3）我方参加本项目政府采购活动前3年内在经营活动中没有重大违法记录。</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（4）我方具备履行合同所必需的设备和专业技术能力。</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（5）我方符合法律、行政法规规定的其他条件。</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以上内容如有虚假或与事实不符的，评审委员会可将我方做无效投标处理，我方愿意承担相应的法律责任。</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（十三）我方对在本函及投标文件中所作的所有承诺承担法律责任。</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（十四）所有与本招标有关的函件请发往下列地址：</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    址：</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.邮政编码：</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电    话：</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传    真：</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代表姓名：</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.职    务：</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w:t>
      </w:r>
    </w:p>
    <w:p>
      <w:pPr>
        <w:spacing w:line="440" w:lineRule="exact"/>
        <w:ind w:right="480"/>
        <w:jc w:val="righ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w:t>
      </w:r>
      <w:r>
        <w:rPr>
          <w:rFonts w:hint="eastAsia" w:ascii="仿宋" w:hAnsi="仿宋" w:eastAsia="仿宋" w:cs="仿宋"/>
          <w:color w:val="000000" w:themeColor="text1"/>
          <w:u w:val="single"/>
          <w:lang w:eastAsia="zh-CN"/>
          <w14:textFill>
            <w14:solidFill>
              <w14:schemeClr w14:val="tx1"/>
            </w14:solidFill>
          </w14:textFill>
        </w:rPr>
        <w:tab/>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（公章） </w:t>
      </w:r>
    </w:p>
    <w:p>
      <w:pPr>
        <w:wordWrap w:val="0"/>
        <w:spacing w:line="440" w:lineRule="exact"/>
        <w:ind w:firstLine="486" w:firstLineChars="200"/>
        <w:jc w:val="righ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法定代表人或委托人：</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（签章）  </w:t>
      </w:r>
    </w:p>
    <w:p>
      <w:pPr>
        <w:wordWrap w:val="0"/>
        <w:spacing w:line="440" w:lineRule="exact"/>
        <w:ind w:firstLine="486" w:firstLineChars="200"/>
        <w:jc w:val="righ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u w:val="single"/>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年</w:t>
      </w:r>
      <w:r>
        <w:rPr>
          <w:rFonts w:hint="eastAsia" w:ascii="仿宋" w:hAnsi="仿宋" w:eastAsia="仿宋" w:cs="仿宋"/>
          <w:color w:val="000000" w:themeColor="text1"/>
          <w:u w:val="single"/>
          <w:lang w:eastAsia="zh-CN"/>
          <w14:textFill>
            <w14:solidFill>
              <w14:schemeClr w14:val="tx1"/>
            </w14:solidFill>
          </w14:textFill>
        </w:rPr>
        <w:tab/>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日</w:t>
      </w:r>
    </w:p>
    <w:p>
      <w:pPr>
        <w:pStyle w:val="37"/>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p>
    <w:p>
      <w:pPr>
        <w:pStyle w:val="8"/>
        <w:tabs>
          <w:tab w:val="left" w:pos="5580"/>
        </w:tabs>
        <w:spacing w:line="240" w:lineRule="atLeast"/>
        <w:ind w:firstLine="3364" w:firstLineChars="927"/>
        <w:jc w:val="both"/>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color w:val="000000" w:themeColor="text1"/>
          <w:sz w:val="36"/>
          <w:szCs w:val="24"/>
          <w:lang w:eastAsia="zh-CN"/>
          <w14:textFill>
            <w14:solidFill>
              <w14:schemeClr w14:val="tx1"/>
            </w14:solidFill>
          </w14:textFill>
        </w:rPr>
        <w:t>2、开标一览表</w:t>
      </w:r>
      <w:r>
        <w:rPr>
          <w:rFonts w:hint="eastAsia" w:ascii="仿宋" w:hAnsi="仿宋" w:eastAsia="仿宋" w:cs="仿宋"/>
          <w:b/>
          <w:color w:val="000000" w:themeColor="text1"/>
          <w:sz w:val="36"/>
          <w:szCs w:val="24"/>
          <w:lang w:eastAsia="zh-CN"/>
          <w14:textFill>
            <w14:solidFill>
              <w14:schemeClr w14:val="tx1"/>
            </w14:solidFill>
          </w14:textFill>
        </w:rPr>
        <w:cr/>
      </w:r>
    </w:p>
    <w:p>
      <w:pPr>
        <w:adjustRightInd w:val="0"/>
        <w:snapToGrid w:val="0"/>
        <w:spacing w:line="500" w:lineRule="exact"/>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招标项目名称： </w:t>
      </w:r>
      <w:r>
        <w:rPr>
          <w:rFonts w:hint="eastAsia" w:ascii="仿宋" w:hAnsi="仿宋" w:eastAsia="仿宋" w:cs="仿宋"/>
          <w:color w:val="000000" w:themeColor="text1"/>
          <w:szCs w:val="21"/>
          <w:u w:val="single"/>
          <w:lang w:eastAsia="zh-CN"/>
          <w14:textFill>
            <w14:solidFill>
              <w14:schemeClr w14:val="tx1"/>
            </w14:solidFill>
          </w14:textFill>
        </w:rPr>
        <w:t xml:space="preserve">                         </w:t>
      </w:r>
    </w:p>
    <w:p>
      <w:pPr>
        <w:adjustRightInd w:val="0"/>
        <w:snapToGrid w:val="0"/>
        <w:spacing w:line="500" w:lineRule="exact"/>
        <w:rPr>
          <w:rFonts w:ascii="仿宋" w:hAnsi="仿宋" w:eastAsia="仿宋" w:cs="仿宋"/>
          <w:i/>
          <w:i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招标项目编号：</w:t>
      </w:r>
      <w:r>
        <w:rPr>
          <w:rFonts w:hint="eastAsia" w:ascii="仿宋" w:hAnsi="仿宋" w:eastAsia="仿宋" w:cs="仿宋"/>
          <w:i/>
          <w:iCs/>
          <w:color w:val="000000" w:themeColor="text1"/>
          <w:szCs w:val="21"/>
          <w:lang w:eastAsia="zh-CN"/>
          <w14:textFill>
            <w14:solidFill>
              <w14:schemeClr w14:val="tx1"/>
            </w14:solidFill>
          </w14:textFill>
        </w:rPr>
        <w:t xml:space="preserve"> </w:t>
      </w:r>
      <w:r>
        <w:rPr>
          <w:rFonts w:hint="eastAsia" w:ascii="仿宋" w:hAnsi="仿宋" w:eastAsia="仿宋" w:cs="仿宋"/>
          <w:color w:val="000000" w:themeColor="text1"/>
          <w:szCs w:val="21"/>
          <w:u w:val="single"/>
          <w:lang w:eastAsia="zh-CN"/>
          <w14:textFill>
            <w14:solidFill>
              <w14:schemeClr w14:val="tx1"/>
            </w14:solidFill>
          </w14:textFill>
        </w:rPr>
        <w:t xml:space="preserve">                         </w:t>
      </w:r>
    </w:p>
    <w:p>
      <w:pPr>
        <w:spacing w:line="5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单位：元（人民币）</w:t>
      </w:r>
    </w:p>
    <w:tbl>
      <w:tblPr>
        <w:tblStyle w:val="27"/>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6185" w:type="dxa"/>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auto"/>
                <w:sz w:val="24"/>
                <w:szCs w:val="24"/>
                <w:highlight w:val="none"/>
                <w:lang w:val="en-US" w:eastAsia="zh-CN"/>
              </w:rPr>
              <w:t xml:space="preserve">项目实施日期 </w:t>
            </w:r>
          </w:p>
        </w:tc>
        <w:tc>
          <w:tcPr>
            <w:tcW w:w="6185" w:type="dxa"/>
            <w:vAlign w:val="center"/>
          </w:tcPr>
          <w:p>
            <w:pPr>
              <w:jc w:val="cente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投标有效期</w:t>
            </w:r>
          </w:p>
        </w:tc>
        <w:tc>
          <w:tcPr>
            <w:tcW w:w="6185"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投标报价</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（人民币）</w:t>
            </w: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小写</w:t>
            </w:r>
          </w:p>
        </w:tc>
        <w:tc>
          <w:tcPr>
            <w:tcW w:w="618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大写</w:t>
            </w:r>
          </w:p>
        </w:tc>
        <w:tc>
          <w:tcPr>
            <w:tcW w:w="6185" w:type="dxa"/>
            <w:vAlign w:val="center"/>
          </w:tcPr>
          <w:p>
            <w:pPr>
              <w:jc w:val="center"/>
              <w:rPr>
                <w:rFonts w:ascii="仿宋" w:hAnsi="仿宋" w:eastAsia="仿宋" w:cs="仿宋"/>
                <w:color w:val="000000" w:themeColor="text1"/>
                <w:szCs w:val="21"/>
                <w14:textFill>
                  <w14:solidFill>
                    <w14:schemeClr w14:val="tx1"/>
                  </w14:solidFill>
                </w14:textFill>
              </w:rPr>
            </w:pPr>
          </w:p>
        </w:tc>
      </w:tr>
    </w:tbl>
    <w:p>
      <w:pPr>
        <w:spacing w:line="500" w:lineRule="exact"/>
        <w:ind w:firstLine="475" w:firstLineChars="196"/>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填写说明：</w:t>
      </w:r>
    </w:p>
    <w:p>
      <w:pPr>
        <w:spacing w:line="500" w:lineRule="exact"/>
        <w:ind w:firstLine="475" w:firstLineChars="196"/>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1.为方便开标唱标，供应商应将开标一览表单独密封，并在信封上标明“开标一览表”字样，然后在递交投标文件时单独递交</w:t>
      </w:r>
      <w:r>
        <w:rPr>
          <w:rFonts w:hint="eastAsia" w:ascii="仿宋" w:hAnsi="仿宋" w:eastAsia="仿宋" w:cs="仿宋"/>
          <w:b/>
          <w:bCs/>
          <w:color w:val="000000" w:themeColor="text1"/>
          <w:lang w:eastAsia="zh-CN"/>
          <w14:textFill>
            <w14:solidFill>
              <w14:schemeClr w14:val="tx1"/>
            </w14:solidFill>
          </w14:textFill>
        </w:rPr>
        <w:t>。</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3.投标总价为招标范围所列全部招标项目的报价总和，并应与投标报价明细表及分项价格表保持一致。</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4.必须在投标文件中装订。</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5.投标报价不得填报选择性报价。</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供应商名称：</w:t>
      </w:r>
      <w:r>
        <w:rPr>
          <w:rFonts w:hint="eastAsia" w:ascii="仿宋" w:hAnsi="仿宋" w:eastAsia="仿宋" w:cs="仿宋"/>
          <w:color w:val="000000" w:themeColor="text1"/>
          <w:szCs w:val="21"/>
          <w:u w:val="single"/>
          <w:lang w:eastAsia="zh-CN"/>
          <w14:textFill>
            <w14:solidFill>
              <w14:schemeClr w14:val="tx1"/>
            </w14:solidFill>
          </w14:textFill>
        </w:rPr>
        <w:t xml:space="preserve">    （加盖公章）     </w:t>
      </w:r>
      <w:r>
        <w:rPr>
          <w:rFonts w:hint="eastAsia" w:ascii="仿宋" w:hAnsi="仿宋" w:eastAsia="仿宋" w:cs="仿宋"/>
          <w:color w:val="000000" w:themeColor="text1"/>
          <w:szCs w:val="21"/>
          <w:lang w:eastAsia="zh-CN"/>
          <w14:textFill>
            <w14:solidFill>
              <w14:schemeClr w14:val="tx1"/>
            </w14:solidFill>
          </w14:textFill>
        </w:rPr>
        <w:t xml:space="preserve">       </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法定代表人签字或盖章：</w:t>
      </w:r>
      <w:r>
        <w:rPr>
          <w:rFonts w:hint="eastAsia" w:ascii="仿宋" w:hAnsi="仿宋" w:eastAsia="仿宋" w:cs="仿宋"/>
          <w:color w:val="000000" w:themeColor="text1"/>
          <w:szCs w:val="21"/>
          <w:u w:val="single"/>
          <w:lang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 xml:space="preserve"> </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授权代表签字或盖章：</w:t>
      </w:r>
      <w:r>
        <w:rPr>
          <w:rFonts w:hint="eastAsia" w:ascii="仿宋" w:hAnsi="仿宋" w:eastAsia="仿宋" w:cs="仿宋"/>
          <w:color w:val="000000" w:themeColor="text1"/>
          <w:szCs w:val="21"/>
          <w:u w:val="single"/>
          <w:lang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 xml:space="preserve">  </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签署日期：</w:t>
      </w:r>
      <w:r>
        <w:rPr>
          <w:rFonts w:hint="eastAsia" w:ascii="仿宋" w:hAnsi="仿宋" w:eastAsia="仿宋" w:cs="仿宋"/>
          <w:color w:val="000000" w:themeColor="text1"/>
          <w:szCs w:val="21"/>
          <w:u w:val="single"/>
          <w:lang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 xml:space="preserve"> 年</w:t>
      </w:r>
      <w:r>
        <w:rPr>
          <w:rFonts w:hint="eastAsia" w:ascii="仿宋" w:hAnsi="仿宋" w:eastAsia="仿宋" w:cs="仿宋"/>
          <w:color w:val="000000" w:themeColor="text1"/>
          <w:szCs w:val="21"/>
          <w:u w:val="single"/>
          <w:lang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 xml:space="preserve">月 </w:t>
      </w:r>
      <w:r>
        <w:rPr>
          <w:rFonts w:hint="eastAsia" w:ascii="仿宋" w:hAnsi="仿宋" w:eastAsia="仿宋" w:cs="仿宋"/>
          <w:color w:val="000000" w:themeColor="text1"/>
          <w:szCs w:val="21"/>
          <w:u w:val="single"/>
          <w:lang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日</w:t>
      </w:r>
    </w:p>
    <w:p>
      <w:pPr>
        <w:pStyle w:val="4"/>
        <w:spacing w:line="240" w:lineRule="atLeast"/>
        <w:rPr>
          <w:rFonts w:ascii="宋体" w:hAnsi="宋体" w:eastAsia="宋体" w:cs="宋体"/>
          <w:bCs/>
          <w:color w:val="000000" w:themeColor="text1"/>
          <w:sz w:val="24"/>
          <w:lang w:eastAsia="zh-CN"/>
          <w14:textFill>
            <w14:solidFill>
              <w14:schemeClr w14:val="tx1"/>
            </w14:solidFill>
          </w14:textFill>
        </w:rPr>
      </w:pPr>
    </w:p>
    <w:p>
      <w:pPr>
        <w:pStyle w:val="4"/>
        <w:spacing w:line="240" w:lineRule="atLeast"/>
        <w:rPr>
          <w:rFonts w:ascii="宋体" w:hAnsi="宋体" w:eastAsia="宋体" w:cs="宋体"/>
          <w:bCs/>
          <w:color w:val="000000" w:themeColor="text1"/>
          <w:sz w:val="24"/>
          <w:lang w:eastAsia="zh-CN"/>
          <w14:textFill>
            <w14:solidFill>
              <w14:schemeClr w14:val="tx1"/>
            </w14:solidFill>
          </w14:textFill>
        </w:rPr>
      </w:pPr>
    </w:p>
    <w:p>
      <w:pPr>
        <w:pStyle w:val="39"/>
        <w:keepNext/>
        <w:keepLines/>
        <w:spacing w:before="0" w:after="220"/>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3、货物说明一览表</w:t>
      </w:r>
    </w:p>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项目名称:                           </w:t>
      </w:r>
    </w:p>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招标编号:                       包号:                      </w:t>
      </w:r>
    </w:p>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bl>
      <w:tblPr>
        <w:tblStyle w:val="27"/>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370"/>
        <w:gridCol w:w="1420"/>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序号</w:t>
            </w:r>
          </w:p>
        </w:tc>
        <w:tc>
          <w:tcPr>
            <w:tcW w:w="1400"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名称</w:t>
            </w:r>
          </w:p>
        </w:tc>
        <w:tc>
          <w:tcPr>
            <w:tcW w:w="1410"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主要规格</w:t>
            </w:r>
          </w:p>
        </w:tc>
        <w:tc>
          <w:tcPr>
            <w:tcW w:w="1040"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数量</w:t>
            </w:r>
          </w:p>
        </w:tc>
        <w:tc>
          <w:tcPr>
            <w:tcW w:w="1370"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val="en-US" w:eastAsia="zh-CN" w:bidi="ar-SA"/>
                <w14:textFill>
                  <w14:solidFill>
                    <w14:schemeClr w14:val="tx1"/>
                  </w14:solidFill>
                </w14:textFill>
              </w:rPr>
              <w:t>实施日期</w:t>
            </w:r>
          </w:p>
        </w:tc>
        <w:tc>
          <w:tcPr>
            <w:tcW w:w="1420"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val="en-US" w:eastAsia="zh-CN" w:bidi="ar-SA"/>
                <w14:textFill>
                  <w14:solidFill>
                    <w14:schemeClr w14:val="tx1"/>
                  </w14:solidFill>
                </w14:textFill>
              </w:rPr>
              <w:t>实施</w:t>
            </w:r>
            <w:r>
              <w:rPr>
                <w:rFonts w:hint="eastAsia" w:ascii="仿宋" w:hAnsi="仿宋" w:eastAsia="仿宋" w:cs="仿宋"/>
                <w:color w:val="000000" w:themeColor="text1"/>
                <w:kern w:val="2"/>
                <w:szCs w:val="20"/>
                <w:u w:color="000000"/>
                <w:lang w:eastAsia="zh-CN" w:bidi="ar-SA"/>
                <w14:textFill>
                  <w14:solidFill>
                    <w14:schemeClr w14:val="tx1"/>
                  </w14:solidFill>
                </w14:textFill>
              </w:rPr>
              <w:t>地点</w:t>
            </w:r>
          </w:p>
        </w:tc>
        <w:tc>
          <w:tcPr>
            <w:tcW w:w="1101"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bl>
    <w:p>
      <w:pPr>
        <w:pStyle w:val="14"/>
        <w:spacing w:line="240" w:lineRule="atLeast"/>
        <w:ind w:left="1164" w:leftChars="257" w:hanging="540"/>
        <w:rPr>
          <w:rFonts w:ascii="仿宋" w:hAnsi="仿宋" w:eastAsia="仿宋" w:cs="仿宋"/>
          <w:color w:val="000000" w:themeColor="text1"/>
          <w14:textFill>
            <w14:solidFill>
              <w14:schemeClr w14:val="tx1"/>
            </w14:solidFill>
          </w14:textFill>
        </w:rPr>
      </w:pPr>
    </w:p>
    <w:p>
      <w:pPr>
        <w:pStyle w:val="14"/>
        <w:spacing w:line="240" w:lineRule="atLeast"/>
        <w:ind w:left="1164" w:leftChars="257" w:hanging="540"/>
        <w:rPr>
          <w:rFonts w:hAnsi="宋体" w:eastAsia="宋体" w:cs="宋体"/>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法定代表人或其委托代理人签字:</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u w:val="single"/>
          <w:lang w:eastAsia="zh-CN"/>
          <w14:textFill>
            <w14:solidFill>
              <w14:schemeClr w14:val="tx1"/>
            </w14:solidFill>
          </w14:textFill>
        </w:rPr>
        <w:tab/>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hAnsi="宋体" w:eastAsia="宋体" w:cs="宋体"/>
          <w:color w:val="000000" w:themeColor="text1"/>
          <w:u w:val="single"/>
          <w:lang w:eastAsia="zh-CN"/>
          <w14:textFill>
            <w14:solidFill>
              <w14:schemeClr w14:val="tx1"/>
            </w14:solidFill>
          </w14:textFill>
        </w:rPr>
        <w:t xml:space="preserve">         </w:t>
      </w:r>
    </w:p>
    <w:p>
      <w:pPr>
        <w:pStyle w:val="14"/>
        <w:tabs>
          <w:tab w:val="left" w:pos="5370"/>
        </w:tabs>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p>
      <w:pPr>
        <w:pStyle w:val="14"/>
        <w:tabs>
          <w:tab w:val="left" w:pos="5370"/>
        </w:tabs>
        <w:spacing w:line="240" w:lineRule="atLeast"/>
        <w:ind w:left="1164" w:leftChars="257" w:hanging="54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供应商(盖单位章):</w:t>
      </w:r>
      <w:r>
        <w:rPr>
          <w:rFonts w:hint="eastAsia" w:ascii="仿宋" w:hAnsi="仿宋" w:eastAsia="仿宋" w:cs="仿宋"/>
          <w:color w:val="000000" w:themeColor="text1"/>
          <w:u w:val="single"/>
          <w:lang w:eastAsia="zh-CN"/>
          <w14:textFill>
            <w14:solidFill>
              <w14:schemeClr w14:val="tx1"/>
            </w14:solidFill>
          </w14:textFill>
        </w:rPr>
        <w:tab/>
      </w:r>
    </w:p>
    <w:p>
      <w:pPr>
        <w:pStyle w:val="14"/>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p>
      <w:pPr>
        <w:pStyle w:val="14"/>
        <w:spacing w:line="240" w:lineRule="atLeast"/>
        <w:ind w:left="1164" w:leftChars="257" w:hanging="540"/>
        <w:rPr>
          <w:rFonts w:hAnsi="宋体" w:eastAsia="宋体" w:cs="宋体"/>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注: 各项货物详细技术性能应另页描述</w:t>
      </w:r>
      <w:r>
        <w:rPr>
          <w:rFonts w:hint="eastAsia" w:hAnsi="宋体" w:eastAsia="宋体" w:cs="宋体"/>
          <w:color w:val="000000" w:themeColor="text1"/>
          <w:lang w:eastAsia="zh-CN"/>
          <w14:textFill>
            <w14:solidFill>
              <w14:schemeClr w14:val="tx1"/>
            </w14:solidFill>
          </w14:textFill>
        </w:rPr>
        <w:t>。</w:t>
      </w:r>
    </w:p>
    <w:p>
      <w:pPr>
        <w:pStyle w:val="14"/>
        <w:spacing w:line="240" w:lineRule="atLeast"/>
        <w:ind w:left="1164" w:leftChars="257" w:hanging="540"/>
        <w:jc w:val="center"/>
        <w:rPr>
          <w:rFonts w:hAnsi="宋体" w:eastAsia="宋体" w:cs="宋体"/>
          <w:color w:val="000000" w:themeColor="text1"/>
          <w:lang w:eastAsia="zh-CN"/>
          <w14:textFill>
            <w14:solidFill>
              <w14:schemeClr w14:val="tx1"/>
            </w14:solidFill>
          </w14:textFill>
        </w:rPr>
      </w:pPr>
    </w:p>
    <w:p>
      <w:pPr>
        <w:pStyle w:val="14"/>
        <w:spacing w:line="240" w:lineRule="atLeast"/>
        <w:ind w:left="1164" w:leftChars="257" w:hanging="540"/>
        <w:jc w:val="center"/>
        <w:rPr>
          <w:rFonts w:hAnsi="宋体" w:eastAsia="宋体" w:cs="宋体"/>
          <w:color w:val="000000" w:themeColor="text1"/>
          <w:lang w:eastAsia="zh-CN"/>
          <w14:textFill>
            <w14:solidFill>
              <w14:schemeClr w14:val="tx1"/>
            </w14:solidFill>
          </w14:textFill>
        </w:rPr>
        <w:sectPr>
          <w:pgSz w:w="11905" w:h="16838"/>
          <w:pgMar w:top="1440" w:right="1797" w:bottom="1440" w:left="1797" w:header="850" w:footer="992" w:gutter="0"/>
          <w:pgNumType w:fmt="decimal"/>
          <w:cols w:space="720" w:num="1"/>
          <w:docGrid w:type="linesAndChars" w:linePitch="325" w:charSpace="635"/>
        </w:sectPr>
      </w:pPr>
    </w:p>
    <w:p>
      <w:pPr>
        <w:pStyle w:val="39"/>
        <w:keepNext/>
        <w:keepLines/>
        <w:spacing w:before="0" w:after="22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4</w:t>
      </w:r>
      <w:r>
        <w:rPr>
          <w:rFonts w:hint="eastAsia" w:ascii="仿宋" w:hAnsi="仿宋" w:eastAsia="仿宋" w:cs="仿宋"/>
          <w:b/>
          <w:bCs/>
          <w:color w:val="000000" w:themeColor="text1"/>
          <w:lang w:eastAsia="zh-CN"/>
          <w14:textFill>
            <w14:solidFill>
              <w14:schemeClr w14:val="tx1"/>
            </w14:solidFill>
          </w14:textFill>
        </w:rPr>
        <w:t>、</w:t>
      </w:r>
      <w:r>
        <w:rPr>
          <w:rFonts w:hint="eastAsia" w:ascii="仿宋" w:hAnsi="仿宋" w:eastAsia="仿宋" w:cs="仿宋"/>
          <w:b/>
          <w:bCs/>
          <w:color w:val="000000" w:themeColor="text1"/>
          <w14:textFill>
            <w14:solidFill>
              <w14:schemeClr w14:val="tx1"/>
            </w14:solidFill>
          </w14:textFill>
        </w:rPr>
        <w:t>投标报价明细表</w:t>
      </w:r>
    </w:p>
    <w:p>
      <w:pPr>
        <w:pStyle w:val="39"/>
        <w:keepNext/>
        <w:keepLines/>
        <w:spacing w:before="0" w:after="220"/>
        <w:jc w:val="both"/>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项目名称:                      </w:t>
      </w:r>
    </w:p>
    <w:p>
      <w:pPr>
        <w:pStyle w:val="39"/>
        <w:keepNext/>
        <w:keepLines/>
        <w:spacing w:before="0" w:after="220"/>
        <w:jc w:val="both"/>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招标编号:                </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包号: 　 </w:t>
      </w:r>
    </w:p>
    <w:p>
      <w:pPr>
        <w:pStyle w:val="14"/>
        <w:spacing w:line="240" w:lineRule="atLeast"/>
        <w:ind w:left="1169" w:leftChars="257" w:hanging="540"/>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单位：</w:t>
      </w:r>
      <w:r>
        <w:rPr>
          <w:rFonts w:hint="eastAsia" w:ascii="仿宋" w:hAnsi="仿宋" w:eastAsia="仿宋" w:cs="仿宋"/>
          <w:color w:val="000000" w:themeColor="text1"/>
          <w:szCs w:val="21"/>
          <w:lang w:eastAsia="zh-CN"/>
          <w14:textFill>
            <w14:solidFill>
              <w14:schemeClr w14:val="tx1"/>
            </w14:solidFill>
          </w14:textFill>
        </w:rPr>
        <w:t>元（人民币）</w:t>
      </w:r>
    </w:p>
    <w:tbl>
      <w:tblPr>
        <w:tblStyle w:val="27"/>
        <w:tblW w:w="83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276"/>
        <w:gridCol w:w="1311"/>
        <w:gridCol w:w="1275"/>
        <w:gridCol w:w="851"/>
        <w:gridCol w:w="709"/>
        <w:gridCol w:w="708"/>
        <w:gridCol w:w="709"/>
        <w:gridCol w:w="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产品名称</w:t>
            </w: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品牌/型号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规格要求</w:t>
            </w: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数量</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单位</w:t>
            </w: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单价</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总价</w:t>
            </w: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bl>
    <w:p>
      <w:pPr>
        <w:pStyle w:val="43"/>
        <w:spacing w:line="317"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所有价格均用人民币表示，单位为元。</w:t>
      </w:r>
    </w:p>
    <w:p>
      <w:pPr>
        <w:pStyle w:val="43"/>
        <w:tabs>
          <w:tab w:val="left" w:pos="378"/>
        </w:tabs>
        <w:spacing w:line="317" w:lineRule="exact"/>
        <w:ind w:firstLine="735" w:firstLineChars="3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报价总计价格必须与《</w:t>
      </w:r>
      <w:r>
        <w:rPr>
          <w:rFonts w:hint="eastAsia" w:ascii="仿宋" w:hAnsi="仿宋" w:eastAsia="仿宋" w:cs="仿宋"/>
          <w:color w:val="000000" w:themeColor="text1"/>
          <w:sz w:val="24"/>
          <w:szCs w:val="24"/>
          <w:lang w:eastAsia="zh-CN"/>
          <w14:textFill>
            <w14:solidFill>
              <w14:schemeClr w14:val="tx1"/>
            </w14:solidFill>
          </w14:textFill>
        </w:rPr>
        <w:t>投标报价单</w:t>
      </w:r>
      <w:r>
        <w:rPr>
          <w:rFonts w:hint="eastAsia" w:ascii="仿宋" w:hAnsi="仿宋" w:eastAsia="仿宋" w:cs="仿宋"/>
          <w:color w:val="000000" w:themeColor="text1"/>
          <w:sz w:val="24"/>
          <w:szCs w:val="24"/>
          <w14:textFill>
            <w14:solidFill>
              <w14:schemeClr w14:val="tx1"/>
            </w14:solidFill>
          </w14:textFill>
        </w:rPr>
        <w:t>》报价一致。</w:t>
      </w:r>
    </w:p>
    <w:p>
      <w:pPr>
        <w:pStyle w:val="43"/>
        <w:tabs>
          <w:tab w:val="left" w:pos="490"/>
        </w:tabs>
        <w:spacing w:line="317" w:lineRule="exact"/>
        <w:ind w:firstLine="735" w:firstLineChars="3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如果不提供详细的分项报价表将被视为没有实质性</w:t>
      </w:r>
      <w:r>
        <w:rPr>
          <w:rFonts w:hint="eastAsia" w:ascii="仿宋" w:hAnsi="仿宋" w:eastAsia="仿宋" w:cs="仿宋"/>
          <w:color w:val="000000" w:themeColor="text1"/>
          <w:sz w:val="24"/>
          <w:szCs w:val="24"/>
          <w:lang w:eastAsia="zh-CN"/>
          <w14:textFill>
            <w14:solidFill>
              <w14:schemeClr w14:val="tx1"/>
            </w14:solidFill>
          </w14:textFill>
        </w:rPr>
        <w:t>投标文件</w:t>
      </w:r>
      <w:r>
        <w:rPr>
          <w:rFonts w:hint="eastAsia" w:ascii="仿宋" w:hAnsi="仿宋" w:eastAsia="仿宋" w:cs="仿宋"/>
          <w:color w:val="000000" w:themeColor="text1"/>
          <w:sz w:val="24"/>
          <w:szCs w:val="24"/>
          <w14:textFill>
            <w14:solidFill>
              <w14:schemeClr w14:val="tx1"/>
            </w14:solidFill>
          </w14:textFill>
        </w:rPr>
        <w:t>。</w:t>
      </w:r>
    </w:p>
    <w:p>
      <w:pPr>
        <w:pStyle w:val="43"/>
        <w:tabs>
          <w:tab w:val="left" w:pos="493"/>
        </w:tabs>
        <w:spacing w:line="317" w:lineRule="exact"/>
        <w:ind w:left="245" w:leftChars="100" w:firstLine="49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供应商必须按此表格式中的对应栏目内容填写，若需增加栏目，请在栏目</w:t>
      </w:r>
      <w:r>
        <w:rPr>
          <w:rFonts w:hint="eastAsia" w:ascii="仿宋" w:hAnsi="仿宋" w:eastAsia="仿宋" w:cs="仿宋"/>
          <w:color w:val="000000" w:themeColor="text1"/>
          <w:sz w:val="24"/>
          <w:szCs w:val="24"/>
          <w:lang w:val="zh-CN" w:eastAsia="zh-CN" w:bidi="zh-CN"/>
          <w14:textFill>
            <w14:solidFill>
              <w14:schemeClr w14:val="tx1"/>
            </w14:solidFill>
          </w14:textFill>
        </w:rPr>
        <w:t>“其</w:t>
      </w:r>
      <w:r>
        <w:rPr>
          <w:rFonts w:hint="eastAsia" w:ascii="仿宋" w:hAnsi="仿宋" w:eastAsia="仿宋" w:cs="仿宋"/>
          <w:color w:val="000000" w:themeColor="text1"/>
          <w:sz w:val="24"/>
          <w:szCs w:val="24"/>
          <w14:textFill>
            <w14:solidFill>
              <w14:schemeClr w14:val="tx1"/>
            </w14:solidFill>
          </w14:textFill>
        </w:rPr>
        <w:t>它”中填写，并作详细说明。</w:t>
      </w:r>
    </w:p>
    <w:p>
      <w:pPr>
        <w:pStyle w:val="43"/>
        <w:tabs>
          <w:tab w:val="left" w:pos="493"/>
        </w:tabs>
        <w:spacing w:line="317" w:lineRule="exact"/>
        <w:ind w:left="176"/>
        <w:rPr>
          <w:rFonts w:ascii="仿宋" w:hAnsi="仿宋" w:eastAsia="仿宋" w:cs="仿宋"/>
          <w:color w:val="000000" w:themeColor="text1"/>
          <w:sz w:val="20"/>
          <w:szCs w:val="20"/>
          <w14:textFill>
            <w14:solidFill>
              <w14:schemeClr w14:val="tx1"/>
            </w14:solidFill>
          </w14:textFill>
        </w:rPr>
      </w:pPr>
    </w:p>
    <w:p>
      <w:pPr>
        <w:pStyle w:val="43"/>
        <w:tabs>
          <w:tab w:val="left" w:pos="493"/>
        </w:tabs>
        <w:spacing w:line="317" w:lineRule="exact"/>
        <w:ind w:left="176"/>
        <w:rPr>
          <w:rFonts w:ascii="仿宋" w:hAnsi="仿宋" w:eastAsia="仿宋" w:cs="仿宋"/>
          <w:color w:val="000000" w:themeColor="text1"/>
          <w:sz w:val="20"/>
          <w:szCs w:val="20"/>
          <w14:textFill>
            <w14:solidFill>
              <w14:schemeClr w14:val="tx1"/>
            </w14:solidFill>
          </w14:textFill>
        </w:rPr>
      </w:pP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w w:val="95"/>
          <w:sz w:val="24"/>
          <w:lang w:eastAsia="zh-CN"/>
          <w14:textFill>
            <w14:solidFill>
              <w14:schemeClr w14:val="tx1"/>
            </w14:solidFill>
          </w14:textFill>
        </w:rPr>
        <w:t>（盖章）</w:t>
      </w:r>
      <w:r>
        <w:rPr>
          <w:rFonts w:hint="eastAsia" w:ascii="仿宋" w:hAnsi="仿宋" w:eastAsia="仿宋" w:cs="仿宋"/>
          <w:color w:val="000000" w:themeColor="text1"/>
          <w:sz w:val="24"/>
          <w:lang w:eastAsia="zh-CN"/>
          <w14:textFill>
            <w14:solidFill>
              <w14:schemeClr w14:val="tx1"/>
            </w14:solidFill>
          </w14:textFill>
        </w:rPr>
        <w:t xml:space="preserve"> </w:t>
      </w: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w w:val="95"/>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法定代表人或被授权人：</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w w:val="95"/>
          <w:sz w:val="24"/>
          <w:lang w:eastAsia="zh-CN"/>
          <w14:textFill>
            <w14:solidFill>
              <w14:schemeClr w14:val="tx1"/>
            </w14:solidFill>
          </w14:textFill>
        </w:rPr>
        <w:t>（签章）</w:t>
      </w:r>
    </w:p>
    <w:p>
      <w:pPr>
        <w:pStyle w:val="2"/>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日期：</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年</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日</w:t>
      </w:r>
    </w:p>
    <w:p>
      <w:pPr>
        <w:pStyle w:val="2"/>
        <w:numPr>
          <w:ilvl w:val="0"/>
          <w:numId w:val="0"/>
        </w:numPr>
        <w:kinsoku w:val="0"/>
        <w:overflowPunct w:val="0"/>
        <w:spacing w:before="34" w:line="357" w:lineRule="auto"/>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spacing w:line="360" w:lineRule="auto"/>
        <w:jc w:val="center"/>
        <w:rPr>
          <w:rFonts w:ascii="仿宋" w:hAnsi="仿宋" w:eastAsia="仿宋" w:cs="仿宋"/>
          <w:b/>
          <w:color w:val="000000" w:themeColor="text1"/>
          <w:sz w:val="36"/>
          <w:szCs w:val="36"/>
          <w:lang w:eastAsia="zh-CN"/>
          <w14:textFill>
            <w14:solidFill>
              <w14:schemeClr w14:val="tx1"/>
            </w14:solidFill>
          </w14:textFill>
        </w:rPr>
      </w:pPr>
    </w:p>
    <w:p>
      <w:pPr>
        <w:spacing w:line="360" w:lineRule="auto"/>
        <w:jc w:val="center"/>
        <w:rPr>
          <w:rFonts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6"/>
          <w:szCs w:val="36"/>
          <w:lang w:eastAsia="zh-CN"/>
          <w14:textFill>
            <w14:solidFill>
              <w14:schemeClr w14:val="tx1"/>
            </w14:solidFill>
          </w14:textFill>
        </w:rPr>
        <w:t>5、</w:t>
      </w:r>
      <w:r>
        <w:rPr>
          <w:rFonts w:hint="eastAsia" w:ascii="仿宋" w:hAnsi="仿宋" w:eastAsia="仿宋" w:cs="仿宋"/>
          <w:b/>
          <w:bCs/>
          <w:color w:val="000000" w:themeColor="text1"/>
          <w:sz w:val="32"/>
          <w:szCs w:val="32"/>
          <w:lang w:eastAsia="zh-CN"/>
          <w14:textFill>
            <w14:solidFill>
              <w14:schemeClr w14:val="tx1"/>
            </w14:solidFill>
          </w14:textFill>
        </w:rPr>
        <w:t>技术条款偏离表</w:t>
      </w:r>
    </w:p>
    <w:tbl>
      <w:tblPr>
        <w:tblStyle w:val="27"/>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序号</w:t>
            </w:r>
          </w:p>
        </w:tc>
        <w:tc>
          <w:tcPr>
            <w:tcW w:w="1357"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名称</w:t>
            </w:r>
          </w:p>
        </w:tc>
        <w:tc>
          <w:tcPr>
            <w:tcW w:w="1326"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招标文件条目号</w:t>
            </w:r>
          </w:p>
        </w:tc>
        <w:tc>
          <w:tcPr>
            <w:tcW w:w="1326"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招标文件要求规格</w:t>
            </w:r>
          </w:p>
        </w:tc>
        <w:tc>
          <w:tcPr>
            <w:tcW w:w="1326"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投标规格</w:t>
            </w:r>
          </w:p>
        </w:tc>
        <w:tc>
          <w:tcPr>
            <w:tcW w:w="1327"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偏离</w:t>
            </w:r>
          </w:p>
        </w:tc>
        <w:tc>
          <w:tcPr>
            <w:tcW w:w="1327"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000000" w:themeColor="text1"/>
                <w14:textFill>
                  <w14:solidFill>
                    <w14:schemeClr w14:val="tx1"/>
                  </w14:solidFill>
                </w14:textFill>
              </w:rPr>
            </w:pPr>
          </w:p>
        </w:tc>
        <w:tc>
          <w:tcPr>
            <w:tcW w:w="1357" w:type="dxa"/>
          </w:tcPr>
          <w:p>
            <w:pPr>
              <w:jc w:val="center"/>
              <w:rPr>
                <w:rFonts w:ascii="仿宋" w:hAnsi="仿宋" w:eastAsia="仿宋" w:cs="仿宋"/>
                <w:b/>
                <w:bCs/>
                <w:color w:val="000000" w:themeColor="text1"/>
                <w14:textFill>
                  <w14:solidFill>
                    <w14:schemeClr w14:val="tx1"/>
                  </w14:solidFill>
                </w14:textFill>
              </w:rPr>
            </w:pPr>
          </w:p>
        </w:tc>
        <w:tc>
          <w:tcPr>
            <w:tcW w:w="1326" w:type="dxa"/>
          </w:tcPr>
          <w:p>
            <w:pPr>
              <w:jc w:val="center"/>
              <w:rPr>
                <w:rFonts w:ascii="仿宋" w:hAnsi="仿宋" w:eastAsia="仿宋" w:cs="仿宋"/>
                <w:b/>
                <w:bCs/>
                <w:color w:val="000000" w:themeColor="text1"/>
                <w14:textFill>
                  <w14:solidFill>
                    <w14:schemeClr w14:val="tx1"/>
                  </w14:solidFill>
                </w14:textFill>
              </w:rPr>
            </w:pPr>
          </w:p>
        </w:tc>
        <w:tc>
          <w:tcPr>
            <w:tcW w:w="1326" w:type="dxa"/>
          </w:tcPr>
          <w:p>
            <w:pPr>
              <w:jc w:val="center"/>
              <w:rPr>
                <w:rFonts w:ascii="仿宋" w:hAnsi="仿宋" w:eastAsia="仿宋" w:cs="仿宋"/>
                <w:b/>
                <w:bCs/>
                <w:color w:val="000000" w:themeColor="text1"/>
                <w14:textFill>
                  <w14:solidFill>
                    <w14:schemeClr w14:val="tx1"/>
                  </w14:solidFill>
                </w14:textFill>
              </w:rPr>
            </w:pPr>
          </w:p>
        </w:tc>
        <w:tc>
          <w:tcPr>
            <w:tcW w:w="1326" w:type="dxa"/>
          </w:tcPr>
          <w:p>
            <w:pPr>
              <w:jc w:val="center"/>
              <w:rPr>
                <w:rFonts w:ascii="仿宋" w:hAnsi="仿宋" w:eastAsia="仿宋" w:cs="仿宋"/>
                <w:b/>
                <w:bCs/>
                <w:color w:val="000000" w:themeColor="text1"/>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如有正偏离需提供证明材料，证明材料附后(并注明页码)</w:t>
            </w: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000000" w:themeColor="text1"/>
                <w:lang w:eastAsia="zh-CN"/>
                <w14:textFill>
                  <w14:solidFill>
                    <w14:schemeClr w14:val="tx1"/>
                  </w14:solidFill>
                </w14:textFill>
              </w:rPr>
            </w:pPr>
          </w:p>
        </w:tc>
        <w:tc>
          <w:tcPr>
            <w:tcW w:w="1357"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000000" w:themeColor="text1"/>
                <w:lang w:eastAsia="zh-CN"/>
                <w14:textFill>
                  <w14:solidFill>
                    <w14:schemeClr w14:val="tx1"/>
                  </w14:solidFill>
                </w14:textFill>
              </w:rPr>
            </w:pPr>
          </w:p>
        </w:tc>
        <w:tc>
          <w:tcPr>
            <w:tcW w:w="1357"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000000" w:themeColor="text1"/>
                <w:lang w:eastAsia="zh-CN"/>
                <w14:textFill>
                  <w14:solidFill>
                    <w14:schemeClr w14:val="tx1"/>
                  </w14:solidFill>
                </w14:textFill>
              </w:rPr>
            </w:pPr>
          </w:p>
        </w:tc>
        <w:tc>
          <w:tcPr>
            <w:tcW w:w="1357"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000000" w:themeColor="text1"/>
                <w:lang w:eastAsia="zh-CN"/>
                <w14:textFill>
                  <w14:solidFill>
                    <w14:schemeClr w14:val="tx1"/>
                  </w14:solidFill>
                </w14:textFill>
              </w:rPr>
            </w:pPr>
          </w:p>
        </w:tc>
        <w:tc>
          <w:tcPr>
            <w:tcW w:w="1357"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r>
    </w:tbl>
    <w:p>
      <w:pPr>
        <w:spacing w:line="360" w:lineRule="auto"/>
        <w:ind w:firstLine="484" w:firstLineChars="19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备注：供应商应根据其提供的货物，对照招标文件第四章“技术标准和要求”中的要求，有差异的，则在此表中列明实际响应的内容提要并加以说明，以便查对。本表包括所有的技术响应及差异。无差异说明表示完全响应。</w:t>
      </w:r>
    </w:p>
    <w:p>
      <w:pPr>
        <w:pStyle w:val="14"/>
        <w:tabs>
          <w:tab w:val="left" w:pos="5580"/>
        </w:tabs>
        <w:spacing w:line="360" w:lineRule="auto"/>
        <w:ind w:firstLine="3185" w:firstLineChars="1300"/>
        <w:rPr>
          <w:rFonts w:ascii="仿宋" w:hAnsi="仿宋" w:eastAsia="仿宋" w:cs="仿宋"/>
          <w:color w:val="000000" w:themeColor="text1"/>
          <w:lang w:eastAsia="zh-CN"/>
          <w14:textFill>
            <w14:solidFill>
              <w14:schemeClr w14:val="tx1"/>
            </w14:solidFill>
          </w14:textFill>
        </w:rPr>
      </w:pPr>
    </w:p>
    <w:p>
      <w:pPr>
        <w:pStyle w:val="14"/>
        <w:tabs>
          <w:tab w:val="left" w:pos="5580"/>
        </w:tabs>
        <w:spacing w:line="360" w:lineRule="auto"/>
        <w:ind w:firstLine="3185" w:firstLineChars="13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供应商（盖章）：</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w:t>
      </w:r>
    </w:p>
    <w:p>
      <w:pPr>
        <w:pStyle w:val="14"/>
        <w:tabs>
          <w:tab w:val="left" w:pos="5580"/>
        </w:tabs>
        <w:spacing w:line="360" w:lineRule="auto"/>
        <w:ind w:firstLine="3185" w:firstLineChars="1300"/>
        <w:rPr>
          <w:rFonts w:ascii="仿宋" w:hAnsi="仿宋" w:eastAsia="仿宋" w:cs="仿宋"/>
          <w:color w:val="000000" w:themeColor="text1"/>
          <w:szCs w:val="24"/>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法定代表人或</w:t>
      </w:r>
      <w:r>
        <w:rPr>
          <w:rFonts w:hint="eastAsia" w:ascii="仿宋" w:hAnsi="仿宋" w:eastAsia="仿宋" w:cs="仿宋"/>
          <w:color w:val="000000" w:themeColor="text1"/>
          <w:szCs w:val="24"/>
          <w:lang w:eastAsia="zh-CN"/>
          <w14:textFill>
            <w14:solidFill>
              <w14:schemeClr w14:val="tx1"/>
            </w14:solidFill>
          </w14:textFill>
        </w:rPr>
        <w:t>委托代理人</w:t>
      </w:r>
      <w:r>
        <w:rPr>
          <w:rFonts w:hint="eastAsia" w:ascii="仿宋" w:hAnsi="仿宋" w:eastAsia="仿宋" w:cs="仿宋"/>
          <w:color w:val="000000" w:themeColor="text1"/>
          <w:lang w:eastAsia="zh-CN"/>
          <w14:textFill>
            <w14:solidFill>
              <w14:schemeClr w14:val="tx1"/>
            </w14:solidFill>
          </w14:textFill>
        </w:rPr>
        <w:t>（签章）</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u w:val="single"/>
          <w:lang w:eastAsia="zh-CN"/>
          <w14:textFill>
            <w14:solidFill>
              <w14:schemeClr w14:val="tx1"/>
            </w14:solidFill>
          </w14:textFill>
        </w:rPr>
        <w:t xml:space="preserve">             </w:t>
      </w:r>
    </w:p>
    <w:p>
      <w:pPr>
        <w:spacing w:line="360" w:lineRule="auto"/>
        <w:ind w:firstLine="3185" w:firstLineChars="13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日期：       年   月   日</w:t>
      </w:r>
    </w:p>
    <w:p>
      <w:pPr>
        <w:pStyle w:val="5"/>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4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4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4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4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4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4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4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jc w:val="center"/>
        <w:rPr>
          <w:rFonts w:ascii="仿宋" w:hAnsi="仿宋" w:eastAsia="仿宋" w:cs="仿宋"/>
          <w:b/>
          <w:bCs/>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6、商务条款偏离表</w:t>
      </w:r>
    </w:p>
    <w:tbl>
      <w:tblPr>
        <w:tblStyle w:val="2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序号</w:t>
            </w:r>
          </w:p>
        </w:tc>
        <w:tc>
          <w:tcPr>
            <w:tcW w:w="2154" w:type="dxa"/>
          </w:tcPr>
          <w:p>
            <w:pPr>
              <w:pStyle w:val="14"/>
              <w:spacing w:line="240" w:lineRule="atLeast"/>
              <w:jc w:val="cente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招标文件条款号</w:t>
            </w:r>
          </w:p>
        </w:tc>
        <w:tc>
          <w:tcPr>
            <w:tcW w:w="2477" w:type="dxa"/>
          </w:tcPr>
          <w:p>
            <w:pPr>
              <w:pStyle w:val="14"/>
              <w:spacing w:line="240" w:lineRule="atLeast"/>
              <w:jc w:val="cente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招标文件的商务条款</w:t>
            </w:r>
          </w:p>
        </w:tc>
        <w:tc>
          <w:tcPr>
            <w:tcW w:w="2454" w:type="dxa"/>
          </w:tcPr>
          <w:p>
            <w:pPr>
              <w:pStyle w:val="14"/>
              <w:spacing w:line="240" w:lineRule="atLeast"/>
              <w:jc w:val="cente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投标文件的商务条款</w:t>
            </w:r>
          </w:p>
        </w:tc>
        <w:tc>
          <w:tcPr>
            <w:tcW w:w="1130" w:type="dxa"/>
          </w:tcPr>
          <w:p>
            <w:pPr>
              <w:pStyle w:val="14"/>
              <w:spacing w:line="240" w:lineRule="atLeast"/>
              <w:jc w:val="cente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2</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3</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4</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5</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6</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7</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8</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9</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10</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11</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12</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13</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14</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15</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bl>
    <w:p>
      <w:pPr>
        <w:rPr>
          <w:rFonts w:ascii="仿宋" w:hAnsi="仿宋" w:eastAsia="仿宋" w:cs="仿宋"/>
          <w:color w:val="000000" w:themeColor="text1"/>
          <w:spacing w:val="-1"/>
          <w:lang w:eastAsia="zh-CN"/>
          <w14:textFill>
            <w14:solidFill>
              <w14:schemeClr w14:val="tx1"/>
            </w14:solidFill>
          </w14:textFill>
        </w:rPr>
      </w:pPr>
      <w:r>
        <w:rPr>
          <w:rFonts w:hint="eastAsia" w:ascii="仿宋" w:hAnsi="仿宋" w:eastAsia="仿宋" w:cs="仿宋"/>
          <w:color w:val="000000" w:themeColor="text1"/>
          <w:spacing w:val="-1"/>
          <w:lang w:eastAsia="zh-CN"/>
          <w14:textFill>
            <w14:solidFill>
              <w14:schemeClr w14:val="tx1"/>
            </w14:solidFill>
          </w14:textFill>
        </w:rPr>
        <w:t>注：请在“偏离说明”栏内扼要说明偏离情况，如无偏离则不需列明。</w:t>
      </w: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lang w:eastAsia="zh-CN"/>
          <w14:textFill>
            <w14:solidFill>
              <w14:schemeClr w14:val="tx1"/>
            </w14:solidFill>
          </w14:textFill>
        </w:rPr>
      </w:pP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lang w:eastAsia="zh-CN"/>
          <w14:textFill>
            <w14:solidFill>
              <w14:schemeClr w14:val="tx1"/>
            </w14:solidFill>
          </w14:textFill>
        </w:rPr>
      </w:pP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sz w:val="24"/>
          <w:lang w:eastAsia="zh-CN"/>
          <w14:textFill>
            <w14:solidFill>
              <w14:schemeClr w14:val="tx1"/>
            </w14:solidFill>
          </w14:textFill>
        </w:rPr>
      </w:pP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w w:val="95"/>
          <w:sz w:val="24"/>
          <w:lang w:eastAsia="zh-CN"/>
          <w14:textFill>
            <w14:solidFill>
              <w14:schemeClr w14:val="tx1"/>
            </w14:solidFill>
          </w14:textFill>
        </w:rPr>
        <w:t>（盖章）</w:t>
      </w:r>
      <w:r>
        <w:rPr>
          <w:rFonts w:hint="eastAsia" w:ascii="仿宋" w:hAnsi="仿宋" w:eastAsia="仿宋" w:cs="仿宋"/>
          <w:color w:val="000000" w:themeColor="text1"/>
          <w:sz w:val="24"/>
          <w:lang w:eastAsia="zh-CN"/>
          <w14:textFill>
            <w14:solidFill>
              <w14:schemeClr w14:val="tx1"/>
            </w14:solidFill>
          </w14:textFill>
        </w:rPr>
        <w:t xml:space="preserve"> </w:t>
      </w: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w w:val="95"/>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法定代表人或被授权人：</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w w:val="95"/>
          <w:sz w:val="24"/>
          <w:lang w:eastAsia="zh-CN"/>
          <w14:textFill>
            <w14:solidFill>
              <w14:schemeClr w14:val="tx1"/>
            </w14:solidFill>
          </w14:textFill>
        </w:rPr>
        <w:t>（签章）</w:t>
      </w:r>
    </w:p>
    <w:p>
      <w:pPr>
        <w:pStyle w:val="40"/>
        <w:spacing w:after="0"/>
        <w:ind w:firstLine="420"/>
        <w:jc w:val="center"/>
        <w:rPr>
          <w:rFonts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pPr>
        <w:pStyle w:val="40"/>
        <w:spacing w:after="0"/>
        <w:ind w:firstLine="420"/>
        <w:jc w:val="center"/>
        <w:rPr>
          <w:rFonts w:ascii="仿宋" w:hAnsi="仿宋" w:eastAsia="仿宋" w:cs="仿宋"/>
          <w:color w:val="000000" w:themeColor="text1"/>
          <w:sz w:val="36"/>
          <w:szCs w:val="36"/>
          <w14:textFill>
            <w14:solidFill>
              <w14:schemeClr w14:val="tx1"/>
            </w14:solidFill>
          </w14:textFill>
        </w:rPr>
      </w:pPr>
    </w:p>
    <w:p>
      <w:pPr>
        <w:pStyle w:val="41"/>
        <w:tabs>
          <w:tab w:val="left" w:pos="826"/>
        </w:tabs>
        <w:spacing w:line="470" w:lineRule="exact"/>
        <w:ind w:firstLine="0"/>
        <w:jc w:val="center"/>
        <w:rPr>
          <w:rFonts w:ascii="仿宋" w:hAnsi="仿宋" w:eastAsia="仿宋" w:cs="仿宋"/>
          <w:color w:val="000000" w:themeColor="text1"/>
          <w:sz w:val="21"/>
          <w:szCs w:val="21"/>
          <w14:textFill>
            <w14:solidFill>
              <w14:schemeClr w14:val="tx1"/>
            </w14:solidFill>
          </w14:textFill>
        </w:rPr>
      </w:pPr>
    </w:p>
    <w:p>
      <w:pPr>
        <w:pStyle w:val="41"/>
        <w:tabs>
          <w:tab w:val="left" w:pos="826"/>
        </w:tabs>
        <w:spacing w:line="470" w:lineRule="exact"/>
        <w:ind w:firstLine="0"/>
        <w:jc w:val="center"/>
        <w:rPr>
          <w:rFonts w:ascii="仿宋" w:hAnsi="仿宋" w:eastAsia="仿宋" w:cs="仿宋"/>
          <w:color w:val="000000" w:themeColor="text1"/>
          <w:sz w:val="21"/>
          <w:szCs w:val="21"/>
          <w14:textFill>
            <w14:solidFill>
              <w14:schemeClr w14:val="tx1"/>
            </w14:solidFill>
          </w14:textFill>
        </w:rPr>
      </w:pPr>
    </w:p>
    <w:p>
      <w:pPr>
        <w:pStyle w:val="41"/>
        <w:tabs>
          <w:tab w:val="left" w:pos="826"/>
        </w:tabs>
        <w:spacing w:line="470" w:lineRule="exact"/>
        <w:ind w:firstLine="0"/>
        <w:jc w:val="center"/>
        <w:rPr>
          <w:rFonts w:ascii="仿宋" w:hAnsi="仿宋" w:eastAsia="仿宋" w:cs="仿宋"/>
          <w:color w:val="000000" w:themeColor="text1"/>
          <w:sz w:val="21"/>
          <w:szCs w:val="21"/>
          <w14:textFill>
            <w14:solidFill>
              <w14:schemeClr w14:val="tx1"/>
            </w14:solidFill>
          </w14:textFill>
        </w:rPr>
      </w:pPr>
    </w:p>
    <w:p>
      <w:pPr>
        <w:jc w:val="center"/>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7、供应商基本情况表</w:t>
      </w:r>
    </w:p>
    <w:p>
      <w:pPr>
        <w:pStyle w:val="2"/>
        <w:numPr>
          <w:ilvl w:val="0"/>
          <w:numId w:val="0"/>
        </w:numPr>
        <w:kinsoku w:val="0"/>
        <w:overflowPunct w:val="0"/>
        <w:spacing w:before="5"/>
        <w:rPr>
          <w:rFonts w:ascii="仿宋" w:hAnsi="仿宋" w:eastAsia="仿宋" w:cs="仿宋"/>
          <w:b/>
          <w:bCs/>
          <w:color w:val="000000" w:themeColor="text1"/>
          <w:sz w:val="6"/>
          <w:szCs w:val="6"/>
          <w:lang w:eastAsia="zh-CN"/>
          <w14:textFill>
            <w14:solidFill>
              <w14:schemeClr w14:val="tx1"/>
            </w14:solidFill>
          </w14:textFill>
        </w:rPr>
      </w:pPr>
    </w:p>
    <w:tbl>
      <w:tblPr>
        <w:tblStyle w:val="27"/>
        <w:tblW w:w="9819" w:type="dxa"/>
        <w:jc w:val="center"/>
        <w:tblLayout w:type="fixed"/>
        <w:tblCellMar>
          <w:top w:w="0" w:type="dxa"/>
          <w:left w:w="0" w:type="dxa"/>
          <w:bottom w:w="0" w:type="dxa"/>
          <w:right w:w="0" w:type="dxa"/>
        </w:tblCellMar>
      </w:tblPr>
      <w:tblGrid>
        <w:gridCol w:w="1938"/>
        <w:gridCol w:w="1400"/>
        <w:gridCol w:w="913"/>
        <w:gridCol w:w="529"/>
        <w:gridCol w:w="705"/>
        <w:gridCol w:w="738"/>
        <w:gridCol w:w="494"/>
        <w:gridCol w:w="393"/>
        <w:gridCol w:w="593"/>
        <w:gridCol w:w="2116"/>
      </w:tblGrid>
      <w:tr>
        <w:tblPrEx>
          <w:tblCellMar>
            <w:top w:w="0" w:type="dxa"/>
            <w:left w:w="0" w:type="dxa"/>
            <w:bottom w:w="0" w:type="dxa"/>
            <w:right w:w="0" w:type="dxa"/>
          </w:tblCellMar>
        </w:tblPrEx>
        <w:trPr>
          <w:trHeight w:val="800" w:hRule="exact"/>
          <w:jc w:val="center"/>
        </w:trPr>
        <w:tc>
          <w:tcPr>
            <w:tcW w:w="1938"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13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单位名称</w:t>
            </w:r>
          </w:p>
        </w:tc>
        <w:tc>
          <w:tcPr>
            <w:tcW w:w="7881"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800" w:hRule="exact"/>
          <w:jc w:val="center"/>
        </w:trPr>
        <w:tc>
          <w:tcPr>
            <w:tcW w:w="1938"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13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单位地址</w:t>
            </w:r>
          </w:p>
        </w:tc>
        <w:tc>
          <w:tcPr>
            <w:tcW w:w="7881"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800" w:hRule="exact"/>
          <w:jc w:val="center"/>
        </w:trPr>
        <w:tc>
          <w:tcPr>
            <w:tcW w:w="1938"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13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主管部门</w:t>
            </w:r>
          </w:p>
        </w:tc>
        <w:tc>
          <w:tcPr>
            <w:tcW w:w="7881"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800" w:hRule="exact"/>
          <w:jc w:val="center"/>
        </w:trPr>
        <w:tc>
          <w:tcPr>
            <w:tcW w:w="1938"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13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成立时间</w:t>
            </w:r>
          </w:p>
        </w:tc>
        <w:tc>
          <w:tcPr>
            <w:tcW w:w="2313"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2466" w:type="dxa"/>
            <w:gridSpan w:val="4"/>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18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注册资金（万元）</w:t>
            </w:r>
          </w:p>
        </w:tc>
        <w:tc>
          <w:tcPr>
            <w:tcW w:w="3102"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800" w:hRule="exact"/>
          <w:jc w:val="center"/>
        </w:trPr>
        <w:tc>
          <w:tcPr>
            <w:tcW w:w="1938"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6"/>
              <w:ind w:left="13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单位性质</w:t>
            </w:r>
          </w:p>
        </w:tc>
        <w:tc>
          <w:tcPr>
            <w:tcW w:w="7881"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1614" w:hRule="exact"/>
          <w:jc w:val="center"/>
        </w:trPr>
        <w:tc>
          <w:tcPr>
            <w:tcW w:w="1938"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1" w:line="312" w:lineRule="exact"/>
              <w:ind w:left="257" w:right="133" w:hanging="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投标期间</w:t>
            </w:r>
          </w:p>
          <w:p>
            <w:pPr>
              <w:pStyle w:val="44"/>
              <w:kinsoku w:val="0"/>
              <w:overflowPunct w:val="0"/>
              <w:spacing w:before="141" w:line="312" w:lineRule="exact"/>
              <w:ind w:left="257" w:right="133" w:hanging="12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联系人</w:t>
            </w:r>
          </w:p>
        </w:tc>
        <w:tc>
          <w:tcPr>
            <w:tcW w:w="1400"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442" w:type="dxa"/>
            <w:gridSpan w:val="2"/>
            <w:tcBorders>
              <w:top w:val="single" w:color="000000" w:sz="4" w:space="0"/>
              <w:left w:val="single" w:color="000000" w:sz="4" w:space="0"/>
              <w:bottom w:val="single" w:color="000000" w:sz="4" w:space="0"/>
              <w:right w:val="single" w:color="000000" w:sz="4" w:space="0"/>
            </w:tcBorders>
          </w:tcPr>
          <w:p>
            <w:pPr>
              <w:pStyle w:val="44"/>
              <w:kinsoku w:val="0"/>
              <w:overflowPunct w:val="0"/>
              <w:spacing w:before="4"/>
              <w:rPr>
                <w:rFonts w:ascii="仿宋" w:hAnsi="仿宋" w:eastAsia="仿宋" w:cs="仿宋"/>
                <w:b/>
                <w:bCs/>
                <w:color w:val="000000" w:themeColor="text1"/>
                <w:sz w:val="20"/>
                <w:szCs w:val="20"/>
                <w14:textFill>
                  <w14:solidFill>
                    <w14:schemeClr w14:val="tx1"/>
                  </w14:solidFill>
                </w14:textFill>
              </w:rPr>
            </w:pPr>
          </w:p>
          <w:p>
            <w:pPr>
              <w:pStyle w:val="44"/>
              <w:kinsoku w:val="0"/>
              <w:overflowPunct w:val="0"/>
              <w:ind w:left="36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 话</w:t>
            </w:r>
          </w:p>
        </w:tc>
        <w:tc>
          <w:tcPr>
            <w:tcW w:w="1443"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480" w:type="dxa"/>
            <w:gridSpan w:val="3"/>
            <w:tcBorders>
              <w:top w:val="single" w:color="000000" w:sz="4" w:space="0"/>
              <w:left w:val="single" w:color="000000" w:sz="4" w:space="0"/>
              <w:bottom w:val="single" w:color="000000" w:sz="4" w:space="0"/>
              <w:right w:val="single" w:color="000000" w:sz="4" w:space="0"/>
            </w:tcBorders>
          </w:tcPr>
          <w:p>
            <w:pPr>
              <w:pStyle w:val="44"/>
              <w:kinsoku w:val="0"/>
              <w:overflowPunct w:val="0"/>
              <w:spacing w:before="4"/>
              <w:rPr>
                <w:rFonts w:ascii="仿宋" w:hAnsi="仿宋" w:eastAsia="仿宋" w:cs="仿宋"/>
                <w:b/>
                <w:bCs/>
                <w:color w:val="000000" w:themeColor="text1"/>
                <w:sz w:val="20"/>
                <w:szCs w:val="20"/>
                <w14:textFill>
                  <w14:solidFill>
                    <w14:schemeClr w14:val="tx1"/>
                  </w14:solidFill>
                </w14:textFill>
              </w:rPr>
            </w:pPr>
          </w:p>
          <w:p>
            <w:pPr>
              <w:pStyle w:val="44"/>
              <w:kinsoku w:val="0"/>
              <w:overflowPunct w:val="0"/>
              <w:ind w:left="383"/>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传 真</w:t>
            </w:r>
          </w:p>
        </w:tc>
        <w:tc>
          <w:tcPr>
            <w:tcW w:w="2116"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800" w:hRule="exact"/>
          <w:jc w:val="center"/>
        </w:trPr>
        <w:tc>
          <w:tcPr>
            <w:tcW w:w="1938" w:type="dxa"/>
            <w:vMerge w:val="restart"/>
            <w:tcBorders>
              <w:top w:val="single" w:color="000000" w:sz="4" w:space="0"/>
              <w:left w:val="single" w:color="000000" w:sz="4" w:space="0"/>
              <w:bottom w:val="single" w:color="000000" w:sz="4" w:space="0"/>
              <w:right w:val="single" w:color="000000" w:sz="4" w:space="0"/>
            </w:tcBorders>
          </w:tcPr>
          <w:p>
            <w:pPr>
              <w:pStyle w:val="44"/>
              <w:kinsoku w:val="0"/>
              <w:overflowPunct w:val="0"/>
              <w:rPr>
                <w:rFonts w:ascii="仿宋" w:hAnsi="仿宋" w:eastAsia="仿宋" w:cs="仿宋"/>
                <w:b/>
                <w:bCs/>
                <w:color w:val="000000" w:themeColor="text1"/>
                <w14:textFill>
                  <w14:solidFill>
                    <w14:schemeClr w14:val="tx1"/>
                  </w14:solidFill>
                </w14:textFill>
              </w:rPr>
            </w:pPr>
          </w:p>
          <w:p>
            <w:pPr>
              <w:pStyle w:val="44"/>
              <w:kinsoku w:val="0"/>
              <w:overflowPunct w:val="0"/>
              <w:rPr>
                <w:rFonts w:ascii="仿宋" w:hAnsi="仿宋" w:eastAsia="仿宋" w:cs="仿宋"/>
                <w:b/>
                <w:bCs/>
                <w:color w:val="000000" w:themeColor="text1"/>
                <w14:textFill>
                  <w14:solidFill>
                    <w14:schemeClr w14:val="tx1"/>
                  </w14:solidFill>
                </w14:textFill>
              </w:rPr>
            </w:pPr>
          </w:p>
          <w:p>
            <w:pPr>
              <w:pStyle w:val="44"/>
              <w:kinsoku w:val="0"/>
              <w:overflowPunct w:val="0"/>
              <w:rPr>
                <w:rFonts w:ascii="仿宋" w:hAnsi="仿宋" w:eastAsia="仿宋" w:cs="仿宋"/>
                <w:b/>
                <w:bCs/>
                <w:color w:val="000000" w:themeColor="text1"/>
                <w14:textFill>
                  <w14:solidFill>
                    <w14:schemeClr w14:val="tx1"/>
                  </w14:solidFill>
                </w14:textFill>
              </w:rPr>
            </w:pPr>
          </w:p>
          <w:p>
            <w:pPr>
              <w:pStyle w:val="44"/>
              <w:kinsoku w:val="0"/>
              <w:overflowPunct w:val="0"/>
              <w:spacing w:line="475" w:lineRule="auto"/>
              <w:ind w:left="497" w:right="493"/>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工 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况</w:t>
            </w:r>
          </w:p>
        </w:tc>
        <w:tc>
          <w:tcPr>
            <w:tcW w:w="1400"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4"/>
              <w:ind w:left="23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职工总数</w:t>
            </w:r>
          </w:p>
        </w:tc>
        <w:tc>
          <w:tcPr>
            <w:tcW w:w="1442"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2330" w:type="dxa"/>
            <w:gridSpan w:val="4"/>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4"/>
              <w:ind w:left="118"/>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其中：技术人员数</w:t>
            </w:r>
          </w:p>
        </w:tc>
        <w:tc>
          <w:tcPr>
            <w:tcW w:w="2709"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800" w:hRule="exact"/>
          <w:jc w:val="center"/>
        </w:trPr>
        <w:tc>
          <w:tcPr>
            <w:tcW w:w="1938"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7881" w:type="dxa"/>
            <w:gridSpan w:val="9"/>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单位行政和技术负责人</w:t>
            </w:r>
          </w:p>
        </w:tc>
      </w:tr>
      <w:tr>
        <w:tblPrEx>
          <w:tblCellMar>
            <w:top w:w="0" w:type="dxa"/>
            <w:left w:w="0" w:type="dxa"/>
            <w:bottom w:w="0" w:type="dxa"/>
            <w:right w:w="0" w:type="dxa"/>
          </w:tblCellMar>
        </w:tblPrEx>
        <w:trPr>
          <w:trHeight w:val="800" w:hRule="exact"/>
          <w:jc w:val="center"/>
        </w:trPr>
        <w:tc>
          <w:tcPr>
            <w:tcW w:w="1938" w:type="dxa"/>
            <w:vMerge w:val="continue"/>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jc w:val="center"/>
              <w:rPr>
                <w:rFonts w:ascii="仿宋" w:hAnsi="仿宋" w:eastAsia="仿宋" w:cs="仿宋"/>
                <w:color w:val="000000" w:themeColor="text1"/>
                <w:lang w:eastAsia="zh-CN"/>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41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姓 名</w:t>
            </w:r>
          </w:p>
        </w:tc>
        <w:tc>
          <w:tcPr>
            <w:tcW w:w="2147" w:type="dxa"/>
            <w:gridSpan w:val="3"/>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45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职务/职称</w:t>
            </w:r>
          </w:p>
        </w:tc>
        <w:tc>
          <w:tcPr>
            <w:tcW w:w="1625" w:type="dxa"/>
            <w:gridSpan w:val="3"/>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45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年 龄</w:t>
            </w:r>
          </w:p>
        </w:tc>
        <w:tc>
          <w:tcPr>
            <w:tcW w:w="2709" w:type="dxa"/>
            <w:gridSpan w:val="2"/>
            <w:tcBorders>
              <w:top w:val="single" w:color="000000" w:sz="4" w:space="0"/>
              <w:left w:val="single" w:color="000000" w:sz="4" w:space="0"/>
              <w:bottom w:val="single" w:color="000000" w:sz="4" w:space="0"/>
              <w:right w:val="single" w:color="000000" w:sz="4" w:space="0"/>
            </w:tcBorders>
          </w:tcPr>
          <w:p>
            <w:pPr>
              <w:pStyle w:val="44"/>
              <w:tabs>
                <w:tab w:val="left" w:pos="479"/>
              </w:tabs>
              <w:kinsoku w:val="0"/>
              <w:overflowPunct w:val="0"/>
              <w:spacing w:before="145"/>
              <w:ind w:right="1"/>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专</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业</w:t>
            </w:r>
          </w:p>
        </w:tc>
      </w:tr>
      <w:tr>
        <w:tblPrEx>
          <w:tblCellMar>
            <w:top w:w="0" w:type="dxa"/>
            <w:left w:w="0" w:type="dxa"/>
            <w:bottom w:w="0" w:type="dxa"/>
            <w:right w:w="0" w:type="dxa"/>
          </w:tblCellMar>
        </w:tblPrEx>
        <w:trPr>
          <w:trHeight w:val="679" w:hRule="atLeast"/>
          <w:jc w:val="center"/>
        </w:trPr>
        <w:tc>
          <w:tcPr>
            <w:tcW w:w="1938" w:type="dxa"/>
            <w:vMerge w:val="continue"/>
            <w:tcBorders>
              <w:top w:val="single" w:color="000000" w:sz="4" w:space="0"/>
              <w:left w:val="single" w:color="000000" w:sz="4" w:space="0"/>
              <w:bottom w:val="single" w:color="000000" w:sz="4" w:space="0"/>
              <w:right w:val="single" w:color="000000" w:sz="4" w:space="0"/>
            </w:tcBorders>
          </w:tcPr>
          <w:p>
            <w:pPr>
              <w:pStyle w:val="44"/>
              <w:tabs>
                <w:tab w:val="left" w:pos="479"/>
              </w:tabs>
              <w:kinsoku w:val="0"/>
              <w:overflowPunct w:val="0"/>
              <w:spacing w:before="145"/>
              <w:ind w:right="1"/>
              <w:jc w:val="center"/>
              <w:rPr>
                <w:rFonts w:ascii="仿宋" w:hAnsi="仿宋" w:eastAsia="仿宋" w:cs="仿宋"/>
                <w:color w:val="000000" w:themeColor="text1"/>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c>
          <w:tcPr>
            <w:tcW w:w="2147" w:type="dxa"/>
            <w:gridSpan w:val="3"/>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c>
          <w:tcPr>
            <w:tcW w:w="1625" w:type="dxa"/>
            <w:gridSpan w:val="3"/>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c>
          <w:tcPr>
            <w:tcW w:w="2709" w:type="dxa"/>
            <w:gridSpan w:val="2"/>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679" w:hRule="atLeast"/>
          <w:jc w:val="center"/>
        </w:trPr>
        <w:tc>
          <w:tcPr>
            <w:tcW w:w="1938"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c>
          <w:tcPr>
            <w:tcW w:w="2147" w:type="dxa"/>
            <w:gridSpan w:val="3"/>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c>
          <w:tcPr>
            <w:tcW w:w="1625" w:type="dxa"/>
            <w:gridSpan w:val="3"/>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c>
          <w:tcPr>
            <w:tcW w:w="2709" w:type="dxa"/>
            <w:gridSpan w:val="2"/>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679" w:hRule="atLeast"/>
          <w:jc w:val="center"/>
        </w:trPr>
        <w:tc>
          <w:tcPr>
            <w:tcW w:w="1938"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c>
          <w:tcPr>
            <w:tcW w:w="2147" w:type="dxa"/>
            <w:gridSpan w:val="3"/>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c>
          <w:tcPr>
            <w:tcW w:w="1625" w:type="dxa"/>
            <w:gridSpan w:val="3"/>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c>
          <w:tcPr>
            <w:tcW w:w="2709" w:type="dxa"/>
            <w:gridSpan w:val="2"/>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1899" w:hRule="exact"/>
          <w:jc w:val="center"/>
        </w:trPr>
        <w:tc>
          <w:tcPr>
            <w:tcW w:w="1938"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
              <w:rPr>
                <w:rFonts w:ascii="仿宋" w:hAnsi="仿宋" w:eastAsia="仿宋" w:cs="仿宋"/>
                <w:b/>
                <w:bCs/>
                <w:color w:val="000000" w:themeColor="text1"/>
                <w:sz w:val="23"/>
                <w:szCs w:val="23"/>
                <w14:textFill>
                  <w14:solidFill>
                    <w14:schemeClr w14:val="tx1"/>
                  </w14:solidFill>
                </w14:textFill>
              </w:rPr>
            </w:pPr>
          </w:p>
          <w:p>
            <w:pPr>
              <w:pStyle w:val="44"/>
              <w:kinsoku w:val="0"/>
              <w:overflowPunct w:val="0"/>
              <w:spacing w:line="237" w:lineRule="auto"/>
              <w:ind w:left="497" w:right="493"/>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单</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位</w:t>
            </w:r>
          </w:p>
          <w:p>
            <w:pPr>
              <w:pStyle w:val="44"/>
              <w:kinsoku w:val="0"/>
              <w:overflowPunct w:val="0"/>
              <w:spacing w:line="237" w:lineRule="auto"/>
              <w:ind w:left="497" w:right="493"/>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概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况</w:t>
            </w:r>
          </w:p>
        </w:tc>
        <w:tc>
          <w:tcPr>
            <w:tcW w:w="7881"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bl>
    <w:p>
      <w:pPr>
        <w:pStyle w:val="41"/>
        <w:spacing w:line="440" w:lineRule="exact"/>
        <w:ind w:firstLine="0"/>
        <w:jc w:val="both"/>
        <w:rPr>
          <w:rFonts w:ascii="仿宋" w:hAnsi="仿宋" w:eastAsia="仿宋" w:cs="仿宋"/>
          <w:b/>
          <w:color w:val="000000" w:themeColor="text1"/>
          <w:sz w:val="30"/>
          <w:szCs w:val="30"/>
          <w14:textFill>
            <w14:solidFill>
              <w14:schemeClr w14:val="tx1"/>
            </w14:solidFill>
          </w14:textFill>
        </w:rPr>
      </w:pPr>
    </w:p>
    <w:p>
      <w:pPr>
        <w:pStyle w:val="41"/>
        <w:spacing w:line="440" w:lineRule="exact"/>
        <w:ind w:firstLine="0"/>
        <w:jc w:val="both"/>
        <w:rPr>
          <w:rFonts w:ascii="仿宋" w:hAnsi="仿宋" w:eastAsia="仿宋" w:cs="仿宋"/>
          <w:b/>
          <w:color w:val="000000" w:themeColor="text1"/>
          <w:sz w:val="30"/>
          <w:szCs w:val="30"/>
          <w14:textFill>
            <w14:solidFill>
              <w14:schemeClr w14:val="tx1"/>
            </w14:solidFill>
          </w14:textFill>
        </w:rPr>
      </w:pPr>
    </w:p>
    <w:p>
      <w:pPr>
        <w:pStyle w:val="2"/>
        <w:numPr>
          <w:ilvl w:val="0"/>
          <w:numId w:val="0"/>
        </w:numPr>
        <w:kinsoku w:val="0"/>
        <w:overflowPunct w:val="0"/>
        <w:spacing w:before="34" w:line="357" w:lineRule="auto"/>
        <w:ind w:left="480" w:right="126"/>
        <w:jc w:val="center"/>
        <w:rPr>
          <w:rFonts w:ascii="仿宋" w:hAnsi="仿宋" w:eastAsia="仿宋" w:cs="仿宋"/>
          <w:b/>
          <w:bCs/>
          <w:color w:val="000000" w:themeColor="text1"/>
          <w:w w:val="90"/>
          <w:lang w:eastAsia="zh-CN"/>
          <w14:textFill>
            <w14:solidFill>
              <w14:schemeClr w14:val="tx1"/>
            </w14:solidFill>
          </w14:textFill>
        </w:rPr>
      </w:pPr>
      <w:r>
        <w:rPr>
          <w:rFonts w:hint="eastAsia" w:ascii="仿宋" w:hAnsi="仿宋" w:eastAsia="仿宋" w:cs="仿宋"/>
          <w:bCs/>
          <w:color w:val="000000" w:themeColor="text1"/>
          <w:sz w:val="36"/>
          <w:szCs w:val="36"/>
          <w:lang w:eastAsia="zh-CN"/>
          <w14:textFill>
            <w14:solidFill>
              <w14:schemeClr w14:val="tx1"/>
            </w14:solidFill>
          </w14:textFill>
        </w:rPr>
        <w:t>8、</w:t>
      </w:r>
      <w:r>
        <w:rPr>
          <w:rFonts w:hint="eastAsia" w:ascii="仿宋" w:hAnsi="仿宋" w:eastAsia="仿宋" w:cs="仿宋"/>
          <w:b/>
          <w:bCs/>
          <w:color w:val="000000" w:themeColor="text1"/>
          <w:w w:val="90"/>
          <w:sz w:val="36"/>
          <w:szCs w:val="36"/>
          <w:lang w:eastAsia="zh-CN"/>
          <w14:textFill>
            <w14:solidFill>
              <w14:schemeClr w14:val="tx1"/>
            </w14:solidFill>
          </w14:textFill>
        </w:rPr>
        <w:t>近三年（2019年1月1日至今）类似项目业绩表</w:t>
      </w:r>
    </w:p>
    <w:p>
      <w:pPr>
        <w:pStyle w:val="2"/>
        <w:numPr>
          <w:ilvl w:val="0"/>
          <w:numId w:val="0"/>
        </w:numPr>
        <w:kinsoku w:val="0"/>
        <w:overflowPunct w:val="0"/>
        <w:rPr>
          <w:rFonts w:ascii="仿宋" w:hAnsi="仿宋" w:eastAsia="仿宋" w:cs="仿宋"/>
          <w:b/>
          <w:bCs/>
          <w:color w:val="000000" w:themeColor="text1"/>
          <w:sz w:val="20"/>
          <w:szCs w:val="20"/>
          <w:lang w:eastAsia="zh-CN"/>
          <w14:textFill>
            <w14:solidFill>
              <w14:schemeClr w14:val="tx1"/>
            </w14:solidFill>
          </w14:textFill>
        </w:rPr>
      </w:pPr>
    </w:p>
    <w:tbl>
      <w:tblPr>
        <w:tblStyle w:val="27"/>
        <w:tblW w:w="8731" w:type="dxa"/>
        <w:jc w:val="center"/>
        <w:tblLayout w:type="fixed"/>
        <w:tblCellMar>
          <w:top w:w="0" w:type="dxa"/>
          <w:left w:w="10" w:type="dxa"/>
          <w:bottom w:w="0" w:type="dxa"/>
          <w:right w:w="10" w:type="dxa"/>
        </w:tblCellMar>
      </w:tblPr>
      <w:tblGrid>
        <w:gridCol w:w="2002"/>
        <w:gridCol w:w="6729"/>
      </w:tblGrid>
      <w:tr>
        <w:tblPrEx>
          <w:tblCellMar>
            <w:top w:w="0" w:type="dxa"/>
            <w:left w:w="10" w:type="dxa"/>
            <w:bottom w:w="0" w:type="dxa"/>
            <w:right w:w="10" w:type="dxa"/>
          </w:tblCellMar>
        </w:tblPrEx>
        <w:trPr>
          <w:trHeight w:val="850" w:hRule="atLeast"/>
          <w:jc w:val="center"/>
        </w:trPr>
        <w:tc>
          <w:tcPr>
            <w:tcW w:w="2002" w:type="dxa"/>
            <w:tcBorders>
              <w:top w:val="single" w:color="auto" w:sz="4" w:space="0"/>
              <w:left w:val="single" w:color="auto" w:sz="4" w:space="0"/>
            </w:tcBorders>
            <w:shd w:val="clear" w:color="auto" w:fill="FFFFFF"/>
            <w:vAlign w:val="center"/>
          </w:tcPr>
          <w:p>
            <w:pPr>
              <w:pStyle w:val="42"/>
              <w:spacing w:line="240" w:lineRule="auto"/>
              <w:ind w:firstLine="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tc>
        <w:tc>
          <w:tcPr>
            <w:tcW w:w="6729" w:type="dxa"/>
            <w:tcBorders>
              <w:top w:val="single" w:color="auto" w:sz="4" w:space="0"/>
              <w:left w:val="single" w:color="auto" w:sz="4" w:space="0"/>
              <w:right w:val="single" w:color="auto" w:sz="4" w:space="0"/>
            </w:tcBorders>
            <w:shd w:val="clear" w:color="auto" w:fill="FFFFFF"/>
            <w:vAlign w:val="top"/>
          </w:tcPr>
          <w:p>
            <w:pPr>
              <w:rPr>
                <w:rFonts w:ascii="仿宋" w:hAnsi="仿宋" w:eastAsia="仿宋" w:cs="仿宋"/>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850" w:hRule="atLeast"/>
          <w:jc w:val="center"/>
        </w:trPr>
        <w:tc>
          <w:tcPr>
            <w:tcW w:w="2002" w:type="dxa"/>
            <w:tcBorders>
              <w:top w:val="single" w:color="auto" w:sz="4" w:space="0"/>
              <w:left w:val="single" w:color="auto" w:sz="4" w:space="0"/>
            </w:tcBorders>
            <w:shd w:val="clear" w:color="auto" w:fill="FFFFFF"/>
          </w:tcPr>
          <w:p>
            <w:pPr>
              <w:pStyle w:val="42"/>
              <w:spacing w:before="120" w:line="240" w:lineRule="auto"/>
              <w:ind w:firstLine="22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项目单位名称</w:t>
            </w:r>
          </w:p>
        </w:tc>
        <w:tc>
          <w:tcPr>
            <w:tcW w:w="6729" w:type="dxa"/>
            <w:tcBorders>
              <w:top w:val="single" w:color="auto" w:sz="4" w:space="0"/>
              <w:left w:val="single" w:color="auto" w:sz="4" w:space="0"/>
              <w:right w:val="single" w:color="auto" w:sz="4" w:space="0"/>
            </w:tcBorders>
            <w:shd w:val="clear" w:color="auto" w:fill="FFFFFF"/>
            <w:vAlign w:val="top"/>
          </w:tcPr>
          <w:p>
            <w:pPr>
              <w:rPr>
                <w:rFonts w:ascii="仿宋" w:hAnsi="仿宋" w:eastAsia="仿宋" w:cs="仿宋"/>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850" w:hRule="atLeast"/>
          <w:jc w:val="center"/>
        </w:trPr>
        <w:tc>
          <w:tcPr>
            <w:tcW w:w="2002" w:type="dxa"/>
            <w:tcBorders>
              <w:top w:val="single" w:color="auto" w:sz="4" w:space="0"/>
              <w:left w:val="single" w:color="auto" w:sz="4" w:space="0"/>
            </w:tcBorders>
            <w:shd w:val="clear" w:color="auto" w:fill="FFFFFF"/>
          </w:tcPr>
          <w:p>
            <w:pPr>
              <w:pStyle w:val="42"/>
              <w:spacing w:line="320" w:lineRule="exact"/>
              <w:ind w:firstLine="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项目单位联系姓名及联系方式</w:t>
            </w:r>
          </w:p>
        </w:tc>
        <w:tc>
          <w:tcPr>
            <w:tcW w:w="6729" w:type="dxa"/>
            <w:tcBorders>
              <w:top w:val="single" w:color="auto" w:sz="4" w:space="0"/>
              <w:left w:val="single" w:color="auto" w:sz="4" w:space="0"/>
              <w:right w:val="single" w:color="auto" w:sz="4" w:space="0"/>
            </w:tcBorders>
            <w:shd w:val="clear" w:color="auto" w:fill="FFFFFF"/>
            <w:vAlign w:val="top"/>
          </w:tcPr>
          <w:p>
            <w:pPr>
              <w:rPr>
                <w:rFonts w:ascii="仿宋" w:hAnsi="仿宋" w:eastAsia="仿宋" w:cs="仿宋"/>
                <w:color w:val="000000" w:themeColor="text1"/>
                <w:sz w:val="10"/>
                <w:szCs w:val="10"/>
                <w:lang w:eastAsia="zh-CN"/>
                <w14:textFill>
                  <w14:solidFill>
                    <w14:schemeClr w14:val="tx1"/>
                  </w14:solidFill>
                </w14:textFill>
              </w:rPr>
            </w:pPr>
          </w:p>
        </w:tc>
      </w:tr>
      <w:tr>
        <w:tblPrEx>
          <w:tblCellMar>
            <w:top w:w="0" w:type="dxa"/>
            <w:left w:w="10" w:type="dxa"/>
            <w:bottom w:w="0" w:type="dxa"/>
            <w:right w:w="10" w:type="dxa"/>
          </w:tblCellMar>
        </w:tblPrEx>
        <w:trPr>
          <w:trHeight w:val="850" w:hRule="atLeast"/>
          <w:jc w:val="center"/>
        </w:trPr>
        <w:tc>
          <w:tcPr>
            <w:tcW w:w="2002" w:type="dxa"/>
            <w:tcBorders>
              <w:top w:val="single" w:color="auto" w:sz="4" w:space="0"/>
              <w:left w:val="single" w:color="auto" w:sz="4" w:space="0"/>
            </w:tcBorders>
            <w:shd w:val="clear" w:color="auto" w:fill="FFFFFF"/>
            <w:vAlign w:val="center"/>
          </w:tcPr>
          <w:p>
            <w:pPr>
              <w:pStyle w:val="42"/>
              <w:spacing w:line="240" w:lineRule="auto"/>
              <w:ind w:firstLine="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合同金额</w:t>
            </w:r>
          </w:p>
        </w:tc>
        <w:tc>
          <w:tcPr>
            <w:tcW w:w="6729" w:type="dxa"/>
            <w:tcBorders>
              <w:top w:val="single" w:color="auto" w:sz="4" w:space="0"/>
              <w:left w:val="single" w:color="auto" w:sz="4" w:space="0"/>
              <w:right w:val="single" w:color="auto" w:sz="4" w:space="0"/>
            </w:tcBorders>
            <w:shd w:val="clear" w:color="auto" w:fill="FFFFFF"/>
            <w:vAlign w:val="top"/>
          </w:tcPr>
          <w:p>
            <w:pPr>
              <w:rPr>
                <w:rFonts w:ascii="仿宋" w:hAnsi="仿宋" w:eastAsia="仿宋" w:cs="仿宋"/>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850" w:hRule="atLeast"/>
          <w:jc w:val="center"/>
        </w:trPr>
        <w:tc>
          <w:tcPr>
            <w:tcW w:w="2002" w:type="dxa"/>
            <w:tcBorders>
              <w:top w:val="single" w:color="auto" w:sz="4" w:space="0"/>
              <w:left w:val="single" w:color="auto" w:sz="4" w:space="0"/>
            </w:tcBorders>
            <w:shd w:val="clear" w:color="auto" w:fill="FFFFFF"/>
          </w:tcPr>
          <w:p>
            <w:pPr>
              <w:pStyle w:val="42"/>
              <w:spacing w:line="306" w:lineRule="exact"/>
              <w:ind w:firstLine="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项目负责人姓名</w:t>
            </w:r>
          </w:p>
        </w:tc>
        <w:tc>
          <w:tcPr>
            <w:tcW w:w="6729" w:type="dxa"/>
            <w:tcBorders>
              <w:top w:val="single" w:color="auto" w:sz="4" w:space="0"/>
              <w:left w:val="single" w:color="auto" w:sz="4" w:space="0"/>
              <w:right w:val="single" w:color="auto" w:sz="4" w:space="0"/>
            </w:tcBorders>
            <w:shd w:val="clear" w:color="auto" w:fill="FFFFFF"/>
            <w:vAlign w:val="top"/>
          </w:tcPr>
          <w:p>
            <w:pPr>
              <w:rPr>
                <w:rFonts w:ascii="仿宋" w:hAnsi="仿宋" w:eastAsia="仿宋" w:cs="仿宋"/>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850" w:hRule="atLeast"/>
          <w:jc w:val="center"/>
        </w:trPr>
        <w:tc>
          <w:tcPr>
            <w:tcW w:w="2002" w:type="dxa"/>
            <w:tcBorders>
              <w:top w:val="single" w:color="auto" w:sz="4" w:space="0"/>
              <w:left w:val="single" w:color="auto" w:sz="4" w:space="0"/>
            </w:tcBorders>
            <w:shd w:val="clear" w:color="auto" w:fill="FFFFFF"/>
          </w:tcPr>
          <w:p>
            <w:pPr>
              <w:pStyle w:val="42"/>
              <w:spacing w:before="120" w:line="240" w:lineRule="auto"/>
              <w:ind w:firstLine="22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项目实施时间</w:t>
            </w:r>
          </w:p>
        </w:tc>
        <w:tc>
          <w:tcPr>
            <w:tcW w:w="6729" w:type="dxa"/>
            <w:tcBorders>
              <w:top w:val="single" w:color="auto" w:sz="4" w:space="0"/>
              <w:left w:val="single" w:color="auto" w:sz="4" w:space="0"/>
              <w:right w:val="single" w:color="auto" w:sz="4" w:space="0"/>
            </w:tcBorders>
            <w:shd w:val="clear" w:color="auto" w:fill="FFFFFF"/>
            <w:vAlign w:val="top"/>
          </w:tcPr>
          <w:p>
            <w:pPr>
              <w:rPr>
                <w:rFonts w:ascii="仿宋" w:hAnsi="仿宋" w:eastAsia="仿宋" w:cs="仿宋"/>
                <w:color w:val="000000" w:themeColor="text1"/>
                <w:sz w:val="10"/>
                <w:szCs w:val="10"/>
                <w14:textFill>
                  <w14:solidFill>
                    <w14:schemeClr w14:val="tx1"/>
                  </w14:solidFill>
                </w14:textFill>
              </w:rPr>
            </w:pPr>
          </w:p>
        </w:tc>
      </w:tr>
      <w:tr>
        <w:tblPrEx>
          <w:tblCellMar>
            <w:top w:w="0" w:type="dxa"/>
            <w:left w:w="10" w:type="dxa"/>
            <w:bottom w:w="0" w:type="dxa"/>
            <w:right w:w="10" w:type="dxa"/>
          </w:tblCellMar>
        </w:tblPrEx>
        <w:trPr>
          <w:trHeight w:val="1699" w:hRule="exact"/>
          <w:jc w:val="center"/>
        </w:trPr>
        <w:tc>
          <w:tcPr>
            <w:tcW w:w="2002" w:type="dxa"/>
            <w:tcBorders>
              <w:top w:val="single" w:color="auto" w:sz="4" w:space="0"/>
              <w:left w:val="single" w:color="auto" w:sz="4" w:space="0"/>
              <w:bottom w:val="single" w:color="auto" w:sz="4" w:space="0"/>
            </w:tcBorders>
            <w:shd w:val="clear" w:color="auto" w:fill="FFFFFF"/>
            <w:vAlign w:val="center"/>
          </w:tcPr>
          <w:p>
            <w:pPr>
              <w:pStyle w:val="42"/>
              <w:spacing w:line="240" w:lineRule="auto"/>
              <w:ind w:firstLine="22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项目内容说明</w:t>
            </w:r>
          </w:p>
        </w:tc>
        <w:tc>
          <w:tcPr>
            <w:tcW w:w="6729"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sz w:val="10"/>
                <w:szCs w:val="10"/>
                <w14:textFill>
                  <w14:solidFill>
                    <w14:schemeClr w14:val="tx1"/>
                  </w14:solidFill>
                </w14:textFill>
              </w:rPr>
            </w:pPr>
          </w:p>
        </w:tc>
      </w:tr>
    </w:tbl>
    <w:p>
      <w:pPr>
        <w:rPr>
          <w:rFonts w:ascii="仿宋" w:hAnsi="仿宋" w:eastAsia="仿宋" w:cs="仿宋"/>
          <w:color w:val="000000" w:themeColor="text1"/>
          <w:spacing w:val="-1"/>
          <w:lang w:eastAsia="zh-CN"/>
          <w14:textFill>
            <w14:solidFill>
              <w14:schemeClr w14:val="tx1"/>
            </w14:solidFill>
          </w14:textFill>
        </w:rPr>
      </w:pPr>
      <w:r>
        <w:rPr>
          <w:rFonts w:hint="eastAsia" w:ascii="仿宋" w:hAnsi="仿宋" w:eastAsia="仿宋" w:cs="仿宋"/>
          <w:color w:val="000000" w:themeColor="text1"/>
          <w:spacing w:val="-1"/>
          <w:lang w:eastAsia="zh-CN"/>
          <w14:textFill>
            <w14:solidFill>
              <w14:schemeClr w14:val="tx1"/>
            </w14:solidFill>
          </w14:textFill>
        </w:rPr>
        <w:t>注：每个业绩须单独附表，并附上合同或中标通知书相关证明材料，否则专家在评审时将不予采信。</w:t>
      </w: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sz w:val="24"/>
          <w:lang w:eastAsia="zh-CN"/>
          <w14:textFill>
            <w14:solidFill>
              <w14:schemeClr w14:val="tx1"/>
            </w14:solidFill>
          </w14:textFill>
        </w:rPr>
      </w:pP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sz w:val="24"/>
          <w:lang w:eastAsia="zh-CN"/>
          <w14:textFill>
            <w14:solidFill>
              <w14:schemeClr w14:val="tx1"/>
            </w14:solidFill>
          </w14:textFill>
        </w:rPr>
      </w:pP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sz w:val="24"/>
          <w:lang w:eastAsia="zh-CN"/>
          <w14:textFill>
            <w14:solidFill>
              <w14:schemeClr w14:val="tx1"/>
            </w14:solidFill>
          </w14:textFill>
        </w:rPr>
      </w:pP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供应商：   </w:t>
      </w:r>
      <w:r>
        <w:rPr>
          <w:rFonts w:hint="eastAsia" w:ascii="仿宋" w:hAnsi="仿宋" w:eastAsia="仿宋" w:cs="仿宋"/>
          <w:color w:val="000000" w:themeColor="text1"/>
          <w:w w:val="95"/>
          <w:sz w:val="24"/>
          <w:lang w:eastAsia="zh-CN"/>
          <w14:textFill>
            <w14:solidFill>
              <w14:schemeClr w14:val="tx1"/>
            </w14:solidFill>
          </w14:textFill>
        </w:rPr>
        <w:t>（盖章）</w:t>
      </w:r>
      <w:r>
        <w:rPr>
          <w:rFonts w:hint="eastAsia" w:ascii="仿宋" w:hAnsi="仿宋" w:eastAsia="仿宋" w:cs="仿宋"/>
          <w:color w:val="000000" w:themeColor="text1"/>
          <w:sz w:val="24"/>
          <w:lang w:eastAsia="zh-CN"/>
          <w14:textFill>
            <w14:solidFill>
              <w14:schemeClr w14:val="tx1"/>
            </w14:solidFill>
          </w14:textFill>
        </w:rPr>
        <w:t xml:space="preserve"> </w:t>
      </w:r>
    </w:p>
    <w:p>
      <w:pPr>
        <w:pStyle w:val="2"/>
        <w:numPr>
          <w:ilvl w:val="0"/>
          <w:numId w:val="0"/>
        </w:numPr>
        <w:tabs>
          <w:tab w:val="left" w:pos="8227"/>
        </w:tabs>
        <w:kinsoku w:val="0"/>
        <w:overflowPunct w:val="0"/>
        <w:spacing w:line="381" w:lineRule="auto"/>
        <w:ind w:left="1680" w:right="118"/>
        <w:rPr>
          <w:rFonts w:ascii="仿宋" w:hAnsi="仿宋" w:eastAsia="仿宋" w:cs="仿宋"/>
          <w:color w:val="000000" w:themeColor="text1"/>
          <w:w w:val="95"/>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法定代表人或被授权人：</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u w:val="single"/>
          <w:lang w:eastAsia="zh-CN"/>
          <w14:textFill>
            <w14:solidFill>
              <w14:schemeClr w14:val="tx1"/>
            </w14:solidFill>
          </w14:textFill>
        </w:rPr>
        <w:t>(</w:t>
      </w:r>
      <w:r>
        <w:rPr>
          <w:rFonts w:hint="eastAsia" w:ascii="仿宋" w:hAnsi="仿宋" w:eastAsia="仿宋" w:cs="仿宋"/>
          <w:color w:val="000000" w:themeColor="text1"/>
          <w:w w:val="95"/>
          <w:sz w:val="24"/>
          <w:lang w:eastAsia="zh-CN"/>
          <w14:textFill>
            <w14:solidFill>
              <w14:schemeClr w14:val="tx1"/>
            </w14:solidFill>
          </w14:textFill>
        </w:rPr>
        <w:t>签章）</w:t>
      </w:r>
    </w:p>
    <w:p>
      <w:pPr>
        <w:pStyle w:val="2"/>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日期：</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年</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日</w:t>
      </w:r>
    </w:p>
    <w:p>
      <w:pPr>
        <w:pStyle w:val="40"/>
        <w:spacing w:after="580"/>
        <w:ind w:firstLine="360"/>
        <w:rPr>
          <w:rFonts w:ascii="仿宋" w:hAnsi="仿宋" w:eastAsia="仿宋" w:cs="仿宋"/>
          <w:color w:val="000000" w:themeColor="text1"/>
          <w14:textFill>
            <w14:solidFill>
              <w14:schemeClr w14:val="tx1"/>
            </w14:solidFill>
          </w14:textFill>
        </w:rPr>
      </w:pPr>
    </w:p>
    <w:p>
      <w:pPr>
        <w:spacing w:line="360" w:lineRule="auto"/>
        <w:jc w:val="center"/>
        <w:rPr>
          <w:rFonts w:ascii="仿宋" w:hAnsi="仿宋" w:eastAsia="仿宋" w:cs="仿宋"/>
          <w:bCs/>
          <w:color w:val="000000" w:themeColor="text1"/>
          <w:sz w:val="36"/>
          <w:szCs w:val="36"/>
          <w:lang w:eastAsia="zh-CN"/>
          <w14:textFill>
            <w14:solidFill>
              <w14:schemeClr w14:val="tx1"/>
            </w14:solidFill>
          </w14:textFill>
        </w:rPr>
      </w:pPr>
    </w:p>
    <w:p>
      <w:pPr>
        <w:spacing w:line="360" w:lineRule="auto"/>
        <w:jc w:val="center"/>
        <w:rPr>
          <w:rFonts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6"/>
          <w:szCs w:val="36"/>
          <w:lang w:eastAsia="zh-CN"/>
          <w14:textFill>
            <w14:solidFill>
              <w14:schemeClr w14:val="tx1"/>
            </w14:solidFill>
          </w14:textFill>
        </w:rPr>
        <w:t>9、中小企业声明函(货物)</w:t>
      </w:r>
    </w:p>
    <w:p>
      <w:pPr>
        <w:spacing w:line="360" w:lineRule="auto"/>
        <w:ind w:firstLine="49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numPr>
          <w:ilvl w:val="0"/>
          <w:numId w:val="9"/>
        </w:numPr>
        <w:spacing w:line="360" w:lineRule="auto"/>
        <w:ind w:firstLine="490" w:firstLineChars="200"/>
        <w:rPr>
          <w:rFonts w:ascii="仿宋" w:hAnsi="仿宋" w:eastAsia="仿宋" w:cs="仿宋"/>
          <w:color w:val="auto"/>
          <w:lang w:eastAsia="zh-CN"/>
        </w:rPr>
      </w:pPr>
      <w:r>
        <w:rPr>
          <w:rFonts w:hint="eastAsia" w:ascii="仿宋" w:hAnsi="仿宋" w:eastAsia="仿宋" w:cs="仿宋"/>
          <w:color w:val="000000" w:themeColor="text1"/>
          <w:u w:val="single"/>
          <w:lang w:eastAsia="zh-CN"/>
          <w14:textFill>
            <w14:solidFill>
              <w14:schemeClr w14:val="tx1"/>
            </w14:solidFill>
          </w14:textFill>
        </w:rPr>
        <w:t xml:space="preserve">    （标的名称）</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 xml:space="preserve"> </w:t>
      </w:r>
      <w:r>
        <w:rPr>
          <w:rFonts w:hint="eastAsia" w:ascii="仿宋" w:hAnsi="仿宋" w:eastAsia="仿宋" w:cs="仿宋"/>
          <w:b/>
          <w:bCs/>
          <w:color w:val="auto"/>
          <w:highlight w:val="none"/>
          <w:u w:val="single"/>
          <w:lang w:eastAsia="zh-CN"/>
        </w:rPr>
        <w:t>工业</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；制造商为</w:t>
      </w:r>
      <w:r>
        <w:rPr>
          <w:rFonts w:hint="eastAsia" w:ascii="仿宋" w:hAnsi="仿宋" w:eastAsia="仿宋" w:cs="仿宋"/>
          <w:color w:val="auto"/>
          <w:u w:val="single"/>
          <w:lang w:eastAsia="zh-CN"/>
        </w:rPr>
        <w:t xml:space="preserve">   （企业名称）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（中型企业、小型企业、微型企业</w:t>
      </w:r>
      <w:r>
        <w:rPr>
          <w:rFonts w:hint="eastAsia" w:ascii="仿宋" w:hAnsi="仿宋" w:eastAsia="仿宋" w:cs="仿宋"/>
          <w:color w:val="auto"/>
          <w:lang w:eastAsia="zh-CN"/>
        </w:rPr>
        <w:t>）；</w:t>
      </w:r>
    </w:p>
    <w:p>
      <w:pPr>
        <w:spacing w:line="360" w:lineRule="auto"/>
        <w:ind w:firstLine="49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auto"/>
          <w:lang w:eastAsia="zh-CN"/>
        </w:rPr>
        <w:t xml:space="preserve">2. </w:t>
      </w:r>
      <w:r>
        <w:rPr>
          <w:rFonts w:hint="eastAsia" w:ascii="仿宋" w:hAnsi="仿宋" w:eastAsia="仿宋" w:cs="仿宋"/>
          <w:color w:val="auto"/>
          <w:u w:val="single"/>
          <w:lang w:eastAsia="zh-CN"/>
        </w:rPr>
        <w:t xml:space="preserve">     （标的名称）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 xml:space="preserve"> 工业 </w:t>
      </w:r>
      <w:r>
        <w:rPr>
          <w:rFonts w:hint="eastAsia" w:ascii="仿宋" w:hAnsi="仿宋" w:eastAsia="仿宋" w:cs="仿宋"/>
          <w:color w:val="auto"/>
          <w:lang w:eastAsia="zh-CN"/>
        </w:rPr>
        <w:t>；制</w:t>
      </w:r>
      <w:r>
        <w:rPr>
          <w:rFonts w:hint="eastAsia" w:ascii="仿宋" w:hAnsi="仿宋" w:eastAsia="仿宋" w:cs="仿宋"/>
          <w:color w:val="000000" w:themeColor="text1"/>
          <w:lang w:eastAsia="zh-CN"/>
          <w14:textFill>
            <w14:solidFill>
              <w14:schemeClr w14:val="tx1"/>
            </w14:solidFill>
          </w14:textFill>
        </w:rPr>
        <w:t>造商为</w:t>
      </w:r>
      <w:r>
        <w:rPr>
          <w:rFonts w:hint="eastAsia" w:ascii="仿宋" w:hAnsi="仿宋" w:eastAsia="仿宋" w:cs="仿宋"/>
          <w:color w:val="000000" w:themeColor="text1"/>
          <w:u w:val="single"/>
          <w:lang w:eastAsia="zh-CN"/>
          <w14:textFill>
            <w14:solidFill>
              <w14:schemeClr w14:val="tx1"/>
            </w14:solidFill>
          </w14:textFill>
        </w:rPr>
        <w:t xml:space="preserve">    （企业名称）</w:t>
      </w:r>
      <w:r>
        <w:rPr>
          <w:rFonts w:hint="eastAsia" w:ascii="仿宋" w:hAnsi="仿宋" w:eastAsia="仿宋" w:cs="仿宋"/>
          <w:color w:val="000000" w:themeColor="text1"/>
          <w:lang w:eastAsia="zh-CN"/>
          <w14:textFill>
            <w14:solidFill>
              <w14:schemeClr w14:val="tx1"/>
            </w14:solidFill>
          </w14:textFill>
        </w:rPr>
        <w:t>，从业人员</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人，营业收入为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万元，资产总额为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万元，属于</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lang w:eastAsia="zh-CN"/>
          <w14:textFill>
            <w14:solidFill>
              <w14:schemeClr w14:val="tx1"/>
            </w14:solidFill>
          </w14:textFill>
        </w:rPr>
        <w:t>（中型企业、小型企业、微型企业）</w:t>
      </w:r>
      <w:r>
        <w:rPr>
          <w:rFonts w:hint="eastAsia" w:ascii="仿宋" w:hAnsi="仿宋" w:eastAsia="仿宋" w:cs="仿宋"/>
          <w:color w:val="000000" w:themeColor="text1"/>
          <w:lang w:eastAsia="zh-CN"/>
          <w14:textFill>
            <w14:solidFill>
              <w14:schemeClr w14:val="tx1"/>
            </w14:solidFill>
          </w14:textFill>
        </w:rPr>
        <w:t>；</w:t>
      </w:r>
    </w:p>
    <w:p>
      <w:pPr>
        <w:spacing w:line="360" w:lineRule="auto"/>
        <w:ind w:firstLine="49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w:t>
      </w:r>
    </w:p>
    <w:p>
      <w:pPr>
        <w:spacing w:line="360" w:lineRule="auto"/>
        <w:ind w:firstLine="49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90" w:firstLineChars="200"/>
        <w:rPr>
          <w:rFonts w:ascii="仿宋" w:hAnsi="仿宋" w:eastAsia="仿宋" w:cs="仿宋"/>
          <w:color w:val="000000" w:themeColor="text1"/>
          <w:lang w:eastAsia="zh-CN"/>
          <w14:textFill>
            <w14:solidFill>
              <w14:schemeClr w14:val="tx1"/>
            </w14:solidFill>
          </w14:textFill>
        </w:rPr>
      </w:pPr>
    </w:p>
    <w:p>
      <w:pPr>
        <w:spacing w:line="360" w:lineRule="auto"/>
        <w:ind w:firstLine="49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本企业对上述声明内容的真实性负责。如有虚假，将依法承担相应责任。</w:t>
      </w:r>
    </w:p>
    <w:p>
      <w:pPr>
        <w:spacing w:line="360" w:lineRule="auto"/>
        <w:ind w:firstLine="49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p>
    <w:p>
      <w:pPr>
        <w:spacing w:line="360" w:lineRule="auto"/>
        <w:ind w:firstLine="490" w:firstLineChars="200"/>
        <w:rPr>
          <w:rFonts w:ascii="仿宋" w:hAnsi="仿宋" w:eastAsia="仿宋" w:cs="仿宋"/>
          <w:color w:val="000000" w:themeColor="text1"/>
          <w:lang w:eastAsia="zh-CN"/>
          <w14:textFill>
            <w14:solidFill>
              <w14:schemeClr w14:val="tx1"/>
            </w14:solidFill>
          </w14:textFill>
        </w:rPr>
      </w:pPr>
    </w:p>
    <w:p>
      <w:pPr>
        <w:spacing w:line="360" w:lineRule="auto"/>
        <w:ind w:firstLine="4655" w:firstLineChars="19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企业名称（盖章）：</w:t>
      </w:r>
    </w:p>
    <w:p>
      <w:pPr>
        <w:spacing w:line="360" w:lineRule="auto"/>
        <w:ind w:firstLine="49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日期：</w:t>
      </w:r>
    </w:p>
    <w:p>
      <w:pPr>
        <w:pStyle w:val="22"/>
        <w:rPr>
          <w:rFonts w:ascii="仿宋" w:hAnsi="仿宋" w:eastAsia="仿宋" w:cs="仿宋"/>
          <w:color w:val="000000" w:themeColor="text1"/>
          <w:lang w:eastAsia="zh-CN"/>
          <w14:textFill>
            <w14:solidFill>
              <w14:schemeClr w14:val="tx1"/>
            </w14:solidFill>
          </w14:textFill>
        </w:rPr>
      </w:pPr>
    </w:p>
    <w:p>
      <w:pPr>
        <w:pStyle w:val="22"/>
        <w:rPr>
          <w:rFonts w:ascii="仿宋" w:hAnsi="仿宋" w:eastAsia="仿宋" w:cs="仿宋"/>
          <w:color w:val="000000" w:themeColor="text1"/>
          <w:lang w:eastAsia="zh-CN"/>
          <w14:textFill>
            <w14:solidFill>
              <w14:schemeClr w14:val="tx1"/>
            </w14:solidFill>
          </w14:textFill>
        </w:rPr>
      </w:pPr>
    </w:p>
    <w:p>
      <w:pPr>
        <w:pStyle w:val="22"/>
        <w:rPr>
          <w:rFonts w:ascii="仿宋" w:hAnsi="仿宋" w:eastAsia="仿宋" w:cs="仿宋"/>
          <w:color w:val="000000" w:themeColor="text1"/>
          <w:lang w:eastAsia="zh-CN"/>
          <w14:textFill>
            <w14:solidFill>
              <w14:schemeClr w14:val="tx1"/>
            </w14:solidFill>
          </w14:textFill>
        </w:rPr>
      </w:pPr>
    </w:p>
    <w:p>
      <w:pPr>
        <w:pStyle w:val="22"/>
        <w:rPr>
          <w:rFonts w:ascii="仿宋" w:hAnsi="仿宋" w:eastAsia="仿宋" w:cs="仿宋"/>
          <w:color w:val="000000" w:themeColor="text1"/>
          <w:lang w:eastAsia="zh-CN"/>
          <w14:textFill>
            <w14:solidFill>
              <w14:schemeClr w14:val="tx1"/>
            </w14:solidFill>
          </w14:textFill>
        </w:rPr>
      </w:pPr>
    </w:p>
    <w:p>
      <w:pPr>
        <w:pStyle w:val="22"/>
        <w:rPr>
          <w:rFonts w:ascii="仿宋" w:hAnsi="仿宋" w:eastAsia="仿宋" w:cs="仿宋"/>
          <w:color w:val="000000" w:themeColor="text1"/>
          <w:lang w:eastAsia="zh-CN"/>
          <w14:textFill>
            <w14:solidFill>
              <w14:schemeClr w14:val="tx1"/>
            </w14:solidFill>
          </w14:textFill>
        </w:rPr>
      </w:pPr>
    </w:p>
    <w:p>
      <w:pPr>
        <w:pStyle w:val="22"/>
        <w:rPr>
          <w:rFonts w:ascii="仿宋" w:hAnsi="仿宋" w:eastAsia="仿宋" w:cs="仿宋"/>
          <w:color w:val="000000" w:themeColor="text1"/>
          <w:lang w:eastAsia="zh-CN"/>
          <w14:textFill>
            <w14:solidFill>
              <w14:schemeClr w14:val="tx1"/>
            </w14:solidFill>
          </w14:textFill>
        </w:rPr>
      </w:pPr>
    </w:p>
    <w:p>
      <w:pPr>
        <w:pStyle w:val="22"/>
        <w:rPr>
          <w:rFonts w:ascii="仿宋" w:hAnsi="仿宋" w:eastAsia="仿宋" w:cs="仿宋"/>
          <w:color w:val="000000" w:themeColor="text1"/>
          <w:lang w:eastAsia="zh-CN"/>
          <w14:textFill>
            <w14:solidFill>
              <w14:schemeClr w14:val="tx1"/>
            </w14:solidFill>
          </w14:textFill>
        </w:rPr>
      </w:pPr>
    </w:p>
    <w:p>
      <w:pPr>
        <w:pStyle w:val="22"/>
        <w:rPr>
          <w:rFonts w:ascii="仿宋" w:hAnsi="仿宋" w:eastAsia="仿宋" w:cs="仿宋"/>
          <w:color w:val="000000" w:themeColor="text1"/>
          <w:lang w:eastAsia="zh-CN"/>
          <w14:textFill>
            <w14:solidFill>
              <w14:schemeClr w14:val="tx1"/>
            </w14:solidFill>
          </w14:textFill>
        </w:rPr>
      </w:pPr>
    </w:p>
    <w:p>
      <w:pPr>
        <w:pStyle w:val="22"/>
        <w:rPr>
          <w:rFonts w:ascii="仿宋" w:hAnsi="仿宋" w:eastAsia="仿宋" w:cs="仿宋"/>
          <w:color w:val="000000" w:themeColor="text1"/>
          <w:lang w:eastAsia="zh-CN"/>
          <w14:textFill>
            <w14:solidFill>
              <w14:schemeClr w14:val="tx1"/>
            </w14:solidFill>
          </w14:textFill>
        </w:rPr>
      </w:pPr>
    </w:p>
    <w:p>
      <w:pPr>
        <w:pStyle w:val="22"/>
        <w:rPr>
          <w:rFonts w:ascii="仿宋" w:hAnsi="仿宋" w:eastAsia="仿宋" w:cs="仿宋"/>
          <w:color w:val="000000" w:themeColor="text1"/>
          <w:lang w:eastAsia="zh-CN"/>
          <w14:textFill>
            <w14:solidFill>
              <w14:schemeClr w14:val="tx1"/>
            </w14:solidFill>
          </w14:textFill>
        </w:rPr>
      </w:pPr>
    </w:p>
    <w:p>
      <w:pPr>
        <w:pStyle w:val="22"/>
        <w:rPr>
          <w:rFonts w:ascii="仿宋" w:hAnsi="仿宋" w:eastAsia="仿宋" w:cs="仿宋"/>
          <w:color w:val="000000" w:themeColor="text1"/>
          <w:lang w:eastAsia="zh-CN"/>
          <w14:textFill>
            <w14:solidFill>
              <w14:schemeClr w14:val="tx1"/>
            </w14:solidFill>
          </w14:textFill>
        </w:rPr>
      </w:pPr>
    </w:p>
    <w:p>
      <w:pPr>
        <w:tabs>
          <w:tab w:val="left" w:pos="3600"/>
        </w:tabs>
        <w:adjustRightInd w:val="0"/>
        <w:snapToGrid w:val="0"/>
        <w:spacing w:line="440" w:lineRule="exact"/>
        <w:jc w:val="center"/>
        <w:rPr>
          <w:rFonts w:ascii="仿宋" w:hAnsi="仿宋" w:eastAsia="仿宋" w:cs="仿宋"/>
          <w:color w:val="000000" w:themeColor="text1"/>
          <w:sz w:val="36"/>
          <w:szCs w:val="36"/>
          <w:lang w:eastAsia="zh-CN"/>
          <w14:textFill>
            <w14:solidFill>
              <w14:schemeClr w14:val="tx1"/>
            </w14:solidFill>
          </w14:textFill>
        </w:rPr>
      </w:pPr>
    </w:p>
    <w:p>
      <w:pPr>
        <w:pStyle w:val="37"/>
        <w:rPr>
          <w:lang w:eastAsia="zh-CN"/>
        </w:rPr>
      </w:pPr>
    </w:p>
    <w:p>
      <w:pPr>
        <w:pStyle w:val="37"/>
        <w:rPr>
          <w:lang w:eastAsia="zh-CN"/>
        </w:rPr>
      </w:pPr>
    </w:p>
    <w:p>
      <w:pPr>
        <w:tabs>
          <w:tab w:val="left" w:pos="3600"/>
        </w:tabs>
        <w:adjustRightInd w:val="0"/>
        <w:snapToGrid w:val="0"/>
        <w:spacing w:line="440" w:lineRule="exact"/>
        <w:jc w:val="center"/>
        <w:rPr>
          <w:rFonts w:ascii="仿宋" w:hAnsi="仿宋" w:eastAsia="仿宋" w:cs="仿宋"/>
          <w:color w:val="000000" w:themeColor="text1"/>
          <w:sz w:val="36"/>
          <w:szCs w:val="36"/>
          <w:lang w:eastAsia="zh-CN"/>
          <w14:textFill>
            <w14:solidFill>
              <w14:schemeClr w14:val="tx1"/>
            </w14:solidFill>
          </w14:textFill>
        </w:rPr>
      </w:pPr>
    </w:p>
    <w:p>
      <w:pPr>
        <w:pStyle w:val="2"/>
        <w:numPr>
          <w:ilvl w:val="0"/>
          <w:numId w:val="0"/>
        </w:numPr>
        <w:ind w:leftChars="0" w:right="0" w:rightChars="0"/>
        <w:rPr>
          <w:lang w:eastAsia="zh-CN"/>
        </w:rPr>
      </w:pPr>
    </w:p>
    <w:p>
      <w:pPr>
        <w:tabs>
          <w:tab w:val="left" w:pos="3600"/>
        </w:tabs>
        <w:adjustRightInd w:val="0"/>
        <w:snapToGrid w:val="0"/>
        <w:spacing w:line="440" w:lineRule="exact"/>
        <w:jc w:val="center"/>
        <w:rPr>
          <w:rFonts w:ascii="仿宋" w:hAnsi="仿宋" w:eastAsia="仿宋" w:cs="仿宋"/>
          <w:b/>
          <w:bCs/>
          <w:color w:val="000000" w:themeColor="text1"/>
          <w:spacing w:val="6"/>
          <w:sz w:val="36"/>
          <w:szCs w:val="36"/>
          <w:lang w:eastAsia="zh-CN"/>
          <w14:textFill>
            <w14:solidFill>
              <w14:schemeClr w14:val="tx1"/>
            </w14:solidFill>
          </w14:textFill>
        </w:rPr>
      </w:pPr>
      <w:r>
        <w:rPr>
          <w:rFonts w:hint="eastAsia" w:ascii="仿宋" w:hAnsi="仿宋" w:eastAsia="仿宋" w:cs="仿宋"/>
          <w:color w:val="000000" w:themeColor="text1"/>
          <w:sz w:val="36"/>
          <w:szCs w:val="36"/>
          <w:lang w:eastAsia="zh-CN"/>
          <w14:textFill>
            <w14:solidFill>
              <w14:schemeClr w14:val="tx1"/>
            </w14:solidFill>
          </w14:textFill>
        </w:rPr>
        <w:t>10、</w:t>
      </w:r>
      <w:r>
        <w:rPr>
          <w:rFonts w:hint="eastAsia" w:ascii="仿宋" w:hAnsi="仿宋" w:eastAsia="仿宋" w:cs="仿宋"/>
          <w:b/>
          <w:bCs/>
          <w:color w:val="000000" w:themeColor="text1"/>
          <w:spacing w:val="6"/>
          <w:sz w:val="36"/>
          <w:szCs w:val="36"/>
          <w:lang w:eastAsia="zh-CN"/>
          <w14:textFill>
            <w14:solidFill>
              <w14:schemeClr w14:val="tx1"/>
            </w14:solidFill>
          </w14:textFill>
        </w:rPr>
        <w:t>残疾人福利性单位声明函</w:t>
      </w:r>
    </w:p>
    <w:p>
      <w:pPr>
        <w:widowControl/>
        <w:adjustRightInd w:val="0"/>
        <w:snapToGrid w:val="0"/>
        <w:spacing w:line="440" w:lineRule="exact"/>
        <w:ind w:firstLine="514" w:firstLineChars="200"/>
        <w:rPr>
          <w:rFonts w:ascii="仿宋" w:hAnsi="仿宋" w:eastAsia="仿宋" w:cs="仿宋"/>
          <w:color w:val="000000" w:themeColor="text1"/>
          <w:spacing w:val="6"/>
          <w:lang w:eastAsia="zh-CN"/>
          <w14:textFill>
            <w14:solidFill>
              <w14:schemeClr w14:val="tx1"/>
            </w14:solidFill>
          </w14:textFill>
        </w:rPr>
      </w:pPr>
    </w:p>
    <w:p>
      <w:pPr>
        <w:widowControl/>
        <w:adjustRightInd w:val="0"/>
        <w:snapToGrid w:val="0"/>
        <w:spacing w:line="440" w:lineRule="exact"/>
        <w:ind w:firstLine="514" w:firstLineChars="200"/>
        <w:rPr>
          <w:rFonts w:ascii="仿宋" w:hAnsi="仿宋" w:eastAsia="仿宋" w:cs="仿宋"/>
          <w:color w:val="000000" w:themeColor="text1"/>
          <w:spacing w:val="6"/>
          <w:lang w:eastAsia="zh-CN"/>
          <w14:textFill>
            <w14:solidFill>
              <w14:schemeClr w14:val="tx1"/>
            </w14:solidFill>
          </w14:textFill>
        </w:rPr>
      </w:pPr>
      <w:r>
        <w:rPr>
          <w:rFonts w:hint="eastAsia" w:ascii="仿宋" w:hAnsi="仿宋" w:eastAsia="仿宋" w:cs="仿宋"/>
          <w:color w:val="000000" w:themeColor="text1"/>
          <w:spacing w:val="6"/>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themeColor="text1"/>
          <w:spacing w:val="6"/>
          <w:u w:val="single"/>
          <w:lang w:eastAsia="zh-CN"/>
          <w14:textFill>
            <w14:solidFill>
              <w14:schemeClr w14:val="tx1"/>
            </w14:solidFill>
          </w14:textFill>
        </w:rPr>
        <w:t xml:space="preserve">     </w:t>
      </w:r>
      <w:r>
        <w:rPr>
          <w:rFonts w:hint="eastAsia" w:ascii="仿宋" w:hAnsi="仿宋" w:eastAsia="仿宋" w:cs="仿宋"/>
          <w:color w:val="000000" w:themeColor="text1"/>
          <w:spacing w:val="6"/>
          <w:lang w:eastAsia="zh-CN"/>
          <w14:textFill>
            <w14:solidFill>
              <w14:schemeClr w14:val="tx1"/>
            </w14:solidFill>
          </w14:textFill>
        </w:rPr>
        <w:t>单位的</w:t>
      </w:r>
      <w:r>
        <w:rPr>
          <w:rFonts w:hint="eastAsia" w:ascii="仿宋" w:hAnsi="仿宋" w:eastAsia="仿宋" w:cs="仿宋"/>
          <w:color w:val="000000" w:themeColor="text1"/>
          <w:spacing w:val="6"/>
          <w:u w:val="single"/>
          <w:lang w:eastAsia="zh-CN"/>
          <w14:textFill>
            <w14:solidFill>
              <w14:schemeClr w14:val="tx1"/>
            </w14:solidFill>
          </w14:textFill>
        </w:rPr>
        <w:t xml:space="preserve">     </w:t>
      </w:r>
      <w:r>
        <w:rPr>
          <w:rFonts w:hint="eastAsia" w:ascii="仿宋" w:hAnsi="仿宋" w:eastAsia="仿宋" w:cs="仿宋"/>
          <w:color w:val="000000" w:themeColor="text1"/>
          <w:spacing w:val="6"/>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14" w:firstLineChars="200"/>
        <w:rPr>
          <w:rFonts w:ascii="仿宋" w:hAnsi="仿宋" w:eastAsia="仿宋" w:cs="仿宋"/>
          <w:color w:val="000000" w:themeColor="text1"/>
          <w:spacing w:val="6"/>
          <w:lang w:eastAsia="zh-CN"/>
          <w14:textFill>
            <w14:solidFill>
              <w14:schemeClr w14:val="tx1"/>
            </w14:solidFill>
          </w14:textFill>
        </w:rPr>
      </w:pPr>
      <w:r>
        <w:rPr>
          <w:rFonts w:hint="eastAsia" w:ascii="仿宋" w:hAnsi="仿宋" w:eastAsia="仿宋" w:cs="仿宋"/>
          <w:color w:val="000000" w:themeColor="text1"/>
          <w:spacing w:val="6"/>
          <w:lang w:eastAsia="zh-CN"/>
          <w14:textFill>
            <w14:solidFill>
              <w14:schemeClr w14:val="tx1"/>
            </w14:solidFill>
          </w14:textFill>
        </w:rPr>
        <w:t>本单位对上述声明的真实性负责。如有虚假，将依法承担相应责任。</w:t>
      </w:r>
    </w:p>
    <w:p>
      <w:pPr>
        <w:widowControl/>
        <w:adjustRightInd w:val="0"/>
        <w:snapToGrid w:val="0"/>
        <w:spacing w:line="440" w:lineRule="exact"/>
        <w:ind w:firstLine="514" w:firstLineChars="200"/>
        <w:rPr>
          <w:rFonts w:ascii="仿宋" w:hAnsi="仿宋" w:eastAsia="仿宋" w:cs="仿宋"/>
          <w:color w:val="000000" w:themeColor="text1"/>
          <w:spacing w:val="6"/>
          <w:lang w:eastAsia="zh-CN"/>
          <w14:textFill>
            <w14:solidFill>
              <w14:schemeClr w14:val="tx1"/>
            </w14:solidFill>
          </w14:textFill>
        </w:rPr>
      </w:pPr>
      <w:r>
        <w:rPr>
          <w:rFonts w:hint="eastAsia" w:ascii="仿宋" w:hAnsi="仿宋" w:eastAsia="仿宋" w:cs="仿宋"/>
          <w:color w:val="000000" w:themeColor="text1"/>
          <w:spacing w:val="6"/>
          <w:lang w:eastAsia="zh-CN"/>
          <w14:textFill>
            <w14:solidFill>
              <w14:schemeClr w14:val="tx1"/>
            </w14:solidFill>
          </w14:textFill>
        </w:rPr>
        <w:t xml:space="preserve">                                     </w:t>
      </w:r>
    </w:p>
    <w:p>
      <w:pPr>
        <w:widowControl/>
        <w:adjustRightInd w:val="0"/>
        <w:snapToGrid w:val="0"/>
        <w:spacing w:line="440" w:lineRule="exact"/>
        <w:ind w:firstLine="5654" w:firstLineChars="2200"/>
        <w:rPr>
          <w:rFonts w:ascii="仿宋" w:hAnsi="仿宋" w:eastAsia="仿宋" w:cs="仿宋"/>
          <w:color w:val="000000" w:themeColor="text1"/>
          <w:spacing w:val="6"/>
          <w:lang w:eastAsia="zh-CN"/>
          <w14:textFill>
            <w14:solidFill>
              <w14:schemeClr w14:val="tx1"/>
            </w14:solidFill>
          </w14:textFill>
        </w:rPr>
      </w:pPr>
      <w:r>
        <w:rPr>
          <w:rFonts w:hint="eastAsia" w:ascii="仿宋" w:hAnsi="仿宋" w:eastAsia="仿宋" w:cs="仿宋"/>
          <w:color w:val="000000" w:themeColor="text1"/>
          <w:spacing w:val="6"/>
          <w:lang w:eastAsia="zh-CN"/>
          <w14:textFill>
            <w14:solidFill>
              <w14:schemeClr w14:val="tx1"/>
            </w14:solidFill>
          </w14:textFill>
        </w:rPr>
        <w:t>单位名称（盖章）：</w:t>
      </w:r>
    </w:p>
    <w:p>
      <w:pPr>
        <w:widowControl/>
        <w:adjustRightInd w:val="0"/>
        <w:snapToGrid w:val="0"/>
        <w:spacing w:line="440" w:lineRule="exact"/>
        <w:ind w:firstLine="514" w:firstLineChars="200"/>
        <w:rPr>
          <w:rFonts w:ascii="仿宋" w:hAnsi="仿宋" w:eastAsia="仿宋" w:cs="仿宋"/>
          <w:color w:val="000000" w:themeColor="text1"/>
          <w:spacing w:val="6"/>
          <w:lang w:eastAsia="zh-CN"/>
          <w14:textFill>
            <w14:solidFill>
              <w14:schemeClr w14:val="tx1"/>
            </w14:solidFill>
          </w14:textFill>
        </w:rPr>
      </w:pPr>
      <w:r>
        <w:rPr>
          <w:rFonts w:hint="eastAsia" w:ascii="仿宋" w:hAnsi="仿宋" w:eastAsia="仿宋" w:cs="仿宋"/>
          <w:color w:val="000000" w:themeColor="text1"/>
          <w:spacing w:val="6"/>
          <w:lang w:eastAsia="zh-CN"/>
          <w14:textFill>
            <w14:solidFill>
              <w14:schemeClr w14:val="tx1"/>
            </w14:solidFill>
          </w14:textFill>
        </w:rPr>
        <w:t xml:space="preserve">                                      日  期：</w:t>
      </w: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37"/>
        <w:rPr>
          <w:rFonts w:ascii="仿宋" w:hAnsi="仿宋" w:eastAsia="仿宋" w:cs="仿宋"/>
          <w:b/>
          <w:bCs/>
          <w:color w:val="000000" w:themeColor="text1"/>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tabs>
          <w:tab w:val="left" w:pos="3600"/>
        </w:tabs>
        <w:adjustRightInd w:val="0"/>
        <w:snapToGrid w:val="0"/>
        <w:spacing w:line="440" w:lineRule="exact"/>
        <w:jc w:val="center"/>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11、评分标准和细则中技术部分证明材料（格式自拟</w:t>
      </w:r>
      <w:r>
        <w:rPr>
          <w:rFonts w:hint="eastAsia" w:ascii="仿宋" w:hAnsi="仿宋" w:eastAsia="仿宋" w:cs="仿宋"/>
          <w:color w:val="000000" w:themeColor="text1"/>
          <w:sz w:val="36"/>
          <w:szCs w:val="36"/>
          <w:lang w:eastAsia="zh-CN"/>
          <w14:textFill>
            <w14:solidFill>
              <w14:schemeClr w14:val="tx1"/>
            </w14:solidFill>
          </w14:textFill>
        </w:rPr>
        <w:t>）</w:t>
      </w:r>
    </w:p>
    <w:p>
      <w:pPr>
        <w:pStyle w:val="4"/>
        <w:numPr>
          <w:ilvl w:val="1"/>
          <w:numId w:val="0"/>
        </w:numPr>
        <w:spacing w:line="240" w:lineRule="atLeast"/>
        <w:ind w:left="629" w:leftChars="257"/>
        <w:rPr>
          <w:rFonts w:ascii="仿宋" w:hAnsi="仿宋" w:eastAsia="仿宋" w:cs="仿宋"/>
          <w:color w:val="000000" w:themeColor="text1"/>
          <w:sz w:val="24"/>
          <w:lang w:eastAsia="zh-CN"/>
          <w14:textFill>
            <w14:solidFill>
              <w14:schemeClr w14:val="tx1"/>
            </w14:solidFill>
          </w14:textFill>
        </w:rPr>
      </w:pP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说明：1.应提供</w:t>
      </w:r>
      <w:r>
        <w:rPr>
          <w:rFonts w:hint="eastAsia" w:ascii="仿宋" w:hAnsi="仿宋" w:eastAsia="仿宋" w:cs="仿宋"/>
          <w:color w:val="000000" w:themeColor="text1"/>
          <w:u w:val="single"/>
          <w:lang w:eastAsia="zh-CN"/>
          <w14:textFill>
            <w14:solidFill>
              <w14:schemeClr w14:val="tx1"/>
            </w14:solidFill>
          </w14:textFill>
        </w:rPr>
        <w:t>评分标准和细则中技术部分</w:t>
      </w:r>
      <w:r>
        <w:rPr>
          <w:rFonts w:hint="eastAsia" w:ascii="仿宋" w:hAnsi="仿宋" w:eastAsia="仿宋" w:cs="仿宋"/>
          <w:color w:val="000000" w:themeColor="text1"/>
          <w:lang w:eastAsia="zh-CN"/>
          <w14:textFill>
            <w14:solidFill>
              <w14:schemeClr w14:val="tx1"/>
            </w14:solidFill>
          </w14:textFill>
        </w:rPr>
        <w:t>要求的其他资格证明文件（主要包括：技术指标参数</w:t>
      </w:r>
      <w:r>
        <w:rPr>
          <w:rFonts w:hint="eastAsia" w:ascii="仿宋" w:hAnsi="仿宋" w:eastAsia="仿宋" w:cs="仿宋"/>
          <w:color w:val="000000" w:themeColor="text1"/>
          <w:lang w:val="en-US" w:eastAsia="zh-CN"/>
          <w14:textFill>
            <w14:solidFill>
              <w14:schemeClr w14:val="tx1"/>
            </w14:solidFill>
          </w14:textFill>
        </w:rPr>
        <w:t>响应情况</w:t>
      </w:r>
      <w:r>
        <w:rPr>
          <w:rFonts w:hint="eastAsia" w:ascii="仿宋" w:hAnsi="仿宋" w:eastAsia="仿宋" w:cs="仿宋"/>
          <w:color w:val="000000" w:themeColor="text1"/>
          <w:szCs w:val="21"/>
          <w:lang w:eastAsia="zh-CN" w:bidi="ar-SA"/>
          <w14:textFill>
            <w14:solidFill>
              <w14:schemeClr w14:val="tx1"/>
            </w14:solidFill>
          </w14:textFill>
        </w:rPr>
        <w:t>等</w:t>
      </w:r>
      <w:r>
        <w:rPr>
          <w:rFonts w:hint="eastAsia" w:ascii="仿宋" w:hAnsi="仿宋" w:eastAsia="仿宋" w:cs="仿宋"/>
          <w:color w:val="000000" w:themeColor="text1"/>
          <w:lang w:eastAsia="zh-CN"/>
          <w14:textFill>
            <w14:solidFill>
              <w14:schemeClr w14:val="tx1"/>
            </w14:solidFill>
          </w14:textFill>
        </w:rPr>
        <w:t>）。</w:t>
      </w:r>
    </w:p>
    <w:p>
      <w:pPr>
        <w:pStyle w:val="14"/>
        <w:tabs>
          <w:tab w:val="left" w:pos="5580"/>
        </w:tabs>
        <w:spacing w:line="240" w:lineRule="atLeast"/>
        <w:ind w:firstLine="49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2.复印件上应加盖本单位章（自然人投标的无需盖章，需要签字）。</w:t>
      </w:r>
    </w:p>
    <w:p>
      <w:pPr>
        <w:pStyle w:val="5"/>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   </w:t>
      </w:r>
    </w:p>
    <w:p>
      <w:pPr>
        <w:rPr>
          <w:rFonts w:ascii="仿宋" w:hAnsi="仿宋" w:eastAsia="仿宋" w:cs="仿宋"/>
          <w:color w:val="000000" w:themeColor="text1"/>
          <w:lang w:eastAsia="zh-CN"/>
          <w14:textFill>
            <w14:solidFill>
              <w14:schemeClr w14:val="tx1"/>
            </w14:solidFill>
          </w14:textFill>
        </w:rPr>
      </w:pPr>
    </w:p>
    <w:p>
      <w:pPr>
        <w:pStyle w:val="4"/>
        <w:numPr>
          <w:ilvl w:val="1"/>
          <w:numId w:val="0"/>
        </w:numPr>
        <w:spacing w:line="240" w:lineRule="atLeast"/>
        <w:ind w:left="629" w:leftChars="257"/>
        <w:rPr>
          <w:rFonts w:ascii="仿宋" w:hAnsi="仿宋" w:eastAsia="仿宋" w:cs="仿宋"/>
          <w:color w:val="000000" w:themeColor="text1"/>
          <w:sz w:val="24"/>
          <w:lang w:eastAsia="zh-CN"/>
          <w14:textFill>
            <w14:solidFill>
              <w14:schemeClr w14:val="tx1"/>
            </w14:solidFill>
          </w14:textFill>
        </w:rPr>
      </w:pPr>
    </w:p>
    <w:p>
      <w:pPr>
        <w:tabs>
          <w:tab w:val="left" w:pos="3600"/>
        </w:tabs>
        <w:adjustRightInd w:val="0"/>
        <w:snapToGrid w:val="0"/>
        <w:spacing w:line="440" w:lineRule="exact"/>
        <w:jc w:val="center"/>
        <w:rPr>
          <w:rFonts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12、评分标准和细则中商务部分证明材料（格式自拟）</w:t>
      </w:r>
    </w:p>
    <w:p>
      <w:pPr>
        <w:pStyle w:val="14"/>
        <w:tabs>
          <w:tab w:val="left" w:pos="5580"/>
        </w:tabs>
        <w:spacing w:line="240" w:lineRule="atLeast"/>
        <w:rPr>
          <w:rFonts w:ascii="仿宋" w:hAnsi="仿宋" w:eastAsia="仿宋" w:cs="仿宋"/>
          <w:color w:val="000000" w:themeColor="text1"/>
          <w:lang w:eastAsia="zh-CN"/>
          <w14:textFill>
            <w14:solidFill>
              <w14:schemeClr w14:val="tx1"/>
            </w14:solidFill>
          </w14:textFill>
        </w:rPr>
      </w:pP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说明：1.应提供</w:t>
      </w:r>
      <w:r>
        <w:rPr>
          <w:rFonts w:hint="eastAsia" w:ascii="仿宋" w:hAnsi="仿宋" w:eastAsia="仿宋" w:cs="仿宋"/>
          <w:color w:val="000000" w:themeColor="text1"/>
          <w:u w:val="single"/>
          <w:lang w:eastAsia="zh-CN"/>
          <w14:textFill>
            <w14:solidFill>
              <w14:schemeClr w14:val="tx1"/>
            </w14:solidFill>
          </w14:textFill>
        </w:rPr>
        <w:t>评分标准和细则中商务部分</w:t>
      </w:r>
      <w:r>
        <w:rPr>
          <w:rFonts w:hint="eastAsia" w:ascii="仿宋" w:hAnsi="仿宋" w:eastAsia="仿宋" w:cs="仿宋"/>
          <w:color w:val="000000" w:themeColor="text1"/>
          <w:lang w:eastAsia="zh-CN"/>
          <w14:textFill>
            <w14:solidFill>
              <w14:schemeClr w14:val="tx1"/>
            </w14:solidFill>
          </w14:textFill>
        </w:rPr>
        <w:t>要求的其他资格证明文件（主要包括：</w:t>
      </w:r>
      <w:r>
        <w:rPr>
          <w:rFonts w:hint="eastAsia" w:ascii="仿宋" w:hAnsi="仿宋" w:eastAsia="仿宋" w:cs="仿宋"/>
          <w:color w:val="000000" w:themeColor="text1"/>
          <w:lang w:val="en-US" w:eastAsia="zh-CN"/>
          <w14:textFill>
            <w14:solidFill>
              <w14:schemeClr w14:val="tx1"/>
            </w14:solidFill>
          </w14:textFill>
        </w:rPr>
        <w:t>信誉与实力</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szCs w:val="21"/>
          <w:lang w:val="en-US" w:eastAsia="zh-CN" w:bidi="ar-SA"/>
          <w14:textFill>
            <w14:solidFill>
              <w14:schemeClr w14:val="tx1"/>
            </w14:solidFill>
          </w14:textFill>
        </w:rPr>
        <w:t>类似</w:t>
      </w:r>
      <w:r>
        <w:rPr>
          <w:rFonts w:hint="eastAsia" w:ascii="仿宋" w:hAnsi="仿宋" w:eastAsia="仿宋" w:cs="仿宋"/>
          <w:color w:val="000000" w:themeColor="text1"/>
          <w:szCs w:val="21"/>
          <w:lang w:eastAsia="zh-CN" w:bidi="ar-SA"/>
          <w14:textFill>
            <w14:solidFill>
              <w14:schemeClr w14:val="tx1"/>
            </w14:solidFill>
          </w14:textFill>
        </w:rPr>
        <w:t>业绩</w:t>
      </w:r>
      <w:r>
        <w:rPr>
          <w:rFonts w:hint="eastAsia" w:ascii="仿宋" w:hAnsi="仿宋" w:eastAsia="仿宋" w:cs="仿宋"/>
          <w:color w:val="000000" w:themeColor="text1"/>
          <w:lang w:eastAsia="zh-CN"/>
          <w14:textFill>
            <w14:solidFill>
              <w14:schemeClr w14:val="tx1"/>
            </w14:solidFill>
          </w14:textFill>
        </w:rPr>
        <w:t>、售后服务</w:t>
      </w:r>
      <w:r>
        <w:rPr>
          <w:rFonts w:hint="eastAsia" w:ascii="仿宋" w:hAnsi="仿宋" w:eastAsia="仿宋" w:cs="仿宋"/>
          <w:color w:val="000000" w:themeColor="text1"/>
          <w:lang w:val="en-US" w:eastAsia="zh-CN"/>
          <w14:textFill>
            <w14:solidFill>
              <w14:schemeClr w14:val="tx1"/>
            </w14:solidFill>
          </w14:textFill>
        </w:rPr>
        <w:t>及质保期承诺</w:t>
      </w:r>
      <w:r>
        <w:rPr>
          <w:rFonts w:hint="eastAsia" w:ascii="仿宋" w:hAnsi="仿宋" w:eastAsia="仿宋" w:cs="仿宋"/>
          <w:color w:val="000000" w:themeColor="text1"/>
          <w:lang w:eastAsia="zh-CN"/>
          <w14:textFill>
            <w14:solidFill>
              <w14:schemeClr w14:val="tx1"/>
            </w14:solidFill>
          </w14:textFill>
        </w:rPr>
        <w:t>等）。</w:t>
      </w:r>
    </w:p>
    <w:p>
      <w:pPr>
        <w:pStyle w:val="14"/>
        <w:tabs>
          <w:tab w:val="left" w:pos="5580"/>
        </w:tabs>
        <w:spacing w:line="240" w:lineRule="atLeast"/>
        <w:ind w:firstLine="735" w:firstLineChars="3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2.复印件上应加盖本单位章（自然人投标的无需盖章，需要签字）。</w:t>
      </w: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    </w:t>
      </w: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tabs>
          <w:tab w:val="left" w:pos="3600"/>
        </w:tabs>
        <w:adjustRightInd w:val="0"/>
        <w:snapToGrid w:val="0"/>
        <w:spacing w:line="440" w:lineRule="exact"/>
        <w:jc w:val="center"/>
        <w:rPr>
          <w:rFonts w:ascii="仿宋" w:hAnsi="仿宋" w:eastAsia="仿宋" w:cs="仿宋"/>
          <w:b/>
          <w:bCs/>
          <w:color w:val="000000" w:themeColor="text1"/>
          <w:w w:val="90"/>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13、</w:t>
      </w:r>
      <w:r>
        <w:rPr>
          <w:rFonts w:hint="eastAsia" w:ascii="仿宋" w:hAnsi="仿宋" w:eastAsia="仿宋" w:cs="仿宋"/>
          <w:b/>
          <w:bCs/>
          <w:color w:val="000000" w:themeColor="text1"/>
          <w:w w:val="90"/>
          <w:sz w:val="36"/>
          <w:szCs w:val="36"/>
          <w:lang w:eastAsia="zh-CN"/>
          <w14:textFill>
            <w14:solidFill>
              <w14:schemeClr w14:val="tx1"/>
            </w14:solidFill>
          </w14:textFill>
        </w:rPr>
        <w:t>供应商认为有必要提供的其他证明材料（格式自拟）</w:t>
      </w:r>
    </w:p>
    <w:p>
      <w:pPr>
        <w:pStyle w:val="14"/>
        <w:tabs>
          <w:tab w:val="left" w:pos="5580"/>
        </w:tabs>
        <w:spacing w:line="240" w:lineRule="atLeast"/>
        <w:ind w:firstLine="490" w:firstLineChars="200"/>
        <w:rPr>
          <w:rFonts w:ascii="仿宋" w:hAnsi="仿宋" w:eastAsia="仿宋" w:cs="仿宋"/>
          <w:color w:val="000000" w:themeColor="text1"/>
          <w:lang w:eastAsia="zh-CN"/>
          <w14:textFill>
            <w14:solidFill>
              <w14:schemeClr w14:val="tx1"/>
            </w14:solidFill>
          </w14:textFill>
        </w:rPr>
      </w:pPr>
    </w:p>
    <w:p>
      <w:pPr>
        <w:pStyle w:val="14"/>
        <w:tabs>
          <w:tab w:val="left" w:pos="5580"/>
        </w:tabs>
        <w:spacing w:line="240" w:lineRule="atLeast"/>
        <w:ind w:firstLine="49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说明：复印件上应加盖本单位章（自然人投标的无需盖章，需要签字）。</w:t>
      </w:r>
    </w:p>
    <w:p>
      <w:pPr>
        <w:pStyle w:val="15"/>
        <w:ind w:left="2880"/>
        <w:rPr>
          <w:color w:val="000000" w:themeColor="text1"/>
          <w:lang w:eastAsia="zh-CN"/>
          <w14:textFill>
            <w14:solidFill>
              <w14:schemeClr w14:val="tx1"/>
            </w14:solidFill>
          </w14:textFill>
        </w:rPr>
      </w:pPr>
    </w:p>
    <w:p>
      <w:pPr>
        <w:pStyle w:val="64"/>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64"/>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64"/>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64"/>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64"/>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64"/>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64"/>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64"/>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64"/>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5"/>
        <w:ind w:left="0" w:leftChars="0" w:firstLine="0" w:firstLineChars="0"/>
        <w:outlineLvl w:val="9"/>
        <w:rPr>
          <w:rFonts w:hint="eastAsia"/>
          <w:color w:val="auto"/>
          <w:highlight w:val="none"/>
        </w:rPr>
      </w:pPr>
    </w:p>
    <w:sectPr>
      <w:pgSz w:w="11905" w:h="16838"/>
      <w:pgMar w:top="1440" w:right="1134" w:bottom="1440" w:left="1134" w:header="850" w:footer="992" w:gutter="0"/>
      <w:pgNumType w:fmt="decimal"/>
      <w:cols w:space="0" w:num="1"/>
      <w:rtlGutter w:val="0"/>
      <w:docGrid w:type="linesAndChars" w:linePitch="335" w:charSpace="1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ascii="仿宋" w:hAnsi="仿宋" w:eastAsia="仿宋" w:cs="仿宋"/>
        <w:sz w:val="40"/>
        <w:szCs w:val="56"/>
      </w:rPr>
    </w:pPr>
    <w:r>
      <w:rPr>
        <w:rFonts w:hint="eastAsia" w:ascii="仿宋" w:hAnsi="仿宋" w:eastAsia="仿宋" w:cs="仿宋"/>
        <w:sz w:val="20"/>
        <w:szCs w:val="20"/>
      </w:rPr>
      <w:t>新疆天勤工程管理有限公司    地址：克州阿图什市迎宾路80号三楼    联系电话：0908</w:t>
    </w:r>
    <w:r>
      <w:rPr>
        <w:rFonts w:hint="eastAsia" w:ascii="仿宋" w:hAnsi="仿宋" w:eastAsia="仿宋" w:cs="仿宋"/>
        <w:sz w:val="20"/>
        <w:szCs w:val="20"/>
        <w:lang w:val="en-US" w:eastAsia="zh-CN"/>
      </w:rPr>
      <w:t>-4230066</w:t>
    </w:r>
    <w:r>
      <w:rPr>
        <w:rFonts w:hint="eastAsia" w:ascii="仿宋" w:hAnsi="仿宋" w:eastAsia="仿宋" w:cs="仿宋"/>
        <w:sz w:val="18"/>
        <w:szCs w:val="18"/>
      </w:rPr>
      <w:tab/>
    </w:r>
    <w:r>
      <w:rPr>
        <w:rFonts w:hint="eastAsia" w:ascii="仿宋" w:hAnsi="仿宋" w:eastAsia="仿宋" w:cs="仿宋"/>
        <w:sz w:val="24"/>
        <w:szCs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ascii="仿宋" w:hAnsi="仿宋" w:eastAsia="仿宋" w:cs="仿宋"/>
        <w:sz w:val="40"/>
        <w:szCs w:val="56"/>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sz w:val="20"/>
        <w:szCs w:val="20"/>
      </w:rPr>
      <w:t>新疆天勤工程管理有限公司    地址：克州阿图什市迎宾路80号三楼    联系电话：0908</w:t>
    </w:r>
    <w:r>
      <w:rPr>
        <w:rFonts w:hint="eastAsia" w:ascii="仿宋" w:hAnsi="仿宋" w:eastAsia="仿宋" w:cs="仿宋"/>
        <w:sz w:val="20"/>
        <w:szCs w:val="20"/>
        <w:lang w:val="en-US" w:eastAsia="zh-CN"/>
      </w:rPr>
      <w:t>-4230066</w:t>
    </w:r>
    <w:r>
      <w:rPr>
        <w:rFonts w:hint="eastAsia" w:ascii="仿宋" w:hAnsi="仿宋" w:eastAsia="仿宋" w:cs="仿宋"/>
        <w:sz w:val="18"/>
        <w:szCs w:val="18"/>
      </w:rPr>
      <w:tab/>
    </w:r>
    <w:r>
      <w:rPr>
        <w:rFonts w:hint="eastAsia" w:ascii="仿宋" w:hAnsi="仿宋" w:eastAsia="仿宋" w:cs="仿宋"/>
        <w:sz w:val="24"/>
        <w:szCs w:val="4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tabs>
        <w:tab w:val="clear" w:pos="4153"/>
        <w:tab w:val="clear" w:pos="8306"/>
      </w:tabs>
      <w:jc w:val="right"/>
      <w:rPr>
        <w:rFonts w:hint="eastAsia" w:ascii="仿宋" w:hAnsi="仿宋" w:eastAsia="仿宋" w:cs="仿宋"/>
        <w:sz w:val="21"/>
        <w:szCs w:val="32"/>
        <w:lang w:eastAsia="zh-CN"/>
      </w:rPr>
    </w:pPr>
    <w:r>
      <w:rPr>
        <w:rFonts w:hint="eastAsia" w:ascii="仿宋" w:hAnsi="仿宋" w:eastAsia="仿宋" w:cs="仿宋"/>
        <w:sz w:val="21"/>
        <w:szCs w:val="32"/>
        <w:lang w:eastAsia="zh-CN"/>
      </w:rPr>
      <w:t xml:space="preserve"> 上阿图什镇萨依村基础设施建设及户厕整村推进建设项目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tabs>
        <w:tab w:val="clear" w:pos="4153"/>
        <w:tab w:val="clear" w:pos="8306"/>
      </w:tabs>
      <w:jc w:val="right"/>
      <w:rPr>
        <w:rFonts w:hint="eastAsia" w:ascii="仿宋" w:hAnsi="仿宋" w:eastAsia="仿宋" w:cs="仿宋"/>
        <w:sz w:val="21"/>
        <w:szCs w:val="32"/>
        <w:lang w:eastAsia="zh-CN"/>
      </w:rPr>
    </w:pPr>
    <w:r>
      <w:rPr>
        <w:rFonts w:hint="eastAsia" w:ascii="仿宋" w:hAnsi="仿宋" w:eastAsia="仿宋" w:cs="仿宋"/>
        <w:sz w:val="21"/>
        <w:szCs w:val="32"/>
        <w:lang w:eastAsia="zh-CN"/>
      </w:rPr>
      <w:t xml:space="preserve"> 上阿图什镇萨依村基础设施建设及户厕整村推进建设项目</w:t>
    </w:r>
  </w:p>
  <w:p>
    <w:pPr>
      <w:pStyle w:val="18"/>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DAD01"/>
    <w:multiLevelType w:val="singleLevel"/>
    <w:tmpl w:val="CF0DAD01"/>
    <w:lvl w:ilvl="0" w:tentative="0">
      <w:start w:val="1"/>
      <w:numFmt w:val="decimal"/>
      <w:suff w:val="space"/>
      <w:lvlText w:val="%1."/>
      <w:lvlJc w:val="left"/>
    </w:lvl>
  </w:abstractNum>
  <w:abstractNum w:abstractNumId="1">
    <w:nsid w:val="D81B68B9"/>
    <w:multiLevelType w:val="singleLevel"/>
    <w:tmpl w:val="D81B68B9"/>
    <w:lvl w:ilvl="0" w:tentative="0">
      <w:start w:val="4"/>
      <w:numFmt w:val="decimal"/>
      <w:suff w:val="nothing"/>
      <w:lvlText w:val="%1、"/>
      <w:lvlJc w:val="left"/>
    </w:lvl>
  </w:abstractNum>
  <w:abstractNum w:abstractNumId="2">
    <w:nsid w:val="0000000D"/>
    <w:multiLevelType w:val="multilevel"/>
    <w:tmpl w:val="0000000D"/>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3105F6B5"/>
    <w:multiLevelType w:val="singleLevel"/>
    <w:tmpl w:val="3105F6B5"/>
    <w:lvl w:ilvl="0" w:tentative="0">
      <w:start w:val="1"/>
      <w:numFmt w:val="decimal"/>
      <w:suff w:val="nothing"/>
      <w:lvlText w:val="%1、"/>
      <w:lvlJc w:val="left"/>
      <w:pPr>
        <w:ind w:left="320" w:leftChars="0" w:firstLine="0" w:firstLineChars="0"/>
      </w:pPr>
    </w:lvl>
  </w:abstractNum>
  <w:abstractNum w:abstractNumId="6">
    <w:nsid w:val="446E896A"/>
    <w:multiLevelType w:val="singleLevel"/>
    <w:tmpl w:val="446E896A"/>
    <w:lvl w:ilvl="0" w:tentative="0">
      <w:start w:val="1"/>
      <w:numFmt w:val="chineseCounting"/>
      <w:suff w:val="nothing"/>
      <w:lvlText w:val="（%1）"/>
      <w:lvlJc w:val="left"/>
      <w:rPr>
        <w:rFonts w:hint="eastAsia"/>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5"/>
  </w:num>
  <w:num w:numId="3">
    <w:abstractNumId w:val="7"/>
  </w:num>
  <w:num w:numId="4">
    <w:abstractNumId w:val="4"/>
  </w:num>
  <w:num w:numId="5">
    <w:abstractNumId w:val="8"/>
  </w:num>
  <w:num w:numId="6">
    <w:abstractNumId w:val="6"/>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23"/>
  <w:drawingGridVerticalSpacing w:val="168"/>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ZDYyMzkyMzhhMGNjZDRmZDBmZmE3ZmJjMWI4ODQifQ=="/>
  </w:docVars>
  <w:rsids>
    <w:rsidRoot w:val="430832B2"/>
    <w:rsid w:val="00036274"/>
    <w:rsid w:val="001C66E0"/>
    <w:rsid w:val="00271C3B"/>
    <w:rsid w:val="003348B2"/>
    <w:rsid w:val="00472A86"/>
    <w:rsid w:val="009649B4"/>
    <w:rsid w:val="00DF3300"/>
    <w:rsid w:val="0123584C"/>
    <w:rsid w:val="01387A0A"/>
    <w:rsid w:val="015E08CF"/>
    <w:rsid w:val="01E13C39"/>
    <w:rsid w:val="01E44B68"/>
    <w:rsid w:val="023C35FE"/>
    <w:rsid w:val="025D7EBF"/>
    <w:rsid w:val="02811823"/>
    <w:rsid w:val="03120DC1"/>
    <w:rsid w:val="038329E4"/>
    <w:rsid w:val="040D666A"/>
    <w:rsid w:val="04197466"/>
    <w:rsid w:val="042A106A"/>
    <w:rsid w:val="044D2FF9"/>
    <w:rsid w:val="04DF1D99"/>
    <w:rsid w:val="04F35535"/>
    <w:rsid w:val="05CE725F"/>
    <w:rsid w:val="05E31007"/>
    <w:rsid w:val="06141E47"/>
    <w:rsid w:val="063B7194"/>
    <w:rsid w:val="074D53D1"/>
    <w:rsid w:val="07A939A9"/>
    <w:rsid w:val="07B57D82"/>
    <w:rsid w:val="08323FEC"/>
    <w:rsid w:val="08353FA3"/>
    <w:rsid w:val="08440397"/>
    <w:rsid w:val="08534C69"/>
    <w:rsid w:val="085D5AE7"/>
    <w:rsid w:val="091D420B"/>
    <w:rsid w:val="09231976"/>
    <w:rsid w:val="093F2ABC"/>
    <w:rsid w:val="099C0E75"/>
    <w:rsid w:val="09B3430A"/>
    <w:rsid w:val="09D536A7"/>
    <w:rsid w:val="0A104989"/>
    <w:rsid w:val="0A982D0F"/>
    <w:rsid w:val="0AD77765"/>
    <w:rsid w:val="0AEC1713"/>
    <w:rsid w:val="0AEC1935"/>
    <w:rsid w:val="0B213EE8"/>
    <w:rsid w:val="0B2F3756"/>
    <w:rsid w:val="0B680A2B"/>
    <w:rsid w:val="0B84310F"/>
    <w:rsid w:val="0B9E39F1"/>
    <w:rsid w:val="0BF26C44"/>
    <w:rsid w:val="0CDD46C2"/>
    <w:rsid w:val="0D102430"/>
    <w:rsid w:val="0D2B33CB"/>
    <w:rsid w:val="0DE97ED5"/>
    <w:rsid w:val="0E782F04"/>
    <w:rsid w:val="0F047236"/>
    <w:rsid w:val="0F5301E8"/>
    <w:rsid w:val="0F9E7F65"/>
    <w:rsid w:val="10685029"/>
    <w:rsid w:val="10751E04"/>
    <w:rsid w:val="107847B5"/>
    <w:rsid w:val="110E25D3"/>
    <w:rsid w:val="11487B04"/>
    <w:rsid w:val="11A227BD"/>
    <w:rsid w:val="11BC2427"/>
    <w:rsid w:val="130308CA"/>
    <w:rsid w:val="135B3A09"/>
    <w:rsid w:val="13725EDE"/>
    <w:rsid w:val="13EB3FA7"/>
    <w:rsid w:val="13F25F1E"/>
    <w:rsid w:val="14333C53"/>
    <w:rsid w:val="147F77B9"/>
    <w:rsid w:val="14CF4184"/>
    <w:rsid w:val="15164F4C"/>
    <w:rsid w:val="1525173B"/>
    <w:rsid w:val="153C6A85"/>
    <w:rsid w:val="15AE1060"/>
    <w:rsid w:val="15E839EB"/>
    <w:rsid w:val="160A2911"/>
    <w:rsid w:val="167B61DA"/>
    <w:rsid w:val="169D7529"/>
    <w:rsid w:val="170A0FC7"/>
    <w:rsid w:val="171F0B4E"/>
    <w:rsid w:val="17451C21"/>
    <w:rsid w:val="17EB3771"/>
    <w:rsid w:val="182C2DE0"/>
    <w:rsid w:val="18333FC9"/>
    <w:rsid w:val="184B14B9"/>
    <w:rsid w:val="184E2C86"/>
    <w:rsid w:val="18FE29CF"/>
    <w:rsid w:val="1910625E"/>
    <w:rsid w:val="19623D3B"/>
    <w:rsid w:val="19791440"/>
    <w:rsid w:val="198013A6"/>
    <w:rsid w:val="1985592C"/>
    <w:rsid w:val="198D3D53"/>
    <w:rsid w:val="19F6321A"/>
    <w:rsid w:val="1A266884"/>
    <w:rsid w:val="1A3C3B56"/>
    <w:rsid w:val="1AA14F3E"/>
    <w:rsid w:val="1AED2CFB"/>
    <w:rsid w:val="1AFA15B8"/>
    <w:rsid w:val="1B493912"/>
    <w:rsid w:val="1B6F1AB4"/>
    <w:rsid w:val="1B8847D2"/>
    <w:rsid w:val="1BA86B96"/>
    <w:rsid w:val="1BCE2BAE"/>
    <w:rsid w:val="1BD6471C"/>
    <w:rsid w:val="1BE65325"/>
    <w:rsid w:val="1C824952"/>
    <w:rsid w:val="1DA146C9"/>
    <w:rsid w:val="1E0F41F7"/>
    <w:rsid w:val="1E24584C"/>
    <w:rsid w:val="1E6813A9"/>
    <w:rsid w:val="1E91363A"/>
    <w:rsid w:val="1EC0484F"/>
    <w:rsid w:val="1ECE4F82"/>
    <w:rsid w:val="1EE5064C"/>
    <w:rsid w:val="1F232690"/>
    <w:rsid w:val="1F5B26D6"/>
    <w:rsid w:val="1F6007D8"/>
    <w:rsid w:val="1FBF7012"/>
    <w:rsid w:val="206F41B2"/>
    <w:rsid w:val="207F1924"/>
    <w:rsid w:val="2080160F"/>
    <w:rsid w:val="212A6FB2"/>
    <w:rsid w:val="22965E6B"/>
    <w:rsid w:val="22A01578"/>
    <w:rsid w:val="22F917C9"/>
    <w:rsid w:val="23844555"/>
    <w:rsid w:val="23874BA3"/>
    <w:rsid w:val="23AE6D9F"/>
    <w:rsid w:val="23C60E74"/>
    <w:rsid w:val="24AA355B"/>
    <w:rsid w:val="24D80E4E"/>
    <w:rsid w:val="25002F8D"/>
    <w:rsid w:val="250F1BE1"/>
    <w:rsid w:val="251B598A"/>
    <w:rsid w:val="25546BA5"/>
    <w:rsid w:val="25550156"/>
    <w:rsid w:val="25777D91"/>
    <w:rsid w:val="260D7B4D"/>
    <w:rsid w:val="26694B4E"/>
    <w:rsid w:val="267D2FA7"/>
    <w:rsid w:val="26D37563"/>
    <w:rsid w:val="26E45926"/>
    <w:rsid w:val="26FC7E22"/>
    <w:rsid w:val="27161DF2"/>
    <w:rsid w:val="27D72414"/>
    <w:rsid w:val="27EF2A88"/>
    <w:rsid w:val="282F21E9"/>
    <w:rsid w:val="283D072F"/>
    <w:rsid w:val="28527753"/>
    <w:rsid w:val="285C7E68"/>
    <w:rsid w:val="286B44D3"/>
    <w:rsid w:val="28CE180E"/>
    <w:rsid w:val="291C049E"/>
    <w:rsid w:val="296347F1"/>
    <w:rsid w:val="299F2BD7"/>
    <w:rsid w:val="29D55086"/>
    <w:rsid w:val="29DC7303"/>
    <w:rsid w:val="2A2953D2"/>
    <w:rsid w:val="2A403E4C"/>
    <w:rsid w:val="2A470C7F"/>
    <w:rsid w:val="2A4D3EAF"/>
    <w:rsid w:val="2A6F2C28"/>
    <w:rsid w:val="2AB303AA"/>
    <w:rsid w:val="2AF552B4"/>
    <w:rsid w:val="2B233137"/>
    <w:rsid w:val="2B7102E5"/>
    <w:rsid w:val="2B762634"/>
    <w:rsid w:val="2C047AD0"/>
    <w:rsid w:val="2C4C731E"/>
    <w:rsid w:val="2C7C4FC9"/>
    <w:rsid w:val="2C90777E"/>
    <w:rsid w:val="2D1B0C53"/>
    <w:rsid w:val="2DF06B27"/>
    <w:rsid w:val="2DF1140A"/>
    <w:rsid w:val="2E1B0C2F"/>
    <w:rsid w:val="2E2D151C"/>
    <w:rsid w:val="2E3E3691"/>
    <w:rsid w:val="2E764B34"/>
    <w:rsid w:val="2E9D1F9E"/>
    <w:rsid w:val="2F934252"/>
    <w:rsid w:val="2FA50B1C"/>
    <w:rsid w:val="304F102E"/>
    <w:rsid w:val="305F7D9F"/>
    <w:rsid w:val="30CE30FC"/>
    <w:rsid w:val="31146331"/>
    <w:rsid w:val="31286C3D"/>
    <w:rsid w:val="31753DD8"/>
    <w:rsid w:val="31C54436"/>
    <w:rsid w:val="3207424B"/>
    <w:rsid w:val="32D36D80"/>
    <w:rsid w:val="32E53B2C"/>
    <w:rsid w:val="32E72D84"/>
    <w:rsid w:val="335C76C1"/>
    <w:rsid w:val="3369776B"/>
    <w:rsid w:val="33974E7C"/>
    <w:rsid w:val="34325BDF"/>
    <w:rsid w:val="3464452F"/>
    <w:rsid w:val="347714ED"/>
    <w:rsid w:val="34AC63E7"/>
    <w:rsid w:val="35104540"/>
    <w:rsid w:val="35427B0F"/>
    <w:rsid w:val="355166BF"/>
    <w:rsid w:val="35C66178"/>
    <w:rsid w:val="36AA5E0A"/>
    <w:rsid w:val="36B2479F"/>
    <w:rsid w:val="36E42A50"/>
    <w:rsid w:val="379F4F25"/>
    <w:rsid w:val="37D44BCF"/>
    <w:rsid w:val="38083993"/>
    <w:rsid w:val="386C0CA7"/>
    <w:rsid w:val="3891387E"/>
    <w:rsid w:val="38C56C0D"/>
    <w:rsid w:val="396A3EEA"/>
    <w:rsid w:val="39C66770"/>
    <w:rsid w:val="39C72577"/>
    <w:rsid w:val="39EE19D4"/>
    <w:rsid w:val="3A1273C6"/>
    <w:rsid w:val="3A283A12"/>
    <w:rsid w:val="3A6413C5"/>
    <w:rsid w:val="3A716BA7"/>
    <w:rsid w:val="3AE06945"/>
    <w:rsid w:val="3BC55DD4"/>
    <w:rsid w:val="3BEF2DB1"/>
    <w:rsid w:val="3BFA097C"/>
    <w:rsid w:val="3C044892"/>
    <w:rsid w:val="3C2D32D2"/>
    <w:rsid w:val="3C415AEE"/>
    <w:rsid w:val="3CA827C1"/>
    <w:rsid w:val="3CAD59EE"/>
    <w:rsid w:val="3D4F6A6F"/>
    <w:rsid w:val="3D681E63"/>
    <w:rsid w:val="3D751F42"/>
    <w:rsid w:val="3E0E1F27"/>
    <w:rsid w:val="3E983751"/>
    <w:rsid w:val="3ED26025"/>
    <w:rsid w:val="3FA7735D"/>
    <w:rsid w:val="407D392A"/>
    <w:rsid w:val="408E72C3"/>
    <w:rsid w:val="408E7BCF"/>
    <w:rsid w:val="40B26236"/>
    <w:rsid w:val="41047E71"/>
    <w:rsid w:val="413A315B"/>
    <w:rsid w:val="41523CEF"/>
    <w:rsid w:val="41681350"/>
    <w:rsid w:val="416F668A"/>
    <w:rsid w:val="419F6662"/>
    <w:rsid w:val="41A40451"/>
    <w:rsid w:val="41A72D03"/>
    <w:rsid w:val="41BC55E0"/>
    <w:rsid w:val="41CC18D7"/>
    <w:rsid w:val="420B7389"/>
    <w:rsid w:val="42297C51"/>
    <w:rsid w:val="42320F37"/>
    <w:rsid w:val="423544BC"/>
    <w:rsid w:val="423563C7"/>
    <w:rsid w:val="42A122A4"/>
    <w:rsid w:val="42C57370"/>
    <w:rsid w:val="430832B2"/>
    <w:rsid w:val="435B2B0B"/>
    <w:rsid w:val="445769C9"/>
    <w:rsid w:val="44740DA7"/>
    <w:rsid w:val="44951B21"/>
    <w:rsid w:val="44A45B7D"/>
    <w:rsid w:val="44ED4282"/>
    <w:rsid w:val="4501031B"/>
    <w:rsid w:val="454815E5"/>
    <w:rsid w:val="45712B3F"/>
    <w:rsid w:val="457C2033"/>
    <w:rsid w:val="45CA1335"/>
    <w:rsid w:val="45F44D45"/>
    <w:rsid w:val="46A95479"/>
    <w:rsid w:val="46F77B89"/>
    <w:rsid w:val="4706296E"/>
    <w:rsid w:val="471A0124"/>
    <w:rsid w:val="4743767B"/>
    <w:rsid w:val="474D22A8"/>
    <w:rsid w:val="47785342"/>
    <w:rsid w:val="479455D3"/>
    <w:rsid w:val="4834354A"/>
    <w:rsid w:val="48F2746A"/>
    <w:rsid w:val="490F2667"/>
    <w:rsid w:val="49726A4B"/>
    <w:rsid w:val="49BD2994"/>
    <w:rsid w:val="4A0D2D7D"/>
    <w:rsid w:val="4A4B2CCE"/>
    <w:rsid w:val="4A69564B"/>
    <w:rsid w:val="4B856EF0"/>
    <w:rsid w:val="4BB73B85"/>
    <w:rsid w:val="4BF478AD"/>
    <w:rsid w:val="4BF50141"/>
    <w:rsid w:val="4C17384D"/>
    <w:rsid w:val="4C257A37"/>
    <w:rsid w:val="4CF5766A"/>
    <w:rsid w:val="4CF71E3A"/>
    <w:rsid w:val="4DF50B78"/>
    <w:rsid w:val="4E0976AB"/>
    <w:rsid w:val="4E6938E7"/>
    <w:rsid w:val="4E701DC0"/>
    <w:rsid w:val="4F006719"/>
    <w:rsid w:val="4F2E489B"/>
    <w:rsid w:val="4F5166AD"/>
    <w:rsid w:val="4F5D25FD"/>
    <w:rsid w:val="4F781BCA"/>
    <w:rsid w:val="4FB41D44"/>
    <w:rsid w:val="4FCC0E0D"/>
    <w:rsid w:val="4FE96891"/>
    <w:rsid w:val="50BF6E81"/>
    <w:rsid w:val="5119117C"/>
    <w:rsid w:val="513F080C"/>
    <w:rsid w:val="515317E5"/>
    <w:rsid w:val="515B13D4"/>
    <w:rsid w:val="51EF5036"/>
    <w:rsid w:val="52324560"/>
    <w:rsid w:val="52485F28"/>
    <w:rsid w:val="52654DCD"/>
    <w:rsid w:val="5306542C"/>
    <w:rsid w:val="533662E6"/>
    <w:rsid w:val="53390376"/>
    <w:rsid w:val="534704F3"/>
    <w:rsid w:val="53746819"/>
    <w:rsid w:val="53940122"/>
    <w:rsid w:val="553813F1"/>
    <w:rsid w:val="55B02A26"/>
    <w:rsid w:val="55B81281"/>
    <w:rsid w:val="56493792"/>
    <w:rsid w:val="57D3597F"/>
    <w:rsid w:val="588047F2"/>
    <w:rsid w:val="58A83ABB"/>
    <w:rsid w:val="58E30CBE"/>
    <w:rsid w:val="597C103E"/>
    <w:rsid w:val="59834B75"/>
    <w:rsid w:val="59BD150F"/>
    <w:rsid w:val="59D425E7"/>
    <w:rsid w:val="5A7E608A"/>
    <w:rsid w:val="5AE0581C"/>
    <w:rsid w:val="5B070AA1"/>
    <w:rsid w:val="5B316E66"/>
    <w:rsid w:val="5B5C1769"/>
    <w:rsid w:val="5BE43388"/>
    <w:rsid w:val="5C183C67"/>
    <w:rsid w:val="5C233588"/>
    <w:rsid w:val="5CA75AA1"/>
    <w:rsid w:val="5CBC3478"/>
    <w:rsid w:val="5CD53D28"/>
    <w:rsid w:val="5CDE4139"/>
    <w:rsid w:val="5CFE772B"/>
    <w:rsid w:val="5D2366CB"/>
    <w:rsid w:val="5D2E6280"/>
    <w:rsid w:val="5D3331A6"/>
    <w:rsid w:val="5E0B0134"/>
    <w:rsid w:val="5E135BA1"/>
    <w:rsid w:val="5E1D1079"/>
    <w:rsid w:val="5E9F4200"/>
    <w:rsid w:val="5EDA6373"/>
    <w:rsid w:val="5F0C00BF"/>
    <w:rsid w:val="601F4136"/>
    <w:rsid w:val="6031773D"/>
    <w:rsid w:val="603C050E"/>
    <w:rsid w:val="606D7C3D"/>
    <w:rsid w:val="60C45E60"/>
    <w:rsid w:val="616D262E"/>
    <w:rsid w:val="618E773C"/>
    <w:rsid w:val="62123B3B"/>
    <w:rsid w:val="622D3D77"/>
    <w:rsid w:val="634A483E"/>
    <w:rsid w:val="639B557E"/>
    <w:rsid w:val="63A76D6E"/>
    <w:rsid w:val="642B45E0"/>
    <w:rsid w:val="64604EAC"/>
    <w:rsid w:val="64740A1C"/>
    <w:rsid w:val="64A63DCF"/>
    <w:rsid w:val="64DF79CD"/>
    <w:rsid w:val="66457796"/>
    <w:rsid w:val="6695111E"/>
    <w:rsid w:val="66A5387A"/>
    <w:rsid w:val="66BA5854"/>
    <w:rsid w:val="67656B1B"/>
    <w:rsid w:val="67AE419D"/>
    <w:rsid w:val="67B22635"/>
    <w:rsid w:val="68042D49"/>
    <w:rsid w:val="683769EB"/>
    <w:rsid w:val="68606B16"/>
    <w:rsid w:val="68BF6DF6"/>
    <w:rsid w:val="698C50B9"/>
    <w:rsid w:val="69D47128"/>
    <w:rsid w:val="69EA43F5"/>
    <w:rsid w:val="6A845405"/>
    <w:rsid w:val="6AD37813"/>
    <w:rsid w:val="6ADE7537"/>
    <w:rsid w:val="6B221B0E"/>
    <w:rsid w:val="6B506044"/>
    <w:rsid w:val="6C5067B1"/>
    <w:rsid w:val="6C7543E1"/>
    <w:rsid w:val="6C783074"/>
    <w:rsid w:val="6C963B87"/>
    <w:rsid w:val="6C9F4DA0"/>
    <w:rsid w:val="6CA96079"/>
    <w:rsid w:val="6CAC1F8A"/>
    <w:rsid w:val="6CC81EA4"/>
    <w:rsid w:val="6D3756D1"/>
    <w:rsid w:val="6D37776E"/>
    <w:rsid w:val="6D3E293F"/>
    <w:rsid w:val="6DBD66CF"/>
    <w:rsid w:val="6E181588"/>
    <w:rsid w:val="6EEE4B4A"/>
    <w:rsid w:val="6F782CCB"/>
    <w:rsid w:val="6FFC5967"/>
    <w:rsid w:val="701E297D"/>
    <w:rsid w:val="704838FD"/>
    <w:rsid w:val="709119F6"/>
    <w:rsid w:val="71F7318A"/>
    <w:rsid w:val="721A3870"/>
    <w:rsid w:val="725C5BA9"/>
    <w:rsid w:val="72720C79"/>
    <w:rsid w:val="72951E3C"/>
    <w:rsid w:val="72DB435C"/>
    <w:rsid w:val="72DC3B42"/>
    <w:rsid w:val="739641CD"/>
    <w:rsid w:val="746335E0"/>
    <w:rsid w:val="74B1717B"/>
    <w:rsid w:val="74D13CD9"/>
    <w:rsid w:val="754C749B"/>
    <w:rsid w:val="754D15A6"/>
    <w:rsid w:val="75AB1C93"/>
    <w:rsid w:val="75DF2050"/>
    <w:rsid w:val="76013DC0"/>
    <w:rsid w:val="761B163F"/>
    <w:rsid w:val="76810114"/>
    <w:rsid w:val="76A5065C"/>
    <w:rsid w:val="76C43894"/>
    <w:rsid w:val="76E41762"/>
    <w:rsid w:val="7717316E"/>
    <w:rsid w:val="77603777"/>
    <w:rsid w:val="77901BB9"/>
    <w:rsid w:val="77C7479C"/>
    <w:rsid w:val="77EC0C4E"/>
    <w:rsid w:val="78066149"/>
    <w:rsid w:val="786C31EE"/>
    <w:rsid w:val="788E3223"/>
    <w:rsid w:val="78E06AB0"/>
    <w:rsid w:val="78E7359C"/>
    <w:rsid w:val="791F1447"/>
    <w:rsid w:val="798E0318"/>
    <w:rsid w:val="7A466BC3"/>
    <w:rsid w:val="7A630025"/>
    <w:rsid w:val="7AD93877"/>
    <w:rsid w:val="7B565E18"/>
    <w:rsid w:val="7B7E2783"/>
    <w:rsid w:val="7BEB61FD"/>
    <w:rsid w:val="7BFC0690"/>
    <w:rsid w:val="7C691800"/>
    <w:rsid w:val="7CC540BD"/>
    <w:rsid w:val="7CFB6C1C"/>
    <w:rsid w:val="7D162B61"/>
    <w:rsid w:val="7D277D65"/>
    <w:rsid w:val="7D423759"/>
    <w:rsid w:val="7D695F1A"/>
    <w:rsid w:val="7DD956AA"/>
    <w:rsid w:val="7E2D5B39"/>
    <w:rsid w:val="7E3239CA"/>
    <w:rsid w:val="7E9956EB"/>
    <w:rsid w:val="7ED160D1"/>
    <w:rsid w:val="7FD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numPr>
        <w:ilvl w:val="0"/>
        <w:numId w:val="1"/>
      </w:numPr>
      <w:tabs>
        <w:tab w:val="clear" w:pos="780"/>
      </w:tabs>
      <w:ind w:left="0" w:firstLine="0"/>
    </w:pPr>
    <w:rPr>
      <w:rFonts w:ascii="黑体" w:eastAsia="黑体"/>
      <w:sz w:val="22"/>
    </w:r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spacing w:before="120"/>
    </w:pPr>
    <w:rPr>
      <w:rFonts w:ascii="Cambria" w:hAnsi="Cambria"/>
      <w:sz w:val="24"/>
      <w:szCs w:val="20"/>
    </w:rPr>
  </w:style>
  <w:style w:type="paragraph" w:styleId="10">
    <w:name w:val="index 6"/>
    <w:basedOn w:val="1"/>
    <w:next w:val="1"/>
    <w:qFormat/>
    <w:uiPriority w:val="99"/>
    <w:pPr>
      <w:ind w:left="2100"/>
    </w:pPr>
  </w:style>
  <w:style w:type="paragraph" w:styleId="11">
    <w:name w:val="Body Text Indent"/>
    <w:basedOn w:val="1"/>
    <w:next w:val="1"/>
    <w:qFormat/>
    <w:uiPriority w:val="0"/>
    <w:pPr>
      <w:spacing w:after="120"/>
      <w:ind w:left="200" w:leftChars="200"/>
    </w:p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color w:val="000000"/>
      <w:szCs w:val="20"/>
      <w:u w:val="none" w:color="00000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Date"/>
    <w:basedOn w:val="1"/>
    <w:next w:val="1"/>
    <w:qFormat/>
    <w:uiPriority w:val="0"/>
    <w:pPr>
      <w:ind w:left="100"/>
    </w:pPr>
    <w:rPr>
      <w:sz w:val="24"/>
      <w:szCs w:val="20"/>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4"/>
    <w:basedOn w:val="1"/>
    <w:next w:val="1"/>
    <w:qFormat/>
    <w:uiPriority w:val="0"/>
    <w:pPr>
      <w:ind w:left="1260" w:leftChars="600"/>
    </w:pPr>
  </w:style>
  <w:style w:type="paragraph" w:styleId="21">
    <w:name w:val="List"/>
    <w:basedOn w:val="1"/>
    <w:qFormat/>
    <w:uiPriority w:val="0"/>
    <w:pPr>
      <w:keepNext w:val="0"/>
      <w:keepLines w:val="0"/>
      <w:widowControl w:val="0"/>
      <w:suppressLineNumbers w:val="0"/>
      <w:adjustRightInd w:val="0"/>
      <w:snapToGrid w:val="0"/>
      <w:spacing w:before="0" w:beforeAutospacing="0" w:after="0" w:afterAutospacing="0" w:line="360" w:lineRule="auto"/>
      <w:ind w:left="200" w:right="0" w:hanging="200" w:hangingChars="200"/>
      <w:contextualSpacing/>
      <w:jc w:val="both"/>
    </w:pPr>
    <w:rPr>
      <w:rFonts w:hint="eastAsia" w:ascii="宋体" w:hAnsi="Times New Roman" w:eastAsia="宋体" w:cs="Times New Roman"/>
      <w:snapToGrid/>
      <w:kern w:val="0"/>
      <w:sz w:val="24"/>
      <w:szCs w:val="20"/>
      <w:lang w:val="en-US" w:eastAsia="zh-CN" w:bidi="ar"/>
    </w:rPr>
  </w:style>
  <w:style w:type="paragraph" w:styleId="22">
    <w:name w:val="footnote text"/>
    <w:basedOn w:val="1"/>
    <w:semiHidden/>
    <w:unhideWhenUsed/>
    <w:qFormat/>
    <w:uiPriority w:val="99"/>
    <w:pPr>
      <w:snapToGrid w:val="0"/>
      <w:jc w:val="left"/>
    </w:pPr>
    <w:rPr>
      <w:sz w:val="18"/>
      <w:szCs w:val="18"/>
    </w:rPr>
  </w:style>
  <w:style w:type="paragraph" w:styleId="23">
    <w:name w:val="toc 2"/>
    <w:basedOn w:val="1"/>
    <w:next w:val="1"/>
    <w:qFormat/>
    <w:uiPriority w:val="0"/>
    <w:pPr>
      <w:ind w:left="420" w:leftChars="200"/>
    </w:pPr>
  </w:style>
  <w:style w:type="paragraph" w:styleId="24">
    <w:name w:val="Body Text 2"/>
    <w:basedOn w:val="1"/>
    <w:qFormat/>
    <w:uiPriority w:val="0"/>
    <w:pPr>
      <w:tabs>
        <w:tab w:val="left" w:pos="0"/>
      </w:tabs>
      <w:spacing w:line="400" w:lineRule="atLeast"/>
    </w:pPr>
    <w:rPr>
      <w:rFonts w:ascii="Arial" w:hAnsi="Arial"/>
      <w:color w:val="000000"/>
    </w:rPr>
  </w:style>
  <w:style w:type="paragraph" w:styleId="25">
    <w:name w:val="Normal (Web)"/>
    <w:basedOn w:val="1"/>
    <w:next w:val="1"/>
    <w:qFormat/>
    <w:uiPriority w:val="99"/>
    <w:pPr>
      <w:widowControl/>
      <w:jc w:val="left"/>
    </w:pPr>
    <w:rPr>
      <w:rFonts w:ascii="宋体" w:hAnsi="宋体" w:eastAsia="宋体" w:cs="宋体"/>
      <w:kern w:val="0"/>
      <w:sz w:val="24"/>
      <w:szCs w:val="24"/>
    </w:rPr>
  </w:style>
  <w:style w:type="paragraph" w:styleId="26">
    <w:name w:val="Body Text First Indent 2"/>
    <w:basedOn w:val="11"/>
    <w:next w:val="8"/>
    <w:semiHidden/>
    <w:unhideWhenUsed/>
    <w:qFormat/>
    <w:uiPriority w:val="99"/>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Hyperlink"/>
    <w:basedOn w:val="29"/>
    <w:qFormat/>
    <w:uiPriority w:val="99"/>
    <w:rPr>
      <w:color w:val="0000FF"/>
      <w:u w:val="single"/>
    </w:rPr>
  </w:style>
  <w:style w:type="character" w:styleId="32">
    <w:name w:val="footnote reference"/>
    <w:basedOn w:val="29"/>
    <w:semiHidden/>
    <w:unhideWhenUsed/>
    <w:qFormat/>
    <w:uiPriority w:val="99"/>
    <w:rPr>
      <w:vertAlign w:val="superscript"/>
    </w:rPr>
  </w:style>
  <w:style w:type="character" w:styleId="33">
    <w:name w:val="HTML Sample"/>
    <w:basedOn w:val="29"/>
    <w:qFormat/>
    <w:uiPriority w:val="0"/>
    <w:rPr>
      <w:rFonts w:ascii="Courier New" w:hAnsi="Courier New"/>
    </w:rPr>
  </w:style>
  <w:style w:type="paragraph" w:customStyle="1" w:styleId="34">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35">
    <w:name w:val="toc 4"/>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8">
    <w:name w:val="文档正文"/>
    <w:basedOn w:val="8"/>
    <w:qFormat/>
    <w:uiPriority w:val="0"/>
    <w:pPr>
      <w:spacing w:line="360" w:lineRule="auto"/>
    </w:pPr>
    <w:rPr>
      <w:rFonts w:ascii="宋体" w:hAnsi="宋体"/>
      <w:b/>
      <w:bCs/>
    </w:rPr>
  </w:style>
  <w:style w:type="paragraph" w:customStyle="1" w:styleId="39">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40">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41">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2">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3">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44">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45">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6">
    <w:name w:val="图例"/>
    <w:basedOn w:val="1"/>
    <w:qFormat/>
    <w:uiPriority w:val="0"/>
    <w:pPr>
      <w:spacing w:before="120" w:beforeLines="0" w:after="120" w:afterLines="0" w:line="360" w:lineRule="auto"/>
      <w:jc w:val="center"/>
    </w:pPr>
    <w:rPr>
      <w:rFonts w:eastAsia="仿宋_GB2312"/>
      <w:b/>
      <w:sz w:val="24"/>
    </w:rPr>
  </w:style>
  <w:style w:type="paragraph" w:customStyle="1" w:styleId="47">
    <w:name w:val="WPS Plain"/>
    <w:qFormat/>
    <w:uiPriority w:val="0"/>
    <w:rPr>
      <w:rFonts w:ascii="Times New Roman" w:hAnsi="Times New Roman" w:eastAsia="宋体" w:cs="Times New Roman"/>
      <w:lang w:val="en-US" w:eastAsia="zh-CN" w:bidi="ar-SA"/>
    </w:rPr>
  </w:style>
  <w:style w:type="paragraph" w:customStyle="1" w:styleId="48">
    <w:name w:val="样式 左侧:  0 厘米 悬挂缩进: 2.5 字符"/>
    <w:basedOn w:val="1"/>
    <w:qFormat/>
    <w:uiPriority w:val="0"/>
    <w:pPr>
      <w:ind w:left="525" w:hanging="525" w:hangingChars="250"/>
    </w:pPr>
    <w:rPr>
      <w:szCs w:val="20"/>
    </w:rPr>
  </w:style>
  <w:style w:type="character" w:customStyle="1" w:styleId="49">
    <w:name w:val="font11"/>
    <w:basedOn w:val="29"/>
    <w:qFormat/>
    <w:uiPriority w:val="0"/>
    <w:rPr>
      <w:rFonts w:ascii="Calibri" w:hAnsi="Calibri" w:cs="Calibri"/>
      <w:color w:val="000000"/>
      <w:sz w:val="20"/>
      <w:szCs w:val="20"/>
      <w:u w:val="none"/>
    </w:rPr>
  </w:style>
  <w:style w:type="paragraph" w:customStyle="1" w:styleId="50">
    <w:name w:val="Normal"/>
    <w:qFormat/>
    <w:uiPriority w:val="0"/>
    <w:rPr>
      <w:rFonts w:ascii="Times New Roman" w:hAnsi="Times New Roman" w:eastAsia="Times New Roman" w:cs="Times New Roman"/>
      <w:sz w:val="24"/>
      <w:szCs w:val="24"/>
      <w:lang w:bidi="ar-SA"/>
    </w:rPr>
  </w:style>
  <w:style w:type="paragraph" w:customStyle="1" w:styleId="5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52">
    <w:name w:val="BodyText1I2"/>
    <w:basedOn w:val="53"/>
    <w:qFormat/>
    <w:uiPriority w:val="0"/>
    <w:pPr>
      <w:spacing w:after="0" w:afterLines="0" w:line="500" w:lineRule="exact"/>
      <w:ind w:left="0" w:leftChars="0" w:firstLine="420" w:firstLineChars="200"/>
      <w:jc w:val="both"/>
    </w:pPr>
    <w:rPr>
      <w:kern w:val="2"/>
      <w:sz w:val="21"/>
      <w:szCs w:val="24"/>
      <w:lang w:bidi="ar-SA"/>
    </w:rPr>
  </w:style>
  <w:style w:type="paragraph" w:customStyle="1" w:styleId="53">
    <w:name w:val="BodyTextIndent"/>
    <w:basedOn w:val="1"/>
    <w:qFormat/>
    <w:uiPriority w:val="0"/>
    <w:pPr>
      <w:widowControl/>
      <w:spacing w:after="120" w:afterLines="0" w:line="240" w:lineRule="auto"/>
      <w:ind w:left="420" w:leftChars="200"/>
      <w:jc w:val="both"/>
    </w:pPr>
    <w:rPr>
      <w:rFonts w:ascii="宋体" w:hAnsi="宋体" w:eastAsia="宋体" w:cs="宋体"/>
      <w:kern w:val="2"/>
      <w:sz w:val="21"/>
      <w:szCs w:val="22"/>
      <w:lang w:eastAsia="en-US" w:bidi="ar-SA"/>
    </w:rPr>
  </w:style>
  <w:style w:type="character" w:customStyle="1" w:styleId="54">
    <w:name w:val="font51"/>
    <w:basedOn w:val="29"/>
    <w:qFormat/>
    <w:uiPriority w:val="0"/>
    <w:rPr>
      <w:rFonts w:hint="eastAsia" w:ascii="宋体" w:hAnsi="宋体" w:eastAsia="宋体" w:cs="宋体"/>
      <w:color w:val="000000"/>
      <w:sz w:val="22"/>
      <w:szCs w:val="22"/>
      <w:u w:val="none"/>
    </w:rPr>
  </w:style>
  <w:style w:type="character" w:customStyle="1" w:styleId="55">
    <w:name w:val="font61"/>
    <w:basedOn w:val="29"/>
    <w:qFormat/>
    <w:uiPriority w:val="0"/>
    <w:rPr>
      <w:rFonts w:hint="eastAsia" w:ascii="宋体" w:hAnsi="宋体" w:eastAsia="宋体" w:cs="宋体"/>
      <w:color w:val="000000"/>
      <w:sz w:val="24"/>
      <w:szCs w:val="24"/>
      <w:u w:val="none"/>
    </w:rPr>
  </w:style>
  <w:style w:type="character" w:customStyle="1" w:styleId="56">
    <w:name w:val="font91"/>
    <w:basedOn w:val="29"/>
    <w:qFormat/>
    <w:uiPriority w:val="0"/>
    <w:rPr>
      <w:rFonts w:hint="default" w:ascii="Verdana" w:hAnsi="Verdana" w:cs="Verdana"/>
      <w:color w:val="000000"/>
      <w:sz w:val="24"/>
      <w:szCs w:val="24"/>
      <w:u w:val="none"/>
    </w:rPr>
  </w:style>
  <w:style w:type="character" w:customStyle="1" w:styleId="57">
    <w:name w:val="font31"/>
    <w:basedOn w:val="29"/>
    <w:qFormat/>
    <w:uiPriority w:val="0"/>
    <w:rPr>
      <w:rFonts w:hint="eastAsia" w:ascii="宋体" w:hAnsi="宋体" w:eastAsia="宋体" w:cs="宋体"/>
      <w:color w:val="000000"/>
      <w:sz w:val="21"/>
      <w:szCs w:val="21"/>
      <w:u w:val="none"/>
    </w:rPr>
  </w:style>
  <w:style w:type="character" w:customStyle="1" w:styleId="58">
    <w:name w:val="font01"/>
    <w:basedOn w:val="29"/>
    <w:qFormat/>
    <w:uiPriority w:val="0"/>
    <w:rPr>
      <w:rFonts w:hint="eastAsia" w:ascii="宋体" w:hAnsi="宋体" w:eastAsia="宋体" w:cs="宋体"/>
      <w:color w:val="000000"/>
      <w:sz w:val="22"/>
      <w:szCs w:val="22"/>
      <w:u w:val="none"/>
    </w:rPr>
  </w:style>
  <w:style w:type="character" w:customStyle="1" w:styleId="59">
    <w:name w:val="NormalCharacter"/>
    <w:qFormat/>
    <w:uiPriority w:val="0"/>
    <w:rPr>
      <w:rFonts w:ascii="Calibri" w:hAnsi="Calibri" w:eastAsia="宋体" w:cs="Times New Roman"/>
      <w:kern w:val="2"/>
      <w:sz w:val="21"/>
      <w:szCs w:val="24"/>
      <w:lang w:val="en-US" w:eastAsia="zh-CN" w:bidi="ar-SA"/>
    </w:rPr>
  </w:style>
  <w:style w:type="paragraph" w:customStyle="1" w:styleId="60">
    <w:name w:val="_Style 6"/>
    <w:basedOn w:val="3"/>
    <w:next w:val="1"/>
    <w:qFormat/>
    <w:uiPriority w:val="0"/>
    <w:pPr>
      <w:tabs>
        <w:tab w:val="left" w:pos="540"/>
      </w:tabs>
      <w:outlineLvl w:val="9"/>
    </w:pPr>
  </w:style>
  <w:style w:type="paragraph" w:customStyle="1" w:styleId="6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文本_0"/>
    <w:basedOn w:val="63"/>
    <w:qFormat/>
    <w:uiPriority w:val="0"/>
    <w:pPr>
      <w:spacing w:after="120"/>
    </w:pPr>
    <w:rPr>
      <w:rFonts w:ascii="Calibri" w:hAnsi="Calibri" w:eastAsia="宋体"/>
    </w:rPr>
  </w:style>
  <w:style w:type="paragraph" w:customStyle="1" w:styleId="6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17"/>
    <w:qFormat/>
    <w:uiPriority w:val="0"/>
    <w:pPr>
      <w:widowControl w:val="0"/>
      <w:jc w:val="both"/>
    </w:pPr>
    <w:rPr>
      <w:rFonts w:ascii="Calibri" w:hAnsi="Calibri" w:eastAsia="宋体" w:cs="Times New Roman"/>
      <w:kern w:val="2"/>
      <w:sz w:val="21"/>
      <w:szCs w:val="22"/>
      <w:lang w:val="en-US" w:eastAsia="zh-CN" w:bidi="ar-SA"/>
    </w:rPr>
  </w:style>
  <w:style w:type="table" w:customStyle="1" w:styleId="65">
    <w:name w:val="Table Normal"/>
    <w:unhideWhenUsed/>
    <w:qFormat/>
    <w:uiPriority w:val="0"/>
    <w:tblPr>
      <w:tblCellMar>
        <w:top w:w="0" w:type="dxa"/>
        <w:left w:w="0" w:type="dxa"/>
        <w:bottom w:w="0" w:type="dxa"/>
        <w:right w:w="0" w:type="dxa"/>
      </w:tblCellMar>
    </w:tblPr>
  </w:style>
  <w:style w:type="paragraph" w:styleId="66">
    <w:name w:val="List Paragraph"/>
    <w:basedOn w:val="1"/>
    <w:qFormat/>
    <w:uiPriority w:val="99"/>
    <w:pPr>
      <w:ind w:firstLine="420" w:firstLineChars="200"/>
    </w:pPr>
  </w:style>
  <w:style w:type="paragraph" w:customStyle="1" w:styleId="67">
    <w:name w:val="Normal_20"/>
    <w:qFormat/>
    <w:uiPriority w:val="0"/>
    <w:rPr>
      <w:rFonts w:ascii="黑体" w:hAnsi="黑体" w:eastAsia="黑体" w:cs="Times New Roman"/>
      <w:b/>
      <w:sz w:val="32"/>
      <w:szCs w:val="24"/>
      <w:lang w:bidi="ar-SA"/>
    </w:rPr>
  </w:style>
  <w:style w:type="paragraph" w:styleId="68">
    <w:name w:val="No Spacing"/>
    <w:basedOn w:val="1"/>
    <w:qFormat/>
    <w:uiPriority w:val="1"/>
    <w:pPr>
      <w:widowControl w:val="0"/>
      <w:jc w:val="center"/>
    </w:pPr>
    <w:rPr>
      <w:rFonts w:eastAsia="黑体"/>
      <w:kern w:val="2"/>
      <w:sz w:val="30"/>
      <w:szCs w:val="24"/>
      <w:lang w:val="en-US" w:eastAsia="zh-CN" w:bidi="ar-SA"/>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42078</Words>
  <Characters>44577</Characters>
  <Lines>0</Lines>
  <Paragraphs>0</Paragraphs>
  <TotalTime>4</TotalTime>
  <ScaleCrop>false</ScaleCrop>
  <LinksUpToDate>false</LinksUpToDate>
  <CharactersWithSpaces>48064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尘埃里点、开不出爱情的花</cp:lastModifiedBy>
  <cp:lastPrinted>2022-09-05T04:29:00Z</cp:lastPrinted>
  <dcterms:modified xsi:type="dcterms:W3CDTF">2023-02-26T14:14:25Z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DEC63E6696464C9394C13ADC17C5580A</vt:lpwstr>
  </property>
</Properties>
</file>